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627794" w14:textId="77777777" w:rsidR="003A48AB" w:rsidRDefault="003A48AB" w:rsidP="00D535FE">
      <w:pPr>
        <w:autoSpaceDE w:val="0"/>
        <w:autoSpaceDN w:val="0"/>
        <w:adjustRightInd w:val="0"/>
        <w:spacing w:after="0" w:line="240" w:lineRule="auto"/>
        <w:rPr>
          <w:rFonts w:asciiTheme="majorBidi" w:hAnsiTheme="majorBidi" w:cstheme="majorBidi"/>
          <w:sz w:val="24"/>
          <w:szCs w:val="24"/>
        </w:rPr>
      </w:pPr>
    </w:p>
    <w:p w14:paraId="3B925EEE" w14:textId="77777777" w:rsidR="003A48AB" w:rsidRDefault="003A48AB" w:rsidP="00D535FE">
      <w:pPr>
        <w:autoSpaceDE w:val="0"/>
        <w:autoSpaceDN w:val="0"/>
        <w:adjustRightInd w:val="0"/>
        <w:spacing w:after="0" w:line="240" w:lineRule="auto"/>
        <w:rPr>
          <w:rFonts w:asciiTheme="majorBidi" w:hAnsiTheme="majorBidi" w:cstheme="majorBidi"/>
          <w:sz w:val="24"/>
          <w:szCs w:val="24"/>
        </w:rPr>
      </w:pPr>
    </w:p>
    <w:p w14:paraId="7950952B" w14:textId="77777777" w:rsidR="003A48AB" w:rsidRDefault="003A48AB" w:rsidP="00D535FE">
      <w:pPr>
        <w:autoSpaceDE w:val="0"/>
        <w:autoSpaceDN w:val="0"/>
        <w:adjustRightInd w:val="0"/>
        <w:spacing w:after="0" w:line="240" w:lineRule="auto"/>
        <w:rPr>
          <w:rFonts w:asciiTheme="majorBidi" w:hAnsiTheme="majorBidi" w:cstheme="majorBidi"/>
          <w:sz w:val="24"/>
          <w:szCs w:val="24"/>
        </w:rPr>
      </w:pPr>
    </w:p>
    <w:p w14:paraId="2377821E" w14:textId="77777777" w:rsidR="00D535FE" w:rsidRDefault="00D87252" w:rsidP="00D535FE">
      <w:pPr>
        <w:autoSpaceDE w:val="0"/>
        <w:autoSpaceDN w:val="0"/>
        <w:adjustRightInd w:val="0"/>
        <w:spacing w:after="0" w:line="240" w:lineRule="auto"/>
        <w:rPr>
          <w:rFonts w:asciiTheme="majorBidi" w:hAnsiTheme="majorBidi" w:cstheme="majorBidi"/>
          <w:sz w:val="24"/>
          <w:szCs w:val="24"/>
        </w:rPr>
      </w:pPr>
      <w:r>
        <w:rPr>
          <w:rFonts w:asciiTheme="majorBidi" w:hAnsiTheme="majorBidi" w:cstheme="majorBidi"/>
          <w:noProof/>
          <w:sz w:val="24"/>
          <w:szCs w:val="24"/>
          <w:lang w:eastAsia="ja-JP"/>
        </w:rPr>
        <w:drawing>
          <wp:anchor distT="0" distB="0" distL="114300" distR="114300" simplePos="0" relativeHeight="251658240" behindDoc="0" locked="0" layoutInCell="1" allowOverlap="1" wp14:anchorId="6ABE1128" wp14:editId="18A51FAC">
            <wp:simplePos x="0" y="0"/>
            <wp:positionH relativeFrom="column">
              <wp:posOffset>1310652</wp:posOffset>
            </wp:positionH>
            <wp:positionV relativeFrom="paragraph">
              <wp:posOffset>-310515</wp:posOffset>
            </wp:positionV>
            <wp:extent cx="3036570" cy="1104265"/>
            <wp:effectExtent l="0" t="0" r="0" b="0"/>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3AC7772A" w14:textId="77777777" w:rsidR="00D535FE" w:rsidRDefault="00D535FE" w:rsidP="00D535FE">
      <w:pPr>
        <w:autoSpaceDE w:val="0"/>
        <w:autoSpaceDN w:val="0"/>
        <w:adjustRightInd w:val="0"/>
        <w:spacing w:after="0" w:line="240" w:lineRule="auto"/>
        <w:rPr>
          <w:rFonts w:asciiTheme="majorBidi" w:hAnsiTheme="majorBidi" w:cstheme="majorBidi"/>
          <w:sz w:val="24"/>
          <w:szCs w:val="24"/>
        </w:rPr>
      </w:pPr>
    </w:p>
    <w:p w14:paraId="11335DED" w14:textId="77777777" w:rsidR="00D535FE" w:rsidRDefault="00D535FE" w:rsidP="00D535FE">
      <w:pPr>
        <w:autoSpaceDE w:val="0"/>
        <w:autoSpaceDN w:val="0"/>
        <w:adjustRightInd w:val="0"/>
        <w:spacing w:after="0" w:line="240" w:lineRule="auto"/>
        <w:rPr>
          <w:rFonts w:asciiTheme="majorBidi" w:hAnsiTheme="majorBidi" w:cstheme="majorBidi"/>
          <w:sz w:val="24"/>
          <w:szCs w:val="24"/>
        </w:rPr>
      </w:pPr>
    </w:p>
    <w:p w14:paraId="7AA71480" w14:textId="77777777" w:rsidR="00D535FE" w:rsidRDefault="00D535FE" w:rsidP="00D535FE">
      <w:pPr>
        <w:autoSpaceDE w:val="0"/>
        <w:autoSpaceDN w:val="0"/>
        <w:adjustRightInd w:val="0"/>
        <w:spacing w:after="0" w:line="240" w:lineRule="auto"/>
        <w:rPr>
          <w:rFonts w:asciiTheme="majorBidi" w:hAnsiTheme="majorBidi" w:cstheme="majorBidi"/>
          <w:sz w:val="24"/>
          <w:szCs w:val="24"/>
        </w:rPr>
      </w:pPr>
    </w:p>
    <w:p w14:paraId="76CA76AC" w14:textId="77777777" w:rsidR="00D81745" w:rsidRDefault="00D81745" w:rsidP="00D535FE">
      <w:pPr>
        <w:autoSpaceDE w:val="0"/>
        <w:autoSpaceDN w:val="0"/>
        <w:adjustRightInd w:val="0"/>
        <w:spacing w:after="0" w:line="240" w:lineRule="auto"/>
        <w:jc w:val="center"/>
        <w:rPr>
          <w:rFonts w:asciiTheme="majorBidi" w:hAnsiTheme="majorBidi" w:cstheme="majorBidi"/>
          <w:sz w:val="24"/>
          <w:szCs w:val="24"/>
        </w:rPr>
      </w:pPr>
    </w:p>
    <w:p w14:paraId="50378E35" w14:textId="77777777" w:rsidR="00C66A65" w:rsidRDefault="00C66A65" w:rsidP="00D535FE">
      <w:pPr>
        <w:autoSpaceDE w:val="0"/>
        <w:autoSpaceDN w:val="0"/>
        <w:adjustRightInd w:val="0"/>
        <w:spacing w:after="0" w:line="240" w:lineRule="auto"/>
        <w:jc w:val="center"/>
        <w:rPr>
          <w:rFonts w:asciiTheme="majorBidi" w:hAnsiTheme="majorBidi" w:cstheme="majorBidi"/>
          <w:sz w:val="24"/>
          <w:szCs w:val="24"/>
        </w:rPr>
      </w:pPr>
    </w:p>
    <w:p w14:paraId="7E576C7B" w14:textId="77777777" w:rsidR="00C66A65" w:rsidRDefault="00C66A65" w:rsidP="00D535FE">
      <w:pPr>
        <w:autoSpaceDE w:val="0"/>
        <w:autoSpaceDN w:val="0"/>
        <w:adjustRightInd w:val="0"/>
        <w:spacing w:after="0" w:line="240" w:lineRule="auto"/>
        <w:jc w:val="center"/>
        <w:rPr>
          <w:rFonts w:asciiTheme="majorBidi" w:hAnsiTheme="majorBidi" w:cstheme="majorBidi"/>
          <w:sz w:val="24"/>
          <w:szCs w:val="24"/>
        </w:rPr>
      </w:pPr>
    </w:p>
    <w:p w14:paraId="7AE993BB" w14:textId="77777777" w:rsidR="00D87252" w:rsidRDefault="00D87252" w:rsidP="00D535FE">
      <w:pPr>
        <w:autoSpaceDE w:val="0"/>
        <w:autoSpaceDN w:val="0"/>
        <w:adjustRightInd w:val="0"/>
        <w:spacing w:after="0" w:line="240" w:lineRule="auto"/>
        <w:jc w:val="center"/>
        <w:rPr>
          <w:rFonts w:asciiTheme="majorBidi" w:hAnsiTheme="majorBidi" w:cstheme="majorBidi"/>
          <w:sz w:val="24"/>
          <w:szCs w:val="24"/>
        </w:rPr>
      </w:pPr>
    </w:p>
    <w:p w14:paraId="6DD5603F" w14:textId="77777777" w:rsidR="00C66A65" w:rsidRDefault="00C66A65" w:rsidP="00D535FE">
      <w:pPr>
        <w:autoSpaceDE w:val="0"/>
        <w:autoSpaceDN w:val="0"/>
        <w:adjustRightInd w:val="0"/>
        <w:spacing w:after="0" w:line="240" w:lineRule="auto"/>
        <w:jc w:val="center"/>
        <w:rPr>
          <w:rFonts w:asciiTheme="majorBidi" w:hAnsiTheme="majorBidi" w:cstheme="majorBidi"/>
          <w:sz w:val="24"/>
          <w:szCs w:val="24"/>
        </w:rPr>
      </w:pPr>
    </w:p>
    <w:p w14:paraId="2DDA3FB5" w14:textId="77777777" w:rsidR="00D81745" w:rsidRDefault="00D81745" w:rsidP="007B21B3">
      <w:pPr>
        <w:autoSpaceDE w:val="0"/>
        <w:autoSpaceDN w:val="0"/>
        <w:adjustRightInd w:val="0"/>
        <w:spacing w:after="0" w:line="240" w:lineRule="auto"/>
        <w:rPr>
          <w:rFonts w:asciiTheme="majorBidi" w:hAnsiTheme="majorBidi" w:cstheme="majorBidi"/>
          <w:sz w:val="24"/>
          <w:szCs w:val="24"/>
        </w:rPr>
      </w:pPr>
    </w:p>
    <w:p w14:paraId="28CACF1C" w14:textId="77777777" w:rsidR="007B21B3" w:rsidRDefault="00DA5216" w:rsidP="007B21B3">
      <w:pPr>
        <w:autoSpaceDE w:val="0"/>
        <w:autoSpaceDN w:val="0"/>
        <w:adjustRightInd w:val="0"/>
        <w:spacing w:after="0" w:line="240" w:lineRule="auto"/>
        <w:jc w:val="center"/>
        <w:rPr>
          <w:rFonts w:ascii="Arial" w:hAnsi="Arial" w:cs="Arial"/>
          <w:b/>
          <w:bCs/>
          <w:color w:val="222222"/>
          <w:sz w:val="28"/>
          <w:szCs w:val="28"/>
          <w:shd w:val="clear" w:color="auto" w:fill="FFFFFF"/>
        </w:rPr>
      </w:pPr>
      <w:r w:rsidRPr="007B21B3">
        <w:rPr>
          <w:rFonts w:ascii="Arial" w:hAnsi="Arial" w:cs="Arial"/>
          <w:b/>
          <w:bCs/>
          <w:color w:val="222222"/>
          <w:sz w:val="28"/>
          <w:szCs w:val="28"/>
          <w:shd w:val="clear" w:color="auto" w:fill="FFFFFF"/>
        </w:rPr>
        <w:t xml:space="preserve">Towards the identification and characterisation of </w:t>
      </w:r>
      <w:r w:rsidR="007B21B3">
        <w:rPr>
          <w:rFonts w:ascii="Arial" w:hAnsi="Arial" w:cs="Arial"/>
          <w:b/>
          <w:bCs/>
          <w:color w:val="222222"/>
          <w:sz w:val="28"/>
          <w:szCs w:val="28"/>
          <w:shd w:val="clear" w:color="auto" w:fill="FFFFFF"/>
        </w:rPr>
        <w:t xml:space="preserve">toolkit </w:t>
      </w:r>
      <w:r w:rsidRPr="007B21B3">
        <w:rPr>
          <w:rFonts w:ascii="Arial" w:hAnsi="Arial" w:cs="Arial"/>
          <w:b/>
          <w:bCs/>
          <w:color w:val="222222"/>
          <w:sz w:val="28"/>
          <w:szCs w:val="28"/>
          <w:shd w:val="clear" w:color="auto" w:fill="FFFFFF"/>
        </w:rPr>
        <w:t>genes responsible for stomatal development and CO</w:t>
      </w:r>
      <w:r w:rsidRPr="007B21B3">
        <w:rPr>
          <w:rFonts w:ascii="Arial" w:hAnsi="Arial" w:cs="Arial"/>
          <w:b/>
          <w:bCs/>
          <w:color w:val="222222"/>
          <w:sz w:val="28"/>
          <w:szCs w:val="28"/>
          <w:shd w:val="clear" w:color="auto" w:fill="FFFFFF"/>
          <w:vertAlign w:val="subscript"/>
        </w:rPr>
        <w:t>2</w:t>
      </w:r>
      <w:r w:rsidR="007B21B3">
        <w:rPr>
          <w:rFonts w:ascii="Arial" w:hAnsi="Arial" w:cs="Arial"/>
          <w:b/>
          <w:bCs/>
          <w:color w:val="222222"/>
          <w:sz w:val="28"/>
          <w:szCs w:val="28"/>
          <w:shd w:val="clear" w:color="auto" w:fill="FFFFFF"/>
        </w:rPr>
        <w:t xml:space="preserve"> </w:t>
      </w:r>
      <w:r w:rsidRPr="007B21B3">
        <w:rPr>
          <w:rFonts w:ascii="Arial" w:hAnsi="Arial" w:cs="Arial"/>
          <w:b/>
          <w:bCs/>
          <w:color w:val="222222"/>
          <w:sz w:val="28"/>
          <w:szCs w:val="28"/>
          <w:shd w:val="clear" w:color="auto" w:fill="FFFFFF"/>
        </w:rPr>
        <w:t xml:space="preserve">response in the non-vascular land plant </w:t>
      </w:r>
    </w:p>
    <w:p w14:paraId="07781C2C" w14:textId="77777777" w:rsidR="00177AB6" w:rsidRPr="007B21B3" w:rsidRDefault="00DA5216" w:rsidP="007B21B3">
      <w:pPr>
        <w:autoSpaceDE w:val="0"/>
        <w:autoSpaceDN w:val="0"/>
        <w:adjustRightInd w:val="0"/>
        <w:spacing w:after="0" w:line="240" w:lineRule="auto"/>
        <w:jc w:val="center"/>
        <w:rPr>
          <w:rFonts w:ascii="Arial" w:hAnsi="Arial" w:cs="Arial"/>
          <w:b/>
          <w:bCs/>
          <w:color w:val="222222"/>
          <w:sz w:val="28"/>
          <w:szCs w:val="28"/>
          <w:shd w:val="clear" w:color="auto" w:fill="FFFFFF"/>
        </w:rPr>
      </w:pPr>
      <w:r w:rsidRPr="007B21B3">
        <w:rPr>
          <w:rFonts w:ascii="Arial" w:hAnsi="Arial" w:cs="Arial"/>
          <w:b/>
          <w:bCs/>
          <w:i/>
          <w:color w:val="222222"/>
          <w:sz w:val="28"/>
          <w:szCs w:val="28"/>
          <w:shd w:val="clear" w:color="auto" w:fill="FFFFFF"/>
        </w:rPr>
        <w:t>Physcomitrella patens</w:t>
      </w:r>
      <w:r w:rsidRPr="007B21B3">
        <w:rPr>
          <w:rFonts w:ascii="Arial" w:hAnsi="Arial" w:cs="Arial"/>
          <w:b/>
          <w:bCs/>
          <w:color w:val="222222"/>
          <w:sz w:val="28"/>
          <w:szCs w:val="28"/>
          <w:shd w:val="clear" w:color="auto" w:fill="FFFFFF"/>
        </w:rPr>
        <w:t xml:space="preserve"> </w:t>
      </w:r>
      <w:r w:rsidR="001D3BF3" w:rsidRPr="007B21B3">
        <w:rPr>
          <w:rFonts w:ascii="Arial" w:hAnsi="Arial" w:cs="Arial"/>
          <w:b/>
          <w:bCs/>
          <w:color w:val="222222"/>
          <w:sz w:val="28"/>
          <w:szCs w:val="28"/>
        </w:rPr>
        <w:br/>
      </w:r>
      <w:r w:rsidR="001D3BF3" w:rsidRPr="007B21B3">
        <w:rPr>
          <w:rFonts w:ascii="Arial" w:hAnsi="Arial" w:cs="Arial"/>
          <w:b/>
          <w:bCs/>
          <w:color w:val="222222"/>
          <w:sz w:val="28"/>
          <w:szCs w:val="28"/>
        </w:rPr>
        <w:br/>
      </w:r>
    </w:p>
    <w:p w14:paraId="25DD83E6" w14:textId="77777777" w:rsidR="00D81745" w:rsidRPr="007B21B3" w:rsidRDefault="00D81745" w:rsidP="00D85950">
      <w:pPr>
        <w:autoSpaceDE w:val="0"/>
        <w:autoSpaceDN w:val="0"/>
        <w:adjustRightInd w:val="0"/>
        <w:spacing w:after="0" w:line="240" w:lineRule="auto"/>
        <w:rPr>
          <w:rFonts w:ascii="Arial" w:hAnsi="Arial" w:cs="Arial"/>
          <w:sz w:val="24"/>
          <w:szCs w:val="24"/>
        </w:rPr>
      </w:pPr>
    </w:p>
    <w:p w14:paraId="3E19E612" w14:textId="77777777" w:rsidR="00D81745" w:rsidRPr="007B21B3" w:rsidRDefault="00D81745" w:rsidP="00D535FE">
      <w:pPr>
        <w:autoSpaceDE w:val="0"/>
        <w:autoSpaceDN w:val="0"/>
        <w:adjustRightInd w:val="0"/>
        <w:spacing w:after="0" w:line="240" w:lineRule="auto"/>
        <w:jc w:val="center"/>
        <w:rPr>
          <w:rFonts w:ascii="Arial" w:hAnsi="Arial" w:cs="Arial"/>
          <w:sz w:val="24"/>
          <w:szCs w:val="24"/>
        </w:rPr>
      </w:pPr>
    </w:p>
    <w:p w14:paraId="029C2060" w14:textId="77777777" w:rsidR="001D36B7" w:rsidRPr="007B21B3" w:rsidRDefault="001D36B7" w:rsidP="00D535FE">
      <w:pPr>
        <w:autoSpaceDE w:val="0"/>
        <w:autoSpaceDN w:val="0"/>
        <w:adjustRightInd w:val="0"/>
        <w:spacing w:after="0" w:line="240" w:lineRule="auto"/>
        <w:jc w:val="center"/>
        <w:rPr>
          <w:rFonts w:ascii="Arial" w:hAnsi="Arial" w:cs="Arial"/>
          <w:sz w:val="24"/>
          <w:szCs w:val="24"/>
        </w:rPr>
      </w:pPr>
    </w:p>
    <w:p w14:paraId="3A92C291" w14:textId="77777777" w:rsidR="00D535FE" w:rsidRPr="007B21B3" w:rsidRDefault="00D535FE" w:rsidP="00D535FE">
      <w:pPr>
        <w:autoSpaceDE w:val="0"/>
        <w:autoSpaceDN w:val="0"/>
        <w:adjustRightInd w:val="0"/>
        <w:spacing w:after="0" w:line="240" w:lineRule="auto"/>
        <w:jc w:val="center"/>
        <w:rPr>
          <w:rFonts w:ascii="Arial" w:hAnsi="Arial" w:cs="Arial"/>
          <w:b/>
          <w:bCs/>
          <w:sz w:val="24"/>
          <w:szCs w:val="24"/>
        </w:rPr>
      </w:pPr>
      <w:r w:rsidRPr="007B21B3">
        <w:rPr>
          <w:rFonts w:ascii="Arial" w:hAnsi="Arial" w:cs="Arial"/>
          <w:b/>
          <w:bCs/>
          <w:sz w:val="24"/>
          <w:szCs w:val="24"/>
        </w:rPr>
        <w:t>By:</w:t>
      </w:r>
    </w:p>
    <w:p w14:paraId="2B3EF74A" w14:textId="77777777" w:rsidR="00FB352E" w:rsidRPr="007B21B3" w:rsidRDefault="00FB352E" w:rsidP="00D535FE">
      <w:pPr>
        <w:autoSpaceDE w:val="0"/>
        <w:autoSpaceDN w:val="0"/>
        <w:adjustRightInd w:val="0"/>
        <w:spacing w:after="0" w:line="240" w:lineRule="auto"/>
        <w:jc w:val="center"/>
        <w:rPr>
          <w:rFonts w:ascii="Arial" w:hAnsi="Arial" w:cs="Arial"/>
          <w:sz w:val="24"/>
          <w:szCs w:val="24"/>
        </w:rPr>
      </w:pPr>
    </w:p>
    <w:p w14:paraId="29A1AEB8" w14:textId="77777777" w:rsidR="00D535FE" w:rsidRPr="007B21B3" w:rsidRDefault="00DA5216" w:rsidP="00D535FE">
      <w:pPr>
        <w:autoSpaceDE w:val="0"/>
        <w:autoSpaceDN w:val="0"/>
        <w:adjustRightInd w:val="0"/>
        <w:spacing w:after="0" w:line="240" w:lineRule="auto"/>
        <w:jc w:val="center"/>
        <w:rPr>
          <w:rFonts w:ascii="Arial" w:hAnsi="Arial" w:cs="Arial"/>
          <w:sz w:val="28"/>
          <w:szCs w:val="28"/>
        </w:rPr>
      </w:pPr>
      <w:r w:rsidRPr="007B21B3">
        <w:rPr>
          <w:rFonts w:ascii="Arial" w:hAnsi="Arial" w:cs="Arial"/>
          <w:sz w:val="28"/>
          <w:szCs w:val="28"/>
        </w:rPr>
        <w:t>Robert S</w:t>
      </w:r>
      <w:r w:rsidR="004913FC" w:rsidRPr="007B21B3">
        <w:rPr>
          <w:rFonts w:ascii="Arial" w:hAnsi="Arial" w:cs="Arial"/>
          <w:sz w:val="28"/>
          <w:szCs w:val="28"/>
        </w:rPr>
        <w:t>pencer</w:t>
      </w:r>
      <w:r w:rsidRPr="007B21B3">
        <w:rPr>
          <w:rFonts w:ascii="Arial" w:hAnsi="Arial" w:cs="Arial"/>
          <w:sz w:val="28"/>
          <w:szCs w:val="28"/>
        </w:rPr>
        <w:t xml:space="preserve"> Caine</w:t>
      </w:r>
    </w:p>
    <w:p w14:paraId="3AB8A4B5" w14:textId="77777777" w:rsidR="00D535FE" w:rsidRPr="007B21B3" w:rsidRDefault="00D535FE" w:rsidP="00D535FE">
      <w:pPr>
        <w:autoSpaceDE w:val="0"/>
        <w:autoSpaceDN w:val="0"/>
        <w:adjustRightInd w:val="0"/>
        <w:spacing w:after="0" w:line="240" w:lineRule="auto"/>
        <w:rPr>
          <w:rFonts w:ascii="Arial" w:hAnsi="Arial" w:cs="Arial"/>
          <w:sz w:val="28"/>
          <w:szCs w:val="28"/>
        </w:rPr>
      </w:pPr>
    </w:p>
    <w:p w14:paraId="589381C1" w14:textId="77777777" w:rsidR="00DD4E40" w:rsidRPr="007B21B3" w:rsidRDefault="00DD4E40" w:rsidP="00D535FE">
      <w:pPr>
        <w:autoSpaceDE w:val="0"/>
        <w:autoSpaceDN w:val="0"/>
        <w:adjustRightInd w:val="0"/>
        <w:spacing w:after="0" w:line="240" w:lineRule="auto"/>
        <w:rPr>
          <w:rFonts w:ascii="Arial" w:hAnsi="Arial" w:cs="Arial"/>
          <w:sz w:val="24"/>
          <w:szCs w:val="24"/>
        </w:rPr>
      </w:pPr>
    </w:p>
    <w:p w14:paraId="2DE5A653" w14:textId="77777777" w:rsidR="00C40509" w:rsidRPr="007B21B3" w:rsidRDefault="00C40509" w:rsidP="00D535FE">
      <w:pPr>
        <w:autoSpaceDE w:val="0"/>
        <w:autoSpaceDN w:val="0"/>
        <w:adjustRightInd w:val="0"/>
        <w:spacing w:after="0" w:line="240" w:lineRule="auto"/>
        <w:rPr>
          <w:rFonts w:ascii="Arial" w:hAnsi="Arial" w:cs="Arial"/>
          <w:sz w:val="24"/>
          <w:szCs w:val="24"/>
        </w:rPr>
      </w:pPr>
    </w:p>
    <w:p w14:paraId="5E2A967E" w14:textId="77777777" w:rsidR="00DD4E40" w:rsidRPr="007B21B3" w:rsidRDefault="00DD4E40" w:rsidP="00D535FE">
      <w:pPr>
        <w:autoSpaceDE w:val="0"/>
        <w:autoSpaceDN w:val="0"/>
        <w:adjustRightInd w:val="0"/>
        <w:spacing w:after="0" w:line="240" w:lineRule="auto"/>
        <w:rPr>
          <w:rFonts w:ascii="Arial" w:hAnsi="Arial" w:cs="Arial"/>
          <w:sz w:val="24"/>
          <w:szCs w:val="24"/>
        </w:rPr>
      </w:pPr>
    </w:p>
    <w:p w14:paraId="22DC3F89" w14:textId="77777777" w:rsidR="00D535FE" w:rsidRPr="007B21B3" w:rsidRDefault="00D535FE" w:rsidP="001E7C75">
      <w:pPr>
        <w:autoSpaceDE w:val="0"/>
        <w:autoSpaceDN w:val="0"/>
        <w:adjustRightInd w:val="0"/>
        <w:spacing w:after="0" w:line="240" w:lineRule="auto"/>
        <w:jc w:val="center"/>
        <w:rPr>
          <w:rFonts w:ascii="Arial" w:hAnsi="Arial" w:cs="Arial"/>
          <w:sz w:val="24"/>
          <w:szCs w:val="24"/>
        </w:rPr>
      </w:pPr>
      <w:r w:rsidRPr="007B21B3">
        <w:rPr>
          <w:rFonts w:ascii="Arial" w:hAnsi="Arial" w:cs="Arial"/>
          <w:sz w:val="24"/>
          <w:szCs w:val="24"/>
        </w:rPr>
        <w:t xml:space="preserve">A thesis submitted in </w:t>
      </w:r>
      <w:r w:rsidR="00C40509" w:rsidRPr="007B21B3">
        <w:rPr>
          <w:rFonts w:ascii="Arial" w:hAnsi="Arial" w:cs="Arial"/>
          <w:sz w:val="24"/>
          <w:szCs w:val="24"/>
        </w:rPr>
        <w:t>partial</w:t>
      </w:r>
      <w:r w:rsidRPr="007B21B3">
        <w:rPr>
          <w:rFonts w:ascii="Arial" w:hAnsi="Arial" w:cs="Arial"/>
          <w:sz w:val="24"/>
          <w:szCs w:val="24"/>
        </w:rPr>
        <w:t xml:space="preserve"> fulfilment of the requirements </w:t>
      </w:r>
      <w:r w:rsidR="001E7C75" w:rsidRPr="007B21B3">
        <w:rPr>
          <w:rFonts w:ascii="Arial" w:hAnsi="Arial" w:cs="Arial"/>
          <w:sz w:val="24"/>
          <w:szCs w:val="24"/>
        </w:rPr>
        <w:t>for</w:t>
      </w:r>
      <w:r w:rsidRPr="007B21B3">
        <w:rPr>
          <w:rFonts w:ascii="Arial" w:hAnsi="Arial" w:cs="Arial"/>
          <w:sz w:val="24"/>
          <w:szCs w:val="24"/>
        </w:rPr>
        <w:t xml:space="preserve"> the degree of</w:t>
      </w:r>
    </w:p>
    <w:p w14:paraId="767E237D" w14:textId="77777777" w:rsidR="001032C0" w:rsidRPr="007B21B3" w:rsidRDefault="00D535FE" w:rsidP="00D87252">
      <w:pPr>
        <w:jc w:val="center"/>
        <w:rPr>
          <w:rFonts w:ascii="Arial" w:hAnsi="Arial" w:cs="Arial"/>
          <w:sz w:val="24"/>
          <w:szCs w:val="24"/>
        </w:rPr>
      </w:pPr>
      <w:r w:rsidRPr="007B21B3">
        <w:rPr>
          <w:rFonts w:ascii="Arial" w:hAnsi="Arial" w:cs="Arial"/>
          <w:sz w:val="24"/>
          <w:szCs w:val="24"/>
        </w:rPr>
        <w:t>Doctor of Philosophy</w:t>
      </w:r>
      <w:r w:rsidR="006F71DD" w:rsidRPr="007B21B3">
        <w:rPr>
          <w:rFonts w:ascii="Arial" w:hAnsi="Arial" w:cs="Arial"/>
          <w:sz w:val="24"/>
          <w:szCs w:val="24"/>
        </w:rPr>
        <w:t xml:space="preserve"> </w:t>
      </w:r>
    </w:p>
    <w:p w14:paraId="60245F81" w14:textId="77777777" w:rsidR="00DD4E40" w:rsidRPr="007B21B3" w:rsidRDefault="00DD4E40" w:rsidP="00D535FE">
      <w:pPr>
        <w:jc w:val="center"/>
        <w:rPr>
          <w:rFonts w:ascii="Arial" w:hAnsi="Arial" w:cs="Arial"/>
          <w:sz w:val="24"/>
          <w:szCs w:val="24"/>
        </w:rPr>
      </w:pPr>
    </w:p>
    <w:p w14:paraId="6E70C3AF" w14:textId="77777777" w:rsidR="00B55FD0" w:rsidRPr="007B21B3" w:rsidRDefault="00B55FD0" w:rsidP="00D535FE">
      <w:pPr>
        <w:jc w:val="center"/>
        <w:rPr>
          <w:rFonts w:ascii="Arial" w:hAnsi="Arial" w:cs="Arial"/>
          <w:sz w:val="24"/>
          <w:szCs w:val="24"/>
        </w:rPr>
      </w:pPr>
    </w:p>
    <w:p w14:paraId="770FF905" w14:textId="77777777" w:rsidR="00B55FD0" w:rsidRPr="007B21B3" w:rsidRDefault="00B55FD0" w:rsidP="00D535FE">
      <w:pPr>
        <w:jc w:val="center"/>
        <w:rPr>
          <w:rFonts w:ascii="Arial" w:hAnsi="Arial" w:cs="Arial"/>
          <w:sz w:val="24"/>
          <w:szCs w:val="24"/>
        </w:rPr>
      </w:pPr>
    </w:p>
    <w:p w14:paraId="3AD13D1D" w14:textId="77777777" w:rsidR="00DD4E40" w:rsidRPr="007B21B3" w:rsidRDefault="00DD4E40" w:rsidP="00DD4E40">
      <w:pPr>
        <w:spacing w:after="0" w:line="240" w:lineRule="auto"/>
        <w:jc w:val="center"/>
        <w:rPr>
          <w:rFonts w:ascii="Arial" w:hAnsi="Arial" w:cs="Arial"/>
          <w:sz w:val="24"/>
          <w:szCs w:val="24"/>
        </w:rPr>
      </w:pPr>
      <w:r w:rsidRPr="007B21B3">
        <w:rPr>
          <w:rFonts w:ascii="Arial" w:hAnsi="Arial" w:cs="Arial"/>
          <w:sz w:val="24"/>
          <w:szCs w:val="24"/>
        </w:rPr>
        <w:t>The University of Sheffield</w:t>
      </w:r>
    </w:p>
    <w:p w14:paraId="0822449A" w14:textId="77777777" w:rsidR="00D535FE" w:rsidRPr="007B21B3" w:rsidRDefault="00D535FE" w:rsidP="001F36AE">
      <w:pPr>
        <w:autoSpaceDE w:val="0"/>
        <w:autoSpaceDN w:val="0"/>
        <w:adjustRightInd w:val="0"/>
        <w:spacing w:after="0" w:line="240" w:lineRule="auto"/>
        <w:jc w:val="center"/>
        <w:rPr>
          <w:rFonts w:ascii="Arial" w:hAnsi="Arial" w:cs="Arial"/>
          <w:sz w:val="24"/>
          <w:szCs w:val="24"/>
        </w:rPr>
      </w:pPr>
      <w:r w:rsidRPr="007B21B3">
        <w:rPr>
          <w:rFonts w:ascii="Arial" w:hAnsi="Arial" w:cs="Arial"/>
          <w:sz w:val="24"/>
          <w:szCs w:val="24"/>
        </w:rPr>
        <w:t xml:space="preserve">Faculty of </w:t>
      </w:r>
      <w:r w:rsidR="00DA5216" w:rsidRPr="007B21B3">
        <w:rPr>
          <w:rFonts w:ascii="Arial" w:hAnsi="Arial" w:cs="Arial"/>
          <w:sz w:val="24"/>
          <w:szCs w:val="24"/>
        </w:rPr>
        <w:t>Science</w:t>
      </w:r>
    </w:p>
    <w:p w14:paraId="25AE6ADD" w14:textId="77777777" w:rsidR="00D535FE" w:rsidRPr="007B21B3" w:rsidRDefault="00DA5216" w:rsidP="001F36AE">
      <w:pPr>
        <w:jc w:val="center"/>
        <w:rPr>
          <w:rFonts w:ascii="Arial" w:hAnsi="Arial" w:cs="Arial"/>
          <w:sz w:val="24"/>
          <w:szCs w:val="24"/>
        </w:rPr>
      </w:pPr>
      <w:r w:rsidRPr="007B21B3">
        <w:rPr>
          <w:rFonts w:ascii="Arial" w:hAnsi="Arial" w:cs="Arial"/>
          <w:sz w:val="24"/>
          <w:szCs w:val="24"/>
        </w:rPr>
        <w:t>Department of Animal and Plant Science</w:t>
      </w:r>
    </w:p>
    <w:p w14:paraId="2F466C7D" w14:textId="77777777" w:rsidR="00D535FE" w:rsidRPr="007B21B3" w:rsidRDefault="00D535FE" w:rsidP="00D535FE">
      <w:pPr>
        <w:jc w:val="center"/>
        <w:rPr>
          <w:rFonts w:ascii="Arial" w:hAnsi="Arial" w:cs="Arial"/>
          <w:sz w:val="24"/>
          <w:szCs w:val="24"/>
        </w:rPr>
      </w:pPr>
    </w:p>
    <w:p w14:paraId="3BBCC6D6" w14:textId="77777777" w:rsidR="00C66A65" w:rsidRPr="007B21B3" w:rsidRDefault="005C08BF" w:rsidP="007B21B3">
      <w:pPr>
        <w:jc w:val="center"/>
        <w:rPr>
          <w:rFonts w:ascii="Arial" w:hAnsi="Arial" w:cs="Arial"/>
          <w:sz w:val="24"/>
          <w:szCs w:val="24"/>
        </w:rPr>
      </w:pPr>
      <w:r w:rsidRPr="007B21B3">
        <w:rPr>
          <w:rFonts w:ascii="Arial" w:hAnsi="Arial" w:cs="Arial"/>
          <w:sz w:val="24"/>
          <w:szCs w:val="24"/>
        </w:rPr>
        <w:t xml:space="preserve"> </w:t>
      </w:r>
    </w:p>
    <w:p w14:paraId="5424C7E6" w14:textId="7849982D" w:rsidR="003A48AB" w:rsidRPr="007B21B3" w:rsidRDefault="001F36AE" w:rsidP="009925A8">
      <w:pPr>
        <w:jc w:val="center"/>
        <w:rPr>
          <w:rFonts w:ascii="Arial" w:hAnsi="Arial" w:cs="Arial"/>
          <w:sz w:val="24"/>
          <w:szCs w:val="24"/>
        </w:rPr>
      </w:pPr>
      <w:r w:rsidRPr="007B21B3">
        <w:rPr>
          <w:rFonts w:ascii="Arial" w:hAnsi="Arial" w:cs="Arial"/>
          <w:sz w:val="24"/>
          <w:szCs w:val="24"/>
        </w:rPr>
        <w:t>Submission</w:t>
      </w:r>
      <w:r w:rsidR="00DE2DFA" w:rsidRPr="007B21B3">
        <w:rPr>
          <w:rFonts w:ascii="Arial" w:hAnsi="Arial" w:cs="Arial"/>
          <w:sz w:val="24"/>
          <w:szCs w:val="24"/>
        </w:rPr>
        <w:t xml:space="preserve"> Date</w:t>
      </w:r>
      <w:r w:rsidR="003104C5">
        <w:rPr>
          <w:rFonts w:ascii="Arial" w:hAnsi="Arial" w:cs="Arial"/>
          <w:sz w:val="24"/>
          <w:szCs w:val="24"/>
        </w:rPr>
        <w:t xml:space="preserve"> 06/02/2017</w:t>
      </w:r>
    </w:p>
    <w:p w14:paraId="22159953" w14:textId="77777777" w:rsidR="00EB5127" w:rsidRDefault="00EB5127" w:rsidP="003A48AB">
      <w:pPr>
        <w:tabs>
          <w:tab w:val="left" w:pos="6663"/>
        </w:tabs>
        <w:spacing w:after="0" w:line="240" w:lineRule="auto"/>
        <w:rPr>
          <w:rFonts w:ascii="Arial" w:eastAsia="Times New Roman" w:hAnsi="Arial" w:cs="Arial"/>
          <w:b/>
          <w:color w:val="000000"/>
          <w:lang w:eastAsia="ja-JP"/>
        </w:rPr>
      </w:pPr>
    </w:p>
    <w:p w14:paraId="31A7C5AB" w14:textId="77777777" w:rsidR="007B21B3" w:rsidRDefault="007B21B3" w:rsidP="003A48AB">
      <w:pPr>
        <w:tabs>
          <w:tab w:val="left" w:pos="6663"/>
        </w:tabs>
        <w:spacing w:after="0" w:line="240" w:lineRule="auto"/>
        <w:rPr>
          <w:rFonts w:ascii="Arial" w:eastAsia="Times New Roman" w:hAnsi="Arial" w:cs="Arial"/>
          <w:b/>
          <w:color w:val="000000"/>
          <w:lang w:eastAsia="ja-JP"/>
        </w:rPr>
      </w:pPr>
    </w:p>
    <w:p w14:paraId="0C56F3A9" w14:textId="77777777" w:rsidR="003A48AB" w:rsidRPr="003A48AB" w:rsidRDefault="003A48AB" w:rsidP="003A48AB">
      <w:pPr>
        <w:tabs>
          <w:tab w:val="left" w:pos="6663"/>
        </w:tabs>
        <w:spacing w:after="0" w:line="240" w:lineRule="auto"/>
        <w:rPr>
          <w:rFonts w:ascii="Arial" w:eastAsia="Times New Roman" w:hAnsi="Arial" w:cs="Arial"/>
          <w:b/>
          <w:color w:val="000000"/>
          <w:lang w:eastAsia="ja-JP"/>
        </w:rPr>
      </w:pPr>
      <w:r w:rsidRPr="003A48AB">
        <w:rPr>
          <w:rFonts w:ascii="Arial" w:eastAsia="Times New Roman" w:hAnsi="Arial" w:cs="Arial"/>
          <w:b/>
          <w:color w:val="000000"/>
          <w:lang w:eastAsia="ja-JP"/>
        </w:rPr>
        <w:lastRenderedPageBreak/>
        <w:t>Contents</w:t>
      </w:r>
    </w:p>
    <w:p w14:paraId="7ECE5942" w14:textId="77777777" w:rsidR="00EB5127" w:rsidRDefault="00EB5127" w:rsidP="003A48AB">
      <w:pPr>
        <w:tabs>
          <w:tab w:val="left" w:pos="6663"/>
        </w:tabs>
        <w:spacing w:after="0" w:line="240" w:lineRule="auto"/>
        <w:rPr>
          <w:rFonts w:ascii="Arial" w:eastAsia="Times New Roman" w:hAnsi="Arial" w:cs="Arial"/>
          <w:color w:val="000000"/>
          <w:lang w:eastAsia="ja-JP"/>
        </w:rPr>
      </w:pPr>
    </w:p>
    <w:p w14:paraId="4D432207" w14:textId="77777777" w:rsidR="003A48AB" w:rsidRPr="003A48AB" w:rsidRDefault="007B21B3" w:rsidP="003A48AB">
      <w:pPr>
        <w:tabs>
          <w:tab w:val="left" w:pos="6663"/>
        </w:tabs>
        <w:spacing w:after="0" w:line="240" w:lineRule="auto"/>
        <w:rPr>
          <w:rFonts w:ascii="Arial" w:eastAsia="Times New Roman" w:hAnsi="Arial" w:cs="Arial"/>
          <w:b/>
          <w:color w:val="000000"/>
          <w:lang w:eastAsia="ja-JP"/>
        </w:rPr>
      </w:pPr>
      <w:r>
        <w:rPr>
          <w:rFonts w:ascii="Arial" w:eastAsia="Times New Roman" w:hAnsi="Arial" w:cs="Arial"/>
          <w:color w:val="000000"/>
          <w:lang w:eastAsia="ja-JP"/>
        </w:rPr>
        <w:t>Dedication</w:t>
      </w:r>
      <w:r>
        <w:rPr>
          <w:rFonts w:ascii="Arial" w:eastAsia="Times New Roman" w:hAnsi="Arial" w:cs="Arial"/>
          <w:color w:val="000000"/>
          <w:lang w:eastAsia="ja-JP"/>
        </w:rPr>
        <w:tab/>
      </w:r>
      <w:r>
        <w:rPr>
          <w:rFonts w:ascii="Arial" w:eastAsia="Times New Roman" w:hAnsi="Arial" w:cs="Arial"/>
          <w:color w:val="000000"/>
          <w:lang w:eastAsia="ja-JP"/>
        </w:rPr>
        <w:tab/>
      </w:r>
      <w:r w:rsidR="003A48AB" w:rsidRPr="003A48AB">
        <w:rPr>
          <w:rFonts w:ascii="Arial" w:eastAsia="Times New Roman" w:hAnsi="Arial" w:cs="Arial"/>
          <w:color w:val="000000"/>
          <w:lang w:eastAsia="ja-JP"/>
        </w:rPr>
        <w:t>ii</w:t>
      </w:r>
      <w:r>
        <w:rPr>
          <w:rFonts w:ascii="Arial" w:eastAsia="Times New Roman" w:hAnsi="Arial" w:cs="Arial"/>
          <w:color w:val="000000"/>
          <w:lang w:eastAsia="ja-JP"/>
        </w:rPr>
        <w:t>i</w:t>
      </w:r>
    </w:p>
    <w:p w14:paraId="237D337F" w14:textId="69004A15" w:rsidR="003A48AB" w:rsidRPr="003A48AB" w:rsidRDefault="007B21B3" w:rsidP="003A48AB">
      <w:pPr>
        <w:tabs>
          <w:tab w:val="left" w:pos="6663"/>
        </w:tabs>
        <w:spacing w:after="0" w:line="240" w:lineRule="auto"/>
        <w:rPr>
          <w:rFonts w:ascii="Arial" w:eastAsia="Times New Roman" w:hAnsi="Arial" w:cs="Arial"/>
          <w:color w:val="000000"/>
          <w:lang w:eastAsia="ja-JP"/>
        </w:rPr>
      </w:pPr>
      <w:r>
        <w:rPr>
          <w:rFonts w:ascii="Arial" w:eastAsia="Times New Roman" w:hAnsi="Arial" w:cs="Arial"/>
          <w:color w:val="000000"/>
          <w:lang w:eastAsia="ja-JP"/>
        </w:rPr>
        <w:t>Acknowledg</w:t>
      </w:r>
      <w:r w:rsidR="00FA2FE3">
        <w:rPr>
          <w:rFonts w:ascii="Arial" w:eastAsia="Times New Roman" w:hAnsi="Arial" w:cs="Arial"/>
          <w:color w:val="000000"/>
          <w:lang w:eastAsia="ja-JP"/>
        </w:rPr>
        <w:t>e</w:t>
      </w:r>
      <w:r>
        <w:rPr>
          <w:rFonts w:ascii="Arial" w:eastAsia="Times New Roman" w:hAnsi="Arial" w:cs="Arial"/>
          <w:color w:val="000000"/>
          <w:lang w:eastAsia="ja-JP"/>
        </w:rPr>
        <w:t>ments</w:t>
      </w:r>
      <w:r>
        <w:rPr>
          <w:rFonts w:ascii="Arial" w:eastAsia="Times New Roman" w:hAnsi="Arial" w:cs="Arial"/>
          <w:color w:val="000000"/>
          <w:lang w:eastAsia="ja-JP"/>
        </w:rPr>
        <w:tab/>
      </w:r>
      <w:r>
        <w:rPr>
          <w:rFonts w:ascii="Arial" w:eastAsia="Times New Roman" w:hAnsi="Arial" w:cs="Arial"/>
          <w:color w:val="000000"/>
          <w:lang w:eastAsia="ja-JP"/>
        </w:rPr>
        <w:tab/>
        <w:t>iv</w:t>
      </w:r>
    </w:p>
    <w:p w14:paraId="152D5785" w14:textId="77777777" w:rsidR="003A48AB" w:rsidRPr="003A48AB" w:rsidRDefault="007B21B3" w:rsidP="003A48AB">
      <w:pPr>
        <w:tabs>
          <w:tab w:val="left" w:pos="6663"/>
        </w:tabs>
        <w:spacing w:after="0" w:line="240" w:lineRule="auto"/>
        <w:rPr>
          <w:rFonts w:ascii="Arial" w:eastAsia="Times New Roman" w:hAnsi="Arial" w:cs="Arial"/>
          <w:color w:val="000000"/>
          <w:lang w:eastAsia="ja-JP"/>
        </w:rPr>
      </w:pPr>
      <w:r>
        <w:rPr>
          <w:rFonts w:ascii="Arial" w:eastAsia="Times New Roman" w:hAnsi="Arial" w:cs="Arial"/>
          <w:color w:val="000000"/>
          <w:lang w:eastAsia="ja-JP"/>
        </w:rPr>
        <w:t>Summary</w:t>
      </w:r>
      <w:r>
        <w:rPr>
          <w:rFonts w:ascii="Arial" w:eastAsia="Times New Roman" w:hAnsi="Arial" w:cs="Arial"/>
          <w:color w:val="000000"/>
          <w:lang w:eastAsia="ja-JP"/>
        </w:rPr>
        <w:tab/>
      </w:r>
      <w:r>
        <w:rPr>
          <w:rFonts w:ascii="Arial" w:eastAsia="Times New Roman" w:hAnsi="Arial" w:cs="Arial"/>
          <w:color w:val="000000"/>
          <w:lang w:eastAsia="ja-JP"/>
        </w:rPr>
        <w:tab/>
        <w:t>vi</w:t>
      </w:r>
    </w:p>
    <w:p w14:paraId="07834EA1" w14:textId="77777777" w:rsidR="003A48AB" w:rsidRPr="003A48AB" w:rsidRDefault="003A48AB" w:rsidP="003A48AB">
      <w:pPr>
        <w:tabs>
          <w:tab w:val="left" w:pos="6663"/>
        </w:tabs>
        <w:spacing w:after="0" w:line="240" w:lineRule="auto"/>
        <w:rPr>
          <w:rFonts w:ascii="Arial" w:eastAsia="Times New Roman" w:hAnsi="Arial" w:cs="Arial"/>
          <w:color w:val="000000"/>
          <w:lang w:eastAsia="ja-JP"/>
        </w:rPr>
      </w:pPr>
      <w:r w:rsidRPr="003A48AB">
        <w:rPr>
          <w:rFonts w:ascii="Arial" w:eastAsia="Times New Roman" w:hAnsi="Arial" w:cs="Arial"/>
          <w:color w:val="000000"/>
          <w:lang w:eastAsia="ja-JP"/>
        </w:rPr>
        <w:t>Thes</w:t>
      </w:r>
      <w:r w:rsidR="007B21B3">
        <w:rPr>
          <w:rFonts w:ascii="Arial" w:eastAsia="Times New Roman" w:hAnsi="Arial" w:cs="Arial"/>
          <w:color w:val="000000"/>
          <w:lang w:eastAsia="ja-JP"/>
        </w:rPr>
        <w:t>is chapter contents</w:t>
      </w:r>
      <w:r w:rsidR="007B21B3">
        <w:rPr>
          <w:rFonts w:ascii="Arial" w:eastAsia="Times New Roman" w:hAnsi="Arial" w:cs="Arial"/>
          <w:color w:val="000000"/>
          <w:lang w:eastAsia="ja-JP"/>
        </w:rPr>
        <w:tab/>
      </w:r>
      <w:r w:rsidR="007B21B3">
        <w:rPr>
          <w:rFonts w:ascii="Arial" w:eastAsia="Times New Roman" w:hAnsi="Arial" w:cs="Arial"/>
          <w:color w:val="000000"/>
          <w:lang w:eastAsia="ja-JP"/>
        </w:rPr>
        <w:tab/>
      </w:r>
      <w:r w:rsidRPr="003A48AB">
        <w:rPr>
          <w:rFonts w:ascii="Arial" w:eastAsia="Times New Roman" w:hAnsi="Arial" w:cs="Arial"/>
          <w:color w:val="000000"/>
          <w:lang w:eastAsia="ja-JP"/>
        </w:rPr>
        <w:t>v</w:t>
      </w:r>
      <w:r w:rsidR="007B21B3">
        <w:rPr>
          <w:rFonts w:ascii="Arial" w:eastAsia="Times New Roman" w:hAnsi="Arial" w:cs="Arial"/>
          <w:color w:val="000000"/>
          <w:lang w:eastAsia="ja-JP"/>
        </w:rPr>
        <w:t>iii</w:t>
      </w:r>
    </w:p>
    <w:p w14:paraId="536C2AA3" w14:textId="77777777" w:rsidR="003A48AB" w:rsidRPr="003A48AB" w:rsidRDefault="007B21B3" w:rsidP="003A48AB">
      <w:pPr>
        <w:tabs>
          <w:tab w:val="left" w:pos="6663"/>
        </w:tabs>
        <w:spacing w:after="0" w:line="240" w:lineRule="auto"/>
        <w:rPr>
          <w:rFonts w:ascii="Arial" w:eastAsia="Times New Roman" w:hAnsi="Arial" w:cs="Arial"/>
          <w:color w:val="000000"/>
          <w:lang w:eastAsia="ja-JP"/>
        </w:rPr>
      </w:pPr>
      <w:r>
        <w:rPr>
          <w:rFonts w:ascii="Arial" w:eastAsia="Times New Roman" w:hAnsi="Arial" w:cs="Arial"/>
          <w:color w:val="000000"/>
          <w:lang w:eastAsia="ja-JP"/>
        </w:rPr>
        <w:t>List of figures</w:t>
      </w:r>
      <w:r>
        <w:rPr>
          <w:rFonts w:ascii="Arial" w:eastAsia="Times New Roman" w:hAnsi="Arial" w:cs="Arial"/>
          <w:color w:val="000000"/>
          <w:lang w:eastAsia="ja-JP"/>
        </w:rPr>
        <w:tab/>
      </w:r>
      <w:r>
        <w:rPr>
          <w:rFonts w:ascii="Arial" w:eastAsia="Times New Roman" w:hAnsi="Arial" w:cs="Arial"/>
          <w:color w:val="000000"/>
          <w:lang w:eastAsia="ja-JP"/>
        </w:rPr>
        <w:tab/>
        <w:t>xii</w:t>
      </w:r>
    </w:p>
    <w:p w14:paraId="77AC993C" w14:textId="77777777" w:rsidR="003A48AB" w:rsidRPr="003A48AB" w:rsidRDefault="007B21B3" w:rsidP="003A48AB">
      <w:pPr>
        <w:tabs>
          <w:tab w:val="left" w:pos="6663"/>
        </w:tabs>
        <w:spacing w:after="0" w:line="240" w:lineRule="auto"/>
        <w:rPr>
          <w:rFonts w:ascii="Arial" w:eastAsia="Times New Roman" w:hAnsi="Arial" w:cs="Arial"/>
          <w:color w:val="000000"/>
          <w:lang w:eastAsia="ja-JP"/>
        </w:rPr>
      </w:pPr>
      <w:r>
        <w:rPr>
          <w:rFonts w:ascii="Arial" w:eastAsia="Times New Roman" w:hAnsi="Arial" w:cs="Arial"/>
          <w:color w:val="000000"/>
          <w:lang w:eastAsia="ja-JP"/>
        </w:rPr>
        <w:t>List of tables</w:t>
      </w:r>
      <w:r>
        <w:rPr>
          <w:rFonts w:ascii="Arial" w:eastAsia="Times New Roman" w:hAnsi="Arial" w:cs="Arial"/>
          <w:color w:val="000000"/>
          <w:lang w:eastAsia="ja-JP"/>
        </w:rPr>
        <w:tab/>
      </w:r>
      <w:r>
        <w:rPr>
          <w:rFonts w:ascii="Arial" w:eastAsia="Times New Roman" w:hAnsi="Arial" w:cs="Arial"/>
          <w:color w:val="000000"/>
          <w:lang w:eastAsia="ja-JP"/>
        </w:rPr>
        <w:tab/>
        <w:t>xvii</w:t>
      </w:r>
    </w:p>
    <w:p w14:paraId="337F93D3" w14:textId="77777777" w:rsidR="003A48AB" w:rsidRPr="003A48AB" w:rsidRDefault="007B21B3" w:rsidP="003A48AB">
      <w:pPr>
        <w:spacing w:after="160" w:line="259" w:lineRule="auto"/>
        <w:rPr>
          <w:rFonts w:ascii="Arial" w:eastAsia="Times New Roman" w:hAnsi="Arial" w:cs="Arial"/>
          <w:color w:val="000000"/>
          <w:lang w:eastAsia="ja-JP"/>
        </w:rPr>
      </w:pPr>
      <w:r>
        <w:rPr>
          <w:rFonts w:ascii="Arial" w:eastAsia="Times New Roman" w:hAnsi="Arial" w:cs="Arial"/>
          <w:color w:val="000000"/>
          <w:lang w:eastAsia="ja-JP"/>
        </w:rPr>
        <w:t>List of appendices</w:t>
      </w:r>
      <w:r>
        <w:rPr>
          <w:rFonts w:ascii="Arial" w:eastAsia="Times New Roman" w:hAnsi="Arial" w:cs="Arial"/>
          <w:color w:val="000000"/>
          <w:lang w:eastAsia="ja-JP"/>
        </w:rPr>
        <w:tab/>
      </w:r>
      <w:r>
        <w:rPr>
          <w:rFonts w:ascii="Arial" w:eastAsia="Times New Roman" w:hAnsi="Arial" w:cs="Arial"/>
          <w:color w:val="000000"/>
          <w:lang w:eastAsia="ja-JP"/>
        </w:rPr>
        <w:tab/>
      </w:r>
      <w:r>
        <w:rPr>
          <w:rFonts w:ascii="Arial" w:eastAsia="Times New Roman" w:hAnsi="Arial" w:cs="Arial"/>
          <w:color w:val="000000"/>
          <w:lang w:eastAsia="ja-JP"/>
        </w:rPr>
        <w:tab/>
      </w:r>
      <w:r>
        <w:rPr>
          <w:rFonts w:ascii="Arial" w:eastAsia="Times New Roman" w:hAnsi="Arial" w:cs="Arial"/>
          <w:color w:val="000000"/>
          <w:lang w:eastAsia="ja-JP"/>
        </w:rPr>
        <w:tab/>
      </w:r>
      <w:r>
        <w:rPr>
          <w:rFonts w:ascii="Arial" w:eastAsia="Times New Roman" w:hAnsi="Arial" w:cs="Arial"/>
          <w:color w:val="000000"/>
          <w:lang w:eastAsia="ja-JP"/>
        </w:rPr>
        <w:tab/>
      </w:r>
      <w:r>
        <w:rPr>
          <w:rFonts w:ascii="Arial" w:eastAsia="Times New Roman" w:hAnsi="Arial" w:cs="Arial"/>
          <w:color w:val="000000"/>
          <w:lang w:eastAsia="ja-JP"/>
        </w:rPr>
        <w:tab/>
      </w:r>
      <w:r>
        <w:rPr>
          <w:rFonts w:ascii="Arial" w:eastAsia="Times New Roman" w:hAnsi="Arial" w:cs="Arial"/>
          <w:color w:val="000000"/>
          <w:lang w:eastAsia="ja-JP"/>
        </w:rPr>
        <w:tab/>
      </w:r>
      <w:r>
        <w:rPr>
          <w:rFonts w:ascii="Arial" w:eastAsia="Times New Roman" w:hAnsi="Arial" w:cs="Arial"/>
          <w:color w:val="000000"/>
          <w:lang w:eastAsia="ja-JP"/>
        </w:rPr>
        <w:tab/>
        <w:t>xviii</w:t>
      </w:r>
    </w:p>
    <w:p w14:paraId="4056D766" w14:textId="77777777" w:rsidR="003A48AB" w:rsidRPr="003A48AB" w:rsidRDefault="003A48AB" w:rsidP="003A48AB">
      <w:pPr>
        <w:spacing w:after="160" w:line="259" w:lineRule="auto"/>
        <w:rPr>
          <w:rFonts w:ascii="Arial" w:eastAsia="Times New Roman" w:hAnsi="Arial" w:cs="Arial"/>
          <w:b/>
          <w:color w:val="000000"/>
          <w:lang w:eastAsia="ja-JP"/>
        </w:rPr>
      </w:pPr>
      <w:r w:rsidRPr="003A48AB">
        <w:rPr>
          <w:rFonts w:ascii="Arial" w:eastAsia="Times New Roman" w:hAnsi="Arial" w:cs="Arial"/>
          <w:b/>
          <w:color w:val="000000"/>
          <w:lang w:eastAsia="ja-JP"/>
        </w:rPr>
        <w:br w:type="page"/>
      </w:r>
    </w:p>
    <w:p w14:paraId="5E924469" w14:textId="77777777" w:rsidR="003A48AB" w:rsidRPr="003A48AB" w:rsidRDefault="003A48AB" w:rsidP="003A48AB">
      <w:pPr>
        <w:tabs>
          <w:tab w:val="left" w:pos="6663"/>
        </w:tabs>
        <w:spacing w:after="160" w:line="360" w:lineRule="auto"/>
        <w:rPr>
          <w:rFonts w:ascii="Arial" w:eastAsia="Times New Roman" w:hAnsi="Arial" w:cs="Arial"/>
          <w:b/>
          <w:color w:val="000000"/>
          <w:lang w:eastAsia="ja-JP"/>
        </w:rPr>
      </w:pPr>
      <w:r w:rsidRPr="003A48AB">
        <w:rPr>
          <w:rFonts w:ascii="Arial" w:eastAsia="Times New Roman" w:hAnsi="Arial" w:cs="Arial"/>
          <w:b/>
          <w:color w:val="000000"/>
          <w:lang w:eastAsia="ja-JP"/>
        </w:rPr>
        <w:lastRenderedPageBreak/>
        <w:t>Dedication</w:t>
      </w:r>
    </w:p>
    <w:p w14:paraId="2C57609D" w14:textId="77777777" w:rsidR="008A2B4A" w:rsidRDefault="003A48AB" w:rsidP="003A48AB">
      <w:pPr>
        <w:tabs>
          <w:tab w:val="left" w:pos="6663"/>
        </w:tabs>
        <w:spacing w:after="160" w:line="360" w:lineRule="auto"/>
        <w:rPr>
          <w:rFonts w:ascii="Arial" w:eastAsia="Times New Roman" w:hAnsi="Arial" w:cs="Arial"/>
          <w:color w:val="000000"/>
          <w:lang w:eastAsia="ja-JP"/>
        </w:rPr>
      </w:pPr>
      <w:r w:rsidRPr="003A48AB">
        <w:rPr>
          <w:rFonts w:ascii="Arial" w:eastAsia="Times New Roman" w:hAnsi="Arial" w:cs="Arial"/>
          <w:color w:val="000000"/>
          <w:lang w:eastAsia="ja-JP"/>
        </w:rPr>
        <w:t>To my wife Maiko, it has been tough these last few years but I’m extremely gr</w:t>
      </w:r>
      <w:r w:rsidR="008A2B4A">
        <w:rPr>
          <w:rFonts w:ascii="Arial" w:eastAsia="Times New Roman" w:hAnsi="Arial" w:cs="Arial"/>
          <w:color w:val="000000"/>
          <w:lang w:eastAsia="ja-JP"/>
        </w:rPr>
        <w:t xml:space="preserve">ateful to you for your patience, support and </w:t>
      </w:r>
      <w:r w:rsidRPr="003A48AB">
        <w:rPr>
          <w:rFonts w:ascii="Arial" w:eastAsia="Times New Roman" w:hAnsi="Arial" w:cs="Arial"/>
          <w:color w:val="000000"/>
          <w:lang w:eastAsia="ja-JP"/>
        </w:rPr>
        <w:t xml:space="preserve">encouragement over the course of my studies. </w:t>
      </w:r>
    </w:p>
    <w:p w14:paraId="2F22332A" w14:textId="77777777" w:rsidR="008A2B4A" w:rsidRDefault="008A2B4A" w:rsidP="003A48AB">
      <w:pPr>
        <w:tabs>
          <w:tab w:val="left" w:pos="6663"/>
        </w:tabs>
        <w:spacing w:after="160" w:line="360" w:lineRule="auto"/>
        <w:rPr>
          <w:rFonts w:ascii="Arial" w:eastAsia="Times New Roman" w:hAnsi="Arial" w:cs="Arial"/>
          <w:color w:val="000000"/>
          <w:lang w:eastAsia="ja-JP"/>
        </w:rPr>
      </w:pPr>
      <w:r>
        <w:rPr>
          <w:rFonts w:ascii="Arial" w:eastAsia="Times New Roman" w:hAnsi="Arial" w:cs="Arial"/>
          <w:color w:val="000000"/>
          <w:lang w:eastAsia="ja-JP"/>
        </w:rPr>
        <w:t xml:space="preserve">To my son Hugo, I’m grateful that we could share many fun-filled hours together building train tracks! </w:t>
      </w:r>
    </w:p>
    <w:p w14:paraId="4E119AB7" w14:textId="77777777" w:rsidR="003A48AB" w:rsidRPr="003A48AB" w:rsidRDefault="003A48AB" w:rsidP="003A48AB">
      <w:pPr>
        <w:tabs>
          <w:tab w:val="left" w:pos="6663"/>
        </w:tabs>
        <w:spacing w:after="160" w:line="360" w:lineRule="auto"/>
        <w:rPr>
          <w:rFonts w:ascii="Arial" w:eastAsia="Times New Roman" w:hAnsi="Arial" w:cs="Arial"/>
          <w:color w:val="000000"/>
          <w:lang w:eastAsia="ja-JP"/>
        </w:rPr>
      </w:pPr>
      <w:r w:rsidRPr="003A48AB">
        <w:rPr>
          <w:rFonts w:ascii="Arial" w:eastAsia="Times New Roman" w:hAnsi="Arial" w:cs="Arial"/>
          <w:color w:val="000000"/>
          <w:lang w:eastAsia="ja-JP"/>
        </w:rPr>
        <w:t>I look forward to a happy future together with you both, thank you.</w:t>
      </w:r>
    </w:p>
    <w:p w14:paraId="14692AC3" w14:textId="77777777" w:rsidR="003A48AB" w:rsidRPr="003A48AB" w:rsidRDefault="003A48AB" w:rsidP="003A48AB">
      <w:pPr>
        <w:spacing w:after="160" w:line="259" w:lineRule="auto"/>
        <w:rPr>
          <w:rFonts w:ascii="Arial" w:eastAsia="Times New Roman" w:hAnsi="Arial" w:cs="Arial"/>
          <w:color w:val="000000"/>
          <w:u w:val="single"/>
          <w:lang w:eastAsia="ja-JP"/>
        </w:rPr>
      </w:pPr>
      <w:r w:rsidRPr="003A48AB">
        <w:rPr>
          <w:rFonts w:ascii="Arial" w:eastAsia="Times New Roman" w:hAnsi="Arial" w:cs="Arial"/>
          <w:color w:val="000000"/>
          <w:u w:val="single"/>
          <w:lang w:eastAsia="ja-JP"/>
        </w:rPr>
        <w:br w:type="page"/>
      </w:r>
    </w:p>
    <w:p w14:paraId="219A2ADF" w14:textId="77777777" w:rsidR="003A48AB" w:rsidRPr="003A48AB" w:rsidRDefault="003A48AB" w:rsidP="003A48AB">
      <w:pPr>
        <w:tabs>
          <w:tab w:val="left" w:pos="6663"/>
        </w:tabs>
        <w:spacing w:after="160" w:line="360" w:lineRule="auto"/>
        <w:rPr>
          <w:rFonts w:ascii="Arial" w:eastAsia="Times New Roman" w:hAnsi="Arial" w:cs="Arial"/>
          <w:b/>
          <w:color w:val="000000"/>
          <w:lang w:eastAsia="ja-JP"/>
        </w:rPr>
      </w:pPr>
      <w:r w:rsidRPr="003A48AB">
        <w:rPr>
          <w:rFonts w:ascii="Arial" w:eastAsia="Times New Roman" w:hAnsi="Arial" w:cs="Arial"/>
          <w:b/>
          <w:color w:val="000000"/>
          <w:lang w:eastAsia="ja-JP"/>
        </w:rPr>
        <w:lastRenderedPageBreak/>
        <w:t>Acknowledgements</w:t>
      </w:r>
    </w:p>
    <w:p w14:paraId="326B710C" w14:textId="77777777" w:rsidR="003A48AB" w:rsidRPr="003A48AB" w:rsidRDefault="003A48AB" w:rsidP="003A48AB">
      <w:pPr>
        <w:tabs>
          <w:tab w:val="left" w:pos="6663"/>
        </w:tabs>
        <w:spacing w:after="160" w:line="360" w:lineRule="auto"/>
        <w:rPr>
          <w:rFonts w:ascii="Arial" w:eastAsia="Times New Roman" w:hAnsi="Arial" w:cs="Arial"/>
          <w:color w:val="000000"/>
          <w:lang w:eastAsia="ja-JP"/>
        </w:rPr>
      </w:pPr>
      <w:r w:rsidRPr="003A48AB">
        <w:rPr>
          <w:rFonts w:ascii="Arial" w:eastAsia="Times New Roman" w:hAnsi="Arial" w:cs="Arial"/>
          <w:color w:val="000000"/>
          <w:lang w:eastAsia="ja-JP"/>
        </w:rPr>
        <w:t>A special thanks goes to my supervisors: Professors David Beerling, Andrew Fleming and Julie Gray for all there help and encouragement over the last four years.</w:t>
      </w:r>
    </w:p>
    <w:p w14:paraId="5EDCB080" w14:textId="77777777" w:rsidR="003A48AB" w:rsidRPr="003A48AB" w:rsidRDefault="003A48AB" w:rsidP="003A48AB">
      <w:pPr>
        <w:tabs>
          <w:tab w:val="left" w:pos="6663"/>
        </w:tabs>
        <w:spacing w:after="160" w:line="360" w:lineRule="auto"/>
        <w:rPr>
          <w:rFonts w:ascii="Arial" w:eastAsia="Times New Roman" w:hAnsi="Arial" w:cs="Arial"/>
          <w:color w:val="000000"/>
          <w:lang w:eastAsia="ja-JP"/>
        </w:rPr>
      </w:pPr>
      <w:r w:rsidRPr="003A48AB">
        <w:rPr>
          <w:rFonts w:ascii="Arial" w:eastAsia="Times New Roman" w:hAnsi="Arial" w:cs="Arial"/>
          <w:color w:val="000000"/>
          <w:lang w:eastAsia="ja-JP"/>
        </w:rPr>
        <w:t xml:space="preserve">I would like to put on record my sincerest thanks to Dr Caspar Chater for all his advice, encouragement, supervision and help he provided me with throughout the course of my PhD. I’m especially grateful for the diligent work he has undertaken that has led to the production or assisted in production of </w:t>
      </w:r>
      <w:r w:rsidRPr="003A48AB">
        <w:rPr>
          <w:rFonts w:ascii="Arial" w:eastAsia="Times New Roman" w:hAnsi="Arial" w:cs="Arial"/>
          <w:i/>
          <w:color w:val="000000"/>
          <w:lang w:eastAsia="ja-JP"/>
        </w:rPr>
        <w:t>ppsmf1</w:t>
      </w:r>
      <w:r w:rsidRPr="003A48AB">
        <w:rPr>
          <w:rFonts w:ascii="Arial" w:eastAsia="Times New Roman" w:hAnsi="Arial" w:cs="Arial"/>
          <w:color w:val="000000"/>
          <w:lang w:eastAsia="ja-JP"/>
        </w:rPr>
        <w:t xml:space="preserve">, </w:t>
      </w:r>
      <w:r w:rsidRPr="003A48AB">
        <w:rPr>
          <w:rFonts w:ascii="Arial" w:eastAsia="Times New Roman" w:hAnsi="Arial" w:cs="Arial"/>
          <w:i/>
          <w:color w:val="000000"/>
          <w:lang w:eastAsia="ja-JP"/>
        </w:rPr>
        <w:t>ppsmf2</w:t>
      </w:r>
      <w:r w:rsidRPr="003A48AB">
        <w:rPr>
          <w:rFonts w:ascii="Arial" w:eastAsia="Times New Roman" w:hAnsi="Arial" w:cs="Arial"/>
          <w:color w:val="000000"/>
          <w:lang w:eastAsia="ja-JP"/>
        </w:rPr>
        <w:t xml:space="preserve">, </w:t>
      </w:r>
      <w:r w:rsidRPr="003A48AB">
        <w:rPr>
          <w:rFonts w:ascii="Arial" w:eastAsia="Times New Roman" w:hAnsi="Arial" w:cs="Arial"/>
          <w:i/>
          <w:color w:val="000000"/>
          <w:lang w:eastAsia="ja-JP"/>
        </w:rPr>
        <w:t>ppepf1, pptmm</w:t>
      </w:r>
      <w:r w:rsidRPr="003A48AB">
        <w:rPr>
          <w:rFonts w:ascii="Arial" w:eastAsia="Times New Roman" w:hAnsi="Arial" w:cs="Arial"/>
          <w:color w:val="000000"/>
          <w:lang w:eastAsia="ja-JP"/>
        </w:rPr>
        <w:t xml:space="preserve">, </w:t>
      </w:r>
      <w:r w:rsidRPr="003A48AB">
        <w:rPr>
          <w:rFonts w:ascii="Arial" w:eastAsia="Times New Roman" w:hAnsi="Arial" w:cs="Arial"/>
          <w:i/>
          <w:color w:val="000000"/>
          <w:lang w:eastAsia="ja-JP"/>
        </w:rPr>
        <w:t xml:space="preserve">pptmm-epf1 </w:t>
      </w:r>
      <w:r w:rsidR="008A2B4A">
        <w:rPr>
          <w:rFonts w:ascii="Arial" w:eastAsia="Times New Roman" w:hAnsi="Arial" w:cs="Arial"/>
          <w:color w:val="000000"/>
          <w:lang w:eastAsia="ja-JP"/>
        </w:rPr>
        <w:t xml:space="preserve">mutant </w:t>
      </w:r>
      <w:r w:rsidRPr="003A48AB">
        <w:rPr>
          <w:rFonts w:ascii="Arial" w:eastAsia="Times New Roman" w:hAnsi="Arial" w:cs="Arial"/>
          <w:color w:val="000000"/>
          <w:lang w:eastAsia="ja-JP"/>
        </w:rPr>
        <w:t xml:space="preserve">lines. Additionally, I’m also very thankful for the work he undertook which lead to production of </w:t>
      </w:r>
      <w:r w:rsidRPr="003A48AB">
        <w:rPr>
          <w:rFonts w:ascii="Arial" w:eastAsia="Times New Roman" w:hAnsi="Arial" w:cs="Arial"/>
          <w:i/>
          <w:color w:val="000000"/>
          <w:lang w:eastAsia="ja-JP"/>
        </w:rPr>
        <w:t xml:space="preserve">PpEPF1 </w:t>
      </w:r>
      <w:r w:rsidRPr="003A48AB">
        <w:rPr>
          <w:rFonts w:ascii="Arial" w:eastAsia="Times New Roman" w:hAnsi="Arial" w:cs="Arial"/>
          <w:color w:val="000000"/>
          <w:lang w:eastAsia="ja-JP"/>
        </w:rPr>
        <w:t xml:space="preserve">and </w:t>
      </w:r>
      <w:r w:rsidRPr="003A48AB">
        <w:rPr>
          <w:rFonts w:ascii="Arial" w:eastAsia="Times New Roman" w:hAnsi="Arial" w:cs="Arial"/>
          <w:i/>
          <w:color w:val="000000"/>
          <w:lang w:eastAsia="ja-JP"/>
        </w:rPr>
        <w:t xml:space="preserve">PpTMM </w:t>
      </w:r>
      <w:r w:rsidRPr="003A48AB">
        <w:rPr>
          <w:rFonts w:ascii="Arial" w:eastAsia="Times New Roman" w:hAnsi="Arial" w:cs="Arial"/>
          <w:color w:val="000000"/>
          <w:lang w:eastAsia="ja-JP"/>
        </w:rPr>
        <w:t xml:space="preserve">complementation lines in Arabidopsis. </w:t>
      </w:r>
    </w:p>
    <w:p w14:paraId="536C01DB" w14:textId="77777777" w:rsidR="003A48AB" w:rsidRPr="003A48AB" w:rsidRDefault="003A48AB" w:rsidP="003A48AB">
      <w:pPr>
        <w:tabs>
          <w:tab w:val="left" w:pos="6663"/>
        </w:tabs>
        <w:spacing w:after="160" w:line="360" w:lineRule="auto"/>
        <w:rPr>
          <w:rFonts w:ascii="Arial" w:eastAsia="Times New Roman" w:hAnsi="Arial" w:cs="Arial"/>
          <w:color w:val="000000"/>
          <w:lang w:eastAsia="ja-JP"/>
        </w:rPr>
      </w:pPr>
      <w:r w:rsidRPr="003A48AB">
        <w:rPr>
          <w:rFonts w:ascii="Arial" w:eastAsia="Times New Roman" w:hAnsi="Arial" w:cs="Arial"/>
          <w:color w:val="000000"/>
          <w:lang w:eastAsia="ja-JP"/>
        </w:rPr>
        <w:t>I would like to thank all current and past lab members from the labs of Professors David Beerling, Andrew Fleming and Julie Gray who I have been fortunate enough to work with and often receive help and advice from.</w:t>
      </w:r>
    </w:p>
    <w:p w14:paraId="719002DA" w14:textId="77777777" w:rsidR="003A48AB" w:rsidRPr="003A48AB" w:rsidRDefault="003A48AB" w:rsidP="003A48AB">
      <w:pPr>
        <w:tabs>
          <w:tab w:val="left" w:pos="6663"/>
        </w:tabs>
        <w:spacing w:after="160" w:line="360" w:lineRule="auto"/>
        <w:rPr>
          <w:rFonts w:ascii="Arial" w:eastAsia="Times New Roman" w:hAnsi="Arial" w:cs="Arial"/>
          <w:color w:val="000000"/>
          <w:lang w:eastAsia="ja-JP"/>
        </w:rPr>
      </w:pPr>
      <w:r w:rsidRPr="003A48AB">
        <w:rPr>
          <w:rFonts w:ascii="Arial" w:eastAsia="Times New Roman" w:hAnsi="Arial" w:cs="Arial"/>
          <w:color w:val="000000"/>
          <w:lang w:eastAsia="ja-JP"/>
        </w:rPr>
        <w:t xml:space="preserve">I would also like to thank both the University of Sheffield and National Environmental Research Council (NERC) for the funding and support they have provided throughout the duration of my PhD. </w:t>
      </w:r>
    </w:p>
    <w:p w14:paraId="3CCA4C4C" w14:textId="77777777" w:rsidR="003A48AB" w:rsidRPr="003A48AB" w:rsidRDefault="003A48AB" w:rsidP="003A48AB">
      <w:pPr>
        <w:tabs>
          <w:tab w:val="left" w:pos="6663"/>
        </w:tabs>
        <w:spacing w:after="160" w:line="360" w:lineRule="auto"/>
        <w:rPr>
          <w:rFonts w:ascii="Arial" w:eastAsia="Times New Roman" w:hAnsi="Arial" w:cs="Arial"/>
          <w:color w:val="000000"/>
          <w:lang w:eastAsia="ja-JP"/>
        </w:rPr>
      </w:pPr>
      <w:r w:rsidRPr="003A48AB">
        <w:rPr>
          <w:rFonts w:ascii="Arial" w:eastAsia="Times New Roman" w:hAnsi="Arial" w:cs="Arial"/>
          <w:color w:val="000000"/>
          <w:lang w:eastAsia="ja-JP"/>
        </w:rPr>
        <w:t xml:space="preserve">For their assistance in generating a number of the knock-out lines used during the course of my PhD I would also like to thank Dr Marta Tomek (University of Freiburg) and Drs Yasuko Kamisugi and Andy Cuming (University of Leeds). Furthermore, I would also like to thank Professor Ralf Reski at the University of Freiburg who supplied the </w:t>
      </w:r>
      <w:r w:rsidRPr="003A48AB">
        <w:rPr>
          <w:rFonts w:ascii="Arial" w:eastAsia="Times New Roman" w:hAnsi="Arial" w:cs="Arial"/>
          <w:i/>
          <w:color w:val="000000"/>
          <w:lang w:eastAsia="ja-JP"/>
        </w:rPr>
        <w:t xml:space="preserve">PpSCRM1 </w:t>
      </w:r>
      <w:r w:rsidRPr="003A48AB">
        <w:rPr>
          <w:rFonts w:ascii="Arial" w:eastAsia="Times New Roman" w:hAnsi="Arial" w:cs="Arial"/>
          <w:color w:val="000000"/>
          <w:lang w:eastAsia="ja-JP"/>
        </w:rPr>
        <w:t>lines produced by Dr Marta Tomek.</w:t>
      </w:r>
    </w:p>
    <w:p w14:paraId="37DDD70D" w14:textId="77777777" w:rsidR="003A48AB" w:rsidRPr="003A48AB" w:rsidRDefault="003A48AB" w:rsidP="003A48AB">
      <w:pPr>
        <w:tabs>
          <w:tab w:val="left" w:pos="6663"/>
        </w:tabs>
        <w:spacing w:after="160" w:line="360" w:lineRule="auto"/>
        <w:rPr>
          <w:rFonts w:ascii="Arial" w:eastAsia="Times New Roman" w:hAnsi="Arial" w:cs="Arial"/>
          <w:color w:val="000000"/>
          <w:lang w:eastAsia="ja-JP"/>
        </w:rPr>
      </w:pPr>
      <w:r w:rsidRPr="003A48AB">
        <w:rPr>
          <w:rFonts w:ascii="Arial" w:eastAsia="Times New Roman" w:hAnsi="Arial" w:cs="Arial"/>
          <w:color w:val="000000"/>
          <w:lang w:eastAsia="ja-JP"/>
        </w:rPr>
        <w:t>For hornwort DNA sequences I would like to thank Professor Jane Langdale, Dr Eftychis Frangedakis and Dr Steven Kelly at the University of Oxford.</w:t>
      </w:r>
    </w:p>
    <w:p w14:paraId="548FE696" w14:textId="77777777" w:rsidR="003A48AB" w:rsidRPr="003A48AB" w:rsidRDefault="003A48AB" w:rsidP="003A48AB">
      <w:pPr>
        <w:tabs>
          <w:tab w:val="left" w:pos="6663"/>
        </w:tabs>
        <w:spacing w:after="160" w:line="360" w:lineRule="auto"/>
        <w:rPr>
          <w:rFonts w:ascii="Arial" w:eastAsia="Times New Roman" w:hAnsi="Arial" w:cs="Arial"/>
          <w:color w:val="000000"/>
          <w:lang w:eastAsia="ja-JP"/>
        </w:rPr>
      </w:pPr>
      <w:r w:rsidRPr="003A48AB">
        <w:rPr>
          <w:rFonts w:ascii="Arial" w:eastAsia="Times New Roman" w:hAnsi="Arial" w:cs="Arial"/>
          <w:color w:val="000000"/>
          <w:lang w:eastAsia="ja-JP"/>
        </w:rPr>
        <w:t xml:space="preserve">For the embedding and sectioning of </w:t>
      </w:r>
      <w:r w:rsidRPr="003A48AB">
        <w:rPr>
          <w:rFonts w:ascii="Arial" w:eastAsia="Times New Roman" w:hAnsi="Arial" w:cs="Arial"/>
          <w:i/>
          <w:color w:val="000000"/>
          <w:lang w:eastAsia="ja-JP"/>
        </w:rPr>
        <w:t xml:space="preserve">ppscrm1 </w:t>
      </w:r>
      <w:r w:rsidRPr="003A48AB">
        <w:rPr>
          <w:rFonts w:ascii="Arial" w:eastAsia="Times New Roman" w:hAnsi="Arial" w:cs="Arial"/>
          <w:color w:val="000000"/>
          <w:lang w:eastAsia="ja-JP"/>
        </w:rPr>
        <w:t>capsules I would like to thank Tim Fulton.</w:t>
      </w:r>
    </w:p>
    <w:p w14:paraId="2F8DF2AB" w14:textId="77777777" w:rsidR="003A48AB" w:rsidRPr="003A48AB" w:rsidRDefault="003A48AB" w:rsidP="003A48AB">
      <w:pPr>
        <w:tabs>
          <w:tab w:val="left" w:pos="6663"/>
        </w:tabs>
        <w:spacing w:after="160" w:line="360" w:lineRule="auto"/>
        <w:rPr>
          <w:rFonts w:ascii="Arial" w:eastAsia="Times New Roman" w:hAnsi="Arial" w:cs="Arial"/>
          <w:color w:val="000000"/>
          <w:lang w:eastAsia="ja-JP"/>
        </w:rPr>
      </w:pPr>
      <w:r w:rsidRPr="003A48AB">
        <w:rPr>
          <w:rFonts w:ascii="Arial" w:eastAsia="Times New Roman" w:hAnsi="Arial" w:cs="Arial"/>
          <w:color w:val="000000"/>
          <w:lang w:eastAsia="ja-JP"/>
        </w:rPr>
        <w:t xml:space="preserve">For </w:t>
      </w:r>
      <w:r w:rsidRPr="003A48AB">
        <w:rPr>
          <w:rFonts w:ascii="Arial" w:eastAsia="Times New Roman" w:hAnsi="Arial" w:cs="Arial"/>
          <w:i/>
          <w:color w:val="000000"/>
          <w:lang w:eastAsia="ja-JP"/>
        </w:rPr>
        <w:t xml:space="preserve">ppscrm1 </w:t>
      </w:r>
      <w:r w:rsidRPr="003A48AB">
        <w:rPr>
          <w:rFonts w:ascii="Arial" w:eastAsia="Times New Roman" w:hAnsi="Arial" w:cs="Arial"/>
          <w:color w:val="000000"/>
          <w:lang w:eastAsia="ja-JP"/>
        </w:rPr>
        <w:t xml:space="preserve">spore samples I would like to thank Dr Marta Tomek. For information relating to spore germination rates on </w:t>
      </w:r>
      <w:r w:rsidRPr="003A48AB">
        <w:rPr>
          <w:rFonts w:ascii="Arial" w:eastAsia="Times New Roman" w:hAnsi="Arial" w:cs="Arial"/>
          <w:i/>
          <w:color w:val="000000"/>
          <w:lang w:eastAsia="ja-JP"/>
        </w:rPr>
        <w:t xml:space="preserve">ppsmf1 </w:t>
      </w:r>
      <w:r w:rsidRPr="003A48AB">
        <w:rPr>
          <w:rFonts w:ascii="Arial" w:eastAsia="Times New Roman" w:hAnsi="Arial" w:cs="Arial"/>
          <w:color w:val="000000"/>
          <w:lang w:eastAsia="ja-JP"/>
        </w:rPr>
        <w:t xml:space="preserve">and </w:t>
      </w:r>
      <w:r w:rsidRPr="003A48AB">
        <w:rPr>
          <w:rFonts w:ascii="Arial" w:eastAsia="Times New Roman" w:hAnsi="Arial" w:cs="Arial"/>
          <w:i/>
          <w:color w:val="000000"/>
          <w:lang w:eastAsia="ja-JP"/>
        </w:rPr>
        <w:t xml:space="preserve">ppscrm1 </w:t>
      </w:r>
      <w:r w:rsidRPr="003A48AB">
        <w:rPr>
          <w:rFonts w:ascii="Arial" w:eastAsia="Times New Roman" w:hAnsi="Arial" w:cs="Arial"/>
          <w:color w:val="000000"/>
          <w:lang w:eastAsia="ja-JP"/>
        </w:rPr>
        <w:t>lines I would like to thank Dr Caspar Chater (</w:t>
      </w:r>
      <w:r w:rsidRPr="003A48AB">
        <w:rPr>
          <w:rFonts w:ascii="Arial" w:eastAsia="Times New Roman" w:hAnsi="Arial" w:cs="Arial"/>
          <w:i/>
          <w:color w:val="000000"/>
          <w:lang w:eastAsia="ja-JP"/>
        </w:rPr>
        <w:t>ppsmf1</w:t>
      </w:r>
      <w:r w:rsidRPr="003A48AB">
        <w:rPr>
          <w:rFonts w:ascii="Arial" w:eastAsia="Times New Roman" w:hAnsi="Arial" w:cs="Arial"/>
          <w:color w:val="000000"/>
          <w:lang w:eastAsia="ja-JP"/>
        </w:rPr>
        <w:t>)</w:t>
      </w:r>
      <w:r w:rsidRPr="003A48AB">
        <w:rPr>
          <w:rFonts w:ascii="Arial" w:eastAsia="Times New Roman" w:hAnsi="Arial" w:cs="Arial"/>
          <w:i/>
          <w:color w:val="000000"/>
          <w:lang w:eastAsia="ja-JP"/>
        </w:rPr>
        <w:t xml:space="preserve"> </w:t>
      </w:r>
      <w:r w:rsidRPr="003A48AB">
        <w:rPr>
          <w:rFonts w:ascii="Arial" w:eastAsia="Times New Roman" w:hAnsi="Arial" w:cs="Arial"/>
          <w:color w:val="000000"/>
          <w:lang w:eastAsia="ja-JP"/>
        </w:rPr>
        <w:t>Dr Marta Tomek (</w:t>
      </w:r>
      <w:r w:rsidRPr="003A48AB">
        <w:rPr>
          <w:rFonts w:ascii="Arial" w:eastAsia="Times New Roman" w:hAnsi="Arial" w:cs="Arial"/>
          <w:i/>
          <w:color w:val="000000"/>
          <w:lang w:eastAsia="ja-JP"/>
        </w:rPr>
        <w:t>ppscrm1</w:t>
      </w:r>
      <w:r w:rsidRPr="003A48AB">
        <w:rPr>
          <w:rFonts w:ascii="Arial" w:eastAsia="Times New Roman" w:hAnsi="Arial" w:cs="Arial"/>
          <w:color w:val="000000"/>
          <w:lang w:eastAsia="ja-JP"/>
        </w:rPr>
        <w:t>)</w:t>
      </w:r>
    </w:p>
    <w:p w14:paraId="73A34C5B" w14:textId="77777777" w:rsidR="003A48AB" w:rsidRPr="003A48AB" w:rsidRDefault="003A48AB" w:rsidP="003A48AB">
      <w:pPr>
        <w:tabs>
          <w:tab w:val="left" w:pos="6663"/>
        </w:tabs>
        <w:spacing w:after="160" w:line="360" w:lineRule="auto"/>
        <w:rPr>
          <w:rFonts w:ascii="Arial" w:eastAsia="Times New Roman" w:hAnsi="Arial" w:cs="Arial"/>
          <w:color w:val="000000"/>
          <w:lang w:eastAsia="ja-JP"/>
        </w:rPr>
      </w:pPr>
      <w:r w:rsidRPr="003A48AB">
        <w:rPr>
          <w:rFonts w:ascii="Arial" w:eastAsia="Times New Roman" w:hAnsi="Arial" w:cs="Arial"/>
          <w:color w:val="000000"/>
          <w:lang w:eastAsia="ja-JP"/>
        </w:rPr>
        <w:t xml:space="preserve">For </w:t>
      </w:r>
      <w:r w:rsidRPr="003A48AB">
        <w:rPr>
          <w:rFonts w:ascii="Arial" w:eastAsia="Times New Roman" w:hAnsi="Arial" w:cs="Arial"/>
          <w:i/>
          <w:color w:val="000000"/>
          <w:lang w:eastAsia="ja-JP"/>
        </w:rPr>
        <w:t xml:space="preserve">ppscrm1 </w:t>
      </w:r>
      <w:r w:rsidRPr="003A48AB">
        <w:rPr>
          <w:rFonts w:ascii="Arial" w:eastAsia="Times New Roman" w:hAnsi="Arial" w:cs="Arial"/>
          <w:color w:val="000000"/>
          <w:lang w:eastAsia="ja-JP"/>
        </w:rPr>
        <w:t xml:space="preserve">sporophyte dehiscence assay data I would like to thank Richard Haas and Professor Ralf Reski at the University of Freiburg. I would also like to thanks Dr Daniel Lang also at the University of Freiburg for quantifying the capsule dehiscence data and producing the displayed figure (Chapter 3, Figure 16). </w:t>
      </w:r>
    </w:p>
    <w:p w14:paraId="5AB52EC6" w14:textId="77777777" w:rsidR="003A48AB" w:rsidRPr="003A48AB" w:rsidRDefault="003A48AB" w:rsidP="003A48AB">
      <w:pPr>
        <w:tabs>
          <w:tab w:val="left" w:pos="6663"/>
        </w:tabs>
        <w:spacing w:after="160" w:line="360" w:lineRule="auto"/>
        <w:rPr>
          <w:rFonts w:ascii="Arial" w:eastAsia="Times New Roman" w:hAnsi="Arial" w:cs="Arial"/>
          <w:color w:val="000000"/>
          <w:lang w:eastAsia="ja-JP"/>
        </w:rPr>
      </w:pPr>
      <w:r w:rsidRPr="003A48AB">
        <w:rPr>
          <w:rFonts w:ascii="Arial" w:eastAsia="Times New Roman" w:hAnsi="Arial" w:cs="Arial"/>
          <w:color w:val="000000"/>
          <w:lang w:eastAsia="ja-JP"/>
        </w:rPr>
        <w:lastRenderedPageBreak/>
        <w:t>For assisting in counting stomata for Arabidopsis complementation experiments in chapter 4 I would like to thank Alexandra Casey and Rhys Mcdonough.</w:t>
      </w:r>
    </w:p>
    <w:p w14:paraId="73D05B89" w14:textId="7B54DC18" w:rsidR="003A48AB" w:rsidRPr="003A48AB" w:rsidRDefault="003A48AB" w:rsidP="003A48AB">
      <w:pPr>
        <w:tabs>
          <w:tab w:val="left" w:pos="6663"/>
        </w:tabs>
        <w:spacing w:after="160" w:line="360" w:lineRule="auto"/>
        <w:rPr>
          <w:rFonts w:ascii="Arial" w:eastAsia="Times New Roman" w:hAnsi="Arial" w:cs="Arial"/>
          <w:color w:val="000000"/>
          <w:lang w:eastAsia="ja-JP"/>
        </w:rPr>
      </w:pPr>
      <w:r w:rsidRPr="003A48AB">
        <w:rPr>
          <w:rFonts w:ascii="Arial" w:eastAsia="Times New Roman" w:hAnsi="Arial" w:cs="Arial"/>
          <w:color w:val="000000"/>
          <w:lang w:eastAsia="ja-JP"/>
        </w:rPr>
        <w:t xml:space="preserve">I would like to thank all my family and friends for all their help, support, encouragement and perseverance throughout the duration of studies. I’m especially grateful to my wife Maiko Caine, my parents Cedron Caine and Debbie Caine, my sister Samantha </w:t>
      </w:r>
      <w:r w:rsidR="00476449">
        <w:rPr>
          <w:rFonts w:ascii="Arial" w:eastAsia="Times New Roman" w:hAnsi="Arial" w:cs="Arial"/>
          <w:color w:val="000000"/>
          <w:lang w:eastAsia="ja-JP"/>
        </w:rPr>
        <w:t>Fox</w:t>
      </w:r>
      <w:r w:rsidRPr="003A48AB">
        <w:rPr>
          <w:rFonts w:ascii="Arial" w:eastAsia="Times New Roman" w:hAnsi="Arial" w:cs="Arial"/>
          <w:color w:val="000000"/>
          <w:lang w:eastAsia="ja-JP"/>
        </w:rPr>
        <w:t xml:space="preserve"> and brothers Edward and Joshua Caine. A last thank you goes to my little boy Hugo </w:t>
      </w:r>
      <w:r w:rsidR="008A2B4A">
        <w:rPr>
          <w:rFonts w:ascii="Arial" w:eastAsia="Times New Roman" w:hAnsi="Arial" w:cs="Arial"/>
          <w:color w:val="000000"/>
          <w:lang w:eastAsia="ja-JP"/>
        </w:rPr>
        <w:t>whose cheeky ways kept me laughing when times got tricky.</w:t>
      </w:r>
    </w:p>
    <w:p w14:paraId="1B548F68" w14:textId="77777777" w:rsidR="003A48AB" w:rsidRPr="003A48AB" w:rsidRDefault="003A48AB" w:rsidP="003A48AB">
      <w:pPr>
        <w:spacing w:after="160" w:line="259" w:lineRule="auto"/>
        <w:rPr>
          <w:rFonts w:ascii="Arial" w:eastAsia="Times New Roman" w:hAnsi="Arial" w:cs="Arial"/>
          <w:color w:val="000000"/>
          <w:lang w:eastAsia="ja-JP"/>
        </w:rPr>
      </w:pPr>
      <w:r w:rsidRPr="003A48AB">
        <w:rPr>
          <w:rFonts w:ascii="Arial" w:eastAsia="Times New Roman" w:hAnsi="Arial" w:cs="Arial"/>
          <w:color w:val="000000"/>
          <w:lang w:eastAsia="ja-JP"/>
        </w:rPr>
        <w:br w:type="page"/>
      </w:r>
    </w:p>
    <w:p w14:paraId="160E4D58" w14:textId="77777777" w:rsidR="003A48AB" w:rsidRPr="003A48AB" w:rsidRDefault="003A48AB" w:rsidP="003A48AB">
      <w:pPr>
        <w:spacing w:after="160" w:line="360" w:lineRule="auto"/>
        <w:rPr>
          <w:rFonts w:ascii="Arial" w:eastAsia="Times New Roman" w:hAnsi="Arial" w:cs="Arial"/>
          <w:b/>
          <w:color w:val="000000"/>
          <w:lang w:eastAsia="ja-JP"/>
        </w:rPr>
      </w:pPr>
      <w:r w:rsidRPr="003A48AB">
        <w:rPr>
          <w:rFonts w:ascii="Arial" w:eastAsia="Times New Roman" w:hAnsi="Arial" w:cs="Arial"/>
          <w:b/>
          <w:color w:val="000000"/>
          <w:lang w:eastAsia="ja-JP"/>
        </w:rPr>
        <w:lastRenderedPageBreak/>
        <w:t>Summary</w:t>
      </w:r>
    </w:p>
    <w:p w14:paraId="3DB9E42A" w14:textId="77777777" w:rsidR="003A48AB" w:rsidRPr="003A48AB" w:rsidRDefault="003A48AB" w:rsidP="003A48AB">
      <w:pPr>
        <w:spacing w:after="160" w:line="360" w:lineRule="auto"/>
        <w:rPr>
          <w:rFonts w:ascii="Arial" w:eastAsia="Times New Roman" w:hAnsi="Arial" w:cs="Arial"/>
          <w:color w:val="000000"/>
          <w:lang w:eastAsia="ja-JP"/>
        </w:rPr>
      </w:pPr>
      <w:bookmarkStart w:id="0" w:name="_GoBack"/>
      <w:r w:rsidRPr="003A48AB">
        <w:rPr>
          <w:rFonts w:ascii="Arial" w:eastAsia="Times New Roman" w:hAnsi="Arial" w:cs="Arial"/>
          <w:color w:val="000000"/>
          <w:lang w:eastAsia="ja-JP"/>
        </w:rPr>
        <w:t>Stomata are microscopic structures which exist on the surfaces on many land plants that enable the uptake of CO</w:t>
      </w:r>
      <w:r w:rsidRPr="003A48AB">
        <w:rPr>
          <w:rFonts w:ascii="Arial" w:eastAsia="Times New Roman" w:hAnsi="Arial" w:cs="Arial"/>
          <w:color w:val="000000"/>
          <w:vertAlign w:val="subscript"/>
          <w:lang w:eastAsia="ja-JP"/>
        </w:rPr>
        <w:t>2</w:t>
      </w:r>
      <w:r w:rsidRPr="003A48AB">
        <w:rPr>
          <w:rFonts w:ascii="Arial" w:eastAsia="Times New Roman" w:hAnsi="Arial" w:cs="Arial"/>
          <w:color w:val="000000"/>
          <w:lang w:eastAsia="ja-JP"/>
        </w:rPr>
        <w:t xml:space="preserve"> and regulation over water release. The fossil evidence suggest</w:t>
      </w:r>
      <w:r w:rsidR="00CE522F">
        <w:rPr>
          <w:rFonts w:ascii="Arial" w:eastAsia="Times New Roman" w:hAnsi="Arial" w:cs="Arial"/>
          <w:color w:val="000000"/>
          <w:lang w:eastAsia="ja-JP"/>
        </w:rPr>
        <w:t>s</w:t>
      </w:r>
      <w:r w:rsidRPr="003A48AB">
        <w:rPr>
          <w:rFonts w:ascii="Arial" w:eastAsia="Times New Roman" w:hAnsi="Arial" w:cs="Arial"/>
          <w:color w:val="000000"/>
          <w:lang w:eastAsia="ja-JP"/>
        </w:rPr>
        <w:t xml:space="preserve"> that stomata are ancient structures as they been observed on early vascular land plant </w:t>
      </w:r>
      <w:r w:rsidR="00CE522F">
        <w:rPr>
          <w:rFonts w:ascii="Arial" w:eastAsia="Times New Roman" w:hAnsi="Arial" w:cs="Arial"/>
          <w:color w:val="000000"/>
          <w:lang w:eastAsia="ja-JP"/>
        </w:rPr>
        <w:t>remain which</w:t>
      </w:r>
      <w:r w:rsidRPr="003A48AB">
        <w:rPr>
          <w:rFonts w:ascii="Arial" w:eastAsia="Times New Roman" w:hAnsi="Arial" w:cs="Arial"/>
          <w:color w:val="000000"/>
          <w:lang w:eastAsia="ja-JP"/>
        </w:rPr>
        <w:t xml:space="preserve"> are over 400 million years old. </w:t>
      </w:r>
      <w:bookmarkEnd w:id="0"/>
      <w:r w:rsidRPr="003A48AB">
        <w:rPr>
          <w:rFonts w:ascii="Arial" w:eastAsia="Times New Roman" w:hAnsi="Arial" w:cs="Arial"/>
          <w:color w:val="000000"/>
          <w:lang w:eastAsia="ja-JP"/>
        </w:rPr>
        <w:t>Whilst such ancient fossil finds provide an insightful window into the history of land plants, they do not address the key question of whether stomata are monophyletic in origin or whether they evolved multiple times. With the advent of modern molecular biology and genetics it has now become possible to try to answer such a question.</w:t>
      </w:r>
    </w:p>
    <w:p w14:paraId="1F72E5C5" w14:textId="77777777" w:rsidR="003A48AB" w:rsidRPr="003A48AB" w:rsidRDefault="003A48AB" w:rsidP="003A48AB">
      <w:pPr>
        <w:spacing w:after="160" w:line="360" w:lineRule="auto"/>
        <w:rPr>
          <w:rFonts w:ascii="Arial" w:eastAsia="Times New Roman" w:hAnsi="Arial" w:cs="Arial"/>
          <w:color w:val="000000"/>
          <w:lang w:eastAsia="ja-JP"/>
        </w:rPr>
      </w:pPr>
      <w:r w:rsidRPr="003A48AB">
        <w:rPr>
          <w:rFonts w:ascii="Arial" w:eastAsia="Times New Roman" w:hAnsi="Arial" w:cs="Arial"/>
          <w:color w:val="000000"/>
          <w:lang w:eastAsia="ja-JP"/>
        </w:rPr>
        <w:t xml:space="preserve">In recent times the non-vascular land plant and moss </w:t>
      </w:r>
      <w:r w:rsidRPr="003A48AB">
        <w:rPr>
          <w:rFonts w:ascii="Arial" w:eastAsia="Times New Roman" w:hAnsi="Arial" w:cs="Arial"/>
          <w:i/>
          <w:color w:val="000000"/>
          <w:lang w:eastAsia="ja-JP"/>
        </w:rPr>
        <w:t xml:space="preserve">Physcomitrella patens </w:t>
      </w:r>
      <w:r w:rsidRPr="003A48AB">
        <w:rPr>
          <w:rFonts w:ascii="Arial" w:eastAsia="Times New Roman" w:hAnsi="Arial" w:cs="Arial"/>
          <w:color w:val="000000"/>
          <w:lang w:eastAsia="ja-JP"/>
        </w:rPr>
        <w:t xml:space="preserve">has been studied extensively. It now has an extensive array of tools associated with it that enable scientist to probe a vast number of questions. As a moss and a bryophyte, this key model species belongs to arguably the most ancient lineage of land plants that has stomata and so represents an ideal species to study the evolution of stomata. It has been shown that </w:t>
      </w:r>
      <w:r w:rsidRPr="003A48AB">
        <w:rPr>
          <w:rFonts w:ascii="Arial" w:eastAsia="Times New Roman" w:hAnsi="Arial" w:cs="Arial"/>
          <w:i/>
          <w:color w:val="000000"/>
          <w:lang w:eastAsia="ja-JP"/>
        </w:rPr>
        <w:t xml:space="preserve">P. patens </w:t>
      </w:r>
      <w:r w:rsidRPr="003A48AB">
        <w:rPr>
          <w:rFonts w:ascii="Arial" w:eastAsia="Times New Roman" w:hAnsi="Arial" w:cs="Arial"/>
          <w:color w:val="000000"/>
          <w:lang w:eastAsia="ja-JP"/>
        </w:rPr>
        <w:t>stomata respond to a number of different environmental stimuli akin to vascular land plants and may also share certain genes which govern how stomata function. However, whether genes governing stomatal development are conserved</w:t>
      </w:r>
      <w:r w:rsidR="00CE522F">
        <w:rPr>
          <w:rFonts w:ascii="Arial" w:eastAsia="Times New Roman" w:hAnsi="Arial" w:cs="Arial"/>
          <w:color w:val="000000"/>
          <w:lang w:eastAsia="ja-JP"/>
        </w:rPr>
        <w:t xml:space="preserve"> between vascular land plants and the non-vascular land plant </w:t>
      </w:r>
      <w:r w:rsidR="00CE522F">
        <w:rPr>
          <w:rFonts w:ascii="Arial" w:eastAsia="Times New Roman" w:hAnsi="Arial" w:cs="Arial"/>
          <w:i/>
          <w:color w:val="000000"/>
          <w:lang w:eastAsia="ja-JP"/>
        </w:rPr>
        <w:t xml:space="preserve">P. patens </w:t>
      </w:r>
      <w:r w:rsidR="00CE522F">
        <w:rPr>
          <w:rFonts w:ascii="Arial" w:eastAsia="Times New Roman" w:hAnsi="Arial" w:cs="Arial"/>
          <w:color w:val="000000"/>
          <w:lang w:eastAsia="ja-JP"/>
        </w:rPr>
        <w:t>is unclear</w:t>
      </w:r>
      <w:r w:rsidRPr="003A48AB">
        <w:rPr>
          <w:rFonts w:ascii="Arial" w:eastAsia="Times New Roman" w:hAnsi="Arial" w:cs="Arial"/>
          <w:color w:val="000000"/>
          <w:lang w:eastAsia="ja-JP"/>
        </w:rPr>
        <w:t xml:space="preserve">. </w:t>
      </w:r>
    </w:p>
    <w:p w14:paraId="15E5671F" w14:textId="2850B8BC" w:rsidR="003A48AB" w:rsidRPr="003A48AB" w:rsidRDefault="003A48AB" w:rsidP="003A48AB">
      <w:pPr>
        <w:spacing w:after="160" w:line="360" w:lineRule="auto"/>
        <w:rPr>
          <w:rFonts w:ascii="Arial" w:eastAsia="Times New Roman" w:hAnsi="Arial" w:cs="Arial"/>
          <w:color w:val="000000"/>
          <w:lang w:eastAsia="ja-JP"/>
        </w:rPr>
      </w:pPr>
      <w:r w:rsidRPr="003A48AB">
        <w:rPr>
          <w:rFonts w:ascii="Arial" w:eastAsia="Times New Roman" w:hAnsi="Arial" w:cs="Arial"/>
          <w:color w:val="000000"/>
          <w:lang w:eastAsia="ja-JP"/>
        </w:rPr>
        <w:t>Using a phylogenetics approach to first identify putative stomatal developmental genes, this thesis highlights some of the key genes that permit stomata to develop and be patterned on the</w:t>
      </w:r>
      <w:r w:rsidR="00CE522F">
        <w:rPr>
          <w:rFonts w:ascii="Arial" w:eastAsia="Times New Roman" w:hAnsi="Arial" w:cs="Arial"/>
          <w:color w:val="000000"/>
          <w:lang w:eastAsia="ja-JP"/>
        </w:rPr>
        <w:t xml:space="preserve"> epidermis of the</w:t>
      </w:r>
      <w:r w:rsidRPr="003A48AB">
        <w:rPr>
          <w:rFonts w:ascii="Arial" w:eastAsia="Times New Roman" w:hAnsi="Arial" w:cs="Arial"/>
          <w:color w:val="000000"/>
          <w:lang w:eastAsia="ja-JP"/>
        </w:rPr>
        <w:t xml:space="preserve"> </w:t>
      </w:r>
      <w:r w:rsidRPr="003A48AB">
        <w:rPr>
          <w:rFonts w:ascii="Arial" w:eastAsia="Times New Roman" w:hAnsi="Arial" w:cs="Arial"/>
          <w:i/>
          <w:color w:val="000000"/>
          <w:lang w:eastAsia="ja-JP"/>
        </w:rPr>
        <w:t xml:space="preserve">P. patens </w:t>
      </w:r>
      <w:r w:rsidRPr="003A48AB">
        <w:rPr>
          <w:rFonts w:ascii="Arial" w:eastAsia="Times New Roman" w:hAnsi="Arial" w:cs="Arial"/>
          <w:color w:val="000000"/>
          <w:lang w:eastAsia="ja-JP"/>
        </w:rPr>
        <w:t xml:space="preserve">sporophyte. Such genes include the transcription factors </w:t>
      </w:r>
      <w:r w:rsidRPr="003A48AB">
        <w:rPr>
          <w:rFonts w:ascii="Arial" w:eastAsia="Times New Roman" w:hAnsi="Arial" w:cs="Arial"/>
          <w:i/>
          <w:color w:val="000000"/>
          <w:lang w:eastAsia="ja-JP"/>
        </w:rPr>
        <w:t xml:space="preserve">PpSMF1 </w:t>
      </w:r>
      <w:r w:rsidRPr="003A48AB">
        <w:rPr>
          <w:rFonts w:ascii="Arial" w:eastAsia="Times New Roman" w:hAnsi="Arial" w:cs="Arial"/>
          <w:color w:val="000000"/>
          <w:lang w:eastAsia="ja-JP"/>
        </w:rPr>
        <w:t xml:space="preserve">and </w:t>
      </w:r>
      <w:r w:rsidRPr="003A48AB">
        <w:rPr>
          <w:rFonts w:ascii="Arial" w:eastAsia="Times New Roman" w:hAnsi="Arial" w:cs="Arial"/>
          <w:i/>
          <w:color w:val="000000"/>
          <w:lang w:eastAsia="ja-JP"/>
        </w:rPr>
        <w:t>PpSCRM1</w:t>
      </w:r>
      <w:r w:rsidRPr="003A48AB">
        <w:rPr>
          <w:rFonts w:ascii="Arial" w:eastAsia="Times New Roman" w:hAnsi="Arial" w:cs="Arial"/>
          <w:color w:val="000000"/>
          <w:lang w:eastAsia="ja-JP"/>
        </w:rPr>
        <w:t xml:space="preserve"> which are absolutely essential in permitting stomata to develop. Strikingly without either of these genes, </w:t>
      </w:r>
      <w:r w:rsidRPr="003A48AB">
        <w:rPr>
          <w:rFonts w:ascii="Arial" w:eastAsia="Times New Roman" w:hAnsi="Arial" w:cs="Arial"/>
          <w:i/>
          <w:color w:val="000000"/>
          <w:lang w:eastAsia="ja-JP"/>
        </w:rPr>
        <w:t xml:space="preserve">P. patens </w:t>
      </w:r>
      <w:r w:rsidR="00CE522F">
        <w:rPr>
          <w:rFonts w:ascii="Arial" w:eastAsia="Times New Roman" w:hAnsi="Arial" w:cs="Arial"/>
          <w:color w:val="000000"/>
          <w:lang w:eastAsia="ja-JP"/>
        </w:rPr>
        <w:t xml:space="preserve">does not </w:t>
      </w:r>
      <w:r w:rsidRPr="003A48AB">
        <w:rPr>
          <w:rFonts w:ascii="Arial" w:eastAsia="Times New Roman" w:hAnsi="Arial" w:cs="Arial"/>
          <w:color w:val="000000"/>
          <w:lang w:eastAsia="ja-JP"/>
        </w:rPr>
        <w:t xml:space="preserve">produce stomata. Furthermore, it is illustrated that when stomata </w:t>
      </w:r>
      <w:r w:rsidR="00CE522F">
        <w:rPr>
          <w:rFonts w:ascii="Arial" w:eastAsia="Times New Roman" w:hAnsi="Arial" w:cs="Arial"/>
          <w:color w:val="000000"/>
          <w:lang w:eastAsia="ja-JP"/>
        </w:rPr>
        <w:t xml:space="preserve">fail to </w:t>
      </w:r>
      <w:r w:rsidRPr="003A48AB">
        <w:rPr>
          <w:rFonts w:ascii="Arial" w:eastAsia="Times New Roman" w:hAnsi="Arial" w:cs="Arial"/>
          <w:color w:val="000000"/>
          <w:lang w:eastAsia="ja-JP"/>
        </w:rPr>
        <w:t xml:space="preserve">form </w:t>
      </w:r>
      <w:r w:rsidR="00CE522F">
        <w:rPr>
          <w:rFonts w:ascii="Arial" w:eastAsia="Times New Roman" w:hAnsi="Arial" w:cs="Arial"/>
          <w:color w:val="000000"/>
          <w:lang w:eastAsia="ja-JP"/>
        </w:rPr>
        <w:t xml:space="preserve">in such </w:t>
      </w:r>
      <w:r w:rsidRPr="003A48AB">
        <w:rPr>
          <w:rFonts w:ascii="Arial" w:eastAsia="Times New Roman" w:hAnsi="Arial" w:cs="Arial"/>
          <w:i/>
          <w:color w:val="000000"/>
          <w:lang w:eastAsia="ja-JP"/>
        </w:rPr>
        <w:t xml:space="preserve">P. patens </w:t>
      </w:r>
      <w:r w:rsidRPr="003A48AB">
        <w:rPr>
          <w:rFonts w:ascii="Arial" w:eastAsia="Times New Roman" w:hAnsi="Arial" w:cs="Arial"/>
          <w:color w:val="000000"/>
          <w:lang w:eastAsia="ja-JP"/>
        </w:rPr>
        <w:t xml:space="preserve">mutants, that sporophyte capsules can still develop albeit with delayed dehiscence. It is further illustrated that </w:t>
      </w:r>
      <w:r w:rsidRPr="003A48AB">
        <w:rPr>
          <w:rFonts w:ascii="Arial" w:eastAsia="Times New Roman" w:hAnsi="Arial" w:cs="Arial"/>
          <w:i/>
          <w:color w:val="000000"/>
          <w:lang w:eastAsia="ja-JP"/>
        </w:rPr>
        <w:t>P. patens</w:t>
      </w:r>
      <w:r w:rsidRPr="003A48AB">
        <w:rPr>
          <w:rFonts w:ascii="Arial" w:eastAsia="Times New Roman" w:hAnsi="Arial" w:cs="Arial"/>
          <w:color w:val="000000"/>
          <w:lang w:eastAsia="ja-JP"/>
        </w:rPr>
        <w:t xml:space="preserve"> uses conserved stomatal patterning genes </w:t>
      </w:r>
      <w:r w:rsidRPr="003A48AB">
        <w:rPr>
          <w:rFonts w:ascii="Arial" w:eastAsia="Times New Roman" w:hAnsi="Arial" w:cs="Arial"/>
          <w:i/>
          <w:color w:val="000000"/>
          <w:lang w:eastAsia="ja-JP"/>
        </w:rPr>
        <w:t>PpEPF1</w:t>
      </w:r>
      <w:r w:rsidRPr="003A48AB">
        <w:rPr>
          <w:rFonts w:ascii="Arial" w:eastAsia="Times New Roman" w:hAnsi="Arial" w:cs="Arial"/>
          <w:color w:val="000000"/>
          <w:lang w:eastAsia="ja-JP"/>
        </w:rPr>
        <w:t xml:space="preserve">, </w:t>
      </w:r>
      <w:r w:rsidRPr="003A48AB">
        <w:rPr>
          <w:rFonts w:ascii="Arial" w:eastAsia="Times New Roman" w:hAnsi="Arial" w:cs="Arial"/>
          <w:i/>
          <w:color w:val="000000"/>
          <w:lang w:eastAsia="ja-JP"/>
        </w:rPr>
        <w:t xml:space="preserve">PpTMM </w:t>
      </w:r>
      <w:r w:rsidRPr="003A48AB">
        <w:rPr>
          <w:rFonts w:ascii="Arial" w:eastAsia="Times New Roman" w:hAnsi="Arial" w:cs="Arial"/>
          <w:color w:val="000000"/>
          <w:lang w:eastAsia="ja-JP"/>
        </w:rPr>
        <w:t xml:space="preserve">and </w:t>
      </w:r>
      <w:r w:rsidRPr="003A48AB">
        <w:rPr>
          <w:rFonts w:ascii="Arial" w:eastAsia="Times New Roman" w:hAnsi="Arial" w:cs="Arial"/>
          <w:i/>
          <w:color w:val="000000"/>
          <w:lang w:eastAsia="ja-JP"/>
        </w:rPr>
        <w:t xml:space="preserve">PpERECTA1 </w:t>
      </w:r>
      <w:r w:rsidRPr="003A48AB">
        <w:rPr>
          <w:rFonts w:ascii="Arial" w:eastAsia="Times New Roman" w:hAnsi="Arial" w:cs="Arial"/>
          <w:color w:val="000000"/>
          <w:lang w:eastAsia="ja-JP"/>
        </w:rPr>
        <w:t xml:space="preserve">to correctly integrate where stomata form on the base of the sporophyte capsule thus </w:t>
      </w:r>
      <w:r w:rsidR="00CE522F">
        <w:rPr>
          <w:rFonts w:ascii="Arial" w:eastAsia="Times New Roman" w:hAnsi="Arial" w:cs="Arial"/>
          <w:color w:val="000000"/>
          <w:lang w:eastAsia="ja-JP"/>
        </w:rPr>
        <w:t xml:space="preserve">confirming </w:t>
      </w:r>
      <w:r w:rsidRPr="003A48AB">
        <w:rPr>
          <w:rFonts w:ascii="Arial" w:eastAsia="Times New Roman" w:hAnsi="Arial" w:cs="Arial"/>
          <w:color w:val="000000"/>
          <w:lang w:eastAsia="ja-JP"/>
        </w:rPr>
        <w:t xml:space="preserve">that both stomatal development and patterning </w:t>
      </w:r>
      <w:r w:rsidR="00BD0A55">
        <w:rPr>
          <w:rFonts w:ascii="Arial" w:eastAsia="Times New Roman" w:hAnsi="Arial" w:cs="Arial"/>
          <w:color w:val="000000"/>
          <w:lang w:eastAsia="ja-JP"/>
        </w:rPr>
        <w:t xml:space="preserve">mechanisms are conserved between </w:t>
      </w:r>
      <w:r w:rsidRPr="003A48AB">
        <w:rPr>
          <w:rFonts w:ascii="Arial" w:eastAsia="Times New Roman" w:hAnsi="Arial" w:cs="Arial"/>
          <w:color w:val="000000"/>
          <w:lang w:eastAsia="ja-JP"/>
        </w:rPr>
        <w:t>mosses and vascular land plants</w:t>
      </w:r>
      <w:r w:rsidR="00BD0A55">
        <w:rPr>
          <w:rFonts w:ascii="Arial" w:eastAsia="Times New Roman" w:hAnsi="Arial" w:cs="Arial"/>
          <w:color w:val="000000"/>
          <w:lang w:eastAsia="ja-JP"/>
        </w:rPr>
        <w:t>. This implies that a common ancestor of both these species once used ancient variants of the identified genes to correctly develop and pattern stomata</w:t>
      </w:r>
      <w:r w:rsidRPr="003A48AB">
        <w:rPr>
          <w:rFonts w:ascii="Arial" w:eastAsia="Times New Roman" w:hAnsi="Arial" w:cs="Arial"/>
          <w:color w:val="000000"/>
          <w:lang w:eastAsia="ja-JP"/>
        </w:rPr>
        <w:t xml:space="preserve">. Evidence is also included which suggests that stomatal development and patterning genes may also be conserved in the hornworts which if verified would suggest that stomata are monophyletic. </w:t>
      </w:r>
    </w:p>
    <w:p w14:paraId="1CB1DEB7" w14:textId="77777777" w:rsidR="003A48AB" w:rsidRPr="003A48AB" w:rsidRDefault="003A48AB" w:rsidP="003A48AB">
      <w:pPr>
        <w:spacing w:after="160" w:line="360" w:lineRule="auto"/>
        <w:rPr>
          <w:rFonts w:ascii="Arial" w:eastAsia="Times New Roman" w:hAnsi="Arial" w:cs="Arial"/>
          <w:color w:val="000000"/>
          <w:lang w:eastAsia="ja-JP"/>
        </w:rPr>
      </w:pPr>
      <w:r w:rsidRPr="003A48AB">
        <w:rPr>
          <w:rFonts w:ascii="Arial" w:eastAsia="Times New Roman" w:hAnsi="Arial" w:cs="Arial"/>
          <w:color w:val="000000"/>
          <w:lang w:eastAsia="ja-JP"/>
        </w:rPr>
        <w:lastRenderedPageBreak/>
        <w:t>Often in vascular land plants when atmospheric CO</w:t>
      </w:r>
      <w:r w:rsidRPr="003A48AB">
        <w:rPr>
          <w:rFonts w:ascii="Arial" w:eastAsia="Times New Roman" w:hAnsi="Arial" w:cs="Arial"/>
          <w:color w:val="000000"/>
          <w:vertAlign w:val="subscript"/>
          <w:lang w:eastAsia="ja-JP"/>
        </w:rPr>
        <w:t>2</w:t>
      </w:r>
      <w:r w:rsidRPr="003A48AB">
        <w:rPr>
          <w:rFonts w:ascii="Arial" w:eastAsia="Times New Roman" w:hAnsi="Arial" w:cs="Arial"/>
          <w:color w:val="000000"/>
          <w:lang w:eastAsia="ja-JP"/>
        </w:rPr>
        <w:t xml:space="preserve"> concentrations are higher, stomatal size (S) is increased and stomatal density (D) is reduced. At lower CO</w:t>
      </w:r>
      <w:r w:rsidRPr="003A48AB">
        <w:rPr>
          <w:rFonts w:ascii="Arial" w:eastAsia="Times New Roman" w:hAnsi="Arial" w:cs="Arial"/>
          <w:color w:val="000000"/>
          <w:vertAlign w:val="subscript"/>
          <w:lang w:eastAsia="ja-JP"/>
        </w:rPr>
        <w:t>2</w:t>
      </w:r>
      <w:r w:rsidRPr="003A48AB">
        <w:rPr>
          <w:rFonts w:ascii="Arial" w:eastAsia="Times New Roman" w:hAnsi="Arial" w:cs="Arial"/>
          <w:color w:val="000000"/>
          <w:lang w:eastAsia="ja-JP"/>
        </w:rPr>
        <w:t xml:space="preserve"> concentrations the reverse trend is observed with reduced S and increased D. Whilst this response is fairly common in vascular land plants it is unclear whether such a response extends to non-vascular land plants with some recent publications suggesting that such a response does not occur. In this study it was found that stomatal S and D responses </w:t>
      </w:r>
      <w:r w:rsidR="008A2B4A">
        <w:rPr>
          <w:rFonts w:ascii="Arial" w:eastAsia="Times New Roman" w:hAnsi="Arial" w:cs="Arial"/>
          <w:color w:val="000000"/>
          <w:lang w:eastAsia="ja-JP"/>
        </w:rPr>
        <w:t xml:space="preserve">were present but </w:t>
      </w:r>
      <w:r w:rsidRPr="003A48AB">
        <w:rPr>
          <w:rFonts w:ascii="Arial" w:eastAsia="Times New Roman" w:hAnsi="Arial" w:cs="Arial"/>
          <w:color w:val="000000"/>
          <w:lang w:eastAsia="ja-JP"/>
        </w:rPr>
        <w:t>appear to be linked to capsule size increases with increasing levels of CO</w:t>
      </w:r>
      <w:r w:rsidRPr="003A48AB">
        <w:rPr>
          <w:rFonts w:ascii="Arial" w:eastAsia="Times New Roman" w:hAnsi="Arial" w:cs="Arial"/>
          <w:color w:val="000000"/>
          <w:vertAlign w:val="subscript"/>
          <w:lang w:eastAsia="ja-JP"/>
        </w:rPr>
        <w:t>2</w:t>
      </w:r>
      <w:r w:rsidRPr="003A48AB">
        <w:rPr>
          <w:rFonts w:ascii="Arial" w:eastAsia="Times New Roman" w:hAnsi="Arial" w:cs="Arial"/>
          <w:color w:val="000000"/>
          <w:lang w:eastAsia="ja-JP"/>
        </w:rPr>
        <w:t xml:space="preserve">. Using </w:t>
      </w:r>
      <w:r w:rsidRPr="003A48AB">
        <w:rPr>
          <w:rFonts w:ascii="Arial" w:eastAsia="Times New Roman" w:hAnsi="Arial" w:cs="Arial"/>
          <w:i/>
          <w:color w:val="000000"/>
          <w:lang w:eastAsia="ja-JP"/>
        </w:rPr>
        <w:t xml:space="preserve">P. patens </w:t>
      </w:r>
      <w:r w:rsidRPr="003A48AB">
        <w:rPr>
          <w:rFonts w:ascii="Arial" w:eastAsia="Times New Roman" w:hAnsi="Arial" w:cs="Arial"/>
          <w:color w:val="000000"/>
          <w:lang w:eastAsia="ja-JP"/>
        </w:rPr>
        <w:t>stomatal patterning mutants produced during this research it was further addressed whether vascular and non-vascular land plants share the same genetic mechanisms to alter their D in response to being grown at elevated CO</w:t>
      </w:r>
      <w:r w:rsidRPr="003A48AB">
        <w:rPr>
          <w:rFonts w:ascii="Arial" w:eastAsia="Times New Roman" w:hAnsi="Arial" w:cs="Arial"/>
          <w:color w:val="000000"/>
          <w:vertAlign w:val="subscript"/>
          <w:lang w:eastAsia="ja-JP"/>
        </w:rPr>
        <w:t>2</w:t>
      </w:r>
      <w:r w:rsidRPr="003A48AB">
        <w:rPr>
          <w:rFonts w:ascii="Arial" w:eastAsia="Times New Roman" w:hAnsi="Arial" w:cs="Arial"/>
          <w:color w:val="000000"/>
          <w:lang w:eastAsia="ja-JP"/>
        </w:rPr>
        <w:t xml:space="preserve"> concentration. It was found that for </w:t>
      </w:r>
      <w:r w:rsidRPr="003A48AB">
        <w:rPr>
          <w:rFonts w:ascii="Arial" w:eastAsia="Times New Roman" w:hAnsi="Arial" w:cs="Arial"/>
          <w:i/>
          <w:color w:val="000000"/>
          <w:lang w:eastAsia="ja-JP"/>
        </w:rPr>
        <w:t xml:space="preserve">P. patens </w:t>
      </w:r>
      <w:r w:rsidRPr="003A48AB">
        <w:rPr>
          <w:rFonts w:ascii="Arial" w:eastAsia="Times New Roman" w:hAnsi="Arial" w:cs="Arial"/>
          <w:color w:val="000000"/>
          <w:lang w:eastAsia="ja-JP"/>
        </w:rPr>
        <w:t xml:space="preserve">that </w:t>
      </w:r>
      <w:r w:rsidRPr="003A48AB">
        <w:rPr>
          <w:rFonts w:ascii="Arial" w:eastAsia="Times New Roman" w:hAnsi="Arial" w:cs="Arial"/>
          <w:i/>
          <w:color w:val="000000"/>
          <w:lang w:eastAsia="ja-JP"/>
        </w:rPr>
        <w:t xml:space="preserve">PpEPF1 </w:t>
      </w:r>
      <w:r w:rsidRPr="003A48AB">
        <w:rPr>
          <w:rFonts w:ascii="Arial" w:eastAsia="Times New Roman" w:hAnsi="Arial" w:cs="Arial"/>
          <w:color w:val="000000"/>
          <w:lang w:eastAsia="ja-JP"/>
        </w:rPr>
        <w:t>cannot perform the same function as Arabidopsis EPF2 in regulating stomatal density responses to CO</w:t>
      </w:r>
      <w:r w:rsidRPr="003A48AB">
        <w:rPr>
          <w:rFonts w:ascii="Arial" w:eastAsia="Times New Roman" w:hAnsi="Arial" w:cs="Arial"/>
          <w:color w:val="000000"/>
          <w:vertAlign w:val="subscript"/>
          <w:lang w:eastAsia="ja-JP"/>
        </w:rPr>
        <w:t>2</w:t>
      </w:r>
      <w:r w:rsidRPr="003A48AB">
        <w:rPr>
          <w:rFonts w:ascii="Arial" w:eastAsia="Times New Roman" w:hAnsi="Arial" w:cs="Arial"/>
          <w:color w:val="000000"/>
          <w:lang w:eastAsia="ja-JP"/>
        </w:rPr>
        <w:t xml:space="preserve">. How </w:t>
      </w:r>
      <w:r w:rsidRPr="003A48AB">
        <w:rPr>
          <w:rFonts w:ascii="Arial" w:eastAsia="Times New Roman" w:hAnsi="Arial" w:cs="Arial"/>
          <w:i/>
          <w:color w:val="000000"/>
          <w:lang w:eastAsia="ja-JP"/>
        </w:rPr>
        <w:t xml:space="preserve">P. patens </w:t>
      </w:r>
      <w:r w:rsidRPr="003A48AB">
        <w:rPr>
          <w:rFonts w:ascii="Arial" w:eastAsia="Times New Roman" w:hAnsi="Arial" w:cs="Arial"/>
          <w:color w:val="000000"/>
          <w:lang w:eastAsia="ja-JP"/>
        </w:rPr>
        <w:t>regulates CO</w:t>
      </w:r>
      <w:r w:rsidRPr="00BD0A55">
        <w:rPr>
          <w:rFonts w:ascii="Arial" w:eastAsia="Times New Roman" w:hAnsi="Arial" w:cs="Arial"/>
          <w:color w:val="000000"/>
          <w:vertAlign w:val="subscript"/>
          <w:lang w:eastAsia="ja-JP"/>
        </w:rPr>
        <w:t>2</w:t>
      </w:r>
      <w:r w:rsidRPr="003A48AB">
        <w:rPr>
          <w:rFonts w:ascii="Arial" w:eastAsia="Times New Roman" w:hAnsi="Arial" w:cs="Arial"/>
          <w:color w:val="000000"/>
          <w:vertAlign w:val="subscript"/>
          <w:lang w:eastAsia="ja-JP"/>
        </w:rPr>
        <w:t xml:space="preserve"> </w:t>
      </w:r>
      <w:r w:rsidRPr="003A48AB">
        <w:rPr>
          <w:rFonts w:ascii="Arial" w:eastAsia="Times New Roman" w:hAnsi="Arial" w:cs="Arial"/>
          <w:color w:val="000000"/>
          <w:lang w:eastAsia="ja-JP"/>
        </w:rPr>
        <w:t>response at the genetic level requires further study.</w:t>
      </w:r>
    </w:p>
    <w:p w14:paraId="6EB9CCC6" w14:textId="77777777" w:rsidR="003A48AB" w:rsidRPr="003A48AB" w:rsidRDefault="003A48AB" w:rsidP="003A48AB">
      <w:pPr>
        <w:spacing w:after="160" w:line="259" w:lineRule="auto"/>
        <w:rPr>
          <w:rFonts w:ascii="Arial" w:eastAsia="Times New Roman" w:hAnsi="Arial" w:cs="Arial"/>
          <w:color w:val="000000"/>
          <w:lang w:eastAsia="ja-JP"/>
        </w:rPr>
      </w:pPr>
      <w:r w:rsidRPr="003A48AB">
        <w:rPr>
          <w:rFonts w:ascii="Arial" w:eastAsia="Times New Roman" w:hAnsi="Arial" w:cs="Arial"/>
          <w:color w:val="000000"/>
          <w:lang w:eastAsia="ja-JP"/>
        </w:rPr>
        <w:br w:type="page"/>
      </w:r>
    </w:p>
    <w:p w14:paraId="68F1ADE8" w14:textId="77777777" w:rsidR="003A48AB" w:rsidRPr="003A48AB" w:rsidRDefault="003A48AB" w:rsidP="009F0A54">
      <w:pPr>
        <w:tabs>
          <w:tab w:val="left" w:pos="6663"/>
        </w:tabs>
        <w:spacing w:after="100" w:afterAutospacing="1" w:line="240" w:lineRule="auto"/>
        <w:rPr>
          <w:rFonts w:ascii="Arial" w:eastAsia="Times New Roman" w:hAnsi="Arial" w:cs="Arial"/>
          <w:b/>
          <w:color w:val="000000"/>
          <w:lang w:eastAsia="ja-JP"/>
        </w:rPr>
      </w:pPr>
      <w:r w:rsidRPr="003A48AB">
        <w:rPr>
          <w:rFonts w:ascii="Arial" w:eastAsia="Times New Roman" w:hAnsi="Arial" w:cs="Arial"/>
          <w:b/>
          <w:color w:val="000000"/>
          <w:lang w:eastAsia="ja-JP"/>
        </w:rPr>
        <w:lastRenderedPageBreak/>
        <w:t>Thesis chapter contents</w:t>
      </w:r>
    </w:p>
    <w:p w14:paraId="1AA97F5D" w14:textId="77777777" w:rsidR="003A48AB" w:rsidRPr="003A48AB" w:rsidRDefault="003A48AB" w:rsidP="009F0A54">
      <w:pPr>
        <w:tabs>
          <w:tab w:val="left" w:pos="6663"/>
        </w:tabs>
        <w:spacing w:after="0" w:line="240" w:lineRule="auto"/>
        <w:rPr>
          <w:rFonts w:ascii="Arial" w:eastAsia="Times New Roman" w:hAnsi="Arial" w:cs="Arial"/>
          <w:b/>
          <w:color w:val="000000"/>
          <w:lang w:eastAsia="ja-JP"/>
        </w:rPr>
      </w:pPr>
      <w:r w:rsidRPr="003A48AB">
        <w:rPr>
          <w:rFonts w:ascii="Arial" w:eastAsia="Times New Roman" w:hAnsi="Arial" w:cs="Arial"/>
          <w:b/>
          <w:color w:val="000000"/>
          <w:lang w:eastAsia="ja-JP"/>
        </w:rPr>
        <w:t>Chapter 1: Introduction</w:t>
      </w:r>
      <w:r w:rsidR="009F0A54">
        <w:rPr>
          <w:rFonts w:ascii="Arial" w:eastAsia="Times New Roman" w:hAnsi="Arial" w:cs="Arial"/>
          <w:b/>
          <w:color w:val="000000"/>
          <w:lang w:eastAsia="ja-JP"/>
        </w:rPr>
        <w:tab/>
      </w:r>
      <w:r w:rsidR="009F0A54">
        <w:rPr>
          <w:rFonts w:ascii="Arial" w:eastAsia="Times New Roman" w:hAnsi="Arial" w:cs="Arial"/>
          <w:b/>
          <w:color w:val="000000"/>
          <w:lang w:eastAsia="ja-JP"/>
        </w:rPr>
        <w:tab/>
        <w:t>1-26</w:t>
      </w:r>
    </w:p>
    <w:p w14:paraId="7387E3B4" w14:textId="77777777" w:rsidR="009F0A54" w:rsidRDefault="009F0A54" w:rsidP="009F0A54">
      <w:pPr>
        <w:pStyle w:val="ListParagraph"/>
        <w:numPr>
          <w:ilvl w:val="1"/>
          <w:numId w:val="41"/>
        </w:numPr>
        <w:tabs>
          <w:tab w:val="left" w:pos="6946"/>
        </w:tabs>
        <w:spacing w:after="100" w:afterAutospacing="1"/>
        <w:ind w:right="95" w:hanging="578"/>
        <w:rPr>
          <w:rFonts w:ascii="Arial" w:eastAsia="Yu Mincho" w:hAnsi="Arial" w:cs="Arial"/>
          <w:lang w:eastAsia="ja-JP"/>
        </w:rPr>
      </w:pPr>
      <w:r w:rsidRPr="009F0A54">
        <w:rPr>
          <w:rFonts w:ascii="Arial" w:eastAsia="Yu Mincho" w:hAnsi="Arial" w:cs="Arial"/>
          <w:lang w:eastAsia="ja-JP"/>
        </w:rPr>
        <w:t>The importance of land plants</w:t>
      </w:r>
      <w:r>
        <w:rPr>
          <w:rFonts w:ascii="Arial" w:eastAsia="Yu Mincho" w:hAnsi="Arial" w:cs="Arial"/>
          <w:lang w:eastAsia="ja-JP"/>
        </w:rPr>
        <w:tab/>
      </w:r>
      <w:r>
        <w:rPr>
          <w:rFonts w:ascii="Arial" w:eastAsia="Yu Mincho" w:hAnsi="Arial" w:cs="Arial"/>
          <w:lang w:eastAsia="ja-JP"/>
        </w:rPr>
        <w:tab/>
      </w:r>
      <w:r w:rsidR="006B37C8">
        <w:rPr>
          <w:rFonts w:ascii="Arial" w:eastAsia="Yu Mincho" w:hAnsi="Arial" w:cs="Arial"/>
          <w:lang w:eastAsia="ja-JP"/>
        </w:rPr>
        <w:t>2</w:t>
      </w:r>
    </w:p>
    <w:p w14:paraId="3F377730" w14:textId="77777777" w:rsidR="009F0A54" w:rsidRDefault="003A48AB" w:rsidP="009F0A54">
      <w:pPr>
        <w:pStyle w:val="ListParagraph"/>
        <w:numPr>
          <w:ilvl w:val="1"/>
          <w:numId w:val="41"/>
        </w:numPr>
        <w:tabs>
          <w:tab w:val="left" w:pos="6946"/>
        </w:tabs>
        <w:spacing w:after="100" w:afterAutospacing="1"/>
        <w:ind w:right="95" w:hanging="578"/>
        <w:rPr>
          <w:rFonts w:ascii="Arial" w:eastAsia="Yu Mincho" w:hAnsi="Arial" w:cs="Arial"/>
          <w:lang w:eastAsia="ja-JP"/>
        </w:rPr>
      </w:pPr>
      <w:r w:rsidRPr="009F0A54">
        <w:rPr>
          <w:rFonts w:ascii="Arial" w:eastAsia="Yu Mincho" w:hAnsi="Arial" w:cs="Arial"/>
          <w:lang w:eastAsia="ja-JP"/>
        </w:rPr>
        <w:t>Ancient plant fossils and an overv</w:t>
      </w:r>
      <w:r w:rsidR="009F0A54" w:rsidRPr="009F0A54">
        <w:rPr>
          <w:rFonts w:ascii="Arial" w:eastAsia="Yu Mincho" w:hAnsi="Arial" w:cs="Arial"/>
          <w:lang w:eastAsia="ja-JP"/>
        </w:rPr>
        <w:t>iew of land plant evolutionary</w:t>
      </w:r>
      <w:r w:rsidR="009F0A54" w:rsidRPr="009F0A54">
        <w:rPr>
          <w:rFonts w:ascii="Arial" w:eastAsia="Yu Mincho" w:hAnsi="Arial" w:cs="Arial"/>
          <w:lang w:eastAsia="ja-JP"/>
        </w:rPr>
        <w:tab/>
      </w:r>
      <w:r w:rsidR="009F0A54">
        <w:rPr>
          <w:rFonts w:ascii="Arial" w:eastAsia="Yu Mincho" w:hAnsi="Arial" w:cs="Arial"/>
          <w:lang w:eastAsia="ja-JP"/>
        </w:rPr>
        <w:tab/>
      </w:r>
      <w:r w:rsidR="006B37C8">
        <w:rPr>
          <w:rFonts w:ascii="Arial" w:eastAsia="Yu Mincho" w:hAnsi="Arial" w:cs="Arial"/>
          <w:lang w:eastAsia="ja-JP"/>
        </w:rPr>
        <w:t>2</w:t>
      </w:r>
      <w:r w:rsidRPr="009F0A54">
        <w:rPr>
          <w:rFonts w:ascii="Arial" w:eastAsia="Yu Mincho" w:hAnsi="Arial" w:cs="Arial"/>
          <w:lang w:eastAsia="ja-JP"/>
        </w:rPr>
        <w:t xml:space="preserve">                   history</w:t>
      </w:r>
    </w:p>
    <w:p w14:paraId="4DE43D96" w14:textId="21D8BE30" w:rsidR="009F0A54" w:rsidRDefault="003A48AB" w:rsidP="009F0A54">
      <w:pPr>
        <w:pStyle w:val="ListParagraph"/>
        <w:numPr>
          <w:ilvl w:val="1"/>
          <w:numId w:val="41"/>
        </w:numPr>
        <w:tabs>
          <w:tab w:val="left" w:pos="6946"/>
        </w:tabs>
        <w:spacing w:after="100" w:afterAutospacing="1"/>
        <w:ind w:right="95" w:hanging="578"/>
        <w:rPr>
          <w:rFonts w:ascii="Arial" w:eastAsia="Yu Mincho" w:hAnsi="Arial" w:cs="Arial"/>
          <w:lang w:eastAsia="ja-JP"/>
        </w:rPr>
      </w:pPr>
      <w:r w:rsidRPr="009F0A54">
        <w:rPr>
          <w:rFonts w:ascii="Arial" w:eastAsia="Yu Mincho" w:hAnsi="Arial" w:cs="Arial"/>
          <w:lang w:eastAsia="ja-JP"/>
        </w:rPr>
        <w:t>The C</w:t>
      </w:r>
      <w:r w:rsidR="009F0A54" w:rsidRPr="009F0A54">
        <w:rPr>
          <w:rFonts w:ascii="Arial" w:eastAsia="Yu Mincho" w:hAnsi="Arial" w:cs="Arial"/>
          <w:lang w:eastAsia="ja-JP"/>
        </w:rPr>
        <w:t>olonisation of land</w:t>
      </w:r>
      <w:r w:rsidR="00476449">
        <w:rPr>
          <w:rFonts w:ascii="Arial" w:eastAsia="Yu Mincho" w:hAnsi="Arial" w:cs="Arial"/>
          <w:lang w:eastAsia="ja-JP"/>
        </w:rPr>
        <w:tab/>
      </w:r>
      <w:r w:rsidR="00476449">
        <w:rPr>
          <w:rFonts w:ascii="Arial" w:eastAsia="Yu Mincho" w:hAnsi="Arial" w:cs="Arial"/>
          <w:lang w:eastAsia="ja-JP"/>
        </w:rPr>
        <w:tab/>
        <w:t>5</w:t>
      </w:r>
    </w:p>
    <w:p w14:paraId="481B7277" w14:textId="77777777" w:rsidR="009F0A54" w:rsidRDefault="003A48AB" w:rsidP="009F0A54">
      <w:pPr>
        <w:pStyle w:val="ListParagraph"/>
        <w:numPr>
          <w:ilvl w:val="1"/>
          <w:numId w:val="41"/>
        </w:numPr>
        <w:tabs>
          <w:tab w:val="left" w:pos="6946"/>
        </w:tabs>
        <w:spacing w:after="100" w:afterAutospacing="1"/>
        <w:ind w:right="95" w:hanging="578"/>
        <w:rPr>
          <w:rFonts w:ascii="Arial" w:eastAsia="Yu Mincho" w:hAnsi="Arial" w:cs="Arial"/>
          <w:lang w:eastAsia="ja-JP"/>
        </w:rPr>
      </w:pPr>
      <w:r w:rsidRPr="009F0A54">
        <w:rPr>
          <w:rFonts w:ascii="Arial" w:eastAsia="Yu Mincho" w:hAnsi="Arial" w:cs="Arial"/>
          <w:lang w:eastAsia="ja-JP"/>
        </w:rPr>
        <w:t>Stomatal beginnings and the</w:t>
      </w:r>
      <w:r w:rsidR="009F0A54" w:rsidRPr="009F0A54">
        <w:rPr>
          <w:rFonts w:ascii="Arial" w:eastAsia="Yu Mincho" w:hAnsi="Arial" w:cs="Arial"/>
          <w:lang w:eastAsia="ja-JP"/>
        </w:rPr>
        <w:t>ir functioning in land plants</w:t>
      </w:r>
      <w:r w:rsidR="009F0A54">
        <w:rPr>
          <w:rFonts w:ascii="Arial" w:eastAsia="Yu Mincho" w:hAnsi="Arial" w:cs="Arial"/>
          <w:lang w:eastAsia="ja-JP"/>
        </w:rPr>
        <w:tab/>
      </w:r>
      <w:r w:rsidR="009F0A54">
        <w:rPr>
          <w:rFonts w:ascii="Arial" w:eastAsia="Yu Mincho" w:hAnsi="Arial" w:cs="Arial"/>
          <w:lang w:eastAsia="ja-JP"/>
        </w:rPr>
        <w:tab/>
        <w:t>6</w:t>
      </w:r>
    </w:p>
    <w:p w14:paraId="60032A4D" w14:textId="56480AC5" w:rsidR="009F0A54" w:rsidRPr="009F0A54" w:rsidRDefault="009F0A54" w:rsidP="008A2B4A">
      <w:pPr>
        <w:pStyle w:val="ListParagraph"/>
        <w:numPr>
          <w:ilvl w:val="2"/>
          <w:numId w:val="41"/>
        </w:numPr>
        <w:tabs>
          <w:tab w:val="left" w:pos="6946"/>
        </w:tabs>
        <w:spacing w:after="100" w:afterAutospacing="1"/>
        <w:ind w:right="95" w:hanging="731"/>
        <w:rPr>
          <w:rFonts w:ascii="Arial" w:eastAsia="Yu Mincho" w:hAnsi="Arial" w:cs="Arial"/>
          <w:lang w:eastAsia="ja-JP"/>
        </w:rPr>
      </w:pPr>
      <w:r>
        <w:rPr>
          <w:rFonts w:ascii="Arial" w:eastAsia="Yu Mincho" w:hAnsi="Arial" w:cs="Arial"/>
          <w:lang w:eastAsia="ja-JP"/>
        </w:rPr>
        <w:t xml:space="preserve">Stomatal </w:t>
      </w:r>
      <w:r w:rsidR="006C37DC">
        <w:rPr>
          <w:rFonts w:ascii="Arial" w:eastAsia="Yu Mincho" w:hAnsi="Arial" w:cs="Arial"/>
          <w:lang w:eastAsia="ja-JP"/>
        </w:rPr>
        <w:t>form and developmental ontogeny</w:t>
      </w:r>
      <w:r w:rsidR="00476449">
        <w:rPr>
          <w:rFonts w:ascii="Arial" w:eastAsia="Yu Mincho" w:hAnsi="Arial" w:cs="Arial"/>
          <w:lang w:eastAsia="ja-JP"/>
        </w:rPr>
        <w:tab/>
      </w:r>
      <w:r w:rsidR="00476449">
        <w:rPr>
          <w:rFonts w:ascii="Arial" w:eastAsia="Yu Mincho" w:hAnsi="Arial" w:cs="Arial"/>
          <w:lang w:eastAsia="ja-JP"/>
        </w:rPr>
        <w:tab/>
        <w:t>8</w:t>
      </w:r>
    </w:p>
    <w:p w14:paraId="747ABB77" w14:textId="4CFD8466" w:rsidR="009F0A54" w:rsidRPr="009F0A54" w:rsidRDefault="003A48AB" w:rsidP="009F0A54">
      <w:pPr>
        <w:pStyle w:val="ListParagraph"/>
        <w:numPr>
          <w:ilvl w:val="1"/>
          <w:numId w:val="40"/>
        </w:numPr>
        <w:spacing w:after="100" w:afterAutospacing="1"/>
        <w:ind w:right="95" w:hanging="578"/>
        <w:rPr>
          <w:rFonts w:ascii="Arial" w:eastAsia="Times New Roman" w:hAnsi="Arial" w:cs="Arial"/>
          <w:b/>
          <w:color w:val="000000"/>
          <w:lang w:eastAsia="ja-JP"/>
        </w:rPr>
      </w:pPr>
      <w:r w:rsidRPr="009F0A54">
        <w:rPr>
          <w:rFonts w:ascii="Arial" w:eastAsia="Yu Mincho" w:hAnsi="Arial" w:cs="Arial"/>
          <w:lang w:eastAsia="ja-JP"/>
        </w:rPr>
        <w:t xml:space="preserve">Stomatal development in the model organism </w:t>
      </w:r>
      <w:r w:rsidRPr="009F0A54">
        <w:rPr>
          <w:rFonts w:ascii="Arial" w:eastAsia="Yu Mincho" w:hAnsi="Arial" w:cs="Arial"/>
          <w:i/>
          <w:lang w:eastAsia="ja-JP"/>
        </w:rPr>
        <w:t>Arabidopsis</w:t>
      </w:r>
      <w:r w:rsidR="009F0A54">
        <w:rPr>
          <w:rFonts w:ascii="Arial" w:eastAsia="Yu Mincho" w:hAnsi="Arial" w:cs="Arial"/>
          <w:i/>
          <w:lang w:eastAsia="ja-JP"/>
        </w:rPr>
        <w:t xml:space="preserve"> </w:t>
      </w:r>
      <w:r w:rsidR="009F0A54">
        <w:rPr>
          <w:rFonts w:ascii="Arial" w:eastAsia="Yu Mincho" w:hAnsi="Arial" w:cs="Arial"/>
          <w:i/>
          <w:lang w:eastAsia="ja-JP"/>
        </w:rPr>
        <w:tab/>
      </w:r>
      <w:r w:rsidR="009F0A54">
        <w:rPr>
          <w:rFonts w:ascii="Arial" w:eastAsia="Yu Mincho" w:hAnsi="Arial" w:cs="Arial"/>
          <w:i/>
          <w:lang w:eastAsia="ja-JP"/>
        </w:rPr>
        <w:tab/>
      </w:r>
      <w:r w:rsidR="00476449">
        <w:rPr>
          <w:rFonts w:ascii="Arial" w:eastAsia="Yu Mincho" w:hAnsi="Arial" w:cs="Arial"/>
          <w:lang w:eastAsia="ja-JP"/>
        </w:rPr>
        <w:t>12</w:t>
      </w:r>
    </w:p>
    <w:p w14:paraId="2376A8DC" w14:textId="77777777" w:rsidR="009F0A54" w:rsidRPr="009F0A54" w:rsidRDefault="009F0A54" w:rsidP="009F0A54">
      <w:pPr>
        <w:pStyle w:val="ListParagraph"/>
        <w:spacing w:after="100" w:afterAutospacing="1"/>
        <w:ind w:right="95" w:hanging="11"/>
        <w:rPr>
          <w:rFonts w:ascii="Arial" w:eastAsia="Times New Roman" w:hAnsi="Arial" w:cs="Arial"/>
          <w:b/>
          <w:color w:val="000000"/>
          <w:lang w:eastAsia="ja-JP"/>
        </w:rPr>
      </w:pPr>
      <w:r>
        <w:rPr>
          <w:rFonts w:ascii="Arial" w:eastAsia="Yu Mincho" w:hAnsi="Arial" w:cs="Arial"/>
          <w:i/>
          <w:lang w:eastAsia="ja-JP"/>
        </w:rPr>
        <w:t>thaliana</w:t>
      </w:r>
    </w:p>
    <w:p w14:paraId="1A38D7AA" w14:textId="1DA21B3D" w:rsidR="009F0A54" w:rsidRPr="009F0A54" w:rsidRDefault="003A48AB" w:rsidP="009F0A54">
      <w:pPr>
        <w:pStyle w:val="ListParagraph"/>
        <w:numPr>
          <w:ilvl w:val="2"/>
          <w:numId w:val="40"/>
        </w:numPr>
        <w:spacing w:after="100" w:afterAutospacing="1"/>
        <w:ind w:left="1418" w:right="95" w:hanging="698"/>
        <w:rPr>
          <w:rFonts w:ascii="Arial" w:eastAsia="Times New Roman" w:hAnsi="Arial" w:cs="Arial"/>
          <w:b/>
          <w:color w:val="000000"/>
          <w:lang w:eastAsia="ja-JP"/>
        </w:rPr>
      </w:pPr>
      <w:r w:rsidRPr="009F0A54">
        <w:rPr>
          <w:rFonts w:ascii="Arial" w:eastAsia="Yu Mincho" w:hAnsi="Arial" w:cs="Arial"/>
          <w:lang w:eastAsia="ja-JP"/>
        </w:rPr>
        <w:t>Key transcription factors responsible for stomatal</w:t>
      </w:r>
      <w:r w:rsidR="009F0A54" w:rsidRPr="009F0A54">
        <w:rPr>
          <w:rFonts w:ascii="Arial" w:eastAsia="Yu Mincho" w:hAnsi="Arial" w:cs="Arial"/>
          <w:lang w:eastAsia="ja-JP"/>
        </w:rPr>
        <w:t xml:space="preserve"> </w:t>
      </w:r>
      <w:r w:rsidR="00476449">
        <w:rPr>
          <w:rFonts w:ascii="Arial" w:eastAsia="Yu Mincho" w:hAnsi="Arial" w:cs="Arial"/>
          <w:lang w:eastAsia="ja-JP"/>
        </w:rPr>
        <w:tab/>
      </w:r>
      <w:r w:rsidR="00476449">
        <w:rPr>
          <w:rFonts w:ascii="Arial" w:eastAsia="Yu Mincho" w:hAnsi="Arial" w:cs="Arial"/>
          <w:lang w:eastAsia="ja-JP"/>
        </w:rPr>
        <w:tab/>
        <w:t>12</w:t>
      </w:r>
    </w:p>
    <w:p w14:paraId="11B66323" w14:textId="77777777" w:rsidR="009F0A54" w:rsidRPr="009F0A54" w:rsidRDefault="009F0A54" w:rsidP="009F0A54">
      <w:pPr>
        <w:pStyle w:val="ListParagraph"/>
        <w:spacing w:after="100" w:afterAutospacing="1"/>
        <w:ind w:left="1418" w:right="95"/>
        <w:rPr>
          <w:rFonts w:ascii="Arial" w:eastAsia="Times New Roman" w:hAnsi="Arial" w:cs="Arial"/>
          <w:b/>
          <w:color w:val="000000"/>
          <w:lang w:eastAsia="ja-JP"/>
        </w:rPr>
      </w:pPr>
      <w:r w:rsidRPr="009F0A54">
        <w:rPr>
          <w:rFonts w:ascii="Arial" w:eastAsia="Yu Mincho" w:hAnsi="Arial" w:cs="Arial"/>
          <w:lang w:eastAsia="ja-JP"/>
        </w:rPr>
        <w:t xml:space="preserve">development </w:t>
      </w:r>
      <w:r w:rsidR="003A48AB" w:rsidRPr="009F0A54">
        <w:rPr>
          <w:rFonts w:ascii="Arial" w:eastAsia="Yu Mincho" w:hAnsi="Arial" w:cs="Arial"/>
          <w:lang w:eastAsia="ja-JP"/>
        </w:rPr>
        <w:t>in Arabidopsis</w:t>
      </w:r>
    </w:p>
    <w:p w14:paraId="1D05E90B" w14:textId="77777777" w:rsidR="009F0A54" w:rsidRPr="009F0A54" w:rsidRDefault="003A48AB" w:rsidP="009F0A54">
      <w:pPr>
        <w:pStyle w:val="ListParagraph"/>
        <w:numPr>
          <w:ilvl w:val="2"/>
          <w:numId w:val="40"/>
        </w:numPr>
        <w:tabs>
          <w:tab w:val="left" w:pos="1560"/>
        </w:tabs>
        <w:spacing w:after="100" w:afterAutospacing="1"/>
        <w:ind w:left="1418" w:right="95" w:hanging="709"/>
        <w:rPr>
          <w:rFonts w:ascii="Arial" w:eastAsia="Times New Roman" w:hAnsi="Arial" w:cs="Arial"/>
          <w:b/>
          <w:color w:val="000000"/>
          <w:lang w:eastAsia="ja-JP"/>
        </w:rPr>
      </w:pPr>
      <w:r w:rsidRPr="009F0A54">
        <w:rPr>
          <w:rFonts w:ascii="Arial" w:eastAsia="Yu Mincho" w:hAnsi="Arial" w:cs="Arial"/>
          <w:lang w:eastAsia="ja-JP"/>
        </w:rPr>
        <w:t>Intracellular signalling of stomatal development via</w:t>
      </w:r>
      <w:r w:rsidR="009F0A54">
        <w:rPr>
          <w:rFonts w:ascii="Arial" w:eastAsia="Yu Mincho" w:hAnsi="Arial" w:cs="Arial"/>
          <w:lang w:eastAsia="ja-JP"/>
        </w:rPr>
        <w:tab/>
      </w:r>
      <w:r w:rsidR="009F0A54">
        <w:rPr>
          <w:rFonts w:ascii="Arial" w:eastAsia="Yu Mincho" w:hAnsi="Arial" w:cs="Arial"/>
          <w:lang w:eastAsia="ja-JP"/>
        </w:rPr>
        <w:tab/>
        <w:t>14</w:t>
      </w:r>
      <w:r w:rsidRPr="009F0A54">
        <w:rPr>
          <w:rFonts w:ascii="Arial" w:eastAsia="Yu Mincho" w:hAnsi="Arial" w:cs="Arial"/>
          <w:lang w:eastAsia="ja-JP"/>
        </w:rPr>
        <w:t xml:space="preserve"> </w:t>
      </w:r>
    </w:p>
    <w:p w14:paraId="06CA0EBC" w14:textId="77777777" w:rsidR="009F0A54" w:rsidRDefault="009F0A54" w:rsidP="009F0A54">
      <w:pPr>
        <w:pStyle w:val="ListParagraph"/>
        <w:spacing w:after="100" w:afterAutospacing="1"/>
        <w:ind w:left="1560" w:right="95" w:hanging="142"/>
        <w:rPr>
          <w:rFonts w:ascii="Arial" w:eastAsia="Yu Mincho" w:hAnsi="Arial" w:cs="Arial"/>
          <w:lang w:eastAsia="ja-JP"/>
        </w:rPr>
      </w:pPr>
      <w:r w:rsidRPr="009F0A54">
        <w:rPr>
          <w:rFonts w:ascii="Arial" w:eastAsia="Yu Mincho" w:hAnsi="Arial" w:cs="Arial"/>
          <w:lang w:eastAsia="ja-JP"/>
        </w:rPr>
        <w:t>M</w:t>
      </w:r>
      <w:r w:rsidR="003A48AB" w:rsidRPr="009F0A54">
        <w:rPr>
          <w:rFonts w:ascii="Arial" w:eastAsia="Yu Mincho" w:hAnsi="Arial" w:cs="Arial"/>
          <w:lang w:eastAsia="ja-JP"/>
        </w:rPr>
        <w:t>itogen</w:t>
      </w:r>
      <w:r>
        <w:rPr>
          <w:rFonts w:ascii="Arial" w:eastAsia="Yu Mincho" w:hAnsi="Arial" w:cs="Arial"/>
          <w:lang w:eastAsia="ja-JP"/>
        </w:rPr>
        <w:t xml:space="preserve"> </w:t>
      </w:r>
      <w:r w:rsidR="003A48AB" w:rsidRPr="009F0A54">
        <w:rPr>
          <w:rFonts w:ascii="Arial" w:eastAsia="Yu Mincho" w:hAnsi="Arial" w:cs="Arial"/>
          <w:lang w:eastAsia="ja-JP"/>
        </w:rPr>
        <w:t xml:space="preserve">activated protein kinases (MPK), MPK kinases </w:t>
      </w:r>
    </w:p>
    <w:p w14:paraId="10A3FD92" w14:textId="77777777" w:rsidR="009F0A54" w:rsidRDefault="003A48AB" w:rsidP="009F0A54">
      <w:pPr>
        <w:pStyle w:val="ListParagraph"/>
        <w:spacing w:after="100" w:afterAutospacing="1"/>
        <w:ind w:left="1418" w:right="95"/>
        <w:rPr>
          <w:rFonts w:ascii="Arial" w:eastAsia="Yu Mincho" w:hAnsi="Arial" w:cs="Arial"/>
          <w:lang w:eastAsia="ja-JP"/>
        </w:rPr>
      </w:pPr>
      <w:r w:rsidRPr="009F0A54">
        <w:rPr>
          <w:rFonts w:ascii="Arial" w:eastAsia="Yu Mincho" w:hAnsi="Arial" w:cs="Arial"/>
          <w:lang w:eastAsia="ja-JP"/>
        </w:rPr>
        <w:t>(MKK) and the</w:t>
      </w:r>
      <w:r w:rsidR="009F0A54">
        <w:rPr>
          <w:rFonts w:ascii="Arial" w:eastAsia="Yu Mincho" w:hAnsi="Arial" w:cs="Arial"/>
          <w:lang w:eastAsia="ja-JP"/>
        </w:rPr>
        <w:t xml:space="preserve"> </w:t>
      </w:r>
      <w:r w:rsidRPr="009F0A54">
        <w:rPr>
          <w:rFonts w:ascii="Arial" w:eastAsia="Yu Mincho" w:hAnsi="Arial" w:cs="Arial"/>
          <w:lang w:eastAsia="ja-JP"/>
        </w:rPr>
        <w:t>MKK kinase YODA</w:t>
      </w:r>
    </w:p>
    <w:p w14:paraId="7E437126" w14:textId="606A4C6E" w:rsidR="009F0A54" w:rsidRDefault="003A48AB" w:rsidP="009F0A54">
      <w:pPr>
        <w:pStyle w:val="ListParagraph"/>
        <w:numPr>
          <w:ilvl w:val="2"/>
          <w:numId w:val="40"/>
        </w:numPr>
        <w:spacing w:after="100" w:afterAutospacing="1"/>
        <w:ind w:left="1418" w:right="95" w:hanging="709"/>
        <w:rPr>
          <w:rFonts w:ascii="Arial" w:eastAsia="Yu Mincho" w:hAnsi="Arial" w:cs="Arial"/>
          <w:lang w:eastAsia="ja-JP"/>
        </w:rPr>
      </w:pPr>
      <w:r w:rsidRPr="009F0A54">
        <w:rPr>
          <w:rFonts w:ascii="Arial" w:eastAsia="Yu Mincho" w:hAnsi="Arial" w:cs="Arial"/>
          <w:lang w:eastAsia="ja-JP"/>
        </w:rPr>
        <w:t>Plasma membrane re</w:t>
      </w:r>
      <w:r w:rsidR="009F0A54">
        <w:rPr>
          <w:rFonts w:ascii="Arial" w:eastAsia="Yu Mincho" w:hAnsi="Arial" w:cs="Arial"/>
          <w:lang w:eastAsia="ja-JP"/>
        </w:rPr>
        <w:t>ceptor signalling in Arabidops</w:t>
      </w:r>
      <w:r w:rsidR="008A2B4A">
        <w:rPr>
          <w:rFonts w:ascii="Arial" w:eastAsia="Yu Mincho" w:hAnsi="Arial" w:cs="Arial"/>
          <w:lang w:eastAsia="ja-JP"/>
        </w:rPr>
        <w:t>is</w:t>
      </w:r>
      <w:r w:rsidRPr="009F0A54">
        <w:rPr>
          <w:rFonts w:ascii="Arial" w:eastAsia="Yu Mincho" w:hAnsi="Arial" w:cs="Arial"/>
          <w:lang w:eastAsia="ja-JP"/>
        </w:rPr>
        <w:t xml:space="preserve"> </w:t>
      </w:r>
      <w:r w:rsidR="008A2B4A">
        <w:rPr>
          <w:rFonts w:ascii="Arial" w:eastAsia="Yu Mincho" w:hAnsi="Arial" w:cs="Arial"/>
          <w:lang w:eastAsia="ja-JP"/>
        </w:rPr>
        <w:tab/>
      </w:r>
      <w:r w:rsidR="00476449">
        <w:rPr>
          <w:rFonts w:ascii="Arial" w:eastAsia="Yu Mincho" w:hAnsi="Arial" w:cs="Arial"/>
          <w:lang w:eastAsia="ja-JP"/>
        </w:rPr>
        <w:t>15</w:t>
      </w:r>
    </w:p>
    <w:p w14:paraId="7C58B7F6" w14:textId="77777777" w:rsidR="009F0A54" w:rsidRDefault="008A2B4A" w:rsidP="009F0A54">
      <w:pPr>
        <w:pStyle w:val="ListParagraph"/>
        <w:spacing w:after="100" w:afterAutospacing="1"/>
        <w:ind w:left="2410" w:right="95" w:hanging="992"/>
        <w:rPr>
          <w:rFonts w:ascii="Arial" w:eastAsia="Yu Mincho" w:hAnsi="Arial" w:cs="Arial"/>
          <w:lang w:eastAsia="ja-JP"/>
        </w:rPr>
      </w:pPr>
      <w:r>
        <w:rPr>
          <w:rFonts w:ascii="Arial" w:eastAsia="Yu Mincho" w:hAnsi="Arial" w:cs="Arial"/>
          <w:lang w:eastAsia="ja-JP"/>
        </w:rPr>
        <w:t>s</w:t>
      </w:r>
      <w:r w:rsidR="003A48AB" w:rsidRPr="009F0A54">
        <w:rPr>
          <w:rFonts w:ascii="Arial" w:eastAsia="Yu Mincho" w:hAnsi="Arial" w:cs="Arial"/>
          <w:lang w:eastAsia="ja-JP"/>
        </w:rPr>
        <w:t>tomatal</w:t>
      </w:r>
      <w:r w:rsidR="009F0A54">
        <w:rPr>
          <w:rFonts w:ascii="Arial" w:eastAsia="Yu Mincho" w:hAnsi="Arial" w:cs="Arial"/>
          <w:lang w:eastAsia="ja-JP"/>
        </w:rPr>
        <w:t xml:space="preserve"> </w:t>
      </w:r>
      <w:r w:rsidR="003A48AB" w:rsidRPr="009F0A54">
        <w:rPr>
          <w:rFonts w:ascii="Arial" w:eastAsia="Yu Mincho" w:hAnsi="Arial" w:cs="Arial"/>
          <w:lang w:eastAsia="ja-JP"/>
        </w:rPr>
        <w:t>development</w:t>
      </w:r>
    </w:p>
    <w:p w14:paraId="72964DA1" w14:textId="77777777" w:rsidR="009F0A54" w:rsidRDefault="003A48AB" w:rsidP="009F0A54">
      <w:pPr>
        <w:pStyle w:val="ListParagraph"/>
        <w:numPr>
          <w:ilvl w:val="2"/>
          <w:numId w:val="40"/>
        </w:numPr>
        <w:spacing w:after="100" w:afterAutospacing="1"/>
        <w:ind w:left="1418" w:right="95" w:hanging="698"/>
        <w:rPr>
          <w:rFonts w:ascii="Arial" w:eastAsia="Yu Mincho" w:hAnsi="Arial" w:cs="Arial"/>
          <w:lang w:eastAsia="ja-JP"/>
        </w:rPr>
      </w:pPr>
      <w:r w:rsidRPr="009F0A54">
        <w:rPr>
          <w:rFonts w:ascii="Arial" w:eastAsia="Yu Mincho" w:hAnsi="Arial" w:cs="Arial"/>
          <w:lang w:eastAsia="ja-JP"/>
        </w:rPr>
        <w:t xml:space="preserve">The role of apoplastic small signalling peptides belonging </w:t>
      </w:r>
      <w:r w:rsidR="009F0A54">
        <w:rPr>
          <w:rFonts w:ascii="Arial" w:eastAsia="Yu Mincho" w:hAnsi="Arial" w:cs="Arial"/>
          <w:lang w:eastAsia="ja-JP"/>
        </w:rPr>
        <w:tab/>
        <w:t>15</w:t>
      </w:r>
    </w:p>
    <w:p w14:paraId="0B2CFDAC" w14:textId="77777777" w:rsidR="009F0A54" w:rsidRDefault="009F0A54" w:rsidP="009F0A54">
      <w:pPr>
        <w:pStyle w:val="ListParagraph"/>
        <w:spacing w:after="100" w:afterAutospacing="1"/>
        <w:ind w:left="1418" w:right="95"/>
        <w:rPr>
          <w:rFonts w:ascii="Arial" w:eastAsia="Yu Mincho" w:hAnsi="Arial" w:cs="Arial"/>
          <w:lang w:eastAsia="ja-JP"/>
        </w:rPr>
      </w:pPr>
      <w:r>
        <w:rPr>
          <w:rFonts w:ascii="Arial" w:eastAsia="Yu Mincho" w:hAnsi="Arial" w:cs="Arial"/>
          <w:lang w:eastAsia="ja-JP"/>
        </w:rPr>
        <w:t>t</w:t>
      </w:r>
      <w:r w:rsidR="003A48AB" w:rsidRPr="009F0A54">
        <w:rPr>
          <w:rFonts w:ascii="Arial" w:eastAsia="Yu Mincho" w:hAnsi="Arial" w:cs="Arial"/>
          <w:lang w:eastAsia="ja-JP"/>
        </w:rPr>
        <w:t>o</w:t>
      </w:r>
      <w:r>
        <w:rPr>
          <w:rFonts w:ascii="Arial" w:eastAsia="Yu Mincho" w:hAnsi="Arial" w:cs="Arial"/>
          <w:lang w:eastAsia="ja-JP"/>
        </w:rPr>
        <w:t xml:space="preserve"> </w:t>
      </w:r>
      <w:r w:rsidR="003A48AB" w:rsidRPr="009F0A54">
        <w:rPr>
          <w:rFonts w:ascii="Arial" w:eastAsia="Yu Mincho" w:hAnsi="Arial" w:cs="Arial"/>
          <w:lang w:eastAsia="ja-JP"/>
        </w:rPr>
        <w:t xml:space="preserve">the Epidermal patterning factor (EPF) and EPF-like </w:t>
      </w:r>
    </w:p>
    <w:p w14:paraId="580C5D6A" w14:textId="77777777" w:rsidR="009F0A54" w:rsidRDefault="003A48AB" w:rsidP="009F0A54">
      <w:pPr>
        <w:pStyle w:val="ListParagraph"/>
        <w:spacing w:after="100" w:afterAutospacing="1"/>
        <w:ind w:left="1701" w:right="95" w:hanging="283"/>
        <w:rPr>
          <w:rFonts w:ascii="Arial" w:eastAsia="Yu Mincho" w:hAnsi="Arial" w:cs="Arial"/>
          <w:lang w:eastAsia="ja-JP"/>
        </w:rPr>
      </w:pPr>
      <w:r w:rsidRPr="009F0A54">
        <w:rPr>
          <w:rFonts w:ascii="Arial" w:eastAsia="Yu Mincho" w:hAnsi="Arial" w:cs="Arial"/>
          <w:lang w:eastAsia="ja-JP"/>
        </w:rPr>
        <w:t>(EPFL) family in Arabidopsis</w:t>
      </w:r>
      <w:r w:rsidR="009F0A54" w:rsidRPr="009F0A54">
        <w:rPr>
          <w:rFonts w:ascii="Arial" w:eastAsia="Yu Mincho" w:hAnsi="Arial" w:cs="Arial"/>
          <w:lang w:eastAsia="ja-JP"/>
        </w:rPr>
        <w:t xml:space="preserve"> </w:t>
      </w:r>
    </w:p>
    <w:p w14:paraId="6D68929B" w14:textId="30568B7F" w:rsidR="009F0A54" w:rsidRDefault="009F0A54" w:rsidP="009F0A54">
      <w:pPr>
        <w:pStyle w:val="ListParagraph"/>
        <w:numPr>
          <w:ilvl w:val="2"/>
          <w:numId w:val="40"/>
        </w:numPr>
        <w:tabs>
          <w:tab w:val="left" w:pos="1418"/>
        </w:tabs>
        <w:spacing w:after="100" w:afterAutospacing="1"/>
        <w:ind w:left="1418" w:right="95" w:hanging="698"/>
        <w:rPr>
          <w:rFonts w:ascii="Arial" w:eastAsia="Yu Mincho" w:hAnsi="Arial" w:cs="Arial"/>
          <w:lang w:eastAsia="ja-JP"/>
        </w:rPr>
      </w:pPr>
      <w:r>
        <w:rPr>
          <w:rFonts w:ascii="Arial" w:eastAsia="Yu Mincho" w:hAnsi="Arial" w:cs="Arial"/>
          <w:lang w:eastAsia="ja-JP"/>
        </w:rPr>
        <w:t>T</w:t>
      </w:r>
      <w:r w:rsidR="003A48AB" w:rsidRPr="009F0A54">
        <w:rPr>
          <w:rFonts w:ascii="Arial" w:eastAsia="Yu Mincho" w:hAnsi="Arial" w:cs="Arial"/>
          <w:lang w:eastAsia="ja-JP"/>
        </w:rPr>
        <w:t xml:space="preserve">he genetics underpinning cell polarity and spacing </w:t>
      </w:r>
      <w:r w:rsidR="00476449">
        <w:rPr>
          <w:rFonts w:ascii="Arial" w:eastAsia="Yu Mincho" w:hAnsi="Arial" w:cs="Arial"/>
          <w:lang w:eastAsia="ja-JP"/>
        </w:rPr>
        <w:tab/>
        <w:t>16</w:t>
      </w:r>
    </w:p>
    <w:p w14:paraId="5FCD421D" w14:textId="77777777" w:rsidR="009F0A54" w:rsidRPr="009F0A54" w:rsidRDefault="009F0A54" w:rsidP="009F0A54">
      <w:pPr>
        <w:pStyle w:val="ListParagraph"/>
        <w:tabs>
          <w:tab w:val="left" w:pos="1418"/>
        </w:tabs>
        <w:spacing w:after="100" w:afterAutospacing="1"/>
        <w:ind w:left="1276" w:right="95"/>
        <w:rPr>
          <w:rFonts w:ascii="Arial" w:eastAsia="Yu Mincho" w:hAnsi="Arial" w:cs="Arial"/>
          <w:lang w:eastAsia="ja-JP"/>
        </w:rPr>
      </w:pPr>
      <w:r>
        <w:rPr>
          <w:rFonts w:ascii="Arial" w:eastAsia="Yu Mincho" w:hAnsi="Arial" w:cs="Arial"/>
          <w:lang w:eastAsia="ja-JP"/>
        </w:rPr>
        <w:tab/>
      </w:r>
      <w:r w:rsidRPr="009F0A54">
        <w:rPr>
          <w:rFonts w:ascii="Arial" w:eastAsia="Yu Mincho" w:hAnsi="Arial" w:cs="Arial"/>
          <w:lang w:eastAsia="ja-JP"/>
        </w:rPr>
        <w:t xml:space="preserve">during </w:t>
      </w:r>
      <w:r w:rsidR="003A48AB" w:rsidRPr="009F0A54">
        <w:rPr>
          <w:rFonts w:ascii="Arial" w:eastAsia="Yu Mincho" w:hAnsi="Arial" w:cs="Arial"/>
          <w:lang w:eastAsia="ja-JP"/>
        </w:rPr>
        <w:t>stomatal development in Arabidopsis</w:t>
      </w:r>
      <w:r w:rsidR="003A48AB" w:rsidRPr="009F0A54">
        <w:rPr>
          <w:rFonts w:ascii="Arial" w:eastAsia="Yu Mincho" w:hAnsi="Arial" w:cs="Arial"/>
          <w:lang w:eastAsia="ja-JP"/>
        </w:rPr>
        <w:tab/>
      </w:r>
    </w:p>
    <w:p w14:paraId="606E2B79" w14:textId="77777777" w:rsidR="009F0A54" w:rsidRPr="009F0A54" w:rsidRDefault="003A48AB" w:rsidP="009F0A54">
      <w:pPr>
        <w:pStyle w:val="ListParagraph"/>
        <w:numPr>
          <w:ilvl w:val="1"/>
          <w:numId w:val="40"/>
        </w:numPr>
        <w:tabs>
          <w:tab w:val="left" w:pos="1418"/>
        </w:tabs>
        <w:spacing w:after="100" w:afterAutospacing="1"/>
        <w:ind w:right="95" w:hanging="578"/>
        <w:rPr>
          <w:rFonts w:ascii="Arial" w:eastAsia="Yu Mincho" w:hAnsi="Arial" w:cs="Arial"/>
          <w:lang w:eastAsia="ja-JP"/>
        </w:rPr>
      </w:pPr>
      <w:r w:rsidRPr="009F0A54">
        <w:rPr>
          <w:rFonts w:ascii="Arial" w:eastAsia="Yu Mincho" w:hAnsi="Arial" w:cs="Arial"/>
          <w:lang w:eastAsia="ja-JP"/>
        </w:rPr>
        <w:t xml:space="preserve">The model organism </w:t>
      </w:r>
      <w:r w:rsidRPr="009F0A54">
        <w:rPr>
          <w:rFonts w:ascii="Arial" w:eastAsia="Yu Mincho" w:hAnsi="Arial" w:cs="Arial"/>
          <w:i/>
          <w:lang w:eastAsia="ja-JP"/>
        </w:rPr>
        <w:t>Physcomtirella patens</w:t>
      </w:r>
      <w:r w:rsidR="009F0A54">
        <w:rPr>
          <w:rFonts w:ascii="Arial" w:eastAsia="Yu Mincho" w:hAnsi="Arial" w:cs="Arial"/>
          <w:i/>
          <w:lang w:eastAsia="ja-JP"/>
        </w:rPr>
        <w:tab/>
      </w:r>
      <w:r w:rsidR="009F0A54">
        <w:rPr>
          <w:rFonts w:ascii="Arial" w:eastAsia="Yu Mincho" w:hAnsi="Arial" w:cs="Arial"/>
          <w:i/>
          <w:lang w:eastAsia="ja-JP"/>
        </w:rPr>
        <w:tab/>
      </w:r>
      <w:r w:rsidR="006B37C8">
        <w:rPr>
          <w:rFonts w:ascii="Arial" w:eastAsia="Yu Mincho" w:hAnsi="Arial" w:cs="Arial"/>
          <w:i/>
          <w:lang w:eastAsia="ja-JP"/>
        </w:rPr>
        <w:tab/>
      </w:r>
      <w:r w:rsidR="009F0A54">
        <w:rPr>
          <w:rFonts w:ascii="Arial" w:eastAsia="Yu Mincho" w:hAnsi="Arial" w:cs="Arial"/>
          <w:i/>
          <w:lang w:eastAsia="ja-JP"/>
        </w:rPr>
        <w:tab/>
      </w:r>
      <w:r w:rsidR="006B37C8">
        <w:rPr>
          <w:rFonts w:ascii="Arial" w:eastAsia="Yu Mincho" w:hAnsi="Arial" w:cs="Arial"/>
          <w:lang w:eastAsia="ja-JP"/>
        </w:rPr>
        <w:t>18</w:t>
      </w:r>
      <w:r w:rsidR="009F0A54">
        <w:rPr>
          <w:rFonts w:ascii="Arial" w:eastAsia="Yu Mincho" w:hAnsi="Arial" w:cs="Arial"/>
          <w:i/>
          <w:lang w:eastAsia="ja-JP"/>
        </w:rPr>
        <w:tab/>
      </w:r>
    </w:p>
    <w:p w14:paraId="7D86B218" w14:textId="77777777" w:rsidR="009F0A54" w:rsidRPr="009F0A54" w:rsidRDefault="003A48AB" w:rsidP="009F0A54">
      <w:pPr>
        <w:pStyle w:val="ListParagraph"/>
        <w:numPr>
          <w:ilvl w:val="1"/>
          <w:numId w:val="40"/>
        </w:numPr>
        <w:tabs>
          <w:tab w:val="left" w:pos="1418"/>
        </w:tabs>
        <w:spacing w:after="100" w:afterAutospacing="1"/>
        <w:ind w:right="95" w:hanging="578"/>
        <w:rPr>
          <w:rFonts w:ascii="Arial" w:eastAsia="Yu Mincho" w:hAnsi="Arial" w:cs="Arial"/>
          <w:lang w:eastAsia="ja-JP"/>
        </w:rPr>
      </w:pPr>
      <w:r w:rsidRPr="003A48AB">
        <w:rPr>
          <w:rFonts w:ascii="Arial" w:eastAsia="Yu Mincho" w:hAnsi="Arial" w:cs="Arial"/>
          <w:lang w:eastAsia="ja-JP"/>
        </w:rPr>
        <w:t xml:space="preserve">Stomatal developmental genes in </w:t>
      </w:r>
      <w:r w:rsidRPr="003A48AB">
        <w:rPr>
          <w:rFonts w:ascii="Arial" w:eastAsia="Yu Mincho" w:hAnsi="Arial" w:cs="Arial"/>
          <w:i/>
          <w:lang w:eastAsia="ja-JP"/>
        </w:rPr>
        <w:t>P. patens</w:t>
      </w:r>
      <w:r w:rsidR="006B37C8">
        <w:rPr>
          <w:rFonts w:ascii="Arial" w:eastAsia="Yu Mincho" w:hAnsi="Arial" w:cs="Arial"/>
          <w:i/>
          <w:lang w:eastAsia="ja-JP"/>
        </w:rPr>
        <w:tab/>
      </w:r>
      <w:r w:rsidR="006B37C8">
        <w:rPr>
          <w:rFonts w:ascii="Arial" w:eastAsia="Yu Mincho" w:hAnsi="Arial" w:cs="Arial"/>
          <w:i/>
          <w:lang w:eastAsia="ja-JP"/>
        </w:rPr>
        <w:tab/>
      </w:r>
      <w:r w:rsidR="006B37C8">
        <w:rPr>
          <w:rFonts w:ascii="Arial" w:eastAsia="Yu Mincho" w:hAnsi="Arial" w:cs="Arial"/>
          <w:i/>
          <w:lang w:eastAsia="ja-JP"/>
        </w:rPr>
        <w:tab/>
      </w:r>
      <w:r w:rsidR="006B37C8">
        <w:rPr>
          <w:rFonts w:ascii="Arial" w:eastAsia="Yu Mincho" w:hAnsi="Arial" w:cs="Arial"/>
          <w:i/>
          <w:lang w:eastAsia="ja-JP"/>
        </w:rPr>
        <w:tab/>
      </w:r>
      <w:r w:rsidR="006B37C8">
        <w:rPr>
          <w:rFonts w:ascii="Arial" w:eastAsia="Yu Mincho" w:hAnsi="Arial" w:cs="Arial"/>
          <w:lang w:eastAsia="ja-JP"/>
        </w:rPr>
        <w:t>20</w:t>
      </w:r>
    </w:p>
    <w:p w14:paraId="336B4D90" w14:textId="77777777" w:rsidR="009F0A54" w:rsidRDefault="009F0A54" w:rsidP="009F0A54">
      <w:pPr>
        <w:pStyle w:val="ListParagraph"/>
        <w:numPr>
          <w:ilvl w:val="1"/>
          <w:numId w:val="40"/>
        </w:numPr>
        <w:tabs>
          <w:tab w:val="left" w:pos="1418"/>
        </w:tabs>
        <w:spacing w:after="100" w:afterAutospacing="1"/>
        <w:ind w:right="95" w:hanging="578"/>
        <w:rPr>
          <w:rFonts w:ascii="Arial" w:eastAsia="Yu Mincho" w:hAnsi="Arial" w:cs="Arial"/>
          <w:lang w:eastAsia="ja-JP"/>
        </w:rPr>
      </w:pPr>
      <w:r w:rsidRPr="009F0A54">
        <w:rPr>
          <w:rFonts w:ascii="Arial" w:eastAsia="Yu Mincho" w:hAnsi="Arial" w:cs="Arial"/>
          <w:lang w:eastAsia="ja-JP"/>
        </w:rPr>
        <w:t xml:space="preserve">Blast searching of putative Arabidopsis stomatal </w:t>
      </w:r>
      <w:r>
        <w:rPr>
          <w:rFonts w:ascii="Arial" w:eastAsia="Yu Mincho" w:hAnsi="Arial" w:cs="Arial"/>
          <w:lang w:eastAsia="ja-JP"/>
        </w:rPr>
        <w:t>d</w:t>
      </w:r>
      <w:r w:rsidRPr="009F0A54">
        <w:rPr>
          <w:rFonts w:ascii="Arial" w:eastAsia="Yu Mincho" w:hAnsi="Arial" w:cs="Arial"/>
          <w:lang w:eastAsia="ja-JP"/>
        </w:rPr>
        <w:t xml:space="preserve">evelopment </w:t>
      </w:r>
      <w:r w:rsidR="006B37C8">
        <w:rPr>
          <w:rFonts w:ascii="Arial" w:eastAsia="Yu Mincho" w:hAnsi="Arial" w:cs="Arial"/>
          <w:lang w:eastAsia="ja-JP"/>
        </w:rPr>
        <w:tab/>
        <w:t>21</w:t>
      </w:r>
    </w:p>
    <w:p w14:paraId="368B571E" w14:textId="77777777" w:rsidR="009F0A54" w:rsidRPr="009F0A54" w:rsidRDefault="009F0A54" w:rsidP="009F0A54">
      <w:pPr>
        <w:pStyle w:val="ListParagraph"/>
        <w:tabs>
          <w:tab w:val="left" w:pos="1418"/>
        </w:tabs>
        <w:spacing w:after="100" w:afterAutospacing="1"/>
        <w:ind w:left="1134" w:right="95" w:hanging="425"/>
        <w:rPr>
          <w:rFonts w:ascii="Arial" w:eastAsia="Yu Mincho" w:hAnsi="Arial" w:cs="Arial"/>
          <w:i/>
          <w:lang w:eastAsia="ja-JP"/>
        </w:rPr>
      </w:pPr>
      <w:r w:rsidRPr="009F0A54">
        <w:rPr>
          <w:rFonts w:ascii="Arial" w:eastAsia="Yu Mincho" w:hAnsi="Arial" w:cs="Arial"/>
          <w:lang w:eastAsia="ja-JP"/>
        </w:rPr>
        <w:t xml:space="preserve">homologues in </w:t>
      </w:r>
      <w:r w:rsidRPr="009F0A54">
        <w:rPr>
          <w:rFonts w:ascii="Arial" w:eastAsia="Yu Mincho" w:hAnsi="Arial" w:cs="Arial"/>
          <w:i/>
          <w:lang w:eastAsia="ja-JP"/>
        </w:rPr>
        <w:t>P. patens</w:t>
      </w:r>
      <w:r w:rsidR="003A48AB" w:rsidRPr="009F0A54">
        <w:rPr>
          <w:rFonts w:ascii="Arial" w:eastAsia="Yu Mincho" w:hAnsi="Arial" w:cs="Arial"/>
          <w:i/>
          <w:lang w:eastAsia="ja-JP"/>
        </w:rPr>
        <w:tab/>
      </w:r>
    </w:p>
    <w:p w14:paraId="1A99F085" w14:textId="77777777" w:rsidR="006B37C8" w:rsidRDefault="009F0A54" w:rsidP="009F0A54">
      <w:pPr>
        <w:pStyle w:val="ListParagraph"/>
        <w:numPr>
          <w:ilvl w:val="1"/>
          <w:numId w:val="40"/>
        </w:numPr>
        <w:tabs>
          <w:tab w:val="left" w:pos="1418"/>
        </w:tabs>
        <w:spacing w:after="100" w:afterAutospacing="1"/>
        <w:ind w:right="95" w:hanging="578"/>
        <w:rPr>
          <w:rFonts w:ascii="Arial" w:eastAsia="Yu Mincho" w:hAnsi="Arial" w:cs="Arial"/>
          <w:lang w:eastAsia="ja-JP"/>
        </w:rPr>
      </w:pPr>
      <w:r w:rsidRPr="009F0A54">
        <w:rPr>
          <w:rFonts w:ascii="Arial" w:eastAsia="Yu Mincho" w:hAnsi="Arial" w:cs="Arial"/>
          <w:lang w:eastAsia="ja-JP"/>
        </w:rPr>
        <w:t xml:space="preserve">Stomatal size and density responses to growth under different </w:t>
      </w:r>
      <w:r w:rsidR="006B37C8">
        <w:rPr>
          <w:rFonts w:ascii="Arial" w:eastAsia="Yu Mincho" w:hAnsi="Arial" w:cs="Arial"/>
          <w:lang w:eastAsia="ja-JP"/>
        </w:rPr>
        <w:tab/>
        <w:t>24</w:t>
      </w:r>
    </w:p>
    <w:p w14:paraId="1EACD0E5" w14:textId="77777777" w:rsidR="006B37C8" w:rsidRDefault="009F0A54" w:rsidP="006B37C8">
      <w:pPr>
        <w:pStyle w:val="ListParagraph"/>
        <w:tabs>
          <w:tab w:val="left" w:pos="1418"/>
        </w:tabs>
        <w:spacing w:after="100" w:afterAutospacing="1"/>
        <w:ind w:right="95"/>
        <w:rPr>
          <w:rFonts w:ascii="Arial" w:eastAsia="Yu Mincho" w:hAnsi="Arial" w:cs="Arial"/>
          <w:lang w:eastAsia="ja-JP"/>
        </w:rPr>
      </w:pPr>
      <w:r w:rsidRPr="009F0A54">
        <w:rPr>
          <w:rFonts w:ascii="Arial" w:eastAsia="Yu Mincho" w:hAnsi="Arial" w:cs="Arial"/>
          <w:lang w:eastAsia="ja-JP"/>
        </w:rPr>
        <w:t>CO2 concentrations: an ancient response mechanism to space</w:t>
      </w:r>
    </w:p>
    <w:p w14:paraId="66D6ABF8" w14:textId="77777777" w:rsidR="006B37C8" w:rsidRDefault="006B37C8" w:rsidP="006B37C8">
      <w:pPr>
        <w:pStyle w:val="ListParagraph"/>
        <w:tabs>
          <w:tab w:val="left" w:pos="1418"/>
        </w:tabs>
        <w:spacing w:after="100" w:afterAutospacing="1"/>
        <w:ind w:right="95"/>
        <w:rPr>
          <w:rFonts w:ascii="Arial" w:eastAsia="Yu Mincho" w:hAnsi="Arial" w:cs="Arial"/>
          <w:lang w:eastAsia="ja-JP"/>
        </w:rPr>
      </w:pPr>
      <w:r>
        <w:rPr>
          <w:rFonts w:ascii="Arial" w:eastAsia="Yu Mincho" w:hAnsi="Arial" w:cs="Arial"/>
          <w:lang w:eastAsia="ja-JP"/>
        </w:rPr>
        <w:t>stomata</w:t>
      </w:r>
    </w:p>
    <w:p w14:paraId="54902D92" w14:textId="77777777" w:rsidR="006B37C8" w:rsidRPr="006B37C8" w:rsidRDefault="006B37C8" w:rsidP="006B37C8">
      <w:pPr>
        <w:pStyle w:val="ListParagraph"/>
        <w:numPr>
          <w:ilvl w:val="1"/>
          <w:numId w:val="40"/>
        </w:numPr>
        <w:tabs>
          <w:tab w:val="left" w:pos="1418"/>
        </w:tabs>
        <w:spacing w:after="100" w:afterAutospacing="1"/>
        <w:ind w:right="95" w:hanging="578"/>
        <w:rPr>
          <w:rFonts w:ascii="Arial" w:eastAsia="Yu Mincho" w:hAnsi="Arial" w:cs="Arial"/>
          <w:lang w:eastAsia="ja-JP"/>
        </w:rPr>
      </w:pPr>
      <w:r>
        <w:rPr>
          <w:rFonts w:ascii="Arial" w:eastAsia="Yu Mincho" w:hAnsi="Arial" w:cs="Arial"/>
          <w:lang w:eastAsia="ja-JP"/>
        </w:rPr>
        <w:t>Thesis aims</w:t>
      </w:r>
      <w:r>
        <w:rPr>
          <w:rFonts w:ascii="Arial" w:eastAsia="Yu Mincho" w:hAnsi="Arial" w:cs="Arial"/>
          <w:lang w:eastAsia="ja-JP"/>
        </w:rPr>
        <w:tab/>
      </w:r>
      <w:r>
        <w:rPr>
          <w:rFonts w:ascii="Arial" w:eastAsia="Yu Mincho" w:hAnsi="Arial" w:cs="Arial"/>
          <w:lang w:eastAsia="ja-JP"/>
        </w:rPr>
        <w:tab/>
      </w:r>
      <w:r>
        <w:rPr>
          <w:rFonts w:ascii="Arial" w:eastAsia="Yu Mincho" w:hAnsi="Arial" w:cs="Arial"/>
          <w:lang w:eastAsia="ja-JP"/>
        </w:rPr>
        <w:tab/>
      </w:r>
      <w:r>
        <w:rPr>
          <w:rFonts w:ascii="Arial" w:eastAsia="Yu Mincho" w:hAnsi="Arial" w:cs="Arial"/>
          <w:lang w:eastAsia="ja-JP"/>
        </w:rPr>
        <w:tab/>
      </w:r>
      <w:r>
        <w:rPr>
          <w:rFonts w:ascii="Arial" w:eastAsia="Yu Mincho" w:hAnsi="Arial" w:cs="Arial"/>
          <w:lang w:eastAsia="ja-JP"/>
        </w:rPr>
        <w:tab/>
      </w:r>
      <w:r>
        <w:rPr>
          <w:rFonts w:ascii="Arial" w:eastAsia="Yu Mincho" w:hAnsi="Arial" w:cs="Arial"/>
          <w:lang w:eastAsia="ja-JP"/>
        </w:rPr>
        <w:tab/>
      </w:r>
      <w:r>
        <w:rPr>
          <w:rFonts w:ascii="Arial" w:eastAsia="Yu Mincho" w:hAnsi="Arial" w:cs="Arial"/>
          <w:lang w:eastAsia="ja-JP"/>
        </w:rPr>
        <w:tab/>
      </w:r>
      <w:r>
        <w:rPr>
          <w:rFonts w:ascii="Arial" w:eastAsia="Yu Mincho" w:hAnsi="Arial" w:cs="Arial"/>
          <w:lang w:eastAsia="ja-JP"/>
        </w:rPr>
        <w:tab/>
        <w:t>26</w:t>
      </w:r>
    </w:p>
    <w:p w14:paraId="3A312A22" w14:textId="77777777" w:rsidR="003A48AB" w:rsidRPr="003A48AB" w:rsidRDefault="003A48AB" w:rsidP="009F0A54">
      <w:pPr>
        <w:tabs>
          <w:tab w:val="left" w:pos="1418"/>
        </w:tabs>
        <w:spacing w:after="0" w:line="240" w:lineRule="auto"/>
        <w:ind w:right="96"/>
        <w:rPr>
          <w:rFonts w:ascii="Arial" w:eastAsia="Times New Roman" w:hAnsi="Arial" w:cs="Arial"/>
          <w:b/>
          <w:color w:val="000000"/>
          <w:lang w:eastAsia="ja-JP"/>
        </w:rPr>
      </w:pPr>
      <w:r w:rsidRPr="003A48AB">
        <w:rPr>
          <w:rFonts w:ascii="Arial" w:eastAsia="Times New Roman" w:hAnsi="Arial" w:cs="Arial"/>
          <w:b/>
          <w:color w:val="000000"/>
          <w:lang w:eastAsia="ja-JP"/>
        </w:rPr>
        <w:t>Chapter 2: Methods</w:t>
      </w:r>
      <w:r w:rsidR="006B37C8">
        <w:rPr>
          <w:rFonts w:ascii="Arial" w:eastAsia="Times New Roman" w:hAnsi="Arial" w:cs="Arial"/>
          <w:b/>
          <w:color w:val="000000"/>
          <w:lang w:eastAsia="ja-JP"/>
        </w:rPr>
        <w:tab/>
      </w:r>
      <w:r w:rsidR="006B37C8">
        <w:rPr>
          <w:rFonts w:ascii="Arial" w:eastAsia="Times New Roman" w:hAnsi="Arial" w:cs="Arial"/>
          <w:b/>
          <w:color w:val="000000"/>
          <w:lang w:eastAsia="ja-JP"/>
        </w:rPr>
        <w:tab/>
      </w:r>
      <w:r w:rsidR="006B37C8">
        <w:rPr>
          <w:rFonts w:ascii="Arial" w:eastAsia="Times New Roman" w:hAnsi="Arial" w:cs="Arial"/>
          <w:b/>
          <w:color w:val="000000"/>
          <w:lang w:eastAsia="ja-JP"/>
        </w:rPr>
        <w:tab/>
      </w:r>
      <w:r w:rsidR="006B37C8">
        <w:rPr>
          <w:rFonts w:ascii="Arial" w:eastAsia="Times New Roman" w:hAnsi="Arial" w:cs="Arial"/>
          <w:b/>
          <w:color w:val="000000"/>
          <w:lang w:eastAsia="ja-JP"/>
        </w:rPr>
        <w:tab/>
      </w:r>
      <w:r w:rsidR="006B37C8">
        <w:rPr>
          <w:rFonts w:ascii="Arial" w:eastAsia="Times New Roman" w:hAnsi="Arial" w:cs="Arial"/>
          <w:b/>
          <w:color w:val="000000"/>
          <w:lang w:eastAsia="ja-JP"/>
        </w:rPr>
        <w:tab/>
      </w:r>
      <w:r w:rsidR="006B37C8">
        <w:rPr>
          <w:rFonts w:ascii="Arial" w:eastAsia="Times New Roman" w:hAnsi="Arial" w:cs="Arial"/>
          <w:b/>
          <w:color w:val="000000"/>
          <w:lang w:eastAsia="ja-JP"/>
        </w:rPr>
        <w:tab/>
      </w:r>
      <w:r w:rsidR="006B37C8">
        <w:rPr>
          <w:rFonts w:ascii="Arial" w:eastAsia="Times New Roman" w:hAnsi="Arial" w:cs="Arial"/>
          <w:b/>
          <w:color w:val="000000"/>
          <w:lang w:eastAsia="ja-JP"/>
        </w:rPr>
        <w:tab/>
      </w:r>
      <w:r w:rsidR="006B37C8">
        <w:rPr>
          <w:rFonts w:ascii="Arial" w:eastAsia="Times New Roman" w:hAnsi="Arial" w:cs="Arial"/>
          <w:b/>
          <w:color w:val="000000"/>
          <w:lang w:eastAsia="ja-JP"/>
        </w:rPr>
        <w:tab/>
        <w:t>27-45</w:t>
      </w:r>
    </w:p>
    <w:p w14:paraId="0B2A2A01" w14:textId="77777777" w:rsidR="009F0A54" w:rsidRPr="009F0A54" w:rsidRDefault="003A48AB" w:rsidP="009F0A54">
      <w:pPr>
        <w:pStyle w:val="ListParagraph"/>
        <w:numPr>
          <w:ilvl w:val="1"/>
          <w:numId w:val="13"/>
        </w:numPr>
        <w:tabs>
          <w:tab w:val="left" w:pos="993"/>
        </w:tabs>
        <w:spacing w:after="100" w:afterAutospacing="1"/>
        <w:ind w:right="95" w:hanging="578"/>
        <w:rPr>
          <w:rFonts w:ascii="Arial" w:eastAsia="Times New Roman" w:hAnsi="Arial" w:cs="Arial"/>
          <w:b/>
          <w:color w:val="000000"/>
          <w:lang w:eastAsia="ja-JP"/>
        </w:rPr>
      </w:pPr>
      <w:r w:rsidRPr="009F0A54">
        <w:rPr>
          <w:rFonts w:ascii="Arial" w:eastAsia="Times New Roman" w:hAnsi="Arial" w:cs="Arial"/>
          <w:i/>
          <w:color w:val="000000"/>
          <w:lang w:eastAsia="ja-JP"/>
        </w:rPr>
        <w:t>P</w:t>
      </w:r>
      <w:r w:rsidRPr="009F0A54">
        <w:rPr>
          <w:rFonts w:ascii="Arial" w:eastAsia="Times New Roman" w:hAnsi="Arial" w:cs="Arial"/>
          <w:b/>
          <w:i/>
          <w:color w:val="000000"/>
          <w:lang w:eastAsia="ja-JP"/>
        </w:rPr>
        <w:t xml:space="preserve">. </w:t>
      </w:r>
      <w:r w:rsidRPr="009F0A54">
        <w:rPr>
          <w:rFonts w:ascii="Arial" w:eastAsia="Yu Mincho" w:hAnsi="Arial" w:cs="Arial"/>
          <w:i/>
          <w:lang w:eastAsia="ja-JP"/>
        </w:rPr>
        <w:t>patens</w:t>
      </w:r>
      <w:r w:rsidRPr="009F0A54">
        <w:rPr>
          <w:rFonts w:ascii="Arial" w:eastAsia="Yu Mincho" w:hAnsi="Arial" w:cs="Arial"/>
          <w:lang w:eastAsia="ja-JP"/>
        </w:rPr>
        <w:t xml:space="preserve"> growth materials and handling procedures</w:t>
      </w:r>
      <w:r w:rsidR="006B37C8">
        <w:rPr>
          <w:rFonts w:ascii="Arial" w:eastAsia="Yu Mincho" w:hAnsi="Arial" w:cs="Arial"/>
          <w:lang w:eastAsia="ja-JP"/>
        </w:rPr>
        <w:tab/>
      </w:r>
      <w:r w:rsidR="006B37C8">
        <w:rPr>
          <w:rFonts w:ascii="Arial" w:eastAsia="Yu Mincho" w:hAnsi="Arial" w:cs="Arial"/>
          <w:lang w:eastAsia="ja-JP"/>
        </w:rPr>
        <w:tab/>
        <w:t>28</w:t>
      </w:r>
    </w:p>
    <w:p w14:paraId="6B9A1F0F" w14:textId="77777777" w:rsidR="009F0A54" w:rsidRPr="009F0A54" w:rsidRDefault="003A48AB" w:rsidP="009F0A54">
      <w:pPr>
        <w:pStyle w:val="ListParagraph"/>
        <w:numPr>
          <w:ilvl w:val="1"/>
          <w:numId w:val="13"/>
        </w:numPr>
        <w:tabs>
          <w:tab w:val="left" w:pos="993"/>
        </w:tabs>
        <w:spacing w:after="100" w:afterAutospacing="1"/>
        <w:ind w:right="95" w:hanging="578"/>
        <w:rPr>
          <w:rFonts w:ascii="Arial" w:eastAsia="Times New Roman" w:hAnsi="Arial" w:cs="Arial"/>
          <w:b/>
          <w:color w:val="000000"/>
          <w:lang w:eastAsia="ja-JP"/>
        </w:rPr>
      </w:pPr>
      <w:r w:rsidRPr="009F0A54">
        <w:rPr>
          <w:rFonts w:ascii="Arial" w:eastAsia="Yu Mincho" w:hAnsi="Arial" w:cs="Arial"/>
          <w:i/>
          <w:lang w:eastAsia="ja-JP"/>
        </w:rPr>
        <w:t>P. patens</w:t>
      </w:r>
      <w:r w:rsidRPr="009F0A54">
        <w:rPr>
          <w:rFonts w:ascii="Arial" w:eastAsia="Yu Mincho" w:hAnsi="Arial" w:cs="Arial"/>
          <w:lang w:eastAsia="ja-JP"/>
        </w:rPr>
        <w:t xml:space="preserve"> growth conditions</w:t>
      </w:r>
      <w:r w:rsidR="006B37C8">
        <w:rPr>
          <w:rFonts w:ascii="Arial" w:eastAsia="Yu Mincho" w:hAnsi="Arial" w:cs="Arial"/>
          <w:lang w:eastAsia="ja-JP"/>
        </w:rPr>
        <w:tab/>
      </w:r>
      <w:r w:rsidR="006B37C8">
        <w:rPr>
          <w:rFonts w:ascii="Arial" w:eastAsia="Yu Mincho" w:hAnsi="Arial" w:cs="Arial"/>
          <w:lang w:eastAsia="ja-JP"/>
        </w:rPr>
        <w:tab/>
      </w:r>
      <w:r w:rsidR="006B37C8">
        <w:rPr>
          <w:rFonts w:ascii="Arial" w:eastAsia="Yu Mincho" w:hAnsi="Arial" w:cs="Arial"/>
          <w:lang w:eastAsia="ja-JP"/>
        </w:rPr>
        <w:tab/>
      </w:r>
      <w:r w:rsidR="006B37C8">
        <w:rPr>
          <w:rFonts w:ascii="Arial" w:eastAsia="Yu Mincho" w:hAnsi="Arial" w:cs="Arial"/>
          <w:lang w:eastAsia="ja-JP"/>
        </w:rPr>
        <w:tab/>
      </w:r>
      <w:r w:rsidR="006B37C8">
        <w:rPr>
          <w:rFonts w:ascii="Arial" w:eastAsia="Yu Mincho" w:hAnsi="Arial" w:cs="Arial"/>
          <w:lang w:eastAsia="ja-JP"/>
        </w:rPr>
        <w:tab/>
      </w:r>
      <w:r w:rsidR="006B37C8">
        <w:rPr>
          <w:rFonts w:ascii="Arial" w:eastAsia="Yu Mincho" w:hAnsi="Arial" w:cs="Arial"/>
          <w:lang w:eastAsia="ja-JP"/>
        </w:rPr>
        <w:tab/>
        <w:t>28</w:t>
      </w:r>
    </w:p>
    <w:p w14:paraId="12A67338" w14:textId="77777777" w:rsidR="009F0A54" w:rsidRPr="009F0A54" w:rsidRDefault="003A48AB" w:rsidP="009F0A54">
      <w:pPr>
        <w:pStyle w:val="ListParagraph"/>
        <w:numPr>
          <w:ilvl w:val="1"/>
          <w:numId w:val="13"/>
        </w:numPr>
        <w:tabs>
          <w:tab w:val="left" w:pos="993"/>
        </w:tabs>
        <w:spacing w:after="100" w:afterAutospacing="1"/>
        <w:ind w:right="95" w:hanging="578"/>
        <w:rPr>
          <w:rFonts w:ascii="Arial" w:eastAsia="Times New Roman" w:hAnsi="Arial" w:cs="Arial"/>
          <w:b/>
          <w:color w:val="000000"/>
          <w:lang w:eastAsia="ja-JP"/>
        </w:rPr>
      </w:pPr>
      <w:r w:rsidRPr="009F0A54">
        <w:rPr>
          <w:rFonts w:ascii="Arial" w:eastAsia="Yu Mincho" w:hAnsi="Arial" w:cs="Arial"/>
          <w:i/>
          <w:bdr w:val="none" w:sz="0" w:space="0" w:color="auto" w:frame="1"/>
          <w:lang w:eastAsia="ja-JP"/>
        </w:rPr>
        <w:t xml:space="preserve">P. patens </w:t>
      </w:r>
      <w:r w:rsidRPr="009F0A54">
        <w:rPr>
          <w:rFonts w:ascii="Arial" w:eastAsia="Yu Mincho" w:hAnsi="Arial" w:cs="Arial"/>
          <w:bdr w:val="none" w:sz="0" w:space="0" w:color="auto" w:frame="1"/>
          <w:lang w:eastAsia="ja-JP"/>
        </w:rPr>
        <w:t>sample preparation, mic</w:t>
      </w:r>
      <w:r w:rsidR="009F0A54">
        <w:rPr>
          <w:rFonts w:ascii="Arial" w:eastAsia="Yu Mincho" w:hAnsi="Arial" w:cs="Arial"/>
          <w:bdr w:val="none" w:sz="0" w:space="0" w:color="auto" w:frame="1"/>
          <w:lang w:eastAsia="ja-JP"/>
        </w:rPr>
        <w:t>roscopy and image processing</w:t>
      </w:r>
      <w:r w:rsidR="006B37C8">
        <w:rPr>
          <w:rFonts w:ascii="Arial" w:eastAsia="Yu Mincho" w:hAnsi="Arial" w:cs="Arial"/>
          <w:bdr w:val="none" w:sz="0" w:space="0" w:color="auto" w:frame="1"/>
          <w:lang w:eastAsia="ja-JP"/>
        </w:rPr>
        <w:tab/>
        <w:t>29</w:t>
      </w:r>
    </w:p>
    <w:p w14:paraId="169EED0F" w14:textId="77777777" w:rsidR="009F0A54" w:rsidRPr="009F0A54" w:rsidRDefault="003A48AB" w:rsidP="009F0A54">
      <w:pPr>
        <w:pStyle w:val="ListParagraph"/>
        <w:numPr>
          <w:ilvl w:val="1"/>
          <w:numId w:val="13"/>
        </w:numPr>
        <w:tabs>
          <w:tab w:val="left" w:pos="993"/>
        </w:tabs>
        <w:spacing w:after="100" w:afterAutospacing="1"/>
        <w:ind w:right="95" w:hanging="578"/>
        <w:rPr>
          <w:rFonts w:ascii="Arial" w:eastAsia="Times New Roman" w:hAnsi="Arial" w:cs="Arial"/>
          <w:b/>
          <w:color w:val="000000"/>
          <w:lang w:eastAsia="ja-JP"/>
        </w:rPr>
      </w:pPr>
      <w:r w:rsidRPr="009F0A54">
        <w:rPr>
          <w:rFonts w:ascii="Arial" w:eastAsia="Yu Mincho" w:hAnsi="Arial" w:cs="Arial"/>
          <w:bdr w:val="none" w:sz="0" w:space="0" w:color="auto" w:frame="1"/>
          <w:lang w:eastAsia="ja-JP"/>
        </w:rPr>
        <w:t xml:space="preserve">Technovit </w:t>
      </w:r>
      <w:r w:rsidR="009F0A54">
        <w:rPr>
          <w:rFonts w:ascii="Arial" w:eastAsia="Yu Mincho" w:hAnsi="Arial" w:cs="Arial"/>
          <w:bdr w:val="none" w:sz="0" w:space="0" w:color="auto" w:frame="1"/>
          <w:lang w:eastAsia="ja-JP"/>
        </w:rPr>
        <w:t>embedding and sectioning</w:t>
      </w:r>
      <w:r w:rsidR="009F0A54">
        <w:rPr>
          <w:rFonts w:ascii="Arial" w:eastAsia="Yu Mincho" w:hAnsi="Arial" w:cs="Arial"/>
          <w:bdr w:val="none" w:sz="0" w:space="0" w:color="auto" w:frame="1"/>
          <w:lang w:eastAsia="ja-JP"/>
        </w:rPr>
        <w:tab/>
      </w:r>
      <w:r w:rsidR="006B37C8">
        <w:rPr>
          <w:rFonts w:ascii="Arial" w:eastAsia="Yu Mincho" w:hAnsi="Arial" w:cs="Arial"/>
          <w:bdr w:val="none" w:sz="0" w:space="0" w:color="auto" w:frame="1"/>
          <w:lang w:eastAsia="ja-JP"/>
        </w:rPr>
        <w:tab/>
      </w:r>
      <w:r w:rsidR="006B37C8">
        <w:rPr>
          <w:rFonts w:ascii="Arial" w:eastAsia="Yu Mincho" w:hAnsi="Arial" w:cs="Arial"/>
          <w:bdr w:val="none" w:sz="0" w:space="0" w:color="auto" w:frame="1"/>
          <w:lang w:eastAsia="ja-JP"/>
        </w:rPr>
        <w:tab/>
      </w:r>
      <w:r w:rsidR="006B37C8">
        <w:rPr>
          <w:rFonts w:ascii="Arial" w:eastAsia="Yu Mincho" w:hAnsi="Arial" w:cs="Arial"/>
          <w:bdr w:val="none" w:sz="0" w:space="0" w:color="auto" w:frame="1"/>
          <w:lang w:eastAsia="ja-JP"/>
        </w:rPr>
        <w:tab/>
      </w:r>
      <w:r w:rsidR="006B37C8">
        <w:rPr>
          <w:rFonts w:ascii="Arial" w:eastAsia="Yu Mincho" w:hAnsi="Arial" w:cs="Arial"/>
          <w:bdr w:val="none" w:sz="0" w:space="0" w:color="auto" w:frame="1"/>
          <w:lang w:eastAsia="ja-JP"/>
        </w:rPr>
        <w:tab/>
        <w:t>29</w:t>
      </w:r>
    </w:p>
    <w:p w14:paraId="69F91763" w14:textId="77777777" w:rsidR="009F0A54" w:rsidRPr="009F0A54" w:rsidRDefault="003A48AB" w:rsidP="009F0A54">
      <w:pPr>
        <w:pStyle w:val="ListParagraph"/>
        <w:numPr>
          <w:ilvl w:val="1"/>
          <w:numId w:val="13"/>
        </w:numPr>
        <w:tabs>
          <w:tab w:val="left" w:pos="993"/>
        </w:tabs>
        <w:spacing w:after="100" w:afterAutospacing="1"/>
        <w:ind w:right="95" w:hanging="578"/>
        <w:rPr>
          <w:rFonts w:ascii="Arial" w:eastAsia="Times New Roman" w:hAnsi="Arial" w:cs="Arial"/>
          <w:b/>
          <w:color w:val="000000"/>
          <w:lang w:eastAsia="ja-JP"/>
        </w:rPr>
      </w:pPr>
      <w:r w:rsidRPr="009F0A54">
        <w:rPr>
          <w:rFonts w:ascii="Arial" w:eastAsia="Yu Mincho" w:hAnsi="Arial" w:cs="Arial"/>
          <w:bdr w:val="none" w:sz="0" w:space="0" w:color="auto" w:frame="1"/>
          <w:lang w:eastAsia="ja-JP"/>
        </w:rPr>
        <w:t>Sc</w:t>
      </w:r>
      <w:r w:rsidR="009F0A54">
        <w:rPr>
          <w:rFonts w:ascii="Arial" w:eastAsia="Yu Mincho" w:hAnsi="Arial" w:cs="Arial"/>
          <w:bdr w:val="none" w:sz="0" w:space="0" w:color="auto" w:frame="1"/>
          <w:lang w:eastAsia="ja-JP"/>
        </w:rPr>
        <w:t>anning Electron Microscopy (SEM)</w:t>
      </w:r>
      <w:r w:rsidR="006B37C8">
        <w:rPr>
          <w:rFonts w:ascii="Arial" w:eastAsia="Yu Mincho" w:hAnsi="Arial" w:cs="Arial"/>
          <w:bdr w:val="none" w:sz="0" w:space="0" w:color="auto" w:frame="1"/>
          <w:lang w:eastAsia="ja-JP"/>
        </w:rPr>
        <w:tab/>
      </w:r>
      <w:r w:rsidR="006B37C8">
        <w:rPr>
          <w:rFonts w:ascii="Arial" w:eastAsia="Yu Mincho" w:hAnsi="Arial" w:cs="Arial"/>
          <w:bdr w:val="none" w:sz="0" w:space="0" w:color="auto" w:frame="1"/>
          <w:lang w:eastAsia="ja-JP"/>
        </w:rPr>
        <w:tab/>
      </w:r>
      <w:r w:rsidR="006B37C8">
        <w:rPr>
          <w:rFonts w:ascii="Arial" w:eastAsia="Yu Mincho" w:hAnsi="Arial" w:cs="Arial"/>
          <w:bdr w:val="none" w:sz="0" w:space="0" w:color="auto" w:frame="1"/>
          <w:lang w:eastAsia="ja-JP"/>
        </w:rPr>
        <w:tab/>
      </w:r>
      <w:r w:rsidR="006B37C8">
        <w:rPr>
          <w:rFonts w:ascii="Arial" w:eastAsia="Yu Mincho" w:hAnsi="Arial" w:cs="Arial"/>
          <w:bdr w:val="none" w:sz="0" w:space="0" w:color="auto" w:frame="1"/>
          <w:lang w:eastAsia="ja-JP"/>
        </w:rPr>
        <w:tab/>
        <w:t>30</w:t>
      </w:r>
      <w:r w:rsidR="006B37C8">
        <w:rPr>
          <w:rFonts w:ascii="Arial" w:eastAsia="Yu Mincho" w:hAnsi="Arial" w:cs="Arial"/>
          <w:bdr w:val="none" w:sz="0" w:space="0" w:color="auto" w:frame="1"/>
          <w:lang w:eastAsia="ja-JP"/>
        </w:rPr>
        <w:tab/>
      </w:r>
    </w:p>
    <w:p w14:paraId="140320FC" w14:textId="77777777" w:rsidR="006B37C8" w:rsidRPr="006B37C8" w:rsidRDefault="003A48AB" w:rsidP="006B37C8">
      <w:pPr>
        <w:pStyle w:val="ListParagraph"/>
        <w:numPr>
          <w:ilvl w:val="1"/>
          <w:numId w:val="13"/>
        </w:numPr>
        <w:tabs>
          <w:tab w:val="left" w:pos="993"/>
        </w:tabs>
        <w:spacing w:after="100" w:afterAutospacing="1"/>
        <w:ind w:right="95" w:hanging="578"/>
        <w:rPr>
          <w:rFonts w:ascii="Arial" w:eastAsia="Times New Roman" w:hAnsi="Arial" w:cs="Arial"/>
          <w:b/>
          <w:color w:val="000000"/>
          <w:lang w:eastAsia="ja-JP"/>
        </w:rPr>
      </w:pPr>
      <w:r w:rsidRPr="009F0A54">
        <w:rPr>
          <w:rFonts w:ascii="Arial" w:eastAsia="Yu Mincho" w:hAnsi="Arial" w:cs="Arial"/>
          <w:lang w:eastAsia="ja-JP"/>
        </w:rPr>
        <w:t xml:space="preserve">Extraction of high quality </w:t>
      </w:r>
      <w:r w:rsidRPr="009F0A54">
        <w:rPr>
          <w:rFonts w:ascii="Arial" w:eastAsia="Yu Mincho" w:hAnsi="Arial" w:cs="Arial"/>
          <w:i/>
          <w:lang w:eastAsia="ja-JP"/>
        </w:rPr>
        <w:t>P. patens</w:t>
      </w:r>
      <w:r w:rsidR="006B37C8">
        <w:rPr>
          <w:rFonts w:ascii="Arial" w:eastAsia="Yu Mincho" w:hAnsi="Arial" w:cs="Arial"/>
          <w:lang w:eastAsia="ja-JP"/>
        </w:rPr>
        <w:t xml:space="preserve"> DNA for genotyping and</w:t>
      </w:r>
      <w:r w:rsidR="006B37C8">
        <w:rPr>
          <w:rFonts w:ascii="Arial" w:eastAsia="Yu Mincho" w:hAnsi="Arial" w:cs="Arial"/>
          <w:lang w:eastAsia="ja-JP"/>
        </w:rPr>
        <w:tab/>
        <w:t>30</w:t>
      </w:r>
    </w:p>
    <w:p w14:paraId="57152C3A" w14:textId="77777777" w:rsidR="009F0A54" w:rsidRPr="006B37C8" w:rsidRDefault="006B37C8" w:rsidP="006B37C8">
      <w:pPr>
        <w:pStyle w:val="ListParagraph"/>
        <w:tabs>
          <w:tab w:val="left" w:pos="993"/>
        </w:tabs>
        <w:spacing w:after="100" w:afterAutospacing="1"/>
        <w:ind w:right="95"/>
        <w:rPr>
          <w:rFonts w:ascii="Arial" w:eastAsia="Times New Roman" w:hAnsi="Arial" w:cs="Arial"/>
          <w:b/>
          <w:color w:val="000000"/>
          <w:lang w:eastAsia="ja-JP"/>
        </w:rPr>
      </w:pPr>
      <w:r>
        <w:rPr>
          <w:rFonts w:ascii="Arial" w:eastAsia="Yu Mincho" w:hAnsi="Arial" w:cs="Arial"/>
          <w:lang w:eastAsia="ja-JP"/>
        </w:rPr>
        <w:t>other</w:t>
      </w:r>
      <w:r w:rsidR="003A48AB" w:rsidRPr="006B37C8">
        <w:rPr>
          <w:rFonts w:ascii="Arial" w:eastAsia="Yu Mincho" w:hAnsi="Arial" w:cs="Arial"/>
          <w:lang w:eastAsia="ja-JP"/>
        </w:rPr>
        <w:t xml:space="preserve"> applications such as Southern blotting</w:t>
      </w:r>
    </w:p>
    <w:p w14:paraId="624E8E40" w14:textId="77777777" w:rsidR="006B37C8" w:rsidRPr="006B37C8" w:rsidRDefault="003A48AB" w:rsidP="009F0A54">
      <w:pPr>
        <w:pStyle w:val="ListParagraph"/>
        <w:numPr>
          <w:ilvl w:val="1"/>
          <w:numId w:val="13"/>
        </w:numPr>
        <w:tabs>
          <w:tab w:val="left" w:pos="993"/>
        </w:tabs>
        <w:spacing w:after="100" w:afterAutospacing="1"/>
        <w:ind w:right="95" w:hanging="578"/>
        <w:rPr>
          <w:rFonts w:ascii="Arial" w:eastAsia="Times New Roman" w:hAnsi="Arial" w:cs="Arial"/>
          <w:b/>
          <w:color w:val="000000"/>
          <w:lang w:eastAsia="ja-JP"/>
        </w:rPr>
      </w:pPr>
      <w:r w:rsidRPr="009F0A54">
        <w:rPr>
          <w:rFonts w:ascii="Arial" w:eastAsia="Yu Mincho" w:hAnsi="Arial" w:cs="Arial"/>
          <w:lang w:eastAsia="ja-JP"/>
        </w:rPr>
        <w:t xml:space="preserve">DNA Amplification using KOD Hot Start DNA Polymerase </w:t>
      </w:r>
      <w:r w:rsidR="006B37C8">
        <w:rPr>
          <w:rFonts w:ascii="Arial" w:eastAsia="Yu Mincho" w:hAnsi="Arial" w:cs="Arial"/>
          <w:lang w:eastAsia="ja-JP"/>
        </w:rPr>
        <w:tab/>
      </w:r>
      <w:r w:rsidR="006B37C8">
        <w:rPr>
          <w:rFonts w:ascii="Arial" w:eastAsia="Yu Mincho" w:hAnsi="Arial" w:cs="Arial"/>
          <w:lang w:eastAsia="ja-JP"/>
        </w:rPr>
        <w:tab/>
        <w:t>32</w:t>
      </w:r>
    </w:p>
    <w:p w14:paraId="7AB41DA4" w14:textId="77777777" w:rsidR="009F0A54" w:rsidRPr="009F0A54" w:rsidRDefault="003A48AB" w:rsidP="006B37C8">
      <w:pPr>
        <w:pStyle w:val="ListParagraph"/>
        <w:tabs>
          <w:tab w:val="left" w:pos="993"/>
        </w:tabs>
        <w:spacing w:after="100" w:afterAutospacing="1"/>
        <w:ind w:right="95"/>
        <w:rPr>
          <w:rFonts w:ascii="Arial" w:eastAsia="Times New Roman" w:hAnsi="Arial" w:cs="Arial"/>
          <w:b/>
          <w:color w:val="000000"/>
          <w:lang w:eastAsia="ja-JP"/>
        </w:rPr>
      </w:pPr>
      <w:r w:rsidRPr="009F0A54">
        <w:rPr>
          <w:rFonts w:ascii="Arial" w:eastAsia="Yu Mincho" w:hAnsi="Arial" w:cs="Arial"/>
          <w:lang w:eastAsia="ja-JP"/>
        </w:rPr>
        <w:t>(Toyobo, Japan)</w:t>
      </w:r>
    </w:p>
    <w:p w14:paraId="6AE20819" w14:textId="77777777" w:rsidR="00D939E5" w:rsidRPr="00D939E5" w:rsidRDefault="003A48AB" w:rsidP="009F0A54">
      <w:pPr>
        <w:pStyle w:val="ListParagraph"/>
        <w:numPr>
          <w:ilvl w:val="1"/>
          <w:numId w:val="13"/>
        </w:numPr>
        <w:tabs>
          <w:tab w:val="left" w:pos="993"/>
        </w:tabs>
        <w:spacing w:after="100" w:afterAutospacing="1"/>
        <w:ind w:right="95" w:hanging="578"/>
        <w:rPr>
          <w:rFonts w:ascii="Arial" w:eastAsia="Times New Roman" w:hAnsi="Arial" w:cs="Arial"/>
          <w:b/>
          <w:color w:val="000000"/>
          <w:lang w:eastAsia="ja-JP"/>
        </w:rPr>
      </w:pPr>
      <w:r w:rsidRPr="009F0A54">
        <w:rPr>
          <w:rFonts w:ascii="Arial" w:eastAsia="Yu Mincho" w:hAnsi="Arial" w:cs="Arial"/>
          <w:bdr w:val="none" w:sz="0" w:space="0" w:color="auto" w:frame="1"/>
          <w:lang w:eastAsia="ja-JP"/>
        </w:rPr>
        <w:t xml:space="preserve">Construction of plasmids for downstream genetic studies in </w:t>
      </w:r>
      <w:r w:rsidR="00D939E5">
        <w:rPr>
          <w:rFonts w:ascii="Arial" w:eastAsia="Yu Mincho" w:hAnsi="Arial" w:cs="Arial"/>
          <w:bdr w:val="none" w:sz="0" w:space="0" w:color="auto" w:frame="1"/>
          <w:lang w:eastAsia="ja-JP"/>
        </w:rPr>
        <w:tab/>
        <w:t>32</w:t>
      </w:r>
    </w:p>
    <w:p w14:paraId="7C5D9A18" w14:textId="77777777" w:rsidR="00D939E5" w:rsidRDefault="009F0A54" w:rsidP="00D939E5">
      <w:pPr>
        <w:pStyle w:val="ListParagraph"/>
        <w:tabs>
          <w:tab w:val="left" w:pos="993"/>
        </w:tabs>
        <w:spacing w:after="100" w:afterAutospacing="1"/>
        <w:ind w:right="95"/>
        <w:rPr>
          <w:rFonts w:ascii="Arial" w:eastAsia="Yu Mincho" w:hAnsi="Arial" w:cs="Arial"/>
          <w:i/>
          <w:bdr w:val="none" w:sz="0" w:space="0" w:color="auto" w:frame="1"/>
          <w:lang w:eastAsia="ja-JP"/>
        </w:rPr>
      </w:pPr>
      <w:r>
        <w:rPr>
          <w:rFonts w:ascii="Arial" w:eastAsia="Yu Mincho" w:hAnsi="Arial" w:cs="Arial"/>
          <w:i/>
          <w:bdr w:val="none" w:sz="0" w:space="0" w:color="auto" w:frame="1"/>
          <w:lang w:eastAsia="ja-JP"/>
        </w:rPr>
        <w:t xml:space="preserve">P. patens </w:t>
      </w:r>
      <w:r w:rsidR="003A48AB" w:rsidRPr="009F0A54">
        <w:rPr>
          <w:rFonts w:ascii="Arial" w:eastAsia="Yu Mincho" w:hAnsi="Arial" w:cs="Arial"/>
          <w:bdr w:val="none" w:sz="0" w:space="0" w:color="auto" w:frame="1"/>
          <w:lang w:eastAsia="ja-JP"/>
        </w:rPr>
        <w:t xml:space="preserve">and </w:t>
      </w:r>
      <w:r w:rsidR="003A48AB" w:rsidRPr="009F0A54">
        <w:rPr>
          <w:rFonts w:ascii="Arial" w:eastAsia="Yu Mincho" w:hAnsi="Arial" w:cs="Arial"/>
          <w:i/>
          <w:bdr w:val="none" w:sz="0" w:space="0" w:color="auto" w:frame="1"/>
          <w:lang w:eastAsia="ja-JP"/>
        </w:rPr>
        <w:t>A. thaliana</w:t>
      </w:r>
    </w:p>
    <w:p w14:paraId="2DED8407" w14:textId="77777777" w:rsidR="00D939E5" w:rsidRPr="00D939E5" w:rsidRDefault="00D939E5" w:rsidP="00D939E5">
      <w:pPr>
        <w:pStyle w:val="ListParagraph"/>
        <w:numPr>
          <w:ilvl w:val="2"/>
          <w:numId w:val="13"/>
        </w:numPr>
        <w:tabs>
          <w:tab w:val="left" w:pos="1418"/>
        </w:tabs>
        <w:spacing w:after="100" w:afterAutospacing="1"/>
        <w:ind w:left="1560" w:right="95" w:hanging="862"/>
        <w:rPr>
          <w:rFonts w:ascii="Arial" w:eastAsia="Times New Roman" w:hAnsi="Arial" w:cs="Arial"/>
          <w:color w:val="000000"/>
          <w:lang w:eastAsia="ja-JP"/>
        </w:rPr>
      </w:pPr>
      <w:r w:rsidRPr="00D939E5">
        <w:rPr>
          <w:rFonts w:ascii="Arial" w:eastAsia="Yu Mincho" w:hAnsi="Arial" w:cs="Arial"/>
          <w:bdr w:val="none" w:sz="0" w:space="0" w:color="auto" w:frame="1"/>
          <w:lang w:eastAsia="ja-JP"/>
        </w:rPr>
        <w:t>PCR Amplification of engineered</w:t>
      </w:r>
      <w:r>
        <w:rPr>
          <w:rFonts w:ascii="Arial" w:eastAsia="Yu Mincho" w:hAnsi="Arial" w:cs="Arial"/>
          <w:bdr w:val="none" w:sz="0" w:space="0" w:color="auto" w:frame="1"/>
          <w:lang w:eastAsia="ja-JP"/>
        </w:rPr>
        <w:t xml:space="preserve"> </w:t>
      </w:r>
      <w:r w:rsidRPr="00D939E5">
        <w:rPr>
          <w:rFonts w:ascii="Arial" w:eastAsia="Yu Mincho" w:hAnsi="Arial" w:cs="Arial"/>
          <w:bdr w:val="none" w:sz="0" w:space="0" w:color="auto" w:frame="1"/>
          <w:lang w:eastAsia="ja-JP"/>
        </w:rPr>
        <w:t xml:space="preserve">plasmids to generate </w:t>
      </w:r>
      <w:r>
        <w:rPr>
          <w:rFonts w:ascii="Arial" w:eastAsia="Yu Mincho" w:hAnsi="Arial" w:cs="Arial"/>
          <w:bdr w:val="none" w:sz="0" w:space="0" w:color="auto" w:frame="1"/>
          <w:lang w:eastAsia="ja-JP"/>
        </w:rPr>
        <w:tab/>
        <w:t>33</w:t>
      </w:r>
    </w:p>
    <w:p w14:paraId="0BEEDD62" w14:textId="77777777" w:rsidR="00D939E5" w:rsidRPr="00D939E5" w:rsidRDefault="00D939E5" w:rsidP="00D939E5">
      <w:pPr>
        <w:pStyle w:val="ListParagraph"/>
        <w:tabs>
          <w:tab w:val="left" w:pos="1418"/>
        </w:tabs>
        <w:spacing w:after="100" w:afterAutospacing="1"/>
        <w:ind w:left="1560" w:right="95" w:hanging="142"/>
        <w:rPr>
          <w:rFonts w:ascii="Arial" w:eastAsia="Times New Roman" w:hAnsi="Arial" w:cs="Arial"/>
          <w:color w:val="000000"/>
          <w:lang w:eastAsia="ja-JP"/>
        </w:rPr>
      </w:pPr>
      <w:r>
        <w:rPr>
          <w:rFonts w:ascii="Arial" w:eastAsia="Yu Mincho" w:hAnsi="Arial" w:cs="Arial"/>
          <w:bdr w:val="none" w:sz="0" w:space="0" w:color="auto" w:frame="1"/>
          <w:lang w:eastAsia="ja-JP"/>
        </w:rPr>
        <w:t xml:space="preserve">DNA for </w:t>
      </w:r>
      <w:r>
        <w:rPr>
          <w:rFonts w:ascii="Arial" w:eastAsia="Yu Mincho" w:hAnsi="Arial" w:cs="Arial"/>
          <w:i/>
          <w:bdr w:val="none" w:sz="0" w:space="0" w:color="auto" w:frame="1"/>
          <w:lang w:eastAsia="ja-JP"/>
        </w:rPr>
        <w:t xml:space="preserve">P. </w:t>
      </w:r>
      <w:r w:rsidRPr="009F0A54">
        <w:rPr>
          <w:rFonts w:ascii="Arial" w:eastAsia="Yu Mincho" w:hAnsi="Arial" w:cs="Arial"/>
          <w:i/>
          <w:bdr w:val="none" w:sz="0" w:space="0" w:color="auto" w:frame="1"/>
          <w:lang w:eastAsia="ja-JP"/>
        </w:rPr>
        <w:t xml:space="preserve">patens </w:t>
      </w:r>
      <w:r w:rsidRPr="009F0A54">
        <w:rPr>
          <w:rFonts w:ascii="Arial" w:eastAsia="Yu Mincho" w:hAnsi="Arial" w:cs="Arial"/>
          <w:bdr w:val="none" w:sz="0" w:space="0" w:color="auto" w:frame="1"/>
          <w:lang w:eastAsia="ja-JP"/>
        </w:rPr>
        <w:t>transformations</w:t>
      </w:r>
    </w:p>
    <w:p w14:paraId="65AFAE19" w14:textId="77777777" w:rsidR="00D939E5" w:rsidRPr="00D939E5" w:rsidRDefault="00D939E5" w:rsidP="009F0A54">
      <w:pPr>
        <w:pStyle w:val="ListParagraph"/>
        <w:numPr>
          <w:ilvl w:val="2"/>
          <w:numId w:val="13"/>
        </w:numPr>
        <w:tabs>
          <w:tab w:val="left" w:pos="1418"/>
        </w:tabs>
        <w:spacing w:after="100" w:afterAutospacing="1"/>
        <w:ind w:left="1560" w:right="95" w:hanging="862"/>
        <w:rPr>
          <w:rFonts w:ascii="Arial" w:eastAsia="Times New Roman" w:hAnsi="Arial" w:cs="Arial"/>
          <w:color w:val="000000"/>
          <w:lang w:eastAsia="ja-JP"/>
        </w:rPr>
      </w:pPr>
      <w:r w:rsidRPr="00D939E5">
        <w:rPr>
          <w:rFonts w:ascii="Arial" w:eastAsia="Times New Roman" w:hAnsi="Arial" w:cs="Arial"/>
          <w:color w:val="000000"/>
          <w:lang w:eastAsia="ja-JP"/>
        </w:rPr>
        <w:t>PpSMF1 and PpSMF2 cloning strategy</w:t>
      </w:r>
      <w:r>
        <w:rPr>
          <w:rFonts w:ascii="Arial" w:eastAsia="Times New Roman" w:hAnsi="Arial" w:cs="Arial"/>
          <w:color w:val="000000"/>
          <w:lang w:eastAsia="ja-JP"/>
        </w:rPr>
        <w:tab/>
      </w:r>
      <w:r>
        <w:rPr>
          <w:rFonts w:ascii="Arial" w:eastAsia="Times New Roman" w:hAnsi="Arial" w:cs="Arial"/>
          <w:color w:val="000000"/>
          <w:lang w:eastAsia="ja-JP"/>
        </w:rPr>
        <w:tab/>
      </w:r>
      <w:r>
        <w:rPr>
          <w:rFonts w:ascii="Arial" w:eastAsia="Times New Roman" w:hAnsi="Arial" w:cs="Arial"/>
          <w:color w:val="000000"/>
          <w:lang w:eastAsia="ja-JP"/>
        </w:rPr>
        <w:tab/>
        <w:t>33</w:t>
      </w:r>
    </w:p>
    <w:p w14:paraId="1FB6E973" w14:textId="77777777" w:rsidR="009F0A54" w:rsidRPr="009F0A54" w:rsidRDefault="003A48AB" w:rsidP="009F0A54">
      <w:pPr>
        <w:pStyle w:val="ListParagraph"/>
        <w:numPr>
          <w:ilvl w:val="2"/>
          <w:numId w:val="13"/>
        </w:numPr>
        <w:tabs>
          <w:tab w:val="left" w:pos="1418"/>
        </w:tabs>
        <w:spacing w:after="100" w:afterAutospacing="1"/>
        <w:ind w:left="1560" w:right="95" w:hanging="862"/>
        <w:rPr>
          <w:rFonts w:ascii="Arial" w:eastAsia="Times New Roman" w:hAnsi="Arial" w:cs="Arial"/>
          <w:b/>
          <w:color w:val="000000"/>
          <w:lang w:eastAsia="ja-JP"/>
        </w:rPr>
      </w:pPr>
      <w:r w:rsidRPr="009F0A54">
        <w:rPr>
          <w:rFonts w:ascii="Arial" w:eastAsia="Yu Mincho" w:hAnsi="Arial" w:cs="Arial"/>
          <w:bdr w:val="none" w:sz="0" w:space="0" w:color="auto" w:frame="1"/>
          <w:lang w:eastAsia="ja-JP"/>
        </w:rPr>
        <w:t>PpSCRM1 cloning strategy</w:t>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t>34</w:t>
      </w:r>
    </w:p>
    <w:p w14:paraId="472697A0" w14:textId="77777777" w:rsidR="009F0A54" w:rsidRPr="009F0A54" w:rsidRDefault="003A48AB" w:rsidP="009F0A54">
      <w:pPr>
        <w:pStyle w:val="ListParagraph"/>
        <w:numPr>
          <w:ilvl w:val="2"/>
          <w:numId w:val="13"/>
        </w:numPr>
        <w:tabs>
          <w:tab w:val="left" w:pos="1418"/>
        </w:tabs>
        <w:spacing w:after="100" w:afterAutospacing="1"/>
        <w:ind w:left="1418" w:right="95"/>
        <w:rPr>
          <w:rFonts w:ascii="Arial" w:eastAsia="Times New Roman" w:hAnsi="Arial" w:cs="Arial"/>
          <w:b/>
          <w:color w:val="000000"/>
          <w:lang w:eastAsia="ja-JP"/>
        </w:rPr>
      </w:pPr>
      <w:r w:rsidRPr="009F0A54">
        <w:rPr>
          <w:rFonts w:ascii="Arial" w:eastAsia="Yu Mincho" w:hAnsi="Arial" w:cs="Arial"/>
          <w:bdr w:val="none" w:sz="0" w:space="0" w:color="auto" w:frame="1"/>
          <w:lang w:eastAsia="ja-JP"/>
        </w:rPr>
        <w:t>PpEPF1 cloning strategy</w:t>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t>34</w:t>
      </w:r>
    </w:p>
    <w:p w14:paraId="2E93AD78" w14:textId="77777777" w:rsidR="003A48AB" w:rsidRPr="009F0A54" w:rsidRDefault="003A48AB" w:rsidP="009F0A54">
      <w:pPr>
        <w:pStyle w:val="ListParagraph"/>
        <w:numPr>
          <w:ilvl w:val="2"/>
          <w:numId w:val="13"/>
        </w:numPr>
        <w:tabs>
          <w:tab w:val="left" w:pos="1418"/>
        </w:tabs>
        <w:spacing w:after="100" w:afterAutospacing="1"/>
        <w:ind w:left="1418" w:right="95"/>
        <w:rPr>
          <w:rFonts w:ascii="Arial" w:eastAsia="Times New Roman" w:hAnsi="Arial" w:cs="Arial"/>
          <w:b/>
          <w:color w:val="000000"/>
          <w:lang w:eastAsia="ja-JP"/>
        </w:rPr>
      </w:pPr>
      <w:r w:rsidRPr="009F0A54">
        <w:rPr>
          <w:rFonts w:ascii="Arial" w:eastAsia="Yu Mincho" w:hAnsi="Arial" w:cs="Arial"/>
          <w:bdr w:val="none" w:sz="0" w:space="0" w:color="auto" w:frame="1"/>
          <w:lang w:eastAsia="ja-JP"/>
        </w:rPr>
        <w:t>PpTMM and Pp</w:t>
      </w:r>
      <w:r w:rsidR="009F0A54">
        <w:rPr>
          <w:rFonts w:ascii="Arial" w:eastAsia="Yu Mincho" w:hAnsi="Arial" w:cs="Arial"/>
          <w:bdr w:val="none" w:sz="0" w:space="0" w:color="auto" w:frame="1"/>
          <w:lang w:eastAsia="ja-JP"/>
        </w:rPr>
        <w:t>ERECTA1 cloning strategies</w:t>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t>34</w:t>
      </w:r>
    </w:p>
    <w:p w14:paraId="72728DFC" w14:textId="77777777" w:rsidR="003A48AB" w:rsidRPr="003A48AB" w:rsidRDefault="003A48AB" w:rsidP="009F0A54">
      <w:pPr>
        <w:numPr>
          <w:ilvl w:val="2"/>
          <w:numId w:val="13"/>
        </w:numPr>
        <w:tabs>
          <w:tab w:val="left" w:pos="666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bdr w:val="none" w:sz="0" w:space="0" w:color="auto" w:frame="1"/>
          <w:lang w:eastAsia="ja-JP"/>
        </w:rPr>
        <w:t>Pro</w:t>
      </w:r>
      <w:r w:rsidR="009F0A54">
        <w:rPr>
          <w:rFonts w:ascii="Arial" w:eastAsia="Yu Mincho" w:hAnsi="Arial" w:cs="Arial"/>
          <w:bdr w:val="none" w:sz="0" w:space="0" w:color="auto" w:frame="1"/>
          <w:lang w:eastAsia="ja-JP"/>
        </w:rPr>
        <w:t>duction of double KO lines</w:t>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t>35</w:t>
      </w:r>
    </w:p>
    <w:p w14:paraId="2FBE01FF" w14:textId="77777777" w:rsidR="009F0A54" w:rsidRDefault="003A48AB" w:rsidP="009F0A54">
      <w:pPr>
        <w:numPr>
          <w:ilvl w:val="2"/>
          <w:numId w:val="13"/>
        </w:numPr>
        <w:tabs>
          <w:tab w:val="left" w:pos="666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Physcomitrella over-expression construct design and</w:t>
      </w:r>
      <w:r w:rsidR="00D939E5">
        <w:rPr>
          <w:rFonts w:ascii="Arial" w:eastAsia="Yu Mincho" w:hAnsi="Arial" w:cs="Arial"/>
          <w:lang w:eastAsia="ja-JP"/>
        </w:rPr>
        <w:tab/>
      </w:r>
      <w:r w:rsidR="00D939E5">
        <w:rPr>
          <w:rFonts w:ascii="Arial" w:eastAsia="Yu Mincho" w:hAnsi="Arial" w:cs="Arial"/>
          <w:lang w:eastAsia="ja-JP"/>
        </w:rPr>
        <w:tab/>
        <w:t>35</w:t>
      </w:r>
      <w:r w:rsidRPr="003A48AB">
        <w:rPr>
          <w:rFonts w:ascii="Arial" w:eastAsia="Yu Mincho" w:hAnsi="Arial" w:cs="Arial"/>
          <w:lang w:eastAsia="ja-JP"/>
        </w:rPr>
        <w:t xml:space="preserve">                 manufacture</w:t>
      </w:r>
    </w:p>
    <w:p w14:paraId="275F5A72" w14:textId="77777777" w:rsidR="009F0A54" w:rsidRDefault="003A48AB" w:rsidP="009F0A54">
      <w:pPr>
        <w:pStyle w:val="ListParagraph"/>
        <w:numPr>
          <w:ilvl w:val="1"/>
          <w:numId w:val="13"/>
        </w:numPr>
        <w:tabs>
          <w:tab w:val="left" w:pos="6663"/>
        </w:tabs>
        <w:spacing w:after="100" w:afterAutospacing="1"/>
        <w:ind w:left="709" w:right="95" w:hanging="567"/>
        <w:rPr>
          <w:rFonts w:ascii="Arial" w:eastAsia="Times New Roman" w:hAnsi="Arial" w:cs="Arial"/>
          <w:kern w:val="36"/>
          <w:lang w:eastAsia="ja-JP"/>
        </w:rPr>
      </w:pPr>
      <w:r w:rsidRPr="009F0A54">
        <w:rPr>
          <w:rFonts w:ascii="Arial" w:eastAsia="Times New Roman" w:hAnsi="Arial" w:cs="Arial"/>
          <w:kern w:val="36"/>
          <w:lang w:eastAsia="ja-JP"/>
        </w:rPr>
        <w:t xml:space="preserve">Transformation and genotyping of putative </w:t>
      </w:r>
      <w:r w:rsidRPr="009F0A54">
        <w:rPr>
          <w:rFonts w:ascii="Arial" w:eastAsia="Times New Roman" w:hAnsi="Arial" w:cs="Arial"/>
          <w:i/>
          <w:kern w:val="36"/>
          <w:lang w:eastAsia="ja-JP"/>
        </w:rPr>
        <w:t>P. patens</w:t>
      </w:r>
      <w:r w:rsidR="009F0A54" w:rsidRPr="009F0A54">
        <w:rPr>
          <w:rFonts w:ascii="Arial" w:eastAsia="Times New Roman" w:hAnsi="Arial" w:cs="Arial"/>
          <w:kern w:val="36"/>
          <w:lang w:eastAsia="ja-JP"/>
        </w:rPr>
        <w:t xml:space="preserve"> mutant lines</w:t>
      </w:r>
      <w:r w:rsidR="00D939E5">
        <w:rPr>
          <w:rFonts w:ascii="Arial" w:eastAsia="Times New Roman" w:hAnsi="Arial" w:cs="Arial"/>
          <w:kern w:val="36"/>
          <w:lang w:eastAsia="ja-JP"/>
        </w:rPr>
        <w:tab/>
        <w:t>36</w:t>
      </w:r>
    </w:p>
    <w:p w14:paraId="101D93D8" w14:textId="77777777" w:rsidR="003A48AB" w:rsidRPr="009F0A54" w:rsidRDefault="003A48AB" w:rsidP="009F0A54">
      <w:pPr>
        <w:pStyle w:val="ListParagraph"/>
        <w:numPr>
          <w:ilvl w:val="1"/>
          <w:numId w:val="13"/>
        </w:numPr>
        <w:spacing w:after="100" w:afterAutospacing="1"/>
        <w:ind w:left="709" w:right="95" w:hanging="578"/>
        <w:rPr>
          <w:rFonts w:ascii="Arial" w:eastAsia="Times New Roman" w:hAnsi="Arial" w:cs="Arial"/>
          <w:kern w:val="36"/>
          <w:lang w:eastAsia="ja-JP"/>
        </w:rPr>
      </w:pPr>
      <w:r w:rsidRPr="009F0A54">
        <w:rPr>
          <w:rFonts w:ascii="Arial" w:eastAsia="Yu Mincho" w:hAnsi="Arial" w:cs="Arial"/>
          <w:bdr w:val="none" w:sz="0" w:space="0" w:color="auto" w:frame="1"/>
          <w:lang w:eastAsia="ja-JP"/>
        </w:rPr>
        <w:lastRenderedPageBreak/>
        <w:t>Rapid DNA extraction using Green PCR genotyping</w:t>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t>36</w:t>
      </w:r>
    </w:p>
    <w:p w14:paraId="59BD836F" w14:textId="77777777" w:rsidR="00D939E5" w:rsidRPr="00D939E5" w:rsidRDefault="003A48AB" w:rsidP="009F0A54">
      <w:pPr>
        <w:pStyle w:val="ListParagraph"/>
        <w:numPr>
          <w:ilvl w:val="1"/>
          <w:numId w:val="13"/>
        </w:numPr>
        <w:spacing w:after="100" w:afterAutospacing="1"/>
        <w:ind w:left="709" w:right="95" w:hanging="578"/>
        <w:rPr>
          <w:rFonts w:ascii="Arial" w:eastAsia="Times New Roman" w:hAnsi="Arial" w:cs="Arial"/>
          <w:kern w:val="36"/>
          <w:lang w:eastAsia="ja-JP"/>
        </w:rPr>
      </w:pPr>
      <w:r w:rsidRPr="009F0A54">
        <w:rPr>
          <w:rFonts w:ascii="Arial" w:eastAsia="Yu Mincho" w:hAnsi="Arial" w:cs="Arial"/>
          <w:bdr w:val="none" w:sz="0" w:space="0" w:color="auto" w:frame="1"/>
          <w:lang w:eastAsia="ja-JP"/>
        </w:rPr>
        <w:t>RNA extraction for expression analys</w:t>
      </w:r>
      <w:r w:rsidR="009F0A54">
        <w:rPr>
          <w:rFonts w:ascii="Arial" w:eastAsia="Yu Mincho" w:hAnsi="Arial" w:cs="Arial"/>
          <w:bdr w:val="none" w:sz="0" w:space="0" w:color="auto" w:frame="1"/>
          <w:lang w:eastAsia="ja-JP"/>
        </w:rPr>
        <w:t xml:space="preserve">is of KO and </w:t>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t>37</w:t>
      </w:r>
    </w:p>
    <w:p w14:paraId="56681B7B" w14:textId="77777777" w:rsidR="009F0A54" w:rsidRPr="00D939E5" w:rsidRDefault="009F0A54" w:rsidP="00D939E5">
      <w:pPr>
        <w:pStyle w:val="ListParagraph"/>
        <w:spacing w:after="100" w:afterAutospacing="1"/>
        <w:ind w:left="709" w:right="95"/>
        <w:rPr>
          <w:rFonts w:ascii="Arial" w:eastAsia="Times New Roman" w:hAnsi="Arial" w:cs="Arial"/>
          <w:kern w:val="36"/>
          <w:lang w:eastAsia="ja-JP"/>
        </w:rPr>
      </w:pPr>
      <w:r>
        <w:rPr>
          <w:rFonts w:ascii="Arial" w:eastAsia="Yu Mincho" w:hAnsi="Arial" w:cs="Arial"/>
          <w:bdr w:val="none" w:sz="0" w:space="0" w:color="auto" w:frame="1"/>
          <w:lang w:eastAsia="ja-JP"/>
        </w:rPr>
        <w:t xml:space="preserve">over-expressing </w:t>
      </w:r>
      <w:r w:rsidR="003A48AB" w:rsidRPr="00D939E5">
        <w:rPr>
          <w:rFonts w:ascii="Arial" w:eastAsia="Yu Mincho" w:hAnsi="Arial" w:cs="Arial"/>
          <w:bdr w:val="none" w:sz="0" w:space="0" w:color="auto" w:frame="1"/>
          <w:lang w:eastAsia="ja-JP"/>
        </w:rPr>
        <w:t xml:space="preserve">lines in </w:t>
      </w:r>
      <w:r w:rsidR="003A48AB" w:rsidRPr="00D939E5">
        <w:rPr>
          <w:rFonts w:ascii="Arial" w:eastAsia="Yu Mincho" w:hAnsi="Arial" w:cs="Arial"/>
          <w:i/>
          <w:bdr w:val="none" w:sz="0" w:space="0" w:color="auto" w:frame="1"/>
          <w:lang w:eastAsia="ja-JP"/>
        </w:rPr>
        <w:t>P. patens</w:t>
      </w:r>
    </w:p>
    <w:p w14:paraId="72F31592" w14:textId="77777777" w:rsidR="009F0A54" w:rsidRPr="009F0A54" w:rsidRDefault="003A48AB" w:rsidP="009F0A54">
      <w:pPr>
        <w:pStyle w:val="ListParagraph"/>
        <w:numPr>
          <w:ilvl w:val="1"/>
          <w:numId w:val="13"/>
        </w:numPr>
        <w:spacing w:after="100" w:afterAutospacing="1"/>
        <w:ind w:left="709" w:right="95" w:hanging="578"/>
        <w:rPr>
          <w:rFonts w:ascii="Arial" w:eastAsia="Times New Roman" w:hAnsi="Arial" w:cs="Arial"/>
          <w:kern w:val="36"/>
          <w:lang w:eastAsia="ja-JP"/>
        </w:rPr>
      </w:pPr>
      <w:r w:rsidRPr="009F0A54">
        <w:rPr>
          <w:rFonts w:ascii="Arial" w:eastAsia="Yu Mincho" w:hAnsi="Arial" w:cs="Arial"/>
          <w:lang w:eastAsia="ja-JP"/>
        </w:rPr>
        <w:t>Assessment of sporophyte</w:t>
      </w:r>
      <w:r w:rsidR="009F0A54">
        <w:rPr>
          <w:rFonts w:ascii="Arial" w:eastAsia="Yu Mincho" w:hAnsi="Arial" w:cs="Arial"/>
          <w:lang w:eastAsia="ja-JP"/>
        </w:rPr>
        <w:t xml:space="preserve"> maturation and dehiscence</w:t>
      </w:r>
      <w:r w:rsidR="00D939E5">
        <w:rPr>
          <w:rFonts w:ascii="Arial" w:eastAsia="Yu Mincho" w:hAnsi="Arial" w:cs="Arial"/>
          <w:lang w:eastAsia="ja-JP"/>
        </w:rPr>
        <w:tab/>
      </w:r>
      <w:r w:rsidR="00D939E5">
        <w:rPr>
          <w:rFonts w:ascii="Arial" w:eastAsia="Yu Mincho" w:hAnsi="Arial" w:cs="Arial"/>
          <w:lang w:eastAsia="ja-JP"/>
        </w:rPr>
        <w:tab/>
        <w:t>37</w:t>
      </w:r>
    </w:p>
    <w:p w14:paraId="728F84B6" w14:textId="77777777" w:rsidR="009F0A54" w:rsidRPr="009F0A54" w:rsidRDefault="003A48AB" w:rsidP="009F0A54">
      <w:pPr>
        <w:pStyle w:val="ListParagraph"/>
        <w:numPr>
          <w:ilvl w:val="1"/>
          <w:numId w:val="13"/>
        </w:numPr>
        <w:spacing w:after="100" w:afterAutospacing="1"/>
        <w:ind w:left="709" w:right="95" w:hanging="578"/>
        <w:rPr>
          <w:rFonts w:ascii="Arial" w:eastAsia="Times New Roman" w:hAnsi="Arial" w:cs="Arial"/>
          <w:kern w:val="36"/>
          <w:lang w:eastAsia="ja-JP"/>
        </w:rPr>
      </w:pPr>
      <w:r w:rsidRPr="009F0A54">
        <w:rPr>
          <w:rFonts w:ascii="Arial" w:eastAsia="Yu Mincho" w:hAnsi="Arial" w:cs="Arial"/>
          <w:lang w:eastAsia="ja-JP"/>
        </w:rPr>
        <w:t>Arabidopsis propaga</w:t>
      </w:r>
      <w:r w:rsidR="009F0A54">
        <w:rPr>
          <w:rFonts w:ascii="Arial" w:eastAsia="Yu Mincho" w:hAnsi="Arial" w:cs="Arial"/>
          <w:lang w:eastAsia="ja-JP"/>
        </w:rPr>
        <w:t>tion and growth conditions</w:t>
      </w:r>
      <w:r w:rsidR="00D939E5">
        <w:rPr>
          <w:rFonts w:ascii="Arial" w:eastAsia="Yu Mincho" w:hAnsi="Arial" w:cs="Arial"/>
          <w:lang w:eastAsia="ja-JP"/>
        </w:rPr>
        <w:tab/>
      </w:r>
      <w:r w:rsidR="00D939E5">
        <w:rPr>
          <w:rFonts w:ascii="Arial" w:eastAsia="Yu Mincho" w:hAnsi="Arial" w:cs="Arial"/>
          <w:lang w:eastAsia="ja-JP"/>
        </w:rPr>
        <w:tab/>
      </w:r>
      <w:r w:rsidR="00D939E5">
        <w:rPr>
          <w:rFonts w:ascii="Arial" w:eastAsia="Yu Mincho" w:hAnsi="Arial" w:cs="Arial"/>
          <w:lang w:eastAsia="ja-JP"/>
        </w:rPr>
        <w:tab/>
        <w:t>38</w:t>
      </w:r>
    </w:p>
    <w:p w14:paraId="06E331EE" w14:textId="77777777" w:rsidR="00D939E5" w:rsidRPr="00D939E5" w:rsidRDefault="003A48AB" w:rsidP="009F0A54">
      <w:pPr>
        <w:pStyle w:val="ListParagraph"/>
        <w:numPr>
          <w:ilvl w:val="1"/>
          <w:numId w:val="13"/>
        </w:numPr>
        <w:spacing w:after="100" w:afterAutospacing="1"/>
        <w:ind w:left="709" w:right="95" w:hanging="578"/>
        <w:rPr>
          <w:rFonts w:ascii="Arial" w:eastAsia="Times New Roman" w:hAnsi="Arial" w:cs="Arial"/>
          <w:kern w:val="36"/>
          <w:lang w:eastAsia="ja-JP"/>
        </w:rPr>
      </w:pPr>
      <w:r w:rsidRPr="009F0A54">
        <w:rPr>
          <w:rFonts w:ascii="Arial" w:eastAsia="Yu Mincho" w:hAnsi="Arial" w:cs="Arial"/>
          <w:bdr w:val="none" w:sz="0" w:space="0" w:color="auto" w:frame="1"/>
          <w:lang w:eastAsia="ja-JP"/>
        </w:rPr>
        <w:t>Arabidopsis sample preparation, mic</w:t>
      </w:r>
      <w:r w:rsidR="009F0A54">
        <w:rPr>
          <w:rFonts w:ascii="Arial" w:eastAsia="Yu Mincho" w:hAnsi="Arial" w:cs="Arial"/>
          <w:bdr w:val="none" w:sz="0" w:space="0" w:color="auto" w:frame="1"/>
          <w:lang w:eastAsia="ja-JP"/>
        </w:rPr>
        <w:t xml:space="preserve">roscopy and image </w:t>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t>38</w:t>
      </w:r>
    </w:p>
    <w:p w14:paraId="54FF3C05" w14:textId="77777777" w:rsidR="009F0A54" w:rsidRPr="009F0A54" w:rsidRDefault="009F0A54" w:rsidP="00D939E5">
      <w:pPr>
        <w:pStyle w:val="ListParagraph"/>
        <w:spacing w:after="100" w:afterAutospacing="1"/>
        <w:ind w:left="709" w:right="95"/>
        <w:rPr>
          <w:rFonts w:ascii="Arial" w:eastAsia="Times New Roman" w:hAnsi="Arial" w:cs="Arial"/>
          <w:kern w:val="36"/>
          <w:lang w:eastAsia="ja-JP"/>
        </w:rPr>
      </w:pPr>
      <w:r>
        <w:rPr>
          <w:rFonts w:ascii="Arial" w:eastAsia="Yu Mincho" w:hAnsi="Arial" w:cs="Arial"/>
          <w:bdr w:val="none" w:sz="0" w:space="0" w:color="auto" w:frame="1"/>
          <w:lang w:eastAsia="ja-JP"/>
        </w:rPr>
        <w:t>processing</w:t>
      </w:r>
    </w:p>
    <w:p w14:paraId="5EAE6D5F" w14:textId="77777777" w:rsidR="00D939E5" w:rsidRDefault="003A48AB" w:rsidP="009F0A54">
      <w:pPr>
        <w:pStyle w:val="ListParagraph"/>
        <w:numPr>
          <w:ilvl w:val="1"/>
          <w:numId w:val="13"/>
        </w:numPr>
        <w:spacing w:after="100" w:afterAutospacing="1"/>
        <w:ind w:left="709" w:right="95" w:hanging="578"/>
        <w:rPr>
          <w:rFonts w:ascii="Arial" w:eastAsia="Times New Roman" w:hAnsi="Arial" w:cs="Arial"/>
          <w:kern w:val="36"/>
          <w:lang w:eastAsia="ja-JP"/>
        </w:rPr>
      </w:pPr>
      <w:r w:rsidRPr="009F0A54">
        <w:rPr>
          <w:rFonts w:ascii="Arial" w:eastAsia="Times New Roman" w:hAnsi="Arial" w:cs="Arial"/>
          <w:kern w:val="36"/>
          <w:lang w:eastAsia="ja-JP"/>
        </w:rPr>
        <w:t>Arabidopsis</w:t>
      </w:r>
      <w:r w:rsidRPr="009F0A54">
        <w:rPr>
          <w:rFonts w:ascii="Arial" w:eastAsia="Times New Roman" w:hAnsi="Arial" w:cs="Arial"/>
          <w:i/>
          <w:kern w:val="36"/>
          <w:lang w:eastAsia="ja-JP"/>
        </w:rPr>
        <w:t xml:space="preserve"> </w:t>
      </w:r>
      <w:r w:rsidRPr="009F0A54">
        <w:rPr>
          <w:rFonts w:ascii="Arial" w:eastAsia="Times New Roman" w:hAnsi="Arial" w:cs="Arial"/>
          <w:kern w:val="36"/>
          <w:lang w:eastAsia="ja-JP"/>
        </w:rPr>
        <w:t xml:space="preserve">complementation construct design and </w:t>
      </w:r>
      <w:r w:rsidR="00D939E5">
        <w:rPr>
          <w:rFonts w:ascii="Arial" w:eastAsia="Times New Roman" w:hAnsi="Arial" w:cs="Arial"/>
          <w:kern w:val="36"/>
          <w:lang w:eastAsia="ja-JP"/>
        </w:rPr>
        <w:tab/>
      </w:r>
      <w:r w:rsidR="00D939E5">
        <w:rPr>
          <w:rFonts w:ascii="Arial" w:eastAsia="Times New Roman" w:hAnsi="Arial" w:cs="Arial"/>
          <w:kern w:val="36"/>
          <w:lang w:eastAsia="ja-JP"/>
        </w:rPr>
        <w:tab/>
      </w:r>
      <w:r w:rsidR="00D939E5">
        <w:rPr>
          <w:rFonts w:ascii="Arial" w:eastAsia="Times New Roman" w:hAnsi="Arial" w:cs="Arial"/>
          <w:kern w:val="36"/>
          <w:lang w:eastAsia="ja-JP"/>
        </w:rPr>
        <w:tab/>
        <w:t>39</w:t>
      </w:r>
    </w:p>
    <w:p w14:paraId="64A6C261" w14:textId="77777777" w:rsidR="009F0A54" w:rsidRDefault="003A48AB" w:rsidP="00D939E5">
      <w:pPr>
        <w:pStyle w:val="ListParagraph"/>
        <w:spacing w:after="100" w:afterAutospacing="1"/>
        <w:ind w:left="709" w:right="95"/>
        <w:rPr>
          <w:rFonts w:ascii="Arial" w:eastAsia="Times New Roman" w:hAnsi="Arial" w:cs="Arial"/>
          <w:kern w:val="36"/>
          <w:lang w:eastAsia="ja-JP"/>
        </w:rPr>
      </w:pPr>
      <w:r w:rsidRPr="009F0A54">
        <w:rPr>
          <w:rFonts w:ascii="Arial" w:eastAsia="Times New Roman" w:hAnsi="Arial" w:cs="Arial"/>
          <w:kern w:val="36"/>
          <w:lang w:eastAsia="ja-JP"/>
        </w:rPr>
        <w:t>manufacture</w:t>
      </w:r>
    </w:p>
    <w:p w14:paraId="6C7C0084" w14:textId="77777777" w:rsidR="009F0A54" w:rsidRPr="009F0A54" w:rsidRDefault="003A48AB" w:rsidP="009F0A54">
      <w:pPr>
        <w:pStyle w:val="ListParagraph"/>
        <w:numPr>
          <w:ilvl w:val="1"/>
          <w:numId w:val="13"/>
        </w:numPr>
        <w:spacing w:after="100" w:afterAutospacing="1"/>
        <w:ind w:left="709" w:right="95" w:hanging="578"/>
        <w:rPr>
          <w:rFonts w:ascii="Arial" w:eastAsia="Times New Roman" w:hAnsi="Arial" w:cs="Arial"/>
          <w:kern w:val="36"/>
          <w:lang w:eastAsia="ja-JP"/>
        </w:rPr>
      </w:pPr>
      <w:r w:rsidRPr="009F0A54">
        <w:rPr>
          <w:rFonts w:ascii="Arial" w:eastAsia="Yu Mincho" w:hAnsi="Arial" w:cs="Arial"/>
          <w:bdr w:val="none" w:sz="0" w:space="0" w:color="auto" w:frame="1"/>
          <w:lang w:eastAsia="ja-JP"/>
        </w:rPr>
        <w:t>qPCR experimental and analysis</w:t>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t>41</w:t>
      </w:r>
    </w:p>
    <w:p w14:paraId="6C2CBCC4" w14:textId="77777777" w:rsidR="00D939E5" w:rsidRPr="00D939E5" w:rsidRDefault="003A48AB" w:rsidP="009F0A54">
      <w:pPr>
        <w:pStyle w:val="ListParagraph"/>
        <w:numPr>
          <w:ilvl w:val="1"/>
          <w:numId w:val="13"/>
        </w:numPr>
        <w:spacing w:after="100" w:afterAutospacing="1"/>
        <w:ind w:left="709" w:right="95" w:hanging="578"/>
        <w:rPr>
          <w:rFonts w:ascii="Arial" w:eastAsia="Times New Roman" w:hAnsi="Arial" w:cs="Arial"/>
          <w:kern w:val="36"/>
          <w:lang w:eastAsia="ja-JP"/>
        </w:rPr>
      </w:pPr>
      <w:r w:rsidRPr="009F0A54">
        <w:rPr>
          <w:rFonts w:ascii="Arial" w:eastAsia="Yu Mincho" w:hAnsi="Arial" w:cs="Arial"/>
          <w:bdr w:val="none" w:sz="0" w:space="0" w:color="auto" w:frame="1"/>
          <w:lang w:eastAsia="ja-JP"/>
        </w:rPr>
        <w:t>CO</w:t>
      </w:r>
      <w:r w:rsidRPr="009F0A54">
        <w:rPr>
          <w:rFonts w:ascii="Arial" w:eastAsia="Yu Mincho" w:hAnsi="Arial" w:cs="Arial"/>
          <w:bdr w:val="none" w:sz="0" w:space="0" w:color="auto" w:frame="1"/>
          <w:vertAlign w:val="subscript"/>
          <w:lang w:eastAsia="ja-JP"/>
        </w:rPr>
        <w:t>2</w:t>
      </w:r>
      <w:r w:rsidRPr="009F0A54">
        <w:rPr>
          <w:rFonts w:ascii="Arial" w:eastAsia="Yu Mincho" w:hAnsi="Arial" w:cs="Arial"/>
          <w:bdr w:val="none" w:sz="0" w:space="0" w:color="auto" w:frame="1"/>
          <w:lang w:eastAsia="ja-JP"/>
        </w:rPr>
        <w:t xml:space="preserve"> stomatal development experiments in </w:t>
      </w:r>
      <w:r w:rsidRPr="009F0A54">
        <w:rPr>
          <w:rFonts w:ascii="Arial" w:eastAsia="Yu Mincho" w:hAnsi="Arial" w:cs="Arial"/>
          <w:i/>
          <w:bdr w:val="none" w:sz="0" w:space="0" w:color="auto" w:frame="1"/>
          <w:lang w:eastAsia="ja-JP"/>
        </w:rPr>
        <w:t>P. patens</w:t>
      </w:r>
      <w:r w:rsidRPr="009F0A54">
        <w:rPr>
          <w:rFonts w:ascii="Arial" w:eastAsia="Yu Mincho" w:hAnsi="Arial" w:cs="Arial"/>
          <w:bdr w:val="none" w:sz="0" w:space="0" w:color="auto" w:frame="1"/>
          <w:lang w:eastAsia="ja-JP"/>
        </w:rPr>
        <w:t xml:space="preserve"> and</w:t>
      </w:r>
      <w:r w:rsidR="009F0A54">
        <w:rPr>
          <w:rFonts w:ascii="Arial" w:eastAsia="Yu Mincho" w:hAnsi="Arial" w:cs="Arial"/>
          <w:bdr w:val="none" w:sz="0" w:space="0" w:color="auto" w:frame="1"/>
          <w:lang w:eastAsia="ja-JP"/>
        </w:rPr>
        <w:t xml:space="preserve"> </w:t>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t>41</w:t>
      </w:r>
    </w:p>
    <w:p w14:paraId="0B528BF0" w14:textId="77777777" w:rsidR="009F0A54" w:rsidRPr="009F0A54" w:rsidRDefault="003A48AB" w:rsidP="00D939E5">
      <w:pPr>
        <w:pStyle w:val="ListParagraph"/>
        <w:spacing w:after="100" w:afterAutospacing="1"/>
        <w:ind w:left="709" w:right="95"/>
        <w:rPr>
          <w:rFonts w:ascii="Arial" w:eastAsia="Times New Roman" w:hAnsi="Arial" w:cs="Arial"/>
          <w:kern w:val="36"/>
          <w:lang w:eastAsia="ja-JP"/>
        </w:rPr>
      </w:pPr>
      <w:r w:rsidRPr="009F0A54">
        <w:rPr>
          <w:rFonts w:ascii="Arial" w:eastAsia="Yu Mincho" w:hAnsi="Arial" w:cs="Arial"/>
          <w:i/>
          <w:bdr w:val="none" w:sz="0" w:space="0" w:color="auto" w:frame="1"/>
          <w:lang w:eastAsia="ja-JP"/>
        </w:rPr>
        <w:t>F. hygrometrica</w:t>
      </w:r>
    </w:p>
    <w:p w14:paraId="78CF3CD7" w14:textId="77777777" w:rsidR="009F0A54" w:rsidRPr="009F0A54" w:rsidRDefault="003A48AB" w:rsidP="009F0A54">
      <w:pPr>
        <w:pStyle w:val="ListParagraph"/>
        <w:numPr>
          <w:ilvl w:val="1"/>
          <w:numId w:val="13"/>
        </w:numPr>
        <w:spacing w:after="100" w:afterAutospacing="1"/>
        <w:ind w:left="709" w:right="95" w:hanging="578"/>
        <w:rPr>
          <w:rFonts w:ascii="Arial" w:eastAsia="Times New Roman" w:hAnsi="Arial" w:cs="Arial"/>
          <w:kern w:val="36"/>
          <w:lang w:eastAsia="ja-JP"/>
        </w:rPr>
      </w:pPr>
      <w:r w:rsidRPr="009F0A54">
        <w:rPr>
          <w:rFonts w:ascii="Arial" w:eastAsia="Yu Mincho" w:hAnsi="Arial" w:cs="Arial"/>
          <w:bdr w:val="none" w:sz="0" w:space="0" w:color="auto" w:frame="1"/>
          <w:lang w:eastAsia="ja-JP"/>
        </w:rPr>
        <w:t>CO</w:t>
      </w:r>
      <w:r w:rsidRPr="009F0A54">
        <w:rPr>
          <w:rFonts w:ascii="Arial" w:eastAsia="Yu Mincho" w:hAnsi="Arial" w:cs="Arial"/>
          <w:bdr w:val="none" w:sz="0" w:space="0" w:color="auto" w:frame="1"/>
          <w:vertAlign w:val="subscript"/>
          <w:lang w:eastAsia="ja-JP"/>
        </w:rPr>
        <w:t>2</w:t>
      </w:r>
      <w:r w:rsidRPr="009F0A54">
        <w:rPr>
          <w:rFonts w:ascii="Arial" w:eastAsia="Yu Mincho" w:hAnsi="Arial" w:cs="Arial"/>
          <w:bdr w:val="none" w:sz="0" w:space="0" w:color="auto" w:frame="1"/>
          <w:lang w:eastAsia="ja-JP"/>
        </w:rPr>
        <w:t xml:space="preserve"> stomatal development experiments in </w:t>
      </w:r>
      <w:r w:rsidRPr="009F0A54">
        <w:rPr>
          <w:rFonts w:ascii="Arial" w:eastAsia="Yu Mincho" w:hAnsi="Arial" w:cs="Arial"/>
          <w:i/>
          <w:bdr w:val="none" w:sz="0" w:space="0" w:color="auto" w:frame="1"/>
          <w:lang w:eastAsia="ja-JP"/>
        </w:rPr>
        <w:t>A. thaliana</w:t>
      </w:r>
      <w:r w:rsidR="00D939E5">
        <w:rPr>
          <w:rFonts w:ascii="Arial" w:eastAsia="Yu Mincho" w:hAnsi="Arial" w:cs="Arial"/>
          <w:i/>
          <w:bdr w:val="none" w:sz="0" w:space="0" w:color="auto" w:frame="1"/>
          <w:lang w:eastAsia="ja-JP"/>
        </w:rPr>
        <w:tab/>
      </w:r>
      <w:r w:rsidR="00D939E5">
        <w:rPr>
          <w:rFonts w:ascii="Arial" w:eastAsia="Yu Mincho" w:hAnsi="Arial" w:cs="Arial"/>
          <w:i/>
          <w:bdr w:val="none" w:sz="0" w:space="0" w:color="auto" w:frame="1"/>
          <w:lang w:eastAsia="ja-JP"/>
        </w:rPr>
        <w:tab/>
      </w:r>
      <w:r w:rsidR="00D939E5">
        <w:rPr>
          <w:rFonts w:ascii="Arial" w:eastAsia="Yu Mincho" w:hAnsi="Arial" w:cs="Arial"/>
          <w:bdr w:val="none" w:sz="0" w:space="0" w:color="auto" w:frame="1"/>
          <w:lang w:eastAsia="ja-JP"/>
        </w:rPr>
        <w:t>43</w:t>
      </w:r>
    </w:p>
    <w:p w14:paraId="415E0F53" w14:textId="77777777" w:rsidR="003A48AB" w:rsidRPr="009F0A54" w:rsidRDefault="009F0A54" w:rsidP="009F0A54">
      <w:pPr>
        <w:pStyle w:val="ListParagraph"/>
        <w:numPr>
          <w:ilvl w:val="1"/>
          <w:numId w:val="13"/>
        </w:numPr>
        <w:spacing w:after="100" w:afterAutospacing="1"/>
        <w:ind w:left="709" w:right="95" w:hanging="578"/>
        <w:rPr>
          <w:rFonts w:ascii="Arial" w:eastAsia="Times New Roman" w:hAnsi="Arial" w:cs="Arial"/>
          <w:kern w:val="36"/>
          <w:lang w:eastAsia="ja-JP"/>
        </w:rPr>
      </w:pPr>
      <w:r>
        <w:rPr>
          <w:rFonts w:ascii="Arial" w:eastAsia="Yu Mincho" w:hAnsi="Arial" w:cs="Arial"/>
          <w:bdr w:val="none" w:sz="0" w:space="0" w:color="auto" w:frame="1"/>
          <w:lang w:eastAsia="ja-JP"/>
        </w:rPr>
        <w:t>Statistical analysis</w:t>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r>
      <w:r w:rsidR="00D939E5">
        <w:rPr>
          <w:rFonts w:ascii="Arial" w:eastAsia="Yu Mincho" w:hAnsi="Arial" w:cs="Arial"/>
          <w:bdr w:val="none" w:sz="0" w:space="0" w:color="auto" w:frame="1"/>
          <w:lang w:eastAsia="ja-JP"/>
        </w:rPr>
        <w:tab/>
        <w:t>43</w:t>
      </w:r>
    </w:p>
    <w:p w14:paraId="507EA982" w14:textId="3F0C1380" w:rsidR="003A48AB" w:rsidRPr="003A48AB" w:rsidRDefault="003A48AB" w:rsidP="009F0A54">
      <w:pPr>
        <w:spacing w:after="100" w:afterAutospacing="1" w:line="240" w:lineRule="auto"/>
        <w:rPr>
          <w:rFonts w:ascii="Arial" w:eastAsia="Yu Mincho" w:hAnsi="Arial" w:cs="Arial"/>
          <w:b/>
          <w:lang w:eastAsia="ja-JP"/>
        </w:rPr>
      </w:pPr>
      <w:r w:rsidRPr="003A48AB">
        <w:rPr>
          <w:rFonts w:ascii="Arial" w:eastAsia="Times New Roman" w:hAnsi="Arial" w:cs="Arial"/>
          <w:b/>
          <w:bdr w:val="none" w:sz="0" w:space="0" w:color="auto" w:frame="1"/>
          <w:lang w:eastAsia="ja-JP"/>
        </w:rPr>
        <w:t xml:space="preserve">Chapter 3: </w:t>
      </w:r>
      <w:r w:rsidRPr="003A48AB">
        <w:rPr>
          <w:rFonts w:ascii="Arial" w:eastAsia="Yu Mincho" w:hAnsi="Arial" w:cs="Arial"/>
          <w:b/>
          <w:lang w:eastAsia="ja-JP"/>
        </w:rPr>
        <w:t xml:space="preserve">The deeply conserved </w:t>
      </w:r>
      <w:r w:rsidRPr="003A48AB">
        <w:rPr>
          <w:rFonts w:ascii="Arial" w:eastAsia="Yu Mincho" w:hAnsi="Arial" w:cs="Arial"/>
          <w:b/>
          <w:i/>
          <w:lang w:eastAsia="ja-JP"/>
        </w:rPr>
        <w:t xml:space="preserve">PpSMF1 </w:t>
      </w:r>
      <w:r w:rsidRPr="003A48AB">
        <w:rPr>
          <w:rFonts w:ascii="Arial" w:eastAsia="Yu Mincho" w:hAnsi="Arial" w:cs="Arial"/>
          <w:b/>
          <w:lang w:eastAsia="ja-JP"/>
        </w:rPr>
        <w:t xml:space="preserve">and </w:t>
      </w:r>
      <w:r w:rsidRPr="003A48AB">
        <w:rPr>
          <w:rFonts w:ascii="Arial" w:eastAsia="Yu Mincho" w:hAnsi="Arial" w:cs="Arial"/>
          <w:b/>
          <w:i/>
          <w:lang w:eastAsia="ja-JP"/>
        </w:rPr>
        <w:t xml:space="preserve">PpSCRM1 </w:t>
      </w:r>
      <w:r w:rsidRPr="003A48AB">
        <w:rPr>
          <w:rFonts w:ascii="Arial" w:eastAsia="Yu Mincho" w:hAnsi="Arial" w:cs="Arial"/>
          <w:b/>
          <w:lang w:eastAsia="ja-JP"/>
        </w:rPr>
        <w:t>function</w:t>
      </w:r>
      <w:r w:rsidR="00D939E5">
        <w:rPr>
          <w:rFonts w:ascii="Arial" w:eastAsia="Yu Mincho" w:hAnsi="Arial" w:cs="Arial"/>
          <w:b/>
          <w:lang w:eastAsia="ja-JP"/>
        </w:rPr>
        <w:tab/>
      </w:r>
      <w:r w:rsidR="00D939E5" w:rsidRPr="00B37648">
        <w:rPr>
          <w:rFonts w:ascii="Arial" w:eastAsia="Yu Mincho" w:hAnsi="Arial" w:cs="Arial"/>
          <w:b/>
          <w:lang w:eastAsia="ja-JP"/>
        </w:rPr>
        <w:t>46</w:t>
      </w:r>
      <w:r w:rsidR="00572FEB">
        <w:rPr>
          <w:rFonts w:ascii="Arial" w:eastAsia="Yu Mincho" w:hAnsi="Arial" w:cs="Arial"/>
          <w:b/>
          <w:lang w:eastAsia="ja-JP"/>
        </w:rPr>
        <w:t>-107</w:t>
      </w:r>
      <w:r w:rsidRPr="003A48AB">
        <w:rPr>
          <w:rFonts w:ascii="Arial" w:eastAsia="Yu Mincho" w:hAnsi="Arial" w:cs="Arial"/>
          <w:b/>
          <w:lang w:eastAsia="ja-JP"/>
        </w:rPr>
        <w:t xml:space="preserve"> </w:t>
      </w:r>
      <w:r w:rsidR="00D939E5">
        <w:rPr>
          <w:rFonts w:ascii="Arial" w:eastAsia="Yu Mincho" w:hAnsi="Arial" w:cs="Arial"/>
          <w:b/>
          <w:lang w:eastAsia="ja-JP"/>
        </w:rPr>
        <w:t xml:space="preserve">           </w:t>
      </w:r>
      <w:r w:rsidRPr="003A48AB">
        <w:rPr>
          <w:rFonts w:ascii="Arial" w:eastAsia="Yu Mincho" w:hAnsi="Arial" w:cs="Arial"/>
          <w:b/>
          <w:lang w:eastAsia="ja-JP"/>
        </w:rPr>
        <w:t xml:space="preserve">during stomatal development in </w:t>
      </w:r>
      <w:r w:rsidRPr="003A48AB">
        <w:rPr>
          <w:rFonts w:ascii="Arial" w:eastAsia="Yu Mincho" w:hAnsi="Arial" w:cs="Arial"/>
          <w:b/>
          <w:i/>
          <w:lang w:eastAsia="ja-JP"/>
        </w:rPr>
        <w:t xml:space="preserve">P. patens </w:t>
      </w:r>
      <w:r w:rsidRPr="003A48AB">
        <w:rPr>
          <w:rFonts w:ascii="Arial" w:eastAsia="Yu Mincho" w:hAnsi="Arial" w:cs="Arial"/>
          <w:b/>
          <w:lang w:eastAsia="ja-JP"/>
        </w:rPr>
        <w:t xml:space="preserve">to promote stomatal </w:t>
      </w:r>
      <w:r w:rsidR="00D939E5">
        <w:rPr>
          <w:rFonts w:ascii="Arial" w:eastAsia="Yu Mincho" w:hAnsi="Arial" w:cs="Arial"/>
          <w:b/>
          <w:lang w:eastAsia="ja-JP"/>
        </w:rPr>
        <w:t xml:space="preserve">           </w:t>
      </w:r>
      <w:r w:rsidR="007B21B3" w:rsidRPr="003A48AB">
        <w:rPr>
          <w:rFonts w:ascii="Arial" w:eastAsia="Yu Mincho" w:hAnsi="Arial" w:cs="Arial"/>
          <w:b/>
          <w:lang w:eastAsia="ja-JP"/>
        </w:rPr>
        <w:t>formation: Functional</w:t>
      </w:r>
      <w:r w:rsidRPr="003A48AB">
        <w:rPr>
          <w:rFonts w:ascii="Arial" w:eastAsia="Yu Mincho" w:hAnsi="Arial" w:cs="Arial"/>
          <w:b/>
          <w:lang w:eastAsia="ja-JP"/>
        </w:rPr>
        <w:t xml:space="preserve"> analysis and the wider implications for the </w:t>
      </w:r>
      <w:r w:rsidR="00D939E5">
        <w:rPr>
          <w:rFonts w:ascii="Arial" w:eastAsia="Yu Mincho" w:hAnsi="Arial" w:cs="Arial"/>
          <w:b/>
          <w:lang w:eastAsia="ja-JP"/>
        </w:rPr>
        <w:t xml:space="preserve">         </w:t>
      </w:r>
      <w:r w:rsidRPr="003A48AB">
        <w:rPr>
          <w:rFonts w:ascii="Arial" w:eastAsia="Yu Mincho" w:hAnsi="Arial" w:cs="Arial"/>
          <w:b/>
          <w:lang w:eastAsia="ja-JP"/>
        </w:rPr>
        <w:t>evolution of stomata.</w:t>
      </w:r>
      <w:r w:rsidRPr="003A48AB">
        <w:rPr>
          <w:rFonts w:ascii="Arial" w:eastAsia="Times New Roman" w:hAnsi="Arial" w:cs="Arial"/>
          <w:b/>
          <w:bdr w:val="none" w:sz="0" w:space="0" w:color="auto" w:frame="1"/>
          <w:lang w:eastAsia="ja-JP"/>
        </w:rPr>
        <w:t xml:space="preserve"> </w:t>
      </w:r>
    </w:p>
    <w:p w14:paraId="2639CF92" w14:textId="48BEC288" w:rsidR="003A48AB" w:rsidRPr="009F0A54" w:rsidRDefault="003A48AB" w:rsidP="009F0A54">
      <w:pPr>
        <w:pStyle w:val="ListParagraph"/>
        <w:numPr>
          <w:ilvl w:val="1"/>
          <w:numId w:val="22"/>
        </w:numPr>
        <w:tabs>
          <w:tab w:val="left" w:pos="993"/>
        </w:tabs>
        <w:spacing w:after="100" w:afterAutospacing="1"/>
        <w:ind w:left="709" w:right="95" w:hanging="578"/>
        <w:rPr>
          <w:rFonts w:ascii="Arial" w:eastAsia="Times New Roman" w:hAnsi="Arial" w:cs="Arial"/>
          <w:b/>
          <w:color w:val="000000"/>
          <w:lang w:eastAsia="ja-JP"/>
        </w:rPr>
      </w:pPr>
      <w:r w:rsidRPr="009F0A54">
        <w:rPr>
          <w:rFonts w:ascii="Arial" w:eastAsia="Times New Roman" w:hAnsi="Arial" w:cs="Arial"/>
          <w:b/>
          <w:color w:val="000000"/>
          <w:lang w:eastAsia="ja-JP"/>
        </w:rPr>
        <w:t>Introduction</w:t>
      </w:r>
      <w:r w:rsidR="00D939E5">
        <w:rPr>
          <w:rFonts w:ascii="Arial" w:eastAsia="Times New Roman" w:hAnsi="Arial" w:cs="Arial"/>
          <w:b/>
          <w:color w:val="000000"/>
          <w:lang w:eastAsia="ja-JP"/>
        </w:rPr>
        <w:tab/>
      </w:r>
      <w:r w:rsidR="00D939E5">
        <w:rPr>
          <w:rFonts w:ascii="Arial" w:eastAsia="Times New Roman" w:hAnsi="Arial" w:cs="Arial"/>
          <w:b/>
          <w:color w:val="000000"/>
          <w:lang w:eastAsia="ja-JP"/>
        </w:rPr>
        <w:tab/>
      </w:r>
      <w:r w:rsidR="00D939E5">
        <w:rPr>
          <w:rFonts w:ascii="Arial" w:eastAsia="Times New Roman" w:hAnsi="Arial" w:cs="Arial"/>
          <w:b/>
          <w:color w:val="000000"/>
          <w:lang w:eastAsia="ja-JP"/>
        </w:rPr>
        <w:tab/>
      </w:r>
      <w:r w:rsidR="00D939E5">
        <w:rPr>
          <w:rFonts w:ascii="Arial" w:eastAsia="Times New Roman" w:hAnsi="Arial" w:cs="Arial"/>
          <w:b/>
          <w:color w:val="000000"/>
          <w:lang w:eastAsia="ja-JP"/>
        </w:rPr>
        <w:tab/>
      </w:r>
      <w:r w:rsidR="00D939E5">
        <w:rPr>
          <w:rFonts w:ascii="Arial" w:eastAsia="Times New Roman" w:hAnsi="Arial" w:cs="Arial"/>
          <w:b/>
          <w:color w:val="000000"/>
          <w:lang w:eastAsia="ja-JP"/>
        </w:rPr>
        <w:tab/>
      </w:r>
      <w:r w:rsidR="00D939E5">
        <w:rPr>
          <w:rFonts w:ascii="Arial" w:eastAsia="Times New Roman" w:hAnsi="Arial" w:cs="Arial"/>
          <w:b/>
          <w:color w:val="000000"/>
          <w:lang w:eastAsia="ja-JP"/>
        </w:rPr>
        <w:tab/>
      </w:r>
      <w:r w:rsidR="00D939E5">
        <w:rPr>
          <w:rFonts w:ascii="Arial" w:eastAsia="Times New Roman" w:hAnsi="Arial" w:cs="Arial"/>
          <w:b/>
          <w:color w:val="000000"/>
          <w:lang w:eastAsia="ja-JP"/>
        </w:rPr>
        <w:tab/>
      </w:r>
      <w:r w:rsidR="00D939E5">
        <w:rPr>
          <w:rFonts w:ascii="Arial" w:eastAsia="Times New Roman" w:hAnsi="Arial" w:cs="Arial"/>
          <w:b/>
          <w:color w:val="000000"/>
          <w:lang w:eastAsia="ja-JP"/>
        </w:rPr>
        <w:tab/>
        <w:t>47</w:t>
      </w:r>
      <w:r w:rsidR="00B37648">
        <w:rPr>
          <w:rFonts w:ascii="Arial" w:eastAsia="Times New Roman" w:hAnsi="Arial" w:cs="Arial"/>
          <w:b/>
          <w:color w:val="000000"/>
          <w:lang w:eastAsia="ja-JP"/>
        </w:rPr>
        <w:t>-5</w:t>
      </w:r>
      <w:r w:rsidR="00572FEB">
        <w:rPr>
          <w:rFonts w:ascii="Arial" w:eastAsia="Times New Roman" w:hAnsi="Arial" w:cs="Arial"/>
          <w:b/>
          <w:color w:val="000000"/>
          <w:lang w:eastAsia="ja-JP"/>
        </w:rPr>
        <w:t>4</w:t>
      </w:r>
    </w:p>
    <w:p w14:paraId="12DCEABC" w14:textId="77777777" w:rsidR="003A48AB" w:rsidRPr="003A48AB" w:rsidRDefault="003A48AB" w:rsidP="009F0A54">
      <w:pPr>
        <w:numPr>
          <w:ilvl w:val="2"/>
          <w:numId w:val="22"/>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 xml:space="preserve">Current understanding of genes underpinning stomata </w:t>
      </w:r>
      <w:r w:rsidR="009F0A54">
        <w:rPr>
          <w:rFonts w:ascii="Arial" w:eastAsia="Yu Mincho" w:hAnsi="Arial" w:cs="Arial"/>
          <w:lang w:eastAsia="ja-JP"/>
        </w:rPr>
        <w:t>in</w:t>
      </w:r>
      <w:r w:rsidRPr="003A48AB">
        <w:rPr>
          <w:rFonts w:ascii="Arial" w:eastAsia="Yu Mincho" w:hAnsi="Arial" w:cs="Arial"/>
          <w:lang w:eastAsia="ja-JP"/>
        </w:rPr>
        <w:t xml:space="preserve"> </w:t>
      </w:r>
      <w:r w:rsidR="00D939E5">
        <w:rPr>
          <w:rFonts w:ascii="Arial" w:eastAsia="Yu Mincho" w:hAnsi="Arial" w:cs="Arial"/>
          <w:lang w:eastAsia="ja-JP"/>
        </w:rPr>
        <w:tab/>
        <w:t xml:space="preserve">48           </w:t>
      </w:r>
      <w:r w:rsidRPr="003A48AB">
        <w:rPr>
          <w:rFonts w:ascii="Arial" w:eastAsia="Yu Mincho" w:hAnsi="Arial" w:cs="Arial"/>
          <w:lang w:eastAsia="ja-JP"/>
        </w:rPr>
        <w:t>non-vascular land plants</w:t>
      </w:r>
      <w:r w:rsidRPr="003A48AB">
        <w:rPr>
          <w:rFonts w:ascii="Arial" w:eastAsia="Yu Mincho" w:hAnsi="Arial" w:cs="Arial"/>
          <w:i/>
          <w:lang w:eastAsia="ja-JP"/>
        </w:rPr>
        <w:t xml:space="preserve"> P. patens</w:t>
      </w:r>
      <w:r w:rsidRPr="003A48AB">
        <w:rPr>
          <w:rFonts w:ascii="Arial" w:eastAsia="Yu Mincho" w:hAnsi="Arial" w:cs="Arial"/>
          <w:lang w:eastAsia="ja-JP"/>
        </w:rPr>
        <w:t xml:space="preserve"> growth conditions</w:t>
      </w:r>
      <w:r w:rsidRPr="003A48AB">
        <w:rPr>
          <w:rFonts w:ascii="Arial" w:eastAsia="Yu Mincho" w:hAnsi="Arial" w:cs="Arial"/>
          <w:lang w:eastAsia="ja-JP"/>
        </w:rPr>
        <w:tab/>
      </w:r>
    </w:p>
    <w:p w14:paraId="4025E7D8" w14:textId="77777777" w:rsidR="003A48AB" w:rsidRPr="003A48AB" w:rsidRDefault="003A48AB" w:rsidP="009F0A54">
      <w:pPr>
        <w:numPr>
          <w:ilvl w:val="2"/>
          <w:numId w:val="22"/>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bHLH proteins in plants</w:t>
      </w:r>
      <w:r w:rsidR="00D939E5">
        <w:rPr>
          <w:rFonts w:ascii="Arial" w:eastAsia="Yu Mincho" w:hAnsi="Arial" w:cs="Arial"/>
          <w:lang w:eastAsia="ja-JP"/>
        </w:rPr>
        <w:tab/>
      </w:r>
      <w:r w:rsidR="00D939E5">
        <w:rPr>
          <w:rFonts w:ascii="Arial" w:eastAsia="Yu Mincho" w:hAnsi="Arial" w:cs="Arial"/>
          <w:lang w:eastAsia="ja-JP"/>
        </w:rPr>
        <w:tab/>
      </w:r>
      <w:r w:rsidR="00D939E5">
        <w:rPr>
          <w:rFonts w:ascii="Arial" w:eastAsia="Yu Mincho" w:hAnsi="Arial" w:cs="Arial"/>
          <w:lang w:eastAsia="ja-JP"/>
        </w:rPr>
        <w:tab/>
      </w:r>
      <w:r w:rsidR="00D939E5">
        <w:rPr>
          <w:rFonts w:ascii="Arial" w:eastAsia="Yu Mincho" w:hAnsi="Arial" w:cs="Arial"/>
          <w:lang w:eastAsia="ja-JP"/>
        </w:rPr>
        <w:tab/>
      </w:r>
      <w:r w:rsidR="00D939E5">
        <w:rPr>
          <w:rFonts w:ascii="Arial" w:eastAsia="Yu Mincho" w:hAnsi="Arial" w:cs="Arial"/>
          <w:lang w:eastAsia="ja-JP"/>
        </w:rPr>
        <w:tab/>
        <w:t>48</w:t>
      </w:r>
    </w:p>
    <w:p w14:paraId="093C1021" w14:textId="77777777" w:rsidR="00D939E5" w:rsidRPr="00D939E5" w:rsidRDefault="003A48AB" w:rsidP="009F0A54">
      <w:pPr>
        <w:numPr>
          <w:ilvl w:val="2"/>
          <w:numId w:val="22"/>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Basic helix-loop-helix regulatio</w:t>
      </w:r>
      <w:r w:rsidR="009F0A54">
        <w:rPr>
          <w:rFonts w:ascii="Arial" w:eastAsia="Yu Mincho" w:hAnsi="Arial" w:cs="Arial"/>
          <w:lang w:eastAsia="ja-JP"/>
        </w:rPr>
        <w:t xml:space="preserve">n of stomatal development </w:t>
      </w:r>
      <w:r w:rsidR="00D939E5">
        <w:rPr>
          <w:rFonts w:ascii="Arial" w:eastAsia="Yu Mincho" w:hAnsi="Arial" w:cs="Arial"/>
          <w:lang w:eastAsia="ja-JP"/>
        </w:rPr>
        <w:tab/>
        <w:t>49</w:t>
      </w:r>
    </w:p>
    <w:p w14:paraId="6043807A" w14:textId="77777777" w:rsidR="003A48AB" w:rsidRPr="003A48AB" w:rsidRDefault="009F0A54" w:rsidP="00D939E5">
      <w:pPr>
        <w:tabs>
          <w:tab w:val="left" w:pos="993"/>
        </w:tabs>
        <w:spacing w:after="100" w:afterAutospacing="1" w:line="240" w:lineRule="auto"/>
        <w:ind w:left="1440" w:right="95"/>
        <w:contextualSpacing/>
        <w:rPr>
          <w:rFonts w:ascii="Arial" w:eastAsia="Times New Roman" w:hAnsi="Arial" w:cs="Arial"/>
          <w:b/>
          <w:color w:val="000000"/>
          <w:lang w:eastAsia="ja-JP"/>
        </w:rPr>
      </w:pPr>
      <w:r>
        <w:rPr>
          <w:rFonts w:ascii="Arial" w:eastAsia="Yu Mincho" w:hAnsi="Arial" w:cs="Arial"/>
          <w:lang w:eastAsia="ja-JP"/>
        </w:rPr>
        <w:t xml:space="preserve">in </w:t>
      </w:r>
      <w:r w:rsidR="003A48AB" w:rsidRPr="003A48AB">
        <w:rPr>
          <w:rFonts w:ascii="Arial" w:eastAsia="Yu Mincho" w:hAnsi="Arial" w:cs="Arial"/>
          <w:i/>
          <w:lang w:eastAsia="ja-JP"/>
        </w:rPr>
        <w:t>Arabidopsis thaliana</w:t>
      </w:r>
    </w:p>
    <w:p w14:paraId="18A4B4E5" w14:textId="77777777" w:rsidR="003A48AB" w:rsidRPr="003A48AB" w:rsidRDefault="003A48AB" w:rsidP="009F0A54">
      <w:pPr>
        <w:numPr>
          <w:ilvl w:val="2"/>
          <w:numId w:val="22"/>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ICE/SCRM genes assists in mu</w:t>
      </w:r>
      <w:r w:rsidR="009F0A54">
        <w:rPr>
          <w:rFonts w:ascii="Arial" w:eastAsia="Yu Mincho" w:hAnsi="Arial" w:cs="Arial"/>
          <w:lang w:eastAsia="ja-JP"/>
        </w:rPr>
        <w:t>ltiple functional processes</w:t>
      </w:r>
      <w:r w:rsidR="00D939E5">
        <w:rPr>
          <w:rFonts w:ascii="Arial" w:eastAsia="Yu Mincho" w:hAnsi="Arial" w:cs="Arial"/>
          <w:lang w:eastAsia="ja-JP"/>
        </w:rPr>
        <w:tab/>
      </w:r>
      <w:r w:rsidR="0066139F">
        <w:rPr>
          <w:rFonts w:ascii="Arial" w:eastAsia="Yu Mincho" w:hAnsi="Arial" w:cs="Arial"/>
          <w:lang w:eastAsia="ja-JP"/>
        </w:rPr>
        <w:t>53</w:t>
      </w:r>
      <w:r w:rsidR="00D939E5">
        <w:rPr>
          <w:rFonts w:ascii="Arial" w:eastAsia="Yu Mincho" w:hAnsi="Arial" w:cs="Arial"/>
          <w:lang w:eastAsia="ja-JP"/>
        </w:rPr>
        <w:tab/>
      </w:r>
      <w:r w:rsidRPr="003A48AB">
        <w:rPr>
          <w:rFonts w:ascii="Arial" w:eastAsia="Yu Mincho" w:hAnsi="Arial" w:cs="Arial"/>
          <w:lang w:eastAsia="ja-JP"/>
        </w:rPr>
        <w:t xml:space="preserve"> </w:t>
      </w:r>
      <w:r w:rsidR="00D939E5">
        <w:rPr>
          <w:rFonts w:ascii="Arial" w:eastAsia="Yu Mincho" w:hAnsi="Arial" w:cs="Arial"/>
          <w:lang w:eastAsia="ja-JP"/>
        </w:rPr>
        <w:t xml:space="preserve">              </w:t>
      </w:r>
      <w:r w:rsidRPr="003A48AB">
        <w:rPr>
          <w:rFonts w:ascii="Arial" w:eastAsia="Yu Mincho" w:hAnsi="Arial" w:cs="Arial"/>
          <w:lang w:eastAsia="ja-JP"/>
        </w:rPr>
        <w:t>besides stomatal development</w:t>
      </w:r>
    </w:p>
    <w:p w14:paraId="01BC703D" w14:textId="77777777" w:rsidR="003A48AB" w:rsidRPr="003A48AB" w:rsidRDefault="003A48AB" w:rsidP="009F0A54">
      <w:pPr>
        <w:tabs>
          <w:tab w:val="left" w:pos="993"/>
        </w:tabs>
        <w:spacing w:after="100" w:afterAutospacing="1" w:line="240" w:lineRule="auto"/>
        <w:ind w:right="95"/>
        <w:contextualSpacing/>
        <w:rPr>
          <w:rFonts w:ascii="Arial" w:eastAsia="Times New Roman" w:hAnsi="Arial" w:cs="Arial"/>
          <w:b/>
          <w:color w:val="000000"/>
          <w:lang w:eastAsia="ja-JP"/>
        </w:rPr>
      </w:pPr>
    </w:p>
    <w:p w14:paraId="352A8CBB" w14:textId="20FD7EBD" w:rsidR="003A48AB" w:rsidRPr="003A48AB" w:rsidRDefault="003A48AB" w:rsidP="009F0A54">
      <w:pPr>
        <w:numPr>
          <w:ilvl w:val="1"/>
          <w:numId w:val="22"/>
        </w:numPr>
        <w:tabs>
          <w:tab w:val="left" w:pos="709"/>
        </w:tabs>
        <w:spacing w:after="100" w:afterAutospacing="1" w:line="240" w:lineRule="auto"/>
        <w:ind w:left="993" w:right="95" w:hanging="851"/>
        <w:contextualSpacing/>
        <w:rPr>
          <w:rFonts w:ascii="Arial" w:eastAsia="Times New Roman" w:hAnsi="Arial" w:cs="Arial"/>
          <w:b/>
          <w:color w:val="000000"/>
          <w:lang w:eastAsia="ja-JP"/>
        </w:rPr>
      </w:pPr>
      <w:r w:rsidRPr="003A48AB">
        <w:rPr>
          <w:rFonts w:ascii="Arial" w:eastAsia="Times New Roman" w:hAnsi="Arial" w:cs="Arial"/>
          <w:b/>
          <w:color w:val="000000"/>
          <w:lang w:eastAsia="ja-JP"/>
        </w:rPr>
        <w:t>Results</w:t>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sidRPr="00B37648">
        <w:rPr>
          <w:rFonts w:ascii="Arial" w:eastAsia="Times New Roman" w:hAnsi="Arial" w:cs="Arial"/>
          <w:b/>
          <w:color w:val="000000"/>
          <w:lang w:eastAsia="ja-JP"/>
        </w:rPr>
        <w:t>54</w:t>
      </w:r>
      <w:r w:rsidR="00572FEB">
        <w:rPr>
          <w:rFonts w:ascii="Arial" w:eastAsia="Times New Roman" w:hAnsi="Arial" w:cs="Arial"/>
          <w:b/>
          <w:color w:val="000000"/>
          <w:lang w:eastAsia="ja-JP"/>
        </w:rPr>
        <w:t>-90</w:t>
      </w:r>
    </w:p>
    <w:p w14:paraId="3C65C118" w14:textId="77777777" w:rsidR="0066139F" w:rsidRPr="0066139F" w:rsidRDefault="003A48AB" w:rsidP="009F0A54">
      <w:pPr>
        <w:numPr>
          <w:ilvl w:val="2"/>
          <w:numId w:val="22"/>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Stomatal development and sporophyte development in</w:t>
      </w:r>
      <w:r w:rsidR="0066139F">
        <w:rPr>
          <w:rFonts w:ascii="Arial" w:eastAsia="Yu Mincho" w:hAnsi="Arial" w:cs="Arial"/>
          <w:lang w:eastAsia="ja-JP"/>
        </w:rPr>
        <w:tab/>
        <w:t>54</w:t>
      </w:r>
      <w:r w:rsidRPr="003A48AB">
        <w:rPr>
          <w:rFonts w:ascii="Arial" w:eastAsia="Yu Mincho" w:hAnsi="Arial" w:cs="Arial"/>
          <w:lang w:eastAsia="ja-JP"/>
        </w:rPr>
        <w:t xml:space="preserve"> </w:t>
      </w:r>
    </w:p>
    <w:p w14:paraId="26AD9A6D" w14:textId="77777777" w:rsidR="003A48AB" w:rsidRPr="003A48AB" w:rsidRDefault="003A48AB" w:rsidP="0066139F">
      <w:pPr>
        <w:tabs>
          <w:tab w:val="left" w:pos="993"/>
        </w:tabs>
        <w:spacing w:after="100" w:afterAutospacing="1" w:line="240" w:lineRule="auto"/>
        <w:ind w:left="1440" w:right="95"/>
        <w:contextualSpacing/>
        <w:rPr>
          <w:rFonts w:ascii="Arial" w:eastAsia="Times New Roman" w:hAnsi="Arial" w:cs="Arial"/>
          <w:b/>
          <w:color w:val="000000"/>
          <w:lang w:eastAsia="ja-JP"/>
        </w:rPr>
      </w:pPr>
      <w:r w:rsidRPr="003A48AB">
        <w:rPr>
          <w:rFonts w:ascii="Arial" w:eastAsia="Yu Mincho" w:hAnsi="Arial" w:cs="Arial"/>
          <w:lang w:eastAsia="ja-JP"/>
        </w:rPr>
        <w:t xml:space="preserve">wild-type </w:t>
      </w:r>
      <w:r w:rsidRPr="003A48AB">
        <w:rPr>
          <w:rFonts w:ascii="Arial" w:eastAsia="Yu Mincho" w:hAnsi="Arial" w:cs="Arial"/>
          <w:i/>
          <w:lang w:eastAsia="ja-JP"/>
        </w:rPr>
        <w:t>P. patens</w:t>
      </w:r>
    </w:p>
    <w:p w14:paraId="6D09FFDE" w14:textId="3B941445" w:rsidR="003A48AB" w:rsidRPr="003A48AB" w:rsidRDefault="003A48AB" w:rsidP="009F0A54">
      <w:pPr>
        <w:numPr>
          <w:ilvl w:val="2"/>
          <w:numId w:val="22"/>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Stomatal developmental onto</w:t>
      </w:r>
      <w:r w:rsidR="00847DDD">
        <w:rPr>
          <w:rFonts w:ascii="Arial" w:eastAsia="Yu Mincho" w:hAnsi="Arial" w:cs="Arial"/>
          <w:lang w:eastAsia="ja-JP"/>
        </w:rPr>
        <w:t>geny</w:t>
      </w:r>
      <w:r w:rsidRPr="003A48AB">
        <w:rPr>
          <w:rFonts w:ascii="Arial" w:eastAsia="Yu Mincho" w:hAnsi="Arial" w:cs="Arial"/>
          <w:lang w:eastAsia="ja-JP"/>
        </w:rPr>
        <w:t xml:space="preserve"> in wild-type </w:t>
      </w:r>
      <w:r w:rsidR="009F0A54">
        <w:rPr>
          <w:rFonts w:ascii="Arial" w:eastAsia="Yu Mincho" w:hAnsi="Arial" w:cs="Arial"/>
          <w:i/>
          <w:lang w:eastAsia="ja-JP"/>
        </w:rPr>
        <w:t>P. patens</w:t>
      </w:r>
      <w:r w:rsidR="0066139F">
        <w:rPr>
          <w:rFonts w:ascii="Arial" w:eastAsia="Yu Mincho" w:hAnsi="Arial" w:cs="Arial"/>
          <w:i/>
          <w:lang w:eastAsia="ja-JP"/>
        </w:rPr>
        <w:tab/>
      </w:r>
      <w:r w:rsidR="00FA2FE3">
        <w:rPr>
          <w:rFonts w:ascii="Arial" w:eastAsia="Yu Mincho" w:hAnsi="Arial" w:cs="Arial"/>
          <w:lang w:eastAsia="ja-JP"/>
        </w:rPr>
        <w:t>58</w:t>
      </w:r>
    </w:p>
    <w:p w14:paraId="33A9D14C" w14:textId="77777777" w:rsidR="003A48AB" w:rsidRPr="003A48AB" w:rsidRDefault="003A48AB" w:rsidP="009F0A54">
      <w:pPr>
        <w:numPr>
          <w:ilvl w:val="2"/>
          <w:numId w:val="22"/>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 xml:space="preserve">Stomatal spacing mechanisms in </w:t>
      </w:r>
      <w:r w:rsidRPr="003A48AB">
        <w:rPr>
          <w:rFonts w:ascii="Arial" w:eastAsia="Yu Mincho" w:hAnsi="Arial" w:cs="Arial"/>
          <w:i/>
          <w:lang w:eastAsia="ja-JP"/>
        </w:rPr>
        <w:t>P. patens</w:t>
      </w:r>
      <w:r w:rsidR="0066139F">
        <w:rPr>
          <w:rFonts w:ascii="Arial" w:eastAsia="Yu Mincho" w:hAnsi="Arial" w:cs="Arial"/>
          <w:i/>
          <w:lang w:eastAsia="ja-JP"/>
        </w:rPr>
        <w:tab/>
      </w:r>
      <w:r w:rsidR="0066139F">
        <w:rPr>
          <w:rFonts w:ascii="Arial" w:eastAsia="Yu Mincho" w:hAnsi="Arial" w:cs="Arial"/>
          <w:i/>
          <w:lang w:eastAsia="ja-JP"/>
        </w:rPr>
        <w:tab/>
      </w:r>
      <w:r w:rsidR="0066139F">
        <w:rPr>
          <w:rFonts w:ascii="Arial" w:eastAsia="Yu Mincho" w:hAnsi="Arial" w:cs="Arial"/>
          <w:i/>
          <w:lang w:eastAsia="ja-JP"/>
        </w:rPr>
        <w:tab/>
      </w:r>
      <w:r w:rsidR="0066139F">
        <w:rPr>
          <w:rFonts w:ascii="Arial" w:eastAsia="Yu Mincho" w:hAnsi="Arial" w:cs="Arial"/>
          <w:lang w:eastAsia="ja-JP"/>
        </w:rPr>
        <w:t>61</w:t>
      </w:r>
    </w:p>
    <w:p w14:paraId="14CF2EF2" w14:textId="77777777" w:rsidR="003A48AB" w:rsidRPr="003A48AB" w:rsidRDefault="003A48AB" w:rsidP="009F0A54">
      <w:pPr>
        <w:numPr>
          <w:ilvl w:val="2"/>
          <w:numId w:val="22"/>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 xml:space="preserve">Mature stomata in </w:t>
      </w:r>
      <w:r w:rsidRPr="003A48AB">
        <w:rPr>
          <w:rFonts w:ascii="Arial" w:eastAsia="Yu Mincho" w:hAnsi="Arial" w:cs="Arial"/>
          <w:i/>
          <w:lang w:eastAsia="ja-JP"/>
        </w:rPr>
        <w:t>P. patens</w:t>
      </w:r>
      <w:r w:rsidR="0066139F">
        <w:rPr>
          <w:rFonts w:ascii="Arial" w:eastAsia="Yu Mincho" w:hAnsi="Arial" w:cs="Arial"/>
          <w:i/>
          <w:lang w:eastAsia="ja-JP"/>
        </w:rPr>
        <w:tab/>
      </w:r>
      <w:r w:rsidR="0066139F">
        <w:rPr>
          <w:rFonts w:ascii="Arial" w:eastAsia="Yu Mincho" w:hAnsi="Arial" w:cs="Arial"/>
          <w:i/>
          <w:lang w:eastAsia="ja-JP"/>
        </w:rPr>
        <w:tab/>
      </w:r>
      <w:r w:rsidR="0066139F">
        <w:rPr>
          <w:rFonts w:ascii="Arial" w:eastAsia="Yu Mincho" w:hAnsi="Arial" w:cs="Arial"/>
          <w:i/>
          <w:lang w:eastAsia="ja-JP"/>
        </w:rPr>
        <w:tab/>
      </w:r>
      <w:r w:rsidR="0066139F">
        <w:rPr>
          <w:rFonts w:ascii="Arial" w:eastAsia="Yu Mincho" w:hAnsi="Arial" w:cs="Arial"/>
          <w:i/>
          <w:lang w:eastAsia="ja-JP"/>
        </w:rPr>
        <w:tab/>
      </w:r>
      <w:r w:rsidR="0066139F">
        <w:rPr>
          <w:rFonts w:ascii="Arial" w:eastAsia="Yu Mincho" w:hAnsi="Arial" w:cs="Arial"/>
          <w:i/>
          <w:lang w:eastAsia="ja-JP"/>
        </w:rPr>
        <w:tab/>
      </w:r>
      <w:r w:rsidR="0066139F">
        <w:rPr>
          <w:rFonts w:ascii="Arial" w:eastAsia="Yu Mincho" w:hAnsi="Arial" w:cs="Arial"/>
          <w:lang w:eastAsia="ja-JP"/>
        </w:rPr>
        <w:t>63</w:t>
      </w:r>
    </w:p>
    <w:p w14:paraId="4C9DFB46" w14:textId="44D1343B" w:rsidR="00FA2FE3" w:rsidRPr="00FA2FE3" w:rsidRDefault="003A48AB" w:rsidP="00FA2FE3">
      <w:pPr>
        <w:numPr>
          <w:ilvl w:val="2"/>
          <w:numId w:val="22"/>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 xml:space="preserve">Phylogenetic </w:t>
      </w:r>
      <w:r w:rsidR="00FA2FE3">
        <w:rPr>
          <w:rFonts w:ascii="Arial" w:eastAsia="Yu Mincho" w:hAnsi="Arial" w:cs="Arial"/>
          <w:lang w:eastAsia="ja-JP"/>
        </w:rPr>
        <w:t>analysis</w:t>
      </w:r>
      <w:r w:rsidR="008653D0">
        <w:rPr>
          <w:rFonts w:ascii="Arial" w:eastAsia="Yu Mincho" w:hAnsi="Arial" w:cs="Arial"/>
          <w:lang w:eastAsia="ja-JP"/>
        </w:rPr>
        <w:t xml:space="preserve"> of SMF and ICE/SCRM stomatal</w:t>
      </w:r>
      <w:r w:rsidR="008653D0">
        <w:rPr>
          <w:rFonts w:ascii="Arial" w:eastAsia="Yu Mincho" w:hAnsi="Arial" w:cs="Arial"/>
          <w:lang w:eastAsia="ja-JP"/>
        </w:rPr>
        <w:tab/>
        <w:t>66</w:t>
      </w:r>
      <w:r w:rsidR="00FA2FE3">
        <w:rPr>
          <w:rFonts w:ascii="Arial" w:eastAsia="Yu Mincho" w:hAnsi="Arial" w:cs="Arial"/>
          <w:lang w:eastAsia="ja-JP"/>
        </w:rPr>
        <w:t xml:space="preserve"> development genes from selected </w:t>
      </w:r>
      <w:r w:rsidRPr="00FA2FE3">
        <w:rPr>
          <w:rFonts w:ascii="Arial" w:eastAsia="Yu Mincho" w:hAnsi="Arial" w:cs="Arial"/>
          <w:lang w:eastAsia="ja-JP"/>
        </w:rPr>
        <w:t>species from the</w:t>
      </w:r>
    </w:p>
    <w:p w14:paraId="6221999B" w14:textId="4F460797" w:rsidR="003A48AB" w:rsidRPr="00FA2FE3" w:rsidRDefault="003A48AB" w:rsidP="00FA2FE3">
      <w:pPr>
        <w:tabs>
          <w:tab w:val="left" w:pos="993"/>
        </w:tabs>
        <w:spacing w:after="100" w:afterAutospacing="1" w:line="240" w:lineRule="auto"/>
        <w:ind w:left="1440" w:right="95"/>
        <w:contextualSpacing/>
        <w:rPr>
          <w:rFonts w:ascii="Arial" w:eastAsia="Times New Roman" w:hAnsi="Arial" w:cs="Arial"/>
          <w:b/>
          <w:color w:val="000000"/>
          <w:lang w:eastAsia="ja-JP"/>
        </w:rPr>
      </w:pPr>
      <w:r w:rsidRPr="00FA2FE3">
        <w:rPr>
          <w:rFonts w:ascii="Arial" w:eastAsia="Yu Mincho" w:hAnsi="Arial" w:cs="Arial"/>
          <w:lang w:eastAsia="ja-JP"/>
        </w:rPr>
        <w:t xml:space="preserve"> plant</w:t>
      </w:r>
      <w:r w:rsidR="00FA2FE3" w:rsidRPr="00FA2FE3">
        <w:rPr>
          <w:rFonts w:ascii="Arial" w:eastAsia="Yu Mincho" w:hAnsi="Arial" w:cs="Arial"/>
          <w:lang w:eastAsia="ja-JP"/>
        </w:rPr>
        <w:t xml:space="preserve"> </w:t>
      </w:r>
      <w:r w:rsidRPr="00FA2FE3">
        <w:rPr>
          <w:rFonts w:ascii="Arial" w:eastAsia="Yu Mincho" w:hAnsi="Arial" w:cs="Arial"/>
          <w:lang w:eastAsia="ja-JP"/>
        </w:rPr>
        <w:t>kingdom</w:t>
      </w:r>
    </w:p>
    <w:p w14:paraId="3E0EB416" w14:textId="5318EBB6" w:rsidR="0066139F" w:rsidRPr="0066139F" w:rsidRDefault="00FA2FE3" w:rsidP="009F0A54">
      <w:pPr>
        <w:numPr>
          <w:ilvl w:val="2"/>
          <w:numId w:val="22"/>
        </w:numPr>
        <w:tabs>
          <w:tab w:val="left" w:pos="993"/>
        </w:tabs>
        <w:spacing w:after="100" w:afterAutospacing="1" w:line="240" w:lineRule="auto"/>
        <w:ind w:right="95"/>
        <w:contextualSpacing/>
        <w:rPr>
          <w:rFonts w:ascii="Arial" w:eastAsia="Times New Roman" w:hAnsi="Arial" w:cs="Arial"/>
          <w:b/>
          <w:color w:val="000000"/>
          <w:lang w:eastAsia="ja-JP"/>
        </w:rPr>
      </w:pPr>
      <w:r>
        <w:rPr>
          <w:rFonts w:ascii="Arial" w:eastAsia="Times New Roman" w:hAnsi="Arial" w:cs="Arial"/>
          <w:color w:val="000000"/>
          <w:lang w:eastAsia="ja-JP"/>
        </w:rPr>
        <w:t>bHLH functioning and S</w:t>
      </w:r>
      <w:r w:rsidR="003A48AB" w:rsidRPr="003A48AB">
        <w:rPr>
          <w:rFonts w:ascii="Arial" w:eastAsia="Times New Roman" w:hAnsi="Arial" w:cs="Arial"/>
          <w:color w:val="000000"/>
          <w:lang w:eastAsia="ja-JP"/>
        </w:rPr>
        <w:t>tomatal developmental onto</w:t>
      </w:r>
      <w:r w:rsidR="00847DDD">
        <w:rPr>
          <w:rFonts w:ascii="Arial" w:eastAsia="Times New Roman" w:hAnsi="Arial" w:cs="Arial"/>
          <w:color w:val="000000"/>
          <w:lang w:eastAsia="ja-JP"/>
        </w:rPr>
        <w:t>geny</w:t>
      </w:r>
      <w:r w:rsidR="003A48AB" w:rsidRPr="003A48AB">
        <w:rPr>
          <w:rFonts w:ascii="Arial" w:eastAsia="Times New Roman" w:hAnsi="Arial" w:cs="Arial"/>
          <w:color w:val="000000"/>
          <w:lang w:eastAsia="ja-JP"/>
        </w:rPr>
        <w:t xml:space="preserve"> </w:t>
      </w:r>
      <w:r>
        <w:rPr>
          <w:rFonts w:ascii="Arial" w:eastAsia="Times New Roman" w:hAnsi="Arial" w:cs="Arial"/>
          <w:color w:val="000000"/>
          <w:lang w:eastAsia="ja-JP"/>
        </w:rPr>
        <w:tab/>
        <w:t>70</w:t>
      </w:r>
    </w:p>
    <w:p w14:paraId="551F9598" w14:textId="77777777" w:rsidR="003A48AB" w:rsidRPr="003A48AB" w:rsidRDefault="003A48AB" w:rsidP="0066139F">
      <w:pPr>
        <w:tabs>
          <w:tab w:val="left" w:pos="993"/>
        </w:tabs>
        <w:spacing w:after="100" w:afterAutospacing="1" w:line="240" w:lineRule="auto"/>
        <w:ind w:left="1440" w:right="95"/>
        <w:contextualSpacing/>
        <w:rPr>
          <w:rFonts w:ascii="Arial" w:eastAsia="Times New Roman" w:hAnsi="Arial" w:cs="Arial"/>
          <w:b/>
          <w:color w:val="000000"/>
          <w:lang w:eastAsia="ja-JP"/>
        </w:rPr>
      </w:pPr>
      <w:r w:rsidRPr="003A48AB">
        <w:rPr>
          <w:rFonts w:ascii="Arial" w:eastAsia="Times New Roman" w:hAnsi="Arial" w:cs="Arial"/>
          <w:color w:val="000000"/>
          <w:lang w:eastAsia="ja-JP"/>
        </w:rPr>
        <w:t>in</w:t>
      </w:r>
      <w:r w:rsidR="009F0A54">
        <w:rPr>
          <w:rFonts w:ascii="Arial" w:eastAsia="Times New Roman" w:hAnsi="Arial" w:cs="Arial"/>
          <w:color w:val="000000"/>
          <w:lang w:eastAsia="ja-JP"/>
        </w:rPr>
        <w:t xml:space="preserve"> </w:t>
      </w:r>
      <w:r w:rsidRPr="003A48AB">
        <w:rPr>
          <w:rFonts w:ascii="Arial" w:eastAsia="Times New Roman" w:hAnsi="Arial" w:cs="Arial"/>
          <w:color w:val="000000"/>
          <w:lang w:eastAsia="ja-JP"/>
        </w:rPr>
        <w:t>land plants</w:t>
      </w:r>
    </w:p>
    <w:p w14:paraId="37BACDBF" w14:textId="37A73BBA" w:rsidR="0066139F" w:rsidRPr="0066139F" w:rsidRDefault="003A48AB" w:rsidP="009F0A54">
      <w:pPr>
        <w:numPr>
          <w:ilvl w:val="2"/>
          <w:numId w:val="22"/>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Times New Roman" w:hAnsi="Arial" w:cs="Arial"/>
          <w:i/>
          <w:color w:val="000000"/>
          <w:lang w:eastAsia="ja-JP"/>
        </w:rPr>
        <w:t>PpSMF1:</w:t>
      </w:r>
      <w:r w:rsidRPr="003A48AB">
        <w:rPr>
          <w:rFonts w:ascii="Arial" w:eastAsia="Times New Roman" w:hAnsi="Arial" w:cs="Arial"/>
          <w:color w:val="000000"/>
          <w:lang w:eastAsia="ja-JP"/>
        </w:rPr>
        <w:t xml:space="preserve"> an orthologous gene to vascular land plant </w:t>
      </w:r>
      <w:r w:rsidR="00FA2FE3">
        <w:rPr>
          <w:rFonts w:ascii="Arial" w:eastAsia="Times New Roman" w:hAnsi="Arial" w:cs="Arial"/>
          <w:color w:val="000000"/>
          <w:lang w:eastAsia="ja-JP"/>
        </w:rPr>
        <w:tab/>
        <w:t>74</w:t>
      </w:r>
    </w:p>
    <w:p w14:paraId="1473F6F3" w14:textId="77777777" w:rsidR="0066139F" w:rsidRDefault="003A48AB" w:rsidP="0066139F">
      <w:pPr>
        <w:tabs>
          <w:tab w:val="left" w:pos="993"/>
        </w:tabs>
        <w:spacing w:after="100" w:afterAutospacing="1" w:line="240" w:lineRule="auto"/>
        <w:ind w:left="1440" w:right="95"/>
        <w:contextualSpacing/>
        <w:rPr>
          <w:rFonts w:ascii="Arial" w:eastAsia="Times New Roman" w:hAnsi="Arial" w:cs="Arial"/>
          <w:color w:val="000000"/>
          <w:lang w:eastAsia="ja-JP"/>
        </w:rPr>
      </w:pPr>
      <w:r w:rsidRPr="003A48AB">
        <w:rPr>
          <w:rFonts w:ascii="Arial" w:eastAsia="Times New Roman" w:hAnsi="Arial" w:cs="Arial"/>
          <w:i/>
          <w:color w:val="000000"/>
          <w:lang w:eastAsia="ja-JP"/>
        </w:rPr>
        <w:t>SPCH</w:t>
      </w:r>
      <w:r w:rsidRPr="003A48AB">
        <w:rPr>
          <w:rFonts w:ascii="Arial" w:eastAsia="Times New Roman" w:hAnsi="Arial" w:cs="Arial"/>
          <w:color w:val="000000"/>
          <w:lang w:eastAsia="ja-JP"/>
        </w:rPr>
        <w:t>,</w:t>
      </w:r>
      <w:r w:rsidR="0066139F">
        <w:rPr>
          <w:rFonts w:ascii="Arial" w:eastAsia="Times New Roman" w:hAnsi="Arial" w:cs="Arial"/>
          <w:color w:val="000000"/>
          <w:lang w:eastAsia="ja-JP"/>
        </w:rPr>
        <w:t xml:space="preserve"> </w:t>
      </w:r>
      <w:r w:rsidRPr="003A48AB">
        <w:rPr>
          <w:rFonts w:ascii="Arial" w:eastAsia="Times New Roman" w:hAnsi="Arial" w:cs="Arial"/>
          <w:i/>
          <w:color w:val="000000"/>
          <w:lang w:eastAsia="ja-JP"/>
        </w:rPr>
        <w:t>MUTE</w:t>
      </w:r>
      <w:r w:rsidRPr="003A48AB">
        <w:rPr>
          <w:rFonts w:ascii="Arial" w:eastAsia="Times New Roman" w:hAnsi="Arial" w:cs="Arial"/>
          <w:color w:val="000000"/>
          <w:lang w:eastAsia="ja-JP"/>
        </w:rPr>
        <w:t xml:space="preserve"> and </w:t>
      </w:r>
      <w:r w:rsidRPr="003A48AB">
        <w:rPr>
          <w:rFonts w:ascii="Arial" w:eastAsia="Times New Roman" w:hAnsi="Arial" w:cs="Arial"/>
          <w:i/>
          <w:color w:val="000000"/>
          <w:lang w:eastAsia="ja-JP"/>
        </w:rPr>
        <w:t>FAMA</w:t>
      </w:r>
      <w:r w:rsidRPr="003A48AB">
        <w:rPr>
          <w:rFonts w:ascii="Arial" w:eastAsia="Times New Roman" w:hAnsi="Arial" w:cs="Arial"/>
          <w:color w:val="000000"/>
          <w:lang w:eastAsia="ja-JP"/>
        </w:rPr>
        <w:t xml:space="preserve"> that is essential for the </w:t>
      </w:r>
    </w:p>
    <w:p w14:paraId="3FD58498" w14:textId="77777777" w:rsidR="003A48AB" w:rsidRPr="0066139F" w:rsidRDefault="003A48AB" w:rsidP="0066139F">
      <w:pPr>
        <w:tabs>
          <w:tab w:val="left" w:pos="993"/>
        </w:tabs>
        <w:spacing w:after="100" w:afterAutospacing="1" w:line="240" w:lineRule="auto"/>
        <w:ind w:left="1440" w:right="95"/>
        <w:contextualSpacing/>
        <w:rPr>
          <w:rFonts w:ascii="Arial" w:eastAsia="Times New Roman" w:hAnsi="Arial" w:cs="Arial"/>
          <w:color w:val="000000"/>
          <w:lang w:eastAsia="ja-JP"/>
        </w:rPr>
      </w:pPr>
      <w:r w:rsidRPr="003A48AB">
        <w:rPr>
          <w:rFonts w:ascii="Arial" w:eastAsia="Times New Roman" w:hAnsi="Arial" w:cs="Arial"/>
          <w:color w:val="000000"/>
          <w:lang w:eastAsia="ja-JP"/>
        </w:rPr>
        <w:t>formation of stomata</w:t>
      </w:r>
      <w:r w:rsidR="0066139F">
        <w:rPr>
          <w:rFonts w:ascii="Arial" w:eastAsia="Times New Roman" w:hAnsi="Arial" w:cs="Arial"/>
          <w:color w:val="000000"/>
          <w:lang w:eastAsia="ja-JP"/>
        </w:rPr>
        <w:t xml:space="preserve"> </w:t>
      </w:r>
      <w:r w:rsidRPr="003A48AB">
        <w:rPr>
          <w:rFonts w:ascii="Arial" w:eastAsia="Times New Roman" w:hAnsi="Arial" w:cs="Arial"/>
          <w:color w:val="000000"/>
          <w:lang w:eastAsia="ja-JP"/>
        </w:rPr>
        <w:t xml:space="preserve">in </w:t>
      </w:r>
      <w:r w:rsidRPr="003A48AB">
        <w:rPr>
          <w:rFonts w:ascii="Arial" w:eastAsia="Times New Roman" w:hAnsi="Arial" w:cs="Arial"/>
          <w:i/>
          <w:color w:val="000000"/>
          <w:lang w:eastAsia="ja-JP"/>
        </w:rPr>
        <w:t>P. patens</w:t>
      </w:r>
    </w:p>
    <w:p w14:paraId="7D4C9D85" w14:textId="3E51E168" w:rsidR="0066139F" w:rsidRPr="0066139F" w:rsidRDefault="003A48AB" w:rsidP="009F0A54">
      <w:pPr>
        <w:numPr>
          <w:ilvl w:val="2"/>
          <w:numId w:val="22"/>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Times New Roman" w:hAnsi="Arial" w:cs="Arial"/>
          <w:i/>
          <w:color w:val="000000"/>
          <w:lang w:eastAsia="ja-JP"/>
        </w:rPr>
        <w:t>PpSMF2</w:t>
      </w:r>
      <w:r w:rsidRPr="003A48AB">
        <w:rPr>
          <w:rFonts w:ascii="Arial" w:eastAsia="Times New Roman" w:hAnsi="Arial" w:cs="Arial"/>
          <w:color w:val="000000"/>
          <w:lang w:eastAsia="ja-JP"/>
        </w:rPr>
        <w:t xml:space="preserve">: a homologous gene to vascular land plant </w:t>
      </w:r>
      <w:r w:rsidR="00FA2FE3">
        <w:rPr>
          <w:rFonts w:ascii="Arial" w:eastAsia="Times New Roman" w:hAnsi="Arial" w:cs="Arial"/>
          <w:color w:val="000000"/>
          <w:lang w:eastAsia="ja-JP"/>
        </w:rPr>
        <w:tab/>
        <w:t>77</w:t>
      </w:r>
    </w:p>
    <w:p w14:paraId="7F440381" w14:textId="77777777" w:rsidR="0066139F" w:rsidRDefault="003A48AB" w:rsidP="0066139F">
      <w:pPr>
        <w:tabs>
          <w:tab w:val="left" w:pos="993"/>
        </w:tabs>
        <w:spacing w:after="100" w:afterAutospacing="1" w:line="240" w:lineRule="auto"/>
        <w:ind w:left="1440" w:right="95"/>
        <w:contextualSpacing/>
        <w:rPr>
          <w:rFonts w:ascii="Arial" w:eastAsia="Times New Roman" w:hAnsi="Arial" w:cs="Arial"/>
          <w:color w:val="000000"/>
          <w:lang w:eastAsia="ja-JP"/>
        </w:rPr>
      </w:pPr>
      <w:r w:rsidRPr="003A48AB">
        <w:rPr>
          <w:rFonts w:ascii="Arial" w:eastAsia="Times New Roman" w:hAnsi="Arial" w:cs="Arial"/>
          <w:i/>
          <w:color w:val="000000"/>
          <w:lang w:eastAsia="ja-JP"/>
        </w:rPr>
        <w:t>SPCH</w:t>
      </w:r>
      <w:r w:rsidR="009F0A54">
        <w:rPr>
          <w:rFonts w:ascii="Arial" w:eastAsia="Times New Roman" w:hAnsi="Arial" w:cs="Arial"/>
          <w:color w:val="000000"/>
          <w:lang w:eastAsia="ja-JP"/>
        </w:rPr>
        <w:t>,</w:t>
      </w:r>
      <w:r w:rsidRPr="003A48AB">
        <w:rPr>
          <w:rFonts w:ascii="Arial" w:eastAsia="Times New Roman" w:hAnsi="Arial" w:cs="Arial"/>
          <w:color w:val="000000"/>
          <w:lang w:eastAsia="ja-JP"/>
        </w:rPr>
        <w:t xml:space="preserve"> </w:t>
      </w:r>
      <w:r w:rsidRPr="003A48AB">
        <w:rPr>
          <w:rFonts w:ascii="Arial" w:eastAsia="Times New Roman" w:hAnsi="Arial" w:cs="Arial"/>
          <w:i/>
          <w:color w:val="000000"/>
          <w:lang w:eastAsia="ja-JP"/>
        </w:rPr>
        <w:t>MUTE</w:t>
      </w:r>
      <w:r w:rsidRPr="003A48AB">
        <w:rPr>
          <w:rFonts w:ascii="Arial" w:eastAsia="Times New Roman" w:hAnsi="Arial" w:cs="Arial"/>
          <w:color w:val="000000"/>
          <w:lang w:eastAsia="ja-JP"/>
        </w:rPr>
        <w:t xml:space="preserve"> and </w:t>
      </w:r>
      <w:r w:rsidRPr="003A48AB">
        <w:rPr>
          <w:rFonts w:ascii="Arial" w:eastAsia="Times New Roman" w:hAnsi="Arial" w:cs="Arial"/>
          <w:i/>
          <w:color w:val="000000"/>
          <w:lang w:eastAsia="ja-JP"/>
        </w:rPr>
        <w:t>FAMA</w:t>
      </w:r>
      <w:r w:rsidRPr="003A48AB">
        <w:rPr>
          <w:rFonts w:ascii="Arial" w:eastAsia="Times New Roman" w:hAnsi="Arial" w:cs="Arial"/>
          <w:color w:val="000000"/>
          <w:lang w:eastAsia="ja-JP"/>
        </w:rPr>
        <w:t xml:space="preserve"> which does not contribute to </w:t>
      </w:r>
    </w:p>
    <w:p w14:paraId="6F47665E" w14:textId="77777777" w:rsidR="003A48AB" w:rsidRPr="003A48AB" w:rsidRDefault="003A48AB" w:rsidP="0066139F">
      <w:pPr>
        <w:tabs>
          <w:tab w:val="left" w:pos="993"/>
        </w:tabs>
        <w:spacing w:after="100" w:afterAutospacing="1" w:line="240" w:lineRule="auto"/>
        <w:ind w:left="1440" w:right="95"/>
        <w:contextualSpacing/>
        <w:rPr>
          <w:rFonts w:ascii="Arial" w:eastAsia="Times New Roman" w:hAnsi="Arial" w:cs="Arial"/>
          <w:b/>
          <w:color w:val="000000"/>
          <w:lang w:eastAsia="ja-JP"/>
        </w:rPr>
      </w:pPr>
      <w:r w:rsidRPr="003A48AB">
        <w:rPr>
          <w:rFonts w:ascii="Arial" w:eastAsia="Times New Roman" w:hAnsi="Arial" w:cs="Arial"/>
          <w:color w:val="000000"/>
          <w:lang w:eastAsia="ja-JP"/>
        </w:rPr>
        <w:t>stomatal</w:t>
      </w:r>
      <w:r w:rsidR="0066139F">
        <w:rPr>
          <w:rFonts w:ascii="Arial" w:eastAsia="Times New Roman" w:hAnsi="Arial" w:cs="Arial"/>
          <w:color w:val="000000"/>
          <w:lang w:eastAsia="ja-JP"/>
        </w:rPr>
        <w:t xml:space="preserve"> </w:t>
      </w:r>
      <w:r w:rsidRPr="003A48AB">
        <w:rPr>
          <w:rFonts w:ascii="Arial" w:eastAsia="Times New Roman" w:hAnsi="Arial" w:cs="Arial"/>
          <w:color w:val="000000"/>
          <w:lang w:eastAsia="ja-JP"/>
        </w:rPr>
        <w:t xml:space="preserve">formation in </w:t>
      </w:r>
      <w:r w:rsidRPr="003A48AB">
        <w:rPr>
          <w:rFonts w:ascii="Arial" w:eastAsia="Times New Roman" w:hAnsi="Arial" w:cs="Arial"/>
          <w:i/>
          <w:color w:val="000000"/>
          <w:lang w:eastAsia="ja-JP"/>
        </w:rPr>
        <w:t>P. patens</w:t>
      </w:r>
    </w:p>
    <w:p w14:paraId="212F23C1" w14:textId="49F439BE" w:rsidR="0066139F" w:rsidRPr="0066139F" w:rsidRDefault="003A48AB" w:rsidP="009F0A54">
      <w:pPr>
        <w:numPr>
          <w:ilvl w:val="2"/>
          <w:numId w:val="22"/>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Times New Roman" w:hAnsi="Arial" w:cs="Arial"/>
          <w:i/>
          <w:color w:val="000000"/>
          <w:lang w:eastAsia="ja-JP"/>
        </w:rPr>
        <w:t>PpSCRM1</w:t>
      </w:r>
      <w:r w:rsidRPr="003A48AB">
        <w:rPr>
          <w:rFonts w:ascii="Arial" w:eastAsia="Times New Roman" w:hAnsi="Arial" w:cs="Arial"/>
          <w:color w:val="000000"/>
          <w:lang w:eastAsia="ja-JP"/>
        </w:rPr>
        <w:t>: an orthologous gene to vascular land plant</w:t>
      </w:r>
      <w:r w:rsidR="00FA2FE3">
        <w:rPr>
          <w:rFonts w:ascii="Arial" w:eastAsia="Times New Roman" w:hAnsi="Arial" w:cs="Arial"/>
          <w:color w:val="000000"/>
          <w:lang w:eastAsia="ja-JP"/>
        </w:rPr>
        <w:tab/>
        <w:t>79</w:t>
      </w:r>
      <w:r w:rsidRPr="003A48AB">
        <w:rPr>
          <w:rFonts w:ascii="Arial" w:eastAsia="Times New Roman" w:hAnsi="Arial" w:cs="Arial"/>
          <w:color w:val="000000"/>
          <w:lang w:eastAsia="ja-JP"/>
        </w:rPr>
        <w:t xml:space="preserve">        </w:t>
      </w:r>
      <w:r w:rsidRPr="003A48AB">
        <w:rPr>
          <w:rFonts w:ascii="Arial" w:eastAsia="Times New Roman" w:hAnsi="Arial" w:cs="Arial"/>
          <w:i/>
          <w:color w:val="000000"/>
          <w:lang w:eastAsia="ja-JP"/>
        </w:rPr>
        <w:t>ICE1/SCRM</w:t>
      </w:r>
      <w:r w:rsidRPr="003A48AB">
        <w:rPr>
          <w:rFonts w:ascii="Arial" w:eastAsia="Times New Roman" w:hAnsi="Arial" w:cs="Arial"/>
          <w:color w:val="000000"/>
          <w:lang w:eastAsia="ja-JP"/>
        </w:rPr>
        <w:t xml:space="preserve"> and </w:t>
      </w:r>
      <w:r w:rsidRPr="003A48AB">
        <w:rPr>
          <w:rFonts w:ascii="Arial" w:eastAsia="Times New Roman" w:hAnsi="Arial" w:cs="Arial"/>
          <w:i/>
          <w:color w:val="000000"/>
          <w:lang w:eastAsia="ja-JP"/>
        </w:rPr>
        <w:t>ICE2/SCRM2</w:t>
      </w:r>
      <w:r w:rsidRPr="003A48AB">
        <w:rPr>
          <w:rFonts w:ascii="Arial" w:eastAsia="Times New Roman" w:hAnsi="Arial" w:cs="Arial"/>
          <w:color w:val="000000"/>
          <w:lang w:eastAsia="ja-JP"/>
        </w:rPr>
        <w:t xml:space="preserve"> is fundamental for </w:t>
      </w:r>
    </w:p>
    <w:p w14:paraId="287B637A" w14:textId="77777777" w:rsidR="003A48AB" w:rsidRPr="003A48AB" w:rsidRDefault="0066139F" w:rsidP="0066139F">
      <w:pPr>
        <w:tabs>
          <w:tab w:val="left" w:pos="993"/>
        </w:tabs>
        <w:spacing w:after="100" w:afterAutospacing="1" w:line="240" w:lineRule="auto"/>
        <w:ind w:left="1440" w:right="95"/>
        <w:contextualSpacing/>
        <w:rPr>
          <w:rFonts w:ascii="Arial" w:eastAsia="Times New Roman" w:hAnsi="Arial" w:cs="Arial"/>
          <w:b/>
          <w:color w:val="000000"/>
          <w:lang w:eastAsia="ja-JP"/>
        </w:rPr>
      </w:pPr>
      <w:r w:rsidRPr="003A48AB">
        <w:rPr>
          <w:rFonts w:ascii="Arial" w:eastAsia="Times New Roman" w:hAnsi="Arial" w:cs="Arial"/>
          <w:color w:val="000000"/>
          <w:lang w:eastAsia="ja-JP"/>
        </w:rPr>
        <w:t>S</w:t>
      </w:r>
      <w:r w:rsidR="003A48AB" w:rsidRPr="003A48AB">
        <w:rPr>
          <w:rFonts w:ascii="Arial" w:eastAsia="Times New Roman" w:hAnsi="Arial" w:cs="Arial"/>
          <w:color w:val="000000"/>
          <w:lang w:eastAsia="ja-JP"/>
        </w:rPr>
        <w:t>tomatal</w:t>
      </w:r>
      <w:r>
        <w:rPr>
          <w:rFonts w:ascii="Arial" w:eastAsia="Times New Roman" w:hAnsi="Arial" w:cs="Arial"/>
          <w:color w:val="000000"/>
          <w:lang w:eastAsia="ja-JP"/>
        </w:rPr>
        <w:t xml:space="preserve"> </w:t>
      </w:r>
      <w:r w:rsidR="003A48AB" w:rsidRPr="003A48AB">
        <w:rPr>
          <w:rFonts w:ascii="Arial" w:eastAsia="Times New Roman" w:hAnsi="Arial" w:cs="Arial"/>
          <w:color w:val="000000"/>
          <w:lang w:eastAsia="ja-JP"/>
        </w:rPr>
        <w:t xml:space="preserve">development to occur in </w:t>
      </w:r>
      <w:r w:rsidR="003A48AB" w:rsidRPr="003A48AB">
        <w:rPr>
          <w:rFonts w:ascii="Arial" w:eastAsia="Times New Roman" w:hAnsi="Arial" w:cs="Arial"/>
          <w:i/>
          <w:color w:val="000000"/>
          <w:lang w:eastAsia="ja-JP"/>
        </w:rPr>
        <w:t>P. patens</w:t>
      </w:r>
    </w:p>
    <w:p w14:paraId="20A41A49" w14:textId="2FD7CA2B" w:rsidR="0066139F" w:rsidRPr="0066139F" w:rsidRDefault="003A48AB" w:rsidP="009F0A54">
      <w:pPr>
        <w:numPr>
          <w:ilvl w:val="2"/>
          <w:numId w:val="22"/>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Times New Roman" w:hAnsi="Arial" w:cs="Arial"/>
          <w:color w:val="000000"/>
          <w:lang w:eastAsia="ja-JP"/>
        </w:rPr>
        <w:t xml:space="preserve">Non-stomatal phenotypic observations of </w:t>
      </w:r>
      <w:r w:rsidRPr="003A48AB">
        <w:rPr>
          <w:rFonts w:ascii="Arial" w:eastAsia="Times New Roman" w:hAnsi="Arial" w:cs="Arial"/>
          <w:i/>
          <w:color w:val="000000"/>
          <w:lang w:eastAsia="ja-JP"/>
        </w:rPr>
        <w:t>ppsmf1,</w:t>
      </w:r>
      <w:r w:rsidR="0066139F">
        <w:rPr>
          <w:rFonts w:ascii="Arial" w:eastAsia="Times New Roman" w:hAnsi="Arial" w:cs="Arial"/>
          <w:i/>
          <w:color w:val="000000"/>
          <w:lang w:eastAsia="ja-JP"/>
        </w:rPr>
        <w:tab/>
      </w:r>
      <w:r w:rsidR="0066139F">
        <w:rPr>
          <w:rFonts w:ascii="Arial" w:eastAsia="Times New Roman" w:hAnsi="Arial" w:cs="Arial"/>
          <w:i/>
          <w:color w:val="000000"/>
          <w:lang w:eastAsia="ja-JP"/>
        </w:rPr>
        <w:tab/>
      </w:r>
      <w:r w:rsidR="00FA2FE3">
        <w:rPr>
          <w:rFonts w:ascii="Arial" w:eastAsia="Times New Roman" w:hAnsi="Arial" w:cs="Arial"/>
          <w:color w:val="000000"/>
          <w:lang w:eastAsia="ja-JP"/>
        </w:rPr>
        <w:t>83</w:t>
      </w:r>
    </w:p>
    <w:p w14:paraId="529129A0" w14:textId="77777777" w:rsidR="003A48AB" w:rsidRPr="003A48AB" w:rsidRDefault="003A48AB" w:rsidP="0066139F">
      <w:pPr>
        <w:tabs>
          <w:tab w:val="left" w:pos="993"/>
        </w:tabs>
        <w:spacing w:after="100" w:afterAutospacing="1" w:line="240" w:lineRule="auto"/>
        <w:ind w:left="1440" w:right="95"/>
        <w:contextualSpacing/>
        <w:rPr>
          <w:rFonts w:ascii="Arial" w:eastAsia="Times New Roman" w:hAnsi="Arial" w:cs="Arial"/>
          <w:b/>
          <w:color w:val="000000"/>
          <w:lang w:eastAsia="ja-JP"/>
        </w:rPr>
      </w:pPr>
      <w:r w:rsidRPr="003A48AB">
        <w:rPr>
          <w:rFonts w:ascii="Arial" w:eastAsia="Times New Roman" w:hAnsi="Arial" w:cs="Arial"/>
          <w:i/>
          <w:color w:val="000000"/>
          <w:lang w:eastAsia="ja-JP"/>
        </w:rPr>
        <w:t xml:space="preserve"> ppsmf2 </w:t>
      </w:r>
      <w:r w:rsidR="007B21B3">
        <w:rPr>
          <w:rFonts w:ascii="Arial" w:eastAsia="Times New Roman" w:hAnsi="Arial" w:cs="Arial"/>
          <w:color w:val="000000"/>
          <w:lang w:eastAsia="ja-JP"/>
        </w:rPr>
        <w:t>and</w:t>
      </w:r>
      <w:r w:rsidRPr="003A48AB">
        <w:rPr>
          <w:rFonts w:ascii="Arial" w:eastAsia="Times New Roman" w:hAnsi="Arial" w:cs="Arial"/>
          <w:color w:val="000000"/>
          <w:lang w:eastAsia="ja-JP"/>
        </w:rPr>
        <w:t xml:space="preserve"> </w:t>
      </w:r>
      <w:r w:rsidRPr="003A48AB">
        <w:rPr>
          <w:rFonts w:ascii="Arial" w:eastAsia="Times New Roman" w:hAnsi="Arial" w:cs="Arial"/>
          <w:i/>
          <w:color w:val="000000"/>
          <w:lang w:eastAsia="ja-JP"/>
        </w:rPr>
        <w:t xml:space="preserve">ppscrm1 </w:t>
      </w:r>
      <w:r w:rsidRPr="003A48AB">
        <w:rPr>
          <w:rFonts w:ascii="Arial" w:eastAsia="Times New Roman" w:hAnsi="Arial" w:cs="Arial"/>
          <w:color w:val="000000"/>
          <w:lang w:eastAsia="ja-JP"/>
        </w:rPr>
        <w:t>mutants</w:t>
      </w:r>
    </w:p>
    <w:p w14:paraId="25F6C76D" w14:textId="0C96266A" w:rsidR="0066139F" w:rsidRPr="0066139F" w:rsidRDefault="00847DDD" w:rsidP="009F0A54">
      <w:pPr>
        <w:numPr>
          <w:ilvl w:val="2"/>
          <w:numId w:val="22"/>
        </w:numPr>
        <w:tabs>
          <w:tab w:val="left" w:pos="993"/>
        </w:tabs>
        <w:spacing w:after="100" w:afterAutospacing="1" w:line="240" w:lineRule="auto"/>
        <w:ind w:right="95"/>
        <w:contextualSpacing/>
        <w:rPr>
          <w:rFonts w:ascii="Arial" w:eastAsia="Times New Roman" w:hAnsi="Arial" w:cs="Arial"/>
          <w:b/>
          <w:color w:val="000000"/>
          <w:lang w:eastAsia="ja-JP"/>
        </w:rPr>
      </w:pPr>
      <w:r>
        <w:rPr>
          <w:rFonts w:ascii="Arial" w:eastAsia="Times New Roman" w:hAnsi="Arial" w:cs="Arial"/>
          <w:color w:val="000000"/>
          <w:lang w:eastAsia="ja-JP"/>
        </w:rPr>
        <w:t>Stomatal developmental ontogeny</w:t>
      </w:r>
      <w:r w:rsidR="003A48AB" w:rsidRPr="003A48AB">
        <w:rPr>
          <w:rFonts w:ascii="Arial" w:eastAsia="Times New Roman" w:hAnsi="Arial" w:cs="Arial"/>
          <w:color w:val="000000"/>
          <w:lang w:eastAsia="ja-JP"/>
        </w:rPr>
        <w:t xml:space="preserve"> in </w:t>
      </w:r>
      <w:r w:rsidR="003A48AB" w:rsidRPr="003A48AB">
        <w:rPr>
          <w:rFonts w:ascii="Arial" w:eastAsia="Times New Roman" w:hAnsi="Arial" w:cs="Arial"/>
          <w:i/>
          <w:color w:val="000000"/>
          <w:lang w:eastAsia="ja-JP"/>
        </w:rPr>
        <w:t xml:space="preserve">ppsmf1 </w:t>
      </w:r>
      <w:r w:rsidR="003A48AB" w:rsidRPr="003A48AB">
        <w:rPr>
          <w:rFonts w:ascii="Arial" w:eastAsia="Times New Roman" w:hAnsi="Arial" w:cs="Arial"/>
          <w:color w:val="000000"/>
          <w:lang w:eastAsia="ja-JP"/>
        </w:rPr>
        <w:t xml:space="preserve">and </w:t>
      </w:r>
      <w:r w:rsidR="00FA2FE3">
        <w:rPr>
          <w:rFonts w:ascii="Arial" w:eastAsia="Times New Roman" w:hAnsi="Arial" w:cs="Arial"/>
          <w:color w:val="000000"/>
          <w:lang w:eastAsia="ja-JP"/>
        </w:rPr>
        <w:tab/>
      </w:r>
      <w:r w:rsidR="00FA2FE3">
        <w:rPr>
          <w:rFonts w:ascii="Arial" w:eastAsia="Times New Roman" w:hAnsi="Arial" w:cs="Arial"/>
          <w:color w:val="000000"/>
          <w:lang w:eastAsia="ja-JP"/>
        </w:rPr>
        <w:tab/>
        <w:t>84</w:t>
      </w:r>
    </w:p>
    <w:p w14:paraId="074D7472" w14:textId="77777777" w:rsidR="003A48AB" w:rsidRPr="003A48AB" w:rsidRDefault="009F0A54" w:rsidP="0066139F">
      <w:pPr>
        <w:tabs>
          <w:tab w:val="left" w:pos="993"/>
        </w:tabs>
        <w:spacing w:after="100" w:afterAutospacing="1" w:line="240" w:lineRule="auto"/>
        <w:ind w:left="1440" w:right="95"/>
        <w:contextualSpacing/>
        <w:rPr>
          <w:rFonts w:ascii="Arial" w:eastAsia="Times New Roman" w:hAnsi="Arial" w:cs="Arial"/>
          <w:b/>
          <w:color w:val="000000"/>
          <w:lang w:eastAsia="ja-JP"/>
        </w:rPr>
      </w:pPr>
      <w:r>
        <w:rPr>
          <w:rFonts w:ascii="Arial" w:eastAsia="Times New Roman" w:hAnsi="Arial" w:cs="Arial"/>
          <w:i/>
          <w:color w:val="000000"/>
          <w:lang w:eastAsia="ja-JP"/>
        </w:rPr>
        <w:t>ppscrm1</w:t>
      </w:r>
    </w:p>
    <w:p w14:paraId="4178F6B5" w14:textId="601A7C19" w:rsidR="003A48AB" w:rsidRPr="0066139F" w:rsidRDefault="003A48AB" w:rsidP="009F0A54">
      <w:pPr>
        <w:numPr>
          <w:ilvl w:val="2"/>
          <w:numId w:val="22"/>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Times New Roman" w:hAnsi="Arial" w:cs="Arial"/>
          <w:color w:val="000000"/>
          <w:lang w:eastAsia="ja-JP"/>
        </w:rPr>
        <w:t xml:space="preserve">Understanding stomatal function in </w:t>
      </w:r>
      <w:r w:rsidR="009F0A54">
        <w:rPr>
          <w:rFonts w:ascii="Arial" w:eastAsia="Times New Roman" w:hAnsi="Arial" w:cs="Arial"/>
          <w:i/>
          <w:color w:val="000000"/>
          <w:lang w:eastAsia="ja-JP"/>
        </w:rPr>
        <w:t>P. patens</w:t>
      </w:r>
      <w:r w:rsidR="0066139F">
        <w:rPr>
          <w:rFonts w:ascii="Arial" w:eastAsia="Times New Roman" w:hAnsi="Arial" w:cs="Arial"/>
          <w:i/>
          <w:color w:val="000000"/>
          <w:lang w:eastAsia="ja-JP"/>
        </w:rPr>
        <w:tab/>
      </w:r>
      <w:r w:rsidR="0066139F">
        <w:rPr>
          <w:rFonts w:ascii="Arial" w:eastAsia="Times New Roman" w:hAnsi="Arial" w:cs="Arial"/>
          <w:i/>
          <w:color w:val="000000"/>
          <w:lang w:eastAsia="ja-JP"/>
        </w:rPr>
        <w:tab/>
      </w:r>
      <w:r w:rsidR="00FA2FE3">
        <w:rPr>
          <w:rFonts w:ascii="Arial" w:eastAsia="Times New Roman" w:hAnsi="Arial" w:cs="Arial"/>
          <w:color w:val="000000"/>
          <w:lang w:eastAsia="ja-JP"/>
        </w:rPr>
        <w:t>86</w:t>
      </w:r>
    </w:p>
    <w:p w14:paraId="589D478F" w14:textId="58A0CEA5" w:rsidR="003A48AB" w:rsidRPr="003A48AB" w:rsidRDefault="003A48AB" w:rsidP="009F0A54">
      <w:pPr>
        <w:numPr>
          <w:ilvl w:val="1"/>
          <w:numId w:val="22"/>
        </w:numPr>
        <w:tabs>
          <w:tab w:val="left" w:pos="993"/>
        </w:tabs>
        <w:spacing w:after="100" w:afterAutospacing="1" w:line="240" w:lineRule="auto"/>
        <w:ind w:left="993" w:right="95" w:hanging="567"/>
        <w:contextualSpacing/>
        <w:rPr>
          <w:rFonts w:ascii="Arial" w:eastAsia="Times New Roman" w:hAnsi="Arial" w:cs="Arial"/>
          <w:b/>
          <w:color w:val="000000"/>
          <w:lang w:eastAsia="ja-JP"/>
        </w:rPr>
      </w:pPr>
      <w:r w:rsidRPr="003A48AB">
        <w:rPr>
          <w:rFonts w:ascii="Arial" w:eastAsia="Times New Roman" w:hAnsi="Arial" w:cs="Arial"/>
          <w:b/>
          <w:color w:val="000000"/>
          <w:lang w:eastAsia="ja-JP"/>
        </w:rPr>
        <w:lastRenderedPageBreak/>
        <w:t>Discussion</w:t>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572FEB">
        <w:rPr>
          <w:rFonts w:ascii="Arial" w:eastAsia="Times New Roman" w:hAnsi="Arial" w:cs="Arial"/>
          <w:b/>
          <w:color w:val="000000"/>
          <w:lang w:eastAsia="ja-JP"/>
        </w:rPr>
        <w:t>90-102</w:t>
      </w:r>
    </w:p>
    <w:p w14:paraId="24CF0F91" w14:textId="22B0F661" w:rsidR="003A48AB" w:rsidRPr="003A48AB" w:rsidRDefault="003A48AB" w:rsidP="009F0A54">
      <w:pPr>
        <w:numPr>
          <w:ilvl w:val="1"/>
          <w:numId w:val="22"/>
        </w:numPr>
        <w:tabs>
          <w:tab w:val="left" w:pos="993"/>
        </w:tabs>
        <w:spacing w:after="100" w:afterAutospacing="1" w:line="240" w:lineRule="auto"/>
        <w:ind w:left="993" w:right="95" w:hanging="567"/>
        <w:contextualSpacing/>
        <w:rPr>
          <w:rFonts w:ascii="Arial" w:eastAsia="Times New Roman" w:hAnsi="Arial" w:cs="Arial"/>
          <w:b/>
          <w:color w:val="000000"/>
          <w:lang w:eastAsia="ja-JP"/>
        </w:rPr>
      </w:pPr>
      <w:r w:rsidRPr="003A48AB">
        <w:rPr>
          <w:rFonts w:ascii="Arial" w:eastAsia="Times New Roman" w:hAnsi="Arial" w:cs="Arial"/>
          <w:b/>
          <w:color w:val="000000"/>
          <w:lang w:eastAsia="ja-JP"/>
        </w:rPr>
        <w:t>Conclusion</w:t>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572FEB">
        <w:rPr>
          <w:rFonts w:ascii="Arial" w:eastAsia="Times New Roman" w:hAnsi="Arial" w:cs="Arial"/>
          <w:b/>
          <w:color w:val="000000"/>
          <w:lang w:eastAsia="ja-JP"/>
        </w:rPr>
        <w:t>102-104</w:t>
      </w:r>
    </w:p>
    <w:p w14:paraId="3695069E" w14:textId="42034C9A" w:rsidR="003A48AB" w:rsidRPr="009F0A54" w:rsidRDefault="003A48AB" w:rsidP="009F0A54">
      <w:pPr>
        <w:numPr>
          <w:ilvl w:val="1"/>
          <w:numId w:val="22"/>
        </w:numPr>
        <w:tabs>
          <w:tab w:val="left" w:pos="993"/>
        </w:tabs>
        <w:spacing w:after="100" w:afterAutospacing="1" w:line="240" w:lineRule="auto"/>
        <w:ind w:left="993" w:right="95" w:hanging="567"/>
        <w:contextualSpacing/>
        <w:rPr>
          <w:rFonts w:ascii="Arial" w:eastAsia="Times New Roman" w:hAnsi="Arial" w:cs="Arial"/>
          <w:b/>
          <w:bdr w:val="none" w:sz="0" w:space="0" w:color="auto" w:frame="1"/>
          <w:lang w:eastAsia="ja-JP"/>
        </w:rPr>
      </w:pPr>
      <w:r w:rsidRPr="003A48AB">
        <w:rPr>
          <w:rFonts w:ascii="Arial" w:eastAsia="Times New Roman" w:hAnsi="Arial" w:cs="Arial"/>
          <w:b/>
          <w:color w:val="000000"/>
          <w:lang w:eastAsia="ja-JP"/>
        </w:rPr>
        <w:t>Future research</w:t>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572FEB">
        <w:rPr>
          <w:rFonts w:ascii="Arial" w:eastAsia="Times New Roman" w:hAnsi="Arial" w:cs="Arial"/>
          <w:b/>
          <w:color w:val="000000"/>
          <w:lang w:eastAsia="ja-JP"/>
        </w:rPr>
        <w:t>104-105</w:t>
      </w:r>
    </w:p>
    <w:p w14:paraId="0E2BA62E" w14:textId="77777777" w:rsidR="009F0A54" w:rsidRPr="003A48AB" w:rsidRDefault="009F0A54" w:rsidP="0066139F">
      <w:pPr>
        <w:tabs>
          <w:tab w:val="left" w:pos="993"/>
        </w:tabs>
        <w:spacing w:after="100" w:afterAutospacing="1" w:line="240" w:lineRule="auto"/>
        <w:ind w:right="95"/>
        <w:contextualSpacing/>
        <w:rPr>
          <w:rFonts w:ascii="Arial" w:eastAsia="Times New Roman" w:hAnsi="Arial" w:cs="Arial"/>
          <w:b/>
          <w:bdr w:val="none" w:sz="0" w:space="0" w:color="auto" w:frame="1"/>
          <w:lang w:eastAsia="ja-JP"/>
        </w:rPr>
      </w:pPr>
    </w:p>
    <w:p w14:paraId="3B92F0D4" w14:textId="3D844B6B" w:rsidR="00B37648" w:rsidRDefault="003A48AB" w:rsidP="00B37648">
      <w:pPr>
        <w:tabs>
          <w:tab w:val="left" w:pos="993"/>
        </w:tabs>
        <w:spacing w:after="0" w:line="240" w:lineRule="auto"/>
        <w:ind w:right="96"/>
        <w:rPr>
          <w:rFonts w:ascii="Arial" w:eastAsia="Times New Roman" w:hAnsi="Arial" w:cs="Arial"/>
          <w:b/>
          <w:bdr w:val="none" w:sz="0" w:space="0" w:color="auto" w:frame="1"/>
          <w:lang w:eastAsia="ja-JP"/>
        </w:rPr>
      </w:pPr>
      <w:r w:rsidRPr="003A48AB">
        <w:rPr>
          <w:rFonts w:ascii="Arial" w:eastAsia="Times New Roman" w:hAnsi="Arial" w:cs="Arial"/>
          <w:b/>
          <w:bdr w:val="none" w:sz="0" w:space="0" w:color="auto" w:frame="1"/>
          <w:lang w:eastAsia="ja-JP"/>
        </w:rPr>
        <w:t xml:space="preserve">Chapter 4: Genes underpinning stomatal patterning in the </w:t>
      </w:r>
      <w:r w:rsidR="00B37648">
        <w:rPr>
          <w:rFonts w:ascii="Arial" w:eastAsia="Times New Roman" w:hAnsi="Arial" w:cs="Arial"/>
          <w:b/>
          <w:bdr w:val="none" w:sz="0" w:space="0" w:color="auto" w:frame="1"/>
          <w:lang w:eastAsia="ja-JP"/>
        </w:rPr>
        <w:tab/>
      </w:r>
      <w:r w:rsidR="00B37648">
        <w:rPr>
          <w:rFonts w:ascii="Arial" w:eastAsia="Times New Roman" w:hAnsi="Arial" w:cs="Arial"/>
          <w:b/>
          <w:bdr w:val="none" w:sz="0" w:space="0" w:color="auto" w:frame="1"/>
          <w:lang w:eastAsia="ja-JP"/>
        </w:rPr>
        <w:tab/>
      </w:r>
      <w:r w:rsidR="00FA2FE3">
        <w:rPr>
          <w:rFonts w:ascii="Arial" w:eastAsia="Times New Roman" w:hAnsi="Arial" w:cs="Arial"/>
          <w:b/>
          <w:color w:val="000000"/>
          <w:lang w:eastAsia="ja-JP"/>
        </w:rPr>
        <w:t>108-170</w:t>
      </w:r>
    </w:p>
    <w:p w14:paraId="0F2DBEC0" w14:textId="77777777" w:rsidR="003A48AB" w:rsidRDefault="003A48AB" w:rsidP="00B37648">
      <w:pPr>
        <w:tabs>
          <w:tab w:val="left" w:pos="993"/>
        </w:tabs>
        <w:spacing w:after="0" w:line="240" w:lineRule="auto"/>
        <w:ind w:right="96"/>
        <w:rPr>
          <w:rFonts w:ascii="Arial" w:eastAsia="Times New Roman" w:hAnsi="Arial" w:cs="Arial"/>
          <w:b/>
          <w:bdr w:val="none" w:sz="0" w:space="0" w:color="auto" w:frame="1"/>
          <w:lang w:eastAsia="ja-JP"/>
        </w:rPr>
      </w:pPr>
      <w:r w:rsidRPr="003A48AB">
        <w:rPr>
          <w:rFonts w:ascii="Arial" w:eastAsia="Times New Roman" w:hAnsi="Arial" w:cs="Arial"/>
          <w:b/>
          <w:bdr w:val="none" w:sz="0" w:space="0" w:color="auto" w:frame="1"/>
          <w:lang w:eastAsia="ja-JP"/>
        </w:rPr>
        <w:t>non-vascular land plant and moss P. patens</w:t>
      </w:r>
    </w:p>
    <w:p w14:paraId="68FB7509" w14:textId="77777777" w:rsidR="00B37648" w:rsidRPr="003A48AB" w:rsidRDefault="00B37648" w:rsidP="00B37648">
      <w:pPr>
        <w:tabs>
          <w:tab w:val="left" w:pos="993"/>
        </w:tabs>
        <w:spacing w:after="0" w:line="240" w:lineRule="auto"/>
        <w:ind w:right="96"/>
        <w:rPr>
          <w:rFonts w:ascii="Arial" w:eastAsia="Times New Roman" w:hAnsi="Arial" w:cs="Arial"/>
          <w:b/>
          <w:bdr w:val="none" w:sz="0" w:space="0" w:color="auto" w:frame="1"/>
          <w:lang w:eastAsia="ja-JP"/>
        </w:rPr>
      </w:pPr>
    </w:p>
    <w:p w14:paraId="11C5B755" w14:textId="6C70ACCE" w:rsidR="003A48AB" w:rsidRPr="003A48AB" w:rsidRDefault="003A48AB" w:rsidP="009F0A54">
      <w:pPr>
        <w:numPr>
          <w:ilvl w:val="1"/>
          <w:numId w:val="24"/>
        </w:numPr>
        <w:tabs>
          <w:tab w:val="left" w:pos="709"/>
        </w:tabs>
        <w:spacing w:after="100" w:afterAutospacing="1" w:line="240" w:lineRule="auto"/>
        <w:ind w:left="993" w:right="95" w:hanging="851"/>
        <w:contextualSpacing/>
        <w:rPr>
          <w:rFonts w:ascii="Arial" w:eastAsia="Times New Roman" w:hAnsi="Arial" w:cs="Arial"/>
          <w:b/>
          <w:color w:val="000000"/>
          <w:lang w:eastAsia="ja-JP"/>
        </w:rPr>
      </w:pPr>
      <w:r w:rsidRPr="003A48AB">
        <w:rPr>
          <w:rFonts w:ascii="Arial" w:eastAsia="Times New Roman" w:hAnsi="Arial" w:cs="Arial"/>
          <w:b/>
          <w:color w:val="000000"/>
          <w:lang w:eastAsia="ja-JP"/>
        </w:rPr>
        <w:t>Introduction</w:t>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66139F">
        <w:rPr>
          <w:rFonts w:ascii="Arial" w:eastAsia="Times New Roman" w:hAnsi="Arial" w:cs="Arial"/>
          <w:b/>
          <w:color w:val="000000"/>
          <w:lang w:eastAsia="ja-JP"/>
        </w:rPr>
        <w:tab/>
      </w:r>
      <w:r w:rsidR="00FA2FE3">
        <w:rPr>
          <w:rFonts w:ascii="Arial" w:eastAsia="Times New Roman" w:hAnsi="Arial" w:cs="Arial"/>
          <w:b/>
          <w:color w:val="000000"/>
          <w:lang w:eastAsia="ja-JP"/>
        </w:rPr>
        <w:t>109-121</w:t>
      </w:r>
    </w:p>
    <w:p w14:paraId="69170248" w14:textId="59F6C553" w:rsidR="0066139F" w:rsidRPr="0066139F" w:rsidRDefault="003A48AB" w:rsidP="009F0A54">
      <w:pPr>
        <w:numPr>
          <w:ilvl w:val="2"/>
          <w:numId w:val="24"/>
        </w:numPr>
        <w:tabs>
          <w:tab w:val="left" w:pos="993"/>
        </w:tabs>
        <w:spacing w:after="100" w:afterAutospacing="1" w:line="240" w:lineRule="auto"/>
        <w:ind w:right="95" w:hanging="731"/>
        <w:contextualSpacing/>
        <w:rPr>
          <w:rFonts w:ascii="Arial" w:eastAsia="Times New Roman" w:hAnsi="Arial" w:cs="Arial"/>
          <w:b/>
          <w:color w:val="000000"/>
          <w:lang w:eastAsia="ja-JP"/>
        </w:rPr>
      </w:pPr>
      <w:r w:rsidRPr="003A48AB">
        <w:rPr>
          <w:rFonts w:ascii="Arial" w:eastAsia="Yu Mincho" w:hAnsi="Arial" w:cs="Arial"/>
          <w:lang w:eastAsia="ja-JP"/>
        </w:rPr>
        <w:t xml:space="preserve">The stomatal patterning of ancient land plants according </w:t>
      </w:r>
      <w:r w:rsidR="00FA2FE3">
        <w:rPr>
          <w:rFonts w:ascii="Arial" w:eastAsia="Yu Mincho" w:hAnsi="Arial" w:cs="Arial"/>
          <w:lang w:eastAsia="ja-JP"/>
        </w:rPr>
        <w:tab/>
        <w:t>109</w:t>
      </w:r>
    </w:p>
    <w:p w14:paraId="32BF6C28" w14:textId="77777777" w:rsidR="003A48AB" w:rsidRPr="003A48AB" w:rsidRDefault="003A48AB" w:rsidP="0066139F">
      <w:pPr>
        <w:tabs>
          <w:tab w:val="left" w:pos="993"/>
        </w:tabs>
        <w:spacing w:after="100" w:afterAutospacing="1" w:line="240" w:lineRule="auto"/>
        <w:ind w:left="1440" w:right="95"/>
        <w:contextualSpacing/>
        <w:rPr>
          <w:rFonts w:ascii="Arial" w:eastAsia="Times New Roman" w:hAnsi="Arial" w:cs="Arial"/>
          <w:b/>
          <w:color w:val="000000"/>
          <w:lang w:eastAsia="ja-JP"/>
        </w:rPr>
      </w:pPr>
      <w:r w:rsidRPr="003A48AB">
        <w:rPr>
          <w:rFonts w:ascii="Arial" w:eastAsia="Yu Mincho" w:hAnsi="Arial" w:cs="Arial"/>
          <w:lang w:eastAsia="ja-JP"/>
        </w:rPr>
        <w:t>to the fossil record</w:t>
      </w:r>
    </w:p>
    <w:p w14:paraId="74A518DD" w14:textId="2DD79205" w:rsidR="0066139F" w:rsidRPr="0066139F" w:rsidRDefault="003A48AB" w:rsidP="009F0A54">
      <w:pPr>
        <w:numPr>
          <w:ilvl w:val="2"/>
          <w:numId w:val="24"/>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 xml:space="preserve">Stomatal patterning in the model organism </w:t>
      </w:r>
      <w:r w:rsidR="009F0A54">
        <w:rPr>
          <w:rFonts w:ascii="Arial" w:eastAsia="Yu Mincho" w:hAnsi="Arial" w:cs="Arial"/>
          <w:i/>
          <w:lang w:eastAsia="ja-JP"/>
        </w:rPr>
        <w:t xml:space="preserve">Arabidopsis </w:t>
      </w:r>
      <w:r w:rsidR="00B37648">
        <w:rPr>
          <w:rFonts w:ascii="Arial" w:eastAsia="Yu Mincho" w:hAnsi="Arial" w:cs="Arial"/>
          <w:i/>
          <w:lang w:eastAsia="ja-JP"/>
        </w:rPr>
        <w:tab/>
      </w:r>
      <w:r w:rsidR="00FA2FE3">
        <w:rPr>
          <w:rFonts w:ascii="Arial" w:eastAsia="Yu Mincho" w:hAnsi="Arial" w:cs="Arial"/>
          <w:lang w:eastAsia="ja-JP"/>
        </w:rPr>
        <w:t>112</w:t>
      </w:r>
    </w:p>
    <w:p w14:paraId="7CB7CA6C" w14:textId="77777777" w:rsidR="003A48AB" w:rsidRPr="003A48AB" w:rsidRDefault="009F0A54" w:rsidP="0066139F">
      <w:pPr>
        <w:tabs>
          <w:tab w:val="left" w:pos="993"/>
        </w:tabs>
        <w:spacing w:after="100" w:afterAutospacing="1" w:line="240" w:lineRule="auto"/>
        <w:ind w:left="1440" w:right="95"/>
        <w:contextualSpacing/>
        <w:rPr>
          <w:rFonts w:ascii="Arial" w:eastAsia="Times New Roman" w:hAnsi="Arial" w:cs="Arial"/>
          <w:b/>
          <w:color w:val="000000"/>
          <w:lang w:eastAsia="ja-JP"/>
        </w:rPr>
      </w:pPr>
      <w:r>
        <w:rPr>
          <w:rFonts w:ascii="Arial" w:eastAsia="Yu Mincho" w:hAnsi="Arial" w:cs="Arial"/>
          <w:i/>
          <w:lang w:eastAsia="ja-JP"/>
        </w:rPr>
        <w:t>thaliana</w:t>
      </w:r>
    </w:p>
    <w:p w14:paraId="31DD800E" w14:textId="71F0B2D5" w:rsidR="00B37648" w:rsidRPr="00B37648" w:rsidRDefault="003A48AB" w:rsidP="009F0A54">
      <w:pPr>
        <w:numPr>
          <w:ilvl w:val="2"/>
          <w:numId w:val="24"/>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 xml:space="preserve">EPIDERMAL PATTERNING FACTOR (EPF) and </w:t>
      </w:r>
      <w:r w:rsidR="00FA2FE3">
        <w:rPr>
          <w:rFonts w:ascii="Arial" w:eastAsia="Yu Mincho" w:hAnsi="Arial" w:cs="Arial"/>
          <w:lang w:eastAsia="ja-JP"/>
        </w:rPr>
        <w:tab/>
      </w:r>
      <w:r w:rsidR="00FA2FE3">
        <w:rPr>
          <w:rFonts w:ascii="Arial" w:eastAsia="Yu Mincho" w:hAnsi="Arial" w:cs="Arial"/>
          <w:lang w:eastAsia="ja-JP"/>
        </w:rPr>
        <w:tab/>
        <w:t>112</w:t>
      </w:r>
    </w:p>
    <w:p w14:paraId="19866571" w14:textId="77777777" w:rsidR="00B37648" w:rsidRDefault="003A48AB" w:rsidP="00B37648">
      <w:pPr>
        <w:tabs>
          <w:tab w:val="left" w:pos="993"/>
        </w:tabs>
        <w:spacing w:after="100" w:afterAutospacing="1" w:line="240" w:lineRule="auto"/>
        <w:ind w:left="1440" w:right="95"/>
        <w:contextualSpacing/>
        <w:rPr>
          <w:rFonts w:ascii="Arial" w:eastAsia="Yu Mincho" w:hAnsi="Arial" w:cs="Arial"/>
          <w:lang w:eastAsia="ja-JP"/>
        </w:rPr>
      </w:pPr>
      <w:r w:rsidRPr="003A48AB">
        <w:rPr>
          <w:rFonts w:ascii="Arial" w:eastAsia="Yu Mincho" w:hAnsi="Arial" w:cs="Arial"/>
          <w:lang w:eastAsia="ja-JP"/>
        </w:rPr>
        <w:t xml:space="preserve">EPF-like (EPFL) signalling peptides and signal </w:t>
      </w:r>
    </w:p>
    <w:p w14:paraId="53EE570C" w14:textId="77777777" w:rsidR="003A48AB" w:rsidRPr="003A48AB" w:rsidRDefault="003A48AB" w:rsidP="00B37648">
      <w:pPr>
        <w:tabs>
          <w:tab w:val="left" w:pos="993"/>
        </w:tabs>
        <w:spacing w:after="100" w:afterAutospacing="1" w:line="240" w:lineRule="auto"/>
        <w:ind w:left="1440" w:right="95"/>
        <w:contextualSpacing/>
        <w:rPr>
          <w:rFonts w:ascii="Arial" w:eastAsia="Times New Roman" w:hAnsi="Arial" w:cs="Arial"/>
          <w:b/>
          <w:color w:val="000000"/>
          <w:lang w:eastAsia="ja-JP"/>
        </w:rPr>
      </w:pPr>
      <w:r w:rsidRPr="003A48AB">
        <w:rPr>
          <w:rFonts w:ascii="Arial" w:eastAsia="Yu Mincho" w:hAnsi="Arial" w:cs="Arial"/>
          <w:lang w:eastAsia="ja-JP"/>
        </w:rPr>
        <w:t>trans</w:t>
      </w:r>
      <w:r w:rsidR="00B37648">
        <w:rPr>
          <w:rFonts w:ascii="Arial" w:eastAsia="Yu Mincho" w:hAnsi="Arial" w:cs="Arial"/>
          <w:lang w:eastAsia="ja-JP"/>
        </w:rPr>
        <w:t xml:space="preserve">duction during </w:t>
      </w:r>
      <w:r w:rsidRPr="003A48AB">
        <w:rPr>
          <w:rFonts w:ascii="Arial" w:eastAsia="Yu Mincho" w:hAnsi="Arial" w:cs="Arial"/>
          <w:lang w:eastAsia="ja-JP"/>
        </w:rPr>
        <w:t>stomatal development</w:t>
      </w:r>
    </w:p>
    <w:p w14:paraId="798E4DA2" w14:textId="40C67DDF" w:rsidR="0066139F" w:rsidRDefault="003A48AB" w:rsidP="0066139F">
      <w:pPr>
        <w:numPr>
          <w:ilvl w:val="2"/>
          <w:numId w:val="24"/>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The integration of many signal</w:t>
      </w:r>
      <w:r w:rsidR="009F0A54">
        <w:rPr>
          <w:rFonts w:ascii="Arial" w:eastAsia="Yu Mincho" w:hAnsi="Arial" w:cs="Arial"/>
          <w:lang w:eastAsia="ja-JP"/>
        </w:rPr>
        <w:t xml:space="preserve">s in many different organs </w:t>
      </w:r>
      <w:r w:rsidR="00FA2FE3">
        <w:rPr>
          <w:rFonts w:ascii="Arial" w:eastAsia="Yu Mincho" w:hAnsi="Arial" w:cs="Arial"/>
          <w:lang w:eastAsia="ja-JP"/>
        </w:rPr>
        <w:tab/>
        <w:t>118</w:t>
      </w:r>
    </w:p>
    <w:p w14:paraId="63453DBB" w14:textId="77777777" w:rsidR="003A48AB" w:rsidRPr="0066139F" w:rsidRDefault="009F0A54" w:rsidP="0066139F">
      <w:pPr>
        <w:tabs>
          <w:tab w:val="left" w:pos="993"/>
        </w:tabs>
        <w:spacing w:after="100" w:afterAutospacing="1" w:line="240" w:lineRule="auto"/>
        <w:ind w:left="1440" w:right="95"/>
        <w:contextualSpacing/>
        <w:rPr>
          <w:rFonts w:ascii="Arial" w:eastAsia="Times New Roman" w:hAnsi="Arial" w:cs="Arial"/>
          <w:b/>
          <w:color w:val="000000"/>
          <w:lang w:eastAsia="ja-JP"/>
        </w:rPr>
      </w:pPr>
      <w:r w:rsidRPr="0066139F">
        <w:rPr>
          <w:rFonts w:ascii="Arial" w:eastAsia="Yu Mincho" w:hAnsi="Arial" w:cs="Arial"/>
          <w:lang w:eastAsia="ja-JP"/>
        </w:rPr>
        <w:t xml:space="preserve">by </w:t>
      </w:r>
      <w:r w:rsidR="003A48AB" w:rsidRPr="0066139F">
        <w:rPr>
          <w:rFonts w:ascii="Arial" w:eastAsia="Yu Mincho" w:hAnsi="Arial" w:cs="Arial"/>
          <w:lang w:eastAsia="ja-JP"/>
        </w:rPr>
        <w:t>TOO MANY MOUTHS (TMM)</w:t>
      </w:r>
    </w:p>
    <w:p w14:paraId="725E0EC4" w14:textId="0883281C" w:rsidR="0066139F" w:rsidRPr="0066139F" w:rsidRDefault="003A48AB" w:rsidP="009F0A54">
      <w:pPr>
        <w:numPr>
          <w:ilvl w:val="2"/>
          <w:numId w:val="24"/>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 xml:space="preserve">The role of the ERECTA Family (ERf) members in </w:t>
      </w:r>
      <w:r w:rsidR="00FA2FE3">
        <w:rPr>
          <w:rFonts w:ascii="Arial" w:eastAsia="Yu Mincho" w:hAnsi="Arial" w:cs="Arial"/>
          <w:lang w:eastAsia="ja-JP"/>
        </w:rPr>
        <w:tab/>
      </w:r>
      <w:r w:rsidR="00FA2FE3">
        <w:rPr>
          <w:rFonts w:ascii="Arial" w:eastAsia="Yu Mincho" w:hAnsi="Arial" w:cs="Arial"/>
          <w:lang w:eastAsia="ja-JP"/>
        </w:rPr>
        <w:tab/>
        <w:t>120</w:t>
      </w:r>
    </w:p>
    <w:p w14:paraId="1D695B42" w14:textId="77777777" w:rsidR="003A48AB" w:rsidRPr="003A48AB" w:rsidRDefault="009F0A54" w:rsidP="0066139F">
      <w:pPr>
        <w:tabs>
          <w:tab w:val="left" w:pos="993"/>
        </w:tabs>
        <w:spacing w:after="100" w:afterAutospacing="1" w:line="240" w:lineRule="auto"/>
        <w:ind w:left="1440" w:right="95"/>
        <w:contextualSpacing/>
        <w:rPr>
          <w:rFonts w:ascii="Arial" w:eastAsia="Times New Roman" w:hAnsi="Arial" w:cs="Arial"/>
          <w:b/>
          <w:color w:val="000000"/>
          <w:lang w:eastAsia="ja-JP"/>
        </w:rPr>
      </w:pPr>
      <w:r>
        <w:rPr>
          <w:rFonts w:ascii="Arial" w:eastAsia="Yu Mincho" w:hAnsi="Arial" w:cs="Arial"/>
          <w:lang w:eastAsia="ja-JP"/>
        </w:rPr>
        <w:t>stomatal</w:t>
      </w:r>
      <w:r w:rsidR="003A48AB" w:rsidRPr="003A48AB">
        <w:rPr>
          <w:rFonts w:ascii="Arial" w:eastAsia="Yu Mincho" w:hAnsi="Arial" w:cs="Arial"/>
          <w:lang w:eastAsia="ja-JP"/>
        </w:rPr>
        <w:t xml:space="preserve"> development and beyond</w:t>
      </w:r>
    </w:p>
    <w:p w14:paraId="6DDEB5BC" w14:textId="77777777" w:rsidR="003A48AB" w:rsidRPr="003A48AB" w:rsidRDefault="003A48AB" w:rsidP="009F0A54">
      <w:pPr>
        <w:tabs>
          <w:tab w:val="left" w:pos="993"/>
        </w:tabs>
        <w:spacing w:after="100" w:afterAutospacing="1" w:line="240" w:lineRule="auto"/>
        <w:ind w:right="95"/>
        <w:contextualSpacing/>
        <w:rPr>
          <w:rFonts w:ascii="Arial" w:eastAsia="Times New Roman" w:hAnsi="Arial" w:cs="Arial"/>
          <w:b/>
          <w:color w:val="000000"/>
          <w:lang w:eastAsia="ja-JP"/>
        </w:rPr>
      </w:pPr>
    </w:p>
    <w:p w14:paraId="13EEE76F" w14:textId="63F12474" w:rsidR="003A48AB" w:rsidRPr="003A48AB" w:rsidRDefault="009F0A54" w:rsidP="009F0A54">
      <w:pPr>
        <w:numPr>
          <w:ilvl w:val="1"/>
          <w:numId w:val="24"/>
        </w:numPr>
        <w:tabs>
          <w:tab w:val="left" w:pos="709"/>
        </w:tabs>
        <w:spacing w:after="100" w:afterAutospacing="1" w:line="240" w:lineRule="auto"/>
        <w:ind w:left="993" w:right="95" w:hanging="851"/>
        <w:contextualSpacing/>
        <w:rPr>
          <w:rFonts w:ascii="Arial" w:eastAsia="Times New Roman" w:hAnsi="Arial" w:cs="Arial"/>
          <w:b/>
          <w:color w:val="000000"/>
          <w:lang w:eastAsia="ja-JP"/>
        </w:rPr>
      </w:pPr>
      <w:r>
        <w:rPr>
          <w:rFonts w:ascii="Arial" w:eastAsia="Times New Roman" w:hAnsi="Arial" w:cs="Arial"/>
          <w:b/>
          <w:color w:val="000000"/>
          <w:lang w:eastAsia="ja-JP"/>
        </w:rPr>
        <w:t>Results</w:t>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FA2FE3">
        <w:rPr>
          <w:rFonts w:ascii="Arial" w:eastAsia="Times New Roman" w:hAnsi="Arial" w:cs="Arial"/>
          <w:b/>
          <w:color w:val="000000"/>
          <w:lang w:eastAsia="ja-JP"/>
        </w:rPr>
        <w:t>121-152</w:t>
      </w:r>
    </w:p>
    <w:p w14:paraId="4F3143CC" w14:textId="59E4EB63" w:rsidR="0066139F" w:rsidRPr="0066139F" w:rsidRDefault="003A48AB" w:rsidP="009F0A54">
      <w:pPr>
        <w:numPr>
          <w:ilvl w:val="2"/>
          <w:numId w:val="24"/>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Identification of genes involved in stomatal patterning in</w:t>
      </w:r>
      <w:r w:rsidR="00FA2FE3">
        <w:rPr>
          <w:rFonts w:ascii="Arial" w:eastAsia="Yu Mincho" w:hAnsi="Arial" w:cs="Arial"/>
          <w:lang w:eastAsia="ja-JP"/>
        </w:rPr>
        <w:tab/>
        <w:t>121</w:t>
      </w:r>
      <w:r w:rsidRPr="003A48AB">
        <w:rPr>
          <w:rFonts w:ascii="Arial" w:eastAsia="Yu Mincho" w:hAnsi="Arial" w:cs="Arial"/>
          <w:lang w:eastAsia="ja-JP"/>
        </w:rPr>
        <w:t xml:space="preserve"> </w:t>
      </w:r>
    </w:p>
    <w:p w14:paraId="3002C4F9" w14:textId="77777777" w:rsidR="003A48AB" w:rsidRPr="003A48AB" w:rsidRDefault="003A48AB" w:rsidP="0066139F">
      <w:pPr>
        <w:tabs>
          <w:tab w:val="left" w:pos="993"/>
        </w:tabs>
        <w:spacing w:after="100" w:afterAutospacing="1" w:line="240" w:lineRule="auto"/>
        <w:ind w:left="1440" w:right="95"/>
        <w:contextualSpacing/>
        <w:rPr>
          <w:rFonts w:ascii="Arial" w:eastAsia="Times New Roman" w:hAnsi="Arial" w:cs="Arial"/>
          <w:b/>
          <w:color w:val="000000"/>
          <w:lang w:eastAsia="ja-JP"/>
        </w:rPr>
      </w:pPr>
      <w:r w:rsidRPr="003A48AB">
        <w:rPr>
          <w:rFonts w:ascii="Arial" w:eastAsia="Yu Mincho" w:hAnsi="Arial" w:cs="Arial"/>
          <w:lang w:eastAsia="ja-JP"/>
        </w:rPr>
        <w:t xml:space="preserve">the non-vascular land plant </w:t>
      </w:r>
      <w:r w:rsidRPr="003A48AB">
        <w:rPr>
          <w:rFonts w:ascii="Arial" w:eastAsia="Yu Mincho" w:hAnsi="Arial" w:cs="Arial"/>
          <w:i/>
          <w:lang w:eastAsia="ja-JP"/>
        </w:rPr>
        <w:t>Physcomitrella patens</w:t>
      </w:r>
    </w:p>
    <w:p w14:paraId="754B5274" w14:textId="769C4E21" w:rsidR="0066139F" w:rsidRPr="0066139F" w:rsidRDefault="003A48AB" w:rsidP="009F0A54">
      <w:pPr>
        <w:numPr>
          <w:ilvl w:val="2"/>
          <w:numId w:val="24"/>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The</w:t>
      </w:r>
      <w:r w:rsidRPr="003A48AB">
        <w:rPr>
          <w:rFonts w:ascii="Arial" w:eastAsia="Yu Mincho" w:hAnsi="Arial" w:cs="Arial"/>
          <w:i/>
          <w:lang w:eastAsia="ja-JP"/>
        </w:rPr>
        <w:t xml:space="preserve"> Physcomitrella patens </w:t>
      </w:r>
      <w:r w:rsidRPr="003A48AB">
        <w:rPr>
          <w:rFonts w:ascii="Arial" w:eastAsia="Yu Mincho" w:hAnsi="Arial" w:cs="Arial"/>
          <w:lang w:eastAsia="ja-JP"/>
        </w:rPr>
        <w:t xml:space="preserve">genome contains one </w:t>
      </w:r>
      <w:r w:rsidRPr="003A48AB">
        <w:rPr>
          <w:rFonts w:ascii="Arial" w:eastAsia="Yu Mincho" w:hAnsi="Arial" w:cs="Arial"/>
          <w:i/>
          <w:lang w:eastAsia="ja-JP"/>
        </w:rPr>
        <w:t xml:space="preserve">EPF </w:t>
      </w:r>
      <w:r w:rsidR="00B37648">
        <w:rPr>
          <w:rFonts w:ascii="Arial" w:eastAsia="Yu Mincho" w:hAnsi="Arial" w:cs="Arial"/>
          <w:i/>
          <w:lang w:eastAsia="ja-JP"/>
        </w:rPr>
        <w:tab/>
      </w:r>
      <w:r w:rsidR="00FA2FE3">
        <w:rPr>
          <w:rFonts w:ascii="Arial" w:eastAsia="Yu Mincho" w:hAnsi="Arial" w:cs="Arial"/>
          <w:lang w:eastAsia="ja-JP"/>
        </w:rPr>
        <w:t>122</w:t>
      </w:r>
    </w:p>
    <w:p w14:paraId="65A72FB6" w14:textId="77777777" w:rsidR="0066139F" w:rsidRDefault="009F0A54" w:rsidP="0066139F">
      <w:pPr>
        <w:tabs>
          <w:tab w:val="left" w:pos="993"/>
        </w:tabs>
        <w:spacing w:after="100" w:afterAutospacing="1" w:line="240" w:lineRule="auto"/>
        <w:ind w:left="1440" w:right="95"/>
        <w:contextualSpacing/>
        <w:rPr>
          <w:rFonts w:ascii="Arial" w:eastAsia="Yu Mincho" w:hAnsi="Arial" w:cs="Arial"/>
          <w:lang w:eastAsia="ja-JP"/>
        </w:rPr>
      </w:pPr>
      <w:r>
        <w:rPr>
          <w:rFonts w:ascii="Arial" w:eastAsia="Yu Mincho" w:hAnsi="Arial" w:cs="Arial"/>
          <w:lang w:eastAsia="ja-JP"/>
        </w:rPr>
        <w:t>peptide</w:t>
      </w:r>
      <w:r w:rsidR="003A48AB" w:rsidRPr="003A48AB">
        <w:rPr>
          <w:rFonts w:ascii="Arial" w:eastAsia="Yu Mincho" w:hAnsi="Arial" w:cs="Arial"/>
          <w:lang w:eastAsia="ja-JP"/>
        </w:rPr>
        <w:t xml:space="preserve"> PpEPF1, which is closely related Arabidopsis </w:t>
      </w:r>
    </w:p>
    <w:p w14:paraId="59DE57D2" w14:textId="77777777" w:rsidR="003A48AB" w:rsidRPr="0066139F" w:rsidRDefault="003A48AB" w:rsidP="0066139F">
      <w:pPr>
        <w:tabs>
          <w:tab w:val="left" w:pos="993"/>
        </w:tabs>
        <w:spacing w:after="100" w:afterAutospacing="1" w:line="240" w:lineRule="auto"/>
        <w:ind w:left="1440" w:right="95"/>
        <w:contextualSpacing/>
        <w:rPr>
          <w:rFonts w:ascii="Arial" w:eastAsia="Yu Mincho" w:hAnsi="Arial" w:cs="Arial"/>
          <w:lang w:eastAsia="ja-JP"/>
        </w:rPr>
      </w:pPr>
      <w:r w:rsidRPr="003A48AB">
        <w:rPr>
          <w:rFonts w:ascii="Arial" w:eastAsia="Yu Mincho" w:hAnsi="Arial" w:cs="Arial"/>
          <w:i/>
          <w:lang w:eastAsia="ja-JP"/>
        </w:rPr>
        <w:t>EPF1</w:t>
      </w:r>
      <w:r w:rsidRPr="003A48AB">
        <w:rPr>
          <w:rFonts w:ascii="Arial" w:eastAsia="Yu Mincho" w:hAnsi="Arial" w:cs="Arial"/>
          <w:lang w:eastAsia="ja-JP"/>
        </w:rPr>
        <w:t xml:space="preserve">, </w:t>
      </w:r>
      <w:r w:rsidRPr="003A48AB">
        <w:rPr>
          <w:rFonts w:ascii="Arial" w:eastAsia="Yu Mincho" w:hAnsi="Arial" w:cs="Arial"/>
          <w:i/>
          <w:lang w:eastAsia="ja-JP"/>
        </w:rPr>
        <w:t>EPF2</w:t>
      </w:r>
      <w:r w:rsidRPr="003A48AB">
        <w:rPr>
          <w:rFonts w:ascii="Arial" w:eastAsia="Yu Mincho" w:hAnsi="Arial" w:cs="Arial"/>
          <w:lang w:eastAsia="ja-JP"/>
        </w:rPr>
        <w:t xml:space="preserve"> and </w:t>
      </w:r>
      <w:r w:rsidRPr="003A48AB">
        <w:rPr>
          <w:rFonts w:ascii="Arial" w:eastAsia="Yu Mincho" w:hAnsi="Arial" w:cs="Arial"/>
          <w:i/>
          <w:lang w:eastAsia="ja-JP"/>
        </w:rPr>
        <w:t>EPFL7</w:t>
      </w:r>
      <w:r w:rsidRPr="003A48AB">
        <w:rPr>
          <w:rFonts w:ascii="Arial" w:eastAsia="Yu Mincho" w:hAnsi="Arial" w:cs="Arial"/>
          <w:lang w:eastAsia="ja-JP"/>
        </w:rPr>
        <w:t xml:space="preserve"> </w:t>
      </w:r>
    </w:p>
    <w:p w14:paraId="41DBF30C" w14:textId="3EC5445A" w:rsidR="0066139F" w:rsidRPr="0066139F" w:rsidRDefault="003A48AB" w:rsidP="009F0A54">
      <w:pPr>
        <w:numPr>
          <w:ilvl w:val="2"/>
          <w:numId w:val="24"/>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 xml:space="preserve">Complementation of Arabidopsis </w:t>
      </w:r>
      <w:r w:rsidRPr="003A48AB">
        <w:rPr>
          <w:rFonts w:ascii="Arial" w:eastAsia="Yu Mincho" w:hAnsi="Arial" w:cs="Arial"/>
          <w:i/>
          <w:lang w:eastAsia="ja-JP"/>
        </w:rPr>
        <w:t xml:space="preserve">epf1 and epf2 </w:t>
      </w:r>
      <w:r w:rsidRPr="003A48AB">
        <w:rPr>
          <w:rFonts w:ascii="Arial" w:eastAsia="Yu Mincho" w:hAnsi="Arial" w:cs="Arial"/>
          <w:lang w:eastAsia="ja-JP"/>
        </w:rPr>
        <w:t xml:space="preserve">with </w:t>
      </w:r>
      <w:r w:rsidR="00FA2FE3">
        <w:rPr>
          <w:rFonts w:ascii="Arial" w:eastAsia="Yu Mincho" w:hAnsi="Arial" w:cs="Arial"/>
          <w:lang w:eastAsia="ja-JP"/>
        </w:rPr>
        <w:tab/>
        <w:t>124</w:t>
      </w:r>
    </w:p>
    <w:p w14:paraId="2E07F272" w14:textId="77777777" w:rsidR="003A48AB" w:rsidRPr="003A48AB" w:rsidRDefault="009F0A54" w:rsidP="0066139F">
      <w:pPr>
        <w:tabs>
          <w:tab w:val="left" w:pos="993"/>
        </w:tabs>
        <w:spacing w:after="100" w:afterAutospacing="1" w:line="240" w:lineRule="auto"/>
        <w:ind w:left="1440" w:right="95"/>
        <w:contextualSpacing/>
        <w:rPr>
          <w:rFonts w:ascii="Arial" w:eastAsia="Times New Roman" w:hAnsi="Arial" w:cs="Arial"/>
          <w:b/>
          <w:color w:val="000000"/>
          <w:lang w:eastAsia="ja-JP"/>
        </w:rPr>
      </w:pPr>
      <w:r>
        <w:rPr>
          <w:rFonts w:ascii="Arial" w:eastAsia="Yu Mincho" w:hAnsi="Arial" w:cs="Arial"/>
          <w:i/>
          <w:lang w:eastAsia="ja-JP"/>
        </w:rPr>
        <w:t>PpEPF1</w:t>
      </w:r>
    </w:p>
    <w:p w14:paraId="01ECC627" w14:textId="4D933D23" w:rsidR="00B37648" w:rsidRPr="00B37648" w:rsidRDefault="003A48AB" w:rsidP="009F0A54">
      <w:pPr>
        <w:numPr>
          <w:ilvl w:val="2"/>
          <w:numId w:val="24"/>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 xml:space="preserve">The highly conserved </w:t>
      </w:r>
      <w:r w:rsidRPr="003A48AB">
        <w:rPr>
          <w:rFonts w:ascii="Arial" w:eastAsia="Yu Mincho" w:hAnsi="Arial" w:cs="Arial"/>
          <w:i/>
          <w:lang w:eastAsia="ja-JP"/>
        </w:rPr>
        <w:t>PpEPF1</w:t>
      </w:r>
      <w:r w:rsidRPr="003A48AB">
        <w:rPr>
          <w:rFonts w:ascii="Arial" w:eastAsia="Yu Mincho" w:hAnsi="Arial" w:cs="Arial"/>
          <w:lang w:eastAsia="ja-JP"/>
        </w:rPr>
        <w:t xml:space="preserve"> functions during </w:t>
      </w:r>
      <w:r w:rsidR="00FA2FE3">
        <w:rPr>
          <w:rFonts w:ascii="Arial" w:eastAsia="Yu Mincho" w:hAnsi="Arial" w:cs="Arial"/>
          <w:lang w:eastAsia="ja-JP"/>
        </w:rPr>
        <w:tab/>
      </w:r>
      <w:r w:rsidR="00FA2FE3">
        <w:rPr>
          <w:rFonts w:ascii="Arial" w:eastAsia="Yu Mincho" w:hAnsi="Arial" w:cs="Arial"/>
          <w:lang w:eastAsia="ja-JP"/>
        </w:rPr>
        <w:tab/>
        <w:t>126</w:t>
      </w:r>
    </w:p>
    <w:p w14:paraId="737A6543" w14:textId="77777777" w:rsidR="00B37648" w:rsidRDefault="003A48AB" w:rsidP="00B37648">
      <w:pPr>
        <w:tabs>
          <w:tab w:val="left" w:pos="993"/>
        </w:tabs>
        <w:spacing w:after="100" w:afterAutospacing="1" w:line="240" w:lineRule="auto"/>
        <w:ind w:left="1440" w:right="95"/>
        <w:contextualSpacing/>
        <w:rPr>
          <w:rFonts w:ascii="Arial" w:eastAsia="Yu Mincho" w:hAnsi="Arial" w:cs="Arial"/>
          <w:lang w:eastAsia="ja-JP"/>
        </w:rPr>
      </w:pPr>
      <w:r w:rsidRPr="003A48AB">
        <w:rPr>
          <w:rFonts w:ascii="Arial" w:eastAsia="Yu Mincho" w:hAnsi="Arial" w:cs="Arial"/>
          <w:i/>
          <w:lang w:eastAsia="ja-JP"/>
        </w:rPr>
        <w:t>P. patens</w:t>
      </w:r>
      <w:r w:rsidR="009F0A54">
        <w:rPr>
          <w:rFonts w:ascii="Arial" w:eastAsia="Yu Mincho" w:hAnsi="Arial" w:cs="Arial"/>
          <w:lang w:eastAsia="ja-JP"/>
        </w:rPr>
        <w:t xml:space="preserve"> </w:t>
      </w:r>
      <w:r w:rsidRPr="003A48AB">
        <w:rPr>
          <w:rFonts w:ascii="Arial" w:eastAsia="Yu Mincho" w:hAnsi="Arial" w:cs="Arial"/>
          <w:lang w:eastAsia="ja-JP"/>
        </w:rPr>
        <w:t xml:space="preserve">sporophyte development to negatively regulate </w:t>
      </w:r>
    </w:p>
    <w:p w14:paraId="398BA3CB" w14:textId="77777777" w:rsidR="003A48AB" w:rsidRPr="003A48AB" w:rsidRDefault="00B37648" w:rsidP="00B37648">
      <w:pPr>
        <w:tabs>
          <w:tab w:val="left" w:pos="993"/>
        </w:tabs>
        <w:spacing w:after="100" w:afterAutospacing="1" w:line="240" w:lineRule="auto"/>
        <w:ind w:left="1440" w:right="95"/>
        <w:contextualSpacing/>
        <w:rPr>
          <w:rFonts w:ascii="Arial" w:eastAsia="Times New Roman" w:hAnsi="Arial" w:cs="Arial"/>
          <w:b/>
          <w:color w:val="000000"/>
          <w:lang w:eastAsia="ja-JP"/>
        </w:rPr>
      </w:pPr>
      <w:r>
        <w:rPr>
          <w:rFonts w:ascii="Arial" w:eastAsia="Yu Mincho" w:hAnsi="Arial" w:cs="Arial"/>
          <w:lang w:eastAsia="ja-JP"/>
        </w:rPr>
        <w:t xml:space="preserve">Stomatal </w:t>
      </w:r>
      <w:r w:rsidR="003A48AB" w:rsidRPr="003A48AB">
        <w:rPr>
          <w:rFonts w:ascii="Arial" w:eastAsia="Yu Mincho" w:hAnsi="Arial" w:cs="Arial"/>
          <w:lang w:eastAsia="ja-JP"/>
        </w:rPr>
        <w:t>development</w:t>
      </w:r>
    </w:p>
    <w:p w14:paraId="3D17753E" w14:textId="19042A43" w:rsidR="00B37648" w:rsidRDefault="003A48AB" w:rsidP="00B37648">
      <w:pPr>
        <w:numPr>
          <w:ilvl w:val="2"/>
          <w:numId w:val="24"/>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 xml:space="preserve">Overexpression of the </w:t>
      </w:r>
      <w:r w:rsidRPr="003A48AB">
        <w:rPr>
          <w:rFonts w:ascii="Arial" w:eastAsia="Yu Mincho" w:hAnsi="Arial" w:cs="Arial"/>
          <w:i/>
          <w:lang w:eastAsia="ja-JP"/>
        </w:rPr>
        <w:t>PpEPF1</w:t>
      </w:r>
      <w:r w:rsidR="009F0A54">
        <w:rPr>
          <w:rFonts w:ascii="Arial" w:eastAsia="Yu Mincho" w:hAnsi="Arial" w:cs="Arial"/>
          <w:lang w:eastAsia="ja-JP"/>
        </w:rPr>
        <w:t xml:space="preserve"> coding sequence </w:t>
      </w:r>
      <w:r w:rsidR="00FA2FE3">
        <w:rPr>
          <w:rFonts w:ascii="Arial" w:eastAsia="Yu Mincho" w:hAnsi="Arial" w:cs="Arial"/>
          <w:lang w:eastAsia="ja-JP"/>
        </w:rPr>
        <w:tab/>
      </w:r>
      <w:r w:rsidR="00FA2FE3">
        <w:rPr>
          <w:rFonts w:ascii="Arial" w:eastAsia="Yu Mincho" w:hAnsi="Arial" w:cs="Arial"/>
          <w:lang w:eastAsia="ja-JP"/>
        </w:rPr>
        <w:tab/>
        <w:t>129</w:t>
      </w:r>
    </w:p>
    <w:p w14:paraId="47F9A4D6" w14:textId="77777777" w:rsidR="003A48AB" w:rsidRPr="00B37648" w:rsidRDefault="009F0A54" w:rsidP="00B37648">
      <w:pPr>
        <w:tabs>
          <w:tab w:val="left" w:pos="993"/>
        </w:tabs>
        <w:spacing w:after="100" w:afterAutospacing="1" w:line="240" w:lineRule="auto"/>
        <w:ind w:left="1440" w:right="95"/>
        <w:contextualSpacing/>
        <w:rPr>
          <w:rFonts w:ascii="Arial" w:eastAsia="Times New Roman" w:hAnsi="Arial" w:cs="Arial"/>
          <w:b/>
          <w:color w:val="000000"/>
          <w:lang w:eastAsia="ja-JP"/>
        </w:rPr>
      </w:pPr>
      <w:r w:rsidRPr="00B37648">
        <w:rPr>
          <w:rFonts w:ascii="Arial" w:eastAsia="Yu Mincho" w:hAnsi="Arial" w:cs="Arial"/>
          <w:lang w:eastAsia="ja-JP"/>
        </w:rPr>
        <w:t>reduces</w:t>
      </w:r>
      <w:r w:rsidR="003A48AB" w:rsidRPr="00B37648">
        <w:rPr>
          <w:rFonts w:ascii="Arial" w:eastAsia="Yu Mincho" w:hAnsi="Arial" w:cs="Arial"/>
          <w:lang w:eastAsia="ja-JP"/>
        </w:rPr>
        <w:t xml:space="preserve"> stomatal number</w:t>
      </w:r>
    </w:p>
    <w:p w14:paraId="4F35935D" w14:textId="01869660" w:rsidR="003A48AB" w:rsidRPr="003A48AB" w:rsidRDefault="00847DDD" w:rsidP="009F0A54">
      <w:pPr>
        <w:numPr>
          <w:ilvl w:val="2"/>
          <w:numId w:val="24"/>
        </w:numPr>
        <w:tabs>
          <w:tab w:val="left" w:pos="993"/>
        </w:tabs>
        <w:spacing w:after="100" w:afterAutospacing="1" w:line="240" w:lineRule="auto"/>
        <w:ind w:right="95"/>
        <w:contextualSpacing/>
        <w:rPr>
          <w:rFonts w:ascii="Arial" w:eastAsia="Times New Roman" w:hAnsi="Arial" w:cs="Arial"/>
          <w:b/>
          <w:color w:val="000000"/>
          <w:lang w:eastAsia="ja-JP"/>
        </w:rPr>
      </w:pPr>
      <w:r>
        <w:rPr>
          <w:rFonts w:ascii="Arial" w:eastAsia="Yu Mincho" w:hAnsi="Arial" w:cs="Arial"/>
          <w:color w:val="000000"/>
          <w:lang w:val="en-US" w:eastAsia="ja-JP"/>
        </w:rPr>
        <w:t>Stomatal developmental ontogeny</w:t>
      </w:r>
      <w:r w:rsidR="003A48AB" w:rsidRPr="003A48AB">
        <w:rPr>
          <w:rFonts w:ascii="Arial" w:eastAsia="Yu Mincho" w:hAnsi="Arial" w:cs="Arial"/>
          <w:color w:val="000000"/>
          <w:lang w:val="en-US" w:eastAsia="ja-JP"/>
        </w:rPr>
        <w:t xml:space="preserve"> in mutant </w:t>
      </w:r>
      <w:r w:rsidR="003A48AB" w:rsidRPr="003A48AB">
        <w:rPr>
          <w:rFonts w:ascii="Arial" w:eastAsia="Yu Mincho" w:hAnsi="Arial" w:cs="Arial"/>
          <w:i/>
          <w:color w:val="000000"/>
          <w:lang w:val="en-US" w:eastAsia="ja-JP"/>
        </w:rPr>
        <w:t xml:space="preserve">ppepf1 </w:t>
      </w:r>
      <w:r w:rsidR="003A48AB" w:rsidRPr="003A48AB">
        <w:rPr>
          <w:rFonts w:ascii="Arial" w:eastAsia="Yu Mincho" w:hAnsi="Arial" w:cs="Arial"/>
          <w:color w:val="000000"/>
          <w:lang w:val="en-US" w:eastAsia="ja-JP"/>
        </w:rPr>
        <w:t xml:space="preserve">and  </w:t>
      </w:r>
      <w:r w:rsidR="00FA2FE3">
        <w:rPr>
          <w:rFonts w:ascii="Arial" w:eastAsia="Yu Mincho" w:hAnsi="Arial" w:cs="Arial"/>
          <w:color w:val="000000"/>
          <w:lang w:val="en-US" w:eastAsia="ja-JP"/>
        </w:rPr>
        <w:tab/>
        <w:t>131</w:t>
      </w:r>
      <w:r w:rsidR="003A48AB" w:rsidRPr="003A48AB">
        <w:rPr>
          <w:rFonts w:ascii="Arial" w:eastAsia="Yu Mincho" w:hAnsi="Arial" w:cs="Arial"/>
          <w:color w:val="000000"/>
          <w:lang w:val="en-US" w:eastAsia="ja-JP"/>
        </w:rPr>
        <w:t xml:space="preserve">  </w:t>
      </w:r>
      <w:r w:rsidR="003A48AB" w:rsidRPr="003A48AB">
        <w:rPr>
          <w:rFonts w:ascii="Arial" w:eastAsia="Yu Mincho" w:hAnsi="Arial" w:cs="Arial"/>
          <w:i/>
          <w:color w:val="000000"/>
          <w:lang w:val="en-US" w:eastAsia="ja-JP"/>
        </w:rPr>
        <w:t xml:space="preserve">PpEPF1OE </w:t>
      </w:r>
      <w:r w:rsidR="003A48AB" w:rsidRPr="003A48AB">
        <w:rPr>
          <w:rFonts w:ascii="Arial" w:eastAsia="Yu Mincho" w:hAnsi="Arial" w:cs="Arial"/>
          <w:color w:val="000000"/>
          <w:lang w:val="en-US" w:eastAsia="ja-JP"/>
        </w:rPr>
        <w:t>plants</w:t>
      </w:r>
    </w:p>
    <w:p w14:paraId="556326A8" w14:textId="45E3B2AF" w:rsidR="0066139F" w:rsidRPr="0066139F" w:rsidRDefault="003A48AB" w:rsidP="009F0A54">
      <w:pPr>
        <w:numPr>
          <w:ilvl w:val="2"/>
          <w:numId w:val="24"/>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 xml:space="preserve">TOO MANY MOUTHS functions during </w:t>
      </w:r>
      <w:r w:rsidRPr="003A48AB">
        <w:rPr>
          <w:rFonts w:ascii="Arial" w:eastAsia="Yu Mincho" w:hAnsi="Arial" w:cs="Arial"/>
          <w:i/>
          <w:lang w:eastAsia="ja-JP"/>
        </w:rPr>
        <w:t xml:space="preserve">P. patens </w:t>
      </w:r>
      <w:r w:rsidR="00B37648">
        <w:rPr>
          <w:rFonts w:ascii="Arial" w:eastAsia="Yu Mincho" w:hAnsi="Arial" w:cs="Arial"/>
          <w:i/>
          <w:lang w:eastAsia="ja-JP"/>
        </w:rPr>
        <w:tab/>
      </w:r>
      <w:r w:rsidR="00FA2FE3">
        <w:rPr>
          <w:rFonts w:ascii="Arial" w:eastAsia="Yu Mincho" w:hAnsi="Arial" w:cs="Arial"/>
          <w:lang w:eastAsia="ja-JP"/>
        </w:rPr>
        <w:tab/>
        <w:t>133</w:t>
      </w:r>
      <w:r w:rsidR="00B37648">
        <w:rPr>
          <w:rFonts w:ascii="Arial" w:eastAsia="Yu Mincho" w:hAnsi="Arial" w:cs="Arial"/>
          <w:i/>
          <w:lang w:eastAsia="ja-JP"/>
        </w:rPr>
        <w:tab/>
      </w:r>
    </w:p>
    <w:p w14:paraId="57CEECFF" w14:textId="77777777" w:rsidR="003A48AB" w:rsidRPr="003A48AB" w:rsidRDefault="009F0A54" w:rsidP="0066139F">
      <w:pPr>
        <w:tabs>
          <w:tab w:val="left" w:pos="993"/>
        </w:tabs>
        <w:spacing w:after="100" w:afterAutospacing="1" w:line="240" w:lineRule="auto"/>
        <w:ind w:left="1440" w:right="95"/>
        <w:contextualSpacing/>
        <w:rPr>
          <w:rFonts w:ascii="Arial" w:eastAsia="Times New Roman" w:hAnsi="Arial" w:cs="Arial"/>
          <w:b/>
          <w:color w:val="000000"/>
          <w:lang w:eastAsia="ja-JP"/>
        </w:rPr>
      </w:pPr>
      <w:r>
        <w:rPr>
          <w:rFonts w:ascii="Arial" w:eastAsia="Yu Mincho" w:hAnsi="Arial" w:cs="Arial"/>
          <w:lang w:eastAsia="ja-JP"/>
        </w:rPr>
        <w:t xml:space="preserve">stomatal </w:t>
      </w:r>
      <w:r w:rsidR="003A48AB" w:rsidRPr="003A48AB">
        <w:rPr>
          <w:rFonts w:ascii="Arial" w:eastAsia="Yu Mincho" w:hAnsi="Arial" w:cs="Arial"/>
          <w:lang w:eastAsia="ja-JP"/>
        </w:rPr>
        <w:t>development to intricately pattern stomata</w:t>
      </w:r>
    </w:p>
    <w:p w14:paraId="3866D70B" w14:textId="28E2AF16" w:rsidR="00B37648" w:rsidRPr="00B37648" w:rsidRDefault="003A48AB" w:rsidP="009F0A54">
      <w:pPr>
        <w:numPr>
          <w:ilvl w:val="2"/>
          <w:numId w:val="24"/>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color w:val="000000"/>
          <w:lang w:val="en-US" w:eastAsia="ja-JP"/>
        </w:rPr>
        <w:t>Stomatal developmental ont</w:t>
      </w:r>
      <w:r w:rsidR="00847DDD">
        <w:rPr>
          <w:rFonts w:ascii="Arial" w:eastAsia="Yu Mincho" w:hAnsi="Arial" w:cs="Arial"/>
          <w:color w:val="000000"/>
          <w:lang w:val="en-US" w:eastAsia="ja-JP"/>
        </w:rPr>
        <w:t>ogeny</w:t>
      </w:r>
      <w:r w:rsidRPr="003A48AB">
        <w:rPr>
          <w:rFonts w:ascii="Arial" w:eastAsia="Yu Mincho" w:hAnsi="Arial" w:cs="Arial"/>
          <w:color w:val="000000"/>
          <w:lang w:val="en-US" w:eastAsia="ja-JP"/>
        </w:rPr>
        <w:t xml:space="preserve"> in </w:t>
      </w:r>
      <w:r w:rsidRPr="003A48AB">
        <w:rPr>
          <w:rFonts w:ascii="Arial" w:eastAsia="Yu Mincho" w:hAnsi="Arial" w:cs="Arial"/>
          <w:i/>
          <w:color w:val="000000"/>
          <w:lang w:val="en-US" w:eastAsia="ja-JP"/>
        </w:rPr>
        <w:t xml:space="preserve">pptmm </w:t>
      </w:r>
      <w:r w:rsidRPr="003A48AB">
        <w:rPr>
          <w:rFonts w:ascii="Arial" w:eastAsia="Yu Mincho" w:hAnsi="Arial" w:cs="Arial"/>
          <w:color w:val="000000"/>
          <w:lang w:val="en-US" w:eastAsia="ja-JP"/>
        </w:rPr>
        <w:t xml:space="preserve">and </w:t>
      </w:r>
      <w:r w:rsidR="00FA2FE3">
        <w:rPr>
          <w:rFonts w:ascii="Arial" w:eastAsia="Yu Mincho" w:hAnsi="Arial" w:cs="Arial"/>
          <w:color w:val="000000"/>
          <w:lang w:val="en-US" w:eastAsia="ja-JP"/>
        </w:rPr>
        <w:tab/>
      </w:r>
      <w:r w:rsidR="00FA2FE3">
        <w:rPr>
          <w:rFonts w:ascii="Arial" w:eastAsia="Yu Mincho" w:hAnsi="Arial" w:cs="Arial"/>
          <w:color w:val="000000"/>
          <w:lang w:val="en-US" w:eastAsia="ja-JP"/>
        </w:rPr>
        <w:tab/>
        <w:t>140</w:t>
      </w:r>
    </w:p>
    <w:p w14:paraId="5C5483C1" w14:textId="77777777" w:rsidR="003A48AB" w:rsidRPr="003A48AB" w:rsidRDefault="009F0A54" w:rsidP="00B37648">
      <w:pPr>
        <w:tabs>
          <w:tab w:val="left" w:pos="993"/>
        </w:tabs>
        <w:spacing w:after="100" w:afterAutospacing="1" w:line="240" w:lineRule="auto"/>
        <w:ind w:left="1440" w:right="95"/>
        <w:contextualSpacing/>
        <w:rPr>
          <w:rFonts w:ascii="Arial" w:eastAsia="Times New Roman" w:hAnsi="Arial" w:cs="Arial"/>
          <w:b/>
          <w:color w:val="000000"/>
          <w:lang w:eastAsia="ja-JP"/>
        </w:rPr>
      </w:pPr>
      <w:r>
        <w:rPr>
          <w:rFonts w:ascii="Arial" w:eastAsia="Yu Mincho" w:hAnsi="Arial" w:cs="Arial"/>
          <w:i/>
          <w:color w:val="000000"/>
          <w:lang w:val="en-US" w:eastAsia="ja-JP"/>
        </w:rPr>
        <w:t>PpTMMOE</w:t>
      </w:r>
    </w:p>
    <w:p w14:paraId="314F7D3F" w14:textId="48768E92" w:rsidR="0066139F" w:rsidRPr="0066139F" w:rsidRDefault="003A48AB" w:rsidP="009F0A54">
      <w:pPr>
        <w:numPr>
          <w:ilvl w:val="2"/>
          <w:numId w:val="24"/>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i/>
          <w:lang w:eastAsia="ja-JP"/>
        </w:rPr>
        <w:t xml:space="preserve">PpTMM </w:t>
      </w:r>
      <w:r w:rsidRPr="003A48AB">
        <w:rPr>
          <w:rFonts w:ascii="Arial" w:eastAsia="Yu Mincho" w:hAnsi="Arial" w:cs="Arial"/>
          <w:lang w:eastAsia="ja-JP"/>
        </w:rPr>
        <w:t>is epistatic to</w:t>
      </w:r>
      <w:r w:rsidRPr="003A48AB">
        <w:rPr>
          <w:rFonts w:ascii="Arial" w:eastAsia="Yu Mincho" w:hAnsi="Arial" w:cs="Arial"/>
          <w:i/>
          <w:lang w:eastAsia="ja-JP"/>
        </w:rPr>
        <w:t xml:space="preserve"> PpEPF1 </w:t>
      </w:r>
      <w:r w:rsidR="009F0A54">
        <w:rPr>
          <w:rFonts w:ascii="Arial" w:eastAsia="Yu Mincho" w:hAnsi="Arial" w:cs="Arial"/>
          <w:lang w:eastAsia="ja-JP"/>
        </w:rPr>
        <w:t xml:space="preserve">during stomatal </w:t>
      </w:r>
      <w:r w:rsidR="00FA2FE3">
        <w:rPr>
          <w:rFonts w:ascii="Arial" w:eastAsia="Yu Mincho" w:hAnsi="Arial" w:cs="Arial"/>
          <w:lang w:eastAsia="ja-JP"/>
        </w:rPr>
        <w:tab/>
      </w:r>
      <w:r w:rsidR="00FA2FE3">
        <w:rPr>
          <w:rFonts w:ascii="Arial" w:eastAsia="Yu Mincho" w:hAnsi="Arial" w:cs="Arial"/>
          <w:lang w:eastAsia="ja-JP"/>
        </w:rPr>
        <w:tab/>
        <w:t>142</w:t>
      </w:r>
    </w:p>
    <w:p w14:paraId="5184B693" w14:textId="77777777" w:rsidR="003A48AB" w:rsidRPr="003A48AB" w:rsidRDefault="009F0A54" w:rsidP="0066139F">
      <w:pPr>
        <w:tabs>
          <w:tab w:val="left" w:pos="993"/>
        </w:tabs>
        <w:spacing w:after="100" w:afterAutospacing="1" w:line="240" w:lineRule="auto"/>
        <w:ind w:left="1440" w:right="95"/>
        <w:contextualSpacing/>
        <w:rPr>
          <w:rFonts w:ascii="Arial" w:eastAsia="Times New Roman" w:hAnsi="Arial" w:cs="Arial"/>
          <w:b/>
          <w:color w:val="000000"/>
          <w:lang w:eastAsia="ja-JP"/>
        </w:rPr>
      </w:pPr>
      <w:r>
        <w:rPr>
          <w:rFonts w:ascii="Arial" w:eastAsia="Yu Mincho" w:hAnsi="Arial" w:cs="Arial"/>
          <w:lang w:eastAsia="ja-JP"/>
        </w:rPr>
        <w:t xml:space="preserve">development </w:t>
      </w:r>
      <w:r w:rsidR="003A48AB" w:rsidRPr="003A48AB">
        <w:rPr>
          <w:rFonts w:ascii="Arial" w:eastAsia="Yu Mincho" w:hAnsi="Arial" w:cs="Arial"/>
          <w:lang w:eastAsia="ja-JP"/>
        </w:rPr>
        <w:t xml:space="preserve">in </w:t>
      </w:r>
      <w:r w:rsidR="003A48AB" w:rsidRPr="003A48AB">
        <w:rPr>
          <w:rFonts w:ascii="Arial" w:eastAsia="Yu Mincho" w:hAnsi="Arial" w:cs="Arial"/>
          <w:i/>
          <w:lang w:eastAsia="ja-JP"/>
        </w:rPr>
        <w:t>P. patens</w:t>
      </w:r>
    </w:p>
    <w:p w14:paraId="6B5CF353" w14:textId="7A5BC210" w:rsidR="00B37648" w:rsidRPr="00B37648" w:rsidRDefault="003A48AB" w:rsidP="009F0A54">
      <w:pPr>
        <w:numPr>
          <w:ilvl w:val="2"/>
          <w:numId w:val="24"/>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Yu Mincho" w:hAnsi="Arial" w:cs="Arial"/>
          <w:lang w:eastAsia="ja-JP"/>
        </w:rPr>
        <w:t xml:space="preserve">At least one member of the </w:t>
      </w:r>
      <w:r w:rsidRPr="003A48AB">
        <w:rPr>
          <w:rFonts w:ascii="Arial" w:eastAsia="Yu Mincho" w:hAnsi="Arial" w:cs="Arial"/>
          <w:i/>
          <w:lang w:eastAsia="ja-JP"/>
        </w:rPr>
        <w:t xml:space="preserve">P. patens </w:t>
      </w:r>
      <w:r w:rsidR="009F0A54">
        <w:rPr>
          <w:rFonts w:ascii="Arial" w:eastAsia="Yu Mincho" w:hAnsi="Arial" w:cs="Arial"/>
          <w:lang w:eastAsia="ja-JP"/>
        </w:rPr>
        <w:t xml:space="preserve">ERECTA </w:t>
      </w:r>
      <w:r w:rsidR="00FA2FE3">
        <w:rPr>
          <w:rFonts w:ascii="Arial" w:eastAsia="Yu Mincho" w:hAnsi="Arial" w:cs="Arial"/>
          <w:lang w:eastAsia="ja-JP"/>
        </w:rPr>
        <w:tab/>
      </w:r>
      <w:r w:rsidR="00FA2FE3">
        <w:rPr>
          <w:rFonts w:ascii="Arial" w:eastAsia="Yu Mincho" w:hAnsi="Arial" w:cs="Arial"/>
          <w:lang w:eastAsia="ja-JP"/>
        </w:rPr>
        <w:tab/>
        <w:t>145</w:t>
      </w:r>
    </w:p>
    <w:p w14:paraId="67EFB3C2" w14:textId="77777777" w:rsidR="00B37648" w:rsidRDefault="009F0A54" w:rsidP="00B37648">
      <w:pPr>
        <w:tabs>
          <w:tab w:val="left" w:pos="993"/>
        </w:tabs>
        <w:spacing w:after="100" w:afterAutospacing="1" w:line="240" w:lineRule="auto"/>
        <w:ind w:left="1440" w:right="95"/>
        <w:contextualSpacing/>
        <w:rPr>
          <w:rFonts w:ascii="Arial" w:eastAsia="Yu Mincho" w:hAnsi="Arial" w:cs="Arial"/>
          <w:lang w:eastAsia="ja-JP"/>
        </w:rPr>
      </w:pPr>
      <w:r>
        <w:rPr>
          <w:rFonts w:ascii="Arial" w:eastAsia="Yu Mincho" w:hAnsi="Arial" w:cs="Arial"/>
          <w:lang w:eastAsia="ja-JP"/>
        </w:rPr>
        <w:t xml:space="preserve">family, </w:t>
      </w:r>
      <w:r w:rsidR="003A48AB" w:rsidRPr="003A48AB">
        <w:rPr>
          <w:rFonts w:ascii="Arial" w:eastAsia="Yu Mincho" w:hAnsi="Arial" w:cs="Arial"/>
          <w:lang w:eastAsia="ja-JP"/>
        </w:rPr>
        <w:t>PpERECTA1</w:t>
      </w:r>
      <w:r w:rsidR="003A48AB" w:rsidRPr="003A48AB">
        <w:rPr>
          <w:rFonts w:ascii="Arial" w:eastAsia="Yu Mincho" w:hAnsi="Arial" w:cs="Arial"/>
          <w:i/>
          <w:lang w:eastAsia="ja-JP"/>
        </w:rPr>
        <w:t xml:space="preserve">, </w:t>
      </w:r>
      <w:r w:rsidR="003A48AB" w:rsidRPr="003A48AB">
        <w:rPr>
          <w:rFonts w:ascii="Arial" w:eastAsia="Yu Mincho" w:hAnsi="Arial" w:cs="Arial"/>
          <w:lang w:eastAsia="ja-JP"/>
        </w:rPr>
        <w:t xml:space="preserve">functions during stomatal </w:t>
      </w:r>
    </w:p>
    <w:p w14:paraId="71CFF603" w14:textId="77777777" w:rsidR="00B37648" w:rsidRDefault="00B37648" w:rsidP="00B37648">
      <w:pPr>
        <w:tabs>
          <w:tab w:val="left" w:pos="993"/>
        </w:tabs>
        <w:spacing w:after="100" w:afterAutospacing="1" w:line="240" w:lineRule="auto"/>
        <w:ind w:left="1440" w:right="95"/>
        <w:contextualSpacing/>
        <w:rPr>
          <w:rFonts w:ascii="Arial" w:eastAsia="Yu Mincho" w:hAnsi="Arial" w:cs="Arial"/>
          <w:lang w:eastAsia="ja-JP"/>
        </w:rPr>
      </w:pPr>
      <w:r>
        <w:rPr>
          <w:rFonts w:ascii="Arial" w:eastAsia="Yu Mincho" w:hAnsi="Arial" w:cs="Arial"/>
          <w:lang w:eastAsia="ja-JP"/>
        </w:rPr>
        <w:t xml:space="preserve">development to </w:t>
      </w:r>
      <w:r w:rsidR="003A48AB" w:rsidRPr="003A48AB">
        <w:rPr>
          <w:rFonts w:ascii="Arial" w:eastAsia="Yu Mincho" w:hAnsi="Arial" w:cs="Arial"/>
          <w:lang w:eastAsia="ja-JP"/>
        </w:rPr>
        <w:t xml:space="preserve">encourage stomatal formation and </w:t>
      </w:r>
    </w:p>
    <w:p w14:paraId="521DB771" w14:textId="77777777" w:rsidR="003A48AB" w:rsidRPr="003A48AB" w:rsidRDefault="003A48AB" w:rsidP="00B37648">
      <w:pPr>
        <w:tabs>
          <w:tab w:val="left" w:pos="993"/>
        </w:tabs>
        <w:spacing w:after="100" w:afterAutospacing="1" w:line="240" w:lineRule="auto"/>
        <w:ind w:left="1440" w:right="95"/>
        <w:contextualSpacing/>
        <w:rPr>
          <w:rFonts w:ascii="Arial" w:eastAsia="Times New Roman" w:hAnsi="Arial" w:cs="Arial"/>
          <w:b/>
          <w:color w:val="000000"/>
          <w:lang w:eastAsia="ja-JP"/>
        </w:rPr>
      </w:pPr>
      <w:r w:rsidRPr="003A48AB">
        <w:rPr>
          <w:rFonts w:ascii="Arial" w:eastAsia="Yu Mincho" w:hAnsi="Arial" w:cs="Arial"/>
          <w:lang w:eastAsia="ja-JP"/>
        </w:rPr>
        <w:t>regulate positioning</w:t>
      </w:r>
    </w:p>
    <w:p w14:paraId="591348AF" w14:textId="4217152C" w:rsidR="0066139F" w:rsidRPr="0066139F" w:rsidRDefault="003A48AB" w:rsidP="009F0A54">
      <w:pPr>
        <w:numPr>
          <w:ilvl w:val="2"/>
          <w:numId w:val="24"/>
        </w:numPr>
        <w:tabs>
          <w:tab w:val="left" w:pos="993"/>
        </w:tabs>
        <w:spacing w:after="100" w:afterAutospacing="1" w:line="240" w:lineRule="auto"/>
        <w:ind w:right="95"/>
        <w:contextualSpacing/>
        <w:rPr>
          <w:rFonts w:ascii="Arial" w:eastAsia="Times New Roman" w:hAnsi="Arial" w:cs="Arial"/>
          <w:b/>
          <w:color w:val="000000"/>
          <w:lang w:eastAsia="ja-JP"/>
        </w:rPr>
      </w:pPr>
      <w:r w:rsidRPr="003A48AB">
        <w:rPr>
          <w:rFonts w:ascii="Arial" w:eastAsia="Times New Roman" w:hAnsi="Arial" w:cs="Arial"/>
          <w:color w:val="000000"/>
          <w:lang w:eastAsia="ja-JP"/>
        </w:rPr>
        <w:t xml:space="preserve">The function of </w:t>
      </w:r>
      <w:r w:rsidRPr="003A48AB">
        <w:rPr>
          <w:rFonts w:ascii="Arial" w:eastAsia="Times New Roman" w:hAnsi="Arial" w:cs="Arial"/>
          <w:i/>
          <w:color w:val="000000"/>
          <w:lang w:eastAsia="ja-JP"/>
        </w:rPr>
        <w:t xml:space="preserve">PpERECTA1 </w:t>
      </w:r>
      <w:r w:rsidRPr="003A48AB">
        <w:rPr>
          <w:rFonts w:ascii="Arial" w:eastAsia="Times New Roman" w:hAnsi="Arial" w:cs="Arial"/>
          <w:color w:val="000000"/>
          <w:lang w:eastAsia="ja-JP"/>
        </w:rPr>
        <w:t>is discret</w:t>
      </w:r>
      <w:r w:rsidR="009F0A54">
        <w:rPr>
          <w:rFonts w:ascii="Arial" w:eastAsia="Times New Roman" w:hAnsi="Arial" w:cs="Arial"/>
          <w:color w:val="000000"/>
          <w:lang w:eastAsia="ja-JP"/>
        </w:rPr>
        <w:t xml:space="preserve">e and is linked to </w:t>
      </w:r>
      <w:r w:rsidR="00FA2FE3">
        <w:rPr>
          <w:rFonts w:ascii="Arial" w:eastAsia="Times New Roman" w:hAnsi="Arial" w:cs="Arial"/>
          <w:color w:val="000000"/>
          <w:lang w:eastAsia="ja-JP"/>
        </w:rPr>
        <w:tab/>
        <w:t>147</w:t>
      </w:r>
    </w:p>
    <w:p w14:paraId="53D84B39" w14:textId="77777777" w:rsidR="003A48AB" w:rsidRPr="003A48AB" w:rsidRDefault="009F0A54" w:rsidP="0066139F">
      <w:pPr>
        <w:tabs>
          <w:tab w:val="left" w:pos="993"/>
        </w:tabs>
        <w:spacing w:after="100" w:afterAutospacing="1" w:line="240" w:lineRule="auto"/>
        <w:ind w:left="1440" w:right="95"/>
        <w:contextualSpacing/>
        <w:rPr>
          <w:rFonts w:ascii="Arial" w:eastAsia="Times New Roman" w:hAnsi="Arial" w:cs="Arial"/>
          <w:b/>
          <w:color w:val="000000"/>
          <w:lang w:eastAsia="ja-JP"/>
        </w:rPr>
      </w:pPr>
      <w:r>
        <w:rPr>
          <w:rFonts w:ascii="Arial" w:eastAsia="Times New Roman" w:hAnsi="Arial" w:cs="Arial"/>
          <w:color w:val="000000"/>
          <w:lang w:eastAsia="ja-JP"/>
        </w:rPr>
        <w:t xml:space="preserve">that of </w:t>
      </w:r>
      <w:r w:rsidR="003A48AB" w:rsidRPr="003A48AB">
        <w:rPr>
          <w:rFonts w:ascii="Arial" w:eastAsia="Times New Roman" w:hAnsi="Arial" w:cs="Arial"/>
          <w:i/>
          <w:color w:val="000000"/>
          <w:lang w:eastAsia="ja-JP"/>
        </w:rPr>
        <w:t>PpEPF1</w:t>
      </w:r>
      <w:r w:rsidR="003A48AB" w:rsidRPr="003A48AB">
        <w:rPr>
          <w:rFonts w:ascii="Arial" w:eastAsia="Times New Roman" w:hAnsi="Arial" w:cs="Arial"/>
          <w:color w:val="000000"/>
          <w:lang w:eastAsia="ja-JP"/>
        </w:rPr>
        <w:t xml:space="preserve"> and </w:t>
      </w:r>
      <w:r w:rsidR="003A48AB" w:rsidRPr="003A48AB">
        <w:rPr>
          <w:rFonts w:ascii="Arial" w:eastAsia="Times New Roman" w:hAnsi="Arial" w:cs="Arial"/>
          <w:i/>
          <w:color w:val="000000"/>
          <w:lang w:eastAsia="ja-JP"/>
        </w:rPr>
        <w:t>PpTMM</w:t>
      </w:r>
    </w:p>
    <w:p w14:paraId="2BCAA7E5" w14:textId="77777777" w:rsidR="003A48AB" w:rsidRPr="003A48AB" w:rsidRDefault="003A48AB" w:rsidP="009F0A54">
      <w:pPr>
        <w:tabs>
          <w:tab w:val="left" w:pos="993"/>
        </w:tabs>
        <w:spacing w:after="100" w:afterAutospacing="1" w:line="240" w:lineRule="auto"/>
        <w:ind w:right="95"/>
        <w:contextualSpacing/>
        <w:rPr>
          <w:rFonts w:ascii="Arial" w:eastAsia="Times New Roman" w:hAnsi="Arial" w:cs="Arial"/>
          <w:b/>
          <w:color w:val="000000"/>
          <w:lang w:eastAsia="ja-JP"/>
        </w:rPr>
      </w:pPr>
    </w:p>
    <w:p w14:paraId="1897BC08" w14:textId="6B71397E" w:rsidR="009F0A54" w:rsidRDefault="003A48AB" w:rsidP="009F0A54">
      <w:pPr>
        <w:numPr>
          <w:ilvl w:val="1"/>
          <w:numId w:val="24"/>
        </w:numPr>
        <w:tabs>
          <w:tab w:val="left" w:pos="993"/>
        </w:tabs>
        <w:spacing w:after="100" w:afterAutospacing="1" w:line="240" w:lineRule="auto"/>
        <w:ind w:left="993" w:right="95" w:hanging="567"/>
        <w:contextualSpacing/>
        <w:rPr>
          <w:rFonts w:ascii="Arial" w:eastAsia="Times New Roman" w:hAnsi="Arial" w:cs="Arial"/>
          <w:b/>
          <w:color w:val="000000"/>
          <w:lang w:eastAsia="ja-JP"/>
        </w:rPr>
      </w:pPr>
      <w:r w:rsidRPr="003A48AB">
        <w:rPr>
          <w:rFonts w:ascii="Arial" w:eastAsia="Times New Roman" w:hAnsi="Arial" w:cs="Arial"/>
          <w:b/>
          <w:color w:val="000000"/>
          <w:lang w:eastAsia="ja-JP"/>
        </w:rPr>
        <w:t>Discussion</w:t>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FA2FE3">
        <w:rPr>
          <w:rFonts w:ascii="Arial" w:eastAsia="Times New Roman" w:hAnsi="Arial" w:cs="Arial"/>
          <w:b/>
          <w:color w:val="000000"/>
          <w:lang w:eastAsia="ja-JP"/>
        </w:rPr>
        <w:t>152-160</w:t>
      </w:r>
    </w:p>
    <w:p w14:paraId="10154F75" w14:textId="612E263F" w:rsidR="003A48AB" w:rsidRPr="009F0A54" w:rsidRDefault="003A48AB" w:rsidP="009F0A54">
      <w:pPr>
        <w:numPr>
          <w:ilvl w:val="1"/>
          <w:numId w:val="24"/>
        </w:numPr>
        <w:tabs>
          <w:tab w:val="left" w:pos="993"/>
        </w:tabs>
        <w:spacing w:after="100" w:afterAutospacing="1" w:line="240" w:lineRule="auto"/>
        <w:ind w:left="993" w:right="95" w:hanging="567"/>
        <w:contextualSpacing/>
        <w:rPr>
          <w:rFonts w:ascii="Arial" w:eastAsia="Times New Roman" w:hAnsi="Arial" w:cs="Arial"/>
          <w:b/>
          <w:color w:val="000000"/>
          <w:lang w:eastAsia="ja-JP"/>
        </w:rPr>
      </w:pPr>
      <w:r w:rsidRPr="009F0A54">
        <w:rPr>
          <w:rFonts w:ascii="Arial" w:eastAsia="Times New Roman" w:hAnsi="Arial" w:cs="Arial"/>
          <w:b/>
          <w:color w:val="000000"/>
          <w:lang w:eastAsia="ja-JP"/>
        </w:rPr>
        <w:t>Conclusion</w:t>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FA2FE3">
        <w:rPr>
          <w:rFonts w:ascii="Arial" w:eastAsia="Times New Roman" w:hAnsi="Arial" w:cs="Arial"/>
          <w:b/>
          <w:color w:val="000000"/>
          <w:lang w:eastAsia="ja-JP"/>
        </w:rPr>
        <w:t>160-161</w:t>
      </w:r>
    </w:p>
    <w:p w14:paraId="1C95F919" w14:textId="12753F55" w:rsidR="003A48AB" w:rsidRPr="009F0A54" w:rsidRDefault="003A48AB" w:rsidP="009F0A54">
      <w:pPr>
        <w:numPr>
          <w:ilvl w:val="1"/>
          <w:numId w:val="24"/>
        </w:numPr>
        <w:tabs>
          <w:tab w:val="left" w:pos="993"/>
        </w:tabs>
        <w:spacing w:after="100" w:afterAutospacing="1" w:line="240" w:lineRule="auto"/>
        <w:ind w:left="993" w:right="95" w:hanging="567"/>
        <w:contextualSpacing/>
        <w:rPr>
          <w:rFonts w:ascii="Arial" w:eastAsia="Times New Roman" w:hAnsi="Arial" w:cs="Arial"/>
          <w:b/>
          <w:color w:val="000000"/>
          <w:lang w:eastAsia="ja-JP"/>
        </w:rPr>
      </w:pPr>
      <w:r w:rsidRPr="003A48AB">
        <w:rPr>
          <w:rFonts w:ascii="Arial" w:eastAsia="Yu Mincho" w:hAnsi="Arial" w:cs="Arial"/>
          <w:b/>
          <w:lang w:eastAsia="ja-JP"/>
        </w:rPr>
        <w:t>Future research</w:t>
      </w:r>
      <w:r w:rsidR="00B37648">
        <w:rPr>
          <w:rFonts w:ascii="Arial" w:eastAsia="Yu Mincho" w:hAnsi="Arial" w:cs="Arial"/>
          <w:b/>
          <w:lang w:eastAsia="ja-JP"/>
        </w:rPr>
        <w:tab/>
      </w:r>
      <w:r w:rsidR="00B37648">
        <w:rPr>
          <w:rFonts w:ascii="Arial" w:eastAsia="Yu Mincho" w:hAnsi="Arial" w:cs="Arial"/>
          <w:b/>
          <w:lang w:eastAsia="ja-JP"/>
        </w:rPr>
        <w:tab/>
      </w:r>
      <w:r w:rsidR="00B37648">
        <w:rPr>
          <w:rFonts w:ascii="Arial" w:eastAsia="Yu Mincho" w:hAnsi="Arial" w:cs="Arial"/>
          <w:b/>
          <w:lang w:eastAsia="ja-JP"/>
        </w:rPr>
        <w:tab/>
      </w:r>
      <w:r w:rsidR="00B37648">
        <w:rPr>
          <w:rFonts w:ascii="Arial" w:eastAsia="Yu Mincho" w:hAnsi="Arial" w:cs="Arial"/>
          <w:b/>
          <w:lang w:eastAsia="ja-JP"/>
        </w:rPr>
        <w:tab/>
      </w:r>
      <w:r w:rsidR="00B37648">
        <w:rPr>
          <w:rFonts w:ascii="Arial" w:eastAsia="Yu Mincho" w:hAnsi="Arial" w:cs="Arial"/>
          <w:b/>
          <w:lang w:eastAsia="ja-JP"/>
        </w:rPr>
        <w:tab/>
      </w:r>
      <w:r w:rsidR="00B37648">
        <w:rPr>
          <w:rFonts w:ascii="Arial" w:eastAsia="Yu Mincho" w:hAnsi="Arial" w:cs="Arial"/>
          <w:b/>
          <w:lang w:eastAsia="ja-JP"/>
        </w:rPr>
        <w:tab/>
      </w:r>
      <w:r w:rsidR="00B37648">
        <w:rPr>
          <w:rFonts w:ascii="Arial" w:eastAsia="Yu Mincho" w:hAnsi="Arial" w:cs="Arial"/>
          <w:b/>
          <w:lang w:eastAsia="ja-JP"/>
        </w:rPr>
        <w:tab/>
      </w:r>
      <w:r w:rsidR="00FA2FE3">
        <w:rPr>
          <w:rFonts w:ascii="Arial" w:eastAsia="Yu Mincho" w:hAnsi="Arial" w:cs="Arial"/>
          <w:b/>
          <w:lang w:eastAsia="ja-JP"/>
        </w:rPr>
        <w:t>161-162</w:t>
      </w:r>
    </w:p>
    <w:p w14:paraId="4081F366" w14:textId="77777777" w:rsidR="009F0A54" w:rsidRPr="003A48AB" w:rsidRDefault="009F0A54" w:rsidP="009F0A54">
      <w:pPr>
        <w:tabs>
          <w:tab w:val="left" w:pos="993"/>
        </w:tabs>
        <w:spacing w:after="100" w:afterAutospacing="1" w:line="240" w:lineRule="auto"/>
        <w:ind w:left="993" w:right="95"/>
        <w:contextualSpacing/>
        <w:rPr>
          <w:rFonts w:ascii="Arial" w:eastAsia="Times New Roman" w:hAnsi="Arial" w:cs="Arial"/>
          <w:b/>
          <w:color w:val="000000"/>
          <w:lang w:eastAsia="ja-JP"/>
        </w:rPr>
      </w:pPr>
    </w:p>
    <w:p w14:paraId="54635630" w14:textId="77777777" w:rsidR="00B37648" w:rsidRDefault="00B37648" w:rsidP="009F0A54">
      <w:pPr>
        <w:tabs>
          <w:tab w:val="left" w:pos="993"/>
        </w:tabs>
        <w:spacing w:after="100" w:afterAutospacing="1" w:line="240" w:lineRule="auto"/>
        <w:ind w:right="95"/>
        <w:rPr>
          <w:rFonts w:ascii="Arial" w:eastAsia="Times New Roman" w:hAnsi="Arial" w:cs="Arial"/>
          <w:b/>
          <w:bdr w:val="none" w:sz="0" w:space="0" w:color="auto" w:frame="1"/>
          <w:lang w:eastAsia="ja-JP"/>
        </w:rPr>
      </w:pPr>
    </w:p>
    <w:p w14:paraId="01EE49E1" w14:textId="77777777" w:rsidR="00B37648" w:rsidRDefault="00B37648" w:rsidP="00B37648">
      <w:pPr>
        <w:tabs>
          <w:tab w:val="left" w:pos="993"/>
        </w:tabs>
        <w:spacing w:after="0" w:line="240" w:lineRule="auto"/>
        <w:ind w:right="96"/>
        <w:rPr>
          <w:rFonts w:ascii="Arial" w:eastAsia="Times New Roman" w:hAnsi="Arial" w:cs="Arial"/>
          <w:b/>
          <w:bdr w:val="none" w:sz="0" w:space="0" w:color="auto" w:frame="1"/>
          <w:lang w:eastAsia="ja-JP"/>
        </w:rPr>
      </w:pPr>
    </w:p>
    <w:p w14:paraId="2D94F96F" w14:textId="22FC7177" w:rsidR="00B37648" w:rsidRDefault="003A48AB" w:rsidP="00B37648">
      <w:pPr>
        <w:tabs>
          <w:tab w:val="left" w:pos="993"/>
        </w:tabs>
        <w:spacing w:after="0" w:line="240" w:lineRule="auto"/>
        <w:ind w:right="96"/>
        <w:rPr>
          <w:rFonts w:ascii="Arial" w:eastAsia="Times New Roman" w:hAnsi="Arial" w:cs="Arial"/>
          <w:b/>
          <w:bdr w:val="none" w:sz="0" w:space="0" w:color="auto" w:frame="1"/>
          <w:lang w:eastAsia="ja-JP"/>
        </w:rPr>
      </w:pPr>
      <w:r w:rsidRPr="003A48AB">
        <w:rPr>
          <w:rFonts w:ascii="Arial" w:eastAsia="Times New Roman" w:hAnsi="Arial" w:cs="Arial"/>
          <w:b/>
          <w:bdr w:val="none" w:sz="0" w:space="0" w:color="auto" w:frame="1"/>
          <w:lang w:eastAsia="ja-JP"/>
        </w:rPr>
        <w:lastRenderedPageBreak/>
        <w:t>Chapter 5: Stomatal size and density responses to growth at</w:t>
      </w:r>
      <w:r w:rsidR="00FA2FE3">
        <w:rPr>
          <w:rFonts w:ascii="Arial" w:eastAsia="Times New Roman" w:hAnsi="Arial" w:cs="Arial"/>
          <w:b/>
          <w:bdr w:val="none" w:sz="0" w:space="0" w:color="auto" w:frame="1"/>
          <w:lang w:eastAsia="ja-JP"/>
        </w:rPr>
        <w:tab/>
      </w:r>
      <w:r w:rsidR="00FA2FE3">
        <w:rPr>
          <w:rFonts w:ascii="Arial" w:eastAsia="Times New Roman" w:hAnsi="Arial" w:cs="Arial"/>
          <w:b/>
          <w:bdr w:val="none" w:sz="0" w:space="0" w:color="auto" w:frame="1"/>
          <w:lang w:eastAsia="ja-JP"/>
        </w:rPr>
        <w:tab/>
        <w:t>171-214</w:t>
      </w:r>
    </w:p>
    <w:p w14:paraId="4731CFBF" w14:textId="77777777" w:rsidR="003A48AB" w:rsidRDefault="003A48AB" w:rsidP="00B37648">
      <w:pPr>
        <w:tabs>
          <w:tab w:val="left" w:pos="993"/>
        </w:tabs>
        <w:spacing w:after="0" w:line="240" w:lineRule="auto"/>
        <w:ind w:right="96"/>
        <w:rPr>
          <w:rFonts w:ascii="Arial" w:eastAsia="Times New Roman" w:hAnsi="Arial" w:cs="Arial"/>
          <w:b/>
          <w:bdr w:val="none" w:sz="0" w:space="0" w:color="auto" w:frame="1"/>
          <w:lang w:eastAsia="ja-JP"/>
        </w:rPr>
      </w:pPr>
      <w:r w:rsidRPr="003A48AB">
        <w:rPr>
          <w:rFonts w:ascii="Arial" w:eastAsia="Times New Roman" w:hAnsi="Arial" w:cs="Arial"/>
          <w:b/>
          <w:bdr w:val="none" w:sz="0" w:space="0" w:color="auto" w:frame="1"/>
          <w:lang w:eastAsia="ja-JP"/>
        </w:rPr>
        <w:t>different CO2 concentrations in non-vascular land plants</w:t>
      </w:r>
    </w:p>
    <w:p w14:paraId="5CFBBA9C" w14:textId="77777777" w:rsidR="00B37648" w:rsidRPr="003A48AB" w:rsidRDefault="00B37648" w:rsidP="00B37648">
      <w:pPr>
        <w:tabs>
          <w:tab w:val="left" w:pos="993"/>
        </w:tabs>
        <w:spacing w:after="0" w:line="240" w:lineRule="auto"/>
        <w:ind w:right="96"/>
        <w:rPr>
          <w:rFonts w:ascii="Arial" w:eastAsia="Times New Roman" w:hAnsi="Arial" w:cs="Arial"/>
          <w:b/>
          <w:bdr w:val="none" w:sz="0" w:space="0" w:color="auto" w:frame="1"/>
          <w:lang w:eastAsia="ja-JP"/>
        </w:rPr>
      </w:pPr>
    </w:p>
    <w:p w14:paraId="4032E5E9" w14:textId="2076502E" w:rsidR="003A48AB" w:rsidRPr="009F0A54" w:rsidRDefault="003A48AB" w:rsidP="009F0A54">
      <w:pPr>
        <w:numPr>
          <w:ilvl w:val="1"/>
          <w:numId w:val="29"/>
        </w:numPr>
        <w:tabs>
          <w:tab w:val="left" w:pos="993"/>
        </w:tabs>
        <w:spacing w:after="100" w:afterAutospacing="1" w:line="240" w:lineRule="auto"/>
        <w:ind w:right="95" w:hanging="654"/>
        <w:contextualSpacing/>
        <w:rPr>
          <w:rFonts w:ascii="Arial" w:eastAsia="Times New Roman" w:hAnsi="Arial" w:cs="Arial"/>
          <w:b/>
          <w:color w:val="000000"/>
          <w:lang w:eastAsia="ja-JP"/>
        </w:rPr>
      </w:pPr>
      <w:r w:rsidRPr="003A48AB">
        <w:rPr>
          <w:rFonts w:ascii="Arial" w:eastAsia="Times New Roman" w:hAnsi="Arial" w:cs="Arial"/>
          <w:b/>
          <w:color w:val="000000"/>
          <w:lang w:eastAsia="ja-JP"/>
        </w:rPr>
        <w:t>Introduction</w:t>
      </w:r>
      <w:r w:rsidRPr="009F0A54">
        <w:rPr>
          <w:rFonts w:ascii="Arial" w:eastAsia="Times New Roman" w:hAnsi="Arial" w:cs="Arial"/>
          <w:color w:val="000000"/>
          <w:lang w:eastAsia="ja-JP"/>
        </w:rPr>
        <w:tab/>
      </w:r>
      <w:r w:rsidRPr="009F0A54">
        <w:rPr>
          <w:rFonts w:ascii="Arial" w:eastAsia="Times New Roman" w:hAnsi="Arial" w:cs="Arial"/>
          <w:color w:val="000000"/>
          <w:lang w:eastAsia="ja-JP"/>
        </w:rPr>
        <w:tab/>
      </w:r>
      <w:r w:rsidRPr="009F0A54">
        <w:rPr>
          <w:rFonts w:ascii="Arial" w:eastAsia="Times New Roman" w:hAnsi="Arial" w:cs="Arial"/>
          <w:color w:val="000000"/>
          <w:lang w:eastAsia="ja-JP"/>
        </w:rPr>
        <w:tab/>
      </w:r>
      <w:r w:rsidRPr="009F0A54">
        <w:rPr>
          <w:rFonts w:ascii="Arial" w:eastAsia="Times New Roman" w:hAnsi="Arial" w:cs="Arial"/>
          <w:color w:val="000000"/>
          <w:lang w:eastAsia="ja-JP"/>
        </w:rPr>
        <w:tab/>
      </w:r>
      <w:r w:rsidRPr="009F0A54">
        <w:rPr>
          <w:rFonts w:ascii="Arial" w:eastAsia="Times New Roman" w:hAnsi="Arial" w:cs="Arial"/>
          <w:color w:val="000000"/>
          <w:lang w:eastAsia="ja-JP"/>
        </w:rPr>
        <w:tab/>
      </w:r>
      <w:r w:rsidRPr="009F0A54">
        <w:rPr>
          <w:rFonts w:ascii="Arial" w:eastAsia="Times New Roman" w:hAnsi="Arial" w:cs="Arial"/>
          <w:color w:val="000000"/>
          <w:lang w:eastAsia="ja-JP"/>
        </w:rPr>
        <w:tab/>
      </w:r>
      <w:r w:rsidR="00B37648">
        <w:rPr>
          <w:rFonts w:ascii="Arial" w:eastAsia="Times New Roman" w:hAnsi="Arial" w:cs="Arial"/>
          <w:color w:val="000000"/>
          <w:lang w:eastAsia="ja-JP"/>
        </w:rPr>
        <w:tab/>
      </w:r>
      <w:r w:rsidR="00FA2FE3">
        <w:rPr>
          <w:rFonts w:ascii="Arial" w:eastAsia="Times New Roman" w:hAnsi="Arial" w:cs="Arial"/>
          <w:b/>
          <w:color w:val="000000"/>
          <w:lang w:eastAsia="ja-JP"/>
        </w:rPr>
        <w:t>172-174</w:t>
      </w:r>
    </w:p>
    <w:p w14:paraId="7BAB036B" w14:textId="4A35B007" w:rsidR="003A48AB" w:rsidRPr="003A48AB" w:rsidRDefault="00B37648" w:rsidP="009F0A54">
      <w:pPr>
        <w:numPr>
          <w:ilvl w:val="1"/>
          <w:numId w:val="29"/>
        </w:numPr>
        <w:tabs>
          <w:tab w:val="left" w:pos="993"/>
        </w:tabs>
        <w:spacing w:after="100" w:afterAutospacing="1" w:line="240" w:lineRule="auto"/>
        <w:ind w:right="95" w:hanging="654"/>
        <w:contextualSpacing/>
        <w:rPr>
          <w:rFonts w:ascii="Arial" w:eastAsia="Times New Roman" w:hAnsi="Arial" w:cs="Arial"/>
          <w:b/>
          <w:color w:val="000000"/>
          <w:lang w:eastAsia="ja-JP"/>
        </w:rPr>
      </w:pPr>
      <w:r>
        <w:rPr>
          <w:rFonts w:ascii="Arial" w:eastAsia="Times New Roman" w:hAnsi="Arial" w:cs="Arial"/>
          <w:b/>
          <w:color w:val="000000"/>
          <w:lang w:eastAsia="ja-JP"/>
        </w:rPr>
        <w:t>Results</w:t>
      </w:r>
      <w:r>
        <w:rPr>
          <w:rFonts w:ascii="Arial" w:eastAsia="Times New Roman" w:hAnsi="Arial" w:cs="Arial"/>
          <w:b/>
          <w:color w:val="000000"/>
          <w:lang w:eastAsia="ja-JP"/>
        </w:rPr>
        <w:tab/>
      </w:r>
      <w:r>
        <w:rPr>
          <w:rFonts w:ascii="Arial" w:eastAsia="Times New Roman" w:hAnsi="Arial" w:cs="Arial"/>
          <w:b/>
          <w:color w:val="000000"/>
          <w:lang w:eastAsia="ja-JP"/>
        </w:rPr>
        <w:tab/>
      </w:r>
      <w:r>
        <w:rPr>
          <w:rFonts w:ascii="Arial" w:eastAsia="Times New Roman" w:hAnsi="Arial" w:cs="Arial"/>
          <w:b/>
          <w:color w:val="000000"/>
          <w:lang w:eastAsia="ja-JP"/>
        </w:rPr>
        <w:tab/>
      </w:r>
      <w:r>
        <w:rPr>
          <w:rFonts w:ascii="Arial" w:eastAsia="Times New Roman" w:hAnsi="Arial" w:cs="Arial"/>
          <w:b/>
          <w:color w:val="000000"/>
          <w:lang w:eastAsia="ja-JP"/>
        </w:rPr>
        <w:tab/>
      </w:r>
      <w:r>
        <w:rPr>
          <w:rFonts w:ascii="Arial" w:eastAsia="Times New Roman" w:hAnsi="Arial" w:cs="Arial"/>
          <w:b/>
          <w:color w:val="000000"/>
          <w:lang w:eastAsia="ja-JP"/>
        </w:rPr>
        <w:tab/>
      </w:r>
      <w:r>
        <w:rPr>
          <w:rFonts w:ascii="Arial" w:eastAsia="Times New Roman" w:hAnsi="Arial" w:cs="Arial"/>
          <w:b/>
          <w:color w:val="000000"/>
          <w:lang w:eastAsia="ja-JP"/>
        </w:rPr>
        <w:tab/>
      </w:r>
      <w:r>
        <w:rPr>
          <w:rFonts w:ascii="Arial" w:eastAsia="Times New Roman" w:hAnsi="Arial" w:cs="Arial"/>
          <w:b/>
          <w:color w:val="000000"/>
          <w:lang w:eastAsia="ja-JP"/>
        </w:rPr>
        <w:tab/>
      </w:r>
      <w:r>
        <w:rPr>
          <w:rFonts w:ascii="Arial" w:eastAsia="Times New Roman" w:hAnsi="Arial" w:cs="Arial"/>
          <w:b/>
          <w:color w:val="000000"/>
          <w:lang w:eastAsia="ja-JP"/>
        </w:rPr>
        <w:tab/>
      </w:r>
      <w:r w:rsidR="00FA2FE3">
        <w:rPr>
          <w:rFonts w:ascii="Arial" w:eastAsia="Times New Roman" w:hAnsi="Arial" w:cs="Arial"/>
          <w:b/>
          <w:color w:val="000000"/>
          <w:lang w:eastAsia="ja-JP"/>
        </w:rPr>
        <w:t>175-206</w:t>
      </w:r>
    </w:p>
    <w:p w14:paraId="6AAF0FA9" w14:textId="4480E2B7" w:rsidR="0066139F" w:rsidRPr="0066139F" w:rsidRDefault="003A48AB" w:rsidP="009F0A54">
      <w:pPr>
        <w:numPr>
          <w:ilvl w:val="2"/>
          <w:numId w:val="29"/>
        </w:numPr>
        <w:tabs>
          <w:tab w:val="left" w:pos="993"/>
        </w:tabs>
        <w:spacing w:after="100" w:afterAutospacing="1" w:line="240" w:lineRule="auto"/>
        <w:ind w:left="1418" w:right="95" w:hanging="709"/>
        <w:contextualSpacing/>
        <w:rPr>
          <w:rFonts w:ascii="Arial" w:eastAsia="Times New Roman" w:hAnsi="Arial" w:cs="Arial"/>
          <w:b/>
          <w:color w:val="000000"/>
          <w:lang w:eastAsia="ja-JP"/>
        </w:rPr>
      </w:pPr>
      <w:r w:rsidRPr="003A48AB">
        <w:rPr>
          <w:rFonts w:ascii="Arial" w:eastAsia="Times New Roman" w:hAnsi="Arial" w:cs="Arial"/>
          <w:i/>
          <w:color w:val="000000"/>
          <w:lang w:eastAsia="ja-JP"/>
        </w:rPr>
        <w:t xml:space="preserve">Funaria hygrometrica </w:t>
      </w:r>
      <w:r w:rsidRPr="003A48AB">
        <w:rPr>
          <w:rFonts w:ascii="Arial" w:eastAsia="Times New Roman" w:hAnsi="Arial" w:cs="Arial"/>
          <w:color w:val="000000"/>
          <w:lang w:eastAsia="ja-JP"/>
        </w:rPr>
        <w:t xml:space="preserve">sporophyte growth and stomatal     </w:t>
      </w:r>
      <w:r w:rsidR="00B37648">
        <w:rPr>
          <w:rFonts w:ascii="Arial" w:eastAsia="Times New Roman" w:hAnsi="Arial" w:cs="Arial"/>
          <w:color w:val="000000"/>
          <w:lang w:eastAsia="ja-JP"/>
        </w:rPr>
        <w:tab/>
      </w:r>
      <w:r w:rsidR="00FA2FE3">
        <w:rPr>
          <w:rFonts w:ascii="Arial" w:eastAsia="Times New Roman" w:hAnsi="Arial" w:cs="Arial"/>
          <w:color w:val="000000"/>
          <w:lang w:eastAsia="ja-JP"/>
        </w:rPr>
        <w:t>175</w:t>
      </w:r>
      <w:r w:rsidRPr="003A48AB">
        <w:rPr>
          <w:rFonts w:ascii="Arial" w:eastAsia="Times New Roman" w:hAnsi="Arial" w:cs="Arial"/>
          <w:color w:val="000000"/>
          <w:lang w:eastAsia="ja-JP"/>
        </w:rPr>
        <w:t xml:space="preserve">   </w:t>
      </w:r>
      <w:r w:rsidRPr="003A48AB">
        <w:rPr>
          <w:rFonts w:ascii="Arial" w:eastAsia="Times New Roman" w:hAnsi="Arial" w:cs="Arial"/>
          <w:color w:val="000000"/>
          <w:lang w:eastAsia="ja-JP"/>
        </w:rPr>
        <w:tab/>
      </w:r>
      <w:r w:rsidRPr="003A48AB">
        <w:rPr>
          <w:rFonts w:ascii="Arial" w:eastAsia="Times New Roman" w:hAnsi="Arial" w:cs="Arial"/>
          <w:color w:val="000000"/>
          <w:lang w:eastAsia="ja-JP"/>
        </w:rPr>
        <w:tab/>
        <w:t xml:space="preserve">development at sub-ambient (200ppm), ambient </w:t>
      </w:r>
    </w:p>
    <w:p w14:paraId="58F8C6E5" w14:textId="77777777" w:rsidR="003A48AB" w:rsidRPr="003A48AB" w:rsidRDefault="003A48AB" w:rsidP="0066139F">
      <w:pPr>
        <w:tabs>
          <w:tab w:val="left" w:pos="993"/>
        </w:tabs>
        <w:spacing w:after="100" w:afterAutospacing="1" w:line="240" w:lineRule="auto"/>
        <w:ind w:left="1418" w:right="95"/>
        <w:contextualSpacing/>
        <w:rPr>
          <w:rFonts w:ascii="Arial" w:eastAsia="Times New Roman" w:hAnsi="Arial" w:cs="Arial"/>
          <w:b/>
          <w:color w:val="000000"/>
          <w:lang w:eastAsia="ja-JP"/>
        </w:rPr>
      </w:pPr>
      <w:r w:rsidRPr="003A48AB">
        <w:rPr>
          <w:rFonts w:ascii="Arial" w:eastAsia="Times New Roman" w:hAnsi="Arial" w:cs="Arial"/>
          <w:color w:val="000000"/>
          <w:lang w:eastAsia="ja-JP"/>
        </w:rPr>
        <w:t>(450ppm) and elevated (1000ppm) CO</w:t>
      </w:r>
      <w:r w:rsidRPr="003A48AB">
        <w:rPr>
          <w:rFonts w:ascii="Arial" w:eastAsia="Times New Roman" w:hAnsi="Arial" w:cs="Arial"/>
          <w:color w:val="000000"/>
          <w:vertAlign w:val="subscript"/>
          <w:lang w:eastAsia="ja-JP"/>
        </w:rPr>
        <w:t>2</w:t>
      </w:r>
      <w:r w:rsidRPr="003A48AB">
        <w:rPr>
          <w:rFonts w:ascii="Arial" w:eastAsia="Times New Roman" w:hAnsi="Arial" w:cs="Arial"/>
          <w:color w:val="000000"/>
          <w:lang w:eastAsia="ja-JP"/>
        </w:rPr>
        <w:t xml:space="preserve"> concentration</w:t>
      </w:r>
    </w:p>
    <w:p w14:paraId="5AF32CBC" w14:textId="3195A41F" w:rsidR="003A48AB" w:rsidRPr="003A48AB" w:rsidRDefault="003A48AB" w:rsidP="009F0A54">
      <w:pPr>
        <w:numPr>
          <w:ilvl w:val="2"/>
          <w:numId w:val="29"/>
        </w:numPr>
        <w:tabs>
          <w:tab w:val="left" w:pos="993"/>
        </w:tabs>
        <w:spacing w:after="100" w:afterAutospacing="1" w:line="240" w:lineRule="auto"/>
        <w:ind w:left="1418" w:right="95" w:hanging="709"/>
        <w:contextualSpacing/>
        <w:rPr>
          <w:rFonts w:ascii="Arial" w:eastAsia="Times New Roman" w:hAnsi="Arial" w:cs="Arial"/>
          <w:b/>
          <w:color w:val="000000"/>
          <w:lang w:eastAsia="ja-JP"/>
        </w:rPr>
      </w:pPr>
      <w:r w:rsidRPr="003A48AB">
        <w:rPr>
          <w:rFonts w:ascii="Arial" w:eastAsia="Times New Roman" w:hAnsi="Arial" w:cs="Arial"/>
          <w:color w:val="000000"/>
          <w:lang w:eastAsia="ja-JP"/>
        </w:rPr>
        <w:t xml:space="preserve">Methodology relating to analysing stomatal S and D in  </w:t>
      </w:r>
      <w:r w:rsidR="00FA2FE3">
        <w:rPr>
          <w:rFonts w:ascii="Arial" w:eastAsia="Times New Roman" w:hAnsi="Arial" w:cs="Arial"/>
          <w:color w:val="000000"/>
          <w:lang w:eastAsia="ja-JP"/>
        </w:rPr>
        <w:tab/>
        <w:t>177</w:t>
      </w:r>
      <w:r w:rsidRPr="003A48AB">
        <w:rPr>
          <w:rFonts w:ascii="Arial" w:eastAsia="Times New Roman" w:hAnsi="Arial" w:cs="Arial"/>
          <w:color w:val="000000"/>
          <w:lang w:eastAsia="ja-JP"/>
        </w:rPr>
        <w:t xml:space="preserve">       </w:t>
      </w:r>
      <w:r w:rsidRPr="003A48AB">
        <w:rPr>
          <w:rFonts w:ascii="Arial" w:eastAsia="Times New Roman" w:hAnsi="Arial" w:cs="Arial"/>
          <w:color w:val="000000"/>
          <w:lang w:eastAsia="ja-JP"/>
        </w:rPr>
        <w:tab/>
      </w:r>
      <w:r w:rsidRPr="003A48AB">
        <w:rPr>
          <w:rFonts w:ascii="Arial" w:eastAsia="Times New Roman" w:hAnsi="Arial" w:cs="Arial"/>
          <w:i/>
          <w:color w:val="000000"/>
          <w:lang w:eastAsia="ja-JP"/>
        </w:rPr>
        <w:t>F. hygrometrica</w:t>
      </w:r>
      <w:r w:rsidRPr="003A48AB">
        <w:rPr>
          <w:rFonts w:ascii="Arial" w:eastAsia="Times New Roman" w:hAnsi="Arial" w:cs="Arial"/>
          <w:color w:val="000000"/>
          <w:lang w:eastAsia="ja-JP"/>
        </w:rPr>
        <w:t xml:space="preserve"> and </w:t>
      </w:r>
      <w:r w:rsidRPr="003A48AB">
        <w:rPr>
          <w:rFonts w:ascii="Arial" w:eastAsia="Times New Roman" w:hAnsi="Arial" w:cs="Arial"/>
          <w:i/>
          <w:color w:val="000000"/>
          <w:lang w:eastAsia="ja-JP"/>
        </w:rPr>
        <w:t>P. patens</w:t>
      </w:r>
    </w:p>
    <w:p w14:paraId="3E081791" w14:textId="6AD7C266" w:rsidR="0066139F" w:rsidRPr="0066139F" w:rsidRDefault="003A48AB" w:rsidP="009F0A54">
      <w:pPr>
        <w:numPr>
          <w:ilvl w:val="2"/>
          <w:numId w:val="29"/>
        </w:numPr>
        <w:tabs>
          <w:tab w:val="left" w:pos="993"/>
        </w:tabs>
        <w:spacing w:after="100" w:afterAutospacing="1" w:line="240" w:lineRule="auto"/>
        <w:ind w:left="1418" w:right="95" w:hanging="709"/>
        <w:contextualSpacing/>
        <w:rPr>
          <w:rFonts w:ascii="Arial" w:eastAsia="Times New Roman" w:hAnsi="Arial" w:cs="Arial"/>
          <w:b/>
          <w:color w:val="000000"/>
          <w:lang w:eastAsia="ja-JP"/>
        </w:rPr>
      </w:pPr>
      <w:r w:rsidRPr="003A48AB">
        <w:rPr>
          <w:rFonts w:ascii="Arial" w:eastAsia="Times New Roman" w:hAnsi="Arial" w:cs="Arial"/>
          <w:i/>
          <w:color w:val="000000"/>
          <w:lang w:eastAsia="ja-JP"/>
        </w:rPr>
        <w:t xml:space="preserve">Funaria hygrometrica </w:t>
      </w:r>
      <w:r w:rsidRPr="003A48AB">
        <w:rPr>
          <w:rFonts w:ascii="Arial" w:eastAsia="Times New Roman" w:hAnsi="Arial" w:cs="Arial"/>
          <w:color w:val="000000"/>
          <w:lang w:eastAsia="ja-JP"/>
        </w:rPr>
        <w:t xml:space="preserve">and </w:t>
      </w:r>
      <w:r w:rsidRPr="003A48AB">
        <w:rPr>
          <w:rFonts w:ascii="Arial" w:eastAsia="Times New Roman" w:hAnsi="Arial" w:cs="Arial"/>
          <w:i/>
          <w:color w:val="000000"/>
          <w:lang w:eastAsia="ja-JP"/>
        </w:rPr>
        <w:t xml:space="preserve">Physcomitrella patens </w:t>
      </w:r>
      <w:r w:rsidR="00B37648">
        <w:rPr>
          <w:rFonts w:ascii="Arial" w:eastAsia="Times New Roman" w:hAnsi="Arial" w:cs="Arial"/>
          <w:i/>
          <w:color w:val="000000"/>
          <w:lang w:eastAsia="ja-JP"/>
        </w:rPr>
        <w:tab/>
      </w:r>
      <w:r w:rsidR="00B37648">
        <w:rPr>
          <w:rFonts w:ascii="Arial" w:eastAsia="Times New Roman" w:hAnsi="Arial" w:cs="Arial"/>
          <w:i/>
          <w:color w:val="000000"/>
          <w:lang w:eastAsia="ja-JP"/>
        </w:rPr>
        <w:tab/>
      </w:r>
      <w:r w:rsidR="00FA2FE3">
        <w:rPr>
          <w:rFonts w:ascii="Arial" w:eastAsia="Times New Roman" w:hAnsi="Arial" w:cs="Arial"/>
          <w:color w:val="000000"/>
          <w:lang w:eastAsia="ja-JP"/>
        </w:rPr>
        <w:t>178</w:t>
      </w:r>
    </w:p>
    <w:p w14:paraId="577CE566" w14:textId="77777777" w:rsidR="0066139F" w:rsidRDefault="009F0A54" w:rsidP="0066139F">
      <w:pPr>
        <w:tabs>
          <w:tab w:val="left" w:pos="993"/>
        </w:tabs>
        <w:spacing w:after="100" w:afterAutospacing="1" w:line="240" w:lineRule="auto"/>
        <w:ind w:left="1418" w:right="95"/>
        <w:contextualSpacing/>
        <w:rPr>
          <w:rFonts w:ascii="Arial" w:eastAsia="Times New Roman" w:hAnsi="Arial" w:cs="Arial"/>
          <w:color w:val="000000"/>
          <w:lang w:eastAsia="ja-JP"/>
        </w:rPr>
      </w:pPr>
      <w:r>
        <w:rPr>
          <w:rFonts w:ascii="Arial" w:eastAsia="Times New Roman" w:hAnsi="Arial" w:cs="Arial"/>
          <w:color w:val="000000"/>
          <w:lang w:eastAsia="ja-JP"/>
        </w:rPr>
        <w:t xml:space="preserve">stomatal </w:t>
      </w:r>
      <w:r w:rsidR="003A48AB" w:rsidRPr="003A48AB">
        <w:rPr>
          <w:rFonts w:ascii="Arial" w:eastAsia="Times New Roman" w:hAnsi="Arial" w:cs="Arial"/>
          <w:color w:val="000000"/>
          <w:lang w:eastAsia="ja-JP"/>
        </w:rPr>
        <w:t xml:space="preserve">size (S) and density (D) responses to </w:t>
      </w:r>
    </w:p>
    <w:p w14:paraId="6D795E15" w14:textId="77777777" w:rsidR="0066139F" w:rsidRDefault="003A48AB" w:rsidP="0066139F">
      <w:pPr>
        <w:tabs>
          <w:tab w:val="left" w:pos="993"/>
        </w:tabs>
        <w:spacing w:after="100" w:afterAutospacing="1" w:line="240" w:lineRule="auto"/>
        <w:ind w:left="1418" w:right="95"/>
        <w:contextualSpacing/>
        <w:rPr>
          <w:rFonts w:ascii="Arial" w:eastAsia="Times New Roman" w:hAnsi="Arial" w:cs="Arial"/>
          <w:color w:val="000000"/>
          <w:lang w:eastAsia="ja-JP"/>
        </w:rPr>
      </w:pPr>
      <w:r w:rsidRPr="003A48AB">
        <w:rPr>
          <w:rFonts w:ascii="Arial" w:eastAsia="Times New Roman" w:hAnsi="Arial" w:cs="Arial"/>
          <w:color w:val="000000"/>
          <w:lang w:eastAsia="ja-JP"/>
        </w:rPr>
        <w:t xml:space="preserve">sub-ambient (200ppm), ambient (450ppm) and elevated </w:t>
      </w:r>
    </w:p>
    <w:p w14:paraId="641B3846" w14:textId="77777777" w:rsidR="003A48AB" w:rsidRPr="0066139F" w:rsidRDefault="003A48AB" w:rsidP="0066139F">
      <w:pPr>
        <w:tabs>
          <w:tab w:val="left" w:pos="993"/>
        </w:tabs>
        <w:spacing w:after="100" w:afterAutospacing="1" w:line="240" w:lineRule="auto"/>
        <w:ind w:left="1418" w:right="95"/>
        <w:contextualSpacing/>
        <w:rPr>
          <w:rFonts w:ascii="Arial" w:eastAsia="Times New Roman" w:hAnsi="Arial" w:cs="Arial"/>
          <w:color w:val="000000"/>
          <w:lang w:eastAsia="ja-JP"/>
        </w:rPr>
      </w:pPr>
      <w:r w:rsidRPr="003A48AB">
        <w:rPr>
          <w:rFonts w:ascii="Arial" w:eastAsia="Times New Roman" w:hAnsi="Arial" w:cs="Arial"/>
          <w:color w:val="000000"/>
          <w:lang w:eastAsia="ja-JP"/>
        </w:rPr>
        <w:t>(1000ppm) CO</w:t>
      </w:r>
      <w:r w:rsidRPr="003A48AB">
        <w:rPr>
          <w:rFonts w:ascii="Arial" w:eastAsia="Times New Roman" w:hAnsi="Arial" w:cs="Arial"/>
          <w:color w:val="000000"/>
          <w:vertAlign w:val="subscript"/>
          <w:lang w:eastAsia="ja-JP"/>
        </w:rPr>
        <w:t>2</w:t>
      </w:r>
      <w:r w:rsidRPr="003A48AB">
        <w:rPr>
          <w:rFonts w:ascii="Arial" w:eastAsia="Times New Roman" w:hAnsi="Arial" w:cs="Arial"/>
          <w:color w:val="000000"/>
          <w:lang w:eastAsia="ja-JP"/>
        </w:rPr>
        <w:t xml:space="preserve"> concentrations</w:t>
      </w:r>
    </w:p>
    <w:p w14:paraId="034ABDF5" w14:textId="5154AF44" w:rsidR="0066139F" w:rsidRPr="0066139F" w:rsidRDefault="003A48AB" w:rsidP="009F0A54">
      <w:pPr>
        <w:numPr>
          <w:ilvl w:val="2"/>
          <w:numId w:val="29"/>
        </w:numPr>
        <w:tabs>
          <w:tab w:val="left" w:pos="993"/>
        </w:tabs>
        <w:spacing w:after="100" w:afterAutospacing="1" w:line="240" w:lineRule="auto"/>
        <w:ind w:left="1418" w:right="95" w:hanging="709"/>
        <w:contextualSpacing/>
        <w:rPr>
          <w:rFonts w:ascii="Arial" w:eastAsia="Times New Roman" w:hAnsi="Arial" w:cs="Arial"/>
          <w:b/>
          <w:color w:val="000000"/>
          <w:lang w:eastAsia="ja-JP"/>
        </w:rPr>
      </w:pPr>
      <w:r w:rsidRPr="003A48AB">
        <w:rPr>
          <w:rFonts w:ascii="Arial" w:eastAsia="Yu Mincho" w:hAnsi="Arial" w:cs="Arial"/>
          <w:lang w:eastAsia="ja-JP"/>
        </w:rPr>
        <w:t>Stomatal developmental responses to light and CO</w:t>
      </w:r>
      <w:r w:rsidRPr="003A48AB">
        <w:rPr>
          <w:rFonts w:ascii="Arial" w:eastAsia="Yu Mincho" w:hAnsi="Arial" w:cs="Arial"/>
          <w:vertAlign w:val="subscript"/>
          <w:lang w:eastAsia="ja-JP"/>
        </w:rPr>
        <w:t>2</w:t>
      </w:r>
      <w:r w:rsidR="00FA2FE3">
        <w:rPr>
          <w:rFonts w:ascii="Arial" w:eastAsia="Yu Mincho" w:hAnsi="Arial" w:cs="Arial"/>
          <w:lang w:eastAsia="ja-JP"/>
        </w:rPr>
        <w:tab/>
      </w:r>
      <w:r w:rsidR="00FA2FE3">
        <w:rPr>
          <w:rFonts w:ascii="Arial" w:eastAsia="Yu Mincho" w:hAnsi="Arial" w:cs="Arial"/>
          <w:lang w:eastAsia="ja-JP"/>
        </w:rPr>
        <w:tab/>
        <w:t>181</w:t>
      </w:r>
    </w:p>
    <w:p w14:paraId="65662263" w14:textId="77777777" w:rsidR="003A48AB" w:rsidRPr="003A48AB" w:rsidRDefault="003A48AB" w:rsidP="0066139F">
      <w:pPr>
        <w:tabs>
          <w:tab w:val="left" w:pos="993"/>
        </w:tabs>
        <w:spacing w:after="100" w:afterAutospacing="1" w:line="240" w:lineRule="auto"/>
        <w:ind w:left="1418" w:right="95"/>
        <w:contextualSpacing/>
        <w:rPr>
          <w:rFonts w:ascii="Arial" w:eastAsia="Times New Roman" w:hAnsi="Arial" w:cs="Arial"/>
          <w:b/>
          <w:color w:val="000000"/>
          <w:lang w:eastAsia="ja-JP"/>
        </w:rPr>
      </w:pPr>
      <w:r w:rsidRPr="003A48AB">
        <w:rPr>
          <w:rFonts w:ascii="Arial" w:eastAsia="Yu Mincho" w:hAnsi="Arial" w:cs="Arial"/>
          <w:lang w:eastAsia="ja-JP"/>
        </w:rPr>
        <w:t xml:space="preserve">treatments in </w:t>
      </w:r>
      <w:r w:rsidRPr="003A48AB">
        <w:rPr>
          <w:rFonts w:ascii="Arial" w:eastAsia="Yu Mincho" w:hAnsi="Arial" w:cs="Arial"/>
          <w:i/>
          <w:lang w:eastAsia="ja-JP"/>
        </w:rPr>
        <w:t>Physcomitrella patens</w:t>
      </w:r>
    </w:p>
    <w:p w14:paraId="1A422DA0" w14:textId="7F3D9433" w:rsidR="0066139F" w:rsidRPr="0066139F" w:rsidRDefault="003A48AB" w:rsidP="009F0A54">
      <w:pPr>
        <w:numPr>
          <w:ilvl w:val="2"/>
          <w:numId w:val="29"/>
        </w:numPr>
        <w:tabs>
          <w:tab w:val="left" w:pos="993"/>
        </w:tabs>
        <w:spacing w:after="100" w:afterAutospacing="1" w:line="240" w:lineRule="auto"/>
        <w:ind w:left="1418" w:right="95" w:hanging="709"/>
        <w:contextualSpacing/>
        <w:rPr>
          <w:rFonts w:ascii="Arial" w:eastAsia="Times New Roman" w:hAnsi="Arial" w:cs="Arial"/>
          <w:b/>
          <w:color w:val="000000"/>
          <w:lang w:eastAsia="ja-JP"/>
        </w:rPr>
      </w:pPr>
      <w:r w:rsidRPr="003A48AB">
        <w:rPr>
          <w:rFonts w:ascii="Arial" w:eastAsia="Yu Mincho" w:hAnsi="Arial" w:cs="Arial"/>
          <w:lang w:eastAsia="ja-JP"/>
        </w:rPr>
        <w:t>Stomatal density (D) responses to light and CO</w:t>
      </w:r>
      <w:r w:rsidRPr="003A48AB">
        <w:rPr>
          <w:rFonts w:ascii="Arial" w:eastAsia="Yu Mincho" w:hAnsi="Arial" w:cs="Arial"/>
          <w:vertAlign w:val="subscript"/>
          <w:lang w:eastAsia="ja-JP"/>
        </w:rPr>
        <w:t>2</w:t>
      </w:r>
      <w:r w:rsidRPr="003A48AB">
        <w:rPr>
          <w:rFonts w:ascii="Arial" w:eastAsia="Yu Mincho" w:hAnsi="Arial" w:cs="Arial"/>
          <w:lang w:eastAsia="ja-JP"/>
        </w:rPr>
        <w:t xml:space="preserve"> in </w:t>
      </w:r>
      <w:r w:rsidR="00B37648">
        <w:rPr>
          <w:rFonts w:ascii="Arial" w:eastAsia="Yu Mincho" w:hAnsi="Arial" w:cs="Arial"/>
          <w:lang w:eastAsia="ja-JP"/>
        </w:rPr>
        <w:tab/>
      </w:r>
      <w:r w:rsidR="00B37648">
        <w:rPr>
          <w:rFonts w:ascii="Arial" w:eastAsia="Yu Mincho" w:hAnsi="Arial" w:cs="Arial"/>
          <w:lang w:eastAsia="ja-JP"/>
        </w:rPr>
        <w:tab/>
      </w:r>
      <w:r w:rsidR="00FA2FE3">
        <w:rPr>
          <w:rFonts w:ascii="Arial" w:eastAsia="Yu Mincho" w:hAnsi="Arial" w:cs="Arial"/>
          <w:lang w:eastAsia="ja-JP"/>
        </w:rPr>
        <w:t>186</w:t>
      </w:r>
    </w:p>
    <w:p w14:paraId="77DD0EB1" w14:textId="77777777" w:rsidR="003A48AB" w:rsidRPr="003A48AB" w:rsidRDefault="0066139F" w:rsidP="0066139F">
      <w:pPr>
        <w:tabs>
          <w:tab w:val="left" w:pos="993"/>
        </w:tabs>
        <w:spacing w:after="100" w:afterAutospacing="1" w:line="240" w:lineRule="auto"/>
        <w:ind w:left="1418" w:right="95"/>
        <w:contextualSpacing/>
        <w:rPr>
          <w:rFonts w:ascii="Arial" w:eastAsia="Times New Roman" w:hAnsi="Arial" w:cs="Arial"/>
          <w:b/>
          <w:color w:val="000000"/>
          <w:lang w:eastAsia="ja-JP"/>
        </w:rPr>
      </w:pPr>
      <w:r>
        <w:rPr>
          <w:rFonts w:ascii="Arial" w:eastAsia="Yu Mincho" w:hAnsi="Arial" w:cs="Arial"/>
          <w:i/>
          <w:lang w:eastAsia="ja-JP"/>
        </w:rPr>
        <w:t xml:space="preserve">Arabidopsis </w:t>
      </w:r>
      <w:r w:rsidR="003A48AB" w:rsidRPr="003A48AB">
        <w:rPr>
          <w:rFonts w:ascii="Arial" w:eastAsia="Yu Mincho" w:hAnsi="Arial" w:cs="Arial"/>
          <w:i/>
          <w:lang w:eastAsia="ja-JP"/>
        </w:rPr>
        <w:t>thaliana</w:t>
      </w:r>
    </w:p>
    <w:p w14:paraId="768985A6" w14:textId="30B87FD2" w:rsidR="0066139F" w:rsidRPr="0066139F" w:rsidRDefault="003A48AB" w:rsidP="009F0A54">
      <w:pPr>
        <w:numPr>
          <w:ilvl w:val="2"/>
          <w:numId w:val="29"/>
        </w:numPr>
        <w:tabs>
          <w:tab w:val="left" w:pos="993"/>
        </w:tabs>
        <w:spacing w:after="100" w:afterAutospacing="1" w:line="240" w:lineRule="auto"/>
        <w:ind w:left="1418" w:right="95" w:hanging="709"/>
        <w:contextualSpacing/>
        <w:rPr>
          <w:rFonts w:ascii="Arial" w:eastAsia="Times New Roman" w:hAnsi="Arial" w:cs="Arial"/>
          <w:b/>
          <w:color w:val="000000"/>
          <w:lang w:eastAsia="ja-JP"/>
        </w:rPr>
      </w:pPr>
      <w:r w:rsidRPr="003A48AB">
        <w:rPr>
          <w:rFonts w:ascii="Arial" w:eastAsia="Yu Mincho" w:hAnsi="Arial" w:cs="Arial"/>
          <w:lang w:eastAsia="ja-JP"/>
        </w:rPr>
        <w:t>Stomatal D responses to light and CO</w:t>
      </w:r>
      <w:r w:rsidRPr="003A48AB">
        <w:rPr>
          <w:rFonts w:ascii="Arial" w:eastAsia="Yu Mincho" w:hAnsi="Arial" w:cs="Arial"/>
          <w:vertAlign w:val="subscript"/>
          <w:lang w:eastAsia="ja-JP"/>
        </w:rPr>
        <w:t>2</w:t>
      </w:r>
      <w:r w:rsidRPr="003A48AB">
        <w:rPr>
          <w:rFonts w:ascii="Arial" w:eastAsia="Yu Mincho" w:hAnsi="Arial" w:cs="Arial"/>
          <w:lang w:eastAsia="ja-JP"/>
        </w:rPr>
        <w:t xml:space="preserve"> using large </w:t>
      </w:r>
      <w:r w:rsidR="00FA2FE3">
        <w:rPr>
          <w:rFonts w:ascii="Arial" w:eastAsia="Yu Mincho" w:hAnsi="Arial" w:cs="Arial"/>
          <w:lang w:eastAsia="ja-JP"/>
        </w:rPr>
        <w:tab/>
      </w:r>
      <w:r w:rsidR="00FA2FE3">
        <w:rPr>
          <w:rFonts w:ascii="Arial" w:eastAsia="Yu Mincho" w:hAnsi="Arial" w:cs="Arial"/>
          <w:lang w:eastAsia="ja-JP"/>
        </w:rPr>
        <w:tab/>
        <w:t>189</w:t>
      </w:r>
    </w:p>
    <w:p w14:paraId="14D91A22" w14:textId="77777777" w:rsidR="0066139F" w:rsidRDefault="0066139F" w:rsidP="0066139F">
      <w:pPr>
        <w:tabs>
          <w:tab w:val="left" w:pos="993"/>
        </w:tabs>
        <w:spacing w:after="100" w:afterAutospacing="1" w:line="240" w:lineRule="auto"/>
        <w:ind w:left="1418" w:right="95"/>
        <w:contextualSpacing/>
        <w:rPr>
          <w:rFonts w:ascii="Arial" w:eastAsia="Yu Mincho" w:hAnsi="Arial" w:cs="Arial"/>
          <w:lang w:eastAsia="ja-JP"/>
        </w:rPr>
      </w:pPr>
      <w:r>
        <w:rPr>
          <w:rFonts w:ascii="Arial" w:eastAsia="Yu Mincho" w:hAnsi="Arial" w:cs="Arial"/>
          <w:lang w:eastAsia="ja-JP"/>
        </w:rPr>
        <w:t xml:space="preserve">capsules of </w:t>
      </w:r>
      <w:r w:rsidR="003A48AB" w:rsidRPr="003A48AB">
        <w:rPr>
          <w:rFonts w:ascii="Arial" w:eastAsia="Yu Mincho" w:hAnsi="Arial" w:cs="Arial"/>
          <w:lang w:eastAsia="ja-JP"/>
        </w:rPr>
        <w:t xml:space="preserve">stomatal patterning mutants of </w:t>
      </w:r>
    </w:p>
    <w:p w14:paraId="67CC4252" w14:textId="77777777" w:rsidR="003A48AB" w:rsidRPr="0066139F" w:rsidRDefault="003A48AB" w:rsidP="0066139F">
      <w:pPr>
        <w:tabs>
          <w:tab w:val="left" w:pos="993"/>
        </w:tabs>
        <w:spacing w:after="100" w:afterAutospacing="1" w:line="240" w:lineRule="auto"/>
        <w:ind w:left="1418" w:right="95"/>
        <w:contextualSpacing/>
        <w:rPr>
          <w:rFonts w:ascii="Arial" w:eastAsia="Yu Mincho" w:hAnsi="Arial" w:cs="Arial"/>
          <w:i/>
          <w:lang w:eastAsia="ja-JP"/>
        </w:rPr>
      </w:pPr>
      <w:r w:rsidRPr="003A48AB">
        <w:rPr>
          <w:rFonts w:ascii="Arial" w:eastAsia="Yu Mincho" w:hAnsi="Arial" w:cs="Arial"/>
          <w:i/>
          <w:lang w:eastAsia="ja-JP"/>
        </w:rPr>
        <w:t>Physcomtirella patens</w:t>
      </w:r>
    </w:p>
    <w:p w14:paraId="221937EE" w14:textId="113AF30F" w:rsidR="0066139F" w:rsidRPr="0066139F" w:rsidRDefault="003A48AB" w:rsidP="009F0A54">
      <w:pPr>
        <w:numPr>
          <w:ilvl w:val="2"/>
          <w:numId w:val="29"/>
        </w:numPr>
        <w:tabs>
          <w:tab w:val="left" w:pos="993"/>
        </w:tabs>
        <w:spacing w:after="100" w:afterAutospacing="1" w:line="240" w:lineRule="auto"/>
        <w:ind w:left="1418" w:right="95" w:hanging="709"/>
        <w:contextualSpacing/>
        <w:rPr>
          <w:rFonts w:ascii="Arial" w:eastAsia="Times New Roman" w:hAnsi="Arial" w:cs="Arial"/>
          <w:b/>
          <w:color w:val="000000"/>
          <w:lang w:eastAsia="ja-JP"/>
        </w:rPr>
      </w:pPr>
      <w:r w:rsidRPr="003A48AB">
        <w:rPr>
          <w:rFonts w:ascii="Arial" w:eastAsia="Yu Mincho" w:hAnsi="Arial" w:cs="Arial"/>
          <w:lang w:eastAsia="ja-JP"/>
        </w:rPr>
        <w:t>Stomatal D responses to CO</w:t>
      </w:r>
      <w:r w:rsidRPr="003A48AB">
        <w:rPr>
          <w:rFonts w:ascii="Arial" w:eastAsia="Yu Mincho" w:hAnsi="Arial" w:cs="Arial"/>
          <w:vertAlign w:val="subscript"/>
          <w:lang w:eastAsia="ja-JP"/>
        </w:rPr>
        <w:t>2</w:t>
      </w:r>
      <w:r w:rsidRPr="003A48AB">
        <w:rPr>
          <w:rFonts w:ascii="Arial" w:eastAsia="Yu Mincho" w:hAnsi="Arial" w:cs="Arial"/>
          <w:lang w:eastAsia="ja-JP"/>
        </w:rPr>
        <w:t xml:space="preserve"> at HL in same size </w:t>
      </w:r>
      <w:r w:rsidR="00FA2FE3">
        <w:rPr>
          <w:rFonts w:ascii="Arial" w:eastAsia="Yu Mincho" w:hAnsi="Arial" w:cs="Arial"/>
          <w:lang w:eastAsia="ja-JP"/>
        </w:rPr>
        <w:tab/>
      </w:r>
      <w:r w:rsidR="00FA2FE3">
        <w:rPr>
          <w:rFonts w:ascii="Arial" w:eastAsia="Yu Mincho" w:hAnsi="Arial" w:cs="Arial"/>
          <w:lang w:eastAsia="ja-JP"/>
        </w:rPr>
        <w:tab/>
        <w:t>195</w:t>
      </w:r>
    </w:p>
    <w:p w14:paraId="3C836DC4" w14:textId="77777777" w:rsidR="0066139F" w:rsidRDefault="0066139F" w:rsidP="0066139F">
      <w:pPr>
        <w:tabs>
          <w:tab w:val="left" w:pos="993"/>
        </w:tabs>
        <w:spacing w:after="100" w:afterAutospacing="1" w:line="240" w:lineRule="auto"/>
        <w:ind w:left="1418" w:right="95"/>
        <w:contextualSpacing/>
        <w:rPr>
          <w:rFonts w:ascii="Arial" w:eastAsia="Yu Mincho" w:hAnsi="Arial" w:cs="Arial"/>
          <w:lang w:eastAsia="ja-JP"/>
        </w:rPr>
      </w:pPr>
      <w:r>
        <w:rPr>
          <w:rFonts w:ascii="Arial" w:eastAsia="Yu Mincho" w:hAnsi="Arial" w:cs="Arial"/>
          <w:lang w:eastAsia="ja-JP"/>
        </w:rPr>
        <w:t xml:space="preserve">capsules of </w:t>
      </w:r>
      <w:r w:rsidR="003A48AB" w:rsidRPr="003A48AB">
        <w:rPr>
          <w:rFonts w:ascii="Arial" w:eastAsia="Yu Mincho" w:hAnsi="Arial" w:cs="Arial"/>
          <w:i/>
          <w:lang w:eastAsia="ja-JP"/>
        </w:rPr>
        <w:t xml:space="preserve">Physcomitrella patens </w:t>
      </w:r>
      <w:r w:rsidR="003A48AB" w:rsidRPr="003A48AB">
        <w:rPr>
          <w:rFonts w:ascii="Arial" w:eastAsia="Yu Mincho" w:hAnsi="Arial" w:cs="Arial"/>
          <w:lang w:eastAsia="ja-JP"/>
        </w:rPr>
        <w:t xml:space="preserve">stomatal patterning </w:t>
      </w:r>
    </w:p>
    <w:p w14:paraId="1916DCE9" w14:textId="77777777" w:rsidR="003A48AB" w:rsidRPr="003A48AB" w:rsidRDefault="003A48AB" w:rsidP="0066139F">
      <w:pPr>
        <w:tabs>
          <w:tab w:val="left" w:pos="993"/>
        </w:tabs>
        <w:spacing w:after="100" w:afterAutospacing="1" w:line="240" w:lineRule="auto"/>
        <w:ind w:left="1418" w:right="95"/>
        <w:contextualSpacing/>
        <w:rPr>
          <w:rFonts w:ascii="Arial" w:eastAsia="Times New Roman" w:hAnsi="Arial" w:cs="Arial"/>
          <w:b/>
          <w:color w:val="000000"/>
          <w:lang w:eastAsia="ja-JP"/>
        </w:rPr>
      </w:pPr>
      <w:r w:rsidRPr="003A48AB">
        <w:rPr>
          <w:rFonts w:ascii="Arial" w:eastAsia="Yu Mincho" w:hAnsi="Arial" w:cs="Arial"/>
          <w:lang w:eastAsia="ja-JP"/>
        </w:rPr>
        <w:t>mutants</w:t>
      </w:r>
    </w:p>
    <w:p w14:paraId="1D258EEB" w14:textId="3CD1D484" w:rsidR="0066139F" w:rsidRPr="0066139F" w:rsidRDefault="003A48AB" w:rsidP="009F0A54">
      <w:pPr>
        <w:numPr>
          <w:ilvl w:val="2"/>
          <w:numId w:val="29"/>
        </w:numPr>
        <w:tabs>
          <w:tab w:val="left" w:pos="993"/>
        </w:tabs>
        <w:spacing w:after="100" w:afterAutospacing="1" w:line="240" w:lineRule="auto"/>
        <w:ind w:left="1418" w:right="95" w:hanging="709"/>
        <w:contextualSpacing/>
        <w:rPr>
          <w:rFonts w:ascii="Arial" w:eastAsia="Times New Roman" w:hAnsi="Arial" w:cs="Arial"/>
          <w:b/>
          <w:color w:val="000000"/>
          <w:lang w:eastAsia="ja-JP"/>
        </w:rPr>
      </w:pPr>
      <w:r w:rsidRPr="003A48AB">
        <w:rPr>
          <w:rFonts w:ascii="Arial" w:eastAsia="Times New Roman" w:hAnsi="Arial" w:cs="Arial"/>
          <w:color w:val="000000"/>
          <w:lang w:eastAsia="ja-JP"/>
        </w:rPr>
        <w:t xml:space="preserve">Subtilisin-like serine proteases (SLSP) in </w:t>
      </w:r>
      <w:r w:rsidRPr="003A48AB">
        <w:rPr>
          <w:rFonts w:ascii="Arial" w:eastAsia="Times New Roman" w:hAnsi="Arial" w:cs="Arial"/>
          <w:i/>
          <w:color w:val="000000"/>
          <w:lang w:eastAsia="ja-JP"/>
        </w:rPr>
        <w:t>P. patens</w:t>
      </w:r>
      <w:r w:rsidRPr="003A48AB">
        <w:rPr>
          <w:rFonts w:ascii="Arial" w:eastAsia="Times New Roman" w:hAnsi="Arial" w:cs="Arial"/>
          <w:color w:val="000000"/>
          <w:lang w:eastAsia="ja-JP"/>
        </w:rPr>
        <w:t xml:space="preserve">, </w:t>
      </w:r>
      <w:r w:rsidR="00FA2FE3">
        <w:rPr>
          <w:rFonts w:ascii="Arial" w:eastAsia="Times New Roman" w:hAnsi="Arial" w:cs="Arial"/>
          <w:color w:val="000000"/>
          <w:lang w:eastAsia="ja-JP"/>
        </w:rPr>
        <w:tab/>
        <w:t>197</w:t>
      </w:r>
    </w:p>
    <w:p w14:paraId="44E890A8" w14:textId="77777777" w:rsidR="003A48AB" w:rsidRPr="0066139F" w:rsidRDefault="0066139F" w:rsidP="0066139F">
      <w:pPr>
        <w:tabs>
          <w:tab w:val="left" w:pos="993"/>
        </w:tabs>
        <w:spacing w:after="100" w:afterAutospacing="1" w:line="240" w:lineRule="auto"/>
        <w:ind w:left="1418" w:right="95"/>
        <w:contextualSpacing/>
        <w:rPr>
          <w:rFonts w:ascii="Arial" w:eastAsia="Times New Roman" w:hAnsi="Arial" w:cs="Arial"/>
          <w:b/>
          <w:color w:val="000000"/>
          <w:lang w:eastAsia="ja-JP"/>
        </w:rPr>
      </w:pPr>
      <w:r>
        <w:rPr>
          <w:rFonts w:ascii="Arial" w:eastAsia="Times New Roman" w:hAnsi="Arial" w:cs="Arial"/>
          <w:color w:val="000000"/>
          <w:lang w:eastAsia="ja-JP"/>
        </w:rPr>
        <w:t>s</w:t>
      </w:r>
      <w:r w:rsidR="003A48AB" w:rsidRPr="003A48AB">
        <w:rPr>
          <w:rFonts w:ascii="Arial" w:eastAsia="Times New Roman" w:hAnsi="Arial" w:cs="Arial"/>
          <w:color w:val="000000"/>
          <w:lang w:eastAsia="ja-JP"/>
        </w:rPr>
        <w:t>tomat</w:t>
      </w:r>
      <w:r>
        <w:rPr>
          <w:rFonts w:ascii="Arial" w:eastAsia="Times New Roman" w:hAnsi="Arial" w:cs="Arial"/>
          <w:color w:val="000000"/>
          <w:lang w:eastAsia="ja-JP"/>
        </w:rPr>
        <w:t xml:space="preserve">al </w:t>
      </w:r>
      <w:r w:rsidR="003A48AB" w:rsidRPr="003A48AB">
        <w:rPr>
          <w:rFonts w:ascii="Arial" w:eastAsia="Times New Roman" w:hAnsi="Arial" w:cs="Arial"/>
          <w:color w:val="000000"/>
          <w:lang w:eastAsia="ja-JP"/>
        </w:rPr>
        <w:t>development and responses to CO</w:t>
      </w:r>
      <w:r w:rsidR="003A48AB" w:rsidRPr="003A48AB">
        <w:rPr>
          <w:rFonts w:ascii="Arial" w:eastAsia="Times New Roman" w:hAnsi="Arial" w:cs="Arial"/>
          <w:color w:val="000000"/>
          <w:vertAlign w:val="subscript"/>
          <w:lang w:eastAsia="ja-JP"/>
        </w:rPr>
        <w:t>2</w:t>
      </w:r>
    </w:p>
    <w:p w14:paraId="29025B38" w14:textId="77777777" w:rsidR="003A48AB" w:rsidRPr="003A48AB" w:rsidRDefault="003A48AB" w:rsidP="009F0A54">
      <w:pPr>
        <w:tabs>
          <w:tab w:val="left" w:pos="993"/>
        </w:tabs>
        <w:spacing w:after="100" w:afterAutospacing="1" w:line="240" w:lineRule="auto"/>
        <w:ind w:right="95"/>
        <w:contextualSpacing/>
        <w:rPr>
          <w:rFonts w:ascii="Arial" w:eastAsia="Times New Roman" w:hAnsi="Arial" w:cs="Arial"/>
          <w:b/>
          <w:color w:val="000000"/>
          <w:lang w:eastAsia="ja-JP"/>
        </w:rPr>
      </w:pPr>
    </w:p>
    <w:p w14:paraId="5A72332E" w14:textId="24BFCA03" w:rsidR="003A48AB" w:rsidRPr="003A48AB" w:rsidRDefault="009F0A54" w:rsidP="009F0A54">
      <w:pPr>
        <w:numPr>
          <w:ilvl w:val="1"/>
          <w:numId w:val="29"/>
        </w:numPr>
        <w:tabs>
          <w:tab w:val="left" w:pos="993"/>
        </w:tabs>
        <w:spacing w:after="100" w:afterAutospacing="1" w:line="240" w:lineRule="auto"/>
        <w:ind w:right="95" w:hanging="654"/>
        <w:contextualSpacing/>
        <w:rPr>
          <w:rFonts w:ascii="Arial" w:eastAsia="Times New Roman" w:hAnsi="Arial" w:cs="Arial"/>
          <w:b/>
          <w:color w:val="000000"/>
          <w:lang w:eastAsia="ja-JP"/>
        </w:rPr>
      </w:pPr>
      <w:r>
        <w:rPr>
          <w:rFonts w:ascii="Arial" w:eastAsia="Times New Roman" w:hAnsi="Arial" w:cs="Arial"/>
          <w:b/>
          <w:color w:val="000000"/>
          <w:lang w:eastAsia="ja-JP"/>
        </w:rPr>
        <w:t>Discussion</w:t>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FA2FE3">
        <w:rPr>
          <w:rFonts w:ascii="Arial" w:eastAsia="Times New Roman" w:hAnsi="Arial" w:cs="Arial"/>
          <w:b/>
          <w:color w:val="000000"/>
          <w:lang w:eastAsia="ja-JP"/>
        </w:rPr>
        <w:t>206-210</w:t>
      </w:r>
    </w:p>
    <w:p w14:paraId="6A22629F" w14:textId="778252AC" w:rsidR="003A48AB" w:rsidRPr="003A48AB" w:rsidRDefault="003A48AB" w:rsidP="009F0A54">
      <w:pPr>
        <w:numPr>
          <w:ilvl w:val="1"/>
          <w:numId w:val="29"/>
        </w:numPr>
        <w:tabs>
          <w:tab w:val="left" w:pos="993"/>
        </w:tabs>
        <w:spacing w:after="100" w:afterAutospacing="1" w:line="240" w:lineRule="auto"/>
        <w:ind w:right="95" w:hanging="654"/>
        <w:contextualSpacing/>
        <w:rPr>
          <w:rFonts w:ascii="Arial" w:eastAsia="Times New Roman" w:hAnsi="Arial" w:cs="Arial"/>
          <w:b/>
          <w:color w:val="000000"/>
          <w:lang w:eastAsia="ja-JP"/>
        </w:rPr>
      </w:pPr>
      <w:r w:rsidRPr="003A48AB">
        <w:rPr>
          <w:rFonts w:ascii="Arial" w:eastAsia="Times New Roman" w:hAnsi="Arial" w:cs="Arial"/>
          <w:b/>
          <w:color w:val="000000"/>
          <w:lang w:eastAsia="ja-JP"/>
        </w:rPr>
        <w:t>Conclusion</w:t>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FA2FE3">
        <w:rPr>
          <w:rFonts w:ascii="Arial" w:eastAsia="Times New Roman" w:hAnsi="Arial" w:cs="Arial"/>
          <w:b/>
          <w:color w:val="000000"/>
          <w:lang w:eastAsia="ja-JP"/>
        </w:rPr>
        <w:t>210-211</w:t>
      </w:r>
    </w:p>
    <w:p w14:paraId="442E51B7" w14:textId="17553EB7" w:rsidR="009F0A54" w:rsidRDefault="003A48AB" w:rsidP="009F0A54">
      <w:pPr>
        <w:numPr>
          <w:ilvl w:val="1"/>
          <w:numId w:val="29"/>
        </w:numPr>
        <w:tabs>
          <w:tab w:val="left" w:pos="993"/>
        </w:tabs>
        <w:spacing w:after="100" w:afterAutospacing="1" w:line="240" w:lineRule="auto"/>
        <w:ind w:right="95" w:hanging="654"/>
        <w:contextualSpacing/>
        <w:rPr>
          <w:rFonts w:ascii="Arial" w:eastAsia="Times New Roman" w:hAnsi="Arial" w:cs="Arial"/>
          <w:b/>
          <w:color w:val="000000"/>
          <w:lang w:eastAsia="ja-JP"/>
        </w:rPr>
      </w:pPr>
      <w:r w:rsidRPr="003A48AB">
        <w:rPr>
          <w:rFonts w:ascii="Arial" w:eastAsia="Yu Mincho" w:hAnsi="Arial" w:cs="Arial"/>
          <w:b/>
          <w:lang w:eastAsia="ja-JP"/>
        </w:rPr>
        <w:t>Future research</w:t>
      </w:r>
      <w:r w:rsidR="00B37648">
        <w:rPr>
          <w:rFonts w:ascii="Arial" w:eastAsia="Yu Mincho" w:hAnsi="Arial" w:cs="Arial"/>
          <w:b/>
          <w:lang w:eastAsia="ja-JP"/>
        </w:rPr>
        <w:tab/>
      </w:r>
      <w:r w:rsidR="00B37648">
        <w:rPr>
          <w:rFonts w:ascii="Arial" w:eastAsia="Yu Mincho" w:hAnsi="Arial" w:cs="Arial"/>
          <w:b/>
          <w:lang w:eastAsia="ja-JP"/>
        </w:rPr>
        <w:tab/>
      </w:r>
      <w:r w:rsidR="00B37648">
        <w:rPr>
          <w:rFonts w:ascii="Arial" w:eastAsia="Yu Mincho" w:hAnsi="Arial" w:cs="Arial"/>
          <w:b/>
          <w:lang w:eastAsia="ja-JP"/>
        </w:rPr>
        <w:tab/>
      </w:r>
      <w:r w:rsidR="00B37648">
        <w:rPr>
          <w:rFonts w:ascii="Arial" w:eastAsia="Yu Mincho" w:hAnsi="Arial" w:cs="Arial"/>
          <w:b/>
          <w:lang w:eastAsia="ja-JP"/>
        </w:rPr>
        <w:tab/>
      </w:r>
      <w:r w:rsidR="00B37648">
        <w:rPr>
          <w:rFonts w:ascii="Arial" w:eastAsia="Yu Mincho" w:hAnsi="Arial" w:cs="Arial"/>
          <w:b/>
          <w:lang w:eastAsia="ja-JP"/>
        </w:rPr>
        <w:tab/>
      </w:r>
      <w:r w:rsidR="00B37648">
        <w:rPr>
          <w:rFonts w:ascii="Arial" w:eastAsia="Yu Mincho" w:hAnsi="Arial" w:cs="Arial"/>
          <w:b/>
          <w:lang w:eastAsia="ja-JP"/>
        </w:rPr>
        <w:tab/>
      </w:r>
      <w:r w:rsidR="00B37648">
        <w:rPr>
          <w:rFonts w:ascii="Arial" w:eastAsia="Yu Mincho" w:hAnsi="Arial" w:cs="Arial"/>
          <w:b/>
          <w:lang w:eastAsia="ja-JP"/>
        </w:rPr>
        <w:tab/>
      </w:r>
      <w:r w:rsidR="00FA2FE3">
        <w:rPr>
          <w:rFonts w:ascii="Arial" w:eastAsia="Yu Mincho" w:hAnsi="Arial" w:cs="Arial"/>
          <w:b/>
          <w:lang w:eastAsia="ja-JP"/>
        </w:rPr>
        <w:t>212-214</w:t>
      </w:r>
    </w:p>
    <w:p w14:paraId="4001BF29" w14:textId="77777777" w:rsidR="009F0A54" w:rsidRDefault="009F0A54" w:rsidP="009F0A54">
      <w:pPr>
        <w:tabs>
          <w:tab w:val="left" w:pos="993"/>
        </w:tabs>
        <w:spacing w:after="100" w:afterAutospacing="1" w:line="240" w:lineRule="auto"/>
        <w:ind w:right="95"/>
        <w:contextualSpacing/>
        <w:rPr>
          <w:rFonts w:ascii="Arial" w:eastAsia="Times New Roman" w:hAnsi="Arial" w:cs="Arial"/>
          <w:b/>
          <w:color w:val="000000"/>
          <w:lang w:eastAsia="ja-JP"/>
        </w:rPr>
      </w:pPr>
    </w:p>
    <w:p w14:paraId="1E0F4E08" w14:textId="28E9B8BA" w:rsidR="003A48AB" w:rsidRDefault="003A48AB" w:rsidP="009F0A54">
      <w:pPr>
        <w:tabs>
          <w:tab w:val="left" w:pos="993"/>
        </w:tabs>
        <w:spacing w:after="100" w:afterAutospacing="1" w:line="240" w:lineRule="auto"/>
        <w:ind w:right="95"/>
        <w:contextualSpacing/>
        <w:rPr>
          <w:rFonts w:ascii="Arial" w:eastAsia="Times New Roman" w:hAnsi="Arial" w:cs="Arial"/>
          <w:b/>
          <w:bdr w:val="none" w:sz="0" w:space="0" w:color="auto" w:frame="1"/>
          <w:lang w:eastAsia="ja-JP"/>
        </w:rPr>
      </w:pPr>
      <w:r w:rsidRPr="009F0A54">
        <w:rPr>
          <w:rFonts w:ascii="Arial" w:eastAsia="Times New Roman" w:hAnsi="Arial" w:cs="Arial"/>
          <w:b/>
          <w:bdr w:val="none" w:sz="0" w:space="0" w:color="auto" w:frame="1"/>
          <w:lang w:eastAsia="ja-JP"/>
        </w:rPr>
        <w:t>Chapter 6: Discussion</w:t>
      </w:r>
      <w:r w:rsidR="00B37648">
        <w:rPr>
          <w:rFonts w:ascii="Arial" w:eastAsia="Times New Roman" w:hAnsi="Arial" w:cs="Arial"/>
          <w:b/>
          <w:bdr w:val="none" w:sz="0" w:space="0" w:color="auto" w:frame="1"/>
          <w:lang w:eastAsia="ja-JP"/>
        </w:rPr>
        <w:tab/>
      </w:r>
      <w:r w:rsidR="00B37648">
        <w:rPr>
          <w:rFonts w:ascii="Arial" w:eastAsia="Times New Roman" w:hAnsi="Arial" w:cs="Arial"/>
          <w:b/>
          <w:bdr w:val="none" w:sz="0" w:space="0" w:color="auto" w:frame="1"/>
          <w:lang w:eastAsia="ja-JP"/>
        </w:rPr>
        <w:tab/>
      </w:r>
      <w:r w:rsidR="00B37648">
        <w:rPr>
          <w:rFonts w:ascii="Arial" w:eastAsia="Times New Roman" w:hAnsi="Arial" w:cs="Arial"/>
          <w:b/>
          <w:bdr w:val="none" w:sz="0" w:space="0" w:color="auto" w:frame="1"/>
          <w:lang w:eastAsia="ja-JP"/>
        </w:rPr>
        <w:tab/>
      </w:r>
      <w:r w:rsidR="00B37648">
        <w:rPr>
          <w:rFonts w:ascii="Arial" w:eastAsia="Times New Roman" w:hAnsi="Arial" w:cs="Arial"/>
          <w:b/>
          <w:bdr w:val="none" w:sz="0" w:space="0" w:color="auto" w:frame="1"/>
          <w:lang w:eastAsia="ja-JP"/>
        </w:rPr>
        <w:tab/>
      </w:r>
      <w:r w:rsidR="00B37648">
        <w:rPr>
          <w:rFonts w:ascii="Arial" w:eastAsia="Times New Roman" w:hAnsi="Arial" w:cs="Arial"/>
          <w:b/>
          <w:bdr w:val="none" w:sz="0" w:space="0" w:color="auto" w:frame="1"/>
          <w:lang w:eastAsia="ja-JP"/>
        </w:rPr>
        <w:tab/>
      </w:r>
      <w:r w:rsidR="00B37648">
        <w:rPr>
          <w:rFonts w:ascii="Arial" w:eastAsia="Times New Roman" w:hAnsi="Arial" w:cs="Arial"/>
          <w:b/>
          <w:bdr w:val="none" w:sz="0" w:space="0" w:color="auto" w:frame="1"/>
          <w:lang w:eastAsia="ja-JP"/>
        </w:rPr>
        <w:tab/>
      </w:r>
      <w:r w:rsidR="00B37648">
        <w:rPr>
          <w:rFonts w:ascii="Arial" w:eastAsia="Times New Roman" w:hAnsi="Arial" w:cs="Arial"/>
          <w:b/>
          <w:bdr w:val="none" w:sz="0" w:space="0" w:color="auto" w:frame="1"/>
          <w:lang w:eastAsia="ja-JP"/>
        </w:rPr>
        <w:tab/>
      </w:r>
      <w:r w:rsidR="00FA2FE3">
        <w:rPr>
          <w:rFonts w:ascii="Arial" w:eastAsia="Times New Roman" w:hAnsi="Arial" w:cs="Arial"/>
          <w:b/>
          <w:bdr w:val="none" w:sz="0" w:space="0" w:color="auto" w:frame="1"/>
          <w:lang w:eastAsia="ja-JP"/>
        </w:rPr>
        <w:t>215-231</w:t>
      </w:r>
    </w:p>
    <w:p w14:paraId="4C313CFB" w14:textId="77777777" w:rsidR="009F0A54" w:rsidRPr="009F0A54" w:rsidRDefault="009F0A54" w:rsidP="009F0A54">
      <w:pPr>
        <w:tabs>
          <w:tab w:val="left" w:pos="993"/>
        </w:tabs>
        <w:spacing w:after="100" w:afterAutospacing="1" w:line="240" w:lineRule="auto"/>
        <w:ind w:right="95"/>
        <w:contextualSpacing/>
        <w:rPr>
          <w:rFonts w:ascii="Arial" w:eastAsia="Times New Roman" w:hAnsi="Arial" w:cs="Arial"/>
          <w:b/>
          <w:color w:val="000000"/>
          <w:lang w:eastAsia="ja-JP"/>
        </w:rPr>
      </w:pPr>
    </w:p>
    <w:p w14:paraId="17FD4C3E" w14:textId="7B8D4CE0" w:rsidR="003A48AB" w:rsidRPr="003A48AB" w:rsidRDefault="009F0A54" w:rsidP="009F0A54">
      <w:pPr>
        <w:numPr>
          <w:ilvl w:val="1"/>
          <w:numId w:val="31"/>
        </w:numPr>
        <w:tabs>
          <w:tab w:val="left" w:pos="993"/>
        </w:tabs>
        <w:spacing w:after="100" w:afterAutospacing="1" w:line="240" w:lineRule="auto"/>
        <w:ind w:right="95" w:hanging="654"/>
        <w:contextualSpacing/>
        <w:rPr>
          <w:rFonts w:ascii="Arial" w:eastAsia="Times New Roman" w:hAnsi="Arial" w:cs="Arial"/>
          <w:b/>
          <w:color w:val="000000"/>
          <w:lang w:eastAsia="ja-JP"/>
        </w:rPr>
      </w:pPr>
      <w:r>
        <w:rPr>
          <w:rFonts w:ascii="Arial" w:eastAsia="Times New Roman" w:hAnsi="Arial" w:cs="Arial"/>
          <w:b/>
          <w:color w:val="000000"/>
          <w:lang w:eastAsia="ja-JP"/>
        </w:rPr>
        <w:t>Introduction</w:t>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B37648">
        <w:rPr>
          <w:rFonts w:ascii="Arial" w:eastAsia="Times New Roman" w:hAnsi="Arial" w:cs="Arial"/>
          <w:b/>
          <w:color w:val="000000"/>
          <w:lang w:eastAsia="ja-JP"/>
        </w:rPr>
        <w:tab/>
      </w:r>
      <w:r w:rsidR="00FA2FE3">
        <w:rPr>
          <w:rFonts w:ascii="Arial" w:eastAsia="Times New Roman" w:hAnsi="Arial" w:cs="Arial"/>
          <w:b/>
          <w:color w:val="000000"/>
          <w:lang w:eastAsia="ja-JP"/>
        </w:rPr>
        <w:t>216</w:t>
      </w:r>
    </w:p>
    <w:p w14:paraId="6B629EF1" w14:textId="478B6D67" w:rsidR="003A48AB" w:rsidRPr="003A48AB" w:rsidRDefault="003A48AB" w:rsidP="009F0A54">
      <w:pPr>
        <w:numPr>
          <w:ilvl w:val="1"/>
          <w:numId w:val="31"/>
        </w:numPr>
        <w:tabs>
          <w:tab w:val="left" w:pos="993"/>
        </w:tabs>
        <w:spacing w:after="100" w:afterAutospacing="1" w:line="240" w:lineRule="auto"/>
        <w:ind w:right="95" w:hanging="654"/>
        <w:contextualSpacing/>
        <w:rPr>
          <w:rFonts w:ascii="Arial" w:eastAsia="Times New Roman" w:hAnsi="Arial" w:cs="Arial"/>
          <w:color w:val="000000"/>
          <w:lang w:eastAsia="ja-JP"/>
        </w:rPr>
      </w:pPr>
      <w:r w:rsidRPr="003A48AB">
        <w:rPr>
          <w:rFonts w:ascii="Arial" w:eastAsia="Times New Roman" w:hAnsi="Arial" w:cs="Arial"/>
          <w:color w:val="000000"/>
          <w:lang w:eastAsia="ja-JP"/>
        </w:rPr>
        <w:t>Chapter 3 summary and further discussion</w:t>
      </w:r>
      <w:r w:rsidR="00FA2FE3">
        <w:rPr>
          <w:rFonts w:ascii="Arial" w:eastAsia="Times New Roman" w:hAnsi="Arial" w:cs="Arial"/>
          <w:color w:val="000000"/>
          <w:lang w:eastAsia="ja-JP"/>
        </w:rPr>
        <w:tab/>
      </w:r>
      <w:r w:rsidR="00FA2FE3">
        <w:rPr>
          <w:rFonts w:ascii="Arial" w:eastAsia="Times New Roman" w:hAnsi="Arial" w:cs="Arial"/>
          <w:color w:val="000000"/>
          <w:lang w:eastAsia="ja-JP"/>
        </w:rPr>
        <w:tab/>
      </w:r>
      <w:r w:rsidR="00FA2FE3">
        <w:rPr>
          <w:rFonts w:ascii="Arial" w:eastAsia="Times New Roman" w:hAnsi="Arial" w:cs="Arial"/>
          <w:color w:val="000000"/>
          <w:lang w:eastAsia="ja-JP"/>
        </w:rPr>
        <w:tab/>
        <w:t>216</w:t>
      </w:r>
    </w:p>
    <w:p w14:paraId="41787B23" w14:textId="6074060F" w:rsidR="003A48AB" w:rsidRPr="003A48AB" w:rsidRDefault="003A48AB" w:rsidP="009F0A54">
      <w:pPr>
        <w:numPr>
          <w:ilvl w:val="1"/>
          <w:numId w:val="31"/>
        </w:numPr>
        <w:tabs>
          <w:tab w:val="left" w:pos="993"/>
        </w:tabs>
        <w:spacing w:after="100" w:afterAutospacing="1" w:line="240" w:lineRule="auto"/>
        <w:ind w:right="95" w:hanging="654"/>
        <w:contextualSpacing/>
        <w:rPr>
          <w:rFonts w:ascii="Arial" w:eastAsia="Times New Roman" w:hAnsi="Arial" w:cs="Arial"/>
          <w:b/>
          <w:color w:val="000000"/>
          <w:lang w:eastAsia="ja-JP"/>
        </w:rPr>
      </w:pPr>
      <w:r w:rsidRPr="003A48AB">
        <w:rPr>
          <w:rFonts w:ascii="Arial" w:eastAsia="Yu Mincho" w:hAnsi="Arial" w:cs="Arial"/>
          <w:lang w:eastAsia="ja-JP"/>
        </w:rPr>
        <w:t xml:space="preserve">Chapter 4 summary and </w:t>
      </w:r>
      <w:r w:rsidR="009F0A54">
        <w:rPr>
          <w:rFonts w:ascii="Arial" w:eastAsia="Yu Mincho" w:hAnsi="Arial" w:cs="Arial"/>
          <w:lang w:eastAsia="ja-JP"/>
        </w:rPr>
        <w:t>further discussion</w:t>
      </w:r>
      <w:r w:rsidR="00FA2FE3">
        <w:rPr>
          <w:rFonts w:ascii="Arial" w:eastAsia="Yu Mincho" w:hAnsi="Arial" w:cs="Arial"/>
          <w:lang w:eastAsia="ja-JP"/>
        </w:rPr>
        <w:tab/>
      </w:r>
      <w:r w:rsidR="00FA2FE3">
        <w:rPr>
          <w:rFonts w:ascii="Arial" w:eastAsia="Yu Mincho" w:hAnsi="Arial" w:cs="Arial"/>
          <w:lang w:eastAsia="ja-JP"/>
        </w:rPr>
        <w:tab/>
      </w:r>
      <w:r w:rsidR="00FA2FE3">
        <w:rPr>
          <w:rFonts w:ascii="Arial" w:eastAsia="Yu Mincho" w:hAnsi="Arial" w:cs="Arial"/>
          <w:lang w:eastAsia="ja-JP"/>
        </w:rPr>
        <w:tab/>
        <w:t>222</w:t>
      </w:r>
    </w:p>
    <w:p w14:paraId="4618C3A8" w14:textId="06CAD4A3" w:rsidR="003A48AB" w:rsidRPr="003A48AB" w:rsidRDefault="003A48AB" w:rsidP="009F0A54">
      <w:pPr>
        <w:numPr>
          <w:ilvl w:val="1"/>
          <w:numId w:val="31"/>
        </w:numPr>
        <w:tabs>
          <w:tab w:val="left" w:pos="993"/>
        </w:tabs>
        <w:spacing w:after="100" w:afterAutospacing="1" w:line="240" w:lineRule="auto"/>
        <w:ind w:right="95" w:hanging="654"/>
        <w:contextualSpacing/>
        <w:rPr>
          <w:rFonts w:ascii="Arial" w:eastAsia="Times New Roman" w:hAnsi="Arial" w:cs="Arial"/>
          <w:b/>
          <w:color w:val="000000"/>
          <w:lang w:eastAsia="ja-JP"/>
        </w:rPr>
      </w:pPr>
      <w:r w:rsidRPr="003A48AB">
        <w:rPr>
          <w:rFonts w:ascii="Arial" w:eastAsia="Yu Mincho" w:hAnsi="Arial" w:cs="Arial"/>
          <w:lang w:eastAsia="ja-JP"/>
        </w:rPr>
        <w:t>Chapter 5 summary and further discussion</w:t>
      </w:r>
      <w:r w:rsidR="00FA2FE3">
        <w:rPr>
          <w:rFonts w:ascii="Arial" w:eastAsia="Yu Mincho" w:hAnsi="Arial" w:cs="Arial"/>
          <w:lang w:eastAsia="ja-JP"/>
        </w:rPr>
        <w:tab/>
      </w:r>
      <w:r w:rsidR="00FA2FE3">
        <w:rPr>
          <w:rFonts w:ascii="Arial" w:eastAsia="Yu Mincho" w:hAnsi="Arial" w:cs="Arial"/>
          <w:lang w:eastAsia="ja-JP"/>
        </w:rPr>
        <w:tab/>
      </w:r>
      <w:r w:rsidR="00FA2FE3">
        <w:rPr>
          <w:rFonts w:ascii="Arial" w:eastAsia="Yu Mincho" w:hAnsi="Arial" w:cs="Arial"/>
          <w:lang w:eastAsia="ja-JP"/>
        </w:rPr>
        <w:tab/>
        <w:t>223</w:t>
      </w:r>
    </w:p>
    <w:p w14:paraId="65A09687" w14:textId="3BC854CE" w:rsidR="00476449" w:rsidRPr="00476449" w:rsidRDefault="00476449" w:rsidP="009F0A54">
      <w:pPr>
        <w:numPr>
          <w:ilvl w:val="1"/>
          <w:numId w:val="31"/>
        </w:numPr>
        <w:tabs>
          <w:tab w:val="left" w:pos="993"/>
        </w:tabs>
        <w:spacing w:after="100" w:afterAutospacing="1" w:line="240" w:lineRule="auto"/>
        <w:ind w:right="95" w:hanging="654"/>
        <w:contextualSpacing/>
        <w:rPr>
          <w:rFonts w:ascii="Arial" w:eastAsia="Times New Roman" w:hAnsi="Arial" w:cs="Arial"/>
          <w:b/>
          <w:color w:val="000000"/>
          <w:lang w:eastAsia="ja-JP"/>
        </w:rPr>
      </w:pPr>
      <w:r w:rsidRPr="00476449">
        <w:rPr>
          <w:rFonts w:ascii="Arial" w:hAnsi="Arial" w:cs="Arial"/>
        </w:rPr>
        <w:t>Deep homology or a single origin of stomata?</w:t>
      </w:r>
      <w:r w:rsidR="00FA2FE3">
        <w:rPr>
          <w:rFonts w:ascii="Arial" w:hAnsi="Arial" w:cs="Arial"/>
        </w:rPr>
        <w:tab/>
      </w:r>
      <w:r w:rsidR="00FA2FE3">
        <w:rPr>
          <w:rFonts w:ascii="Arial" w:hAnsi="Arial" w:cs="Arial"/>
        </w:rPr>
        <w:tab/>
      </w:r>
      <w:r w:rsidR="00FA2FE3">
        <w:rPr>
          <w:rFonts w:ascii="Arial" w:hAnsi="Arial" w:cs="Arial"/>
        </w:rPr>
        <w:tab/>
        <w:t>225</w:t>
      </w:r>
    </w:p>
    <w:p w14:paraId="779A6611" w14:textId="0C1CC8FC" w:rsidR="00476449" w:rsidRPr="00476449" w:rsidRDefault="00476449" w:rsidP="00476449">
      <w:pPr>
        <w:numPr>
          <w:ilvl w:val="1"/>
          <w:numId w:val="31"/>
        </w:numPr>
        <w:tabs>
          <w:tab w:val="left" w:pos="993"/>
        </w:tabs>
        <w:spacing w:after="100" w:afterAutospacing="1" w:line="240" w:lineRule="auto"/>
        <w:ind w:right="95" w:hanging="654"/>
        <w:contextualSpacing/>
        <w:rPr>
          <w:rFonts w:ascii="Arial" w:eastAsia="Times New Roman" w:hAnsi="Arial" w:cs="Arial"/>
          <w:b/>
          <w:color w:val="000000"/>
          <w:lang w:eastAsia="ja-JP"/>
        </w:rPr>
      </w:pPr>
      <w:r w:rsidRPr="00476449">
        <w:rPr>
          <w:rFonts w:ascii="Arial" w:hAnsi="Arial" w:cs="Arial"/>
        </w:rPr>
        <w:t>The genetic origins of stomata</w:t>
      </w:r>
      <w:r w:rsidRPr="003A48AB">
        <w:rPr>
          <w:rFonts w:ascii="Arial" w:eastAsia="Yu Mincho" w:hAnsi="Arial" w:cs="Arial"/>
          <w:lang w:eastAsia="ja-JP"/>
        </w:rPr>
        <w:t xml:space="preserve"> </w:t>
      </w:r>
      <w:r w:rsidR="00FA2FE3">
        <w:rPr>
          <w:rFonts w:ascii="Arial" w:eastAsia="Yu Mincho" w:hAnsi="Arial" w:cs="Arial"/>
          <w:lang w:eastAsia="ja-JP"/>
        </w:rPr>
        <w:tab/>
      </w:r>
      <w:r w:rsidR="00FA2FE3">
        <w:rPr>
          <w:rFonts w:ascii="Arial" w:eastAsia="Yu Mincho" w:hAnsi="Arial" w:cs="Arial"/>
          <w:lang w:eastAsia="ja-JP"/>
        </w:rPr>
        <w:tab/>
      </w:r>
      <w:r w:rsidR="00FA2FE3">
        <w:rPr>
          <w:rFonts w:ascii="Arial" w:eastAsia="Yu Mincho" w:hAnsi="Arial" w:cs="Arial"/>
          <w:lang w:eastAsia="ja-JP"/>
        </w:rPr>
        <w:tab/>
      </w:r>
      <w:r w:rsidR="00FA2FE3">
        <w:rPr>
          <w:rFonts w:ascii="Arial" w:eastAsia="Yu Mincho" w:hAnsi="Arial" w:cs="Arial"/>
          <w:lang w:eastAsia="ja-JP"/>
        </w:rPr>
        <w:tab/>
      </w:r>
      <w:r w:rsidR="00FA2FE3">
        <w:rPr>
          <w:rFonts w:ascii="Arial" w:eastAsia="Yu Mincho" w:hAnsi="Arial" w:cs="Arial"/>
          <w:lang w:eastAsia="ja-JP"/>
        </w:rPr>
        <w:tab/>
        <w:t>226</w:t>
      </w:r>
    </w:p>
    <w:p w14:paraId="1F2CCF75" w14:textId="7A362094" w:rsidR="00476449" w:rsidRPr="0066139F" w:rsidRDefault="00476449" w:rsidP="00476449">
      <w:pPr>
        <w:numPr>
          <w:ilvl w:val="1"/>
          <w:numId w:val="31"/>
        </w:numPr>
        <w:tabs>
          <w:tab w:val="left" w:pos="993"/>
        </w:tabs>
        <w:spacing w:after="100" w:afterAutospacing="1" w:line="240" w:lineRule="auto"/>
        <w:ind w:right="95" w:hanging="654"/>
        <w:contextualSpacing/>
        <w:rPr>
          <w:rFonts w:ascii="Arial" w:eastAsia="Times New Roman" w:hAnsi="Arial" w:cs="Arial"/>
          <w:b/>
          <w:color w:val="000000"/>
          <w:lang w:eastAsia="ja-JP"/>
        </w:rPr>
      </w:pPr>
      <w:r w:rsidRPr="003A48AB">
        <w:rPr>
          <w:rFonts w:ascii="Arial" w:eastAsia="Yu Mincho" w:hAnsi="Arial" w:cs="Arial"/>
          <w:lang w:eastAsia="ja-JP"/>
        </w:rPr>
        <w:t>Was the primary reason for the evolu</w:t>
      </w:r>
      <w:r w:rsidR="00FA2FE3">
        <w:rPr>
          <w:rFonts w:ascii="Arial" w:eastAsia="Yu Mincho" w:hAnsi="Arial" w:cs="Arial"/>
          <w:lang w:eastAsia="ja-JP"/>
        </w:rPr>
        <w:t xml:space="preserve">tion of stomata to aid </w:t>
      </w:r>
      <w:r w:rsidR="00FA2FE3">
        <w:rPr>
          <w:rFonts w:ascii="Arial" w:eastAsia="Yu Mincho" w:hAnsi="Arial" w:cs="Arial"/>
          <w:lang w:eastAsia="ja-JP"/>
        </w:rPr>
        <w:tab/>
        <w:t>229</w:t>
      </w:r>
    </w:p>
    <w:p w14:paraId="63066245" w14:textId="20C7FCFE" w:rsidR="00476449" w:rsidRPr="00476449" w:rsidRDefault="00476449" w:rsidP="00476449">
      <w:pPr>
        <w:tabs>
          <w:tab w:val="left" w:pos="993"/>
        </w:tabs>
        <w:spacing w:after="100" w:afterAutospacing="1" w:line="240" w:lineRule="auto"/>
        <w:ind w:left="426" w:right="95"/>
        <w:contextualSpacing/>
        <w:rPr>
          <w:rFonts w:ascii="Arial" w:eastAsia="Times New Roman" w:hAnsi="Arial" w:cs="Arial"/>
          <w:color w:val="000000"/>
          <w:lang w:eastAsia="ja-JP"/>
        </w:rPr>
      </w:pPr>
      <w:r>
        <w:rPr>
          <w:rFonts w:ascii="Arial" w:eastAsia="Yu Mincho" w:hAnsi="Arial" w:cs="Arial"/>
          <w:lang w:eastAsia="ja-JP"/>
        </w:rPr>
        <w:tab/>
        <w:t>in</w:t>
      </w:r>
      <w:r>
        <w:rPr>
          <w:rFonts w:ascii="Arial" w:eastAsia="Times New Roman" w:hAnsi="Arial" w:cs="Arial"/>
          <w:b/>
          <w:color w:val="000000"/>
          <w:lang w:eastAsia="ja-JP"/>
        </w:rPr>
        <w:t xml:space="preserve"> </w:t>
      </w:r>
      <w:r>
        <w:rPr>
          <w:rFonts w:ascii="Arial" w:eastAsia="Times New Roman" w:hAnsi="Arial" w:cs="Arial"/>
          <w:color w:val="000000"/>
          <w:lang w:eastAsia="ja-JP"/>
        </w:rPr>
        <w:t>gaseous exchange?</w:t>
      </w:r>
    </w:p>
    <w:p w14:paraId="0719C6D5" w14:textId="35DE78D7" w:rsidR="009F0A54" w:rsidRPr="00476449" w:rsidRDefault="00476449" w:rsidP="00476449">
      <w:pPr>
        <w:tabs>
          <w:tab w:val="left" w:pos="993"/>
        </w:tabs>
        <w:spacing w:after="100" w:afterAutospacing="1" w:line="240" w:lineRule="auto"/>
        <w:ind w:right="95" w:firstLine="426"/>
        <w:contextualSpacing/>
        <w:rPr>
          <w:rFonts w:ascii="Arial" w:eastAsia="Times New Roman" w:hAnsi="Arial" w:cs="Arial"/>
          <w:color w:val="000000"/>
          <w:lang w:eastAsia="ja-JP"/>
        </w:rPr>
      </w:pPr>
      <w:r>
        <w:rPr>
          <w:rFonts w:ascii="Arial" w:eastAsia="Times New Roman" w:hAnsi="Arial" w:cs="Arial"/>
          <w:color w:val="000000"/>
          <w:lang w:eastAsia="ja-JP"/>
        </w:rPr>
        <w:t>6.8</w:t>
      </w:r>
      <w:r w:rsidR="003A48AB" w:rsidRPr="003A48AB">
        <w:rPr>
          <w:rFonts w:ascii="Arial" w:eastAsia="Times New Roman" w:hAnsi="Arial" w:cs="Arial"/>
          <w:color w:val="000000"/>
          <w:lang w:eastAsia="ja-JP"/>
        </w:rPr>
        <w:tab/>
      </w:r>
      <w:r w:rsidR="003A48AB" w:rsidRPr="003A48AB">
        <w:rPr>
          <w:rFonts w:ascii="Arial" w:eastAsia="Yu Mincho" w:hAnsi="Arial" w:cs="Arial"/>
          <w:b/>
          <w:lang w:eastAsia="ja-JP"/>
        </w:rPr>
        <w:t>Conclusions</w:t>
      </w:r>
      <w:r w:rsidR="00B37648">
        <w:rPr>
          <w:rFonts w:ascii="Arial" w:eastAsia="Yu Mincho" w:hAnsi="Arial" w:cs="Arial"/>
          <w:b/>
          <w:lang w:eastAsia="ja-JP"/>
        </w:rPr>
        <w:tab/>
      </w:r>
      <w:r w:rsidR="00B37648">
        <w:rPr>
          <w:rFonts w:ascii="Arial" w:eastAsia="Yu Mincho" w:hAnsi="Arial" w:cs="Arial"/>
          <w:b/>
          <w:lang w:eastAsia="ja-JP"/>
        </w:rPr>
        <w:tab/>
      </w:r>
      <w:r w:rsidR="00B37648">
        <w:rPr>
          <w:rFonts w:ascii="Arial" w:eastAsia="Yu Mincho" w:hAnsi="Arial" w:cs="Arial"/>
          <w:b/>
          <w:lang w:eastAsia="ja-JP"/>
        </w:rPr>
        <w:tab/>
      </w:r>
      <w:r w:rsidR="00B37648">
        <w:rPr>
          <w:rFonts w:ascii="Arial" w:eastAsia="Yu Mincho" w:hAnsi="Arial" w:cs="Arial"/>
          <w:b/>
          <w:lang w:eastAsia="ja-JP"/>
        </w:rPr>
        <w:tab/>
      </w:r>
      <w:r w:rsidR="00B37648">
        <w:rPr>
          <w:rFonts w:ascii="Arial" w:eastAsia="Yu Mincho" w:hAnsi="Arial" w:cs="Arial"/>
          <w:b/>
          <w:lang w:eastAsia="ja-JP"/>
        </w:rPr>
        <w:tab/>
      </w:r>
      <w:r w:rsidR="00B37648">
        <w:rPr>
          <w:rFonts w:ascii="Arial" w:eastAsia="Yu Mincho" w:hAnsi="Arial" w:cs="Arial"/>
          <w:b/>
          <w:lang w:eastAsia="ja-JP"/>
        </w:rPr>
        <w:tab/>
      </w:r>
      <w:r w:rsidR="00B37648">
        <w:rPr>
          <w:rFonts w:ascii="Arial" w:eastAsia="Yu Mincho" w:hAnsi="Arial" w:cs="Arial"/>
          <w:b/>
          <w:lang w:eastAsia="ja-JP"/>
        </w:rPr>
        <w:tab/>
      </w:r>
      <w:r w:rsidR="00FA2FE3">
        <w:rPr>
          <w:rFonts w:ascii="Arial" w:eastAsia="Yu Mincho" w:hAnsi="Arial" w:cs="Arial"/>
          <w:b/>
          <w:lang w:eastAsia="ja-JP"/>
        </w:rPr>
        <w:t>230</w:t>
      </w:r>
    </w:p>
    <w:p w14:paraId="02ED9C72" w14:textId="77777777" w:rsidR="008A2B4A" w:rsidRDefault="008A2B4A">
      <w:pPr>
        <w:rPr>
          <w:rFonts w:ascii="Arial" w:eastAsia="Yu Mincho" w:hAnsi="Arial" w:cs="Arial"/>
          <w:lang w:eastAsia="ja-JP"/>
        </w:rPr>
      </w:pPr>
    </w:p>
    <w:p w14:paraId="70976454" w14:textId="07B2277F" w:rsidR="008A2B4A" w:rsidRPr="008A2B4A" w:rsidRDefault="008A2B4A" w:rsidP="008A2B4A">
      <w:pPr>
        <w:rPr>
          <w:rFonts w:ascii="Arial" w:eastAsia="Yu Mincho" w:hAnsi="Arial" w:cs="Arial"/>
          <w:b/>
          <w:lang w:eastAsia="ja-JP"/>
        </w:rPr>
      </w:pPr>
      <w:r>
        <w:rPr>
          <w:rFonts w:ascii="Arial" w:eastAsia="Yu Mincho" w:hAnsi="Arial" w:cs="Arial"/>
          <w:b/>
          <w:lang w:eastAsia="ja-JP"/>
        </w:rPr>
        <w:t>References</w:t>
      </w:r>
      <w:r>
        <w:rPr>
          <w:rFonts w:ascii="Arial" w:eastAsia="Yu Mincho" w:hAnsi="Arial" w:cs="Arial"/>
          <w:b/>
          <w:lang w:eastAsia="ja-JP"/>
        </w:rPr>
        <w:tab/>
      </w:r>
      <w:r>
        <w:rPr>
          <w:rFonts w:ascii="Arial" w:eastAsia="Yu Mincho" w:hAnsi="Arial" w:cs="Arial"/>
          <w:b/>
          <w:lang w:eastAsia="ja-JP"/>
        </w:rPr>
        <w:tab/>
      </w:r>
      <w:r>
        <w:rPr>
          <w:rFonts w:ascii="Arial" w:eastAsia="Yu Mincho" w:hAnsi="Arial" w:cs="Arial"/>
          <w:b/>
          <w:lang w:eastAsia="ja-JP"/>
        </w:rPr>
        <w:tab/>
      </w:r>
      <w:r>
        <w:rPr>
          <w:rFonts w:ascii="Arial" w:eastAsia="Yu Mincho" w:hAnsi="Arial" w:cs="Arial"/>
          <w:b/>
          <w:lang w:eastAsia="ja-JP"/>
        </w:rPr>
        <w:tab/>
      </w:r>
      <w:r>
        <w:rPr>
          <w:rFonts w:ascii="Arial" w:eastAsia="Yu Mincho" w:hAnsi="Arial" w:cs="Arial"/>
          <w:b/>
          <w:lang w:eastAsia="ja-JP"/>
        </w:rPr>
        <w:tab/>
      </w:r>
      <w:r>
        <w:rPr>
          <w:rFonts w:ascii="Arial" w:eastAsia="Yu Mincho" w:hAnsi="Arial" w:cs="Arial"/>
          <w:b/>
          <w:lang w:eastAsia="ja-JP"/>
        </w:rPr>
        <w:tab/>
      </w:r>
      <w:r>
        <w:rPr>
          <w:rFonts w:ascii="Arial" w:eastAsia="Yu Mincho" w:hAnsi="Arial" w:cs="Arial"/>
          <w:b/>
          <w:lang w:eastAsia="ja-JP"/>
        </w:rPr>
        <w:tab/>
      </w:r>
      <w:r>
        <w:rPr>
          <w:rFonts w:ascii="Arial" w:eastAsia="Yu Mincho" w:hAnsi="Arial" w:cs="Arial"/>
          <w:b/>
          <w:lang w:eastAsia="ja-JP"/>
        </w:rPr>
        <w:tab/>
      </w:r>
      <w:r>
        <w:rPr>
          <w:rFonts w:ascii="Arial" w:eastAsia="Yu Mincho" w:hAnsi="Arial" w:cs="Arial"/>
          <w:b/>
          <w:lang w:eastAsia="ja-JP"/>
        </w:rPr>
        <w:tab/>
      </w:r>
      <w:r w:rsidR="00FA2FE3">
        <w:rPr>
          <w:rFonts w:ascii="Arial" w:eastAsia="Yu Mincho" w:hAnsi="Arial" w:cs="Arial"/>
          <w:b/>
          <w:lang w:eastAsia="ja-JP"/>
        </w:rPr>
        <w:t>232-245</w:t>
      </w:r>
    </w:p>
    <w:p w14:paraId="7AF0DD14" w14:textId="77777777" w:rsidR="009F0A54" w:rsidRDefault="009F0A54">
      <w:pPr>
        <w:rPr>
          <w:rFonts w:ascii="Arial" w:eastAsia="Yu Mincho" w:hAnsi="Arial" w:cs="Arial"/>
          <w:lang w:eastAsia="ja-JP"/>
        </w:rPr>
      </w:pPr>
      <w:r>
        <w:rPr>
          <w:rFonts w:ascii="Arial" w:eastAsia="Yu Mincho" w:hAnsi="Arial" w:cs="Arial"/>
          <w:lang w:eastAsia="ja-JP"/>
        </w:rPr>
        <w:br w:type="page"/>
      </w:r>
    </w:p>
    <w:p w14:paraId="055E550F" w14:textId="77777777" w:rsidR="003A48AB" w:rsidRPr="003A48AB" w:rsidRDefault="003A48AB" w:rsidP="009F0A54">
      <w:pPr>
        <w:tabs>
          <w:tab w:val="left" w:pos="6663"/>
        </w:tabs>
        <w:spacing w:after="160" w:line="360" w:lineRule="auto"/>
        <w:ind w:right="95"/>
        <w:rPr>
          <w:rFonts w:ascii="Arial" w:eastAsia="Times New Roman" w:hAnsi="Arial" w:cs="Arial"/>
          <w:b/>
          <w:bdr w:val="none" w:sz="0" w:space="0" w:color="auto" w:frame="1"/>
          <w:lang w:eastAsia="ja-JP"/>
        </w:rPr>
      </w:pPr>
      <w:r w:rsidRPr="003A48AB">
        <w:rPr>
          <w:rFonts w:ascii="Arial" w:eastAsia="Times New Roman" w:hAnsi="Arial" w:cs="Arial"/>
          <w:b/>
          <w:bdr w:val="none" w:sz="0" w:space="0" w:color="auto" w:frame="1"/>
          <w:lang w:eastAsia="ja-JP"/>
        </w:rPr>
        <w:lastRenderedPageBreak/>
        <w:t>List of Figures</w:t>
      </w:r>
    </w:p>
    <w:p w14:paraId="0EF1DF9E" w14:textId="77777777" w:rsidR="003A48AB" w:rsidRPr="003A48AB" w:rsidRDefault="003A48AB" w:rsidP="009F0A54">
      <w:pPr>
        <w:tabs>
          <w:tab w:val="left" w:pos="6663"/>
        </w:tabs>
        <w:spacing w:after="0" w:line="240" w:lineRule="auto"/>
        <w:ind w:right="96"/>
        <w:rPr>
          <w:rFonts w:ascii="Arial" w:eastAsia="Times New Roman" w:hAnsi="Arial" w:cs="Arial"/>
          <w:b/>
          <w:bdr w:val="none" w:sz="0" w:space="0" w:color="auto" w:frame="1"/>
          <w:lang w:eastAsia="ja-JP"/>
        </w:rPr>
      </w:pPr>
      <w:r w:rsidRPr="003A48AB">
        <w:rPr>
          <w:rFonts w:ascii="Arial" w:eastAsia="Times New Roman" w:hAnsi="Arial" w:cs="Arial"/>
          <w:b/>
          <w:bdr w:val="none" w:sz="0" w:space="0" w:color="auto" w:frame="1"/>
          <w:lang w:eastAsia="ja-JP"/>
        </w:rPr>
        <w:t>Chapter 1</w:t>
      </w:r>
    </w:p>
    <w:p w14:paraId="701C6898" w14:textId="77777777" w:rsidR="003A48AB" w:rsidRPr="003A48AB" w:rsidRDefault="003A48AB" w:rsidP="009F0A54">
      <w:pPr>
        <w:tabs>
          <w:tab w:val="left" w:pos="6663"/>
        </w:tabs>
        <w:spacing w:after="0" w:line="240" w:lineRule="auto"/>
        <w:ind w:right="96"/>
        <w:rPr>
          <w:rFonts w:ascii="Arial" w:eastAsia="Times New Roman" w:hAnsi="Arial" w:cs="Arial"/>
          <w:b/>
          <w:bdr w:val="none" w:sz="0" w:space="0" w:color="auto" w:frame="1"/>
          <w:lang w:eastAsia="ja-JP"/>
        </w:rPr>
      </w:pPr>
    </w:p>
    <w:p w14:paraId="0CE571E7"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Figure 1. Land plant evolutionary history.</w:t>
      </w:r>
      <w:r w:rsidR="005F1424">
        <w:rPr>
          <w:rFonts w:ascii="Arial" w:eastAsia="Yu Mincho" w:hAnsi="Arial" w:cs="Arial"/>
          <w:lang w:eastAsia="ja-JP"/>
        </w:rPr>
        <w:tab/>
      </w:r>
      <w:r w:rsidR="005F1424">
        <w:rPr>
          <w:rFonts w:ascii="Arial" w:eastAsia="Yu Mincho" w:hAnsi="Arial" w:cs="Arial"/>
          <w:lang w:eastAsia="ja-JP"/>
        </w:rPr>
        <w:tab/>
        <w:t>3</w:t>
      </w:r>
    </w:p>
    <w:p w14:paraId="594F66EF"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b/>
          <w:lang w:eastAsia="ja-JP"/>
        </w:rPr>
        <w:tab/>
      </w:r>
      <w:r w:rsidRPr="003A48AB">
        <w:rPr>
          <w:rFonts w:ascii="Arial" w:eastAsia="Yu Mincho" w:hAnsi="Arial" w:cs="Arial"/>
          <w:b/>
          <w:lang w:eastAsia="ja-JP"/>
        </w:rPr>
        <w:tab/>
      </w:r>
    </w:p>
    <w:p w14:paraId="562CCB9E" w14:textId="5351D44B" w:rsidR="005F1424"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Figure 2. Examples of Stomata and neighbourin</w:t>
      </w:r>
      <w:r w:rsidR="009F0A54">
        <w:rPr>
          <w:rFonts w:ascii="Arial" w:eastAsia="Yu Mincho" w:hAnsi="Arial" w:cs="Arial"/>
          <w:lang w:eastAsia="ja-JP"/>
        </w:rPr>
        <w:t xml:space="preserve">g cells from a variety </w:t>
      </w:r>
      <w:r w:rsidR="00FA2FE3">
        <w:rPr>
          <w:rFonts w:ascii="Arial" w:eastAsia="Yu Mincho" w:hAnsi="Arial" w:cs="Arial"/>
          <w:lang w:eastAsia="ja-JP"/>
        </w:rPr>
        <w:tab/>
        <w:t>9</w:t>
      </w:r>
    </w:p>
    <w:p w14:paraId="0F8C62B7" w14:textId="715247B3" w:rsidR="003A48AB" w:rsidRPr="003A48AB" w:rsidRDefault="005F142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 xml:space="preserve">of </w:t>
      </w:r>
      <w:r w:rsidR="003A48AB" w:rsidRPr="003A48AB">
        <w:rPr>
          <w:rFonts w:ascii="Arial" w:eastAsia="Yu Mincho" w:hAnsi="Arial" w:cs="Arial"/>
          <w:lang w:eastAsia="ja-JP"/>
        </w:rPr>
        <w:t xml:space="preserve">land plant lineages adapted from Peterson et al. </w:t>
      </w:r>
      <w:r w:rsidR="003A48AB" w:rsidRPr="003A48AB">
        <w:rPr>
          <w:rFonts w:ascii="Arial" w:eastAsia="Yu Mincho" w:hAnsi="Arial" w:cs="Arial"/>
          <w:lang w:eastAsia="ja-JP"/>
        </w:rPr>
        <w:fldChar w:fldCharType="begin"/>
      </w:r>
      <w:r w:rsidR="00417B1E">
        <w:rPr>
          <w:rFonts w:ascii="Arial" w:eastAsia="Yu Mincho" w:hAnsi="Arial" w:cs="Arial"/>
          <w:lang w:eastAsia="ja-JP"/>
        </w:rPr>
        <w:instrText xml:space="preserve"> ADDIN EN.CITE &lt;EndNote&gt;&lt;Cite ExcludeAuth="1"&gt;&lt;Author&gt;Peterson&lt;/Author&gt;&lt;Year&gt;2010&lt;/Year&gt;&lt;IDText&gt;Out of the Mouths of Plants: The Molecular Basis of the Evolution and Diversity of Stomatal Development&lt;/IDText&gt;&lt;DisplayText&gt;(2010)&lt;/DisplayText&gt;&lt;record&gt;&lt;dates&gt;&lt;pub-dates&gt;&lt;date&gt;Feb&lt;/date&gt;&lt;/pub-dates&gt;&lt;year&gt;2010&lt;/year&gt;&lt;/dates&gt;&lt;keywords&gt;&lt;keyword&gt;ASYMMETRIC CELL-DIVISION&lt;/keyword&gt;&lt;keyword&gt;ACTIVATED PROTEIN-KINASES&lt;/keyword&gt;&lt;keyword&gt;RECEPTOR-LIKE&lt;/keyword&gt;&lt;keyword&gt;KINASES&lt;/keyword&gt;&lt;keyword&gt;EARLY LAND PLANTS&lt;/keyword&gt;&lt;keyword&gt;ARABIDOPSIS-THALIANA&lt;/keyword&gt;&lt;keyword&gt;MEDIATED REGULATION&lt;/keyword&gt;&lt;keyword&gt;SECRETORY PEPTIDE&lt;/keyword&gt;&lt;keyword&gt;MAPKK KINASE&lt;/keyword&gt;&lt;keyword&gt;DIFFERENTIATION&lt;/keyword&gt;&lt;keyword&gt;DENSITY&lt;/keyword&gt;&lt;/keywords&gt;&lt;urls&gt;&lt;related-urls&gt;&lt;url&gt;&amp;lt;Go to ISI&amp;gt;://WOS:000275926200004&lt;/url&gt;&lt;/related-urls&gt;&lt;/urls&gt;&lt;isbn&gt;1040-4651&lt;/isbn&gt;&lt;work-type&gt;Review&lt;/work-type&gt;&lt;titles&gt;&lt;title&gt;Out of the Mouths of Plants: The Molecular Basis of the Evolution and Diversity of Stomatal Development&lt;/title&gt;&lt;secondary-title&gt;Plant Cell&lt;/secondary-title&gt;&lt;alt-title&gt;Plant Cell&lt;/alt-title&gt;&lt;/titles&gt;&lt;pages&gt;296-306&lt;/pages&gt;&lt;number&gt;2&lt;/number&gt;&lt;contributors&gt;&lt;authors&gt;&lt;author&gt;Peterson, K. M.&lt;/author&gt;&lt;author&gt;Rychel, A. L.&lt;/author&gt;&lt;author&gt;Torii, K. U.&lt;/author&gt;&lt;/authors&gt;&lt;/contributors&gt;&lt;language&gt;English&lt;/language&gt;&lt;added-date format="utc"&gt;1354439861&lt;/added-date&gt;&lt;ref-type name="Journal Article"&gt;17&lt;/ref-type&gt;&lt;auth-address&gt;[Peterson, Kylee M.&amp;#xD;Rychel, Amanda L.&amp;#xD;Torii, Keiko U.] Univ Washington, Dept Biol, Seattle, WA 98195 USA. [Torii, Keiko U.] Japan Sci &amp;amp; Technol Agcy, PREST, Tokyo 1020075, Japan.&amp;#xD;Torii, KU (reprint author), Univ Washington, Dept Biol, Seattle, WA 98195 USA.&amp;#xD;ktorii@u.washington.edu&lt;/auth-address&gt;&lt;rec-number&gt;82&lt;/rec-number&gt;&lt;last-updated-date format="utc"&gt;1354439861&lt;/last-updated-date&gt;&lt;accession-num&gt;WOS:000275926200004&lt;/accession-num&gt;&lt;electronic-resource-num&gt;10.1105/tpc.109.072777&lt;/electronic-resource-num&gt;&lt;volume&gt;22&lt;/volume&gt;&lt;/record&gt;&lt;/Cite&gt;&lt;/EndNote&gt;</w:instrText>
      </w:r>
      <w:r w:rsidR="003A48AB" w:rsidRPr="003A48AB">
        <w:rPr>
          <w:rFonts w:ascii="Arial" w:eastAsia="Yu Mincho" w:hAnsi="Arial" w:cs="Arial"/>
          <w:lang w:eastAsia="ja-JP"/>
        </w:rPr>
        <w:fldChar w:fldCharType="separate"/>
      </w:r>
      <w:r w:rsidR="003A48AB" w:rsidRPr="003A48AB">
        <w:rPr>
          <w:rFonts w:ascii="Arial" w:eastAsia="Yu Mincho" w:hAnsi="Arial" w:cs="Arial"/>
          <w:noProof/>
          <w:lang w:eastAsia="ja-JP"/>
        </w:rPr>
        <w:t>(2010)</w:t>
      </w:r>
      <w:r w:rsidR="003A48AB" w:rsidRPr="003A48AB">
        <w:rPr>
          <w:rFonts w:ascii="Arial" w:eastAsia="Yu Mincho" w:hAnsi="Arial" w:cs="Arial"/>
          <w:lang w:eastAsia="ja-JP"/>
        </w:rPr>
        <w:fldChar w:fldCharType="end"/>
      </w:r>
      <w:r w:rsidR="003A48AB" w:rsidRPr="003A48AB">
        <w:rPr>
          <w:rFonts w:ascii="Arial" w:eastAsia="Yu Mincho" w:hAnsi="Arial" w:cs="Arial"/>
          <w:lang w:eastAsia="ja-JP"/>
        </w:rPr>
        <w:t>.</w:t>
      </w:r>
    </w:p>
    <w:p w14:paraId="17B3B2B1"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63DAEA38" w14:textId="4BC5A506" w:rsidR="005F1424" w:rsidRPr="005F1424"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3. Mesogenous and mesoperigenous stomata in </w:t>
      </w:r>
      <w:r w:rsidRPr="003A48AB">
        <w:rPr>
          <w:rFonts w:ascii="Arial" w:eastAsia="Yu Mincho" w:hAnsi="Arial" w:cs="Arial"/>
          <w:i/>
          <w:lang w:eastAsia="ja-JP"/>
        </w:rPr>
        <w:t xml:space="preserve">Arabidopsis </w:t>
      </w:r>
      <w:r w:rsidR="005F1424">
        <w:rPr>
          <w:rFonts w:ascii="Arial" w:eastAsia="Yu Mincho" w:hAnsi="Arial" w:cs="Arial"/>
          <w:i/>
          <w:lang w:eastAsia="ja-JP"/>
        </w:rPr>
        <w:tab/>
      </w:r>
      <w:r w:rsidR="005F1424">
        <w:rPr>
          <w:rFonts w:ascii="Arial" w:eastAsia="Yu Mincho" w:hAnsi="Arial" w:cs="Arial"/>
          <w:i/>
          <w:lang w:eastAsia="ja-JP"/>
        </w:rPr>
        <w:tab/>
      </w:r>
      <w:r w:rsidR="00FA2FE3">
        <w:rPr>
          <w:rFonts w:ascii="Arial" w:eastAsia="Yu Mincho" w:hAnsi="Arial" w:cs="Arial"/>
          <w:lang w:eastAsia="ja-JP"/>
        </w:rPr>
        <w:t>11</w:t>
      </w:r>
    </w:p>
    <w:p w14:paraId="60584FD7" w14:textId="72CBFBB8"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i/>
          <w:lang w:eastAsia="ja-JP"/>
        </w:rPr>
        <w:t>thaliana</w:t>
      </w:r>
      <w:r w:rsidR="005F1424">
        <w:rPr>
          <w:rFonts w:ascii="Arial" w:eastAsia="Yu Mincho" w:hAnsi="Arial" w:cs="Arial"/>
          <w:lang w:eastAsia="ja-JP"/>
        </w:rPr>
        <w:t xml:space="preserve"> </w:t>
      </w:r>
      <w:r w:rsidRPr="003A48AB">
        <w:rPr>
          <w:rFonts w:ascii="Arial" w:eastAsia="Yu Mincho" w:hAnsi="Arial" w:cs="Arial"/>
          <w:lang w:eastAsia="ja-JP"/>
        </w:rPr>
        <w:t>adapted from Lau and Bergmann</w:t>
      </w:r>
      <w:r w:rsidRPr="003A48AB">
        <w:rPr>
          <w:rFonts w:ascii="Arial" w:eastAsia="Yu Mincho" w:hAnsi="Arial" w:cs="Arial"/>
          <w:i/>
          <w:lang w:eastAsia="ja-JP"/>
        </w:rPr>
        <w:t xml:space="preserve"> </w:t>
      </w:r>
      <w:r w:rsidRPr="003A48AB">
        <w:rPr>
          <w:rFonts w:ascii="Arial" w:eastAsia="Yu Mincho" w:hAnsi="Arial" w:cs="Arial"/>
          <w:lang w:eastAsia="ja-JP"/>
        </w:rPr>
        <w:fldChar w:fldCharType="begin"/>
      </w:r>
      <w:r w:rsidR="00417B1E">
        <w:rPr>
          <w:rFonts w:ascii="Arial" w:eastAsia="Yu Mincho" w:hAnsi="Arial" w:cs="Arial"/>
          <w:lang w:eastAsia="ja-JP"/>
        </w:rPr>
        <w:instrText xml:space="preserve"> ADDIN EN.CITE &lt;EndNote&gt;&lt;Cite ExcludeAuth="1"&gt;&lt;Author&gt;Lau&lt;/Author&gt;&lt;Year&gt;2012&lt;/Year&gt;&lt;IDText&gt;Stomatal development: a plant&amp;apos;s perspective on cell polarity, cell fate transitions and intercellular communication&lt;/IDText&gt;&lt;DisplayText&gt;(2012)&lt;/DisplayText&gt;&lt;record&gt;&lt;dates&gt;&lt;pub-dates&gt;&lt;date&gt;Oct&lt;/date&gt;&lt;/pub-dates&gt;&lt;year&gt;2012&lt;/year&gt;&lt;/dates&gt;&lt;keywords&gt;&lt;keyword&gt;Stomatal development&lt;/keyword&gt;&lt;keyword&gt;Cell polarity&lt;/keyword&gt;&lt;keyword&gt;Intercellular communication&lt;/keyword&gt;&lt;keyword&gt;TRANSCRIPTION FACTOR&lt;/keyword&gt;&lt;keyword&gt;SECRETORY PEPTIDE&lt;/keyword&gt;&lt;keyword&gt;RECEPTOR KINASES&lt;/keyword&gt;&lt;keyword&gt;HLH PROTEINS&lt;/keyword&gt;&lt;keyword&gt;4 LIPS&lt;/keyword&gt;&lt;keyword&gt;ARABIDOPSIS&lt;/keyword&gt;&lt;keyword&gt;DIFFERENTIATION&lt;/keyword&gt;&lt;keyword&gt;DIVISION&lt;/keyword&gt;&lt;keyword&gt;DENSITY&lt;/keyword&gt;&lt;keyword&gt;MOUTHS&lt;/keyword&gt;&lt;/keywords&gt;&lt;urls&gt;&lt;related-urls&gt;&lt;url&gt;&amp;lt;Go to ISI&amp;gt;://WOS:000308976300003&lt;/url&gt;&lt;/related-urls&gt;&lt;/urls&gt;&lt;isbn&gt;0950-1991&lt;/isbn&gt;&lt;work-type&gt;Article&lt;/work-type&gt;&lt;titles&gt;&lt;title&gt;Stomatal development: a plant&amp;apos;s perspective on cell polarity, cell fate transitions and intercellular communication&lt;/title&gt;&lt;secondary-title&gt;Development&lt;/secondary-title&gt;&lt;alt-title&gt;Development&lt;/alt-title&gt;&lt;/titles&gt;&lt;pages&gt;3683-3692&lt;/pages&gt;&lt;number&gt;20&lt;/number&gt;&lt;contributors&gt;&lt;authors&gt;&lt;author&gt;Lau, O. S.&lt;/author&gt;&lt;author&gt;Bergmann, D. C.&lt;/author&gt;&lt;/authors&gt;&lt;/contributors&gt;&lt;language&gt;English&lt;/language&gt;&lt;added-date format="utc"&gt;1351499827&lt;/added-date&gt;&lt;ref-type name="Journal Article"&gt;17&lt;/ref-type&gt;&lt;auth-address&gt;[Bergmann, Dominique C.] Stanford Univ, Howard Hughes Med Inst, Stanford, CA 94305 USA. [Lau, On Sun&amp;#xD;Bergmann, Dominique C.] Stanford Univ, Dept Biol, Stanford, CA 94305 USA.&amp;#xD;Bergmann, DC (reprint author), Stanford Univ, Howard Hughes Med Inst, Stanford, CA 94305 USA.&amp;#xD;dbergmann@stanford.edu&lt;/auth-address&gt;&lt;rec-number&gt;9&lt;/rec-number&gt;&lt;last-updated-date format="utc"&gt;1351499827&lt;/last-updated-date&gt;&lt;accession-num&gt;WOS:000308976300003&lt;/accession-num&gt;&lt;electronic-resource-num&gt;10.1242/dev.080523&lt;/electronic-resource-num&gt;&lt;volume&gt;139&lt;/volume&gt;&lt;/record&gt;&lt;/Cite&gt;&lt;/EndNote&gt;</w:instrText>
      </w:r>
      <w:r w:rsidRPr="003A48AB">
        <w:rPr>
          <w:rFonts w:ascii="Arial" w:eastAsia="Yu Mincho" w:hAnsi="Arial" w:cs="Arial"/>
          <w:lang w:eastAsia="ja-JP"/>
        </w:rPr>
        <w:fldChar w:fldCharType="separate"/>
      </w:r>
      <w:r w:rsidRPr="003A48AB">
        <w:rPr>
          <w:rFonts w:ascii="Arial" w:eastAsia="Yu Mincho" w:hAnsi="Arial" w:cs="Arial"/>
          <w:noProof/>
          <w:lang w:eastAsia="ja-JP"/>
        </w:rPr>
        <w:t>(2012)</w:t>
      </w:r>
      <w:r w:rsidRPr="003A48AB">
        <w:rPr>
          <w:rFonts w:ascii="Arial" w:eastAsia="Yu Mincho" w:hAnsi="Arial" w:cs="Arial"/>
          <w:lang w:eastAsia="ja-JP"/>
        </w:rPr>
        <w:fldChar w:fldCharType="end"/>
      </w:r>
      <w:r w:rsidRPr="003A48AB">
        <w:rPr>
          <w:rFonts w:ascii="Arial" w:eastAsia="Yu Mincho" w:hAnsi="Arial" w:cs="Arial"/>
          <w:lang w:eastAsia="ja-JP"/>
        </w:rPr>
        <w:t>.</w:t>
      </w:r>
    </w:p>
    <w:p w14:paraId="36FBE1B8"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780F17EC" w14:textId="3B6041B5" w:rsidR="005F1424"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4. Overview of Stomatal development in </w:t>
      </w:r>
      <w:r w:rsidRPr="003A48AB">
        <w:rPr>
          <w:rFonts w:ascii="Arial" w:eastAsia="Yu Mincho" w:hAnsi="Arial" w:cs="Arial"/>
          <w:i/>
          <w:lang w:eastAsia="ja-JP"/>
        </w:rPr>
        <w:t>Arabidopsis thaliana</w:t>
      </w:r>
      <w:r w:rsidR="009F0A54">
        <w:rPr>
          <w:rFonts w:ascii="Arial" w:eastAsia="Yu Mincho" w:hAnsi="Arial" w:cs="Arial"/>
          <w:lang w:eastAsia="ja-JP"/>
        </w:rPr>
        <w:t xml:space="preserve"> </w:t>
      </w:r>
      <w:r w:rsidR="00FA2FE3">
        <w:rPr>
          <w:rFonts w:ascii="Arial" w:eastAsia="Yu Mincho" w:hAnsi="Arial" w:cs="Arial"/>
          <w:lang w:eastAsia="ja-JP"/>
        </w:rPr>
        <w:tab/>
        <w:t>13</w:t>
      </w:r>
    </w:p>
    <w:p w14:paraId="7615AEE5" w14:textId="76CA5FC5" w:rsidR="003A48AB" w:rsidRPr="003A48AB"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adapted</w:t>
      </w:r>
      <w:r w:rsidR="005F1424">
        <w:rPr>
          <w:rFonts w:ascii="Arial" w:eastAsia="Yu Mincho" w:hAnsi="Arial" w:cs="Arial"/>
          <w:lang w:eastAsia="ja-JP"/>
        </w:rPr>
        <w:t xml:space="preserve"> </w:t>
      </w:r>
      <w:r w:rsidR="003A48AB" w:rsidRPr="003A48AB">
        <w:rPr>
          <w:rFonts w:ascii="Arial" w:eastAsia="Yu Mincho" w:hAnsi="Arial" w:cs="Arial"/>
          <w:lang w:eastAsia="ja-JP"/>
        </w:rPr>
        <w:t xml:space="preserve">from Pillitteri and Torii </w:t>
      </w:r>
      <w:r w:rsidR="003A48AB" w:rsidRPr="003A48AB">
        <w:rPr>
          <w:rFonts w:ascii="Arial" w:eastAsia="Yu Mincho" w:hAnsi="Arial" w:cs="Arial"/>
          <w:lang w:eastAsia="ja-JP"/>
        </w:rPr>
        <w:fldChar w:fldCharType="begin">
          <w:fldData xml:space="preserve">PEVuZE5vdGU+PENpdGUgRXhjbHVkZUF1dGg9IjEiPjxBdXRob3I+UGlsbGl0dGVyaTwvQXV0aG9y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</w:fldData>
        </w:fldChar>
      </w:r>
      <w:r w:rsidR="00417B1E">
        <w:rPr>
          <w:rFonts w:ascii="Arial" w:eastAsia="Yu Mincho" w:hAnsi="Arial" w:cs="Arial"/>
          <w:lang w:eastAsia="ja-JP"/>
        </w:rPr>
        <w:instrText xml:space="preserve"> ADDIN EN.CITE </w:instrText>
      </w:r>
      <w:r w:rsidR="00417B1E">
        <w:rPr>
          <w:rFonts w:ascii="Arial" w:eastAsia="Yu Mincho" w:hAnsi="Arial" w:cs="Arial"/>
          <w:lang w:eastAsia="ja-JP"/>
        </w:rPr>
        <w:fldChar w:fldCharType="begin">
          <w:fldData xml:space="preserve">PEVuZE5vdGU+PENpdGUgRXhjbHVkZUF1dGg9IjEiPjxBdXRob3I+UGlsbGl0dGVyaTwvQXV0aG9y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</w:fldData>
        </w:fldChar>
      </w:r>
      <w:r w:rsidR="00417B1E">
        <w:rPr>
          <w:rFonts w:ascii="Arial" w:eastAsia="Yu Mincho" w:hAnsi="Arial" w:cs="Arial"/>
          <w:lang w:eastAsia="ja-JP"/>
        </w:rPr>
        <w:instrText xml:space="preserve"> ADDIN EN.CITE.DATA </w:instrText>
      </w:r>
      <w:r w:rsidR="00417B1E">
        <w:rPr>
          <w:rFonts w:ascii="Arial" w:eastAsia="Yu Mincho" w:hAnsi="Arial" w:cs="Arial"/>
          <w:lang w:eastAsia="ja-JP"/>
        </w:rPr>
      </w:r>
      <w:r w:rsidR="00417B1E">
        <w:rPr>
          <w:rFonts w:ascii="Arial" w:eastAsia="Yu Mincho" w:hAnsi="Arial" w:cs="Arial"/>
          <w:lang w:eastAsia="ja-JP"/>
        </w:rPr>
        <w:fldChar w:fldCharType="end"/>
      </w:r>
      <w:r w:rsidR="003A48AB" w:rsidRPr="003A48AB">
        <w:rPr>
          <w:rFonts w:ascii="Arial" w:eastAsia="Yu Mincho" w:hAnsi="Arial" w:cs="Arial"/>
          <w:lang w:eastAsia="ja-JP"/>
        </w:rPr>
      </w:r>
      <w:r w:rsidR="003A48AB" w:rsidRPr="003A48AB">
        <w:rPr>
          <w:rFonts w:ascii="Arial" w:eastAsia="Yu Mincho" w:hAnsi="Arial" w:cs="Arial"/>
          <w:lang w:eastAsia="ja-JP"/>
        </w:rPr>
        <w:fldChar w:fldCharType="separate"/>
      </w:r>
      <w:r w:rsidR="003A48AB" w:rsidRPr="003A48AB">
        <w:rPr>
          <w:rFonts w:ascii="Arial" w:eastAsia="Yu Mincho" w:hAnsi="Arial" w:cs="Arial"/>
          <w:noProof/>
          <w:lang w:eastAsia="ja-JP"/>
        </w:rPr>
        <w:t>(2012)</w:t>
      </w:r>
      <w:r w:rsidR="003A48AB" w:rsidRPr="003A48AB">
        <w:rPr>
          <w:rFonts w:ascii="Arial" w:eastAsia="Yu Mincho" w:hAnsi="Arial" w:cs="Arial"/>
          <w:lang w:eastAsia="ja-JP"/>
        </w:rPr>
        <w:fldChar w:fldCharType="end"/>
      </w:r>
      <w:r w:rsidR="003A48AB" w:rsidRPr="003A48AB">
        <w:rPr>
          <w:rFonts w:ascii="Arial" w:eastAsia="Yu Mincho" w:hAnsi="Arial" w:cs="Arial"/>
          <w:lang w:eastAsia="ja-JP"/>
        </w:rPr>
        <w:t>.</w:t>
      </w:r>
    </w:p>
    <w:p w14:paraId="38E37244"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08A363E9" w14:textId="283C8E25" w:rsidR="005F1424"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5. The functioning of BREAKING </w:t>
      </w:r>
      <w:r w:rsidR="009F0A54">
        <w:rPr>
          <w:rFonts w:ascii="Arial" w:eastAsia="Yu Mincho" w:hAnsi="Arial" w:cs="Arial"/>
          <w:lang w:eastAsia="ja-JP"/>
        </w:rPr>
        <w:t xml:space="preserve">OF ASSYMETRY IN THE </w:t>
      </w:r>
      <w:r w:rsidR="00FA2FE3">
        <w:rPr>
          <w:rFonts w:ascii="Arial" w:eastAsia="Yu Mincho" w:hAnsi="Arial" w:cs="Arial"/>
          <w:lang w:eastAsia="ja-JP"/>
        </w:rPr>
        <w:tab/>
      </w:r>
      <w:r w:rsidR="00FA2FE3">
        <w:rPr>
          <w:rFonts w:ascii="Arial" w:eastAsia="Yu Mincho" w:hAnsi="Arial" w:cs="Arial"/>
          <w:lang w:eastAsia="ja-JP"/>
        </w:rPr>
        <w:tab/>
        <w:t>17</w:t>
      </w:r>
    </w:p>
    <w:p w14:paraId="7F3CA6E0" w14:textId="77777777" w:rsidR="005F1424"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STOMATAL</w:t>
      </w:r>
      <w:r w:rsidR="003A48AB" w:rsidRPr="003A48AB">
        <w:rPr>
          <w:rFonts w:ascii="Arial" w:eastAsia="Yu Mincho" w:hAnsi="Arial" w:cs="Arial"/>
          <w:lang w:eastAsia="ja-JP"/>
        </w:rPr>
        <w:t xml:space="preserve"> LINEAGE (BASL) in Arabidopsis schematic from Han </w:t>
      </w:r>
    </w:p>
    <w:p w14:paraId="54DAD948"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and Torii </w:t>
      </w:r>
      <w:r w:rsidRPr="003A48AB">
        <w:rPr>
          <w:rFonts w:ascii="Arial" w:eastAsia="Yu Mincho" w:hAnsi="Arial" w:cs="Arial"/>
          <w:lang w:eastAsia="ja-JP"/>
        </w:rPr>
        <w:fldChar w:fldCharType="begin"/>
      </w:r>
      <w:r w:rsidRPr="003A48AB">
        <w:rPr>
          <w:rFonts w:ascii="Arial" w:eastAsia="Yu Mincho" w:hAnsi="Arial" w:cs="Arial"/>
          <w:lang w:eastAsia="ja-JP"/>
        </w:rPr>
        <w:instrText xml:space="preserve"> ADDIN EN.CITE &lt;EndNote&gt;&lt;Cite ExcludeAuth="1"&gt;&lt;Author&gt;Han&lt;/Author&gt;&lt;Year&gt;2016&lt;/Year&gt;&lt;IDText&gt;Lineage-specific stem cells, signals and asymmetries during stomatal development&lt;/IDText&gt;&lt;DisplayText&gt;(2016)&lt;/DisplayText&gt;&lt;record&gt;&lt;dates&gt;&lt;pub-dates&gt;&lt;date&gt;2016 Apr&lt;/date&gt;&lt;/pub-dates&gt;&lt;year&gt;2016&lt;/year&gt;&lt;/dates&gt;&lt;keywords&gt;&lt;keyword&gt;Index Medicus&lt;/keyword&gt;&lt;keyword&gt;Asymmetric division&lt;/keyword&gt;&lt;keyword&gt;Epigenetic regulation of differentiation&lt;/keyword&gt;&lt;keyword&gt;Lineage-specific stem cells&lt;/keyword&gt;&lt;keyword&gt;Peptide signaling&lt;/keyword&gt;&lt;keyword&gt;Stomata&lt;/keyword&gt;&lt;keyword&gt;bHLH proteins&lt;/keyword&gt;&lt;/keywords&gt;&lt;urls&gt;&lt;related-urls&gt;&lt;url&gt;&amp;lt;Go to ISI&amp;gt;://MEDLINE:27095491&lt;/url&gt;&lt;/related-urls&gt;&lt;/urls&gt;&lt;isbn&gt;1477-9129&lt;/isbn&gt;&lt;work-type&gt;; Review&lt;/work-type&gt;&lt;titles&gt;&lt;title&gt;Lineage-specific stem cells, signals and asymmetries during stomatal development&lt;/title&gt;&lt;secondary-title&gt;Development (Cambridge, England)&lt;/secondary-title&gt;&lt;/titles&gt;&lt;pages&gt;1259-70&lt;/pages&gt;&lt;number&gt;8&lt;/number&gt;&lt;contributors&gt;&lt;authors&gt;&lt;author&gt;Han, Soon-Ki&lt;/author&gt;&lt;author&gt;Torii, Keiko U.&lt;/author&gt;&lt;/authors&gt;&lt;/contributors&gt;&lt;language&gt;English&lt;/language&gt;&lt;added-date format="utc"&gt;1465469705&lt;/added-date&gt;&lt;ref-type name="Journal Article"&gt;17&lt;/ref-type&gt;&lt;auth-address&gt;Howard Hughes Medical Institute, University of Washington, Seattle, WA 98195, USA Department of Biology, University of Washington, Seattle, WA 98195, USA.&lt;/auth-address&gt;&lt;rec-number&gt;1291&lt;/rec-number&gt;&lt;last-updated-date format="utc"&gt;1465469705&lt;/last-updated-date&gt;&lt;accession-num&gt;MEDLINE:27095491&lt;/accession-num&gt;&lt;electronic-resource-num&gt;10.1242/dev.127712&lt;/electronic-resource-num&gt;&lt;volume&gt;143&lt;/volume&gt;&lt;/record&gt;&lt;/Cite&gt;&lt;/EndNote&gt;</w:instrText>
      </w:r>
      <w:r w:rsidRPr="003A48AB">
        <w:rPr>
          <w:rFonts w:ascii="Arial" w:eastAsia="Yu Mincho" w:hAnsi="Arial" w:cs="Arial"/>
          <w:lang w:eastAsia="ja-JP"/>
        </w:rPr>
        <w:fldChar w:fldCharType="separate"/>
      </w:r>
      <w:r w:rsidRPr="003A48AB">
        <w:rPr>
          <w:rFonts w:ascii="Arial" w:eastAsia="Yu Mincho" w:hAnsi="Arial" w:cs="Arial"/>
          <w:noProof/>
          <w:lang w:eastAsia="ja-JP"/>
        </w:rPr>
        <w:t>(2016)</w:t>
      </w:r>
      <w:r w:rsidRPr="003A48AB">
        <w:rPr>
          <w:rFonts w:ascii="Arial" w:eastAsia="Yu Mincho" w:hAnsi="Arial" w:cs="Arial"/>
          <w:lang w:eastAsia="ja-JP"/>
        </w:rPr>
        <w:fldChar w:fldCharType="end"/>
      </w:r>
      <w:r w:rsidR="009F0A54">
        <w:rPr>
          <w:rFonts w:ascii="Arial" w:eastAsia="Yu Mincho" w:hAnsi="Arial" w:cs="Arial"/>
          <w:lang w:eastAsia="ja-JP"/>
        </w:rPr>
        <w:t>.</w:t>
      </w:r>
    </w:p>
    <w:p w14:paraId="6ACE8D60"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11127D23"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6. The model organism and moss </w:t>
      </w:r>
      <w:r w:rsidRPr="003A48AB">
        <w:rPr>
          <w:rFonts w:ascii="Arial" w:eastAsia="Yu Mincho" w:hAnsi="Arial" w:cs="Arial"/>
          <w:i/>
          <w:lang w:eastAsia="ja-JP"/>
        </w:rPr>
        <w:t>Physcomtirella patens</w:t>
      </w:r>
      <w:r w:rsidRPr="003A48AB">
        <w:rPr>
          <w:rFonts w:ascii="Arial" w:eastAsia="Yu Mincho" w:hAnsi="Arial" w:cs="Arial"/>
          <w:lang w:eastAsia="ja-JP"/>
        </w:rPr>
        <w:t>.</w:t>
      </w:r>
      <w:r w:rsidR="005F1424">
        <w:rPr>
          <w:rFonts w:ascii="Arial" w:eastAsia="Yu Mincho" w:hAnsi="Arial" w:cs="Arial"/>
          <w:lang w:eastAsia="ja-JP"/>
        </w:rPr>
        <w:tab/>
      </w:r>
      <w:r w:rsidR="005F1424">
        <w:rPr>
          <w:rFonts w:ascii="Arial" w:eastAsia="Yu Mincho" w:hAnsi="Arial" w:cs="Arial"/>
          <w:lang w:eastAsia="ja-JP"/>
        </w:rPr>
        <w:tab/>
        <w:t>19</w:t>
      </w:r>
    </w:p>
    <w:p w14:paraId="0D575281" w14:textId="77777777" w:rsidR="003A48AB" w:rsidRPr="003A48AB" w:rsidRDefault="003A48AB" w:rsidP="009F0A54">
      <w:pPr>
        <w:tabs>
          <w:tab w:val="left" w:pos="6663"/>
        </w:tabs>
        <w:spacing w:after="0" w:line="240" w:lineRule="auto"/>
        <w:ind w:right="96"/>
        <w:rPr>
          <w:rFonts w:ascii="Arial" w:eastAsia="Times New Roman" w:hAnsi="Arial" w:cs="Arial"/>
          <w:b/>
          <w:bdr w:val="none" w:sz="0" w:space="0" w:color="auto" w:frame="1"/>
          <w:lang w:eastAsia="ja-JP"/>
        </w:rPr>
      </w:pPr>
    </w:p>
    <w:p w14:paraId="6A04C779" w14:textId="77777777" w:rsidR="003A48AB" w:rsidRPr="003A48AB" w:rsidRDefault="003A48AB" w:rsidP="009F0A54">
      <w:pPr>
        <w:tabs>
          <w:tab w:val="left" w:pos="6663"/>
        </w:tabs>
        <w:spacing w:after="0" w:line="240" w:lineRule="auto"/>
        <w:ind w:right="96"/>
        <w:rPr>
          <w:rFonts w:ascii="Arial" w:eastAsia="Times New Roman" w:hAnsi="Arial" w:cs="Arial"/>
          <w:b/>
          <w:bdr w:val="none" w:sz="0" w:space="0" w:color="auto" w:frame="1"/>
          <w:lang w:eastAsia="ja-JP"/>
        </w:rPr>
      </w:pPr>
      <w:r w:rsidRPr="003A48AB">
        <w:rPr>
          <w:rFonts w:ascii="Arial" w:eastAsia="Times New Roman" w:hAnsi="Arial" w:cs="Arial"/>
          <w:b/>
          <w:bdr w:val="none" w:sz="0" w:space="0" w:color="auto" w:frame="1"/>
          <w:lang w:eastAsia="ja-JP"/>
        </w:rPr>
        <w:t>Chapter 3</w:t>
      </w:r>
    </w:p>
    <w:p w14:paraId="54655807" w14:textId="77777777" w:rsidR="003A48AB" w:rsidRPr="003A48AB" w:rsidRDefault="003A48AB" w:rsidP="009F0A54">
      <w:pPr>
        <w:tabs>
          <w:tab w:val="left" w:pos="6663"/>
        </w:tabs>
        <w:spacing w:after="0" w:line="240" w:lineRule="auto"/>
        <w:ind w:right="96"/>
        <w:rPr>
          <w:rFonts w:ascii="Arial" w:eastAsia="Times New Roman" w:hAnsi="Arial" w:cs="Arial"/>
          <w:b/>
          <w:bdr w:val="none" w:sz="0" w:space="0" w:color="auto" w:frame="1"/>
          <w:lang w:eastAsia="ja-JP"/>
        </w:rPr>
      </w:pPr>
    </w:p>
    <w:p w14:paraId="4EEEF409" w14:textId="5A3AC2B7" w:rsidR="003A48AB" w:rsidRPr="003A48AB" w:rsidRDefault="003A48AB" w:rsidP="009F0A54">
      <w:pPr>
        <w:spacing w:after="0" w:line="240" w:lineRule="auto"/>
        <w:rPr>
          <w:rFonts w:ascii="Arial" w:eastAsia="Yu Mincho" w:hAnsi="Arial" w:cs="Arial"/>
          <w:lang w:eastAsia="ja-JP"/>
        </w:rPr>
      </w:pPr>
      <w:r w:rsidRPr="003A48AB">
        <w:rPr>
          <w:rFonts w:ascii="Arial" w:eastAsia="Yu Mincho" w:hAnsi="Arial" w:cs="Arial"/>
          <w:lang w:eastAsia="ja-JP"/>
        </w:rPr>
        <w:t>Figure 1.</w:t>
      </w:r>
      <w:r w:rsidR="00847DDD">
        <w:rPr>
          <w:rFonts w:ascii="Arial" w:eastAsia="Yu Mincho" w:hAnsi="Arial" w:cs="Arial"/>
          <w:lang w:eastAsia="ja-JP"/>
        </w:rPr>
        <w:t xml:space="preserve"> Stomatal developmental ontogeny</w:t>
      </w:r>
      <w:r w:rsidRPr="003A48AB">
        <w:rPr>
          <w:rFonts w:ascii="Arial" w:eastAsia="Yu Mincho" w:hAnsi="Arial" w:cs="Arial"/>
          <w:lang w:eastAsia="ja-JP"/>
        </w:rPr>
        <w:t xml:space="preserve"> in Arabidopsis.</w:t>
      </w:r>
      <w:r w:rsidR="00847DDD">
        <w:rPr>
          <w:rFonts w:ascii="Arial" w:eastAsia="Yu Mincho" w:hAnsi="Arial" w:cs="Arial"/>
          <w:lang w:eastAsia="ja-JP"/>
        </w:rPr>
        <w:tab/>
      </w:r>
      <w:r w:rsidR="00847DDD">
        <w:rPr>
          <w:rFonts w:ascii="Arial" w:eastAsia="Yu Mincho" w:hAnsi="Arial" w:cs="Arial"/>
          <w:lang w:eastAsia="ja-JP"/>
        </w:rPr>
        <w:tab/>
      </w:r>
      <w:r w:rsidR="005F1424">
        <w:rPr>
          <w:rFonts w:ascii="Arial" w:eastAsia="Yu Mincho" w:hAnsi="Arial" w:cs="Arial"/>
          <w:lang w:eastAsia="ja-JP"/>
        </w:rPr>
        <w:t>50</w:t>
      </w:r>
    </w:p>
    <w:p w14:paraId="4014E1E6" w14:textId="77777777" w:rsidR="003A48AB" w:rsidRPr="003A48AB" w:rsidRDefault="003A48AB" w:rsidP="009F0A54">
      <w:pPr>
        <w:spacing w:after="0" w:line="240" w:lineRule="auto"/>
        <w:rPr>
          <w:rFonts w:ascii="Arial" w:eastAsia="Yu Mincho" w:hAnsi="Arial" w:cs="Arial"/>
          <w:b/>
          <w:lang w:eastAsia="ja-JP"/>
        </w:rPr>
      </w:pPr>
    </w:p>
    <w:p w14:paraId="7C2B0C38" w14:textId="2DAAB628" w:rsidR="00C911CE" w:rsidRDefault="003A48AB" w:rsidP="009F0A54">
      <w:pPr>
        <w:spacing w:after="0" w:line="240" w:lineRule="auto"/>
        <w:rPr>
          <w:rFonts w:ascii="Arial" w:eastAsia="Yu Mincho" w:hAnsi="Arial" w:cs="Arial"/>
          <w:lang w:eastAsia="ja-JP"/>
        </w:rPr>
      </w:pPr>
      <w:r w:rsidRPr="003A48AB">
        <w:rPr>
          <w:rFonts w:ascii="Arial" w:eastAsia="Yu Mincho" w:hAnsi="Arial" w:cs="Arial"/>
          <w:lang w:eastAsia="ja-JP"/>
        </w:rPr>
        <w:t xml:space="preserve">Figure 2. Stomatal development during sporophyte development in </w:t>
      </w:r>
      <w:r w:rsidR="00FA2FE3">
        <w:rPr>
          <w:rFonts w:ascii="Arial" w:eastAsia="Yu Mincho" w:hAnsi="Arial" w:cs="Arial"/>
          <w:lang w:eastAsia="ja-JP"/>
        </w:rPr>
        <w:tab/>
        <w:t>56</w:t>
      </w:r>
    </w:p>
    <w:p w14:paraId="1A80AE1E" w14:textId="77777777" w:rsidR="003A48AB" w:rsidRPr="003A48AB" w:rsidRDefault="003A48AB" w:rsidP="009F0A54">
      <w:pPr>
        <w:spacing w:after="0" w:line="240" w:lineRule="auto"/>
        <w:rPr>
          <w:rFonts w:ascii="Arial" w:eastAsia="Yu Mincho" w:hAnsi="Arial" w:cs="Arial"/>
          <w:lang w:eastAsia="ja-JP"/>
        </w:rPr>
      </w:pPr>
      <w:r w:rsidRPr="003A48AB">
        <w:rPr>
          <w:rFonts w:ascii="Arial" w:eastAsia="Yu Mincho" w:hAnsi="Arial" w:cs="Arial"/>
          <w:i/>
          <w:lang w:eastAsia="ja-JP"/>
        </w:rPr>
        <w:t>P. patens</w:t>
      </w:r>
      <w:r w:rsidR="009F0A54">
        <w:rPr>
          <w:rFonts w:ascii="Arial" w:eastAsia="Yu Mincho" w:hAnsi="Arial" w:cs="Arial"/>
          <w:lang w:eastAsia="ja-JP"/>
        </w:rPr>
        <w:t>.</w:t>
      </w:r>
    </w:p>
    <w:p w14:paraId="55A46C6B" w14:textId="77777777" w:rsidR="003A48AB" w:rsidRPr="003A48AB" w:rsidRDefault="003A48AB" w:rsidP="009F0A54">
      <w:pPr>
        <w:spacing w:after="0" w:line="240" w:lineRule="auto"/>
        <w:rPr>
          <w:rFonts w:ascii="Arial" w:eastAsia="Yu Mincho" w:hAnsi="Arial" w:cs="Arial"/>
          <w:b/>
          <w:lang w:eastAsia="ja-JP"/>
        </w:rPr>
      </w:pPr>
    </w:p>
    <w:p w14:paraId="1FE03591" w14:textId="781BEDE0" w:rsidR="00C911CE"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Figure 3. Discerning stomatal lineage cells duri</w:t>
      </w:r>
      <w:r w:rsidR="009F0A54">
        <w:rPr>
          <w:rFonts w:ascii="Arial" w:eastAsia="Yu Mincho" w:hAnsi="Arial" w:cs="Arial"/>
          <w:lang w:eastAsia="ja-JP"/>
        </w:rPr>
        <w:t xml:space="preserve">ng stomatal development </w:t>
      </w:r>
      <w:r w:rsidR="00FA2FE3">
        <w:rPr>
          <w:rFonts w:ascii="Arial" w:eastAsia="Yu Mincho" w:hAnsi="Arial" w:cs="Arial"/>
          <w:lang w:eastAsia="ja-JP"/>
        </w:rPr>
        <w:tab/>
        <w:t>60</w:t>
      </w:r>
    </w:p>
    <w:p w14:paraId="7773B657" w14:textId="77777777" w:rsidR="003A48AB" w:rsidRPr="003A48AB"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 xml:space="preserve">in </w:t>
      </w:r>
      <w:r w:rsidR="003A48AB" w:rsidRPr="003A48AB">
        <w:rPr>
          <w:rFonts w:ascii="Arial" w:eastAsia="Yu Mincho" w:hAnsi="Arial" w:cs="Arial"/>
          <w:i/>
          <w:lang w:eastAsia="ja-JP"/>
        </w:rPr>
        <w:t>P. patens</w:t>
      </w:r>
      <w:r w:rsidR="003A48AB" w:rsidRPr="003A48AB">
        <w:rPr>
          <w:rFonts w:ascii="Arial" w:eastAsia="Yu Mincho" w:hAnsi="Arial" w:cs="Arial"/>
          <w:lang w:eastAsia="ja-JP"/>
        </w:rPr>
        <w:t>.</w:t>
      </w:r>
    </w:p>
    <w:p w14:paraId="2D27306D"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53799326" w14:textId="77777777" w:rsidR="00C911CE"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4. Evidence for mesoperigenous stomatal development in </w:t>
      </w:r>
      <w:r w:rsidR="00C911CE">
        <w:rPr>
          <w:rFonts w:ascii="Arial" w:eastAsia="Yu Mincho" w:hAnsi="Arial" w:cs="Arial"/>
          <w:lang w:eastAsia="ja-JP"/>
        </w:rPr>
        <w:tab/>
      </w:r>
      <w:r w:rsidR="00C911CE">
        <w:rPr>
          <w:rFonts w:ascii="Arial" w:eastAsia="Yu Mincho" w:hAnsi="Arial" w:cs="Arial"/>
          <w:lang w:eastAsia="ja-JP"/>
        </w:rPr>
        <w:tab/>
        <w:t>62</w:t>
      </w:r>
    </w:p>
    <w:p w14:paraId="7A0EF291"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i/>
          <w:lang w:eastAsia="ja-JP"/>
        </w:rPr>
        <w:t>P. patens</w:t>
      </w:r>
      <w:r w:rsidR="009F0A54">
        <w:rPr>
          <w:rFonts w:ascii="Arial" w:eastAsia="Yu Mincho" w:hAnsi="Arial" w:cs="Arial"/>
          <w:lang w:eastAsia="ja-JP"/>
        </w:rPr>
        <w:t>.</w:t>
      </w:r>
    </w:p>
    <w:p w14:paraId="2A7C95BF"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0889779D" w14:textId="3068F078" w:rsidR="00C911CE"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5. Stomata and spacing on the fully expanded </w:t>
      </w:r>
      <w:r w:rsidRPr="003A48AB">
        <w:rPr>
          <w:rFonts w:ascii="Arial" w:eastAsia="Yu Mincho" w:hAnsi="Arial" w:cs="Arial"/>
          <w:i/>
          <w:lang w:eastAsia="ja-JP"/>
        </w:rPr>
        <w:t>P. patens</w:t>
      </w:r>
      <w:r w:rsidR="009F0A54">
        <w:rPr>
          <w:rFonts w:ascii="Arial" w:eastAsia="Yu Mincho" w:hAnsi="Arial" w:cs="Arial"/>
          <w:lang w:eastAsia="ja-JP"/>
        </w:rPr>
        <w:t xml:space="preserve"> </w:t>
      </w:r>
      <w:r w:rsidR="008653D0">
        <w:rPr>
          <w:rFonts w:ascii="Arial" w:eastAsia="Yu Mincho" w:hAnsi="Arial" w:cs="Arial"/>
          <w:lang w:eastAsia="ja-JP"/>
        </w:rPr>
        <w:tab/>
      </w:r>
      <w:r w:rsidR="008653D0">
        <w:rPr>
          <w:rFonts w:ascii="Arial" w:eastAsia="Yu Mincho" w:hAnsi="Arial" w:cs="Arial"/>
          <w:lang w:eastAsia="ja-JP"/>
        </w:rPr>
        <w:tab/>
        <w:t>64</w:t>
      </w:r>
    </w:p>
    <w:p w14:paraId="1CBE707E" w14:textId="77777777" w:rsidR="003A48AB" w:rsidRPr="003A48AB"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sporophyte</w:t>
      </w:r>
      <w:r w:rsidR="00C911CE">
        <w:rPr>
          <w:rFonts w:ascii="Arial" w:eastAsia="Yu Mincho" w:hAnsi="Arial" w:cs="Arial"/>
          <w:lang w:eastAsia="ja-JP"/>
        </w:rPr>
        <w:t xml:space="preserve"> </w:t>
      </w:r>
      <w:r w:rsidR="003A48AB" w:rsidRPr="003A48AB">
        <w:rPr>
          <w:rFonts w:ascii="Arial" w:eastAsia="Yu Mincho" w:hAnsi="Arial" w:cs="Arial"/>
          <w:lang w:eastAsia="ja-JP"/>
        </w:rPr>
        <w:t>capsule.</w:t>
      </w:r>
    </w:p>
    <w:p w14:paraId="50EE5CED"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636FD10E" w14:textId="0C362FF4" w:rsidR="00C911CE"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Figure 6. Stomatal formation during capsule expan</w:t>
      </w:r>
      <w:r w:rsidR="009F0A54">
        <w:rPr>
          <w:rFonts w:ascii="Arial" w:eastAsia="Yu Mincho" w:hAnsi="Arial" w:cs="Arial"/>
          <w:lang w:eastAsia="ja-JP"/>
        </w:rPr>
        <w:t xml:space="preserve">sion and in fully </w:t>
      </w:r>
      <w:r w:rsidR="00FA2FE3">
        <w:rPr>
          <w:rFonts w:ascii="Arial" w:eastAsia="Yu Mincho" w:hAnsi="Arial" w:cs="Arial"/>
          <w:lang w:eastAsia="ja-JP"/>
        </w:rPr>
        <w:tab/>
      </w:r>
      <w:r w:rsidR="00FA2FE3">
        <w:rPr>
          <w:rFonts w:ascii="Arial" w:eastAsia="Yu Mincho" w:hAnsi="Arial" w:cs="Arial"/>
          <w:lang w:eastAsia="ja-JP"/>
        </w:rPr>
        <w:tab/>
        <w:t>65</w:t>
      </w:r>
    </w:p>
    <w:p w14:paraId="53B3E193" w14:textId="77777777" w:rsidR="003A48AB" w:rsidRPr="003A48AB"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expanded</w:t>
      </w:r>
      <w:r w:rsidR="00C911CE">
        <w:rPr>
          <w:rFonts w:ascii="Arial" w:eastAsia="Yu Mincho" w:hAnsi="Arial" w:cs="Arial"/>
          <w:lang w:eastAsia="ja-JP"/>
        </w:rPr>
        <w:t xml:space="preserve"> </w:t>
      </w:r>
      <w:r w:rsidR="003A48AB" w:rsidRPr="003A48AB">
        <w:rPr>
          <w:rFonts w:ascii="Arial" w:eastAsia="Yu Mincho" w:hAnsi="Arial" w:cs="Arial"/>
          <w:lang w:eastAsia="ja-JP"/>
        </w:rPr>
        <w:t>mature capsules.</w:t>
      </w:r>
    </w:p>
    <w:p w14:paraId="36E195ED"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0741708E" w14:textId="7B127E53"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7. Phylogenetic relationships of </w:t>
      </w:r>
      <w:r w:rsidRPr="003A48AB">
        <w:rPr>
          <w:rFonts w:ascii="Arial" w:eastAsia="Yu Mincho" w:hAnsi="Arial" w:cs="Arial"/>
          <w:i/>
          <w:lang w:eastAsia="ja-JP"/>
        </w:rPr>
        <w:t>SPCH</w:t>
      </w:r>
      <w:r w:rsidRPr="003A48AB">
        <w:rPr>
          <w:rFonts w:ascii="Arial" w:eastAsia="Yu Mincho" w:hAnsi="Arial" w:cs="Arial"/>
          <w:lang w:eastAsia="ja-JP"/>
        </w:rPr>
        <w:t xml:space="preserve">, </w:t>
      </w:r>
      <w:r w:rsidRPr="003A48AB">
        <w:rPr>
          <w:rFonts w:ascii="Arial" w:eastAsia="Yu Mincho" w:hAnsi="Arial" w:cs="Arial"/>
          <w:i/>
          <w:lang w:eastAsia="ja-JP"/>
        </w:rPr>
        <w:t>MUTE</w:t>
      </w:r>
      <w:r w:rsidRPr="003A48AB">
        <w:rPr>
          <w:rFonts w:ascii="Arial" w:eastAsia="Yu Mincho" w:hAnsi="Arial" w:cs="Arial"/>
          <w:lang w:eastAsia="ja-JP"/>
        </w:rPr>
        <w:t xml:space="preserve"> and </w:t>
      </w:r>
      <w:r w:rsidRPr="003A48AB">
        <w:rPr>
          <w:rFonts w:ascii="Arial" w:eastAsia="Yu Mincho" w:hAnsi="Arial" w:cs="Arial"/>
          <w:i/>
          <w:lang w:eastAsia="ja-JP"/>
        </w:rPr>
        <w:t>FAMA</w:t>
      </w:r>
      <w:r w:rsidR="009F0A54">
        <w:rPr>
          <w:rFonts w:ascii="Arial" w:eastAsia="Yu Mincho" w:hAnsi="Arial" w:cs="Arial"/>
          <w:lang w:eastAsia="ja-JP"/>
        </w:rPr>
        <w:t xml:space="preserve"> gene</w:t>
      </w:r>
      <w:r w:rsidR="00FA2FE3">
        <w:rPr>
          <w:rFonts w:ascii="Arial" w:eastAsia="Yu Mincho" w:hAnsi="Arial" w:cs="Arial"/>
          <w:lang w:eastAsia="ja-JP"/>
        </w:rPr>
        <w:tab/>
        <w:t>67</w:t>
      </w:r>
    </w:p>
    <w:p w14:paraId="7487A7B0" w14:textId="77777777" w:rsidR="00C911CE"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orthologues taken from vascular and non-vascular land plant </w:t>
      </w:r>
    </w:p>
    <w:p w14:paraId="1338FC4F"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representatives.</w:t>
      </w:r>
    </w:p>
    <w:p w14:paraId="0C340F6F"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4440D9A9" w14:textId="4C86F1A0" w:rsidR="00C911CE"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8. Phylogenetic relationship of </w:t>
      </w:r>
      <w:r w:rsidRPr="003A48AB">
        <w:rPr>
          <w:rFonts w:ascii="Arial" w:eastAsia="Yu Mincho" w:hAnsi="Arial" w:cs="Arial"/>
          <w:i/>
          <w:lang w:eastAsia="ja-JP"/>
        </w:rPr>
        <w:t>ICE/SCRM</w:t>
      </w:r>
      <w:r w:rsidR="009F0A54">
        <w:rPr>
          <w:rFonts w:ascii="Arial" w:eastAsia="Yu Mincho" w:hAnsi="Arial" w:cs="Arial"/>
          <w:lang w:eastAsia="ja-JP"/>
        </w:rPr>
        <w:t xml:space="preserve"> genes based on </w:t>
      </w:r>
      <w:r w:rsidR="00FA2FE3">
        <w:rPr>
          <w:rFonts w:ascii="Arial" w:eastAsia="Yu Mincho" w:hAnsi="Arial" w:cs="Arial"/>
          <w:lang w:eastAsia="ja-JP"/>
        </w:rPr>
        <w:tab/>
      </w:r>
      <w:r w:rsidR="00FA2FE3">
        <w:rPr>
          <w:rFonts w:ascii="Arial" w:eastAsia="Yu Mincho" w:hAnsi="Arial" w:cs="Arial"/>
          <w:lang w:eastAsia="ja-JP"/>
        </w:rPr>
        <w:tab/>
        <w:t>69</w:t>
      </w:r>
    </w:p>
    <w:p w14:paraId="06EAF50D" w14:textId="77777777" w:rsidR="00C911CE"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amino acid</w:t>
      </w:r>
      <w:r w:rsidR="00C911CE">
        <w:rPr>
          <w:rFonts w:ascii="Arial" w:eastAsia="Yu Mincho" w:hAnsi="Arial" w:cs="Arial"/>
          <w:lang w:eastAsia="ja-JP"/>
        </w:rPr>
        <w:t xml:space="preserve"> </w:t>
      </w:r>
      <w:r w:rsidR="003A48AB" w:rsidRPr="003A48AB">
        <w:rPr>
          <w:rFonts w:ascii="Arial" w:eastAsia="Yu Mincho" w:hAnsi="Arial" w:cs="Arial"/>
          <w:lang w:eastAsia="ja-JP"/>
        </w:rPr>
        <w:t xml:space="preserve">sequences taken from a range of vascular and non-vascular </w:t>
      </w:r>
    </w:p>
    <w:p w14:paraId="7EC7A03A" w14:textId="77777777" w:rsidR="003A48AB" w:rsidRPr="003A48AB" w:rsidRDefault="00C911CE"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 xml:space="preserve">land plant </w:t>
      </w:r>
      <w:r w:rsidR="003A48AB" w:rsidRPr="003A48AB">
        <w:rPr>
          <w:rFonts w:ascii="Arial" w:eastAsia="Yu Mincho" w:hAnsi="Arial" w:cs="Arial"/>
          <w:lang w:eastAsia="ja-JP"/>
        </w:rPr>
        <w:t>representatives.</w:t>
      </w:r>
    </w:p>
    <w:p w14:paraId="4B5ACD3A"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75800328" w14:textId="403F0F6C"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Figure 9. The Function of genes underpinning stomatal develop</w:t>
      </w:r>
      <w:r w:rsidR="009F0A54">
        <w:rPr>
          <w:rFonts w:ascii="Arial" w:eastAsia="Yu Mincho" w:hAnsi="Arial" w:cs="Arial"/>
          <w:lang w:eastAsia="ja-JP"/>
        </w:rPr>
        <w:t>mental</w:t>
      </w:r>
      <w:r w:rsidR="00FA2FE3">
        <w:rPr>
          <w:rFonts w:ascii="Arial" w:eastAsia="Yu Mincho" w:hAnsi="Arial" w:cs="Arial"/>
          <w:lang w:eastAsia="ja-JP"/>
        </w:rPr>
        <w:tab/>
        <w:t>72</w:t>
      </w:r>
    </w:p>
    <w:p w14:paraId="4B06149C" w14:textId="7D6D6940" w:rsidR="00C911CE" w:rsidRDefault="00847DDD"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ontogeny</w:t>
      </w:r>
      <w:r w:rsidR="003A48AB" w:rsidRPr="003A48AB">
        <w:rPr>
          <w:rFonts w:ascii="Arial" w:eastAsia="Yu Mincho" w:hAnsi="Arial" w:cs="Arial"/>
          <w:lang w:eastAsia="ja-JP"/>
        </w:rPr>
        <w:t xml:space="preserve"> in representative non-vascular and vascular land plants </w:t>
      </w:r>
    </w:p>
    <w:p w14:paraId="435180E9" w14:textId="77777777" w:rsidR="003A48AB" w:rsidRPr="003A48AB" w:rsidRDefault="00C911CE"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 xml:space="preserve">adapted from </w:t>
      </w:r>
      <w:r w:rsidR="003A48AB" w:rsidRPr="003A48AB">
        <w:rPr>
          <w:rFonts w:ascii="Arial" w:eastAsia="Yu Mincho" w:hAnsi="Arial" w:cs="Arial"/>
          <w:lang w:eastAsia="ja-JP"/>
        </w:rPr>
        <w:t>Vaten and Bergmann (2012) and Liu et al (Liu et al., 2009).</w:t>
      </w:r>
    </w:p>
    <w:p w14:paraId="28CB3520"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16C1D53C" w14:textId="50FD640A" w:rsidR="00C911CE"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Figure 10. Verification of integration of the transge</w:t>
      </w:r>
      <w:r w:rsidR="009F0A54">
        <w:rPr>
          <w:rFonts w:ascii="Arial" w:eastAsia="Yu Mincho" w:hAnsi="Arial" w:cs="Arial"/>
          <w:lang w:eastAsia="ja-JP"/>
        </w:rPr>
        <w:t xml:space="preserve">ne resistance cassette </w:t>
      </w:r>
      <w:r w:rsidR="00FA2FE3">
        <w:rPr>
          <w:rFonts w:ascii="Arial" w:eastAsia="Yu Mincho" w:hAnsi="Arial" w:cs="Arial"/>
          <w:lang w:eastAsia="ja-JP"/>
        </w:rPr>
        <w:tab/>
        <w:t>74</w:t>
      </w:r>
    </w:p>
    <w:p w14:paraId="251E12A6" w14:textId="77777777" w:rsidR="003A48AB" w:rsidRPr="003A48AB"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 xml:space="preserve">at </w:t>
      </w:r>
      <w:r w:rsidR="003A48AB" w:rsidRPr="003A48AB">
        <w:rPr>
          <w:rFonts w:ascii="Arial" w:eastAsia="Yu Mincho" w:hAnsi="Arial" w:cs="Arial"/>
          <w:lang w:eastAsia="ja-JP"/>
        </w:rPr>
        <w:t>the targeted genomic locus.</w:t>
      </w:r>
    </w:p>
    <w:p w14:paraId="0DBE3875"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5588A549" w14:textId="53DCB5BB"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lastRenderedPageBreak/>
        <w:t xml:space="preserve">Figure 11. The deeply conserved </w:t>
      </w:r>
      <w:r w:rsidRPr="003A48AB">
        <w:rPr>
          <w:rFonts w:ascii="Arial" w:eastAsia="Yu Mincho" w:hAnsi="Arial" w:cs="Arial"/>
          <w:i/>
          <w:lang w:eastAsia="ja-JP"/>
        </w:rPr>
        <w:t>PpSMF1</w:t>
      </w:r>
      <w:r w:rsidRPr="003A48AB">
        <w:rPr>
          <w:rFonts w:ascii="Arial" w:eastAsia="Yu Mincho" w:hAnsi="Arial" w:cs="Arial"/>
          <w:lang w:eastAsia="ja-JP"/>
        </w:rPr>
        <w:t xml:space="preserve"> gene i</w:t>
      </w:r>
      <w:r w:rsidR="009F0A54">
        <w:rPr>
          <w:rFonts w:ascii="Arial" w:eastAsia="Yu Mincho" w:hAnsi="Arial" w:cs="Arial"/>
          <w:lang w:eastAsia="ja-JP"/>
        </w:rPr>
        <w:t>s integral for initiating</w:t>
      </w:r>
      <w:r w:rsidR="00FA2FE3">
        <w:rPr>
          <w:rFonts w:ascii="Arial" w:eastAsia="Yu Mincho" w:hAnsi="Arial" w:cs="Arial"/>
          <w:lang w:eastAsia="ja-JP"/>
        </w:rPr>
        <w:tab/>
        <w:t>75</w:t>
      </w:r>
    </w:p>
    <w:p w14:paraId="7639D7FA"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stomatal formation in the </w:t>
      </w:r>
      <w:r w:rsidRPr="003A48AB">
        <w:rPr>
          <w:rFonts w:ascii="Arial" w:eastAsia="Yu Mincho" w:hAnsi="Arial" w:cs="Arial"/>
          <w:i/>
          <w:lang w:eastAsia="ja-JP"/>
        </w:rPr>
        <w:t>P. patens</w:t>
      </w:r>
      <w:r w:rsidRPr="003A48AB">
        <w:rPr>
          <w:rFonts w:ascii="Arial" w:eastAsia="Yu Mincho" w:hAnsi="Arial" w:cs="Arial"/>
          <w:lang w:eastAsia="ja-JP"/>
        </w:rPr>
        <w:t>.</w:t>
      </w:r>
    </w:p>
    <w:p w14:paraId="241F98B1"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6B319657" w14:textId="3C798FA4"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12. The </w:t>
      </w:r>
      <w:r w:rsidRPr="003A48AB">
        <w:rPr>
          <w:rFonts w:ascii="Arial" w:eastAsia="Yu Mincho" w:hAnsi="Arial" w:cs="Arial"/>
          <w:i/>
          <w:lang w:eastAsia="ja-JP"/>
        </w:rPr>
        <w:t>PpSMF2</w:t>
      </w:r>
      <w:r w:rsidRPr="003A48AB">
        <w:rPr>
          <w:rFonts w:ascii="Arial" w:eastAsia="Yu Mincho" w:hAnsi="Arial" w:cs="Arial"/>
          <w:lang w:eastAsia="ja-JP"/>
        </w:rPr>
        <w:t xml:space="preserve"> gene is not required </w:t>
      </w:r>
      <w:r w:rsidR="009F0A54">
        <w:rPr>
          <w:rFonts w:ascii="Arial" w:eastAsia="Yu Mincho" w:hAnsi="Arial" w:cs="Arial"/>
          <w:lang w:eastAsia="ja-JP"/>
        </w:rPr>
        <w:t>for stomatal formation in</w:t>
      </w:r>
      <w:r w:rsidR="00FA2FE3">
        <w:rPr>
          <w:rFonts w:ascii="Arial" w:eastAsia="Yu Mincho" w:hAnsi="Arial" w:cs="Arial"/>
          <w:lang w:eastAsia="ja-JP"/>
        </w:rPr>
        <w:tab/>
        <w:t>78</w:t>
      </w:r>
    </w:p>
    <w:p w14:paraId="686171DA" w14:textId="77777777" w:rsidR="003A48AB" w:rsidRPr="003A48AB" w:rsidRDefault="003A48AB" w:rsidP="009F0A54">
      <w:pPr>
        <w:tabs>
          <w:tab w:val="left" w:pos="6663"/>
        </w:tabs>
        <w:spacing w:after="0" w:line="240" w:lineRule="auto"/>
        <w:ind w:right="96"/>
        <w:rPr>
          <w:rFonts w:ascii="Arial" w:eastAsia="Yu Mincho" w:hAnsi="Arial" w:cs="Arial"/>
          <w:i/>
          <w:lang w:eastAsia="ja-JP"/>
        </w:rPr>
      </w:pPr>
      <w:r w:rsidRPr="003A48AB">
        <w:rPr>
          <w:rFonts w:ascii="Arial" w:eastAsia="Yu Mincho" w:hAnsi="Arial" w:cs="Arial"/>
          <w:i/>
          <w:lang w:eastAsia="ja-JP"/>
        </w:rPr>
        <w:t>P. patens.</w:t>
      </w:r>
    </w:p>
    <w:p w14:paraId="7D59A7E9" w14:textId="77777777" w:rsidR="003A48AB" w:rsidRPr="003A48AB" w:rsidRDefault="003A48AB" w:rsidP="009F0A54">
      <w:pPr>
        <w:tabs>
          <w:tab w:val="left" w:pos="6663"/>
        </w:tabs>
        <w:spacing w:after="0" w:line="240" w:lineRule="auto"/>
        <w:ind w:right="96"/>
        <w:rPr>
          <w:rFonts w:ascii="Arial" w:eastAsia="Yu Mincho" w:hAnsi="Arial" w:cs="Arial"/>
          <w:i/>
          <w:lang w:eastAsia="ja-JP"/>
        </w:rPr>
      </w:pPr>
    </w:p>
    <w:p w14:paraId="738B8F2D" w14:textId="0E25CD23" w:rsidR="00C911CE"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13. The deeply conserved </w:t>
      </w:r>
      <w:r w:rsidRPr="003A48AB">
        <w:rPr>
          <w:rFonts w:ascii="Arial" w:eastAsia="Yu Mincho" w:hAnsi="Arial" w:cs="Arial"/>
          <w:i/>
          <w:lang w:eastAsia="ja-JP"/>
        </w:rPr>
        <w:t>PpSCRM1</w:t>
      </w:r>
      <w:r w:rsidRPr="003A48AB">
        <w:rPr>
          <w:rFonts w:ascii="Arial" w:eastAsia="Yu Mincho" w:hAnsi="Arial" w:cs="Arial"/>
          <w:lang w:eastAsia="ja-JP"/>
        </w:rPr>
        <w:t xml:space="preserve"> gene i</w:t>
      </w:r>
      <w:r w:rsidR="00FA2FE3">
        <w:rPr>
          <w:rFonts w:ascii="Arial" w:eastAsia="Yu Mincho" w:hAnsi="Arial" w:cs="Arial"/>
          <w:lang w:eastAsia="ja-JP"/>
        </w:rPr>
        <w:t>s integral during</w:t>
      </w:r>
      <w:r w:rsidR="00FA2FE3">
        <w:rPr>
          <w:rFonts w:ascii="Arial" w:eastAsia="Yu Mincho" w:hAnsi="Arial" w:cs="Arial"/>
          <w:lang w:eastAsia="ja-JP"/>
        </w:rPr>
        <w:tab/>
      </w:r>
      <w:r w:rsidR="00FA2FE3">
        <w:rPr>
          <w:rFonts w:ascii="Arial" w:eastAsia="Yu Mincho" w:hAnsi="Arial" w:cs="Arial"/>
          <w:lang w:eastAsia="ja-JP"/>
        </w:rPr>
        <w:tab/>
        <w:t>82</w:t>
      </w:r>
      <w:r w:rsidR="00C911CE">
        <w:rPr>
          <w:rFonts w:ascii="Arial" w:eastAsia="Yu Mincho" w:hAnsi="Arial" w:cs="Arial"/>
          <w:lang w:eastAsia="ja-JP"/>
        </w:rPr>
        <w:tab/>
      </w:r>
    </w:p>
    <w:p w14:paraId="4C00A32A" w14:textId="77777777" w:rsidR="003A48AB" w:rsidRPr="003A48AB"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stomatal</w:t>
      </w:r>
      <w:r w:rsidR="00C911CE">
        <w:rPr>
          <w:rFonts w:ascii="Arial" w:eastAsia="Yu Mincho" w:hAnsi="Arial" w:cs="Arial"/>
          <w:lang w:eastAsia="ja-JP"/>
        </w:rPr>
        <w:t xml:space="preserve"> </w:t>
      </w:r>
      <w:r w:rsidR="003A48AB" w:rsidRPr="003A48AB">
        <w:rPr>
          <w:rFonts w:ascii="Arial" w:eastAsia="Yu Mincho" w:hAnsi="Arial" w:cs="Arial"/>
          <w:lang w:eastAsia="ja-JP"/>
        </w:rPr>
        <w:t xml:space="preserve">development in </w:t>
      </w:r>
      <w:r w:rsidR="003A48AB" w:rsidRPr="003A48AB">
        <w:rPr>
          <w:rFonts w:ascii="Arial" w:eastAsia="Yu Mincho" w:hAnsi="Arial" w:cs="Arial"/>
          <w:i/>
          <w:lang w:eastAsia="ja-JP"/>
        </w:rPr>
        <w:t>P. patens</w:t>
      </w:r>
      <w:r w:rsidR="003A48AB" w:rsidRPr="003A48AB">
        <w:rPr>
          <w:rFonts w:ascii="Arial" w:eastAsia="Yu Mincho" w:hAnsi="Arial" w:cs="Arial"/>
          <w:lang w:eastAsia="ja-JP"/>
        </w:rPr>
        <w:t>.</w:t>
      </w:r>
    </w:p>
    <w:p w14:paraId="4F8058CD"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09DB8273" w14:textId="51DB4E17" w:rsidR="003A48AB" w:rsidRPr="00C911CE" w:rsidRDefault="003A48AB" w:rsidP="009F0A54">
      <w:pPr>
        <w:tabs>
          <w:tab w:val="left" w:pos="6663"/>
        </w:tabs>
        <w:spacing w:after="0" w:line="240" w:lineRule="auto"/>
        <w:ind w:right="96"/>
        <w:rPr>
          <w:rFonts w:ascii="Arial" w:eastAsia="Yu Mincho" w:hAnsi="Arial" w:cs="Arial"/>
          <w:bCs/>
          <w:lang w:val="en-US" w:eastAsia="ja-JP"/>
        </w:rPr>
      </w:pPr>
      <w:r w:rsidRPr="003A48AB">
        <w:rPr>
          <w:rFonts w:ascii="Arial" w:eastAsia="Yu Mincho" w:hAnsi="Arial" w:cs="Arial"/>
          <w:bCs/>
          <w:lang w:val="en-US" w:eastAsia="ja-JP"/>
        </w:rPr>
        <w:t xml:space="preserve">Figure 14.  Spore morphology mutant line </w:t>
      </w:r>
      <w:r w:rsidRPr="003A48AB">
        <w:rPr>
          <w:rFonts w:ascii="Arial" w:eastAsia="Yu Mincho" w:hAnsi="Arial" w:cs="Arial"/>
          <w:bCs/>
          <w:i/>
          <w:lang w:val="en-US" w:eastAsia="ja-JP"/>
        </w:rPr>
        <w:t xml:space="preserve">ppsmf1, ppsmf2 </w:t>
      </w:r>
      <w:r w:rsidRPr="003A48AB">
        <w:rPr>
          <w:rFonts w:ascii="Arial" w:eastAsia="Yu Mincho" w:hAnsi="Arial" w:cs="Arial"/>
          <w:bCs/>
          <w:lang w:val="en-US" w:eastAsia="ja-JP"/>
        </w:rPr>
        <w:t xml:space="preserve">and </w:t>
      </w:r>
      <w:r w:rsidR="009F0A54">
        <w:rPr>
          <w:rFonts w:ascii="Arial" w:eastAsia="Yu Mincho" w:hAnsi="Arial" w:cs="Arial"/>
          <w:bCs/>
          <w:i/>
          <w:lang w:val="en-US" w:eastAsia="ja-JP"/>
        </w:rPr>
        <w:t>ppscrm1</w:t>
      </w:r>
      <w:r w:rsidR="00FA2FE3">
        <w:rPr>
          <w:rFonts w:ascii="Arial" w:eastAsia="Yu Mincho" w:hAnsi="Arial" w:cs="Arial"/>
          <w:bCs/>
          <w:lang w:val="en-US" w:eastAsia="ja-JP"/>
        </w:rPr>
        <w:tab/>
        <w:t>84</w:t>
      </w:r>
    </w:p>
    <w:p w14:paraId="45281E50" w14:textId="77777777" w:rsidR="003A48AB" w:rsidRPr="003A48AB" w:rsidRDefault="003A48AB" w:rsidP="009F0A54">
      <w:pPr>
        <w:tabs>
          <w:tab w:val="left" w:pos="6663"/>
        </w:tabs>
        <w:spacing w:after="0" w:line="240" w:lineRule="auto"/>
        <w:ind w:right="96"/>
        <w:rPr>
          <w:rFonts w:ascii="Arial" w:eastAsia="Yu Mincho" w:hAnsi="Arial" w:cs="Arial"/>
          <w:bCs/>
          <w:lang w:val="en-US" w:eastAsia="ja-JP"/>
        </w:rPr>
      </w:pPr>
      <w:r w:rsidRPr="003A48AB">
        <w:rPr>
          <w:rFonts w:ascii="Arial" w:eastAsia="Yu Mincho" w:hAnsi="Arial" w:cs="Arial"/>
          <w:bCs/>
          <w:lang w:val="en-US" w:eastAsia="ja-JP"/>
        </w:rPr>
        <w:t>mutant lines.</w:t>
      </w:r>
    </w:p>
    <w:p w14:paraId="2F1FC72B" w14:textId="77777777" w:rsidR="003A48AB" w:rsidRPr="003A48AB" w:rsidRDefault="003A48AB" w:rsidP="009F0A54">
      <w:pPr>
        <w:tabs>
          <w:tab w:val="left" w:pos="6663"/>
        </w:tabs>
        <w:spacing w:after="0" w:line="240" w:lineRule="auto"/>
        <w:ind w:right="96"/>
        <w:rPr>
          <w:rFonts w:ascii="Arial" w:eastAsia="Yu Mincho" w:hAnsi="Arial" w:cs="Arial"/>
          <w:bCs/>
          <w:lang w:val="en-US" w:eastAsia="ja-JP"/>
        </w:rPr>
      </w:pPr>
    </w:p>
    <w:p w14:paraId="712889DF" w14:textId="4A77CCF7" w:rsidR="00C911CE" w:rsidRDefault="003A48AB" w:rsidP="009F0A54">
      <w:pPr>
        <w:tabs>
          <w:tab w:val="left" w:pos="6663"/>
        </w:tabs>
        <w:spacing w:after="0" w:line="240" w:lineRule="auto"/>
        <w:ind w:right="96"/>
        <w:rPr>
          <w:rFonts w:ascii="Arial" w:eastAsia="Times New Roman" w:hAnsi="Arial" w:cs="Arial"/>
          <w:color w:val="000000"/>
          <w:lang w:eastAsia="ja-JP"/>
        </w:rPr>
      </w:pPr>
      <w:r w:rsidRPr="003A48AB">
        <w:rPr>
          <w:rFonts w:ascii="Arial" w:eastAsia="Times New Roman" w:hAnsi="Arial" w:cs="Arial"/>
          <w:color w:val="000000"/>
          <w:lang w:eastAsia="ja-JP"/>
        </w:rPr>
        <w:t xml:space="preserve">Figure 15. </w:t>
      </w:r>
      <w:r w:rsidRPr="003A48AB">
        <w:rPr>
          <w:rFonts w:ascii="Arial" w:eastAsia="Times New Roman" w:hAnsi="Arial" w:cs="Arial"/>
          <w:i/>
          <w:color w:val="000000"/>
          <w:lang w:eastAsia="ja-JP"/>
        </w:rPr>
        <w:t xml:space="preserve">ppsmf1 </w:t>
      </w:r>
      <w:r w:rsidRPr="003A48AB">
        <w:rPr>
          <w:rFonts w:ascii="Arial" w:eastAsia="Times New Roman" w:hAnsi="Arial" w:cs="Arial"/>
          <w:color w:val="000000"/>
          <w:lang w:eastAsia="ja-JP"/>
        </w:rPr>
        <w:t xml:space="preserve">and </w:t>
      </w:r>
      <w:r w:rsidRPr="003A48AB">
        <w:rPr>
          <w:rFonts w:ascii="Arial" w:eastAsia="Times New Roman" w:hAnsi="Arial" w:cs="Arial"/>
          <w:i/>
          <w:color w:val="000000"/>
          <w:lang w:eastAsia="ja-JP"/>
        </w:rPr>
        <w:t xml:space="preserve">ppscrm1 </w:t>
      </w:r>
      <w:r w:rsidRPr="003A48AB">
        <w:rPr>
          <w:rFonts w:ascii="Arial" w:eastAsia="Times New Roman" w:hAnsi="Arial" w:cs="Arial"/>
          <w:color w:val="000000"/>
          <w:lang w:eastAsia="ja-JP"/>
        </w:rPr>
        <w:t>permit the form</w:t>
      </w:r>
      <w:r w:rsidR="009F0A54">
        <w:rPr>
          <w:rFonts w:ascii="Arial" w:eastAsia="Times New Roman" w:hAnsi="Arial" w:cs="Arial"/>
          <w:color w:val="000000"/>
          <w:lang w:eastAsia="ja-JP"/>
        </w:rPr>
        <w:t xml:space="preserve">ation of early GMCs </w:t>
      </w:r>
      <w:r w:rsidR="00FA2FE3">
        <w:rPr>
          <w:rFonts w:ascii="Arial" w:eastAsia="Times New Roman" w:hAnsi="Arial" w:cs="Arial"/>
          <w:color w:val="000000"/>
          <w:lang w:eastAsia="ja-JP"/>
        </w:rPr>
        <w:tab/>
      </w:r>
      <w:r w:rsidR="00FA2FE3">
        <w:rPr>
          <w:rFonts w:ascii="Arial" w:eastAsia="Times New Roman" w:hAnsi="Arial" w:cs="Arial"/>
          <w:color w:val="000000"/>
          <w:lang w:eastAsia="ja-JP"/>
        </w:rPr>
        <w:tab/>
        <w:t>85</w:t>
      </w:r>
    </w:p>
    <w:p w14:paraId="3B3E1444" w14:textId="77777777" w:rsidR="003A48AB" w:rsidRPr="003A48AB" w:rsidRDefault="009F0A54" w:rsidP="009F0A54">
      <w:pPr>
        <w:tabs>
          <w:tab w:val="left" w:pos="6663"/>
        </w:tabs>
        <w:spacing w:after="0" w:line="240" w:lineRule="auto"/>
        <w:ind w:right="96"/>
        <w:rPr>
          <w:rFonts w:ascii="Arial" w:eastAsia="Times New Roman" w:hAnsi="Arial" w:cs="Arial"/>
          <w:color w:val="000000"/>
          <w:lang w:eastAsia="ja-JP"/>
        </w:rPr>
      </w:pPr>
      <w:r>
        <w:rPr>
          <w:rFonts w:ascii="Arial" w:eastAsia="Times New Roman" w:hAnsi="Arial" w:cs="Arial"/>
          <w:color w:val="000000"/>
          <w:lang w:eastAsia="ja-JP"/>
        </w:rPr>
        <w:t>during</w:t>
      </w:r>
      <w:r w:rsidR="00C911CE">
        <w:rPr>
          <w:rFonts w:ascii="Arial" w:eastAsia="Times New Roman" w:hAnsi="Arial" w:cs="Arial"/>
          <w:color w:val="000000"/>
          <w:lang w:eastAsia="ja-JP"/>
        </w:rPr>
        <w:t xml:space="preserve"> </w:t>
      </w:r>
      <w:r w:rsidR="003A48AB" w:rsidRPr="003A48AB">
        <w:rPr>
          <w:rFonts w:ascii="Arial" w:eastAsia="Times New Roman" w:hAnsi="Arial" w:cs="Arial"/>
          <w:color w:val="000000"/>
          <w:lang w:eastAsia="ja-JP"/>
        </w:rPr>
        <w:t>stomatal development.</w:t>
      </w:r>
    </w:p>
    <w:p w14:paraId="579C500A" w14:textId="77777777" w:rsidR="003A48AB" w:rsidRPr="003A48AB" w:rsidRDefault="003A48AB" w:rsidP="009F0A54">
      <w:pPr>
        <w:tabs>
          <w:tab w:val="left" w:pos="6663"/>
        </w:tabs>
        <w:spacing w:after="0" w:line="240" w:lineRule="auto"/>
        <w:ind w:right="96"/>
        <w:rPr>
          <w:rFonts w:ascii="Arial" w:eastAsia="Times New Roman" w:hAnsi="Arial" w:cs="Arial"/>
          <w:color w:val="000000"/>
          <w:lang w:eastAsia="ja-JP"/>
        </w:rPr>
      </w:pPr>
    </w:p>
    <w:p w14:paraId="22B77995" w14:textId="7334DA75" w:rsidR="00C911CE" w:rsidRDefault="003A48AB" w:rsidP="009F0A54">
      <w:pPr>
        <w:tabs>
          <w:tab w:val="left" w:pos="6663"/>
        </w:tabs>
        <w:spacing w:after="0" w:line="240" w:lineRule="auto"/>
        <w:ind w:right="96"/>
        <w:rPr>
          <w:rFonts w:ascii="Arial" w:eastAsia="Times New Roman" w:hAnsi="Arial" w:cs="Arial"/>
          <w:color w:val="000000"/>
          <w:lang w:eastAsia="ja-JP"/>
        </w:rPr>
      </w:pPr>
      <w:r w:rsidRPr="003A48AB">
        <w:rPr>
          <w:rFonts w:ascii="Arial" w:eastAsia="Times New Roman" w:hAnsi="Arial" w:cs="Arial"/>
          <w:color w:val="000000"/>
          <w:lang w:eastAsia="ja-JP"/>
        </w:rPr>
        <w:t xml:space="preserve">Figure 16. Mutant </w:t>
      </w:r>
      <w:r w:rsidRPr="003A48AB">
        <w:rPr>
          <w:rFonts w:ascii="Arial" w:eastAsia="Times New Roman" w:hAnsi="Arial" w:cs="Arial"/>
          <w:i/>
          <w:color w:val="000000"/>
          <w:lang w:eastAsia="ja-JP"/>
        </w:rPr>
        <w:t xml:space="preserve">ppsmf1 </w:t>
      </w:r>
      <w:r w:rsidRPr="003A48AB">
        <w:rPr>
          <w:rFonts w:ascii="Arial" w:eastAsia="Times New Roman" w:hAnsi="Arial" w:cs="Arial"/>
          <w:color w:val="000000"/>
          <w:lang w:eastAsia="ja-JP"/>
        </w:rPr>
        <w:t xml:space="preserve">and </w:t>
      </w:r>
      <w:r w:rsidRPr="003A48AB">
        <w:rPr>
          <w:rFonts w:ascii="Arial" w:eastAsia="Times New Roman" w:hAnsi="Arial" w:cs="Arial"/>
          <w:i/>
          <w:color w:val="000000"/>
          <w:lang w:eastAsia="ja-JP"/>
        </w:rPr>
        <w:t xml:space="preserve">ppscrm1 </w:t>
      </w:r>
      <w:r w:rsidRPr="003A48AB">
        <w:rPr>
          <w:rFonts w:ascii="Arial" w:eastAsia="Times New Roman" w:hAnsi="Arial" w:cs="Arial"/>
          <w:color w:val="000000"/>
          <w:lang w:eastAsia="ja-JP"/>
        </w:rPr>
        <w:t>plants</w:t>
      </w:r>
      <w:r w:rsidR="009F0A54">
        <w:rPr>
          <w:rFonts w:ascii="Arial" w:eastAsia="Times New Roman" w:hAnsi="Arial" w:cs="Arial"/>
          <w:color w:val="000000"/>
          <w:lang w:eastAsia="ja-JP"/>
        </w:rPr>
        <w:t xml:space="preserve"> exhibit delayed </w:t>
      </w:r>
      <w:r w:rsidR="00FA2FE3">
        <w:rPr>
          <w:rFonts w:ascii="Arial" w:eastAsia="Times New Roman" w:hAnsi="Arial" w:cs="Arial"/>
          <w:color w:val="000000"/>
          <w:lang w:eastAsia="ja-JP"/>
        </w:rPr>
        <w:tab/>
      </w:r>
      <w:r w:rsidR="00FA2FE3">
        <w:rPr>
          <w:rFonts w:ascii="Arial" w:eastAsia="Times New Roman" w:hAnsi="Arial" w:cs="Arial"/>
          <w:color w:val="000000"/>
          <w:lang w:eastAsia="ja-JP"/>
        </w:rPr>
        <w:tab/>
        <w:t>87</w:t>
      </w:r>
    </w:p>
    <w:p w14:paraId="73C01CD2" w14:textId="77777777" w:rsidR="003A48AB" w:rsidRPr="003A48AB" w:rsidRDefault="009F0A54" w:rsidP="009F0A54">
      <w:pPr>
        <w:tabs>
          <w:tab w:val="left" w:pos="6663"/>
        </w:tabs>
        <w:spacing w:after="0" w:line="240" w:lineRule="auto"/>
        <w:ind w:right="96"/>
        <w:rPr>
          <w:rFonts w:ascii="Arial" w:eastAsia="Times New Roman" w:hAnsi="Arial" w:cs="Arial"/>
          <w:color w:val="000000"/>
          <w:lang w:eastAsia="ja-JP"/>
        </w:rPr>
      </w:pPr>
      <w:r>
        <w:rPr>
          <w:rFonts w:ascii="Arial" w:eastAsia="Times New Roman" w:hAnsi="Arial" w:cs="Arial"/>
          <w:color w:val="000000"/>
          <w:lang w:eastAsia="ja-JP"/>
        </w:rPr>
        <w:t xml:space="preserve">sporophyte </w:t>
      </w:r>
      <w:r w:rsidR="003A48AB" w:rsidRPr="003A48AB">
        <w:rPr>
          <w:rFonts w:ascii="Arial" w:eastAsia="Times New Roman" w:hAnsi="Arial" w:cs="Arial"/>
          <w:color w:val="000000"/>
          <w:lang w:eastAsia="ja-JP"/>
        </w:rPr>
        <w:t>lysis relative to wild-type backgrounds.</w:t>
      </w:r>
    </w:p>
    <w:p w14:paraId="2C1EA05F" w14:textId="77777777" w:rsidR="003A48AB" w:rsidRPr="003A48AB" w:rsidRDefault="003A48AB" w:rsidP="009F0A54">
      <w:pPr>
        <w:tabs>
          <w:tab w:val="left" w:pos="6663"/>
        </w:tabs>
        <w:spacing w:after="0" w:line="240" w:lineRule="auto"/>
        <w:ind w:right="96"/>
        <w:rPr>
          <w:rFonts w:ascii="Arial" w:eastAsia="Times New Roman" w:hAnsi="Arial" w:cs="Arial"/>
          <w:color w:val="000000"/>
          <w:lang w:eastAsia="ja-JP"/>
        </w:rPr>
      </w:pPr>
    </w:p>
    <w:p w14:paraId="2DFB2E8F" w14:textId="5D652882" w:rsidR="00C911CE" w:rsidRDefault="003A48AB" w:rsidP="009F0A54">
      <w:pPr>
        <w:tabs>
          <w:tab w:val="left" w:pos="6663"/>
        </w:tabs>
        <w:spacing w:after="0" w:line="240" w:lineRule="auto"/>
        <w:ind w:right="96"/>
        <w:rPr>
          <w:rFonts w:ascii="Arial" w:eastAsia="Times New Roman" w:hAnsi="Arial" w:cs="Arial"/>
          <w:color w:val="000000"/>
          <w:lang w:eastAsia="ja-JP"/>
        </w:rPr>
      </w:pPr>
      <w:r w:rsidRPr="003A48AB">
        <w:rPr>
          <w:rFonts w:ascii="Arial" w:eastAsia="Times New Roman" w:hAnsi="Arial" w:cs="Arial"/>
          <w:color w:val="000000"/>
          <w:lang w:eastAsia="ja-JP"/>
        </w:rPr>
        <w:t xml:space="preserve">Figure 17. Plants grown under dry conditions </w:t>
      </w:r>
      <w:r w:rsidR="009F0A54">
        <w:rPr>
          <w:rFonts w:ascii="Arial" w:eastAsia="Times New Roman" w:hAnsi="Arial" w:cs="Arial"/>
          <w:color w:val="000000"/>
          <w:lang w:eastAsia="ja-JP"/>
        </w:rPr>
        <w:t xml:space="preserve">exhibited blackened </w:t>
      </w:r>
      <w:r w:rsidR="00FA2FE3">
        <w:rPr>
          <w:rFonts w:ascii="Arial" w:eastAsia="Times New Roman" w:hAnsi="Arial" w:cs="Arial"/>
          <w:color w:val="000000"/>
          <w:lang w:eastAsia="ja-JP"/>
        </w:rPr>
        <w:tab/>
      </w:r>
      <w:r w:rsidR="00FA2FE3">
        <w:rPr>
          <w:rFonts w:ascii="Arial" w:eastAsia="Times New Roman" w:hAnsi="Arial" w:cs="Arial"/>
          <w:color w:val="000000"/>
          <w:lang w:eastAsia="ja-JP"/>
        </w:rPr>
        <w:tab/>
        <w:t>89</w:t>
      </w:r>
    </w:p>
    <w:p w14:paraId="1835F9D2" w14:textId="77777777" w:rsidR="003A48AB" w:rsidRPr="003A48AB" w:rsidRDefault="009F0A54" w:rsidP="009F0A54">
      <w:pPr>
        <w:tabs>
          <w:tab w:val="left" w:pos="6663"/>
        </w:tabs>
        <w:spacing w:after="0" w:line="240" w:lineRule="auto"/>
        <w:ind w:right="96"/>
        <w:rPr>
          <w:rFonts w:ascii="Arial" w:eastAsia="Times New Roman" w:hAnsi="Arial" w:cs="Arial"/>
          <w:color w:val="000000"/>
          <w:lang w:eastAsia="ja-JP"/>
        </w:rPr>
      </w:pPr>
      <w:r>
        <w:rPr>
          <w:rFonts w:ascii="Arial" w:eastAsia="Times New Roman" w:hAnsi="Arial" w:cs="Arial"/>
          <w:color w:val="000000"/>
          <w:lang w:eastAsia="ja-JP"/>
        </w:rPr>
        <w:t xml:space="preserve">hollow </w:t>
      </w:r>
      <w:r w:rsidR="003A48AB" w:rsidRPr="003A48AB">
        <w:rPr>
          <w:rFonts w:ascii="Arial" w:eastAsia="Times New Roman" w:hAnsi="Arial" w:cs="Arial"/>
          <w:color w:val="000000"/>
          <w:lang w:eastAsia="ja-JP"/>
        </w:rPr>
        <w:t>sub-stomatal cavities.</w:t>
      </w:r>
    </w:p>
    <w:p w14:paraId="69BDA6E8" w14:textId="77777777" w:rsidR="003A48AB" w:rsidRPr="003A48AB" w:rsidRDefault="003A48AB" w:rsidP="009F0A54">
      <w:pPr>
        <w:tabs>
          <w:tab w:val="left" w:pos="6663"/>
        </w:tabs>
        <w:spacing w:after="0" w:line="240" w:lineRule="auto"/>
        <w:ind w:right="96"/>
        <w:rPr>
          <w:rFonts w:ascii="Arial" w:eastAsia="Times New Roman" w:hAnsi="Arial" w:cs="Arial"/>
          <w:color w:val="000000"/>
          <w:lang w:eastAsia="ja-JP"/>
        </w:rPr>
      </w:pPr>
    </w:p>
    <w:p w14:paraId="2BB90646" w14:textId="166467B8" w:rsidR="00C911CE" w:rsidRDefault="003A48AB" w:rsidP="009F0A54">
      <w:pPr>
        <w:tabs>
          <w:tab w:val="left" w:pos="6663"/>
        </w:tabs>
        <w:spacing w:after="0" w:line="240" w:lineRule="auto"/>
        <w:ind w:right="96"/>
        <w:rPr>
          <w:rFonts w:ascii="Arial" w:eastAsia="Times New Roman" w:hAnsi="Arial" w:cs="Arial"/>
          <w:color w:val="000000"/>
          <w:lang w:eastAsia="ja-JP"/>
        </w:rPr>
      </w:pPr>
      <w:r w:rsidRPr="003A48AB">
        <w:rPr>
          <w:rFonts w:ascii="Arial" w:eastAsia="Times New Roman" w:hAnsi="Arial" w:cs="Arial"/>
          <w:color w:val="000000"/>
          <w:lang w:eastAsia="ja-JP"/>
        </w:rPr>
        <w:t xml:space="preserve">Figure 18. Model of stomatal development in </w:t>
      </w:r>
      <w:r w:rsidRPr="003A48AB">
        <w:rPr>
          <w:rFonts w:ascii="Arial" w:eastAsia="Times New Roman" w:hAnsi="Arial" w:cs="Arial"/>
          <w:i/>
          <w:color w:val="000000"/>
          <w:lang w:eastAsia="ja-JP"/>
        </w:rPr>
        <w:t xml:space="preserve">P. patens </w:t>
      </w:r>
      <w:r w:rsidR="009F0A54">
        <w:rPr>
          <w:rFonts w:ascii="Arial" w:eastAsia="Times New Roman" w:hAnsi="Arial" w:cs="Arial"/>
          <w:color w:val="000000"/>
          <w:lang w:eastAsia="ja-JP"/>
        </w:rPr>
        <w:t xml:space="preserve">with regulation </w:t>
      </w:r>
      <w:r w:rsidR="00FA2FE3">
        <w:rPr>
          <w:rFonts w:ascii="Arial" w:eastAsia="Times New Roman" w:hAnsi="Arial" w:cs="Arial"/>
          <w:color w:val="000000"/>
          <w:lang w:eastAsia="ja-JP"/>
        </w:rPr>
        <w:tab/>
        <w:t>91</w:t>
      </w:r>
      <w:r w:rsidR="00C911CE">
        <w:rPr>
          <w:rFonts w:ascii="Arial" w:eastAsia="Times New Roman" w:hAnsi="Arial" w:cs="Arial"/>
          <w:color w:val="000000"/>
          <w:lang w:eastAsia="ja-JP"/>
        </w:rPr>
        <w:tab/>
      </w:r>
    </w:p>
    <w:p w14:paraId="743265CC" w14:textId="77777777" w:rsidR="003A48AB" w:rsidRPr="003A48AB" w:rsidRDefault="009F0A54" w:rsidP="009F0A54">
      <w:pPr>
        <w:tabs>
          <w:tab w:val="left" w:pos="6663"/>
        </w:tabs>
        <w:spacing w:after="0" w:line="240" w:lineRule="auto"/>
        <w:ind w:right="96"/>
        <w:rPr>
          <w:rFonts w:ascii="Arial" w:eastAsia="Times New Roman" w:hAnsi="Arial" w:cs="Arial"/>
          <w:color w:val="000000"/>
          <w:lang w:eastAsia="ja-JP"/>
        </w:rPr>
      </w:pPr>
      <w:r>
        <w:rPr>
          <w:rFonts w:ascii="Arial" w:eastAsia="Times New Roman" w:hAnsi="Arial" w:cs="Arial"/>
          <w:color w:val="000000"/>
          <w:lang w:eastAsia="ja-JP"/>
        </w:rPr>
        <w:t>via</w:t>
      </w:r>
      <w:r w:rsidR="00C911CE">
        <w:rPr>
          <w:rFonts w:ascii="Arial" w:eastAsia="Times New Roman" w:hAnsi="Arial" w:cs="Arial"/>
          <w:color w:val="000000"/>
          <w:lang w:eastAsia="ja-JP"/>
        </w:rPr>
        <w:t xml:space="preserve"> </w:t>
      </w:r>
      <w:r w:rsidR="003A48AB" w:rsidRPr="003A48AB">
        <w:rPr>
          <w:rFonts w:ascii="Arial" w:eastAsia="Times New Roman" w:hAnsi="Arial" w:cs="Arial"/>
          <w:color w:val="000000"/>
          <w:lang w:eastAsia="ja-JP"/>
        </w:rPr>
        <w:t>PpSMFs and PpSCRMs.</w:t>
      </w:r>
    </w:p>
    <w:p w14:paraId="4C78300E" w14:textId="77777777" w:rsidR="003A48AB" w:rsidRPr="003A48AB" w:rsidRDefault="003A48AB" w:rsidP="009F0A54">
      <w:pPr>
        <w:tabs>
          <w:tab w:val="left" w:pos="6663"/>
        </w:tabs>
        <w:spacing w:after="0" w:line="240" w:lineRule="auto"/>
        <w:ind w:right="96"/>
        <w:rPr>
          <w:rFonts w:ascii="Arial" w:eastAsia="Times New Roman" w:hAnsi="Arial" w:cs="Arial"/>
          <w:color w:val="000000"/>
          <w:lang w:eastAsia="ja-JP"/>
        </w:rPr>
      </w:pPr>
      <w:r w:rsidRPr="003A48AB">
        <w:rPr>
          <w:rFonts w:ascii="Arial" w:eastAsia="Times New Roman" w:hAnsi="Arial" w:cs="Arial"/>
          <w:color w:val="000000"/>
          <w:lang w:eastAsia="ja-JP"/>
        </w:rPr>
        <w:tab/>
      </w:r>
    </w:p>
    <w:p w14:paraId="39D8671F" w14:textId="1A59CE40" w:rsidR="00C911CE"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19. Expression profiles in different life cycle stages of </w:t>
      </w:r>
      <w:r w:rsidRPr="003A48AB">
        <w:rPr>
          <w:rFonts w:ascii="Arial" w:eastAsia="Yu Mincho" w:hAnsi="Arial" w:cs="Arial"/>
          <w:i/>
          <w:lang w:eastAsia="ja-JP"/>
        </w:rPr>
        <w:t>PpSMF1</w:t>
      </w:r>
      <w:r w:rsidR="009F0A54">
        <w:rPr>
          <w:rFonts w:ascii="Arial" w:eastAsia="Yu Mincho" w:hAnsi="Arial" w:cs="Arial"/>
          <w:lang w:eastAsia="ja-JP"/>
        </w:rPr>
        <w:t xml:space="preserve"> </w:t>
      </w:r>
      <w:r w:rsidR="00FA2FE3">
        <w:rPr>
          <w:rFonts w:ascii="Arial" w:eastAsia="Yu Mincho" w:hAnsi="Arial" w:cs="Arial"/>
          <w:lang w:eastAsia="ja-JP"/>
        </w:rPr>
        <w:tab/>
        <w:t>9</w:t>
      </w:r>
      <w:r w:rsidR="00C911CE">
        <w:rPr>
          <w:rFonts w:ascii="Arial" w:eastAsia="Yu Mincho" w:hAnsi="Arial" w:cs="Arial"/>
          <w:lang w:eastAsia="ja-JP"/>
        </w:rPr>
        <w:t>4</w:t>
      </w:r>
    </w:p>
    <w:p w14:paraId="3DF8E887" w14:textId="77777777" w:rsidR="00C911CE"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and</w:t>
      </w:r>
      <w:r w:rsidR="00C911CE">
        <w:rPr>
          <w:rFonts w:ascii="Arial" w:eastAsia="Yu Mincho" w:hAnsi="Arial" w:cs="Arial"/>
          <w:lang w:eastAsia="ja-JP"/>
        </w:rPr>
        <w:t xml:space="preserve"> </w:t>
      </w:r>
      <w:r w:rsidR="003A48AB" w:rsidRPr="003A48AB">
        <w:rPr>
          <w:rFonts w:ascii="Arial" w:eastAsia="Yu Mincho" w:hAnsi="Arial" w:cs="Arial"/>
          <w:i/>
          <w:lang w:eastAsia="ja-JP"/>
        </w:rPr>
        <w:t>PpSMF2</w:t>
      </w:r>
      <w:r w:rsidR="003A48AB" w:rsidRPr="003A48AB">
        <w:rPr>
          <w:rFonts w:ascii="Arial" w:eastAsia="Yu Mincho" w:hAnsi="Arial" w:cs="Arial"/>
          <w:lang w:eastAsia="ja-JP"/>
        </w:rPr>
        <w:t xml:space="preserve"> adapted from </w:t>
      </w:r>
      <w:r w:rsidR="003A48AB" w:rsidRPr="003A48AB">
        <w:rPr>
          <w:rFonts w:ascii="Arial" w:eastAsia="Yu Mincho" w:hAnsi="Arial" w:cs="Arial"/>
          <w:i/>
          <w:lang w:eastAsia="ja-JP"/>
        </w:rPr>
        <w:t>Physcomitrella</w:t>
      </w:r>
      <w:r w:rsidR="003A48AB" w:rsidRPr="003A48AB">
        <w:rPr>
          <w:rFonts w:ascii="Arial" w:eastAsia="Yu Mincho" w:hAnsi="Arial" w:cs="Arial"/>
          <w:lang w:eastAsia="ja-JP"/>
        </w:rPr>
        <w:t xml:space="preserve"> </w:t>
      </w:r>
      <w:r w:rsidR="003A48AB" w:rsidRPr="003A48AB">
        <w:rPr>
          <w:rFonts w:ascii="Arial" w:eastAsia="Yu Mincho" w:hAnsi="Arial" w:cs="Arial"/>
          <w:i/>
          <w:lang w:eastAsia="ja-JP"/>
        </w:rPr>
        <w:t xml:space="preserve">patens </w:t>
      </w:r>
      <w:r w:rsidR="003A48AB" w:rsidRPr="003A48AB">
        <w:rPr>
          <w:rFonts w:ascii="Arial" w:eastAsia="Yu Mincho" w:hAnsi="Arial" w:cs="Arial"/>
          <w:lang w:eastAsia="ja-JP"/>
        </w:rPr>
        <w:t xml:space="preserve">eFP browser </w:t>
      </w:r>
    </w:p>
    <w:p w14:paraId="10FD5BD6" w14:textId="77777777" w:rsidR="003A48AB" w:rsidRPr="003A48AB" w:rsidRDefault="00C911CE"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 xml:space="preserve">at bar.utoronto.ca </w:t>
      </w:r>
      <w:r w:rsidRPr="00C911CE">
        <w:rPr>
          <w:rFonts w:ascii="Arial" w:eastAsia="MS Mincho" w:hAnsi="Arial" w:cs="Arial"/>
          <w:lang w:eastAsia="ja-JP"/>
        </w:rPr>
        <w:fldChar w:fldCharType="begin">
          <w:fldData xml:space="preserve">PEVuZE5vdGU+PENpdGU+PEF1dGhvcj5XaW50ZXI8L0F1dGhvcj48WWVhcj4yMDA3PC9ZZWFyPjxJ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</w:fldData>
        </w:fldChar>
      </w:r>
      <w:r w:rsidRPr="00C911CE">
        <w:rPr>
          <w:rFonts w:ascii="Arial" w:eastAsia="MS Mincho" w:hAnsi="Arial" w:cs="Arial"/>
          <w:lang w:eastAsia="ja-JP"/>
        </w:rPr>
        <w:instrText xml:space="preserve"> ADDIN EN.CITE </w:instrText>
      </w:r>
      <w:r w:rsidRPr="00C911CE">
        <w:rPr>
          <w:rFonts w:ascii="Arial" w:eastAsia="MS Mincho" w:hAnsi="Arial" w:cs="Arial"/>
          <w:lang w:eastAsia="ja-JP"/>
        </w:rPr>
        <w:fldChar w:fldCharType="begin">
          <w:fldData xml:space="preserve">PEVuZE5vdGU+PENpdGU+PEF1dGhvcj5XaW50ZXI8L0F1dGhvcj48WWVhcj4yMDA3PC9ZZWFyPjxJ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</w:fldData>
        </w:fldChar>
      </w:r>
      <w:r w:rsidRPr="00C911CE">
        <w:rPr>
          <w:rFonts w:ascii="Arial" w:eastAsia="MS Mincho" w:hAnsi="Arial" w:cs="Arial"/>
          <w:lang w:eastAsia="ja-JP"/>
        </w:rPr>
        <w:instrText xml:space="preserve"> ADDIN EN.CITE.DATA </w:instrText>
      </w:r>
      <w:r w:rsidRPr="00C911CE">
        <w:rPr>
          <w:rFonts w:ascii="Arial" w:eastAsia="MS Mincho" w:hAnsi="Arial" w:cs="Arial"/>
          <w:lang w:eastAsia="ja-JP"/>
        </w:rPr>
      </w:r>
      <w:r w:rsidRPr="00C911CE">
        <w:rPr>
          <w:rFonts w:ascii="Arial" w:eastAsia="MS Mincho" w:hAnsi="Arial" w:cs="Arial"/>
          <w:lang w:eastAsia="ja-JP"/>
        </w:rPr>
        <w:fldChar w:fldCharType="end"/>
      </w:r>
      <w:r w:rsidRPr="00C911CE">
        <w:rPr>
          <w:rFonts w:ascii="Arial" w:eastAsia="MS Mincho" w:hAnsi="Arial" w:cs="Arial"/>
          <w:lang w:eastAsia="ja-JP"/>
        </w:rPr>
      </w:r>
      <w:r w:rsidRPr="00C911CE">
        <w:rPr>
          <w:rFonts w:ascii="Arial" w:eastAsia="MS Mincho" w:hAnsi="Arial" w:cs="Arial"/>
          <w:lang w:eastAsia="ja-JP"/>
        </w:rPr>
        <w:fldChar w:fldCharType="separate"/>
      </w:r>
      <w:r w:rsidRPr="00C911CE">
        <w:rPr>
          <w:rFonts w:ascii="Arial" w:eastAsia="MS Mincho" w:hAnsi="Arial" w:cs="Arial"/>
          <w:noProof/>
          <w:lang w:eastAsia="ja-JP"/>
        </w:rPr>
        <w:t>(Ortiz-Ramírez et al., 2015; Winter et al., 2007)</w:t>
      </w:r>
      <w:r w:rsidRPr="00C911CE">
        <w:rPr>
          <w:rFonts w:ascii="Arial" w:eastAsia="MS Mincho" w:hAnsi="Arial" w:cs="Arial"/>
          <w:lang w:eastAsia="ja-JP"/>
        </w:rPr>
        <w:fldChar w:fldCharType="end"/>
      </w:r>
      <w:r w:rsidRPr="00C911CE">
        <w:rPr>
          <w:rFonts w:ascii="Arial" w:eastAsia="MS Mincho" w:hAnsi="Arial" w:cs="Arial"/>
          <w:lang w:eastAsia="ja-JP"/>
        </w:rPr>
        <w:t>.</w:t>
      </w:r>
    </w:p>
    <w:p w14:paraId="62B8DD95"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691989D9" w14:textId="3BF60E13" w:rsidR="00C911CE"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20. Expression profiles of </w:t>
      </w:r>
      <w:r w:rsidRPr="003A48AB">
        <w:rPr>
          <w:rFonts w:ascii="Arial" w:eastAsia="Yu Mincho" w:hAnsi="Arial" w:cs="Arial"/>
          <w:i/>
          <w:lang w:eastAsia="ja-JP"/>
        </w:rPr>
        <w:t xml:space="preserve">PpSCRM1 </w:t>
      </w:r>
      <w:r w:rsidRPr="003A48AB">
        <w:rPr>
          <w:rFonts w:ascii="Arial" w:eastAsia="Yu Mincho" w:hAnsi="Arial" w:cs="Arial"/>
          <w:lang w:eastAsia="ja-JP"/>
        </w:rPr>
        <w:t xml:space="preserve">and three </w:t>
      </w:r>
      <w:r w:rsidRPr="003A48AB">
        <w:rPr>
          <w:rFonts w:ascii="Arial" w:eastAsia="Yu Mincho" w:hAnsi="Arial" w:cs="Arial"/>
          <w:i/>
          <w:lang w:eastAsia="ja-JP"/>
        </w:rPr>
        <w:t>PpSCRM</w:t>
      </w:r>
      <w:r w:rsidR="009F0A54">
        <w:rPr>
          <w:rFonts w:ascii="Arial" w:eastAsia="Yu Mincho" w:hAnsi="Arial" w:cs="Arial"/>
          <w:lang w:eastAsia="ja-JP"/>
        </w:rPr>
        <w:t xml:space="preserve"> </w:t>
      </w:r>
      <w:r w:rsidR="00FA2FE3">
        <w:rPr>
          <w:rFonts w:ascii="Arial" w:eastAsia="Yu Mincho" w:hAnsi="Arial" w:cs="Arial"/>
          <w:lang w:eastAsia="ja-JP"/>
        </w:rPr>
        <w:tab/>
      </w:r>
      <w:r w:rsidR="00FA2FE3">
        <w:rPr>
          <w:rFonts w:ascii="Arial" w:eastAsia="Yu Mincho" w:hAnsi="Arial" w:cs="Arial"/>
          <w:lang w:eastAsia="ja-JP"/>
        </w:rPr>
        <w:tab/>
        <w:t>97</w:t>
      </w:r>
    </w:p>
    <w:p w14:paraId="13CA392E" w14:textId="77777777" w:rsidR="00C911CE"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inparalogs</w:t>
      </w:r>
      <w:r w:rsidR="00C911CE">
        <w:rPr>
          <w:rFonts w:ascii="Arial" w:eastAsia="Yu Mincho" w:hAnsi="Arial" w:cs="Arial"/>
          <w:lang w:eastAsia="ja-JP"/>
        </w:rPr>
        <w:t xml:space="preserve"> </w:t>
      </w:r>
      <w:r w:rsidR="003A48AB" w:rsidRPr="003A48AB">
        <w:rPr>
          <w:rFonts w:ascii="Arial" w:eastAsia="Yu Mincho" w:hAnsi="Arial" w:cs="Arial"/>
          <w:lang w:eastAsia="ja-JP"/>
        </w:rPr>
        <w:t xml:space="preserve">according to the </w:t>
      </w:r>
      <w:r w:rsidR="003A48AB" w:rsidRPr="003A48AB">
        <w:rPr>
          <w:rFonts w:ascii="Arial" w:eastAsia="Yu Mincho" w:hAnsi="Arial" w:cs="Arial"/>
          <w:i/>
          <w:lang w:eastAsia="ja-JP"/>
        </w:rPr>
        <w:t>Physcomitrella patens</w:t>
      </w:r>
      <w:r w:rsidR="003A48AB" w:rsidRPr="003A48AB">
        <w:rPr>
          <w:rFonts w:ascii="Arial" w:eastAsia="Yu Mincho" w:hAnsi="Arial" w:cs="Arial"/>
          <w:lang w:eastAsia="ja-JP"/>
        </w:rPr>
        <w:t xml:space="preserve"> eFP browser </w:t>
      </w:r>
    </w:p>
    <w:p w14:paraId="50004A0A" w14:textId="77777777" w:rsidR="003A48AB" w:rsidRPr="003A48AB" w:rsidRDefault="00C911CE"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 xml:space="preserve">at bar.utoronto.ca </w:t>
      </w:r>
      <w:r w:rsidRPr="00C911CE">
        <w:rPr>
          <w:rFonts w:ascii="Arial" w:eastAsia="MS Mincho" w:hAnsi="Arial" w:cs="Arial"/>
          <w:lang w:eastAsia="ja-JP"/>
        </w:rPr>
        <w:fldChar w:fldCharType="begin">
          <w:fldData xml:space="preserve">PEVuZE5vdGU+PENpdGU+PEF1dGhvcj5XaW50ZXI8L0F1dGhvcj48WWVhcj4yMDA3PC9ZZWFyPjxJ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</w:fldData>
        </w:fldChar>
      </w:r>
      <w:r w:rsidRPr="00C911CE">
        <w:rPr>
          <w:rFonts w:ascii="Arial" w:eastAsia="MS Mincho" w:hAnsi="Arial" w:cs="Arial"/>
          <w:lang w:eastAsia="ja-JP"/>
        </w:rPr>
        <w:instrText xml:space="preserve"> ADDIN EN.CITE </w:instrText>
      </w:r>
      <w:r w:rsidRPr="00C911CE">
        <w:rPr>
          <w:rFonts w:ascii="Arial" w:eastAsia="MS Mincho" w:hAnsi="Arial" w:cs="Arial"/>
          <w:lang w:eastAsia="ja-JP"/>
        </w:rPr>
        <w:fldChar w:fldCharType="begin">
          <w:fldData xml:space="preserve">PEVuZE5vdGU+PENpdGU+PEF1dGhvcj5XaW50ZXI8L0F1dGhvcj48WWVhcj4yMDA3PC9ZZWFyPjxJ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</w:fldData>
        </w:fldChar>
      </w:r>
      <w:r w:rsidRPr="00C911CE">
        <w:rPr>
          <w:rFonts w:ascii="Arial" w:eastAsia="MS Mincho" w:hAnsi="Arial" w:cs="Arial"/>
          <w:lang w:eastAsia="ja-JP"/>
        </w:rPr>
        <w:instrText xml:space="preserve"> ADDIN EN.CITE.DATA </w:instrText>
      </w:r>
      <w:r w:rsidRPr="00C911CE">
        <w:rPr>
          <w:rFonts w:ascii="Arial" w:eastAsia="MS Mincho" w:hAnsi="Arial" w:cs="Arial"/>
          <w:lang w:eastAsia="ja-JP"/>
        </w:rPr>
      </w:r>
      <w:r w:rsidRPr="00C911CE">
        <w:rPr>
          <w:rFonts w:ascii="Arial" w:eastAsia="MS Mincho" w:hAnsi="Arial" w:cs="Arial"/>
          <w:lang w:eastAsia="ja-JP"/>
        </w:rPr>
        <w:fldChar w:fldCharType="end"/>
      </w:r>
      <w:r w:rsidRPr="00C911CE">
        <w:rPr>
          <w:rFonts w:ascii="Arial" w:eastAsia="MS Mincho" w:hAnsi="Arial" w:cs="Arial"/>
          <w:lang w:eastAsia="ja-JP"/>
        </w:rPr>
      </w:r>
      <w:r w:rsidRPr="00C911CE">
        <w:rPr>
          <w:rFonts w:ascii="Arial" w:eastAsia="MS Mincho" w:hAnsi="Arial" w:cs="Arial"/>
          <w:lang w:eastAsia="ja-JP"/>
        </w:rPr>
        <w:fldChar w:fldCharType="separate"/>
      </w:r>
      <w:r w:rsidRPr="00C911CE">
        <w:rPr>
          <w:rFonts w:ascii="Arial" w:eastAsia="MS Mincho" w:hAnsi="Arial" w:cs="Arial"/>
          <w:noProof/>
          <w:lang w:eastAsia="ja-JP"/>
        </w:rPr>
        <w:t>(Ortiz-Ramírez et al., 2015; Winter et al., 2007)</w:t>
      </w:r>
      <w:r w:rsidRPr="00C911CE">
        <w:rPr>
          <w:rFonts w:ascii="Arial" w:eastAsia="MS Mincho" w:hAnsi="Arial" w:cs="Arial"/>
          <w:lang w:eastAsia="ja-JP"/>
        </w:rPr>
        <w:fldChar w:fldCharType="end"/>
      </w:r>
      <w:r w:rsidRPr="00C911CE">
        <w:rPr>
          <w:rFonts w:ascii="Arial" w:eastAsia="MS Mincho" w:hAnsi="Arial" w:cs="Arial"/>
          <w:lang w:eastAsia="ja-JP"/>
        </w:rPr>
        <w:t>.</w:t>
      </w:r>
    </w:p>
    <w:p w14:paraId="3625418B"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4E503827" w14:textId="708DDA56" w:rsidR="00C911CE" w:rsidRDefault="003A48AB" w:rsidP="009F0A54">
      <w:pPr>
        <w:tabs>
          <w:tab w:val="left" w:pos="6663"/>
        </w:tabs>
        <w:spacing w:after="0" w:line="240" w:lineRule="auto"/>
        <w:ind w:right="96"/>
        <w:rPr>
          <w:rFonts w:ascii="Arial" w:eastAsia="Times New Roman" w:hAnsi="Arial" w:cs="Arial"/>
          <w:bCs/>
          <w:color w:val="000000"/>
          <w:lang w:eastAsia="ja-JP"/>
        </w:rPr>
      </w:pPr>
      <w:r w:rsidRPr="003A48AB">
        <w:rPr>
          <w:rFonts w:ascii="Arial" w:eastAsia="Times New Roman" w:hAnsi="Arial" w:cs="Arial"/>
          <w:color w:val="000000"/>
          <w:lang w:eastAsia="ja-JP"/>
        </w:rPr>
        <w:t xml:space="preserve">Figure 21. </w:t>
      </w:r>
      <w:r w:rsidRPr="003A48AB">
        <w:rPr>
          <w:rFonts w:ascii="Arial" w:eastAsia="Times New Roman" w:hAnsi="Arial" w:cs="Arial"/>
          <w:bCs/>
          <w:color w:val="000000"/>
          <w:lang w:eastAsia="ja-JP"/>
        </w:rPr>
        <w:t xml:space="preserve">The genome of the hornwort </w:t>
      </w:r>
      <w:r w:rsidRPr="003A48AB">
        <w:rPr>
          <w:rFonts w:ascii="Arial" w:eastAsia="Times New Roman" w:hAnsi="Arial" w:cs="Arial"/>
          <w:bCs/>
          <w:i/>
          <w:color w:val="000000"/>
          <w:lang w:eastAsia="ja-JP"/>
        </w:rPr>
        <w:t xml:space="preserve">A. punctatus </w:t>
      </w:r>
      <w:r w:rsidR="009F0A54">
        <w:rPr>
          <w:rFonts w:ascii="Arial" w:eastAsia="Times New Roman" w:hAnsi="Arial" w:cs="Arial"/>
          <w:bCs/>
          <w:color w:val="000000"/>
          <w:lang w:eastAsia="ja-JP"/>
        </w:rPr>
        <w:t xml:space="preserve">may encode a </w:t>
      </w:r>
      <w:r w:rsidR="00FA2FE3">
        <w:rPr>
          <w:rFonts w:ascii="Arial" w:eastAsia="Times New Roman" w:hAnsi="Arial" w:cs="Arial"/>
          <w:bCs/>
          <w:color w:val="000000"/>
          <w:lang w:eastAsia="ja-JP"/>
        </w:rPr>
        <w:tab/>
      </w:r>
      <w:r w:rsidR="00FA2FE3">
        <w:rPr>
          <w:rFonts w:ascii="Arial" w:eastAsia="Times New Roman" w:hAnsi="Arial" w:cs="Arial"/>
          <w:bCs/>
          <w:color w:val="000000"/>
          <w:lang w:eastAsia="ja-JP"/>
        </w:rPr>
        <w:tab/>
        <w:t>102</w:t>
      </w:r>
    </w:p>
    <w:p w14:paraId="76871505" w14:textId="77777777" w:rsidR="00C911CE" w:rsidRDefault="009F0A54" w:rsidP="009F0A54">
      <w:pPr>
        <w:tabs>
          <w:tab w:val="left" w:pos="6663"/>
        </w:tabs>
        <w:spacing w:after="0" w:line="240" w:lineRule="auto"/>
        <w:ind w:right="96"/>
        <w:rPr>
          <w:rFonts w:ascii="Arial" w:eastAsia="Times New Roman" w:hAnsi="Arial" w:cs="Arial"/>
          <w:bCs/>
          <w:color w:val="000000"/>
          <w:lang w:eastAsia="ja-JP"/>
        </w:rPr>
      </w:pPr>
      <w:r>
        <w:rPr>
          <w:rFonts w:ascii="Arial" w:eastAsia="Times New Roman" w:hAnsi="Arial" w:cs="Arial"/>
          <w:bCs/>
          <w:color w:val="000000"/>
          <w:lang w:eastAsia="ja-JP"/>
        </w:rPr>
        <w:t>gene which</w:t>
      </w:r>
      <w:r w:rsidR="00C911CE">
        <w:rPr>
          <w:rFonts w:ascii="Arial" w:eastAsia="Times New Roman" w:hAnsi="Arial" w:cs="Arial"/>
          <w:bCs/>
          <w:color w:val="000000"/>
          <w:lang w:eastAsia="ja-JP"/>
        </w:rPr>
        <w:t xml:space="preserve"> </w:t>
      </w:r>
      <w:r w:rsidR="003A48AB" w:rsidRPr="003A48AB">
        <w:rPr>
          <w:rFonts w:ascii="Arial" w:eastAsia="Times New Roman" w:hAnsi="Arial" w:cs="Arial"/>
          <w:bCs/>
          <w:color w:val="000000"/>
          <w:lang w:eastAsia="ja-JP"/>
        </w:rPr>
        <w:t xml:space="preserve">is closely related to </w:t>
      </w:r>
      <w:r w:rsidR="003A48AB" w:rsidRPr="003A48AB">
        <w:rPr>
          <w:rFonts w:ascii="Arial" w:eastAsia="Times New Roman" w:hAnsi="Arial" w:cs="Arial"/>
          <w:bCs/>
          <w:i/>
          <w:color w:val="000000"/>
          <w:lang w:eastAsia="ja-JP"/>
        </w:rPr>
        <w:t xml:space="preserve">PpSMF1/2 </w:t>
      </w:r>
      <w:r w:rsidR="00C911CE">
        <w:rPr>
          <w:rFonts w:ascii="Arial" w:eastAsia="Times New Roman" w:hAnsi="Arial" w:cs="Arial"/>
          <w:bCs/>
          <w:color w:val="000000"/>
          <w:lang w:eastAsia="ja-JP"/>
        </w:rPr>
        <w:t>that also shares homology</w:t>
      </w:r>
    </w:p>
    <w:p w14:paraId="373E4D63" w14:textId="77777777" w:rsidR="003A48AB" w:rsidRPr="003A48AB" w:rsidRDefault="003A48AB" w:rsidP="009F0A54">
      <w:pPr>
        <w:tabs>
          <w:tab w:val="left" w:pos="6663"/>
        </w:tabs>
        <w:spacing w:after="0" w:line="240" w:lineRule="auto"/>
        <w:ind w:right="96"/>
        <w:rPr>
          <w:rFonts w:ascii="Arial" w:eastAsia="Times New Roman" w:hAnsi="Arial" w:cs="Arial"/>
          <w:bCs/>
          <w:color w:val="000000"/>
          <w:lang w:eastAsia="ja-JP"/>
        </w:rPr>
      </w:pPr>
      <w:r w:rsidRPr="003A48AB">
        <w:rPr>
          <w:rFonts w:ascii="Arial" w:eastAsia="Times New Roman" w:hAnsi="Arial" w:cs="Arial"/>
          <w:bCs/>
          <w:color w:val="000000"/>
          <w:lang w:eastAsia="ja-JP"/>
        </w:rPr>
        <w:t xml:space="preserve">with other </w:t>
      </w:r>
      <w:r w:rsidRPr="003A48AB">
        <w:rPr>
          <w:rFonts w:ascii="Arial" w:eastAsia="Times New Roman" w:hAnsi="Arial" w:cs="Arial"/>
          <w:bCs/>
          <w:i/>
          <w:color w:val="000000"/>
          <w:lang w:eastAsia="ja-JP"/>
        </w:rPr>
        <w:t>SMF</w:t>
      </w:r>
      <w:r w:rsidRPr="003A48AB">
        <w:rPr>
          <w:rFonts w:ascii="Arial" w:eastAsia="Times New Roman" w:hAnsi="Arial" w:cs="Arial"/>
          <w:bCs/>
          <w:color w:val="000000"/>
          <w:lang w:eastAsia="ja-JP"/>
        </w:rPr>
        <w:t xml:space="preserve"> clade representatives.</w:t>
      </w:r>
    </w:p>
    <w:p w14:paraId="6C2BB072" w14:textId="77777777" w:rsidR="003A48AB" w:rsidRPr="003A48AB" w:rsidRDefault="003A48AB" w:rsidP="009F0A54">
      <w:pPr>
        <w:tabs>
          <w:tab w:val="left" w:pos="6663"/>
        </w:tabs>
        <w:spacing w:after="0" w:line="240" w:lineRule="auto"/>
        <w:ind w:right="96"/>
        <w:rPr>
          <w:rFonts w:ascii="Arial" w:eastAsia="Times New Roman" w:hAnsi="Arial" w:cs="Arial"/>
          <w:bCs/>
          <w:color w:val="000000"/>
          <w:lang w:eastAsia="ja-JP"/>
        </w:rPr>
      </w:pPr>
    </w:p>
    <w:p w14:paraId="631CEB51" w14:textId="77777777" w:rsidR="003A48AB" w:rsidRPr="003A48AB" w:rsidRDefault="003A48AB" w:rsidP="009F0A54">
      <w:pPr>
        <w:tabs>
          <w:tab w:val="left" w:pos="6663"/>
        </w:tabs>
        <w:spacing w:after="0" w:line="240" w:lineRule="auto"/>
        <w:ind w:right="96"/>
        <w:rPr>
          <w:rFonts w:ascii="Arial" w:eastAsia="Times New Roman" w:hAnsi="Arial" w:cs="Arial"/>
          <w:b/>
          <w:bCs/>
          <w:color w:val="000000"/>
          <w:lang w:eastAsia="ja-JP"/>
        </w:rPr>
      </w:pPr>
      <w:r w:rsidRPr="003A48AB">
        <w:rPr>
          <w:rFonts w:ascii="Arial" w:eastAsia="Times New Roman" w:hAnsi="Arial" w:cs="Arial"/>
          <w:b/>
          <w:bCs/>
          <w:color w:val="000000"/>
          <w:lang w:eastAsia="ja-JP"/>
        </w:rPr>
        <w:t>Chapter 4</w:t>
      </w:r>
    </w:p>
    <w:p w14:paraId="677C5D76"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291A6C4F" w14:textId="7EDF39E0" w:rsidR="00C911CE"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Figure 1. Fragmentary coalified remains of late S</w:t>
      </w:r>
      <w:r w:rsidR="009F0A54">
        <w:rPr>
          <w:rFonts w:ascii="Arial" w:eastAsia="Yu Mincho" w:hAnsi="Arial" w:cs="Arial"/>
          <w:lang w:eastAsia="ja-JP"/>
        </w:rPr>
        <w:t xml:space="preserve">ilurian stomata dating </w:t>
      </w:r>
      <w:r w:rsidR="00FA2FE3">
        <w:rPr>
          <w:rFonts w:ascii="Arial" w:eastAsia="Yu Mincho" w:hAnsi="Arial" w:cs="Arial"/>
          <w:lang w:eastAsia="ja-JP"/>
        </w:rPr>
        <w:tab/>
        <w:t>110</w:t>
      </w:r>
    </w:p>
    <w:p w14:paraId="75B9D083" w14:textId="32AB490B" w:rsidR="003A48AB" w:rsidRPr="003A48AB"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back</w:t>
      </w:r>
      <w:r w:rsidR="00C911CE">
        <w:rPr>
          <w:rFonts w:ascii="Arial" w:eastAsia="Yu Mincho" w:hAnsi="Arial" w:cs="Arial"/>
          <w:lang w:eastAsia="ja-JP"/>
        </w:rPr>
        <w:t xml:space="preserve"> </w:t>
      </w:r>
      <w:r w:rsidR="003A48AB" w:rsidRPr="003A48AB">
        <w:rPr>
          <w:rFonts w:ascii="Arial" w:eastAsia="Yu Mincho" w:hAnsi="Arial" w:cs="Arial"/>
          <w:lang w:eastAsia="ja-JP"/>
        </w:rPr>
        <w:t xml:space="preserve">over 410mya adapted from Edwards et al. </w:t>
      </w:r>
      <w:r w:rsidR="003A48AB" w:rsidRPr="003A48AB">
        <w:rPr>
          <w:rFonts w:ascii="Arial" w:eastAsia="Yu Mincho" w:hAnsi="Arial" w:cs="Arial"/>
          <w:lang w:eastAsia="ja-JP"/>
        </w:rPr>
        <w:fldChar w:fldCharType="begin"/>
      </w:r>
      <w:r w:rsidR="00417B1E">
        <w:rPr>
          <w:rFonts w:ascii="Arial" w:eastAsia="Yu Mincho" w:hAnsi="Arial" w:cs="Arial"/>
          <w:lang w:eastAsia="ja-JP"/>
        </w:rPr>
        <w:instrText xml:space="preserve"> ADDIN EN.CITE &lt;EndNote&gt;&lt;Cite ExcludeAuth="1"&gt;&lt;Author&gt;Edwards&lt;/Author&gt;&lt;Year&gt;1998&lt;/Year&gt;&lt;IDText&gt;Stomata in early land plants: an anatomical and ecophysiological approach&lt;/IDText&gt;&lt;DisplayText&gt;(1998)&lt;/DisplayText&gt;&lt;record&gt;&lt;dates&gt;&lt;pub-dates&gt;&lt;date&gt;Mar&lt;/date&gt;&lt;/pub-dates&gt;&lt;year&gt;1998&lt;/year&gt;&lt;/dates&gt;&lt;keywords&gt;&lt;keyword&gt;paleoecophysiology&lt;/keyword&gt;&lt;keyword&gt;Rhynie Chert&lt;/keyword&gt;&lt;keyword&gt;Siluro-Devonian&lt;/keyword&gt;&lt;keyword&gt;stomata&lt;/keyword&gt;&lt;keyword&gt;substomatal&lt;/keyword&gt;&lt;keyword&gt;chamber&lt;/keyword&gt;&lt;keyword&gt;VASCULAR PLANTS&lt;/keyword&gt;&lt;keyword&gt;SPOROPHYTES&lt;/keyword&gt;&lt;keyword&gt;EVAPORATION&lt;/keyword&gt;&lt;keyword&gt;EVOLUTION&lt;/keyword&gt;&lt;keyword&gt;CUTICLES&lt;/keyword&gt;&lt;keyword&gt;CELLS&lt;/keyword&gt;&lt;keyword&gt;CO2&lt;/keyword&gt;&lt;/keywords&gt;&lt;urls&gt;&lt;related-urls&gt;&lt;url&gt;&amp;lt;Go to ISI&amp;gt;://WOS:000072842300002&lt;/url&gt;&lt;/related-urls&gt;&lt;/urls&gt;&lt;isbn&gt;0022-0957&lt;/isbn&gt;&lt;work-type&gt;Article; Proceedings Paper&lt;/work-type&gt;&lt;titles&gt;&lt;title&gt;Stomata in early land plants: an anatomical and ecophysiological approach&lt;/title&gt;&lt;secondary-title&gt;Journal of Experimental Botany&lt;/secondary-title&gt;&lt;alt-title&gt;J. Exp. Bot.&lt;/alt-title&gt;&lt;/titles&gt;&lt;pages&gt;255-278&lt;/pages&gt;&lt;contributors&gt;&lt;authors&gt;&lt;author&gt;Edwards, D.&lt;/author&gt;&lt;author&gt;Kerp, H.&lt;/author&gt;&lt;author&gt;Hass, H.&lt;/author&gt;&lt;/authors&gt;&lt;/contributors&gt;&lt;language&gt;English&lt;/language&gt;&lt;added-date format="utc"&gt;1353956596&lt;/added-date&gt;&lt;ref-type name="Journal Article"&gt;17&lt;/ref-type&gt;&lt;auth-address&gt;Univ Wales, Dept Earth Sci, Cardiff CF1 3YE, S Glam, Wales. Univ Munster, Abt Palaobot, D-48143 Munster, Germany.&amp;#xD;Edwards, D (reprint author), Univ Wales, Dept Earth Sci, POB 914, Cardiff CF1 3YE, S Glam, Wales.&lt;/auth-address&gt;&lt;rec-number&gt;56&lt;/rec-number&gt;&lt;last-updated-date format="utc"&gt;1353956596&lt;/last-updated-date&gt;&lt;accession-num&gt;WOS:000072842300002&lt;/accession-num&gt;&lt;electronic-resource-num&gt;10.1093/jexbot/49.suppl_1.255&lt;/electronic-resource-num&gt;&lt;volume&gt;49&lt;/volume&gt;&lt;/record&gt;&lt;/Cite&gt;&lt;/EndNote&gt;</w:instrText>
      </w:r>
      <w:r w:rsidR="003A48AB" w:rsidRPr="003A48AB">
        <w:rPr>
          <w:rFonts w:ascii="Arial" w:eastAsia="Yu Mincho" w:hAnsi="Arial" w:cs="Arial"/>
          <w:lang w:eastAsia="ja-JP"/>
        </w:rPr>
        <w:fldChar w:fldCharType="separate"/>
      </w:r>
      <w:r w:rsidR="003A48AB" w:rsidRPr="003A48AB">
        <w:rPr>
          <w:rFonts w:ascii="Arial" w:eastAsia="Yu Mincho" w:hAnsi="Arial" w:cs="Arial"/>
          <w:noProof/>
          <w:lang w:eastAsia="ja-JP"/>
        </w:rPr>
        <w:t>(1998)</w:t>
      </w:r>
      <w:r w:rsidR="003A48AB" w:rsidRPr="003A48AB">
        <w:rPr>
          <w:rFonts w:ascii="Arial" w:eastAsia="Yu Mincho" w:hAnsi="Arial" w:cs="Arial"/>
          <w:lang w:eastAsia="ja-JP"/>
        </w:rPr>
        <w:fldChar w:fldCharType="end"/>
      </w:r>
      <w:r w:rsidR="003A48AB" w:rsidRPr="003A48AB">
        <w:rPr>
          <w:rFonts w:ascii="Arial" w:eastAsia="Yu Mincho" w:hAnsi="Arial" w:cs="Arial"/>
          <w:lang w:eastAsia="ja-JP"/>
        </w:rPr>
        <w:t>.</w:t>
      </w:r>
    </w:p>
    <w:p w14:paraId="74812C2B"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1A88741F" w14:textId="5B5A3C32" w:rsidR="00C911CE"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Figure 2. Representative sculpted models of early la</w:t>
      </w:r>
      <w:r w:rsidR="009F0A54">
        <w:rPr>
          <w:rFonts w:ascii="Arial" w:eastAsia="Yu Mincho" w:hAnsi="Arial" w:cs="Arial"/>
          <w:lang w:eastAsia="ja-JP"/>
        </w:rPr>
        <w:t xml:space="preserve">nd plants that had </w:t>
      </w:r>
      <w:r w:rsidR="00FA2FE3">
        <w:rPr>
          <w:rFonts w:ascii="Arial" w:eastAsia="Yu Mincho" w:hAnsi="Arial" w:cs="Arial"/>
          <w:lang w:eastAsia="ja-JP"/>
        </w:rPr>
        <w:tab/>
        <w:t>111</w:t>
      </w:r>
    </w:p>
    <w:p w14:paraId="7FDB7E88" w14:textId="77777777" w:rsidR="00C911CE"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stomata</w:t>
      </w:r>
      <w:r w:rsidR="00C911CE">
        <w:rPr>
          <w:rFonts w:ascii="Arial" w:eastAsia="Yu Mincho" w:hAnsi="Arial" w:cs="Arial"/>
          <w:lang w:eastAsia="ja-JP"/>
        </w:rPr>
        <w:t xml:space="preserve"> </w:t>
      </w:r>
      <w:r w:rsidR="003A48AB" w:rsidRPr="003A48AB">
        <w:rPr>
          <w:rFonts w:ascii="Arial" w:eastAsia="Yu Mincho" w:hAnsi="Arial" w:cs="Arial"/>
          <w:lang w:eastAsia="ja-JP"/>
        </w:rPr>
        <w:t xml:space="preserve">from the Devonian period based on Rhynie Chert fossilised </w:t>
      </w:r>
    </w:p>
    <w:p w14:paraId="22922D3B"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remains.</w:t>
      </w:r>
    </w:p>
    <w:p w14:paraId="5CDDF3CB"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49DE97E6" w14:textId="20309A3E" w:rsidR="00C911CE"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Figure 3. Overview of the core signalling transductio</w:t>
      </w:r>
      <w:r w:rsidR="009F0A54">
        <w:rPr>
          <w:rFonts w:ascii="Arial" w:eastAsia="Yu Mincho" w:hAnsi="Arial" w:cs="Arial"/>
          <w:lang w:eastAsia="ja-JP"/>
        </w:rPr>
        <w:t xml:space="preserve">n cascade that </w:t>
      </w:r>
      <w:r w:rsidR="00FA2FE3">
        <w:rPr>
          <w:rFonts w:ascii="Arial" w:eastAsia="Yu Mincho" w:hAnsi="Arial" w:cs="Arial"/>
          <w:lang w:eastAsia="ja-JP"/>
        </w:rPr>
        <w:tab/>
      </w:r>
      <w:r w:rsidR="00FA2FE3">
        <w:rPr>
          <w:rFonts w:ascii="Arial" w:eastAsia="Yu Mincho" w:hAnsi="Arial" w:cs="Arial"/>
          <w:lang w:eastAsia="ja-JP"/>
        </w:rPr>
        <w:tab/>
        <w:t>114</w:t>
      </w:r>
    </w:p>
    <w:p w14:paraId="7B7634A2" w14:textId="77777777" w:rsidR="00C911CE"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operates in</w:t>
      </w:r>
      <w:r w:rsidR="00C911CE">
        <w:rPr>
          <w:rFonts w:ascii="Arial" w:eastAsia="Yu Mincho" w:hAnsi="Arial" w:cs="Arial"/>
          <w:lang w:eastAsia="ja-JP"/>
        </w:rPr>
        <w:t xml:space="preserve"> </w:t>
      </w:r>
      <w:r w:rsidR="003A48AB" w:rsidRPr="003A48AB">
        <w:rPr>
          <w:rFonts w:ascii="Arial" w:eastAsia="Yu Mincho" w:hAnsi="Arial" w:cs="Arial"/>
          <w:i/>
          <w:lang w:eastAsia="ja-JP"/>
        </w:rPr>
        <w:t xml:space="preserve">A. thaliana </w:t>
      </w:r>
      <w:r w:rsidR="003A48AB" w:rsidRPr="003A48AB">
        <w:rPr>
          <w:rFonts w:ascii="Arial" w:eastAsia="Yu Mincho" w:hAnsi="Arial" w:cs="Arial"/>
          <w:lang w:eastAsia="ja-JP"/>
        </w:rPr>
        <w:t xml:space="preserve">which permits the correct patterning of stomata </w:t>
      </w:r>
    </w:p>
    <w:p w14:paraId="00CE2224"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during development </w:t>
      </w:r>
    </w:p>
    <w:p w14:paraId="7F007925"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adapted from Pillitteri and Dong </w:t>
      </w:r>
      <w:r w:rsidRPr="003A48AB">
        <w:rPr>
          <w:rFonts w:ascii="Arial" w:eastAsia="Yu Mincho" w:hAnsi="Arial" w:cs="Arial"/>
          <w:lang w:eastAsia="ja-JP"/>
        </w:rPr>
        <w:fldChar w:fldCharType="begin"/>
      </w:r>
      <w:r w:rsidRPr="003A48AB">
        <w:rPr>
          <w:rFonts w:ascii="Arial" w:eastAsia="Yu Mincho" w:hAnsi="Arial" w:cs="Arial"/>
          <w:lang w:eastAsia="ja-JP"/>
        </w:rPr>
        <w:instrText xml:space="preserve"> ADDIN EN.CITE &lt;EndNote&gt;&lt;Cite ExcludeAuth="1"&gt;&lt;Author&gt;Pillitteri&lt;/Author&gt;&lt;Year&gt;2013&lt;/Year&gt;&lt;IDText&gt;Stomatal Development in Arabidopsis&lt;/IDText&gt;&lt;DisplayText&gt;(2013)&lt;/DisplayText&gt;&lt;record&gt;&lt;dates&gt;&lt;pub-dates&gt;&lt;date&gt;06/06&lt;/date&gt;&lt;/pub-dates&gt;&lt;year&gt;2013&lt;/year&gt;&lt;/dates&gt;&lt;urls&gt;&lt;related-urls&gt;&lt;url&gt;http://www.ncbi.nlm.nih.gov/pmc/articles/PMC3711358/&lt;/url&gt;&lt;/related-urls&gt;&lt;/urls&gt;&lt;isbn&gt;1543-8120&lt;/isbn&gt;&lt;titles&gt;&lt;title&gt;Stomatal Development in Arabidopsis&lt;/title&gt;&lt;secondary-title&gt;The Arabidopsis Book / American Society of Plant Biologists&lt;/secondary-title&gt;&lt;/titles&gt;&lt;pages&gt;e0162&lt;/pages&gt;&lt;contributors&gt;&lt;authors&gt;&lt;author&gt;Pillitteri, Lynn Jo&lt;/author&gt;&lt;author&gt;Dong, Juan&lt;/author&gt;&lt;/authors&gt;&lt;/contributors&gt;&lt;added-date format="utc"&gt;1452067835&lt;/added-date&gt;&lt;ref-type name="Journal Article"&gt;17&lt;/ref-type&gt;&lt;rec-number&gt;401&lt;/rec-number&gt;&lt;publisher&gt;American Society of Plant Biologists&lt;/publisher&gt;&lt;last-updated-date format="utc"&gt;1452067835&lt;/last-updated-date&gt;&lt;accession-num&gt;PMC3711358&lt;/accession-num&gt;&lt;electronic-resource-num&gt;10.1199/tab.0162&lt;/electronic-resource-num&gt;&lt;volume&gt;11&lt;/volume&gt;&lt;remote-database-name&gt;PMC&lt;/remote-database-name&gt;&lt;/record&gt;&lt;/Cite&gt;&lt;/EndNote&gt;</w:instrText>
      </w:r>
      <w:r w:rsidRPr="003A48AB">
        <w:rPr>
          <w:rFonts w:ascii="Arial" w:eastAsia="Yu Mincho" w:hAnsi="Arial" w:cs="Arial"/>
          <w:lang w:eastAsia="ja-JP"/>
        </w:rPr>
        <w:fldChar w:fldCharType="separate"/>
      </w:r>
      <w:r w:rsidRPr="003A48AB">
        <w:rPr>
          <w:rFonts w:ascii="Arial" w:eastAsia="Yu Mincho" w:hAnsi="Arial" w:cs="Arial"/>
          <w:noProof/>
          <w:lang w:eastAsia="ja-JP"/>
        </w:rPr>
        <w:t>(2013)</w:t>
      </w:r>
      <w:r w:rsidRPr="003A48AB">
        <w:rPr>
          <w:rFonts w:ascii="Arial" w:eastAsia="Yu Mincho" w:hAnsi="Arial" w:cs="Arial"/>
          <w:lang w:eastAsia="ja-JP"/>
        </w:rPr>
        <w:fldChar w:fldCharType="end"/>
      </w:r>
      <w:r w:rsidRPr="003A48AB">
        <w:rPr>
          <w:rFonts w:ascii="Arial" w:eastAsia="Yu Mincho" w:hAnsi="Arial" w:cs="Arial"/>
          <w:lang w:eastAsia="ja-JP"/>
        </w:rPr>
        <w:t>.</w:t>
      </w:r>
    </w:p>
    <w:p w14:paraId="503477E1"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07E7C649" w14:textId="25EDC231" w:rsidR="00C911CE"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4. C-terminal cysteine residues present in EPF/L signalling </w:t>
      </w:r>
      <w:r w:rsidR="00FA2FE3">
        <w:rPr>
          <w:rFonts w:ascii="Arial" w:eastAsia="Yu Mincho" w:hAnsi="Arial" w:cs="Arial"/>
          <w:lang w:eastAsia="ja-JP"/>
        </w:rPr>
        <w:tab/>
      </w:r>
      <w:r w:rsidR="00FA2FE3">
        <w:rPr>
          <w:rFonts w:ascii="Arial" w:eastAsia="Yu Mincho" w:hAnsi="Arial" w:cs="Arial"/>
          <w:lang w:eastAsia="ja-JP"/>
        </w:rPr>
        <w:tab/>
        <w:t>116</w:t>
      </w:r>
    </w:p>
    <w:p w14:paraId="61AEA64D" w14:textId="77777777" w:rsidR="00C911CE" w:rsidRDefault="00C911CE"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P</w:t>
      </w:r>
      <w:r w:rsidR="009F0A54">
        <w:rPr>
          <w:rFonts w:ascii="Arial" w:eastAsia="Yu Mincho" w:hAnsi="Arial" w:cs="Arial"/>
          <w:lang w:eastAsia="ja-JP"/>
        </w:rPr>
        <w:t>eptides</w:t>
      </w:r>
      <w:r>
        <w:rPr>
          <w:rFonts w:ascii="Arial" w:eastAsia="Yu Mincho" w:hAnsi="Arial" w:cs="Arial"/>
          <w:lang w:eastAsia="ja-JP"/>
        </w:rPr>
        <w:t xml:space="preserve"> </w:t>
      </w:r>
      <w:r w:rsidR="003A48AB" w:rsidRPr="003A48AB">
        <w:rPr>
          <w:rFonts w:ascii="Arial" w:eastAsia="Yu Mincho" w:hAnsi="Arial" w:cs="Arial"/>
          <w:lang w:eastAsia="ja-JP"/>
        </w:rPr>
        <w:t xml:space="preserve">bestow tertiary structure. Adapted from Pillitteri and </w:t>
      </w:r>
    </w:p>
    <w:p w14:paraId="042EB244"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Dong </w:t>
      </w:r>
      <w:r w:rsidRPr="003A48AB">
        <w:rPr>
          <w:rFonts w:ascii="Arial" w:eastAsia="Yu Mincho" w:hAnsi="Arial" w:cs="Arial"/>
          <w:lang w:eastAsia="ja-JP"/>
        </w:rPr>
        <w:fldChar w:fldCharType="begin"/>
      </w:r>
      <w:r w:rsidRPr="003A48AB">
        <w:rPr>
          <w:rFonts w:ascii="Arial" w:eastAsia="Yu Mincho" w:hAnsi="Arial" w:cs="Arial"/>
          <w:lang w:eastAsia="ja-JP"/>
        </w:rPr>
        <w:instrText xml:space="preserve"> ADDIN EN.CITE &lt;EndNote&gt;&lt;Cite ExcludeAuth="1"&gt;&lt;Author&gt;Pillitteri&lt;/Author&gt;&lt;Year&gt;2013&lt;/Year&gt;&lt;IDText&gt;Stomatal Development in Arabidopsis&lt;/IDText&gt;&lt;DisplayText&gt;(2013)&lt;/DisplayText&gt;&lt;record&gt;&lt;dates&gt;&lt;pub-dates&gt;&lt;date&gt;06/06&lt;/date&gt;&lt;/pub-dates&gt;&lt;year&gt;2013&lt;/year&gt;&lt;/dates&gt;&lt;urls&gt;&lt;related-urls&gt;&lt;url&gt;http://www.ncbi.nlm.nih.gov/pmc/articles/PMC3711358/&lt;/url&gt;&lt;/related-urls&gt;&lt;/urls&gt;&lt;isbn&gt;1543-8120&lt;/isbn&gt;&lt;titles&gt;&lt;title&gt;Stomatal Development in Arabidopsis&lt;/title&gt;&lt;secondary-title&gt;The Arabidopsis Book / American Society of Plant Biologists&lt;/secondary-title&gt;&lt;/titles&gt;&lt;pages&gt;e0162&lt;/pages&gt;&lt;contributors&gt;&lt;authors&gt;&lt;author&gt;Pillitteri, Lynn Jo&lt;/author&gt;&lt;author&gt;Dong, Juan&lt;/author&gt;&lt;/authors&gt;&lt;/contributors&gt;&lt;added-date format="utc"&gt;1452067835&lt;/added-date&gt;&lt;ref-type name="Journal Article"&gt;17&lt;/ref-type&gt;&lt;rec-number&gt;401&lt;/rec-number&gt;&lt;publisher&gt;American Society of Plant Biologists&lt;/publisher&gt;&lt;last-updated-date format="utc"&gt;1452067835&lt;/last-updated-date&gt;&lt;accession-num&gt;PMC3711358&lt;/accession-num&gt;&lt;electronic-resource-num&gt;10.1199/tab.0162&lt;/electronic-resource-num&gt;&lt;volume&gt;11&lt;/volume&gt;&lt;remote-database-name&gt;PMC&lt;/remote-database-name&gt;&lt;/record&gt;&lt;/Cite&gt;&lt;/EndNote&gt;</w:instrText>
      </w:r>
      <w:r w:rsidRPr="003A48AB">
        <w:rPr>
          <w:rFonts w:ascii="Arial" w:eastAsia="Yu Mincho" w:hAnsi="Arial" w:cs="Arial"/>
          <w:lang w:eastAsia="ja-JP"/>
        </w:rPr>
        <w:fldChar w:fldCharType="separate"/>
      </w:r>
      <w:r w:rsidRPr="003A48AB">
        <w:rPr>
          <w:rFonts w:ascii="Arial" w:eastAsia="Yu Mincho" w:hAnsi="Arial" w:cs="Arial"/>
          <w:noProof/>
          <w:lang w:eastAsia="ja-JP"/>
        </w:rPr>
        <w:t>(2013)</w:t>
      </w:r>
      <w:r w:rsidRPr="003A48AB">
        <w:rPr>
          <w:rFonts w:ascii="Arial" w:eastAsia="Yu Mincho" w:hAnsi="Arial" w:cs="Arial"/>
          <w:lang w:eastAsia="ja-JP"/>
        </w:rPr>
        <w:fldChar w:fldCharType="end"/>
      </w:r>
      <w:r w:rsidRPr="003A48AB">
        <w:rPr>
          <w:rFonts w:ascii="Arial" w:eastAsia="Yu Mincho" w:hAnsi="Arial" w:cs="Arial"/>
          <w:lang w:eastAsia="ja-JP"/>
        </w:rPr>
        <w:t>.</w:t>
      </w:r>
    </w:p>
    <w:p w14:paraId="0E798976"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679B3487" w14:textId="77777777" w:rsidR="00C911CE" w:rsidRDefault="00C911CE" w:rsidP="009F0A54">
      <w:pPr>
        <w:tabs>
          <w:tab w:val="left" w:pos="6663"/>
        </w:tabs>
        <w:spacing w:after="0" w:line="240" w:lineRule="auto"/>
        <w:ind w:right="96"/>
        <w:rPr>
          <w:rFonts w:ascii="Arial" w:eastAsia="Yu Mincho" w:hAnsi="Arial" w:cs="Arial"/>
          <w:lang w:eastAsia="ja-JP"/>
        </w:rPr>
      </w:pPr>
    </w:p>
    <w:p w14:paraId="483B15E1" w14:textId="0CEF6A1C" w:rsidR="00C911CE"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lastRenderedPageBreak/>
        <w:t xml:space="preserve">Figure 5. Examples of differential patterning of stomata in different </w:t>
      </w:r>
      <w:r w:rsidR="00FA2FE3">
        <w:rPr>
          <w:rFonts w:ascii="Arial" w:eastAsia="Yu Mincho" w:hAnsi="Arial" w:cs="Arial"/>
          <w:lang w:eastAsia="ja-JP"/>
        </w:rPr>
        <w:tab/>
      </w:r>
      <w:r w:rsidR="00FA2FE3">
        <w:rPr>
          <w:rFonts w:ascii="Arial" w:eastAsia="Yu Mincho" w:hAnsi="Arial" w:cs="Arial"/>
          <w:lang w:eastAsia="ja-JP"/>
        </w:rPr>
        <w:tab/>
        <w:t>119</w:t>
      </w:r>
    </w:p>
    <w:p w14:paraId="1DC335BA"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orga</w:t>
      </w:r>
      <w:r w:rsidR="009F0A54">
        <w:rPr>
          <w:rFonts w:ascii="Arial" w:eastAsia="Yu Mincho" w:hAnsi="Arial" w:cs="Arial"/>
          <w:lang w:eastAsia="ja-JP"/>
        </w:rPr>
        <w:t>ns of</w:t>
      </w:r>
      <w:r w:rsidR="00C911CE">
        <w:rPr>
          <w:rFonts w:ascii="Arial" w:eastAsia="Yu Mincho" w:hAnsi="Arial" w:cs="Arial"/>
          <w:lang w:eastAsia="ja-JP"/>
        </w:rPr>
        <w:t xml:space="preserve"> </w:t>
      </w:r>
      <w:r w:rsidRPr="003A48AB">
        <w:rPr>
          <w:rFonts w:ascii="Arial" w:eastAsia="Yu Mincho" w:hAnsi="Arial" w:cs="Arial"/>
          <w:i/>
          <w:lang w:eastAsia="ja-JP"/>
        </w:rPr>
        <w:t>tmm</w:t>
      </w:r>
      <w:r w:rsidRPr="003A48AB">
        <w:rPr>
          <w:rFonts w:ascii="Arial" w:eastAsia="Yu Mincho" w:hAnsi="Arial" w:cs="Arial"/>
          <w:lang w:eastAsia="ja-JP"/>
        </w:rPr>
        <w:t xml:space="preserve"> in Arabidopsis.</w:t>
      </w:r>
    </w:p>
    <w:p w14:paraId="64F0E401"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0867E67D" w14:textId="7B824A25" w:rsidR="00C911CE" w:rsidRDefault="003A48AB" w:rsidP="009F0A54">
      <w:pPr>
        <w:tabs>
          <w:tab w:val="left" w:pos="6663"/>
        </w:tabs>
        <w:spacing w:after="0" w:line="240" w:lineRule="auto"/>
        <w:ind w:right="96"/>
        <w:rPr>
          <w:rFonts w:ascii="Arial" w:eastAsia="Times New Roman" w:hAnsi="Arial" w:cs="Arial"/>
          <w:bCs/>
          <w:color w:val="000000"/>
          <w:lang w:eastAsia="ja-JP"/>
        </w:rPr>
      </w:pPr>
      <w:r w:rsidRPr="003A48AB">
        <w:rPr>
          <w:rFonts w:ascii="Arial" w:eastAsia="Times New Roman" w:hAnsi="Arial" w:cs="Arial"/>
          <w:bCs/>
          <w:color w:val="000000"/>
          <w:lang w:eastAsia="ja-JP"/>
        </w:rPr>
        <w:t xml:space="preserve">Figure 6. Phylogenetic relationship of EPF and </w:t>
      </w:r>
      <w:r w:rsidR="009F0A54">
        <w:rPr>
          <w:rFonts w:ascii="Arial" w:eastAsia="Times New Roman" w:hAnsi="Arial" w:cs="Arial"/>
          <w:bCs/>
          <w:color w:val="000000"/>
          <w:lang w:eastAsia="ja-JP"/>
        </w:rPr>
        <w:t xml:space="preserve">EPF/L peptides in </w:t>
      </w:r>
      <w:r w:rsidR="00FA2FE3">
        <w:rPr>
          <w:rFonts w:ascii="Arial" w:eastAsia="Times New Roman" w:hAnsi="Arial" w:cs="Arial"/>
          <w:bCs/>
          <w:color w:val="000000"/>
          <w:lang w:eastAsia="ja-JP"/>
        </w:rPr>
        <w:tab/>
      </w:r>
      <w:r w:rsidR="00FA2FE3">
        <w:rPr>
          <w:rFonts w:ascii="Arial" w:eastAsia="Times New Roman" w:hAnsi="Arial" w:cs="Arial"/>
          <w:bCs/>
          <w:color w:val="000000"/>
          <w:lang w:eastAsia="ja-JP"/>
        </w:rPr>
        <w:tab/>
        <w:t>123</w:t>
      </w:r>
    </w:p>
    <w:p w14:paraId="15020103" w14:textId="77777777" w:rsidR="003A48AB" w:rsidRPr="003A48AB" w:rsidRDefault="009F0A54" w:rsidP="009F0A54">
      <w:pPr>
        <w:tabs>
          <w:tab w:val="left" w:pos="6663"/>
        </w:tabs>
        <w:spacing w:after="0" w:line="240" w:lineRule="auto"/>
        <w:ind w:right="96"/>
        <w:rPr>
          <w:rFonts w:ascii="Arial" w:eastAsia="Times New Roman" w:hAnsi="Arial" w:cs="Arial"/>
          <w:bCs/>
          <w:color w:val="000000"/>
          <w:lang w:eastAsia="ja-JP"/>
        </w:rPr>
      </w:pPr>
      <w:r>
        <w:rPr>
          <w:rFonts w:ascii="Arial" w:eastAsia="Times New Roman" w:hAnsi="Arial" w:cs="Arial"/>
          <w:bCs/>
          <w:color w:val="000000"/>
          <w:lang w:eastAsia="ja-JP"/>
        </w:rPr>
        <w:t>selected</w:t>
      </w:r>
      <w:r w:rsidR="00C911CE">
        <w:rPr>
          <w:rFonts w:ascii="Arial" w:eastAsia="Times New Roman" w:hAnsi="Arial" w:cs="Arial"/>
          <w:bCs/>
          <w:color w:val="000000"/>
          <w:lang w:eastAsia="ja-JP"/>
        </w:rPr>
        <w:t xml:space="preserve"> </w:t>
      </w:r>
      <w:r w:rsidR="003A48AB" w:rsidRPr="003A48AB">
        <w:rPr>
          <w:rFonts w:ascii="Arial" w:eastAsia="Times New Roman" w:hAnsi="Arial" w:cs="Arial"/>
          <w:bCs/>
          <w:color w:val="000000"/>
          <w:lang w:eastAsia="ja-JP"/>
        </w:rPr>
        <w:t>vascular and non-vascular land plant representatives.</w:t>
      </w:r>
    </w:p>
    <w:p w14:paraId="08ED7B07" w14:textId="77777777" w:rsidR="003A48AB" w:rsidRPr="003A48AB" w:rsidRDefault="003A48AB" w:rsidP="009F0A54">
      <w:pPr>
        <w:tabs>
          <w:tab w:val="left" w:pos="6663"/>
        </w:tabs>
        <w:spacing w:after="0" w:line="240" w:lineRule="auto"/>
        <w:ind w:right="96"/>
        <w:rPr>
          <w:rFonts w:ascii="Arial" w:eastAsia="Times New Roman" w:hAnsi="Arial" w:cs="Arial"/>
          <w:bCs/>
          <w:color w:val="000000"/>
          <w:lang w:eastAsia="ja-JP"/>
        </w:rPr>
      </w:pPr>
    </w:p>
    <w:p w14:paraId="19957218" w14:textId="6980B257" w:rsidR="00C911CE" w:rsidRPr="00C911CE" w:rsidRDefault="003A48AB" w:rsidP="009F0A54">
      <w:pPr>
        <w:tabs>
          <w:tab w:val="left" w:pos="6663"/>
        </w:tabs>
        <w:spacing w:after="0" w:line="240" w:lineRule="auto"/>
        <w:ind w:right="96"/>
        <w:rPr>
          <w:rFonts w:ascii="Arial" w:eastAsia="Times New Roman" w:hAnsi="Arial" w:cs="Arial"/>
          <w:bCs/>
          <w:color w:val="000000"/>
          <w:lang w:eastAsia="ja-JP"/>
        </w:rPr>
      </w:pPr>
      <w:r w:rsidRPr="003A48AB">
        <w:rPr>
          <w:rFonts w:ascii="Arial" w:eastAsia="Times New Roman" w:hAnsi="Arial" w:cs="Arial"/>
          <w:bCs/>
          <w:color w:val="000000"/>
          <w:lang w:eastAsia="ja-JP"/>
        </w:rPr>
        <w:t xml:space="preserve">Figure 7. </w:t>
      </w:r>
      <w:r w:rsidRPr="003A48AB">
        <w:rPr>
          <w:rFonts w:ascii="Arial" w:eastAsia="Times New Roman" w:hAnsi="Arial" w:cs="Arial"/>
          <w:bCs/>
          <w:i/>
          <w:color w:val="000000"/>
          <w:lang w:eastAsia="ja-JP"/>
        </w:rPr>
        <w:t xml:space="preserve">PpEPF1 </w:t>
      </w:r>
      <w:r w:rsidRPr="003A48AB">
        <w:rPr>
          <w:rFonts w:ascii="Arial" w:eastAsia="Times New Roman" w:hAnsi="Arial" w:cs="Arial"/>
          <w:bCs/>
          <w:color w:val="000000"/>
          <w:lang w:eastAsia="ja-JP"/>
        </w:rPr>
        <w:t xml:space="preserve">can function and partially rescue </w:t>
      </w:r>
      <w:r w:rsidRPr="003A48AB">
        <w:rPr>
          <w:rFonts w:ascii="Arial" w:eastAsia="Times New Roman" w:hAnsi="Arial" w:cs="Arial"/>
          <w:bCs/>
          <w:i/>
          <w:color w:val="000000"/>
          <w:lang w:eastAsia="ja-JP"/>
        </w:rPr>
        <w:t xml:space="preserve">atepf1 </w:t>
      </w:r>
      <w:r w:rsidRPr="003A48AB">
        <w:rPr>
          <w:rFonts w:ascii="Arial" w:eastAsia="Times New Roman" w:hAnsi="Arial" w:cs="Arial"/>
          <w:bCs/>
          <w:color w:val="000000"/>
          <w:lang w:eastAsia="ja-JP"/>
        </w:rPr>
        <w:t xml:space="preserve">and </w:t>
      </w:r>
      <w:r w:rsidRPr="003A48AB">
        <w:rPr>
          <w:rFonts w:ascii="Arial" w:eastAsia="Times New Roman" w:hAnsi="Arial" w:cs="Arial"/>
          <w:bCs/>
          <w:i/>
          <w:color w:val="000000"/>
          <w:lang w:eastAsia="ja-JP"/>
        </w:rPr>
        <w:t xml:space="preserve">atepf2 </w:t>
      </w:r>
      <w:r w:rsidR="00FA2FE3">
        <w:rPr>
          <w:rFonts w:ascii="Arial" w:eastAsia="Times New Roman" w:hAnsi="Arial" w:cs="Arial"/>
          <w:bCs/>
          <w:color w:val="000000"/>
          <w:lang w:eastAsia="ja-JP"/>
        </w:rPr>
        <w:tab/>
        <w:t>125</w:t>
      </w:r>
    </w:p>
    <w:p w14:paraId="1546BF30" w14:textId="77777777" w:rsidR="003A48AB" w:rsidRPr="003A48AB" w:rsidRDefault="009F0A54" w:rsidP="009F0A54">
      <w:pPr>
        <w:tabs>
          <w:tab w:val="left" w:pos="6663"/>
        </w:tabs>
        <w:spacing w:after="0" w:line="240" w:lineRule="auto"/>
        <w:ind w:right="96"/>
        <w:rPr>
          <w:rFonts w:ascii="Arial" w:eastAsia="Times New Roman" w:hAnsi="Arial" w:cs="Arial"/>
          <w:bCs/>
          <w:color w:val="000000"/>
          <w:lang w:eastAsia="ja-JP"/>
        </w:rPr>
      </w:pPr>
      <w:r>
        <w:rPr>
          <w:rFonts w:ascii="Arial" w:eastAsia="Times New Roman" w:hAnsi="Arial" w:cs="Arial"/>
          <w:bCs/>
          <w:color w:val="000000"/>
          <w:lang w:eastAsia="ja-JP"/>
        </w:rPr>
        <w:t>lines</w:t>
      </w:r>
      <w:r w:rsidR="00C911CE">
        <w:rPr>
          <w:rFonts w:ascii="Arial" w:eastAsia="Times New Roman" w:hAnsi="Arial" w:cs="Arial"/>
          <w:bCs/>
          <w:color w:val="000000"/>
          <w:lang w:eastAsia="ja-JP"/>
        </w:rPr>
        <w:t xml:space="preserve"> </w:t>
      </w:r>
      <w:r w:rsidR="003A48AB" w:rsidRPr="003A48AB">
        <w:rPr>
          <w:rFonts w:ascii="Arial" w:eastAsia="Times New Roman" w:hAnsi="Arial" w:cs="Arial"/>
          <w:bCs/>
          <w:color w:val="000000"/>
          <w:lang w:eastAsia="ja-JP"/>
        </w:rPr>
        <w:t>during stomatal development in Arabidopsis when over-expressed.</w:t>
      </w:r>
    </w:p>
    <w:p w14:paraId="56215E51" w14:textId="77777777" w:rsidR="003A48AB" w:rsidRPr="003A48AB" w:rsidRDefault="003A48AB" w:rsidP="009F0A54">
      <w:pPr>
        <w:tabs>
          <w:tab w:val="left" w:pos="6663"/>
        </w:tabs>
        <w:spacing w:after="0" w:line="240" w:lineRule="auto"/>
        <w:ind w:right="96"/>
        <w:rPr>
          <w:rFonts w:ascii="Arial" w:eastAsia="Times New Roman" w:hAnsi="Arial" w:cs="Arial"/>
          <w:bCs/>
          <w:color w:val="000000"/>
          <w:lang w:eastAsia="ja-JP"/>
        </w:rPr>
      </w:pPr>
    </w:p>
    <w:p w14:paraId="592C2703" w14:textId="36D49258"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8. Integration of a transgene resistance </w:t>
      </w:r>
      <w:r w:rsidR="009F0A54">
        <w:rPr>
          <w:rFonts w:ascii="Arial" w:eastAsia="Yu Mincho" w:hAnsi="Arial" w:cs="Arial"/>
          <w:lang w:eastAsia="ja-JP"/>
        </w:rPr>
        <w:t>cassette at the targeted</w:t>
      </w:r>
      <w:r w:rsidR="00FA2FE3">
        <w:rPr>
          <w:rFonts w:ascii="Arial" w:eastAsia="Yu Mincho" w:hAnsi="Arial" w:cs="Arial"/>
          <w:lang w:eastAsia="ja-JP"/>
        </w:rPr>
        <w:tab/>
        <w:t>126</w:t>
      </w:r>
    </w:p>
    <w:p w14:paraId="0DE172E9"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genomic locus.</w:t>
      </w:r>
    </w:p>
    <w:p w14:paraId="1D021FCD"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758AB610" w14:textId="0E3E8C69" w:rsid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9. </w:t>
      </w:r>
      <w:r w:rsidRPr="003A48AB">
        <w:rPr>
          <w:rFonts w:ascii="Arial" w:eastAsia="Yu Mincho" w:hAnsi="Arial" w:cs="Arial"/>
          <w:i/>
          <w:lang w:eastAsia="ja-JP"/>
        </w:rPr>
        <w:t>PpEPF1</w:t>
      </w:r>
      <w:r w:rsidRPr="003A48AB">
        <w:rPr>
          <w:rFonts w:ascii="Arial" w:eastAsia="Yu Mincho" w:hAnsi="Arial" w:cs="Arial"/>
          <w:lang w:eastAsia="ja-JP"/>
        </w:rPr>
        <w:t xml:space="preserve"> functions to negatively regula</w:t>
      </w:r>
      <w:r w:rsidR="009F0A54">
        <w:rPr>
          <w:rFonts w:ascii="Arial" w:eastAsia="Yu Mincho" w:hAnsi="Arial" w:cs="Arial"/>
          <w:lang w:eastAsia="ja-JP"/>
        </w:rPr>
        <w:t xml:space="preserve">te stomatal development </w:t>
      </w:r>
      <w:r w:rsidR="00FA2FE3">
        <w:rPr>
          <w:rFonts w:ascii="Arial" w:eastAsia="Yu Mincho" w:hAnsi="Arial" w:cs="Arial"/>
          <w:lang w:eastAsia="ja-JP"/>
        </w:rPr>
        <w:tab/>
        <w:t>128</w:t>
      </w:r>
    </w:p>
    <w:p w14:paraId="657785A9" w14:textId="77777777" w:rsidR="003A48AB" w:rsidRPr="007B21B3"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in</w:t>
      </w:r>
      <w:r w:rsidR="007B21B3">
        <w:rPr>
          <w:rFonts w:ascii="Arial" w:eastAsia="Yu Mincho" w:hAnsi="Arial" w:cs="Arial"/>
          <w:lang w:eastAsia="ja-JP"/>
        </w:rPr>
        <w:t xml:space="preserve"> </w:t>
      </w:r>
      <w:r w:rsidR="003A48AB" w:rsidRPr="003A48AB">
        <w:rPr>
          <w:rFonts w:ascii="Arial" w:eastAsia="Yu Mincho" w:hAnsi="Arial" w:cs="Arial"/>
          <w:i/>
          <w:lang w:eastAsia="ja-JP"/>
        </w:rPr>
        <w:t>P. patens.</w:t>
      </w:r>
    </w:p>
    <w:p w14:paraId="354F9C5B" w14:textId="77777777" w:rsidR="003A48AB" w:rsidRPr="003A48AB" w:rsidRDefault="003A48AB" w:rsidP="009F0A54">
      <w:pPr>
        <w:tabs>
          <w:tab w:val="left" w:pos="6663"/>
        </w:tabs>
        <w:spacing w:after="0" w:line="240" w:lineRule="auto"/>
        <w:ind w:right="96"/>
        <w:rPr>
          <w:rFonts w:ascii="Arial" w:eastAsia="Yu Mincho" w:hAnsi="Arial" w:cs="Arial"/>
          <w:i/>
          <w:lang w:eastAsia="ja-JP"/>
        </w:rPr>
      </w:pPr>
    </w:p>
    <w:p w14:paraId="4A2E217B" w14:textId="45C1A09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10. Over-expression of </w:t>
      </w:r>
      <w:r w:rsidRPr="003A48AB">
        <w:rPr>
          <w:rFonts w:ascii="Arial" w:eastAsia="Yu Mincho" w:hAnsi="Arial" w:cs="Arial"/>
          <w:i/>
          <w:lang w:eastAsia="ja-JP"/>
        </w:rPr>
        <w:t>PpEPF1</w:t>
      </w:r>
      <w:r w:rsidRPr="003A48AB">
        <w:rPr>
          <w:rFonts w:ascii="Arial" w:eastAsia="Yu Mincho" w:hAnsi="Arial" w:cs="Arial"/>
          <w:lang w:eastAsia="ja-JP"/>
        </w:rPr>
        <w:t xml:space="preserve"> leads to </w:t>
      </w:r>
      <w:r w:rsidR="009F0A54">
        <w:rPr>
          <w:rFonts w:ascii="Arial" w:eastAsia="Yu Mincho" w:hAnsi="Arial" w:cs="Arial"/>
          <w:lang w:eastAsia="ja-JP"/>
        </w:rPr>
        <w:t>an inhibition of stomatal</w:t>
      </w:r>
      <w:r w:rsidR="00FA2FE3">
        <w:rPr>
          <w:rFonts w:ascii="Arial" w:eastAsia="Yu Mincho" w:hAnsi="Arial" w:cs="Arial"/>
          <w:lang w:eastAsia="ja-JP"/>
        </w:rPr>
        <w:tab/>
        <w:t>130</w:t>
      </w:r>
    </w:p>
    <w:p w14:paraId="66C73E07"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development in </w:t>
      </w:r>
      <w:r w:rsidRPr="003A48AB">
        <w:rPr>
          <w:rFonts w:ascii="Arial" w:eastAsia="Yu Mincho" w:hAnsi="Arial" w:cs="Arial"/>
          <w:i/>
          <w:lang w:eastAsia="ja-JP"/>
        </w:rPr>
        <w:t>P. patens</w:t>
      </w:r>
      <w:r w:rsidRPr="003A48AB">
        <w:rPr>
          <w:rFonts w:ascii="Arial" w:eastAsia="Yu Mincho" w:hAnsi="Arial" w:cs="Arial"/>
          <w:lang w:eastAsia="ja-JP"/>
        </w:rPr>
        <w:t>.</w:t>
      </w:r>
    </w:p>
    <w:p w14:paraId="04A3844A"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1016B406" w14:textId="2DFE31B7" w:rsidR="003A48AB" w:rsidRP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Figure 11.</w:t>
      </w:r>
      <w:r w:rsidR="00847DDD">
        <w:rPr>
          <w:rFonts w:ascii="Arial" w:eastAsia="Yu Mincho" w:hAnsi="Arial" w:cs="Arial"/>
          <w:lang w:eastAsia="ja-JP"/>
        </w:rPr>
        <w:t xml:space="preserve"> Stomatal developmental ontogeny</w:t>
      </w:r>
      <w:r w:rsidRPr="003A48AB">
        <w:rPr>
          <w:rFonts w:ascii="Arial" w:eastAsia="Yu Mincho" w:hAnsi="Arial" w:cs="Arial"/>
          <w:lang w:eastAsia="ja-JP"/>
        </w:rPr>
        <w:t xml:space="preserve"> in </w:t>
      </w:r>
      <w:r w:rsidRPr="003A48AB">
        <w:rPr>
          <w:rFonts w:ascii="Arial" w:eastAsia="Yu Mincho" w:hAnsi="Arial" w:cs="Arial"/>
          <w:i/>
          <w:lang w:eastAsia="ja-JP"/>
        </w:rPr>
        <w:t xml:space="preserve">ppepf1 </w:t>
      </w:r>
      <w:r w:rsidRPr="003A48AB">
        <w:rPr>
          <w:rFonts w:ascii="Arial" w:eastAsia="Yu Mincho" w:hAnsi="Arial" w:cs="Arial"/>
          <w:lang w:eastAsia="ja-JP"/>
        </w:rPr>
        <w:t xml:space="preserve">and </w:t>
      </w:r>
      <w:r w:rsidR="009F0A54">
        <w:rPr>
          <w:rFonts w:ascii="Arial" w:eastAsia="Yu Mincho" w:hAnsi="Arial" w:cs="Arial"/>
          <w:i/>
          <w:lang w:eastAsia="ja-JP"/>
        </w:rPr>
        <w:t>PpEPF1OE</w:t>
      </w:r>
      <w:r w:rsidR="007B21B3">
        <w:rPr>
          <w:rFonts w:ascii="Arial" w:eastAsia="Yu Mincho" w:hAnsi="Arial" w:cs="Arial"/>
          <w:i/>
          <w:lang w:eastAsia="ja-JP"/>
        </w:rPr>
        <w:tab/>
      </w:r>
      <w:r w:rsidR="008653D0">
        <w:rPr>
          <w:rFonts w:ascii="Arial" w:eastAsia="Yu Mincho" w:hAnsi="Arial" w:cs="Arial"/>
          <w:lang w:eastAsia="ja-JP"/>
        </w:rPr>
        <w:t>133</w:t>
      </w:r>
    </w:p>
    <w:p w14:paraId="5204F2F1" w14:textId="77777777" w:rsid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indicates PpEPF1 functions early in stomatal development to prevent </w:t>
      </w:r>
    </w:p>
    <w:p w14:paraId="22E8DA33" w14:textId="77777777" w:rsidR="003A48AB" w:rsidRPr="007B21B3" w:rsidRDefault="007B21B3"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 xml:space="preserve">clustering </w:t>
      </w:r>
      <w:r w:rsidR="003A48AB" w:rsidRPr="003A48AB">
        <w:rPr>
          <w:rFonts w:ascii="Arial" w:eastAsia="Yu Mincho" w:hAnsi="Arial" w:cs="Arial"/>
          <w:lang w:eastAsia="ja-JP"/>
        </w:rPr>
        <w:t>and regulate the identity of stomatal lineage cells</w:t>
      </w:r>
      <w:r w:rsidR="003A48AB" w:rsidRPr="003A48AB">
        <w:rPr>
          <w:rFonts w:ascii="Arial" w:eastAsia="Yu Mincho" w:hAnsi="Arial" w:cs="Arial"/>
          <w:i/>
          <w:lang w:eastAsia="ja-JP"/>
        </w:rPr>
        <w:t>.</w:t>
      </w:r>
    </w:p>
    <w:p w14:paraId="5A07976A"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7048A2E2" w14:textId="0F46A822" w:rsidR="007B21B3" w:rsidRDefault="003A48AB" w:rsidP="009F0A54">
      <w:pPr>
        <w:tabs>
          <w:tab w:val="left" w:pos="6663"/>
        </w:tabs>
        <w:spacing w:after="0" w:line="240" w:lineRule="auto"/>
        <w:ind w:right="96"/>
        <w:rPr>
          <w:rFonts w:ascii="Arial" w:eastAsia="Times New Roman" w:hAnsi="Arial" w:cs="Arial"/>
          <w:bCs/>
          <w:color w:val="000000"/>
          <w:lang w:eastAsia="ja-JP"/>
        </w:rPr>
      </w:pPr>
      <w:r w:rsidRPr="003A48AB">
        <w:rPr>
          <w:rFonts w:ascii="Arial" w:eastAsia="Times New Roman" w:hAnsi="Arial" w:cs="Arial"/>
          <w:bCs/>
          <w:color w:val="000000"/>
          <w:lang w:eastAsia="ja-JP"/>
        </w:rPr>
        <w:t>Figure 12. Phylogenetic relationship of TMM and c</w:t>
      </w:r>
      <w:r w:rsidR="009F0A54">
        <w:rPr>
          <w:rFonts w:ascii="Arial" w:eastAsia="Times New Roman" w:hAnsi="Arial" w:cs="Arial"/>
          <w:bCs/>
          <w:color w:val="000000"/>
          <w:lang w:eastAsia="ja-JP"/>
        </w:rPr>
        <w:t xml:space="preserve">losely related </w:t>
      </w:r>
      <w:r w:rsidR="00FA2FE3">
        <w:rPr>
          <w:rFonts w:ascii="Arial" w:eastAsia="Times New Roman" w:hAnsi="Arial" w:cs="Arial"/>
          <w:bCs/>
          <w:color w:val="000000"/>
          <w:lang w:eastAsia="ja-JP"/>
        </w:rPr>
        <w:tab/>
      </w:r>
      <w:r w:rsidR="00FA2FE3">
        <w:rPr>
          <w:rFonts w:ascii="Arial" w:eastAsia="Times New Roman" w:hAnsi="Arial" w:cs="Arial"/>
          <w:bCs/>
          <w:color w:val="000000"/>
          <w:lang w:eastAsia="ja-JP"/>
        </w:rPr>
        <w:tab/>
        <w:t>134</w:t>
      </w:r>
    </w:p>
    <w:p w14:paraId="2D9DAF17" w14:textId="77777777" w:rsidR="007B21B3" w:rsidRDefault="009F0A54" w:rsidP="009F0A54">
      <w:pPr>
        <w:tabs>
          <w:tab w:val="left" w:pos="6663"/>
        </w:tabs>
        <w:spacing w:after="0" w:line="240" w:lineRule="auto"/>
        <w:ind w:right="96"/>
        <w:rPr>
          <w:rFonts w:ascii="Arial" w:eastAsia="Times New Roman" w:hAnsi="Arial" w:cs="Arial"/>
          <w:bCs/>
          <w:color w:val="000000"/>
          <w:lang w:eastAsia="ja-JP"/>
        </w:rPr>
      </w:pPr>
      <w:r>
        <w:rPr>
          <w:rFonts w:ascii="Arial" w:eastAsia="Times New Roman" w:hAnsi="Arial" w:cs="Arial"/>
          <w:bCs/>
          <w:color w:val="000000"/>
          <w:lang w:eastAsia="ja-JP"/>
        </w:rPr>
        <w:t>peptides in</w:t>
      </w:r>
      <w:r w:rsidR="007B21B3">
        <w:rPr>
          <w:rFonts w:ascii="Arial" w:eastAsia="Times New Roman" w:hAnsi="Arial" w:cs="Arial"/>
          <w:bCs/>
          <w:color w:val="000000"/>
          <w:lang w:eastAsia="ja-JP"/>
        </w:rPr>
        <w:t xml:space="preserve"> </w:t>
      </w:r>
      <w:r w:rsidR="003A48AB" w:rsidRPr="003A48AB">
        <w:rPr>
          <w:rFonts w:ascii="Arial" w:eastAsia="Times New Roman" w:hAnsi="Arial" w:cs="Arial"/>
          <w:bCs/>
          <w:color w:val="000000"/>
          <w:lang w:eastAsia="ja-JP"/>
        </w:rPr>
        <w:t xml:space="preserve">selected vascular and non-vascular land plant </w:t>
      </w:r>
    </w:p>
    <w:p w14:paraId="1552C9EB" w14:textId="77777777" w:rsidR="003A48AB" w:rsidRPr="003A48AB" w:rsidRDefault="003A48AB" w:rsidP="009F0A54">
      <w:pPr>
        <w:tabs>
          <w:tab w:val="left" w:pos="6663"/>
        </w:tabs>
        <w:spacing w:after="0" w:line="240" w:lineRule="auto"/>
        <w:ind w:right="96"/>
        <w:rPr>
          <w:rFonts w:ascii="Arial" w:eastAsia="Times New Roman" w:hAnsi="Arial" w:cs="Arial"/>
          <w:bCs/>
          <w:color w:val="000000"/>
          <w:lang w:eastAsia="ja-JP"/>
        </w:rPr>
      </w:pPr>
      <w:r w:rsidRPr="003A48AB">
        <w:rPr>
          <w:rFonts w:ascii="Arial" w:eastAsia="Times New Roman" w:hAnsi="Arial" w:cs="Arial"/>
          <w:bCs/>
          <w:color w:val="000000"/>
          <w:lang w:eastAsia="ja-JP"/>
        </w:rPr>
        <w:t>representatives.</w:t>
      </w:r>
    </w:p>
    <w:p w14:paraId="2418F791" w14:textId="77777777" w:rsidR="003A48AB" w:rsidRPr="003A48AB" w:rsidRDefault="003A48AB" w:rsidP="009F0A54">
      <w:pPr>
        <w:tabs>
          <w:tab w:val="left" w:pos="6663"/>
        </w:tabs>
        <w:spacing w:after="0" w:line="240" w:lineRule="auto"/>
        <w:ind w:right="96"/>
        <w:rPr>
          <w:rFonts w:ascii="Arial" w:eastAsia="Times New Roman" w:hAnsi="Arial" w:cs="Arial"/>
          <w:bCs/>
          <w:color w:val="000000"/>
          <w:lang w:eastAsia="ja-JP"/>
        </w:rPr>
      </w:pPr>
    </w:p>
    <w:p w14:paraId="6CDE3C2E" w14:textId="01EEFCF7" w:rsid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13. </w:t>
      </w:r>
      <w:r w:rsidRPr="003A48AB">
        <w:rPr>
          <w:rFonts w:ascii="Arial" w:eastAsia="Yu Mincho" w:hAnsi="Arial" w:cs="Arial"/>
          <w:i/>
          <w:lang w:eastAsia="ja-JP"/>
        </w:rPr>
        <w:t xml:space="preserve">PpTMM </w:t>
      </w:r>
      <w:r w:rsidRPr="003A48AB">
        <w:rPr>
          <w:rFonts w:ascii="Arial" w:eastAsia="Yu Mincho" w:hAnsi="Arial" w:cs="Arial"/>
          <w:lang w:eastAsia="ja-JP"/>
        </w:rPr>
        <w:t xml:space="preserve">can partially rescue the </w:t>
      </w:r>
      <w:r w:rsidRPr="003A48AB">
        <w:rPr>
          <w:rFonts w:ascii="Arial" w:eastAsia="Yu Mincho" w:hAnsi="Arial" w:cs="Arial"/>
          <w:i/>
          <w:lang w:eastAsia="ja-JP"/>
        </w:rPr>
        <w:t xml:space="preserve">attmm </w:t>
      </w:r>
      <w:r w:rsidRPr="003A48AB">
        <w:rPr>
          <w:rFonts w:ascii="Arial" w:eastAsia="Yu Mincho" w:hAnsi="Arial" w:cs="Arial"/>
          <w:lang w:eastAsia="ja-JP"/>
        </w:rPr>
        <w:t>stomatal phenot</w:t>
      </w:r>
      <w:r w:rsidR="009F0A54">
        <w:rPr>
          <w:rFonts w:ascii="Arial" w:eastAsia="Yu Mincho" w:hAnsi="Arial" w:cs="Arial"/>
          <w:lang w:eastAsia="ja-JP"/>
        </w:rPr>
        <w:t xml:space="preserve">ype </w:t>
      </w:r>
      <w:r w:rsidR="00FA2FE3">
        <w:rPr>
          <w:rFonts w:ascii="Arial" w:eastAsia="Yu Mincho" w:hAnsi="Arial" w:cs="Arial"/>
          <w:lang w:eastAsia="ja-JP"/>
        </w:rPr>
        <w:tab/>
        <w:t>135</w:t>
      </w:r>
    </w:p>
    <w:p w14:paraId="24B7ADFE" w14:textId="77777777" w:rsidR="003A48AB" w:rsidRPr="003A48AB"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in the</w:t>
      </w:r>
      <w:r w:rsidR="007B21B3">
        <w:rPr>
          <w:rFonts w:ascii="Arial" w:eastAsia="Yu Mincho" w:hAnsi="Arial" w:cs="Arial"/>
          <w:lang w:eastAsia="ja-JP"/>
        </w:rPr>
        <w:t xml:space="preserve"> </w:t>
      </w:r>
      <w:r w:rsidR="003A48AB" w:rsidRPr="003A48AB">
        <w:rPr>
          <w:rFonts w:ascii="Arial" w:eastAsia="Yu Mincho" w:hAnsi="Arial" w:cs="Arial"/>
          <w:lang w:eastAsia="ja-JP"/>
        </w:rPr>
        <w:t>flower stalk but cannot rescue the mature rosette leaf phenotype.</w:t>
      </w:r>
    </w:p>
    <w:p w14:paraId="359AB7B9"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0B8714DE" w14:textId="475254F3" w:rsid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14. </w:t>
      </w:r>
      <w:r w:rsidRPr="003A48AB">
        <w:rPr>
          <w:rFonts w:ascii="Arial" w:eastAsia="Yu Mincho" w:hAnsi="Arial" w:cs="Arial"/>
          <w:i/>
          <w:lang w:eastAsia="ja-JP"/>
        </w:rPr>
        <w:t xml:space="preserve">PpTMM </w:t>
      </w:r>
      <w:r w:rsidRPr="003A48AB">
        <w:rPr>
          <w:rFonts w:ascii="Arial" w:eastAsia="Yu Mincho" w:hAnsi="Arial" w:cs="Arial"/>
          <w:lang w:eastAsia="ja-JP"/>
        </w:rPr>
        <w:t>functions during stomatal developm</w:t>
      </w:r>
      <w:r w:rsidR="009F0A54">
        <w:rPr>
          <w:rFonts w:ascii="Arial" w:eastAsia="Yu Mincho" w:hAnsi="Arial" w:cs="Arial"/>
          <w:lang w:eastAsia="ja-JP"/>
        </w:rPr>
        <w:t xml:space="preserve">ent to correctly </w:t>
      </w:r>
      <w:r w:rsidR="00FA2FE3">
        <w:rPr>
          <w:rFonts w:ascii="Arial" w:eastAsia="Yu Mincho" w:hAnsi="Arial" w:cs="Arial"/>
          <w:lang w:eastAsia="ja-JP"/>
        </w:rPr>
        <w:tab/>
        <w:t>137</w:t>
      </w:r>
    </w:p>
    <w:p w14:paraId="58384843" w14:textId="77777777" w:rsidR="003A48AB" w:rsidRPr="007B21B3"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instigate</w:t>
      </w:r>
      <w:r w:rsidR="007B21B3">
        <w:rPr>
          <w:rFonts w:ascii="Arial" w:eastAsia="Yu Mincho" w:hAnsi="Arial" w:cs="Arial"/>
          <w:lang w:eastAsia="ja-JP"/>
        </w:rPr>
        <w:t xml:space="preserve"> </w:t>
      </w:r>
      <w:r w:rsidR="003A48AB" w:rsidRPr="003A48AB">
        <w:rPr>
          <w:rFonts w:ascii="Arial" w:eastAsia="Yu Mincho" w:hAnsi="Arial" w:cs="Arial"/>
          <w:lang w:eastAsia="ja-JP"/>
        </w:rPr>
        <w:t>stomatal development and patterning</w:t>
      </w:r>
      <w:r w:rsidR="003A48AB" w:rsidRPr="003A48AB">
        <w:rPr>
          <w:rFonts w:ascii="Arial" w:eastAsia="Yu Mincho" w:hAnsi="Arial" w:cs="Arial"/>
          <w:i/>
          <w:lang w:eastAsia="ja-JP"/>
        </w:rPr>
        <w:t>.</w:t>
      </w:r>
    </w:p>
    <w:p w14:paraId="0239145A" w14:textId="77777777" w:rsidR="003A48AB" w:rsidRPr="003A48AB" w:rsidRDefault="003A48AB" w:rsidP="009F0A54">
      <w:pPr>
        <w:tabs>
          <w:tab w:val="left" w:pos="6663"/>
        </w:tabs>
        <w:spacing w:after="0" w:line="240" w:lineRule="auto"/>
        <w:ind w:right="96"/>
        <w:rPr>
          <w:rFonts w:ascii="Arial" w:eastAsia="Yu Mincho" w:hAnsi="Arial" w:cs="Arial"/>
          <w:i/>
          <w:lang w:eastAsia="ja-JP"/>
        </w:rPr>
      </w:pPr>
    </w:p>
    <w:p w14:paraId="62CE6449" w14:textId="59EB3EDD" w:rsid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15. Over-expression of </w:t>
      </w:r>
      <w:r w:rsidRPr="003A48AB">
        <w:rPr>
          <w:rFonts w:ascii="Arial" w:eastAsia="Yu Mincho" w:hAnsi="Arial" w:cs="Arial"/>
          <w:i/>
          <w:lang w:eastAsia="ja-JP"/>
        </w:rPr>
        <w:t>PpTMM</w:t>
      </w:r>
      <w:r w:rsidRPr="003A48AB">
        <w:rPr>
          <w:rFonts w:ascii="Arial" w:eastAsia="Yu Mincho" w:hAnsi="Arial" w:cs="Arial"/>
          <w:lang w:eastAsia="ja-JP"/>
        </w:rPr>
        <w:t xml:space="preserve"> has little effe</w:t>
      </w:r>
      <w:r w:rsidR="009F0A54">
        <w:rPr>
          <w:rFonts w:ascii="Arial" w:eastAsia="Yu Mincho" w:hAnsi="Arial" w:cs="Arial"/>
          <w:lang w:eastAsia="ja-JP"/>
        </w:rPr>
        <w:t xml:space="preserve">ct on stomatal </w:t>
      </w:r>
      <w:r w:rsidR="00FA2FE3">
        <w:rPr>
          <w:rFonts w:ascii="Arial" w:eastAsia="Yu Mincho" w:hAnsi="Arial" w:cs="Arial"/>
          <w:lang w:eastAsia="ja-JP"/>
        </w:rPr>
        <w:tab/>
      </w:r>
      <w:r w:rsidR="00FA2FE3">
        <w:rPr>
          <w:rFonts w:ascii="Arial" w:eastAsia="Yu Mincho" w:hAnsi="Arial" w:cs="Arial"/>
          <w:lang w:eastAsia="ja-JP"/>
        </w:rPr>
        <w:tab/>
        <w:t>139</w:t>
      </w:r>
    </w:p>
    <w:p w14:paraId="22EA2914" w14:textId="77777777" w:rsidR="003A48AB" w:rsidRPr="003A48AB"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development</w:t>
      </w:r>
      <w:r w:rsidR="007B21B3">
        <w:rPr>
          <w:rFonts w:ascii="Arial" w:eastAsia="Yu Mincho" w:hAnsi="Arial" w:cs="Arial"/>
          <w:lang w:eastAsia="ja-JP"/>
        </w:rPr>
        <w:t xml:space="preserve"> </w:t>
      </w:r>
      <w:r w:rsidR="003A48AB" w:rsidRPr="003A48AB">
        <w:rPr>
          <w:rFonts w:ascii="Arial" w:eastAsia="Yu Mincho" w:hAnsi="Arial" w:cs="Arial"/>
          <w:lang w:eastAsia="ja-JP"/>
        </w:rPr>
        <w:t>and patterning.</w:t>
      </w:r>
    </w:p>
    <w:p w14:paraId="0C36A59B"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277BEDC6" w14:textId="61B3A28A" w:rsid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Figure 16.</w:t>
      </w:r>
      <w:r w:rsidR="00847DDD">
        <w:rPr>
          <w:rFonts w:ascii="Arial" w:eastAsia="Yu Mincho" w:hAnsi="Arial" w:cs="Arial"/>
          <w:lang w:eastAsia="ja-JP"/>
        </w:rPr>
        <w:t xml:space="preserve"> Stomatal developmental ontogeny</w:t>
      </w:r>
      <w:r w:rsidRPr="003A48AB">
        <w:rPr>
          <w:rFonts w:ascii="Arial" w:eastAsia="Yu Mincho" w:hAnsi="Arial" w:cs="Arial"/>
          <w:lang w:eastAsia="ja-JP"/>
        </w:rPr>
        <w:t xml:space="preserve"> in </w:t>
      </w:r>
      <w:r w:rsidRPr="003A48AB">
        <w:rPr>
          <w:rFonts w:ascii="Arial" w:eastAsia="Yu Mincho" w:hAnsi="Arial" w:cs="Arial"/>
          <w:i/>
          <w:lang w:eastAsia="ja-JP"/>
        </w:rPr>
        <w:t xml:space="preserve">pptmm </w:t>
      </w:r>
      <w:r w:rsidRPr="003A48AB">
        <w:rPr>
          <w:rFonts w:ascii="Arial" w:eastAsia="Yu Mincho" w:hAnsi="Arial" w:cs="Arial"/>
          <w:lang w:eastAsia="ja-JP"/>
        </w:rPr>
        <w:t xml:space="preserve">lines indicates </w:t>
      </w:r>
      <w:r w:rsidR="00FA2FE3">
        <w:rPr>
          <w:rFonts w:ascii="Arial" w:eastAsia="Yu Mincho" w:hAnsi="Arial" w:cs="Arial"/>
          <w:lang w:eastAsia="ja-JP"/>
        </w:rPr>
        <w:tab/>
        <w:t>142</w:t>
      </w:r>
    </w:p>
    <w:p w14:paraId="585D7CD3" w14:textId="77777777" w:rsidR="007B21B3"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i/>
          <w:lang w:eastAsia="ja-JP"/>
        </w:rPr>
        <w:t>PpTMM</w:t>
      </w:r>
      <w:r w:rsidR="007B21B3">
        <w:rPr>
          <w:rFonts w:ascii="Arial" w:eastAsia="Yu Mincho" w:hAnsi="Arial" w:cs="Arial"/>
          <w:lang w:eastAsia="ja-JP"/>
        </w:rPr>
        <w:t xml:space="preserve"> </w:t>
      </w:r>
      <w:r w:rsidR="003A48AB" w:rsidRPr="003A48AB">
        <w:rPr>
          <w:rFonts w:ascii="Arial" w:eastAsia="Yu Mincho" w:hAnsi="Arial" w:cs="Arial"/>
          <w:lang w:eastAsia="ja-JP"/>
        </w:rPr>
        <w:t xml:space="preserve">functions primarily early in stomatal development to instigate </w:t>
      </w:r>
    </w:p>
    <w:p w14:paraId="158A97D3" w14:textId="77777777" w:rsidR="003A48AB" w:rsidRPr="003A48AB" w:rsidRDefault="007B21B3"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 xml:space="preserve">early GMC </w:t>
      </w:r>
      <w:r w:rsidR="003A48AB" w:rsidRPr="003A48AB">
        <w:rPr>
          <w:rFonts w:ascii="Arial" w:eastAsia="Yu Mincho" w:hAnsi="Arial" w:cs="Arial"/>
          <w:lang w:eastAsia="ja-JP"/>
        </w:rPr>
        <w:t>formation and to regulate spacing</w:t>
      </w:r>
      <w:r w:rsidR="003A48AB" w:rsidRPr="003A48AB">
        <w:rPr>
          <w:rFonts w:ascii="Arial" w:eastAsia="Yu Mincho" w:hAnsi="Arial" w:cs="Arial"/>
          <w:i/>
          <w:lang w:eastAsia="ja-JP"/>
        </w:rPr>
        <w:t>.</w:t>
      </w:r>
    </w:p>
    <w:p w14:paraId="00EF4615" w14:textId="77777777" w:rsidR="003A48AB" w:rsidRPr="003A48AB" w:rsidRDefault="003A48AB" w:rsidP="009F0A54">
      <w:pPr>
        <w:tabs>
          <w:tab w:val="left" w:pos="6663"/>
        </w:tabs>
        <w:spacing w:after="0" w:line="240" w:lineRule="auto"/>
        <w:ind w:right="96"/>
        <w:rPr>
          <w:rFonts w:ascii="Arial" w:eastAsia="Yu Mincho" w:hAnsi="Arial" w:cs="Arial"/>
          <w:i/>
          <w:lang w:eastAsia="ja-JP"/>
        </w:rPr>
      </w:pPr>
    </w:p>
    <w:p w14:paraId="76605197" w14:textId="0526F06B" w:rsidR="003A48AB" w:rsidRPr="003A48AB" w:rsidRDefault="003A48AB" w:rsidP="009F0A54">
      <w:pPr>
        <w:tabs>
          <w:tab w:val="left" w:pos="6663"/>
        </w:tabs>
        <w:spacing w:after="0" w:line="240" w:lineRule="auto"/>
        <w:ind w:right="96"/>
        <w:rPr>
          <w:rFonts w:ascii="Arial" w:eastAsia="Times New Roman" w:hAnsi="Arial" w:cs="Arial"/>
          <w:color w:val="000000"/>
          <w:lang w:eastAsia="ja-JP"/>
        </w:rPr>
      </w:pPr>
      <w:r w:rsidRPr="003A48AB">
        <w:rPr>
          <w:rFonts w:ascii="Arial" w:eastAsia="Times New Roman" w:hAnsi="Arial" w:cs="Arial"/>
          <w:color w:val="000000"/>
          <w:lang w:eastAsia="ja-JP"/>
        </w:rPr>
        <w:t xml:space="preserve">Figure 17. </w:t>
      </w:r>
      <w:r w:rsidRPr="003A48AB">
        <w:rPr>
          <w:rFonts w:ascii="Arial" w:eastAsia="Times New Roman" w:hAnsi="Arial" w:cs="Arial"/>
          <w:i/>
          <w:color w:val="000000"/>
          <w:lang w:eastAsia="ja-JP"/>
        </w:rPr>
        <w:t xml:space="preserve">PpTMM </w:t>
      </w:r>
      <w:r w:rsidRPr="003A48AB">
        <w:rPr>
          <w:rFonts w:ascii="Arial" w:eastAsia="Times New Roman" w:hAnsi="Arial" w:cs="Arial"/>
          <w:color w:val="000000"/>
          <w:lang w:eastAsia="ja-JP"/>
        </w:rPr>
        <w:t xml:space="preserve">is epistatic to </w:t>
      </w:r>
      <w:r w:rsidRPr="003A48AB">
        <w:rPr>
          <w:rFonts w:ascii="Arial" w:eastAsia="Times New Roman" w:hAnsi="Arial" w:cs="Arial"/>
          <w:i/>
          <w:color w:val="000000"/>
          <w:lang w:eastAsia="ja-JP"/>
        </w:rPr>
        <w:t>PpEPF1</w:t>
      </w:r>
      <w:r w:rsidRPr="003A48AB">
        <w:rPr>
          <w:rFonts w:ascii="Arial" w:eastAsia="Times New Roman" w:hAnsi="Arial" w:cs="Arial"/>
          <w:color w:val="000000"/>
          <w:lang w:eastAsia="ja-JP"/>
        </w:rPr>
        <w:t xml:space="preserve"> during </w:t>
      </w:r>
      <w:r w:rsidRPr="003A48AB">
        <w:rPr>
          <w:rFonts w:ascii="Arial" w:eastAsia="Times New Roman" w:hAnsi="Arial" w:cs="Arial"/>
          <w:i/>
          <w:color w:val="000000"/>
          <w:lang w:eastAsia="ja-JP"/>
        </w:rPr>
        <w:t xml:space="preserve">P. patens </w:t>
      </w:r>
      <w:r w:rsidR="009F0A54">
        <w:rPr>
          <w:rFonts w:ascii="Arial" w:eastAsia="Times New Roman" w:hAnsi="Arial" w:cs="Arial"/>
          <w:color w:val="000000"/>
          <w:lang w:eastAsia="ja-JP"/>
        </w:rPr>
        <w:t>stomatal</w:t>
      </w:r>
      <w:r w:rsidR="00FA2FE3">
        <w:rPr>
          <w:rFonts w:ascii="Arial" w:eastAsia="Times New Roman" w:hAnsi="Arial" w:cs="Arial"/>
          <w:color w:val="000000"/>
          <w:lang w:eastAsia="ja-JP"/>
        </w:rPr>
        <w:tab/>
      </w:r>
      <w:r w:rsidR="00FA2FE3">
        <w:rPr>
          <w:rFonts w:ascii="Arial" w:eastAsia="Times New Roman" w:hAnsi="Arial" w:cs="Arial"/>
          <w:color w:val="000000"/>
          <w:lang w:eastAsia="ja-JP"/>
        </w:rPr>
        <w:tab/>
        <w:t>144</w:t>
      </w:r>
    </w:p>
    <w:p w14:paraId="68271660"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Times New Roman" w:hAnsi="Arial" w:cs="Arial"/>
          <w:color w:val="000000"/>
          <w:lang w:eastAsia="ja-JP"/>
        </w:rPr>
        <w:t>development and patterning</w:t>
      </w:r>
      <w:r w:rsidRPr="003A48AB">
        <w:rPr>
          <w:rFonts w:ascii="Arial" w:eastAsia="Yu Mincho" w:hAnsi="Arial" w:cs="Arial"/>
          <w:lang w:eastAsia="ja-JP"/>
        </w:rPr>
        <w:t>.</w:t>
      </w:r>
    </w:p>
    <w:p w14:paraId="3E92444E"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0C533F9A" w14:textId="6DD7E3DB" w:rsidR="007B21B3" w:rsidRDefault="003A48AB" w:rsidP="009F0A54">
      <w:pPr>
        <w:tabs>
          <w:tab w:val="left" w:pos="6663"/>
        </w:tabs>
        <w:spacing w:after="0" w:line="240" w:lineRule="auto"/>
        <w:ind w:right="96"/>
        <w:rPr>
          <w:rFonts w:ascii="Arial" w:eastAsia="Times New Roman" w:hAnsi="Arial" w:cs="Arial"/>
          <w:bCs/>
          <w:color w:val="000000"/>
          <w:lang w:eastAsia="ja-JP"/>
        </w:rPr>
      </w:pPr>
      <w:r w:rsidRPr="003A48AB">
        <w:rPr>
          <w:rFonts w:ascii="Arial" w:eastAsia="Times New Roman" w:hAnsi="Arial" w:cs="Arial"/>
          <w:bCs/>
          <w:color w:val="000000"/>
          <w:lang w:eastAsia="ja-JP"/>
        </w:rPr>
        <w:t xml:space="preserve">Figure 18. Phylogenetic relationship of </w:t>
      </w:r>
      <w:r w:rsidRPr="003A48AB">
        <w:rPr>
          <w:rFonts w:ascii="Arial" w:eastAsia="Times New Roman" w:hAnsi="Arial" w:cs="Arial"/>
          <w:bCs/>
          <w:i/>
          <w:color w:val="000000"/>
          <w:lang w:eastAsia="ja-JP"/>
        </w:rPr>
        <w:t xml:space="preserve">Erecta </w:t>
      </w:r>
      <w:r w:rsidRPr="003A48AB">
        <w:rPr>
          <w:rFonts w:ascii="Arial" w:eastAsia="Times New Roman" w:hAnsi="Arial" w:cs="Arial"/>
          <w:bCs/>
          <w:color w:val="000000"/>
          <w:lang w:eastAsia="ja-JP"/>
        </w:rPr>
        <w:t>family (</w:t>
      </w:r>
      <w:r w:rsidRPr="003A48AB">
        <w:rPr>
          <w:rFonts w:ascii="Arial" w:eastAsia="Times New Roman" w:hAnsi="Arial" w:cs="Arial"/>
          <w:bCs/>
          <w:i/>
          <w:color w:val="000000"/>
          <w:lang w:eastAsia="ja-JP"/>
        </w:rPr>
        <w:t>ERf</w:t>
      </w:r>
      <w:r w:rsidR="009F0A54">
        <w:rPr>
          <w:rFonts w:ascii="Arial" w:eastAsia="Times New Roman" w:hAnsi="Arial" w:cs="Arial"/>
          <w:bCs/>
          <w:color w:val="000000"/>
          <w:lang w:eastAsia="ja-JP"/>
        </w:rPr>
        <w:t>) genes from</w:t>
      </w:r>
      <w:r w:rsidR="00FA2FE3">
        <w:rPr>
          <w:rFonts w:ascii="Arial" w:eastAsia="Times New Roman" w:hAnsi="Arial" w:cs="Arial"/>
          <w:bCs/>
          <w:color w:val="000000"/>
          <w:lang w:eastAsia="ja-JP"/>
        </w:rPr>
        <w:tab/>
        <w:t>14</w:t>
      </w:r>
      <w:r w:rsidR="007B21B3">
        <w:rPr>
          <w:rFonts w:ascii="Arial" w:eastAsia="Times New Roman" w:hAnsi="Arial" w:cs="Arial"/>
          <w:bCs/>
          <w:color w:val="000000"/>
          <w:lang w:eastAsia="ja-JP"/>
        </w:rPr>
        <w:t>6</w:t>
      </w:r>
      <w:r w:rsidR="009F0A54">
        <w:rPr>
          <w:rFonts w:ascii="Arial" w:eastAsia="Times New Roman" w:hAnsi="Arial" w:cs="Arial"/>
          <w:bCs/>
          <w:color w:val="000000"/>
          <w:lang w:eastAsia="ja-JP"/>
        </w:rPr>
        <w:t xml:space="preserve"> </w:t>
      </w:r>
    </w:p>
    <w:p w14:paraId="70BBB38F" w14:textId="77777777" w:rsidR="003A48AB" w:rsidRPr="003A48AB" w:rsidRDefault="009F0A54" w:rsidP="009F0A54">
      <w:pPr>
        <w:tabs>
          <w:tab w:val="left" w:pos="6663"/>
        </w:tabs>
        <w:spacing w:after="0" w:line="240" w:lineRule="auto"/>
        <w:ind w:right="96"/>
        <w:rPr>
          <w:rFonts w:ascii="Arial" w:eastAsia="Times New Roman" w:hAnsi="Arial" w:cs="Arial"/>
          <w:bCs/>
          <w:color w:val="000000"/>
          <w:lang w:eastAsia="ja-JP"/>
        </w:rPr>
      </w:pPr>
      <w:r>
        <w:rPr>
          <w:rFonts w:ascii="Arial" w:eastAsia="Times New Roman" w:hAnsi="Arial" w:cs="Arial"/>
          <w:bCs/>
          <w:color w:val="000000"/>
          <w:lang w:eastAsia="ja-JP"/>
        </w:rPr>
        <w:t>selected</w:t>
      </w:r>
      <w:r w:rsidR="007B21B3">
        <w:rPr>
          <w:rFonts w:ascii="Arial" w:eastAsia="Times New Roman" w:hAnsi="Arial" w:cs="Arial"/>
          <w:bCs/>
          <w:color w:val="000000"/>
          <w:lang w:eastAsia="ja-JP"/>
        </w:rPr>
        <w:t xml:space="preserve"> </w:t>
      </w:r>
      <w:r w:rsidR="003A48AB" w:rsidRPr="003A48AB">
        <w:rPr>
          <w:rFonts w:ascii="Arial" w:eastAsia="Times New Roman" w:hAnsi="Arial" w:cs="Arial"/>
          <w:bCs/>
          <w:color w:val="000000"/>
          <w:lang w:eastAsia="ja-JP"/>
        </w:rPr>
        <w:t xml:space="preserve">plants and expression </w:t>
      </w:r>
      <w:r w:rsidR="003A48AB" w:rsidRPr="003A48AB">
        <w:rPr>
          <w:rFonts w:ascii="Arial" w:eastAsia="Times New Roman" w:hAnsi="Arial" w:cs="Arial"/>
          <w:bCs/>
          <w:i/>
          <w:color w:val="000000"/>
          <w:lang w:eastAsia="ja-JP"/>
        </w:rPr>
        <w:t xml:space="preserve">PpERECTA1 </w:t>
      </w:r>
      <w:r w:rsidR="003A48AB" w:rsidRPr="003A48AB">
        <w:rPr>
          <w:rFonts w:ascii="Arial" w:eastAsia="Times New Roman" w:hAnsi="Arial" w:cs="Arial"/>
          <w:bCs/>
          <w:color w:val="000000"/>
          <w:lang w:eastAsia="ja-JP"/>
        </w:rPr>
        <w:t xml:space="preserve">in </w:t>
      </w:r>
      <w:r w:rsidR="003A48AB" w:rsidRPr="003A48AB">
        <w:rPr>
          <w:rFonts w:ascii="Arial" w:eastAsia="Times New Roman" w:hAnsi="Arial" w:cs="Arial"/>
          <w:bCs/>
          <w:i/>
          <w:color w:val="000000"/>
          <w:lang w:eastAsia="ja-JP"/>
        </w:rPr>
        <w:t>P. patens</w:t>
      </w:r>
      <w:r w:rsidR="003A48AB" w:rsidRPr="003A48AB">
        <w:rPr>
          <w:rFonts w:ascii="Arial" w:eastAsia="Times New Roman" w:hAnsi="Arial" w:cs="Arial"/>
          <w:bCs/>
          <w:color w:val="000000"/>
          <w:lang w:eastAsia="ja-JP"/>
        </w:rPr>
        <w:t>.</w:t>
      </w:r>
    </w:p>
    <w:p w14:paraId="6BE47320" w14:textId="77777777" w:rsidR="003A48AB" w:rsidRPr="003A48AB" w:rsidRDefault="003A48AB" w:rsidP="009F0A54">
      <w:pPr>
        <w:tabs>
          <w:tab w:val="left" w:pos="6663"/>
        </w:tabs>
        <w:spacing w:after="0" w:line="240" w:lineRule="auto"/>
        <w:ind w:right="96"/>
        <w:rPr>
          <w:rFonts w:ascii="Arial" w:eastAsia="Times New Roman" w:hAnsi="Arial" w:cs="Arial"/>
          <w:bCs/>
          <w:color w:val="000000"/>
          <w:lang w:eastAsia="ja-JP"/>
        </w:rPr>
      </w:pPr>
    </w:p>
    <w:p w14:paraId="36218E55" w14:textId="73ED27D6" w:rsid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19. </w:t>
      </w:r>
      <w:r w:rsidRPr="003A48AB">
        <w:rPr>
          <w:rFonts w:ascii="Arial" w:eastAsia="Yu Mincho" w:hAnsi="Arial" w:cs="Arial"/>
          <w:i/>
          <w:lang w:eastAsia="ja-JP"/>
        </w:rPr>
        <w:t>PpERECTA1</w:t>
      </w:r>
      <w:r w:rsidRPr="003A48AB">
        <w:rPr>
          <w:rFonts w:ascii="Arial" w:eastAsia="Yu Mincho" w:hAnsi="Arial" w:cs="Arial"/>
          <w:lang w:eastAsia="ja-JP"/>
        </w:rPr>
        <w:t xml:space="preserve"> function in stomatal develo</w:t>
      </w:r>
      <w:r w:rsidR="009F0A54">
        <w:rPr>
          <w:rFonts w:ascii="Arial" w:eastAsia="Yu Mincho" w:hAnsi="Arial" w:cs="Arial"/>
          <w:lang w:eastAsia="ja-JP"/>
        </w:rPr>
        <w:t xml:space="preserve">pment appears to </w:t>
      </w:r>
      <w:r w:rsidR="00FA2FE3">
        <w:rPr>
          <w:rFonts w:ascii="Arial" w:eastAsia="Yu Mincho" w:hAnsi="Arial" w:cs="Arial"/>
          <w:lang w:eastAsia="ja-JP"/>
        </w:rPr>
        <w:tab/>
        <w:t>148</w:t>
      </w:r>
    </w:p>
    <w:p w14:paraId="405E2886" w14:textId="77777777" w:rsidR="003A48AB" w:rsidRPr="003A48AB"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be subtle,</w:t>
      </w:r>
      <w:r w:rsidR="007B21B3">
        <w:rPr>
          <w:rFonts w:ascii="Arial" w:eastAsia="Yu Mincho" w:hAnsi="Arial" w:cs="Arial"/>
          <w:lang w:eastAsia="ja-JP"/>
        </w:rPr>
        <w:t xml:space="preserve"> </w:t>
      </w:r>
      <w:r w:rsidR="003A48AB" w:rsidRPr="003A48AB">
        <w:rPr>
          <w:rFonts w:ascii="Arial" w:eastAsia="Yu Mincho" w:hAnsi="Arial" w:cs="Arial"/>
          <w:lang w:eastAsia="ja-JP"/>
        </w:rPr>
        <w:t>suggesting a minor or redundant role in spacing.</w:t>
      </w:r>
    </w:p>
    <w:p w14:paraId="774567C1"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3CAA5777" w14:textId="0841FA73" w:rsidR="007B21B3" w:rsidRDefault="003A48AB" w:rsidP="009F0A54">
      <w:pPr>
        <w:tabs>
          <w:tab w:val="left" w:pos="6663"/>
        </w:tabs>
        <w:spacing w:after="0" w:line="240" w:lineRule="auto"/>
        <w:ind w:right="96"/>
        <w:rPr>
          <w:rFonts w:ascii="Arial" w:eastAsia="Yu Mincho" w:hAnsi="Arial" w:cs="Arial"/>
          <w:color w:val="000000"/>
          <w:lang w:val="en-US" w:eastAsia="ja-JP"/>
        </w:rPr>
      </w:pPr>
      <w:r w:rsidRPr="003A48AB">
        <w:rPr>
          <w:rFonts w:ascii="Arial" w:eastAsia="Yu Mincho" w:hAnsi="Arial" w:cs="Arial"/>
          <w:color w:val="000000"/>
          <w:lang w:val="en-US" w:eastAsia="ja-JP"/>
        </w:rPr>
        <w:t>Figure 20. Synergistic functioning between the membrane receptors</w:t>
      </w:r>
      <w:r w:rsidR="00FA2FE3">
        <w:rPr>
          <w:rFonts w:ascii="Arial" w:eastAsia="Yu Mincho" w:hAnsi="Arial" w:cs="Arial"/>
          <w:color w:val="000000"/>
          <w:lang w:val="en-US" w:eastAsia="ja-JP"/>
        </w:rPr>
        <w:tab/>
      </w:r>
      <w:r w:rsidR="00FA2FE3">
        <w:rPr>
          <w:rFonts w:ascii="Arial" w:eastAsia="Yu Mincho" w:hAnsi="Arial" w:cs="Arial"/>
          <w:color w:val="000000"/>
          <w:lang w:val="en-US" w:eastAsia="ja-JP"/>
        </w:rPr>
        <w:tab/>
        <w:t>151</w:t>
      </w:r>
    </w:p>
    <w:p w14:paraId="6DEA4FE9" w14:textId="77777777" w:rsidR="007B21B3" w:rsidRDefault="007B21B3" w:rsidP="009F0A54">
      <w:pPr>
        <w:tabs>
          <w:tab w:val="left" w:pos="6663"/>
        </w:tabs>
        <w:spacing w:after="0" w:line="240" w:lineRule="auto"/>
        <w:ind w:right="96"/>
        <w:rPr>
          <w:rFonts w:ascii="Arial" w:eastAsia="Yu Mincho" w:hAnsi="Arial" w:cs="Arial"/>
          <w:i/>
          <w:color w:val="000000"/>
          <w:lang w:val="en-US" w:eastAsia="ja-JP"/>
        </w:rPr>
      </w:pPr>
      <w:r>
        <w:rPr>
          <w:rFonts w:ascii="Arial" w:eastAsia="Yu Mincho" w:hAnsi="Arial" w:cs="Arial"/>
          <w:color w:val="000000"/>
          <w:lang w:val="en-US" w:eastAsia="ja-JP"/>
        </w:rPr>
        <w:t xml:space="preserve">PpTMM </w:t>
      </w:r>
      <w:r w:rsidR="003A48AB" w:rsidRPr="003A48AB">
        <w:rPr>
          <w:rFonts w:ascii="Arial" w:eastAsia="Yu Mincho" w:hAnsi="Arial" w:cs="Arial"/>
          <w:color w:val="000000"/>
          <w:lang w:val="en-US" w:eastAsia="ja-JP"/>
        </w:rPr>
        <w:t>and PpERECTA1</w:t>
      </w:r>
      <w:r w:rsidR="003A48AB" w:rsidRPr="003A48AB">
        <w:rPr>
          <w:rFonts w:ascii="Arial" w:eastAsia="Yu Mincho" w:hAnsi="Arial" w:cs="Arial"/>
          <w:i/>
          <w:color w:val="000000"/>
          <w:lang w:val="en-US" w:eastAsia="ja-JP"/>
        </w:rPr>
        <w:t xml:space="preserve"> </w:t>
      </w:r>
      <w:r w:rsidR="003A48AB" w:rsidRPr="003A48AB">
        <w:rPr>
          <w:rFonts w:ascii="Arial" w:eastAsia="Yu Mincho" w:hAnsi="Arial" w:cs="Arial"/>
          <w:color w:val="000000"/>
          <w:lang w:val="en-US" w:eastAsia="ja-JP"/>
        </w:rPr>
        <w:t>and the signaling peptide PpEPF1</w:t>
      </w:r>
      <w:r w:rsidR="003A48AB" w:rsidRPr="003A48AB">
        <w:rPr>
          <w:rFonts w:ascii="Arial" w:eastAsia="Yu Mincho" w:hAnsi="Arial" w:cs="Arial"/>
          <w:i/>
          <w:color w:val="000000"/>
          <w:lang w:val="en-US" w:eastAsia="ja-JP"/>
        </w:rPr>
        <w:t xml:space="preserve"> </w:t>
      </w:r>
      <w:r w:rsidR="003A48AB" w:rsidRPr="003A48AB">
        <w:rPr>
          <w:rFonts w:ascii="Arial" w:eastAsia="Yu Mincho" w:hAnsi="Arial" w:cs="Arial"/>
          <w:color w:val="000000"/>
          <w:lang w:val="en-US" w:eastAsia="ja-JP"/>
        </w:rPr>
        <w:t>and</w:t>
      </w:r>
      <w:r w:rsidR="003A48AB" w:rsidRPr="003A48AB">
        <w:rPr>
          <w:rFonts w:ascii="Arial" w:eastAsia="Yu Mincho" w:hAnsi="Arial" w:cs="Arial"/>
          <w:i/>
          <w:color w:val="000000"/>
          <w:lang w:val="en-US" w:eastAsia="ja-JP"/>
        </w:rPr>
        <w:t xml:space="preserve"> </w:t>
      </w:r>
    </w:p>
    <w:p w14:paraId="51089C1F" w14:textId="77777777" w:rsidR="007B21B3" w:rsidRDefault="003A48AB" w:rsidP="009F0A54">
      <w:pPr>
        <w:tabs>
          <w:tab w:val="left" w:pos="6663"/>
        </w:tabs>
        <w:spacing w:after="0" w:line="240" w:lineRule="auto"/>
        <w:ind w:right="96"/>
        <w:rPr>
          <w:rFonts w:ascii="Arial" w:eastAsia="Yu Mincho" w:hAnsi="Arial" w:cs="Arial"/>
          <w:color w:val="000000"/>
          <w:lang w:val="en-US" w:eastAsia="ja-JP"/>
        </w:rPr>
      </w:pPr>
      <w:r w:rsidRPr="003A48AB">
        <w:rPr>
          <w:rFonts w:ascii="Arial" w:eastAsia="Yu Mincho" w:hAnsi="Arial" w:cs="Arial"/>
          <w:color w:val="000000"/>
          <w:lang w:val="en-US" w:eastAsia="ja-JP"/>
        </w:rPr>
        <w:t>PpERECTA1</w:t>
      </w:r>
      <w:r w:rsidRPr="003A48AB">
        <w:rPr>
          <w:rFonts w:ascii="Arial" w:eastAsia="Yu Mincho" w:hAnsi="Arial" w:cs="Arial"/>
          <w:i/>
          <w:color w:val="000000"/>
          <w:lang w:val="en-US" w:eastAsia="ja-JP"/>
        </w:rPr>
        <w:t xml:space="preserve"> </w:t>
      </w:r>
      <w:r w:rsidR="007B21B3">
        <w:rPr>
          <w:rFonts w:ascii="Arial" w:eastAsia="Yu Mincho" w:hAnsi="Arial" w:cs="Arial"/>
          <w:color w:val="000000"/>
          <w:lang w:val="en-US" w:eastAsia="ja-JP"/>
        </w:rPr>
        <w:t xml:space="preserve">both </w:t>
      </w:r>
      <w:r w:rsidRPr="003A48AB">
        <w:rPr>
          <w:rFonts w:ascii="Arial" w:eastAsia="Yu Mincho" w:hAnsi="Arial" w:cs="Arial"/>
          <w:color w:val="000000"/>
          <w:lang w:val="en-US" w:eastAsia="ja-JP"/>
        </w:rPr>
        <w:t xml:space="preserve">contribute to the correct patterning and morphology </w:t>
      </w:r>
    </w:p>
    <w:p w14:paraId="525A427A" w14:textId="77777777" w:rsidR="007B21B3" w:rsidRDefault="007B21B3" w:rsidP="009F0A54">
      <w:pPr>
        <w:tabs>
          <w:tab w:val="left" w:pos="6663"/>
        </w:tabs>
        <w:spacing w:after="0" w:line="240" w:lineRule="auto"/>
        <w:ind w:right="96"/>
        <w:rPr>
          <w:rFonts w:ascii="Arial" w:eastAsia="Yu Mincho" w:hAnsi="Arial" w:cs="Arial"/>
          <w:color w:val="000000"/>
          <w:lang w:val="en-US" w:eastAsia="ja-JP"/>
        </w:rPr>
      </w:pPr>
      <w:r>
        <w:rPr>
          <w:rFonts w:ascii="Arial" w:eastAsia="Yu Mincho" w:hAnsi="Arial" w:cs="Arial"/>
          <w:color w:val="000000"/>
          <w:lang w:val="en-US" w:eastAsia="ja-JP"/>
        </w:rPr>
        <w:t xml:space="preserve">of stomata and their </w:t>
      </w:r>
      <w:r w:rsidR="003A48AB" w:rsidRPr="003A48AB">
        <w:rPr>
          <w:rFonts w:ascii="Arial" w:eastAsia="Yu Mincho" w:hAnsi="Arial" w:cs="Arial"/>
          <w:color w:val="000000"/>
          <w:lang w:val="en-US" w:eastAsia="ja-JP"/>
        </w:rPr>
        <w:t xml:space="preserve">neighboring cells during stomatal development in </w:t>
      </w:r>
    </w:p>
    <w:p w14:paraId="6BB52DC4" w14:textId="77777777" w:rsidR="003A48AB" w:rsidRPr="003A48AB" w:rsidRDefault="003A48AB" w:rsidP="009F0A54">
      <w:pPr>
        <w:tabs>
          <w:tab w:val="left" w:pos="6663"/>
        </w:tabs>
        <w:spacing w:after="0" w:line="240" w:lineRule="auto"/>
        <w:ind w:right="96"/>
        <w:rPr>
          <w:rFonts w:ascii="Arial" w:eastAsia="Yu Mincho" w:hAnsi="Arial" w:cs="Arial"/>
          <w:color w:val="000000"/>
          <w:lang w:val="en-US" w:eastAsia="ja-JP"/>
        </w:rPr>
      </w:pPr>
      <w:r w:rsidRPr="003A48AB">
        <w:rPr>
          <w:rFonts w:ascii="Arial" w:eastAsia="Yu Mincho" w:hAnsi="Arial" w:cs="Arial"/>
          <w:i/>
          <w:color w:val="000000"/>
          <w:lang w:val="en-US" w:eastAsia="ja-JP"/>
        </w:rPr>
        <w:t>P. patens</w:t>
      </w:r>
      <w:r w:rsidRPr="003A48AB">
        <w:rPr>
          <w:rFonts w:ascii="Arial" w:eastAsia="Yu Mincho" w:hAnsi="Arial" w:cs="Arial"/>
          <w:color w:val="000000"/>
          <w:lang w:val="en-US" w:eastAsia="ja-JP"/>
        </w:rPr>
        <w:t>.</w:t>
      </w:r>
    </w:p>
    <w:p w14:paraId="20A9A42D" w14:textId="77777777" w:rsidR="003A48AB" w:rsidRPr="003A48AB" w:rsidRDefault="003A48AB" w:rsidP="009F0A54">
      <w:pPr>
        <w:tabs>
          <w:tab w:val="left" w:pos="6663"/>
        </w:tabs>
        <w:spacing w:after="0" w:line="240" w:lineRule="auto"/>
        <w:ind w:right="96"/>
        <w:rPr>
          <w:rFonts w:ascii="Arial" w:eastAsia="Yu Mincho" w:hAnsi="Arial" w:cs="Arial"/>
          <w:color w:val="000000"/>
          <w:lang w:val="en-US" w:eastAsia="ja-JP"/>
        </w:rPr>
      </w:pPr>
    </w:p>
    <w:p w14:paraId="270C2273" w14:textId="77777777" w:rsidR="007B21B3" w:rsidRDefault="007B21B3" w:rsidP="009F0A54">
      <w:pPr>
        <w:tabs>
          <w:tab w:val="left" w:pos="6663"/>
        </w:tabs>
        <w:spacing w:after="0" w:line="240" w:lineRule="auto"/>
        <w:ind w:right="96"/>
        <w:rPr>
          <w:rFonts w:ascii="Arial" w:eastAsia="Times New Roman" w:hAnsi="Arial" w:cs="Arial"/>
          <w:bCs/>
          <w:color w:val="000000"/>
          <w:lang w:eastAsia="ja-JP"/>
        </w:rPr>
      </w:pPr>
    </w:p>
    <w:p w14:paraId="17924FED" w14:textId="4654DDB0" w:rsidR="007B21B3" w:rsidRDefault="003A48AB" w:rsidP="009F0A54">
      <w:pPr>
        <w:tabs>
          <w:tab w:val="left" w:pos="6663"/>
        </w:tabs>
        <w:spacing w:after="0" w:line="240" w:lineRule="auto"/>
        <w:ind w:right="96"/>
        <w:rPr>
          <w:rFonts w:ascii="Arial" w:eastAsia="Times New Roman" w:hAnsi="Arial" w:cs="Arial"/>
          <w:bCs/>
          <w:color w:val="000000"/>
          <w:lang w:eastAsia="ja-JP"/>
        </w:rPr>
      </w:pPr>
      <w:r w:rsidRPr="003A48AB">
        <w:rPr>
          <w:rFonts w:ascii="Arial" w:eastAsia="Times New Roman" w:hAnsi="Arial" w:cs="Arial"/>
          <w:bCs/>
          <w:color w:val="000000"/>
          <w:lang w:eastAsia="ja-JP"/>
        </w:rPr>
        <w:lastRenderedPageBreak/>
        <w:t xml:space="preserve">Figure 21. The genome of the hornwort </w:t>
      </w:r>
      <w:r w:rsidRPr="003A48AB">
        <w:rPr>
          <w:rFonts w:ascii="Arial" w:eastAsia="Times New Roman" w:hAnsi="Arial" w:cs="Arial"/>
          <w:bCs/>
          <w:i/>
          <w:color w:val="000000"/>
          <w:lang w:eastAsia="ja-JP"/>
        </w:rPr>
        <w:t xml:space="preserve">A. punctatus </w:t>
      </w:r>
      <w:r w:rsidR="009F0A54">
        <w:rPr>
          <w:rFonts w:ascii="Arial" w:eastAsia="Times New Roman" w:hAnsi="Arial" w:cs="Arial"/>
          <w:bCs/>
          <w:color w:val="000000"/>
          <w:lang w:eastAsia="ja-JP"/>
        </w:rPr>
        <w:t xml:space="preserve">also encodes a </w:t>
      </w:r>
      <w:r w:rsidR="00FA2FE3">
        <w:rPr>
          <w:rFonts w:ascii="Arial" w:eastAsia="Times New Roman" w:hAnsi="Arial" w:cs="Arial"/>
          <w:bCs/>
          <w:color w:val="000000"/>
          <w:lang w:eastAsia="ja-JP"/>
        </w:rPr>
        <w:tab/>
        <w:t>159</w:t>
      </w:r>
    </w:p>
    <w:p w14:paraId="6310E8C6" w14:textId="77777777" w:rsidR="003A48AB" w:rsidRPr="007B21B3" w:rsidRDefault="009F0A54" w:rsidP="009F0A54">
      <w:pPr>
        <w:tabs>
          <w:tab w:val="left" w:pos="6663"/>
        </w:tabs>
        <w:spacing w:after="0" w:line="240" w:lineRule="auto"/>
        <w:ind w:right="96"/>
        <w:rPr>
          <w:rFonts w:ascii="Arial" w:eastAsia="Times New Roman" w:hAnsi="Arial" w:cs="Arial"/>
          <w:bCs/>
          <w:color w:val="000000"/>
          <w:lang w:eastAsia="ja-JP"/>
        </w:rPr>
      </w:pPr>
      <w:r>
        <w:rPr>
          <w:rFonts w:ascii="Arial" w:eastAsia="Times New Roman" w:hAnsi="Arial" w:cs="Arial"/>
          <w:bCs/>
          <w:color w:val="000000"/>
          <w:lang w:eastAsia="ja-JP"/>
        </w:rPr>
        <w:t>potential</w:t>
      </w:r>
      <w:r w:rsidR="007B21B3">
        <w:rPr>
          <w:rFonts w:ascii="Arial" w:eastAsia="Times New Roman" w:hAnsi="Arial" w:cs="Arial"/>
          <w:bCs/>
          <w:color w:val="000000"/>
          <w:lang w:eastAsia="ja-JP"/>
        </w:rPr>
        <w:t xml:space="preserve"> </w:t>
      </w:r>
      <w:r w:rsidR="003A48AB" w:rsidRPr="003A48AB">
        <w:rPr>
          <w:rFonts w:ascii="Arial" w:eastAsia="Times New Roman" w:hAnsi="Arial" w:cs="Arial"/>
          <w:bCs/>
          <w:color w:val="000000"/>
          <w:lang w:eastAsia="ja-JP"/>
        </w:rPr>
        <w:t xml:space="preserve">EPF1/EPF2/EPFL7 clade gene orthologue: </w:t>
      </w:r>
      <w:r w:rsidR="003A48AB" w:rsidRPr="003A48AB">
        <w:rPr>
          <w:rFonts w:ascii="Arial" w:eastAsia="Times New Roman" w:hAnsi="Arial" w:cs="Arial"/>
          <w:bCs/>
          <w:i/>
          <w:color w:val="000000"/>
          <w:lang w:eastAsia="ja-JP"/>
        </w:rPr>
        <w:t>ApEFP1</w:t>
      </w:r>
      <w:r w:rsidR="003A48AB" w:rsidRPr="003A48AB">
        <w:rPr>
          <w:rFonts w:ascii="Arial" w:eastAsia="Times New Roman" w:hAnsi="Arial" w:cs="Arial"/>
          <w:bCs/>
          <w:color w:val="000000"/>
          <w:lang w:eastAsia="ja-JP"/>
        </w:rPr>
        <w:t>.</w:t>
      </w:r>
      <w:r w:rsidR="007B21B3">
        <w:rPr>
          <w:rFonts w:ascii="Arial" w:eastAsia="Times New Roman" w:hAnsi="Arial" w:cs="Arial"/>
          <w:bCs/>
          <w:color w:val="000000"/>
          <w:lang w:eastAsia="ja-JP"/>
        </w:rPr>
        <w:tab/>
      </w:r>
    </w:p>
    <w:p w14:paraId="1ABEDE2E" w14:textId="77777777" w:rsidR="003A48AB" w:rsidRPr="003A48AB" w:rsidRDefault="003A48AB" w:rsidP="009F0A54">
      <w:pPr>
        <w:tabs>
          <w:tab w:val="left" w:pos="6663"/>
        </w:tabs>
        <w:spacing w:after="0" w:line="240" w:lineRule="auto"/>
        <w:ind w:right="96"/>
        <w:rPr>
          <w:rFonts w:ascii="Arial" w:eastAsia="Times New Roman" w:hAnsi="Arial" w:cs="Arial"/>
          <w:color w:val="000000"/>
          <w:lang w:eastAsia="ja-JP"/>
        </w:rPr>
      </w:pPr>
    </w:p>
    <w:p w14:paraId="275E53EB" w14:textId="77777777" w:rsidR="003A48AB" w:rsidRPr="003A48AB" w:rsidRDefault="003A48AB" w:rsidP="009F0A54">
      <w:pPr>
        <w:tabs>
          <w:tab w:val="left" w:pos="6663"/>
        </w:tabs>
        <w:spacing w:after="0" w:line="240" w:lineRule="auto"/>
        <w:ind w:right="96"/>
        <w:rPr>
          <w:rFonts w:ascii="Arial" w:eastAsia="Times New Roman" w:hAnsi="Arial" w:cs="Arial"/>
          <w:b/>
          <w:color w:val="000000"/>
          <w:lang w:eastAsia="ja-JP"/>
        </w:rPr>
      </w:pPr>
      <w:r w:rsidRPr="003A48AB">
        <w:rPr>
          <w:rFonts w:ascii="Arial" w:eastAsia="Times New Roman" w:hAnsi="Arial" w:cs="Arial"/>
          <w:b/>
          <w:color w:val="000000"/>
          <w:lang w:eastAsia="ja-JP"/>
        </w:rPr>
        <w:t>Chapter 5</w:t>
      </w:r>
    </w:p>
    <w:p w14:paraId="68C6239A" w14:textId="77777777" w:rsidR="003A48AB" w:rsidRPr="003A48AB" w:rsidRDefault="003A48AB" w:rsidP="009F0A54">
      <w:pPr>
        <w:tabs>
          <w:tab w:val="left" w:pos="6663"/>
        </w:tabs>
        <w:spacing w:after="0" w:line="240" w:lineRule="auto"/>
        <w:ind w:right="96"/>
        <w:rPr>
          <w:rFonts w:ascii="Arial" w:eastAsia="Times New Roman" w:hAnsi="Arial" w:cs="Arial"/>
          <w:color w:val="000000"/>
          <w:lang w:eastAsia="ja-JP"/>
        </w:rPr>
      </w:pPr>
    </w:p>
    <w:p w14:paraId="1450C4DB" w14:textId="5A4E62A3" w:rsidR="003A48AB" w:rsidRPr="003A48AB" w:rsidRDefault="003A48AB" w:rsidP="009F0A54">
      <w:pPr>
        <w:tabs>
          <w:tab w:val="left" w:pos="6663"/>
        </w:tabs>
        <w:spacing w:after="0" w:line="240" w:lineRule="auto"/>
        <w:ind w:right="96"/>
        <w:rPr>
          <w:rFonts w:ascii="Arial" w:eastAsia="Times New Roman" w:hAnsi="Arial" w:cs="Arial"/>
          <w:color w:val="000000"/>
          <w:lang w:eastAsia="ja-JP"/>
        </w:rPr>
      </w:pPr>
      <w:r w:rsidRPr="003A48AB">
        <w:rPr>
          <w:rFonts w:ascii="Arial" w:eastAsia="Times New Roman" w:hAnsi="Arial" w:cs="Arial"/>
          <w:color w:val="000000"/>
          <w:lang w:eastAsia="ja-JP"/>
        </w:rPr>
        <w:t xml:space="preserve">Figure 1. </w:t>
      </w:r>
      <w:r w:rsidRPr="003A48AB">
        <w:rPr>
          <w:rFonts w:ascii="Arial" w:eastAsia="Times New Roman" w:hAnsi="Arial" w:cs="Arial"/>
          <w:i/>
          <w:color w:val="000000"/>
          <w:lang w:eastAsia="ja-JP"/>
        </w:rPr>
        <w:t xml:space="preserve">Funaria hygrometrica </w:t>
      </w:r>
      <w:r w:rsidRPr="003A48AB">
        <w:rPr>
          <w:rFonts w:ascii="Arial" w:eastAsia="Times New Roman" w:hAnsi="Arial" w:cs="Arial"/>
          <w:color w:val="000000"/>
          <w:lang w:eastAsia="ja-JP"/>
        </w:rPr>
        <w:t xml:space="preserve">and </w:t>
      </w:r>
      <w:r w:rsidRPr="003A48AB">
        <w:rPr>
          <w:rFonts w:ascii="Arial" w:eastAsia="Times New Roman" w:hAnsi="Arial" w:cs="Arial"/>
          <w:i/>
          <w:color w:val="000000"/>
          <w:lang w:eastAsia="ja-JP"/>
        </w:rPr>
        <w:t xml:space="preserve">Physcomitrella patens </w:t>
      </w:r>
      <w:r w:rsidR="009F0A54">
        <w:rPr>
          <w:rFonts w:ascii="Arial" w:eastAsia="Times New Roman" w:hAnsi="Arial" w:cs="Arial"/>
          <w:color w:val="000000"/>
          <w:lang w:eastAsia="ja-JP"/>
        </w:rPr>
        <w:t>growth at</w:t>
      </w:r>
      <w:r w:rsidR="007B21B3">
        <w:rPr>
          <w:rFonts w:ascii="Arial" w:eastAsia="Times New Roman" w:hAnsi="Arial" w:cs="Arial"/>
          <w:color w:val="000000"/>
          <w:lang w:eastAsia="ja-JP"/>
        </w:rPr>
        <w:tab/>
      </w:r>
      <w:r w:rsidR="007B21B3">
        <w:rPr>
          <w:rFonts w:ascii="Arial" w:eastAsia="Times New Roman" w:hAnsi="Arial" w:cs="Arial"/>
          <w:color w:val="000000"/>
          <w:lang w:eastAsia="ja-JP"/>
        </w:rPr>
        <w:tab/>
      </w:r>
      <w:r w:rsidR="00FA2FE3">
        <w:rPr>
          <w:rFonts w:ascii="Arial" w:eastAsia="Times New Roman" w:hAnsi="Arial" w:cs="Arial"/>
          <w:color w:val="000000"/>
          <w:lang w:eastAsia="ja-JP"/>
        </w:rPr>
        <w:t>176</w:t>
      </w:r>
    </w:p>
    <w:p w14:paraId="799CCD56" w14:textId="77777777" w:rsidR="007B21B3" w:rsidRDefault="003A48AB" w:rsidP="009F0A54">
      <w:pPr>
        <w:tabs>
          <w:tab w:val="left" w:pos="6663"/>
        </w:tabs>
        <w:spacing w:after="0" w:line="240" w:lineRule="auto"/>
        <w:ind w:right="96"/>
        <w:rPr>
          <w:rFonts w:ascii="Arial" w:eastAsia="Times New Roman" w:hAnsi="Arial" w:cs="Arial"/>
          <w:color w:val="000000"/>
          <w:lang w:eastAsia="ja-JP"/>
        </w:rPr>
      </w:pPr>
      <w:r w:rsidRPr="003A48AB">
        <w:rPr>
          <w:rFonts w:ascii="Arial" w:eastAsia="Times New Roman" w:hAnsi="Arial" w:cs="Arial"/>
          <w:color w:val="000000"/>
          <w:lang w:eastAsia="ja-JP"/>
        </w:rPr>
        <w:t>increasingly high concentrations of CO</w:t>
      </w:r>
      <w:r w:rsidRPr="003A48AB">
        <w:rPr>
          <w:rFonts w:ascii="Arial" w:eastAsia="Times New Roman" w:hAnsi="Arial" w:cs="Arial"/>
          <w:color w:val="000000"/>
          <w:vertAlign w:val="subscript"/>
          <w:lang w:eastAsia="ja-JP"/>
        </w:rPr>
        <w:t>2</w:t>
      </w:r>
      <w:r w:rsidRPr="003A48AB">
        <w:rPr>
          <w:rFonts w:ascii="Arial" w:eastAsia="Times New Roman" w:hAnsi="Arial" w:cs="Arial"/>
          <w:color w:val="000000"/>
          <w:lang w:eastAsia="ja-JP"/>
        </w:rPr>
        <w:t xml:space="preserve"> results in plants that grow </w:t>
      </w:r>
    </w:p>
    <w:p w14:paraId="0F7E5CE6" w14:textId="77777777" w:rsidR="003A48AB" w:rsidRPr="003A48AB" w:rsidRDefault="007B21B3" w:rsidP="009F0A54">
      <w:pPr>
        <w:tabs>
          <w:tab w:val="left" w:pos="6663"/>
        </w:tabs>
        <w:spacing w:after="0" w:line="240" w:lineRule="auto"/>
        <w:ind w:right="96"/>
        <w:rPr>
          <w:rFonts w:ascii="Arial" w:eastAsia="Times New Roman" w:hAnsi="Arial" w:cs="Arial"/>
          <w:color w:val="000000"/>
          <w:lang w:eastAsia="ja-JP"/>
        </w:rPr>
      </w:pPr>
      <w:r>
        <w:rPr>
          <w:rFonts w:ascii="Arial" w:eastAsia="Times New Roman" w:hAnsi="Arial" w:cs="Arial"/>
          <w:color w:val="000000"/>
          <w:lang w:eastAsia="ja-JP"/>
        </w:rPr>
        <w:t xml:space="preserve">increasingly </w:t>
      </w:r>
      <w:r w:rsidR="003A48AB" w:rsidRPr="003A48AB">
        <w:rPr>
          <w:rFonts w:ascii="Arial" w:eastAsia="Times New Roman" w:hAnsi="Arial" w:cs="Arial"/>
          <w:color w:val="000000"/>
          <w:lang w:eastAsia="ja-JP"/>
        </w:rPr>
        <w:t>large.</w:t>
      </w:r>
    </w:p>
    <w:p w14:paraId="7DBE9262" w14:textId="77777777" w:rsidR="003A48AB" w:rsidRPr="003A48AB" w:rsidRDefault="003A48AB" w:rsidP="009F0A54">
      <w:pPr>
        <w:tabs>
          <w:tab w:val="left" w:pos="6663"/>
        </w:tabs>
        <w:spacing w:after="0" w:line="240" w:lineRule="auto"/>
        <w:ind w:right="96"/>
        <w:rPr>
          <w:rFonts w:ascii="Arial" w:eastAsia="Times New Roman" w:hAnsi="Arial" w:cs="Arial"/>
          <w:color w:val="000000"/>
          <w:lang w:eastAsia="ja-JP"/>
        </w:rPr>
      </w:pPr>
    </w:p>
    <w:p w14:paraId="1302A799" w14:textId="5FDE6834" w:rsidR="007B21B3" w:rsidRDefault="003A48AB" w:rsidP="009F0A54">
      <w:pPr>
        <w:tabs>
          <w:tab w:val="left" w:pos="6663"/>
        </w:tabs>
        <w:spacing w:after="0" w:line="240" w:lineRule="auto"/>
        <w:ind w:right="96"/>
        <w:rPr>
          <w:rFonts w:ascii="Arial" w:eastAsia="Times New Roman" w:hAnsi="Arial" w:cs="Arial"/>
          <w:color w:val="000000"/>
          <w:lang w:eastAsia="ja-JP"/>
        </w:rPr>
      </w:pPr>
      <w:r w:rsidRPr="003A48AB">
        <w:rPr>
          <w:rFonts w:ascii="Arial" w:eastAsia="Times New Roman" w:hAnsi="Arial" w:cs="Arial"/>
          <w:color w:val="000000"/>
          <w:lang w:eastAsia="ja-JP"/>
        </w:rPr>
        <w:t xml:space="preserve">Figure 2. Acquiring stomatal S and D values to </w:t>
      </w:r>
      <w:r w:rsidR="009F0A54">
        <w:rPr>
          <w:rFonts w:ascii="Arial" w:eastAsia="Times New Roman" w:hAnsi="Arial" w:cs="Arial"/>
          <w:color w:val="000000"/>
          <w:lang w:eastAsia="ja-JP"/>
        </w:rPr>
        <w:t xml:space="preserve">measure responses of </w:t>
      </w:r>
      <w:r w:rsidR="00FA2FE3">
        <w:rPr>
          <w:rFonts w:ascii="Arial" w:eastAsia="Times New Roman" w:hAnsi="Arial" w:cs="Arial"/>
          <w:color w:val="000000"/>
          <w:lang w:eastAsia="ja-JP"/>
        </w:rPr>
        <w:tab/>
        <w:t>178</w:t>
      </w:r>
    </w:p>
    <w:p w14:paraId="67E464EF" w14:textId="77777777" w:rsidR="003A48AB" w:rsidRPr="003A48AB" w:rsidRDefault="009F0A54" w:rsidP="009F0A54">
      <w:pPr>
        <w:tabs>
          <w:tab w:val="left" w:pos="6663"/>
        </w:tabs>
        <w:spacing w:after="0" w:line="240" w:lineRule="auto"/>
        <w:ind w:right="96"/>
        <w:rPr>
          <w:rFonts w:ascii="Arial" w:eastAsia="Times New Roman" w:hAnsi="Arial" w:cs="Arial"/>
          <w:color w:val="000000"/>
          <w:lang w:eastAsia="ja-JP"/>
        </w:rPr>
      </w:pPr>
      <w:r>
        <w:rPr>
          <w:rFonts w:ascii="Arial" w:eastAsia="Times New Roman" w:hAnsi="Arial" w:cs="Arial"/>
          <w:color w:val="000000"/>
          <w:lang w:eastAsia="ja-JP"/>
        </w:rPr>
        <w:t xml:space="preserve">mosses </w:t>
      </w:r>
      <w:r w:rsidR="003A48AB" w:rsidRPr="003A48AB">
        <w:rPr>
          <w:rFonts w:ascii="Arial" w:eastAsia="Times New Roman" w:hAnsi="Arial" w:cs="Arial"/>
          <w:color w:val="000000"/>
          <w:lang w:eastAsia="ja-JP"/>
        </w:rPr>
        <w:t>to growth at different CO</w:t>
      </w:r>
      <w:r w:rsidR="003A48AB" w:rsidRPr="003A48AB">
        <w:rPr>
          <w:rFonts w:ascii="Arial" w:eastAsia="Times New Roman" w:hAnsi="Arial" w:cs="Arial"/>
          <w:color w:val="000000"/>
          <w:vertAlign w:val="subscript"/>
          <w:lang w:eastAsia="ja-JP"/>
        </w:rPr>
        <w:t>2</w:t>
      </w:r>
      <w:r w:rsidR="003A48AB" w:rsidRPr="003A48AB">
        <w:rPr>
          <w:rFonts w:ascii="Arial" w:eastAsia="Times New Roman" w:hAnsi="Arial" w:cs="Arial"/>
          <w:color w:val="000000"/>
          <w:lang w:eastAsia="ja-JP"/>
        </w:rPr>
        <w:t xml:space="preserve"> concentrations.</w:t>
      </w:r>
    </w:p>
    <w:p w14:paraId="4001022F" w14:textId="77777777" w:rsidR="003A48AB" w:rsidRPr="003A48AB" w:rsidRDefault="003A48AB" w:rsidP="009F0A54">
      <w:pPr>
        <w:tabs>
          <w:tab w:val="left" w:pos="6663"/>
        </w:tabs>
        <w:spacing w:after="0" w:line="240" w:lineRule="auto"/>
        <w:ind w:right="96"/>
        <w:rPr>
          <w:rFonts w:ascii="Arial" w:eastAsia="Times New Roman" w:hAnsi="Arial" w:cs="Arial"/>
          <w:color w:val="000000"/>
          <w:lang w:eastAsia="ja-JP"/>
        </w:rPr>
      </w:pPr>
    </w:p>
    <w:p w14:paraId="01BDAB5B" w14:textId="41D9A7EF" w:rsid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3. </w:t>
      </w:r>
      <w:r w:rsidRPr="003A48AB">
        <w:rPr>
          <w:rFonts w:ascii="Arial" w:eastAsia="Yu Mincho" w:hAnsi="Arial" w:cs="Arial"/>
          <w:i/>
          <w:lang w:eastAsia="ja-JP"/>
        </w:rPr>
        <w:t>Funaria</w:t>
      </w:r>
      <w:r w:rsidRPr="003A48AB">
        <w:rPr>
          <w:rFonts w:ascii="Arial" w:eastAsia="Yu Mincho" w:hAnsi="Arial" w:cs="Arial"/>
          <w:lang w:eastAsia="ja-JP"/>
        </w:rPr>
        <w:t xml:space="preserve"> </w:t>
      </w:r>
      <w:r w:rsidRPr="003A48AB">
        <w:rPr>
          <w:rFonts w:ascii="Arial" w:eastAsia="Yu Mincho" w:hAnsi="Arial" w:cs="Arial"/>
          <w:i/>
          <w:lang w:eastAsia="ja-JP"/>
        </w:rPr>
        <w:t xml:space="preserve">hygrometrica </w:t>
      </w:r>
      <w:r w:rsidRPr="003A48AB">
        <w:rPr>
          <w:rFonts w:ascii="Arial" w:eastAsia="Yu Mincho" w:hAnsi="Arial" w:cs="Arial"/>
          <w:lang w:eastAsia="ja-JP"/>
        </w:rPr>
        <w:t>stomatal develop</w:t>
      </w:r>
      <w:r w:rsidR="009F0A54">
        <w:rPr>
          <w:rFonts w:ascii="Arial" w:eastAsia="Yu Mincho" w:hAnsi="Arial" w:cs="Arial"/>
          <w:lang w:eastAsia="ja-JP"/>
        </w:rPr>
        <w:t xml:space="preserve">ment responses of </w:t>
      </w:r>
      <w:r w:rsidR="00FA2FE3">
        <w:rPr>
          <w:rFonts w:ascii="Arial" w:eastAsia="Yu Mincho" w:hAnsi="Arial" w:cs="Arial"/>
          <w:lang w:eastAsia="ja-JP"/>
        </w:rPr>
        <w:tab/>
      </w:r>
      <w:r w:rsidR="00FA2FE3">
        <w:rPr>
          <w:rFonts w:ascii="Arial" w:eastAsia="Yu Mincho" w:hAnsi="Arial" w:cs="Arial"/>
          <w:lang w:eastAsia="ja-JP"/>
        </w:rPr>
        <w:tab/>
        <w:t>179</w:t>
      </w:r>
    </w:p>
    <w:p w14:paraId="64637336" w14:textId="77777777" w:rsidR="007B21B3"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size (S)</w:t>
      </w:r>
      <w:r w:rsidR="007B21B3">
        <w:rPr>
          <w:rFonts w:ascii="Arial" w:eastAsia="Yu Mincho" w:hAnsi="Arial" w:cs="Arial"/>
          <w:lang w:eastAsia="ja-JP"/>
        </w:rPr>
        <w:t xml:space="preserve"> </w:t>
      </w:r>
      <w:r w:rsidR="003A48AB" w:rsidRPr="003A48AB">
        <w:rPr>
          <w:rFonts w:ascii="Arial" w:eastAsia="Yu Mincho" w:hAnsi="Arial" w:cs="Arial"/>
          <w:lang w:eastAsia="ja-JP"/>
        </w:rPr>
        <w:t xml:space="preserve">and density (D) to growth at sub-ambient (200ppm), ambient </w:t>
      </w:r>
    </w:p>
    <w:p w14:paraId="5647BE74" w14:textId="77777777" w:rsidR="003A48AB" w:rsidRPr="003A48AB" w:rsidRDefault="007B21B3"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 xml:space="preserve">(450ppm) or </w:t>
      </w:r>
      <w:r w:rsidR="003A48AB" w:rsidRPr="003A48AB">
        <w:rPr>
          <w:rFonts w:ascii="Arial" w:eastAsia="Yu Mincho" w:hAnsi="Arial" w:cs="Arial"/>
          <w:lang w:eastAsia="ja-JP"/>
        </w:rPr>
        <w:t>elevated (1000ppm) CO</w:t>
      </w:r>
      <w:r w:rsidR="003A48AB" w:rsidRPr="003A48AB">
        <w:rPr>
          <w:rFonts w:ascii="Arial" w:eastAsia="Yu Mincho" w:hAnsi="Arial" w:cs="Arial"/>
          <w:vertAlign w:val="subscript"/>
          <w:lang w:eastAsia="ja-JP"/>
        </w:rPr>
        <w:t>2</w:t>
      </w:r>
      <w:r w:rsidR="003A48AB" w:rsidRPr="003A48AB">
        <w:rPr>
          <w:rFonts w:ascii="Arial" w:eastAsia="Yu Mincho" w:hAnsi="Arial" w:cs="Arial"/>
          <w:lang w:eastAsia="ja-JP"/>
        </w:rPr>
        <w:t xml:space="preserve"> concentrations.</w:t>
      </w:r>
    </w:p>
    <w:p w14:paraId="19623ED6"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69115149" w14:textId="3070DF4F" w:rsid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4. </w:t>
      </w:r>
      <w:r w:rsidRPr="003A48AB">
        <w:rPr>
          <w:rFonts w:ascii="Arial" w:eastAsia="Yu Mincho" w:hAnsi="Arial" w:cs="Arial"/>
          <w:i/>
          <w:lang w:eastAsia="ja-JP"/>
        </w:rPr>
        <w:t xml:space="preserve">Physcomitrella patens </w:t>
      </w:r>
      <w:r w:rsidRPr="003A48AB">
        <w:rPr>
          <w:rFonts w:ascii="Arial" w:eastAsia="Yu Mincho" w:hAnsi="Arial" w:cs="Arial"/>
          <w:lang w:eastAsia="ja-JP"/>
        </w:rPr>
        <w:t>stomatal develop</w:t>
      </w:r>
      <w:r w:rsidR="009F0A54">
        <w:rPr>
          <w:rFonts w:ascii="Arial" w:eastAsia="Yu Mincho" w:hAnsi="Arial" w:cs="Arial"/>
          <w:lang w:eastAsia="ja-JP"/>
        </w:rPr>
        <w:t xml:space="preserve">ment responses of </w:t>
      </w:r>
      <w:r w:rsidR="00FA2FE3">
        <w:rPr>
          <w:rFonts w:ascii="Arial" w:eastAsia="Yu Mincho" w:hAnsi="Arial" w:cs="Arial"/>
          <w:lang w:eastAsia="ja-JP"/>
        </w:rPr>
        <w:tab/>
        <w:t>180</w:t>
      </w:r>
    </w:p>
    <w:p w14:paraId="58684A8A" w14:textId="77777777" w:rsidR="007B21B3"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size (S)</w:t>
      </w:r>
      <w:r w:rsidR="007B21B3">
        <w:rPr>
          <w:rFonts w:ascii="Arial" w:eastAsia="Yu Mincho" w:hAnsi="Arial" w:cs="Arial"/>
          <w:lang w:eastAsia="ja-JP"/>
        </w:rPr>
        <w:t xml:space="preserve"> </w:t>
      </w:r>
      <w:r w:rsidR="003A48AB" w:rsidRPr="003A48AB">
        <w:rPr>
          <w:rFonts w:ascii="Arial" w:eastAsia="Yu Mincho" w:hAnsi="Arial" w:cs="Arial"/>
          <w:lang w:eastAsia="ja-JP"/>
        </w:rPr>
        <w:t xml:space="preserve">and density (D) to growth at sub-ambient (200ppm), ambient </w:t>
      </w:r>
    </w:p>
    <w:p w14:paraId="340074FD" w14:textId="77777777" w:rsidR="003A48AB" w:rsidRPr="003A48AB" w:rsidRDefault="007B21B3"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 xml:space="preserve">(450ppm) or </w:t>
      </w:r>
      <w:r w:rsidR="003A48AB" w:rsidRPr="003A48AB">
        <w:rPr>
          <w:rFonts w:ascii="Arial" w:eastAsia="Yu Mincho" w:hAnsi="Arial" w:cs="Arial"/>
          <w:lang w:eastAsia="ja-JP"/>
        </w:rPr>
        <w:t>elevated (1000ppm) CO</w:t>
      </w:r>
      <w:r w:rsidR="003A48AB" w:rsidRPr="003A48AB">
        <w:rPr>
          <w:rFonts w:ascii="Arial" w:eastAsia="Yu Mincho" w:hAnsi="Arial" w:cs="Arial"/>
          <w:vertAlign w:val="subscript"/>
          <w:lang w:eastAsia="ja-JP"/>
        </w:rPr>
        <w:t>2</w:t>
      </w:r>
      <w:r w:rsidR="003A48AB" w:rsidRPr="003A48AB">
        <w:rPr>
          <w:rFonts w:ascii="Arial" w:eastAsia="Yu Mincho" w:hAnsi="Arial" w:cs="Arial"/>
          <w:lang w:eastAsia="ja-JP"/>
        </w:rPr>
        <w:t xml:space="preserve"> concentrations.</w:t>
      </w:r>
    </w:p>
    <w:p w14:paraId="1094D41F"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389A644E" w14:textId="65354ACE" w:rsidR="003A48AB" w:rsidRPr="003A48AB" w:rsidRDefault="003A48AB" w:rsidP="009F0A54">
      <w:pPr>
        <w:tabs>
          <w:tab w:val="left" w:pos="6663"/>
        </w:tabs>
        <w:spacing w:after="0" w:line="240" w:lineRule="auto"/>
        <w:ind w:right="96"/>
        <w:rPr>
          <w:rFonts w:ascii="Arial" w:eastAsia="Times New Roman" w:hAnsi="Arial" w:cs="Arial"/>
          <w:color w:val="000000"/>
          <w:lang w:eastAsia="ja-JP"/>
        </w:rPr>
      </w:pPr>
      <w:r w:rsidRPr="003A48AB">
        <w:rPr>
          <w:rFonts w:ascii="Arial" w:eastAsia="Times New Roman" w:hAnsi="Arial" w:cs="Arial"/>
          <w:color w:val="000000"/>
          <w:lang w:eastAsia="ja-JP"/>
        </w:rPr>
        <w:t xml:space="preserve">Figure 5. Acquiring an approximate size </w:t>
      </w:r>
      <w:r w:rsidR="009F0A54">
        <w:rPr>
          <w:rFonts w:ascii="Arial" w:eastAsia="Times New Roman" w:hAnsi="Arial" w:cs="Arial"/>
          <w:color w:val="000000"/>
          <w:lang w:eastAsia="ja-JP"/>
        </w:rPr>
        <w:t>of capsules through area</w:t>
      </w:r>
      <w:r w:rsidR="00FA2FE3">
        <w:rPr>
          <w:rFonts w:ascii="Arial" w:eastAsia="Times New Roman" w:hAnsi="Arial" w:cs="Arial"/>
          <w:color w:val="000000"/>
          <w:lang w:eastAsia="ja-JP"/>
        </w:rPr>
        <w:tab/>
      </w:r>
      <w:r w:rsidR="00FA2FE3">
        <w:rPr>
          <w:rFonts w:ascii="Arial" w:eastAsia="Times New Roman" w:hAnsi="Arial" w:cs="Arial"/>
          <w:color w:val="000000"/>
          <w:lang w:eastAsia="ja-JP"/>
        </w:rPr>
        <w:tab/>
        <w:t>182</w:t>
      </w:r>
    </w:p>
    <w:p w14:paraId="1606E346" w14:textId="77777777" w:rsidR="003A48AB" w:rsidRPr="003A48AB" w:rsidRDefault="003A48AB" w:rsidP="009F0A54">
      <w:pPr>
        <w:tabs>
          <w:tab w:val="left" w:pos="6663"/>
        </w:tabs>
        <w:spacing w:after="0" w:line="240" w:lineRule="auto"/>
        <w:ind w:right="96"/>
        <w:rPr>
          <w:rFonts w:ascii="Arial" w:eastAsia="Times New Roman" w:hAnsi="Arial" w:cs="Arial"/>
          <w:color w:val="000000"/>
          <w:lang w:eastAsia="ja-JP"/>
        </w:rPr>
      </w:pPr>
      <w:r w:rsidRPr="003A48AB">
        <w:rPr>
          <w:rFonts w:ascii="Arial" w:eastAsia="Times New Roman" w:hAnsi="Arial" w:cs="Arial"/>
          <w:color w:val="000000"/>
          <w:lang w:eastAsia="ja-JP"/>
        </w:rPr>
        <w:t>measurements.</w:t>
      </w:r>
    </w:p>
    <w:p w14:paraId="2149AD3A" w14:textId="77777777" w:rsidR="003A48AB" w:rsidRPr="003A48AB" w:rsidRDefault="003A48AB" w:rsidP="009F0A54">
      <w:pPr>
        <w:tabs>
          <w:tab w:val="left" w:pos="6663"/>
        </w:tabs>
        <w:spacing w:after="0" w:line="240" w:lineRule="auto"/>
        <w:ind w:right="96"/>
        <w:rPr>
          <w:rFonts w:ascii="Arial" w:eastAsia="Times New Roman" w:hAnsi="Arial" w:cs="Arial"/>
          <w:color w:val="000000"/>
          <w:lang w:eastAsia="ja-JP"/>
        </w:rPr>
      </w:pPr>
    </w:p>
    <w:p w14:paraId="228757C6" w14:textId="56FA21DE" w:rsidR="007B21B3" w:rsidRP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6. </w:t>
      </w:r>
      <w:r w:rsidRPr="003A48AB">
        <w:rPr>
          <w:rFonts w:ascii="Arial" w:eastAsia="Yu Mincho" w:hAnsi="Arial" w:cs="Arial"/>
          <w:i/>
          <w:lang w:eastAsia="ja-JP"/>
        </w:rPr>
        <w:t xml:space="preserve"> </w:t>
      </w:r>
      <w:r w:rsidRPr="003A48AB">
        <w:rPr>
          <w:rFonts w:ascii="Arial" w:eastAsia="Yu Mincho" w:hAnsi="Arial" w:cs="Arial"/>
          <w:lang w:eastAsia="ja-JP"/>
        </w:rPr>
        <w:t xml:space="preserve">Large, fully expanded capsule analysis of </w:t>
      </w:r>
      <w:r w:rsidR="009F0A54">
        <w:rPr>
          <w:rFonts w:ascii="Arial" w:eastAsia="Yu Mincho" w:hAnsi="Arial" w:cs="Arial"/>
          <w:i/>
          <w:lang w:eastAsia="ja-JP"/>
        </w:rPr>
        <w:t xml:space="preserve">Physcomitrella </w:t>
      </w:r>
      <w:r w:rsidR="00FA2FE3">
        <w:rPr>
          <w:rFonts w:ascii="Arial" w:eastAsia="Yu Mincho" w:hAnsi="Arial" w:cs="Arial"/>
          <w:lang w:eastAsia="ja-JP"/>
        </w:rPr>
        <w:tab/>
      </w:r>
      <w:r w:rsidR="00FA2FE3">
        <w:rPr>
          <w:rFonts w:ascii="Arial" w:eastAsia="Yu Mincho" w:hAnsi="Arial" w:cs="Arial"/>
          <w:lang w:eastAsia="ja-JP"/>
        </w:rPr>
        <w:tab/>
        <w:t>183</w:t>
      </w:r>
    </w:p>
    <w:p w14:paraId="3D3F0845" w14:textId="77777777" w:rsidR="007B21B3"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i/>
          <w:lang w:eastAsia="ja-JP"/>
        </w:rPr>
        <w:t>patens</w:t>
      </w:r>
      <w:r w:rsidR="007B21B3">
        <w:rPr>
          <w:rFonts w:ascii="Arial" w:eastAsia="Yu Mincho" w:hAnsi="Arial" w:cs="Arial"/>
          <w:lang w:eastAsia="ja-JP"/>
        </w:rPr>
        <w:t xml:space="preserve"> </w:t>
      </w:r>
      <w:r w:rsidR="003A48AB" w:rsidRPr="003A48AB">
        <w:rPr>
          <w:rFonts w:ascii="Arial" w:eastAsia="Yu Mincho" w:hAnsi="Arial" w:cs="Arial"/>
          <w:lang w:eastAsia="ja-JP"/>
        </w:rPr>
        <w:t>stomatal development in responses to different light and CO</w:t>
      </w:r>
      <w:r w:rsidR="003A48AB" w:rsidRPr="003A48AB">
        <w:rPr>
          <w:rFonts w:ascii="Arial" w:eastAsia="Yu Mincho" w:hAnsi="Arial" w:cs="Arial"/>
          <w:vertAlign w:val="subscript"/>
          <w:lang w:eastAsia="ja-JP"/>
        </w:rPr>
        <w:t>2</w:t>
      </w:r>
      <w:r w:rsidR="003A48AB" w:rsidRPr="003A48AB">
        <w:rPr>
          <w:rFonts w:ascii="Arial" w:eastAsia="Yu Mincho" w:hAnsi="Arial" w:cs="Arial"/>
          <w:lang w:eastAsia="ja-JP"/>
        </w:rPr>
        <w:t xml:space="preserve"> </w:t>
      </w:r>
    </w:p>
    <w:p w14:paraId="362D0187"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treatments.</w:t>
      </w:r>
    </w:p>
    <w:p w14:paraId="77A0764D"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61E75524" w14:textId="02D6886E" w:rsidR="007B21B3" w:rsidRP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Figure 7.</w:t>
      </w:r>
      <w:r w:rsidRPr="003A48AB">
        <w:rPr>
          <w:rFonts w:ascii="Arial" w:eastAsia="Yu Mincho" w:hAnsi="Arial" w:cs="Arial"/>
          <w:i/>
          <w:lang w:eastAsia="ja-JP"/>
        </w:rPr>
        <w:t xml:space="preserve"> </w:t>
      </w:r>
      <w:r w:rsidRPr="003A48AB">
        <w:rPr>
          <w:rFonts w:ascii="Arial" w:eastAsia="Yu Mincho" w:hAnsi="Arial" w:cs="Arial"/>
          <w:lang w:eastAsia="ja-JP"/>
        </w:rPr>
        <w:t xml:space="preserve">Same-size fully expanded capsule analysis of </w:t>
      </w:r>
      <w:r w:rsidR="009F0A54">
        <w:rPr>
          <w:rFonts w:ascii="Arial" w:eastAsia="Yu Mincho" w:hAnsi="Arial" w:cs="Arial"/>
          <w:i/>
          <w:lang w:eastAsia="ja-JP"/>
        </w:rPr>
        <w:t xml:space="preserve">Physcomitrella </w:t>
      </w:r>
      <w:r w:rsidR="007B21B3">
        <w:rPr>
          <w:rFonts w:ascii="Arial" w:eastAsia="Yu Mincho" w:hAnsi="Arial" w:cs="Arial"/>
          <w:i/>
          <w:lang w:eastAsia="ja-JP"/>
        </w:rPr>
        <w:tab/>
      </w:r>
      <w:r w:rsidR="00FA2FE3">
        <w:rPr>
          <w:rFonts w:ascii="Arial" w:eastAsia="Yu Mincho" w:hAnsi="Arial" w:cs="Arial"/>
          <w:lang w:eastAsia="ja-JP"/>
        </w:rPr>
        <w:t>185</w:t>
      </w:r>
    </w:p>
    <w:p w14:paraId="02BA38F2" w14:textId="77777777" w:rsidR="007B21B3" w:rsidRDefault="007B21B3" w:rsidP="009F0A54">
      <w:pPr>
        <w:tabs>
          <w:tab w:val="left" w:pos="6663"/>
        </w:tabs>
        <w:spacing w:after="0" w:line="240" w:lineRule="auto"/>
        <w:ind w:right="96"/>
        <w:rPr>
          <w:rFonts w:ascii="Arial" w:eastAsia="Yu Mincho" w:hAnsi="Arial" w:cs="Arial"/>
          <w:lang w:eastAsia="ja-JP"/>
        </w:rPr>
      </w:pPr>
      <w:r>
        <w:rPr>
          <w:rFonts w:ascii="Arial" w:eastAsia="Yu Mincho" w:hAnsi="Arial" w:cs="Arial"/>
          <w:i/>
          <w:lang w:eastAsia="ja-JP"/>
        </w:rPr>
        <w:t>P</w:t>
      </w:r>
      <w:r w:rsidR="009F0A54">
        <w:rPr>
          <w:rFonts w:ascii="Arial" w:eastAsia="Yu Mincho" w:hAnsi="Arial" w:cs="Arial"/>
          <w:i/>
          <w:lang w:eastAsia="ja-JP"/>
        </w:rPr>
        <w:t>atens</w:t>
      </w:r>
      <w:r>
        <w:rPr>
          <w:rFonts w:ascii="Arial" w:eastAsia="Yu Mincho" w:hAnsi="Arial" w:cs="Arial"/>
          <w:lang w:eastAsia="ja-JP"/>
        </w:rPr>
        <w:t xml:space="preserve"> </w:t>
      </w:r>
      <w:r w:rsidR="003A48AB" w:rsidRPr="003A48AB">
        <w:rPr>
          <w:rFonts w:ascii="Arial" w:eastAsia="Yu Mincho" w:hAnsi="Arial" w:cs="Arial"/>
          <w:lang w:eastAsia="ja-JP"/>
        </w:rPr>
        <w:t>stomatal development in responses to different light and CO</w:t>
      </w:r>
      <w:r w:rsidR="003A48AB" w:rsidRPr="003A48AB">
        <w:rPr>
          <w:rFonts w:ascii="Arial" w:eastAsia="Yu Mincho" w:hAnsi="Arial" w:cs="Arial"/>
          <w:vertAlign w:val="subscript"/>
          <w:lang w:eastAsia="ja-JP"/>
        </w:rPr>
        <w:t>2</w:t>
      </w:r>
      <w:r w:rsidR="003A48AB" w:rsidRPr="003A48AB">
        <w:rPr>
          <w:rFonts w:ascii="Arial" w:eastAsia="Yu Mincho" w:hAnsi="Arial" w:cs="Arial"/>
          <w:lang w:eastAsia="ja-JP"/>
        </w:rPr>
        <w:t xml:space="preserve"> </w:t>
      </w:r>
    </w:p>
    <w:p w14:paraId="3D2760D9"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treatments.</w:t>
      </w:r>
    </w:p>
    <w:p w14:paraId="2ABB42DF"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6D012DEA" w14:textId="275E69F8"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Figure 8. Trends of Stomatal density (D) responses to light and CO</w:t>
      </w:r>
      <w:r w:rsidRPr="003A48AB">
        <w:rPr>
          <w:rFonts w:ascii="Arial" w:eastAsia="Yu Mincho" w:hAnsi="Arial" w:cs="Arial"/>
          <w:vertAlign w:val="subscript"/>
          <w:lang w:eastAsia="ja-JP"/>
        </w:rPr>
        <w:t xml:space="preserve">2 </w:t>
      </w:r>
      <w:r w:rsidR="009F0A54">
        <w:rPr>
          <w:rFonts w:ascii="Arial" w:eastAsia="Yu Mincho" w:hAnsi="Arial" w:cs="Arial"/>
          <w:lang w:eastAsia="ja-JP"/>
        </w:rPr>
        <w:t>in</w:t>
      </w:r>
      <w:r w:rsidR="00FA2FE3">
        <w:rPr>
          <w:rFonts w:ascii="Arial" w:eastAsia="Yu Mincho" w:hAnsi="Arial" w:cs="Arial"/>
          <w:lang w:eastAsia="ja-JP"/>
        </w:rPr>
        <w:tab/>
        <w:t>188</w:t>
      </w:r>
    </w:p>
    <w:p w14:paraId="614B6018" w14:textId="77777777" w:rsid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i/>
          <w:lang w:eastAsia="ja-JP"/>
        </w:rPr>
        <w:t xml:space="preserve">Arabidopsis thaliana </w:t>
      </w:r>
      <w:r w:rsidRPr="003A48AB">
        <w:rPr>
          <w:rFonts w:ascii="Arial" w:eastAsia="Yu Mincho" w:hAnsi="Arial" w:cs="Arial"/>
          <w:lang w:eastAsia="ja-JP"/>
        </w:rPr>
        <w:t>Col-0</w:t>
      </w:r>
      <w:r w:rsidRPr="003A48AB">
        <w:rPr>
          <w:rFonts w:ascii="Arial" w:eastAsia="Yu Mincho" w:hAnsi="Arial" w:cs="Arial"/>
          <w:i/>
          <w:lang w:eastAsia="ja-JP"/>
        </w:rPr>
        <w:t xml:space="preserve"> </w:t>
      </w:r>
      <w:r w:rsidRPr="003A48AB">
        <w:rPr>
          <w:rFonts w:ascii="Arial" w:eastAsia="Yu Mincho" w:hAnsi="Arial" w:cs="Arial"/>
          <w:lang w:eastAsia="ja-JP"/>
        </w:rPr>
        <w:t xml:space="preserve">and various stomatal patterning mutant </w:t>
      </w:r>
    </w:p>
    <w:p w14:paraId="23B25CC0"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backgrounds.</w:t>
      </w:r>
    </w:p>
    <w:p w14:paraId="0C9CF809"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7CE43347" w14:textId="3E596B77" w:rsid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Figure 9. Stomatal number (N), density (D) and on</w:t>
      </w:r>
      <w:r w:rsidR="009F0A54">
        <w:rPr>
          <w:rFonts w:ascii="Arial" w:eastAsia="Yu Mincho" w:hAnsi="Arial" w:cs="Arial"/>
          <w:lang w:eastAsia="ja-JP"/>
        </w:rPr>
        <w:t xml:space="preserve">e-dimensional </w:t>
      </w:r>
      <w:r w:rsidR="00FA2FE3">
        <w:rPr>
          <w:rFonts w:ascii="Arial" w:eastAsia="Yu Mincho" w:hAnsi="Arial" w:cs="Arial"/>
          <w:lang w:eastAsia="ja-JP"/>
        </w:rPr>
        <w:tab/>
      </w:r>
      <w:r w:rsidR="00FA2FE3">
        <w:rPr>
          <w:rFonts w:ascii="Arial" w:eastAsia="Yu Mincho" w:hAnsi="Arial" w:cs="Arial"/>
          <w:lang w:eastAsia="ja-JP"/>
        </w:rPr>
        <w:tab/>
        <w:t>19</w:t>
      </w:r>
      <w:r w:rsidR="007B21B3">
        <w:rPr>
          <w:rFonts w:ascii="Arial" w:eastAsia="Yu Mincho" w:hAnsi="Arial" w:cs="Arial"/>
          <w:lang w:eastAsia="ja-JP"/>
        </w:rPr>
        <w:t>0</w:t>
      </w:r>
    </w:p>
    <w:p w14:paraId="59902BF8" w14:textId="77777777" w:rsidR="007B21B3"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capsule area</w:t>
      </w:r>
      <w:r w:rsidR="007B21B3">
        <w:rPr>
          <w:rFonts w:ascii="Arial" w:eastAsia="Yu Mincho" w:hAnsi="Arial" w:cs="Arial"/>
          <w:lang w:eastAsia="ja-JP"/>
        </w:rPr>
        <w:t xml:space="preserve"> </w:t>
      </w:r>
      <w:r w:rsidR="003A48AB" w:rsidRPr="003A48AB">
        <w:rPr>
          <w:rFonts w:ascii="Arial" w:eastAsia="Yu Mincho" w:hAnsi="Arial" w:cs="Arial"/>
          <w:lang w:eastAsia="ja-JP"/>
        </w:rPr>
        <w:t>responses of large-picked capsules to light and CO</w:t>
      </w:r>
      <w:r w:rsidR="003A48AB" w:rsidRPr="003A48AB">
        <w:rPr>
          <w:rFonts w:ascii="Arial" w:eastAsia="Yu Mincho" w:hAnsi="Arial" w:cs="Arial"/>
          <w:vertAlign w:val="subscript"/>
          <w:lang w:eastAsia="ja-JP"/>
        </w:rPr>
        <w:t xml:space="preserve">2 </w:t>
      </w:r>
      <w:r w:rsidR="003A48AB" w:rsidRPr="003A48AB">
        <w:rPr>
          <w:rFonts w:ascii="Arial" w:eastAsia="Yu Mincho" w:hAnsi="Arial" w:cs="Arial"/>
          <w:lang w:eastAsia="ja-JP"/>
        </w:rPr>
        <w:t xml:space="preserve">in </w:t>
      </w:r>
    </w:p>
    <w:p w14:paraId="0AF3A8A2"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i/>
          <w:lang w:eastAsia="ja-JP"/>
        </w:rPr>
        <w:t xml:space="preserve">P. patens </w:t>
      </w:r>
      <w:r w:rsidR="007B21B3">
        <w:rPr>
          <w:rFonts w:ascii="Arial" w:eastAsia="Yu Mincho" w:hAnsi="Arial" w:cs="Arial"/>
          <w:lang w:eastAsia="ja-JP"/>
        </w:rPr>
        <w:t xml:space="preserve">in </w:t>
      </w:r>
      <w:r w:rsidRPr="003A48AB">
        <w:rPr>
          <w:rFonts w:ascii="Arial" w:eastAsia="Yu Mincho" w:hAnsi="Arial" w:cs="Arial"/>
          <w:lang w:eastAsia="ja-JP"/>
        </w:rPr>
        <w:t>selected stomatal patterning mutants.</w:t>
      </w:r>
    </w:p>
    <w:p w14:paraId="4098F2AB"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46A25D37" w14:textId="7C9DA120" w:rsidR="007B21B3" w:rsidRP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10. Stacked and flattened images of wild-type and </w:t>
      </w:r>
      <w:r w:rsidRPr="003A48AB">
        <w:rPr>
          <w:rFonts w:ascii="Arial" w:eastAsia="Yu Mincho" w:hAnsi="Arial" w:cs="Arial"/>
          <w:i/>
          <w:lang w:eastAsia="ja-JP"/>
        </w:rPr>
        <w:t xml:space="preserve">ppepf1 </w:t>
      </w:r>
      <w:r w:rsidR="007B21B3">
        <w:rPr>
          <w:rFonts w:ascii="Arial" w:eastAsia="Yu Mincho" w:hAnsi="Arial" w:cs="Arial"/>
          <w:i/>
          <w:lang w:eastAsia="ja-JP"/>
        </w:rPr>
        <w:tab/>
      </w:r>
      <w:r w:rsidR="007B21B3">
        <w:rPr>
          <w:rFonts w:ascii="Arial" w:eastAsia="Yu Mincho" w:hAnsi="Arial" w:cs="Arial"/>
          <w:i/>
          <w:lang w:eastAsia="ja-JP"/>
        </w:rPr>
        <w:tab/>
      </w:r>
      <w:r w:rsidR="00FA2FE3">
        <w:rPr>
          <w:rFonts w:ascii="Arial" w:eastAsia="Yu Mincho" w:hAnsi="Arial" w:cs="Arial"/>
          <w:lang w:eastAsia="ja-JP"/>
        </w:rPr>
        <w:t>192</w:t>
      </w:r>
    </w:p>
    <w:p w14:paraId="5DDEF1AD" w14:textId="77777777" w:rsidR="007B21B3"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mutant line</w:t>
      </w:r>
      <w:r w:rsidR="007B21B3">
        <w:rPr>
          <w:rFonts w:ascii="Arial" w:eastAsia="Yu Mincho" w:hAnsi="Arial" w:cs="Arial"/>
          <w:lang w:eastAsia="ja-JP"/>
        </w:rPr>
        <w:t xml:space="preserve"> </w:t>
      </w:r>
      <w:r w:rsidR="003A48AB" w:rsidRPr="003A48AB">
        <w:rPr>
          <w:rFonts w:ascii="Arial" w:eastAsia="Yu Mincho" w:hAnsi="Arial" w:cs="Arial"/>
          <w:lang w:eastAsia="ja-JP"/>
        </w:rPr>
        <w:t xml:space="preserve">sporophyte capsules grown at LL under 450ppm and </w:t>
      </w:r>
    </w:p>
    <w:p w14:paraId="4CEA6CDD"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1000pm CO</w:t>
      </w:r>
      <w:r w:rsidRPr="003A48AB">
        <w:rPr>
          <w:rFonts w:ascii="Arial" w:eastAsia="Yu Mincho" w:hAnsi="Arial" w:cs="Arial"/>
          <w:vertAlign w:val="subscript"/>
          <w:lang w:eastAsia="ja-JP"/>
        </w:rPr>
        <w:t>2</w:t>
      </w:r>
      <w:r w:rsidRPr="003A48AB">
        <w:rPr>
          <w:rFonts w:ascii="Arial" w:eastAsia="Yu Mincho" w:hAnsi="Arial" w:cs="Arial"/>
          <w:lang w:eastAsia="ja-JP"/>
        </w:rPr>
        <w:t xml:space="preserve"> concentration.</w:t>
      </w:r>
    </w:p>
    <w:p w14:paraId="585F2D28"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56542D53" w14:textId="508D3569" w:rsidR="007B21B3" w:rsidRP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11. Stacked and flattened images of wild-type and </w:t>
      </w:r>
      <w:r w:rsidRPr="003A48AB">
        <w:rPr>
          <w:rFonts w:ascii="Arial" w:eastAsia="Yu Mincho" w:hAnsi="Arial" w:cs="Arial"/>
          <w:i/>
          <w:lang w:eastAsia="ja-JP"/>
        </w:rPr>
        <w:t xml:space="preserve">ppepf1 </w:t>
      </w:r>
      <w:r w:rsidR="007B21B3">
        <w:rPr>
          <w:rFonts w:ascii="Arial" w:eastAsia="Yu Mincho" w:hAnsi="Arial" w:cs="Arial"/>
          <w:i/>
          <w:lang w:eastAsia="ja-JP"/>
        </w:rPr>
        <w:tab/>
      </w:r>
      <w:r w:rsidR="007B21B3">
        <w:rPr>
          <w:rFonts w:ascii="Arial" w:eastAsia="Yu Mincho" w:hAnsi="Arial" w:cs="Arial"/>
          <w:i/>
          <w:lang w:eastAsia="ja-JP"/>
        </w:rPr>
        <w:tab/>
      </w:r>
      <w:r w:rsidR="00FA2FE3">
        <w:rPr>
          <w:rFonts w:ascii="Arial" w:eastAsia="Yu Mincho" w:hAnsi="Arial" w:cs="Arial"/>
          <w:lang w:eastAsia="ja-JP"/>
        </w:rPr>
        <w:t>194</w:t>
      </w:r>
    </w:p>
    <w:p w14:paraId="765BA22A" w14:textId="77777777" w:rsidR="007B21B3"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mutant line</w:t>
      </w:r>
      <w:r w:rsidR="007B21B3">
        <w:rPr>
          <w:rFonts w:ascii="Arial" w:eastAsia="Yu Mincho" w:hAnsi="Arial" w:cs="Arial"/>
          <w:lang w:eastAsia="ja-JP"/>
        </w:rPr>
        <w:t xml:space="preserve"> </w:t>
      </w:r>
      <w:r w:rsidR="003A48AB" w:rsidRPr="003A48AB">
        <w:rPr>
          <w:rFonts w:ascii="Arial" w:eastAsia="Yu Mincho" w:hAnsi="Arial" w:cs="Arial"/>
          <w:lang w:eastAsia="ja-JP"/>
        </w:rPr>
        <w:t xml:space="preserve">sporophyte capsules grown at HL under 450ppm and </w:t>
      </w:r>
    </w:p>
    <w:p w14:paraId="34691D5E"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1000pm CO</w:t>
      </w:r>
      <w:r w:rsidRPr="003A48AB">
        <w:rPr>
          <w:rFonts w:ascii="Arial" w:eastAsia="Yu Mincho" w:hAnsi="Arial" w:cs="Arial"/>
          <w:vertAlign w:val="subscript"/>
          <w:lang w:eastAsia="ja-JP"/>
        </w:rPr>
        <w:t>2</w:t>
      </w:r>
      <w:r w:rsidRPr="003A48AB">
        <w:rPr>
          <w:rFonts w:ascii="Arial" w:eastAsia="Yu Mincho" w:hAnsi="Arial" w:cs="Arial"/>
          <w:lang w:eastAsia="ja-JP"/>
        </w:rPr>
        <w:t xml:space="preserve"> concentration.</w:t>
      </w:r>
    </w:p>
    <w:p w14:paraId="3F987F95"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58634833" w14:textId="70817724" w:rsidR="007B21B3" w:rsidRDefault="003A48AB" w:rsidP="009F0A54">
      <w:pPr>
        <w:tabs>
          <w:tab w:val="left" w:pos="6663"/>
        </w:tabs>
        <w:spacing w:after="0" w:line="240" w:lineRule="auto"/>
        <w:ind w:right="96"/>
        <w:rPr>
          <w:rFonts w:ascii="Arial" w:eastAsia="Times New Roman" w:hAnsi="Arial" w:cs="Arial"/>
          <w:color w:val="000000"/>
          <w:lang w:eastAsia="ja-JP"/>
        </w:rPr>
      </w:pPr>
      <w:r w:rsidRPr="003A48AB">
        <w:rPr>
          <w:rFonts w:ascii="Arial" w:eastAsia="Times New Roman" w:hAnsi="Arial" w:cs="Arial"/>
          <w:color w:val="000000"/>
          <w:lang w:eastAsia="ja-JP"/>
        </w:rPr>
        <w:t xml:space="preserve">Figure 12. The stomatal developmental responses on same </w:t>
      </w:r>
      <w:r w:rsidR="009F0A54">
        <w:rPr>
          <w:rFonts w:ascii="Arial" w:eastAsia="Times New Roman" w:hAnsi="Arial" w:cs="Arial"/>
          <w:color w:val="000000"/>
          <w:lang w:eastAsia="ja-JP"/>
        </w:rPr>
        <w:t xml:space="preserve">size </w:t>
      </w:r>
      <w:r w:rsidR="008653D0">
        <w:rPr>
          <w:rFonts w:ascii="Arial" w:eastAsia="Times New Roman" w:hAnsi="Arial" w:cs="Arial"/>
          <w:color w:val="000000"/>
          <w:lang w:eastAsia="ja-JP"/>
        </w:rPr>
        <w:tab/>
      </w:r>
      <w:r w:rsidR="008653D0">
        <w:rPr>
          <w:rFonts w:ascii="Arial" w:eastAsia="Times New Roman" w:hAnsi="Arial" w:cs="Arial"/>
          <w:color w:val="000000"/>
          <w:lang w:eastAsia="ja-JP"/>
        </w:rPr>
        <w:tab/>
        <w:t>197</w:t>
      </w:r>
    </w:p>
    <w:p w14:paraId="73D5BAE5" w14:textId="77777777" w:rsidR="007B21B3" w:rsidRDefault="009F0A54" w:rsidP="009F0A54">
      <w:pPr>
        <w:tabs>
          <w:tab w:val="left" w:pos="6663"/>
        </w:tabs>
        <w:spacing w:after="0" w:line="240" w:lineRule="auto"/>
        <w:ind w:right="96"/>
        <w:rPr>
          <w:rFonts w:ascii="Arial" w:eastAsia="Times New Roman" w:hAnsi="Arial" w:cs="Arial"/>
          <w:color w:val="000000"/>
          <w:lang w:eastAsia="ja-JP"/>
        </w:rPr>
      </w:pPr>
      <w:r>
        <w:rPr>
          <w:rFonts w:ascii="Arial" w:eastAsia="Times New Roman" w:hAnsi="Arial" w:cs="Arial"/>
          <w:color w:val="000000"/>
          <w:lang w:eastAsia="ja-JP"/>
        </w:rPr>
        <w:t xml:space="preserve">capsules of </w:t>
      </w:r>
      <w:r w:rsidR="003A48AB" w:rsidRPr="003A48AB">
        <w:rPr>
          <w:rFonts w:ascii="Arial" w:eastAsia="Times New Roman" w:hAnsi="Arial" w:cs="Arial"/>
          <w:i/>
          <w:color w:val="000000"/>
          <w:lang w:eastAsia="ja-JP"/>
        </w:rPr>
        <w:t xml:space="preserve">P. patens </w:t>
      </w:r>
      <w:r w:rsidR="003A48AB" w:rsidRPr="003A48AB">
        <w:rPr>
          <w:rFonts w:ascii="Arial" w:eastAsia="Times New Roman" w:hAnsi="Arial" w:cs="Arial"/>
          <w:color w:val="000000"/>
          <w:lang w:eastAsia="ja-JP"/>
        </w:rPr>
        <w:t>wild-type and mutant lines grown at 450ppm and</w:t>
      </w:r>
    </w:p>
    <w:p w14:paraId="696FD262" w14:textId="77777777" w:rsidR="003A48AB" w:rsidRPr="003A48AB" w:rsidRDefault="003A48AB" w:rsidP="009F0A54">
      <w:pPr>
        <w:tabs>
          <w:tab w:val="left" w:pos="6663"/>
        </w:tabs>
        <w:spacing w:after="0" w:line="240" w:lineRule="auto"/>
        <w:ind w:right="96"/>
        <w:rPr>
          <w:rFonts w:ascii="Arial" w:eastAsia="Times New Roman" w:hAnsi="Arial" w:cs="Arial"/>
          <w:color w:val="000000"/>
          <w:lang w:eastAsia="ja-JP"/>
        </w:rPr>
      </w:pPr>
      <w:r w:rsidRPr="003A48AB">
        <w:rPr>
          <w:rFonts w:ascii="Arial" w:eastAsia="Times New Roman" w:hAnsi="Arial" w:cs="Arial"/>
          <w:color w:val="000000"/>
          <w:lang w:eastAsia="ja-JP"/>
        </w:rPr>
        <w:t>1000ppm CO</w:t>
      </w:r>
      <w:r w:rsidRPr="003A48AB">
        <w:rPr>
          <w:rFonts w:ascii="Arial" w:eastAsia="Times New Roman" w:hAnsi="Arial" w:cs="Arial"/>
          <w:color w:val="000000"/>
          <w:vertAlign w:val="subscript"/>
          <w:lang w:eastAsia="ja-JP"/>
        </w:rPr>
        <w:t>2</w:t>
      </w:r>
      <w:r w:rsidR="007B21B3">
        <w:rPr>
          <w:rFonts w:ascii="Arial" w:eastAsia="Times New Roman" w:hAnsi="Arial" w:cs="Arial"/>
          <w:color w:val="000000"/>
          <w:lang w:eastAsia="ja-JP"/>
        </w:rPr>
        <w:t xml:space="preserve"> </w:t>
      </w:r>
      <w:r w:rsidRPr="003A48AB">
        <w:rPr>
          <w:rFonts w:ascii="Arial" w:eastAsia="Times New Roman" w:hAnsi="Arial" w:cs="Arial"/>
          <w:color w:val="000000"/>
          <w:lang w:eastAsia="ja-JP"/>
        </w:rPr>
        <w:t xml:space="preserve">concentration at </w:t>
      </w:r>
      <w:r w:rsidRPr="003A48AB">
        <w:rPr>
          <w:rFonts w:ascii="Arial" w:eastAsia="Yu Mincho" w:hAnsi="Arial" w:cs="Arial"/>
          <w:lang w:eastAsia="ja-JP"/>
        </w:rPr>
        <w:t>200</w:t>
      </w:r>
      <w:r w:rsidRPr="003A48AB">
        <w:rPr>
          <w:rFonts w:ascii="Arial" w:eastAsia="Times New Roman" w:hAnsi="Arial" w:cs="Arial"/>
          <w:color w:val="000000"/>
          <w:lang w:eastAsia="ja-JP"/>
        </w:rPr>
        <w:t>µmol m</w:t>
      </w:r>
      <w:r w:rsidRPr="003A48AB">
        <w:rPr>
          <w:rFonts w:ascii="Arial" w:eastAsia="Times New Roman" w:hAnsi="Arial" w:cs="Arial"/>
          <w:color w:val="000000"/>
          <w:vertAlign w:val="superscript"/>
          <w:lang w:eastAsia="ja-JP"/>
        </w:rPr>
        <w:t>−2</w:t>
      </w:r>
      <w:r w:rsidRPr="003A48AB">
        <w:rPr>
          <w:rFonts w:ascii="Arial" w:eastAsia="Times New Roman" w:hAnsi="Arial" w:cs="Arial"/>
          <w:color w:val="000000"/>
          <w:lang w:eastAsia="ja-JP"/>
        </w:rPr>
        <w:t>s</w:t>
      </w:r>
      <w:r w:rsidRPr="003A48AB">
        <w:rPr>
          <w:rFonts w:ascii="Arial" w:eastAsia="Times New Roman" w:hAnsi="Arial" w:cs="Arial"/>
          <w:color w:val="000000"/>
          <w:vertAlign w:val="superscript"/>
          <w:lang w:eastAsia="ja-JP"/>
        </w:rPr>
        <w:t>−1</w:t>
      </w:r>
      <w:r w:rsidRPr="003A48AB">
        <w:rPr>
          <w:rFonts w:ascii="Arial" w:eastAsia="Times New Roman" w:hAnsi="Arial" w:cs="Arial"/>
          <w:color w:val="000000"/>
          <w:lang w:eastAsia="ja-JP"/>
        </w:rPr>
        <w:t xml:space="preserve"> high light (HL).</w:t>
      </w:r>
    </w:p>
    <w:p w14:paraId="01E6E8B9" w14:textId="77777777" w:rsidR="003A48AB" w:rsidRPr="003A48AB" w:rsidRDefault="003A48AB" w:rsidP="009F0A54">
      <w:pPr>
        <w:tabs>
          <w:tab w:val="left" w:pos="6663"/>
        </w:tabs>
        <w:spacing w:after="0" w:line="240" w:lineRule="auto"/>
        <w:ind w:right="96"/>
        <w:rPr>
          <w:rFonts w:ascii="Arial" w:eastAsia="Times New Roman" w:hAnsi="Arial" w:cs="Arial"/>
          <w:color w:val="000000"/>
          <w:lang w:eastAsia="ja-JP"/>
        </w:rPr>
      </w:pPr>
    </w:p>
    <w:p w14:paraId="127AC2FF" w14:textId="3E0C8C47" w:rsidR="007B21B3" w:rsidRDefault="003A48AB" w:rsidP="009F0A54">
      <w:pPr>
        <w:tabs>
          <w:tab w:val="left" w:pos="6663"/>
        </w:tabs>
        <w:spacing w:after="0" w:line="240" w:lineRule="auto"/>
        <w:ind w:right="96"/>
        <w:rPr>
          <w:rFonts w:ascii="Arial" w:eastAsia="Times New Roman" w:hAnsi="Arial" w:cs="Arial"/>
          <w:bCs/>
          <w:color w:val="000000"/>
          <w:lang w:eastAsia="ja-JP"/>
        </w:rPr>
      </w:pPr>
      <w:r w:rsidRPr="003A48AB">
        <w:rPr>
          <w:rFonts w:ascii="Arial" w:eastAsia="Times New Roman" w:hAnsi="Arial" w:cs="Arial"/>
          <w:bCs/>
          <w:color w:val="000000"/>
          <w:lang w:eastAsia="ja-JP"/>
        </w:rPr>
        <w:t xml:space="preserve">Figure 13. Phylogenetic relationships of selected </w:t>
      </w:r>
      <w:r w:rsidR="009F0A54">
        <w:rPr>
          <w:rFonts w:ascii="Arial" w:eastAsia="Times New Roman" w:hAnsi="Arial" w:cs="Arial"/>
          <w:bCs/>
          <w:color w:val="000000"/>
          <w:lang w:eastAsia="ja-JP"/>
        </w:rPr>
        <w:t xml:space="preserve">subtilase family </w:t>
      </w:r>
      <w:r w:rsidR="007B21B3">
        <w:rPr>
          <w:rFonts w:ascii="Arial" w:eastAsia="Times New Roman" w:hAnsi="Arial" w:cs="Arial"/>
          <w:bCs/>
          <w:color w:val="000000"/>
          <w:lang w:eastAsia="ja-JP"/>
        </w:rPr>
        <w:tab/>
      </w:r>
      <w:r w:rsidR="007B21B3">
        <w:rPr>
          <w:rFonts w:ascii="Arial" w:eastAsia="Times New Roman" w:hAnsi="Arial" w:cs="Arial"/>
          <w:bCs/>
          <w:color w:val="000000"/>
          <w:lang w:eastAsia="ja-JP"/>
        </w:rPr>
        <w:tab/>
      </w:r>
      <w:r w:rsidR="00FA2FE3">
        <w:rPr>
          <w:rFonts w:ascii="Arial" w:eastAsia="Times New Roman" w:hAnsi="Arial" w:cs="Arial"/>
          <w:bCs/>
          <w:color w:val="000000"/>
          <w:lang w:eastAsia="ja-JP"/>
        </w:rPr>
        <w:t>199</w:t>
      </w:r>
    </w:p>
    <w:p w14:paraId="0A97768D" w14:textId="77777777" w:rsidR="007B21B3" w:rsidRDefault="009F0A54" w:rsidP="009F0A54">
      <w:pPr>
        <w:tabs>
          <w:tab w:val="left" w:pos="6663"/>
        </w:tabs>
        <w:spacing w:after="0" w:line="240" w:lineRule="auto"/>
        <w:ind w:right="96"/>
        <w:rPr>
          <w:rFonts w:ascii="Arial" w:eastAsia="Times New Roman" w:hAnsi="Arial" w:cs="Arial"/>
          <w:bCs/>
          <w:color w:val="000000"/>
          <w:lang w:eastAsia="ja-JP"/>
        </w:rPr>
      </w:pPr>
      <w:r>
        <w:rPr>
          <w:rFonts w:ascii="Arial" w:eastAsia="Times New Roman" w:hAnsi="Arial" w:cs="Arial"/>
          <w:bCs/>
          <w:color w:val="000000"/>
          <w:lang w:eastAsia="ja-JP"/>
        </w:rPr>
        <w:t>proteases</w:t>
      </w:r>
      <w:r w:rsidR="007B21B3">
        <w:rPr>
          <w:rFonts w:ascii="Arial" w:eastAsia="Times New Roman" w:hAnsi="Arial" w:cs="Arial"/>
          <w:bCs/>
          <w:color w:val="000000"/>
          <w:lang w:eastAsia="ja-JP"/>
        </w:rPr>
        <w:t xml:space="preserve"> </w:t>
      </w:r>
      <w:r w:rsidR="003A48AB" w:rsidRPr="003A48AB">
        <w:rPr>
          <w:rFonts w:ascii="Arial" w:eastAsia="Times New Roman" w:hAnsi="Arial" w:cs="Arial"/>
          <w:bCs/>
          <w:color w:val="000000"/>
          <w:lang w:eastAsia="ja-JP"/>
        </w:rPr>
        <w:t xml:space="preserve">that share homology with </w:t>
      </w:r>
      <w:r w:rsidR="003A48AB" w:rsidRPr="003A48AB">
        <w:rPr>
          <w:rFonts w:ascii="Arial" w:eastAsia="Times New Roman" w:hAnsi="Arial" w:cs="Arial"/>
          <w:bCs/>
          <w:i/>
          <w:color w:val="000000"/>
          <w:lang w:eastAsia="ja-JP"/>
        </w:rPr>
        <w:t xml:space="preserve">Arabidopsis thaliana </w:t>
      </w:r>
      <w:r w:rsidR="003A48AB" w:rsidRPr="003A48AB">
        <w:rPr>
          <w:rFonts w:ascii="Arial" w:eastAsia="Times New Roman" w:hAnsi="Arial" w:cs="Arial"/>
          <w:bCs/>
          <w:color w:val="000000"/>
          <w:lang w:eastAsia="ja-JP"/>
        </w:rPr>
        <w:t xml:space="preserve">CO2 </w:t>
      </w:r>
    </w:p>
    <w:p w14:paraId="6FABB565" w14:textId="77777777" w:rsidR="003A48AB" w:rsidRPr="003A48AB" w:rsidRDefault="007B21B3" w:rsidP="009F0A54">
      <w:pPr>
        <w:tabs>
          <w:tab w:val="left" w:pos="6663"/>
        </w:tabs>
        <w:spacing w:after="0" w:line="240" w:lineRule="auto"/>
        <w:ind w:right="96"/>
        <w:rPr>
          <w:rFonts w:ascii="Arial" w:eastAsia="Times New Roman" w:hAnsi="Arial" w:cs="Arial"/>
          <w:bCs/>
          <w:color w:val="000000"/>
          <w:lang w:eastAsia="ja-JP"/>
        </w:rPr>
      </w:pPr>
      <w:r>
        <w:rPr>
          <w:rFonts w:ascii="Arial" w:eastAsia="Times New Roman" w:hAnsi="Arial" w:cs="Arial"/>
          <w:bCs/>
          <w:color w:val="000000"/>
          <w:lang w:eastAsia="ja-JP"/>
        </w:rPr>
        <w:t xml:space="preserve">RESPONSE SECRETED </w:t>
      </w:r>
      <w:r w:rsidR="003A48AB" w:rsidRPr="003A48AB">
        <w:rPr>
          <w:rFonts w:ascii="Arial" w:eastAsia="Times New Roman" w:hAnsi="Arial" w:cs="Arial"/>
          <w:bCs/>
          <w:color w:val="000000"/>
          <w:lang w:eastAsia="ja-JP"/>
        </w:rPr>
        <w:t>PROTEASE (AtCRSP).</w:t>
      </w:r>
    </w:p>
    <w:p w14:paraId="295ACA0C" w14:textId="77777777" w:rsidR="003A48AB" w:rsidRPr="003A48AB" w:rsidRDefault="003A48AB" w:rsidP="009F0A54">
      <w:pPr>
        <w:tabs>
          <w:tab w:val="left" w:pos="6663"/>
        </w:tabs>
        <w:spacing w:after="0" w:line="240" w:lineRule="auto"/>
        <w:ind w:right="96"/>
        <w:rPr>
          <w:rFonts w:ascii="Arial" w:eastAsia="Times New Roman" w:hAnsi="Arial" w:cs="Arial"/>
          <w:bCs/>
          <w:color w:val="000000"/>
          <w:lang w:eastAsia="ja-JP"/>
        </w:rPr>
      </w:pPr>
    </w:p>
    <w:p w14:paraId="1B05E6A2" w14:textId="23D92A1A" w:rsid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lastRenderedPageBreak/>
        <w:t>Figure 14. Microarray raw intensity expression va</w:t>
      </w:r>
      <w:r w:rsidR="009F0A54">
        <w:rPr>
          <w:rFonts w:ascii="Arial" w:eastAsia="Yu Mincho" w:hAnsi="Arial" w:cs="Arial"/>
          <w:lang w:eastAsia="ja-JP"/>
        </w:rPr>
        <w:t xml:space="preserve">lues of PpSLSP </w:t>
      </w:r>
      <w:r w:rsidR="00FA2FE3">
        <w:rPr>
          <w:rFonts w:ascii="Arial" w:eastAsia="Yu Mincho" w:hAnsi="Arial" w:cs="Arial"/>
          <w:lang w:eastAsia="ja-JP"/>
        </w:rPr>
        <w:tab/>
      </w:r>
      <w:r w:rsidR="00FA2FE3">
        <w:rPr>
          <w:rFonts w:ascii="Arial" w:eastAsia="Yu Mincho" w:hAnsi="Arial" w:cs="Arial"/>
          <w:lang w:eastAsia="ja-JP"/>
        </w:rPr>
        <w:tab/>
        <w:t>201</w:t>
      </w:r>
    </w:p>
    <w:p w14:paraId="4C6D9823" w14:textId="77777777" w:rsidR="007B21B3" w:rsidRDefault="009F0A54"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genes taken</w:t>
      </w:r>
      <w:r w:rsidR="007B21B3">
        <w:rPr>
          <w:rFonts w:ascii="Arial" w:eastAsia="Yu Mincho" w:hAnsi="Arial" w:cs="Arial"/>
          <w:lang w:eastAsia="ja-JP"/>
        </w:rPr>
        <w:t xml:space="preserve"> </w:t>
      </w:r>
      <w:r w:rsidR="003A48AB" w:rsidRPr="003A48AB">
        <w:rPr>
          <w:rFonts w:ascii="Arial" w:eastAsia="Yu Mincho" w:hAnsi="Arial" w:cs="Arial"/>
          <w:lang w:eastAsia="ja-JP"/>
        </w:rPr>
        <w:t xml:space="preserve">from protonema vs early sporophyte and protonema vs </w:t>
      </w:r>
    </w:p>
    <w:p w14:paraId="237254E7"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mid sporophyte analysis.</w:t>
      </w:r>
    </w:p>
    <w:p w14:paraId="742FE1C1"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6BF4A006" w14:textId="17F2132D"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Figure 15. Subtilisin-like serine protease (SLSP) mutants in </w:t>
      </w:r>
      <w:r w:rsidRPr="003A48AB">
        <w:rPr>
          <w:rFonts w:ascii="Arial" w:eastAsia="Yu Mincho" w:hAnsi="Arial" w:cs="Arial"/>
          <w:i/>
          <w:lang w:eastAsia="ja-JP"/>
        </w:rPr>
        <w:t>P. patens</w:t>
      </w:r>
      <w:r w:rsidR="009F0A54">
        <w:rPr>
          <w:rFonts w:ascii="Arial" w:eastAsia="Yu Mincho" w:hAnsi="Arial" w:cs="Arial"/>
          <w:lang w:eastAsia="ja-JP"/>
        </w:rPr>
        <w:t>.</w:t>
      </w:r>
      <w:r w:rsidR="00FA2FE3">
        <w:rPr>
          <w:rFonts w:ascii="Arial" w:eastAsia="Yu Mincho" w:hAnsi="Arial" w:cs="Arial"/>
          <w:lang w:eastAsia="ja-JP"/>
        </w:rPr>
        <w:tab/>
        <w:t>203</w:t>
      </w:r>
    </w:p>
    <w:p w14:paraId="22ABEA36"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3844DFFA" w14:textId="2BC3442B" w:rsidR="007B21B3" w:rsidRDefault="003A48AB" w:rsidP="009F0A54">
      <w:pPr>
        <w:tabs>
          <w:tab w:val="left" w:pos="6663"/>
        </w:tabs>
        <w:spacing w:after="0" w:line="240" w:lineRule="auto"/>
        <w:ind w:right="96"/>
        <w:rPr>
          <w:rFonts w:ascii="Arial" w:eastAsia="Times New Roman" w:hAnsi="Arial" w:cs="Arial"/>
          <w:color w:val="000000"/>
          <w:lang w:eastAsia="ja-JP"/>
        </w:rPr>
      </w:pPr>
      <w:r w:rsidRPr="003A48AB">
        <w:rPr>
          <w:rFonts w:ascii="Arial" w:eastAsia="Times New Roman" w:hAnsi="Arial" w:cs="Arial"/>
          <w:color w:val="000000"/>
          <w:lang w:eastAsia="ja-JP"/>
        </w:rPr>
        <w:t xml:space="preserve">Figure 16. The stomatal number (N) and density </w:t>
      </w:r>
      <w:r w:rsidR="009F0A54">
        <w:rPr>
          <w:rFonts w:ascii="Arial" w:eastAsia="Times New Roman" w:hAnsi="Arial" w:cs="Arial"/>
          <w:color w:val="000000"/>
          <w:lang w:eastAsia="ja-JP"/>
        </w:rPr>
        <w:t xml:space="preserve">(D) responses on </w:t>
      </w:r>
      <w:r w:rsidR="00FA2FE3">
        <w:rPr>
          <w:rFonts w:ascii="Arial" w:eastAsia="Times New Roman" w:hAnsi="Arial" w:cs="Arial"/>
          <w:color w:val="000000"/>
          <w:lang w:eastAsia="ja-JP"/>
        </w:rPr>
        <w:tab/>
      </w:r>
      <w:r w:rsidR="00FA2FE3">
        <w:rPr>
          <w:rFonts w:ascii="Arial" w:eastAsia="Times New Roman" w:hAnsi="Arial" w:cs="Arial"/>
          <w:color w:val="000000"/>
          <w:lang w:eastAsia="ja-JP"/>
        </w:rPr>
        <w:tab/>
        <w:t>205</w:t>
      </w:r>
    </w:p>
    <w:p w14:paraId="455142CD" w14:textId="77777777" w:rsidR="007B21B3" w:rsidRDefault="009F0A54" w:rsidP="009F0A54">
      <w:pPr>
        <w:tabs>
          <w:tab w:val="left" w:pos="6663"/>
        </w:tabs>
        <w:spacing w:after="0" w:line="240" w:lineRule="auto"/>
        <w:ind w:right="96"/>
        <w:rPr>
          <w:rFonts w:ascii="Arial" w:eastAsia="Times New Roman" w:hAnsi="Arial" w:cs="Arial"/>
          <w:color w:val="000000"/>
          <w:lang w:eastAsia="ja-JP"/>
        </w:rPr>
      </w:pPr>
      <w:r>
        <w:rPr>
          <w:rFonts w:ascii="Arial" w:eastAsia="Times New Roman" w:hAnsi="Arial" w:cs="Arial"/>
          <w:color w:val="000000"/>
          <w:lang w:eastAsia="ja-JP"/>
        </w:rPr>
        <w:t>same size</w:t>
      </w:r>
      <w:r w:rsidR="007B21B3">
        <w:rPr>
          <w:rFonts w:ascii="Arial" w:eastAsia="Times New Roman" w:hAnsi="Arial" w:cs="Arial"/>
          <w:color w:val="000000"/>
          <w:lang w:eastAsia="ja-JP"/>
        </w:rPr>
        <w:t xml:space="preserve"> </w:t>
      </w:r>
      <w:r w:rsidR="003A48AB" w:rsidRPr="003A48AB">
        <w:rPr>
          <w:rFonts w:ascii="Arial" w:eastAsia="Times New Roman" w:hAnsi="Arial" w:cs="Arial"/>
          <w:color w:val="000000"/>
          <w:lang w:eastAsia="ja-JP"/>
        </w:rPr>
        <w:t xml:space="preserve">capsules of </w:t>
      </w:r>
      <w:r w:rsidR="003A48AB" w:rsidRPr="003A48AB">
        <w:rPr>
          <w:rFonts w:ascii="Arial" w:eastAsia="Times New Roman" w:hAnsi="Arial" w:cs="Arial"/>
          <w:i/>
          <w:color w:val="000000"/>
          <w:lang w:eastAsia="ja-JP"/>
        </w:rPr>
        <w:t xml:space="preserve">P. patens </w:t>
      </w:r>
      <w:r w:rsidR="003A48AB" w:rsidRPr="003A48AB">
        <w:rPr>
          <w:rFonts w:ascii="Arial" w:eastAsia="Times New Roman" w:hAnsi="Arial" w:cs="Arial"/>
          <w:color w:val="000000"/>
          <w:lang w:eastAsia="ja-JP"/>
        </w:rPr>
        <w:t xml:space="preserve">wild-type, </w:t>
      </w:r>
      <w:r w:rsidR="003A48AB" w:rsidRPr="003A48AB">
        <w:rPr>
          <w:rFonts w:ascii="Arial" w:eastAsia="Times New Roman" w:hAnsi="Arial" w:cs="Arial"/>
          <w:i/>
          <w:color w:val="000000"/>
          <w:lang w:eastAsia="ja-JP"/>
        </w:rPr>
        <w:t>ppslsp1</w:t>
      </w:r>
      <w:r w:rsidR="003A48AB" w:rsidRPr="003A48AB">
        <w:rPr>
          <w:rFonts w:ascii="Arial" w:eastAsia="Times New Roman" w:hAnsi="Arial" w:cs="Arial"/>
          <w:color w:val="000000"/>
          <w:lang w:eastAsia="ja-JP"/>
        </w:rPr>
        <w:t xml:space="preserve"> and </w:t>
      </w:r>
      <w:r w:rsidR="003A48AB" w:rsidRPr="003A48AB">
        <w:rPr>
          <w:rFonts w:ascii="Arial" w:eastAsia="Times New Roman" w:hAnsi="Arial" w:cs="Arial"/>
          <w:i/>
          <w:color w:val="000000"/>
          <w:lang w:eastAsia="ja-JP"/>
        </w:rPr>
        <w:t xml:space="preserve">ppslsp2 </w:t>
      </w:r>
      <w:r w:rsidR="007B21B3">
        <w:rPr>
          <w:rFonts w:ascii="Arial" w:eastAsia="Times New Roman" w:hAnsi="Arial" w:cs="Arial"/>
          <w:color w:val="000000"/>
          <w:lang w:eastAsia="ja-JP"/>
        </w:rPr>
        <w:t>mutant</w:t>
      </w:r>
    </w:p>
    <w:p w14:paraId="597C892A" w14:textId="77777777" w:rsidR="007B21B3" w:rsidRDefault="007B21B3" w:rsidP="009F0A54">
      <w:pPr>
        <w:tabs>
          <w:tab w:val="left" w:pos="6663"/>
        </w:tabs>
        <w:spacing w:after="0" w:line="240" w:lineRule="auto"/>
        <w:ind w:right="96"/>
        <w:rPr>
          <w:rFonts w:ascii="Arial" w:eastAsia="Times New Roman" w:hAnsi="Arial" w:cs="Arial"/>
          <w:color w:val="000000"/>
          <w:lang w:eastAsia="ja-JP"/>
        </w:rPr>
      </w:pPr>
      <w:r>
        <w:rPr>
          <w:rFonts w:ascii="Arial" w:eastAsia="Times New Roman" w:hAnsi="Arial" w:cs="Arial"/>
          <w:color w:val="000000"/>
          <w:lang w:eastAsia="ja-JP"/>
        </w:rPr>
        <w:t xml:space="preserve">lines grown at </w:t>
      </w:r>
      <w:r w:rsidR="003A48AB" w:rsidRPr="003A48AB">
        <w:rPr>
          <w:rFonts w:ascii="Arial" w:eastAsia="Times New Roman" w:hAnsi="Arial" w:cs="Arial"/>
          <w:color w:val="000000"/>
          <w:lang w:eastAsia="ja-JP"/>
        </w:rPr>
        <w:t>450ppm and 1000ppm CO</w:t>
      </w:r>
      <w:r w:rsidR="003A48AB" w:rsidRPr="003A48AB">
        <w:rPr>
          <w:rFonts w:ascii="Arial" w:eastAsia="Times New Roman" w:hAnsi="Arial" w:cs="Arial"/>
          <w:color w:val="000000"/>
          <w:vertAlign w:val="subscript"/>
          <w:lang w:eastAsia="ja-JP"/>
        </w:rPr>
        <w:t>2</w:t>
      </w:r>
      <w:r w:rsidR="003A48AB" w:rsidRPr="003A48AB">
        <w:rPr>
          <w:rFonts w:ascii="Arial" w:eastAsia="Times New Roman" w:hAnsi="Arial" w:cs="Arial"/>
          <w:color w:val="000000"/>
          <w:lang w:eastAsia="ja-JP"/>
        </w:rPr>
        <w:t xml:space="preserve"> concentration at </w:t>
      </w:r>
    </w:p>
    <w:p w14:paraId="19A6F02B" w14:textId="2BA99A27" w:rsidR="003A48AB" w:rsidRDefault="003A48AB" w:rsidP="009F0A54">
      <w:pPr>
        <w:tabs>
          <w:tab w:val="left" w:pos="6663"/>
        </w:tabs>
        <w:spacing w:after="0" w:line="240" w:lineRule="auto"/>
        <w:ind w:right="96"/>
        <w:rPr>
          <w:rFonts w:ascii="Arial" w:eastAsia="Times New Roman" w:hAnsi="Arial" w:cs="Arial"/>
          <w:color w:val="000000"/>
          <w:lang w:eastAsia="ja-JP"/>
        </w:rPr>
      </w:pPr>
      <w:r w:rsidRPr="003A48AB">
        <w:rPr>
          <w:rFonts w:ascii="Arial" w:eastAsia="Yu Mincho" w:hAnsi="Arial" w:cs="Arial"/>
          <w:lang w:eastAsia="ja-JP"/>
        </w:rPr>
        <w:t>200</w:t>
      </w:r>
      <w:r w:rsidRPr="003A48AB">
        <w:rPr>
          <w:rFonts w:ascii="Arial" w:eastAsia="Times New Roman" w:hAnsi="Arial" w:cs="Arial"/>
          <w:color w:val="000000"/>
          <w:lang w:eastAsia="ja-JP"/>
        </w:rPr>
        <w:t>µmol m</w:t>
      </w:r>
      <w:r w:rsidRPr="003A48AB">
        <w:rPr>
          <w:rFonts w:ascii="Arial" w:eastAsia="Times New Roman" w:hAnsi="Arial" w:cs="Arial"/>
          <w:color w:val="000000"/>
          <w:vertAlign w:val="superscript"/>
          <w:lang w:eastAsia="ja-JP"/>
        </w:rPr>
        <w:t>−2</w:t>
      </w:r>
      <w:r w:rsidRPr="003A48AB">
        <w:rPr>
          <w:rFonts w:ascii="Arial" w:eastAsia="Times New Roman" w:hAnsi="Arial" w:cs="Arial"/>
          <w:color w:val="000000"/>
          <w:lang w:eastAsia="ja-JP"/>
        </w:rPr>
        <w:t>s</w:t>
      </w:r>
      <w:r w:rsidRPr="003A48AB">
        <w:rPr>
          <w:rFonts w:ascii="Arial" w:eastAsia="Times New Roman" w:hAnsi="Arial" w:cs="Arial"/>
          <w:color w:val="000000"/>
          <w:vertAlign w:val="superscript"/>
          <w:lang w:eastAsia="ja-JP"/>
        </w:rPr>
        <w:t>−1</w:t>
      </w:r>
      <w:r w:rsidRPr="003A48AB">
        <w:rPr>
          <w:rFonts w:ascii="Arial" w:eastAsia="Times New Roman" w:hAnsi="Arial" w:cs="Arial"/>
          <w:color w:val="000000"/>
          <w:lang w:eastAsia="ja-JP"/>
        </w:rPr>
        <w:t xml:space="preserve"> high light (HL).</w:t>
      </w:r>
    </w:p>
    <w:p w14:paraId="248B843D" w14:textId="57105B93" w:rsidR="00BD0A55" w:rsidRDefault="00BD0A55" w:rsidP="009F0A54">
      <w:pPr>
        <w:tabs>
          <w:tab w:val="left" w:pos="6663"/>
        </w:tabs>
        <w:spacing w:after="0" w:line="240" w:lineRule="auto"/>
        <w:ind w:right="96"/>
        <w:rPr>
          <w:rFonts w:ascii="Arial" w:eastAsia="Times New Roman" w:hAnsi="Arial" w:cs="Arial"/>
          <w:color w:val="000000"/>
          <w:lang w:eastAsia="ja-JP"/>
        </w:rPr>
      </w:pPr>
    </w:p>
    <w:p w14:paraId="179E5722" w14:textId="76CE0E48" w:rsidR="00BD0A55" w:rsidRPr="003A48AB" w:rsidRDefault="00BD0A55" w:rsidP="00BD0A55">
      <w:pPr>
        <w:tabs>
          <w:tab w:val="left" w:pos="6663"/>
        </w:tabs>
        <w:spacing w:after="0" w:line="240" w:lineRule="auto"/>
        <w:ind w:right="96"/>
        <w:rPr>
          <w:rFonts w:ascii="Arial" w:eastAsia="Times New Roman" w:hAnsi="Arial" w:cs="Arial"/>
          <w:b/>
          <w:color w:val="000000"/>
          <w:lang w:eastAsia="ja-JP"/>
        </w:rPr>
      </w:pPr>
      <w:r>
        <w:rPr>
          <w:rFonts w:ascii="Arial" w:eastAsia="Times New Roman" w:hAnsi="Arial" w:cs="Arial"/>
          <w:b/>
          <w:color w:val="000000"/>
          <w:lang w:eastAsia="ja-JP"/>
        </w:rPr>
        <w:t>Chapter 6</w:t>
      </w:r>
    </w:p>
    <w:p w14:paraId="30817E5B" w14:textId="77777777" w:rsidR="00BD0A55" w:rsidRPr="003A48AB" w:rsidRDefault="00BD0A55" w:rsidP="00BD0A55">
      <w:pPr>
        <w:tabs>
          <w:tab w:val="left" w:pos="6663"/>
        </w:tabs>
        <w:spacing w:after="0" w:line="240" w:lineRule="auto"/>
        <w:ind w:right="96"/>
        <w:rPr>
          <w:rFonts w:ascii="Arial" w:eastAsia="Times New Roman" w:hAnsi="Arial" w:cs="Arial"/>
          <w:color w:val="000000"/>
          <w:lang w:eastAsia="ja-JP"/>
        </w:rPr>
      </w:pPr>
    </w:p>
    <w:p w14:paraId="6B5562CC" w14:textId="042A693A" w:rsidR="00BD0A55" w:rsidRDefault="00BD0A55" w:rsidP="00BD0A55">
      <w:pPr>
        <w:tabs>
          <w:tab w:val="left" w:pos="6663"/>
        </w:tabs>
        <w:spacing w:after="0" w:line="240" w:lineRule="auto"/>
        <w:ind w:right="96"/>
        <w:rPr>
          <w:rFonts w:ascii="Arial" w:hAnsi="Arial" w:cs="Arial"/>
        </w:rPr>
      </w:pPr>
      <w:r w:rsidRPr="003A48AB">
        <w:rPr>
          <w:rFonts w:ascii="Arial" w:eastAsia="Times New Roman" w:hAnsi="Arial" w:cs="Arial"/>
          <w:color w:val="000000"/>
          <w:lang w:eastAsia="ja-JP"/>
        </w:rPr>
        <w:t xml:space="preserve">Figure 1. </w:t>
      </w:r>
      <w:r w:rsidRPr="00BD0A55">
        <w:rPr>
          <w:rFonts w:ascii="Arial" w:hAnsi="Arial" w:cs="Arial"/>
        </w:rPr>
        <w:t xml:space="preserve">Wild-type </w:t>
      </w:r>
      <w:r w:rsidRPr="00BD0A55">
        <w:rPr>
          <w:rFonts w:ascii="Arial" w:hAnsi="Arial" w:cs="Arial"/>
          <w:i/>
        </w:rPr>
        <w:t xml:space="preserve">P. patens </w:t>
      </w:r>
      <w:r w:rsidRPr="00BD0A55">
        <w:rPr>
          <w:rFonts w:ascii="Arial" w:hAnsi="Arial" w:cs="Arial"/>
        </w:rPr>
        <w:t>stomatal development</w:t>
      </w:r>
      <w:r>
        <w:rPr>
          <w:rFonts w:ascii="Arial" w:hAnsi="Arial" w:cs="Arial"/>
        </w:rPr>
        <w:t>.</w:t>
      </w:r>
      <w:r w:rsidR="00FA2FE3">
        <w:rPr>
          <w:rFonts w:ascii="Arial" w:hAnsi="Arial" w:cs="Arial"/>
        </w:rPr>
        <w:tab/>
      </w:r>
      <w:r>
        <w:rPr>
          <w:rFonts w:ascii="Arial" w:hAnsi="Arial" w:cs="Arial"/>
        </w:rPr>
        <w:tab/>
      </w:r>
      <w:r w:rsidR="00FA2FE3">
        <w:rPr>
          <w:rFonts w:ascii="Arial" w:hAnsi="Arial" w:cs="Arial"/>
        </w:rPr>
        <w:t>217</w:t>
      </w:r>
      <w:r>
        <w:rPr>
          <w:rFonts w:ascii="Arial" w:hAnsi="Arial" w:cs="Arial"/>
        </w:rPr>
        <w:tab/>
      </w:r>
    </w:p>
    <w:p w14:paraId="10239784" w14:textId="0F775318" w:rsidR="00BD0A55" w:rsidRPr="00BD0A55" w:rsidRDefault="00BD0A55" w:rsidP="00BD0A55">
      <w:pPr>
        <w:tabs>
          <w:tab w:val="left" w:pos="6663"/>
        </w:tabs>
        <w:spacing w:after="0" w:line="240" w:lineRule="auto"/>
        <w:ind w:right="96"/>
        <w:rPr>
          <w:rFonts w:ascii="Arial" w:eastAsia="Times New Roman" w:hAnsi="Arial" w:cs="Arial"/>
          <w:color w:val="000000"/>
          <w:lang w:eastAsia="ja-JP"/>
        </w:rPr>
      </w:pPr>
    </w:p>
    <w:p w14:paraId="3923FA05" w14:textId="18A495A8" w:rsidR="00BD0A55" w:rsidRPr="00BD0A55" w:rsidRDefault="00BD0A55" w:rsidP="00BD0A55">
      <w:pPr>
        <w:tabs>
          <w:tab w:val="left" w:pos="6663"/>
        </w:tabs>
        <w:spacing w:after="0" w:line="240" w:lineRule="auto"/>
        <w:ind w:right="96"/>
        <w:rPr>
          <w:rFonts w:ascii="Arial" w:eastAsia="Times New Roman" w:hAnsi="Arial" w:cs="Arial"/>
          <w:color w:val="000000"/>
          <w:lang w:eastAsia="ja-JP"/>
        </w:rPr>
      </w:pPr>
      <w:r w:rsidRPr="00BD0A55">
        <w:rPr>
          <w:rFonts w:ascii="Arial" w:hAnsi="Arial" w:cs="Arial"/>
        </w:rPr>
        <w:t>Figure 2. Stomatal developmental ontogeny across land plants.</w:t>
      </w:r>
      <w:r w:rsidRPr="00BD0A55">
        <w:rPr>
          <w:rFonts w:ascii="Arial" w:hAnsi="Arial" w:cs="Arial"/>
        </w:rPr>
        <w:tab/>
      </w:r>
      <w:r w:rsidRPr="00BD0A55">
        <w:rPr>
          <w:rFonts w:ascii="Arial" w:hAnsi="Arial" w:cs="Arial"/>
        </w:rPr>
        <w:tab/>
      </w:r>
      <w:r w:rsidR="00FA2FE3">
        <w:rPr>
          <w:rFonts w:ascii="Arial" w:hAnsi="Arial" w:cs="Arial"/>
        </w:rPr>
        <w:t>219</w:t>
      </w:r>
    </w:p>
    <w:p w14:paraId="6FAA58AB" w14:textId="77777777" w:rsidR="00BD0A55" w:rsidRDefault="00BD0A55" w:rsidP="00BD0A55">
      <w:pPr>
        <w:tabs>
          <w:tab w:val="left" w:pos="6663"/>
        </w:tabs>
        <w:spacing w:after="0" w:line="240" w:lineRule="auto"/>
        <w:ind w:right="96"/>
        <w:rPr>
          <w:rFonts w:ascii="Arial" w:eastAsia="Yu Mincho" w:hAnsi="Arial" w:cs="Arial"/>
          <w:lang w:eastAsia="ja-JP"/>
        </w:rPr>
      </w:pPr>
    </w:p>
    <w:p w14:paraId="406C3797" w14:textId="0086825E" w:rsidR="00BD0A55" w:rsidRDefault="00BD0A55" w:rsidP="009F0A54">
      <w:pPr>
        <w:tabs>
          <w:tab w:val="left" w:pos="6663"/>
        </w:tabs>
        <w:spacing w:after="0" w:line="240" w:lineRule="auto"/>
        <w:ind w:right="96"/>
        <w:rPr>
          <w:rFonts w:ascii="Arial" w:hAnsi="Arial" w:cs="Arial"/>
        </w:rPr>
      </w:pPr>
      <w:r w:rsidRPr="00BD0A55">
        <w:rPr>
          <w:rFonts w:ascii="Arial" w:hAnsi="Arial" w:cs="Arial"/>
        </w:rPr>
        <w:t xml:space="preserve">Figure 3. The evolutionary trajectory of genes involved with stomatal </w:t>
      </w:r>
      <w:r w:rsidR="00FA2FE3">
        <w:rPr>
          <w:rFonts w:ascii="Arial" w:hAnsi="Arial" w:cs="Arial"/>
        </w:rPr>
        <w:tab/>
        <w:t>228</w:t>
      </w:r>
      <w:r>
        <w:rPr>
          <w:rFonts w:ascii="Arial" w:hAnsi="Arial" w:cs="Arial"/>
        </w:rPr>
        <w:tab/>
      </w:r>
    </w:p>
    <w:p w14:paraId="2995F138" w14:textId="1DC87B7C" w:rsidR="00BD0A55" w:rsidRPr="00BD0A55" w:rsidRDefault="00BD0A55" w:rsidP="009F0A54">
      <w:pPr>
        <w:tabs>
          <w:tab w:val="left" w:pos="6663"/>
        </w:tabs>
        <w:spacing w:after="0" w:line="240" w:lineRule="auto"/>
        <w:ind w:right="96"/>
        <w:rPr>
          <w:rFonts w:ascii="Arial" w:eastAsia="Times New Roman" w:hAnsi="Arial" w:cs="Arial"/>
          <w:color w:val="000000"/>
          <w:lang w:eastAsia="ja-JP"/>
        </w:rPr>
      </w:pPr>
      <w:r w:rsidRPr="00BD0A55">
        <w:rPr>
          <w:rFonts w:ascii="Arial" w:hAnsi="Arial" w:cs="Arial"/>
        </w:rPr>
        <w:t>development in early diverging plant lineages</w:t>
      </w:r>
      <w:r w:rsidR="00FA2FE3">
        <w:rPr>
          <w:rFonts w:ascii="Arial" w:hAnsi="Arial" w:cs="Arial"/>
        </w:rPr>
        <w:t>.</w:t>
      </w:r>
    </w:p>
    <w:p w14:paraId="34586848" w14:textId="77777777" w:rsidR="003A48AB" w:rsidRPr="003A48AB" w:rsidRDefault="003A48AB" w:rsidP="009F0A54">
      <w:pPr>
        <w:spacing w:after="160" w:line="259" w:lineRule="auto"/>
        <w:rPr>
          <w:rFonts w:ascii="Arial" w:eastAsia="Times New Roman" w:hAnsi="Arial" w:cs="Arial"/>
          <w:color w:val="000000"/>
          <w:lang w:eastAsia="ja-JP"/>
        </w:rPr>
      </w:pPr>
      <w:r w:rsidRPr="003A48AB">
        <w:rPr>
          <w:rFonts w:ascii="Arial" w:eastAsia="Times New Roman" w:hAnsi="Arial" w:cs="Arial"/>
          <w:color w:val="000000"/>
          <w:lang w:eastAsia="ja-JP"/>
        </w:rPr>
        <w:br w:type="page"/>
      </w:r>
    </w:p>
    <w:p w14:paraId="3EA550A6" w14:textId="77777777" w:rsidR="003A48AB" w:rsidRPr="003A48AB" w:rsidRDefault="003A48AB" w:rsidP="009F0A54">
      <w:pPr>
        <w:tabs>
          <w:tab w:val="left" w:pos="6663"/>
        </w:tabs>
        <w:spacing w:after="0" w:line="240" w:lineRule="auto"/>
        <w:ind w:right="96"/>
        <w:rPr>
          <w:rFonts w:ascii="Arial" w:eastAsia="Times New Roman" w:hAnsi="Arial" w:cs="Arial"/>
          <w:b/>
          <w:color w:val="000000"/>
          <w:lang w:eastAsia="ja-JP"/>
        </w:rPr>
      </w:pPr>
      <w:r w:rsidRPr="003A48AB">
        <w:rPr>
          <w:rFonts w:ascii="Arial" w:eastAsia="Times New Roman" w:hAnsi="Arial" w:cs="Arial"/>
          <w:b/>
          <w:color w:val="000000"/>
          <w:lang w:eastAsia="ja-JP"/>
        </w:rPr>
        <w:lastRenderedPageBreak/>
        <w:t>List of tables</w:t>
      </w:r>
    </w:p>
    <w:p w14:paraId="6713B683" w14:textId="77777777" w:rsidR="003A48AB" w:rsidRPr="003A48AB" w:rsidRDefault="003A48AB" w:rsidP="009F0A54">
      <w:pPr>
        <w:tabs>
          <w:tab w:val="left" w:pos="6663"/>
        </w:tabs>
        <w:spacing w:after="0" w:line="240" w:lineRule="auto"/>
        <w:ind w:right="96"/>
        <w:rPr>
          <w:rFonts w:ascii="Arial" w:eastAsia="Times New Roman" w:hAnsi="Arial" w:cs="Arial"/>
          <w:b/>
          <w:color w:val="000000"/>
          <w:lang w:eastAsia="ja-JP"/>
        </w:rPr>
      </w:pPr>
    </w:p>
    <w:p w14:paraId="7A4DA0FE" w14:textId="77777777" w:rsidR="003A48AB" w:rsidRPr="003A48AB" w:rsidRDefault="003A48AB" w:rsidP="009F0A54">
      <w:pPr>
        <w:tabs>
          <w:tab w:val="left" w:pos="6663"/>
        </w:tabs>
        <w:spacing w:after="0" w:line="240" w:lineRule="auto"/>
        <w:ind w:right="96"/>
        <w:rPr>
          <w:rFonts w:ascii="Arial" w:eastAsia="Times New Roman" w:hAnsi="Arial" w:cs="Arial"/>
          <w:b/>
          <w:color w:val="000000"/>
          <w:lang w:eastAsia="ja-JP"/>
        </w:rPr>
      </w:pPr>
      <w:r w:rsidRPr="003A48AB">
        <w:rPr>
          <w:rFonts w:ascii="Arial" w:eastAsia="Times New Roman" w:hAnsi="Arial" w:cs="Arial"/>
          <w:b/>
          <w:color w:val="000000"/>
          <w:lang w:eastAsia="ja-JP"/>
        </w:rPr>
        <w:t>Chapter 1</w:t>
      </w:r>
    </w:p>
    <w:p w14:paraId="0F263593" w14:textId="77777777" w:rsidR="003A48AB" w:rsidRPr="003A48AB" w:rsidRDefault="003A48AB" w:rsidP="009F0A54">
      <w:pPr>
        <w:tabs>
          <w:tab w:val="left" w:pos="6663"/>
        </w:tabs>
        <w:spacing w:after="0" w:line="240" w:lineRule="auto"/>
        <w:ind w:right="96"/>
        <w:rPr>
          <w:rFonts w:ascii="Arial" w:eastAsia="Times New Roman" w:hAnsi="Arial" w:cs="Arial"/>
          <w:color w:val="000000"/>
          <w:lang w:eastAsia="ja-JP"/>
        </w:rPr>
      </w:pPr>
    </w:p>
    <w:p w14:paraId="47E20146"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Table 1. Putative </w:t>
      </w:r>
      <w:r w:rsidRPr="003A48AB">
        <w:rPr>
          <w:rFonts w:ascii="Arial" w:eastAsia="Yu Mincho" w:hAnsi="Arial" w:cs="Arial"/>
          <w:i/>
          <w:lang w:eastAsia="ja-JP"/>
        </w:rPr>
        <w:t xml:space="preserve">P. patens </w:t>
      </w:r>
      <w:r w:rsidR="007B21B3">
        <w:rPr>
          <w:rFonts w:ascii="Arial" w:eastAsia="Yu Mincho" w:hAnsi="Arial" w:cs="Arial"/>
          <w:lang w:eastAsia="ja-JP"/>
        </w:rPr>
        <w:t>s</w:t>
      </w:r>
      <w:r w:rsidRPr="003A48AB">
        <w:rPr>
          <w:rFonts w:ascii="Arial" w:eastAsia="Yu Mincho" w:hAnsi="Arial" w:cs="Arial"/>
          <w:lang w:eastAsia="ja-JP"/>
        </w:rPr>
        <w:t>tomatal deve</w:t>
      </w:r>
      <w:r w:rsidR="009F0A54">
        <w:rPr>
          <w:rFonts w:ascii="Arial" w:eastAsia="Yu Mincho" w:hAnsi="Arial" w:cs="Arial"/>
          <w:lang w:eastAsia="ja-JP"/>
        </w:rPr>
        <w:t>lopmental gene homologues</w:t>
      </w:r>
      <w:r w:rsidR="007B21B3">
        <w:rPr>
          <w:rFonts w:ascii="Arial" w:eastAsia="Yu Mincho" w:hAnsi="Arial" w:cs="Arial"/>
          <w:lang w:eastAsia="ja-JP"/>
        </w:rPr>
        <w:tab/>
        <w:t>21</w:t>
      </w:r>
    </w:p>
    <w:p w14:paraId="4457AF19" w14:textId="77777777" w:rsidR="007B21B3"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t xml:space="preserve">(genome annotation v3.3) acquired using the peptide sequences of </w:t>
      </w:r>
    </w:p>
    <w:p w14:paraId="72E535A9" w14:textId="77777777" w:rsidR="007B21B3" w:rsidRDefault="007B21B3" w:rsidP="009F0A54">
      <w:pPr>
        <w:tabs>
          <w:tab w:val="left" w:pos="6663"/>
        </w:tabs>
        <w:spacing w:after="0" w:line="240" w:lineRule="auto"/>
        <w:ind w:right="96"/>
        <w:rPr>
          <w:rFonts w:ascii="Arial" w:eastAsia="Yu Mincho" w:hAnsi="Arial" w:cs="Arial"/>
          <w:lang w:eastAsia="ja-JP"/>
        </w:rPr>
      </w:pPr>
      <w:r>
        <w:rPr>
          <w:rFonts w:ascii="Arial" w:eastAsia="Yu Mincho" w:hAnsi="Arial" w:cs="Arial"/>
          <w:lang w:eastAsia="ja-JP"/>
        </w:rPr>
        <w:t xml:space="preserve">Arabidopsis </w:t>
      </w:r>
      <w:r w:rsidR="003A48AB" w:rsidRPr="003A48AB">
        <w:rPr>
          <w:rFonts w:ascii="Arial" w:eastAsia="Yu Mincho" w:hAnsi="Arial" w:cs="Arial"/>
          <w:lang w:eastAsia="ja-JP"/>
        </w:rPr>
        <w:t>stomatal devel</w:t>
      </w:r>
      <w:r>
        <w:rPr>
          <w:rFonts w:ascii="Arial" w:eastAsia="Yu Mincho" w:hAnsi="Arial" w:cs="Arial"/>
          <w:lang w:eastAsia="ja-JP"/>
        </w:rPr>
        <w:t>opmental genes on Phytozome v11</w:t>
      </w:r>
    </w:p>
    <w:p w14:paraId="5E487D98" w14:textId="77777777" w:rsidR="003A48AB" w:rsidRPr="003A48AB" w:rsidRDefault="003A48AB" w:rsidP="009F0A54">
      <w:pPr>
        <w:tabs>
          <w:tab w:val="left" w:pos="6663"/>
        </w:tabs>
        <w:spacing w:after="0" w:line="240" w:lineRule="auto"/>
        <w:ind w:right="96"/>
        <w:rPr>
          <w:rFonts w:ascii="Arial" w:eastAsia="Yu Mincho" w:hAnsi="Arial" w:cs="Arial"/>
          <w:lang w:eastAsia="ja-JP"/>
        </w:rPr>
      </w:pPr>
      <w:r w:rsidRPr="003A48AB">
        <w:rPr>
          <w:rFonts w:ascii="Arial" w:eastAsia="Yu Mincho" w:hAnsi="Arial" w:cs="Arial"/>
          <w:lang w:eastAsia="ja-JP"/>
        </w:rPr>
        <w:fldChar w:fldCharType="begin"/>
      </w:r>
      <w:r w:rsidRPr="003A48AB">
        <w:rPr>
          <w:rFonts w:ascii="Arial" w:eastAsia="Yu Mincho" w:hAnsi="Arial" w:cs="Arial"/>
          <w:lang w:eastAsia="ja-JP"/>
        </w:rPr>
        <w:instrText xml:space="preserve"> ADDIN EN.CITE &lt;EndNote&gt;&lt;Cite&gt;&lt;Author&gt;Goodstein&lt;/Author&gt;&lt;Year&gt;2012&lt;/Year&gt;&lt;IDText&gt;Phytozome: a comparative platform for green plant genomics&lt;/IDText&gt;&lt;DisplayText&gt;(Goodstein et al., 2012)&lt;/DisplayText&gt;&lt;record&gt;&lt;dates&gt;&lt;pub-dates&gt;&lt;date&gt;2012//&lt;/date&gt;&lt;/pub-dates&gt;&lt;year&gt;2012&lt;/year&gt;&lt;/dates&gt;&lt;urls&gt;&lt;related-urls&gt;&lt;url&gt;http://dx.doi.org/10.1093/nar/gkr944&lt;/url&gt;&lt;/related-urls&gt;&lt;/urls&gt;&lt;titles&gt;&lt;title&gt;Phytozome: a comparative platform for green plant genomics&lt;/title&gt;&lt;secondary-title&gt;Nucleic Acids Res&lt;/secondary-title&gt;&lt;/titles&gt;&lt;contributors&gt;&lt;authors&gt;&lt;author&gt;Goodstein, D. M.&lt;/author&gt;&lt;author&gt;Shu, S.&lt;/author&gt;&lt;author&gt;Howson, R.&lt;/author&gt;&lt;author&gt;Neupane, R.&lt;/author&gt;&lt;author&gt;Hayes, R. D.&lt;/author&gt;&lt;author&gt;Fazo, J.&lt;/author&gt;&lt;author&gt;Mitros, T.&lt;/author&gt;&lt;author&gt;Dirks, W.&lt;/author&gt;&lt;author&gt;Hellsten, U.&lt;/author&gt;&lt;author&gt;Putnam, N.&lt;/author&gt;&lt;author&gt;Rokhsar, D. S.&lt;/author&gt;&lt;/authors&gt;&lt;/contributors&gt;&lt;added-date format="utc"&gt;1454072695&lt;/added-date&gt;&lt;ref-type name="Journal Article"&gt;17&lt;/ref-type&gt;&lt;rec-number&gt;496&lt;/rec-number&gt;&lt;last-updated-date format="utc"&gt;1454072695&lt;/last-updated-date&gt;&lt;electronic-resource-num&gt;10.1093/nar/gkr944&lt;/electronic-resource-num&gt;&lt;volume&gt;40&lt;/volume&gt;&lt;/record&gt;&lt;/Cite&gt;&lt;/EndNote&gt;</w:instrText>
      </w:r>
      <w:r w:rsidRPr="003A48AB">
        <w:rPr>
          <w:rFonts w:ascii="Arial" w:eastAsia="Yu Mincho" w:hAnsi="Arial" w:cs="Arial"/>
          <w:lang w:eastAsia="ja-JP"/>
        </w:rPr>
        <w:fldChar w:fldCharType="separate"/>
      </w:r>
      <w:r w:rsidRPr="003A48AB">
        <w:rPr>
          <w:rFonts w:ascii="Arial" w:eastAsia="Yu Mincho" w:hAnsi="Arial" w:cs="Arial"/>
          <w:noProof/>
          <w:lang w:eastAsia="ja-JP"/>
        </w:rPr>
        <w:t>(Goodstein et al., 2012)</w:t>
      </w:r>
      <w:r w:rsidRPr="003A48AB">
        <w:rPr>
          <w:rFonts w:ascii="Arial" w:eastAsia="Yu Mincho" w:hAnsi="Arial" w:cs="Arial"/>
          <w:lang w:eastAsia="ja-JP"/>
        </w:rPr>
        <w:fldChar w:fldCharType="end"/>
      </w:r>
      <w:r w:rsidRPr="003A48AB">
        <w:rPr>
          <w:rFonts w:ascii="Arial" w:eastAsia="Yu Mincho" w:hAnsi="Arial" w:cs="Arial"/>
          <w:lang w:eastAsia="ja-JP"/>
        </w:rPr>
        <w:t>.</w:t>
      </w:r>
    </w:p>
    <w:p w14:paraId="1E070AF6" w14:textId="77777777" w:rsidR="003A48AB" w:rsidRPr="003A48AB" w:rsidRDefault="003A48AB" w:rsidP="009F0A54">
      <w:pPr>
        <w:tabs>
          <w:tab w:val="left" w:pos="6663"/>
        </w:tabs>
        <w:spacing w:after="0" w:line="240" w:lineRule="auto"/>
        <w:ind w:right="96"/>
        <w:rPr>
          <w:rFonts w:ascii="Arial" w:eastAsia="Yu Mincho" w:hAnsi="Arial" w:cs="Arial"/>
          <w:lang w:eastAsia="ja-JP"/>
        </w:rPr>
      </w:pPr>
    </w:p>
    <w:p w14:paraId="0F3C3193" w14:textId="77777777" w:rsidR="003A48AB" w:rsidRPr="003A48AB" w:rsidRDefault="003A48AB" w:rsidP="009F0A54">
      <w:pPr>
        <w:tabs>
          <w:tab w:val="left" w:pos="6663"/>
        </w:tabs>
        <w:spacing w:after="0" w:line="240" w:lineRule="auto"/>
        <w:ind w:right="96"/>
        <w:rPr>
          <w:rFonts w:ascii="Arial" w:eastAsia="Yu Mincho" w:hAnsi="Arial" w:cs="Arial"/>
          <w:b/>
          <w:lang w:eastAsia="ja-JP"/>
        </w:rPr>
      </w:pPr>
      <w:r w:rsidRPr="003A48AB">
        <w:rPr>
          <w:rFonts w:ascii="Arial" w:eastAsia="Yu Mincho" w:hAnsi="Arial" w:cs="Arial"/>
          <w:b/>
          <w:lang w:eastAsia="ja-JP"/>
        </w:rPr>
        <w:t>Chapter 2</w:t>
      </w:r>
    </w:p>
    <w:p w14:paraId="13467C58" w14:textId="77777777" w:rsidR="003A48AB" w:rsidRPr="003A48AB" w:rsidRDefault="003A48AB" w:rsidP="009F0A54">
      <w:pPr>
        <w:tabs>
          <w:tab w:val="left" w:pos="6663"/>
        </w:tabs>
        <w:spacing w:after="0" w:line="240" w:lineRule="auto"/>
        <w:ind w:right="96"/>
        <w:rPr>
          <w:rFonts w:ascii="Arial" w:eastAsia="Yu Mincho" w:hAnsi="Arial" w:cs="Arial"/>
          <w:b/>
          <w:lang w:eastAsia="ja-JP"/>
        </w:rPr>
      </w:pPr>
    </w:p>
    <w:p w14:paraId="121CE854" w14:textId="77777777" w:rsidR="003A48AB" w:rsidRPr="003A48AB" w:rsidRDefault="003A48AB" w:rsidP="009F0A54">
      <w:pPr>
        <w:tabs>
          <w:tab w:val="left" w:pos="2977"/>
        </w:tabs>
        <w:spacing w:after="0" w:line="240" w:lineRule="auto"/>
        <w:textAlignment w:val="baseline"/>
        <w:rPr>
          <w:rFonts w:ascii="Arial" w:eastAsia="Times New Roman" w:hAnsi="Arial" w:cs="Arial"/>
          <w:bdr w:val="none" w:sz="0" w:space="0" w:color="auto" w:frame="1"/>
        </w:rPr>
      </w:pPr>
      <w:r w:rsidRPr="003A48AB">
        <w:rPr>
          <w:rFonts w:ascii="Arial" w:eastAsia="Times New Roman" w:hAnsi="Arial" w:cs="Arial"/>
          <w:bdr w:val="none" w:sz="0" w:space="0" w:color="auto" w:frame="1"/>
        </w:rPr>
        <w:t>Table 1. Prim</w:t>
      </w:r>
      <w:r w:rsidR="009F0A54">
        <w:rPr>
          <w:rFonts w:ascii="Arial" w:eastAsia="Times New Roman" w:hAnsi="Arial" w:cs="Arial"/>
          <w:bdr w:val="none" w:sz="0" w:space="0" w:color="auto" w:frame="1"/>
        </w:rPr>
        <w:t>ers used during study</w:t>
      </w:r>
      <w:r w:rsidR="007B21B3">
        <w:rPr>
          <w:rFonts w:ascii="Arial" w:eastAsia="Times New Roman" w:hAnsi="Arial" w:cs="Arial"/>
          <w:bdr w:val="none" w:sz="0" w:space="0" w:color="auto" w:frame="1"/>
        </w:rPr>
        <w:tab/>
      </w:r>
      <w:r w:rsidR="007B21B3">
        <w:rPr>
          <w:rFonts w:ascii="Arial" w:eastAsia="Times New Roman" w:hAnsi="Arial" w:cs="Arial"/>
          <w:bdr w:val="none" w:sz="0" w:space="0" w:color="auto" w:frame="1"/>
        </w:rPr>
        <w:tab/>
      </w:r>
      <w:r w:rsidR="007B21B3">
        <w:rPr>
          <w:rFonts w:ascii="Arial" w:eastAsia="Times New Roman" w:hAnsi="Arial" w:cs="Arial"/>
          <w:bdr w:val="none" w:sz="0" w:space="0" w:color="auto" w:frame="1"/>
        </w:rPr>
        <w:tab/>
      </w:r>
      <w:r w:rsidR="007B21B3">
        <w:rPr>
          <w:rFonts w:ascii="Arial" w:eastAsia="Times New Roman" w:hAnsi="Arial" w:cs="Arial"/>
          <w:bdr w:val="none" w:sz="0" w:space="0" w:color="auto" w:frame="1"/>
        </w:rPr>
        <w:tab/>
      </w:r>
      <w:r w:rsidR="007B21B3">
        <w:rPr>
          <w:rFonts w:ascii="Arial" w:eastAsia="Times New Roman" w:hAnsi="Arial" w:cs="Arial"/>
          <w:bdr w:val="none" w:sz="0" w:space="0" w:color="auto" w:frame="1"/>
        </w:rPr>
        <w:tab/>
      </w:r>
      <w:r w:rsidR="007B21B3">
        <w:rPr>
          <w:rFonts w:ascii="Arial" w:eastAsia="Times New Roman" w:hAnsi="Arial" w:cs="Arial"/>
          <w:bdr w:val="none" w:sz="0" w:space="0" w:color="auto" w:frame="1"/>
        </w:rPr>
        <w:tab/>
        <w:t>45</w:t>
      </w:r>
    </w:p>
    <w:p w14:paraId="7A09A65E" w14:textId="77777777" w:rsidR="003A48AB" w:rsidRPr="003A48AB" w:rsidRDefault="003A48AB" w:rsidP="009F0A54">
      <w:pPr>
        <w:spacing w:after="160" w:line="259" w:lineRule="auto"/>
        <w:rPr>
          <w:rFonts w:ascii="Arial" w:eastAsia="Times New Roman" w:hAnsi="Arial" w:cs="Arial"/>
          <w:bdr w:val="none" w:sz="0" w:space="0" w:color="auto" w:frame="1"/>
        </w:rPr>
      </w:pPr>
      <w:r w:rsidRPr="003A48AB">
        <w:rPr>
          <w:rFonts w:ascii="Arial" w:eastAsia="Yu Mincho" w:hAnsi="Arial" w:cs="Arial"/>
          <w:bdr w:val="none" w:sz="0" w:space="0" w:color="auto" w:frame="1"/>
          <w:lang w:eastAsia="ja-JP"/>
        </w:rPr>
        <w:br w:type="page"/>
      </w:r>
    </w:p>
    <w:p w14:paraId="5F406BC4" w14:textId="77777777" w:rsidR="003A48AB" w:rsidRPr="003A48AB" w:rsidRDefault="003A48AB" w:rsidP="009F0A54">
      <w:pPr>
        <w:tabs>
          <w:tab w:val="left" w:pos="2977"/>
        </w:tabs>
        <w:spacing w:after="0" w:line="240" w:lineRule="auto"/>
        <w:textAlignment w:val="baseline"/>
        <w:rPr>
          <w:rFonts w:ascii="Arial" w:eastAsia="Times New Roman" w:hAnsi="Arial" w:cs="Arial"/>
          <w:b/>
          <w:bdr w:val="none" w:sz="0" w:space="0" w:color="auto" w:frame="1"/>
        </w:rPr>
      </w:pPr>
      <w:r w:rsidRPr="003A48AB">
        <w:rPr>
          <w:rFonts w:ascii="Arial" w:eastAsia="Times New Roman" w:hAnsi="Arial" w:cs="Arial"/>
          <w:b/>
          <w:bdr w:val="none" w:sz="0" w:space="0" w:color="auto" w:frame="1"/>
        </w:rPr>
        <w:lastRenderedPageBreak/>
        <w:t>List of appendices</w:t>
      </w:r>
    </w:p>
    <w:p w14:paraId="457335B7" w14:textId="77777777" w:rsidR="003A48AB" w:rsidRPr="003A48AB" w:rsidRDefault="003A48AB" w:rsidP="009F0A54">
      <w:pPr>
        <w:tabs>
          <w:tab w:val="left" w:pos="2977"/>
        </w:tabs>
        <w:spacing w:after="0" w:line="240" w:lineRule="auto"/>
        <w:textAlignment w:val="baseline"/>
        <w:rPr>
          <w:rFonts w:ascii="Arial" w:eastAsia="Times New Roman" w:hAnsi="Arial" w:cs="Arial"/>
          <w:b/>
          <w:bdr w:val="none" w:sz="0" w:space="0" w:color="auto" w:frame="1"/>
        </w:rPr>
      </w:pPr>
    </w:p>
    <w:p w14:paraId="6FE07C74" w14:textId="77777777" w:rsidR="003A48AB" w:rsidRPr="003A48AB" w:rsidRDefault="003A48AB" w:rsidP="009F0A54">
      <w:pPr>
        <w:tabs>
          <w:tab w:val="left" w:pos="2977"/>
        </w:tabs>
        <w:spacing w:after="0" w:line="240" w:lineRule="auto"/>
        <w:textAlignment w:val="baseline"/>
        <w:rPr>
          <w:rFonts w:ascii="Arial" w:eastAsia="Times New Roman" w:hAnsi="Arial" w:cs="Arial"/>
          <w:b/>
          <w:bdr w:val="none" w:sz="0" w:space="0" w:color="auto" w:frame="1"/>
        </w:rPr>
      </w:pPr>
      <w:r w:rsidRPr="003A48AB">
        <w:rPr>
          <w:rFonts w:ascii="Arial" w:eastAsia="Times New Roman" w:hAnsi="Arial" w:cs="Arial"/>
          <w:b/>
          <w:bdr w:val="none" w:sz="0" w:space="0" w:color="auto" w:frame="1"/>
        </w:rPr>
        <w:t>Chapter 3</w:t>
      </w:r>
    </w:p>
    <w:p w14:paraId="12135937" w14:textId="77777777" w:rsidR="003A48AB" w:rsidRPr="003A48AB" w:rsidRDefault="003A48AB" w:rsidP="009F0A54">
      <w:pPr>
        <w:tabs>
          <w:tab w:val="left" w:pos="2977"/>
        </w:tabs>
        <w:spacing w:after="0" w:line="240" w:lineRule="auto"/>
        <w:textAlignment w:val="baseline"/>
        <w:rPr>
          <w:rFonts w:ascii="Arial" w:eastAsia="Times New Roman" w:hAnsi="Arial" w:cs="Arial"/>
          <w:b/>
          <w:bdr w:val="none" w:sz="0" w:space="0" w:color="auto" w:frame="1"/>
        </w:rPr>
      </w:pPr>
    </w:p>
    <w:p w14:paraId="0B525C30" w14:textId="157C8109" w:rsidR="007B21B3" w:rsidRDefault="003A48AB" w:rsidP="009F0A54">
      <w:pPr>
        <w:tabs>
          <w:tab w:val="left" w:pos="6663"/>
        </w:tabs>
        <w:spacing w:after="0" w:line="240" w:lineRule="auto"/>
        <w:rPr>
          <w:rFonts w:ascii="Arial" w:eastAsia="Times New Roman" w:hAnsi="Arial" w:cs="Arial"/>
          <w:color w:val="000000"/>
          <w:lang w:eastAsia="ja-JP"/>
        </w:rPr>
      </w:pPr>
      <w:r w:rsidRPr="003A48AB">
        <w:rPr>
          <w:rFonts w:ascii="Arial" w:eastAsia="Times New Roman" w:hAnsi="Arial" w:cs="Arial"/>
          <w:color w:val="000000"/>
          <w:lang w:eastAsia="ja-JP"/>
        </w:rPr>
        <w:t>Appendix 1. Accession numbers relating to phylog</w:t>
      </w:r>
      <w:r w:rsidR="009F0A54">
        <w:rPr>
          <w:rFonts w:ascii="Arial" w:eastAsia="Times New Roman" w:hAnsi="Arial" w:cs="Arial"/>
          <w:color w:val="000000"/>
          <w:lang w:eastAsia="ja-JP"/>
        </w:rPr>
        <w:t xml:space="preserve">enies presented in </w:t>
      </w:r>
      <w:r w:rsidR="00FA2FE3">
        <w:rPr>
          <w:rFonts w:ascii="Arial" w:eastAsia="Times New Roman" w:hAnsi="Arial" w:cs="Arial"/>
          <w:color w:val="000000"/>
          <w:lang w:eastAsia="ja-JP"/>
        </w:rPr>
        <w:tab/>
        <w:t>106</w:t>
      </w:r>
    </w:p>
    <w:p w14:paraId="71A762AB" w14:textId="77777777" w:rsidR="003A48AB" w:rsidRPr="003A48AB" w:rsidRDefault="009F0A54" w:rsidP="009F0A54">
      <w:pPr>
        <w:tabs>
          <w:tab w:val="left" w:pos="6663"/>
        </w:tabs>
        <w:spacing w:after="0" w:line="240" w:lineRule="auto"/>
        <w:rPr>
          <w:rFonts w:ascii="Arial" w:eastAsia="Times New Roman" w:hAnsi="Arial" w:cs="Arial"/>
          <w:color w:val="000000"/>
          <w:lang w:eastAsia="ja-JP"/>
        </w:rPr>
      </w:pPr>
      <w:r>
        <w:rPr>
          <w:rFonts w:ascii="Arial" w:eastAsia="Times New Roman" w:hAnsi="Arial" w:cs="Arial"/>
          <w:color w:val="000000"/>
          <w:lang w:eastAsia="ja-JP"/>
        </w:rPr>
        <w:t>Fig. 7</w:t>
      </w:r>
    </w:p>
    <w:p w14:paraId="3D813408" w14:textId="77777777" w:rsidR="003A48AB" w:rsidRPr="003A48AB" w:rsidRDefault="003A48AB" w:rsidP="009F0A54">
      <w:pPr>
        <w:tabs>
          <w:tab w:val="left" w:pos="6663"/>
        </w:tabs>
        <w:spacing w:after="0" w:line="240" w:lineRule="auto"/>
        <w:rPr>
          <w:rFonts w:ascii="Arial" w:eastAsia="Times New Roman" w:hAnsi="Arial" w:cs="Arial"/>
          <w:color w:val="000000"/>
          <w:lang w:eastAsia="ja-JP"/>
        </w:rPr>
      </w:pPr>
      <w:r w:rsidRPr="003A48AB">
        <w:rPr>
          <w:rFonts w:ascii="Arial" w:eastAsia="Times New Roman" w:hAnsi="Arial" w:cs="Arial"/>
          <w:color w:val="000000"/>
          <w:lang w:eastAsia="ja-JP"/>
        </w:rPr>
        <w:tab/>
      </w:r>
    </w:p>
    <w:p w14:paraId="3F3FAC3B" w14:textId="2067FCAC" w:rsidR="001D2DA0" w:rsidRPr="001D2DA0" w:rsidRDefault="003A48AB" w:rsidP="001D2DA0">
      <w:pPr>
        <w:tabs>
          <w:tab w:val="left" w:pos="2977"/>
        </w:tabs>
        <w:spacing w:after="0" w:line="240" w:lineRule="auto"/>
        <w:textAlignment w:val="baseline"/>
        <w:rPr>
          <w:rFonts w:ascii="Arial" w:eastAsia="Times New Roman" w:hAnsi="Arial" w:cs="Arial"/>
          <w:color w:val="000000"/>
        </w:rPr>
      </w:pPr>
      <w:r w:rsidRPr="001D2DA0">
        <w:rPr>
          <w:rFonts w:ascii="Arial" w:eastAsia="Times New Roman" w:hAnsi="Arial" w:cs="Arial"/>
          <w:color w:val="000000"/>
        </w:rPr>
        <w:t xml:space="preserve">Appendix 2. </w:t>
      </w:r>
      <w:r w:rsidR="001D2DA0" w:rsidRPr="001D2DA0">
        <w:rPr>
          <w:rFonts w:ascii="Arial" w:eastAsia="Times New Roman" w:hAnsi="Arial" w:cs="Arial"/>
          <w:i/>
          <w:color w:val="000000"/>
        </w:rPr>
        <w:t>A. punctatos</w:t>
      </w:r>
      <w:r w:rsidR="001D2DA0" w:rsidRPr="001D2DA0">
        <w:rPr>
          <w:rFonts w:ascii="Arial" w:eastAsia="Times New Roman" w:hAnsi="Arial" w:cs="Arial"/>
          <w:color w:val="000000"/>
        </w:rPr>
        <w:t xml:space="preserve"> predicted 87 amino acid partial </w:t>
      </w:r>
      <w:r w:rsidR="001D2DA0" w:rsidRPr="001D2DA0">
        <w:rPr>
          <w:rFonts w:ascii="Arial" w:eastAsia="Times New Roman" w:hAnsi="Arial" w:cs="Arial"/>
          <w:color w:val="000000"/>
        </w:rPr>
        <w:tab/>
      </w:r>
      <w:r w:rsidR="00FA2FE3">
        <w:rPr>
          <w:rFonts w:ascii="Arial" w:eastAsia="Times New Roman" w:hAnsi="Arial" w:cs="Arial"/>
          <w:color w:val="000000"/>
        </w:rPr>
        <w:tab/>
      </w:r>
      <w:r w:rsidR="00FA2FE3">
        <w:rPr>
          <w:rFonts w:ascii="Arial" w:eastAsia="Times New Roman" w:hAnsi="Arial" w:cs="Arial"/>
          <w:color w:val="000000"/>
        </w:rPr>
        <w:tab/>
        <w:t>107</w:t>
      </w:r>
    </w:p>
    <w:p w14:paraId="4EE95014" w14:textId="47FC907B" w:rsidR="003A48AB" w:rsidRPr="001D2DA0" w:rsidRDefault="001D2DA0" w:rsidP="001D2DA0">
      <w:pPr>
        <w:tabs>
          <w:tab w:val="left" w:pos="2977"/>
        </w:tabs>
        <w:spacing w:after="0" w:line="240" w:lineRule="auto"/>
        <w:textAlignment w:val="baseline"/>
        <w:rPr>
          <w:rFonts w:ascii="Arial" w:eastAsia="Times New Roman" w:hAnsi="Arial" w:cs="Arial"/>
          <w:color w:val="000000"/>
        </w:rPr>
      </w:pPr>
      <w:r w:rsidRPr="001D2DA0">
        <w:rPr>
          <w:rFonts w:ascii="Arial" w:eastAsia="Times New Roman" w:hAnsi="Arial" w:cs="Arial"/>
          <w:color w:val="000000"/>
        </w:rPr>
        <w:t>sequence relating the ApSMF1 sequence presented in Fig. 21.</w:t>
      </w:r>
    </w:p>
    <w:p w14:paraId="6FA6E6A0" w14:textId="77777777" w:rsidR="001D2DA0" w:rsidRDefault="001D2DA0" w:rsidP="009F0A54">
      <w:pPr>
        <w:tabs>
          <w:tab w:val="left" w:pos="2977"/>
        </w:tabs>
        <w:spacing w:after="0" w:line="240" w:lineRule="auto"/>
        <w:textAlignment w:val="baseline"/>
        <w:rPr>
          <w:rFonts w:ascii="Arial" w:eastAsia="Times New Roman" w:hAnsi="Arial" w:cs="Arial"/>
          <w:b/>
          <w:color w:val="000000"/>
        </w:rPr>
      </w:pPr>
    </w:p>
    <w:p w14:paraId="67B1F6BD" w14:textId="02FE44ED" w:rsidR="003A48AB" w:rsidRPr="003A48AB" w:rsidRDefault="003A48AB" w:rsidP="009F0A54">
      <w:pPr>
        <w:tabs>
          <w:tab w:val="left" w:pos="2977"/>
        </w:tabs>
        <w:spacing w:after="0" w:line="240" w:lineRule="auto"/>
        <w:textAlignment w:val="baseline"/>
        <w:rPr>
          <w:rFonts w:ascii="Arial" w:eastAsia="Times New Roman" w:hAnsi="Arial" w:cs="Arial"/>
          <w:b/>
          <w:color w:val="000000"/>
        </w:rPr>
      </w:pPr>
      <w:r w:rsidRPr="003A48AB">
        <w:rPr>
          <w:rFonts w:ascii="Arial" w:eastAsia="Times New Roman" w:hAnsi="Arial" w:cs="Arial"/>
          <w:b/>
          <w:color w:val="000000"/>
        </w:rPr>
        <w:t>Chapter 4</w:t>
      </w:r>
    </w:p>
    <w:p w14:paraId="3153AAF2" w14:textId="77777777" w:rsidR="003A48AB" w:rsidRPr="003A48AB" w:rsidRDefault="007B21B3" w:rsidP="009F0A54">
      <w:pPr>
        <w:tabs>
          <w:tab w:val="left" w:pos="2977"/>
        </w:tabs>
        <w:spacing w:after="0" w:line="240" w:lineRule="auto"/>
        <w:textAlignment w:val="baseline"/>
        <w:rPr>
          <w:rFonts w:ascii="Arial" w:eastAsia="Times New Roman" w:hAnsi="Arial" w:cs="Arial"/>
          <w:b/>
          <w:bdr w:val="none" w:sz="0" w:space="0" w:color="auto" w:frame="1"/>
        </w:rPr>
      </w:pPr>
      <w:r>
        <w:rPr>
          <w:rFonts w:ascii="Arial" w:eastAsia="Times New Roman" w:hAnsi="Arial" w:cs="Arial"/>
          <w:b/>
          <w:bdr w:val="none" w:sz="0" w:space="0" w:color="auto" w:frame="1"/>
        </w:rPr>
        <w:tab/>
      </w:r>
    </w:p>
    <w:p w14:paraId="7333909D" w14:textId="6534E9AD" w:rsidR="00FA2FE3" w:rsidRDefault="00FA2FE3" w:rsidP="009F0A54">
      <w:pPr>
        <w:spacing w:after="0" w:line="240" w:lineRule="auto"/>
        <w:rPr>
          <w:rFonts w:ascii="Arial" w:eastAsia="Times New Roman" w:hAnsi="Arial" w:cs="Arial"/>
          <w:bCs/>
          <w:color w:val="000000"/>
          <w:lang w:eastAsia="ja-JP"/>
        </w:rPr>
      </w:pPr>
      <w:r w:rsidRPr="00FA2FE3">
        <w:rPr>
          <w:rFonts w:ascii="Arial" w:eastAsia="Times New Roman" w:hAnsi="Arial" w:cs="Arial"/>
          <w:bCs/>
          <w:color w:val="000000"/>
          <w:lang w:eastAsia="ja-JP"/>
        </w:rPr>
        <w:t xml:space="preserve">Appendix 1. Protein IDs for genes which have been displayed in </w:t>
      </w:r>
      <w:r>
        <w:rPr>
          <w:rFonts w:ascii="Arial" w:eastAsia="Times New Roman" w:hAnsi="Arial" w:cs="Arial"/>
          <w:bCs/>
          <w:color w:val="000000"/>
          <w:lang w:eastAsia="ja-JP"/>
        </w:rPr>
        <w:tab/>
      </w:r>
      <w:r>
        <w:rPr>
          <w:rFonts w:ascii="Arial" w:eastAsia="Times New Roman" w:hAnsi="Arial" w:cs="Arial"/>
          <w:bCs/>
          <w:color w:val="000000"/>
          <w:lang w:eastAsia="ja-JP"/>
        </w:rPr>
        <w:tab/>
        <w:t>168</w:t>
      </w:r>
      <w:r>
        <w:rPr>
          <w:rFonts w:ascii="Arial" w:eastAsia="Times New Roman" w:hAnsi="Arial" w:cs="Arial"/>
          <w:bCs/>
          <w:color w:val="000000"/>
          <w:lang w:eastAsia="ja-JP"/>
        </w:rPr>
        <w:tab/>
      </w:r>
    </w:p>
    <w:p w14:paraId="6150CDB0" w14:textId="77777777" w:rsidR="00FA2FE3" w:rsidRDefault="00FA2FE3" w:rsidP="009F0A54">
      <w:pPr>
        <w:spacing w:after="0" w:line="240" w:lineRule="auto"/>
        <w:rPr>
          <w:rFonts w:ascii="Arial" w:eastAsia="Times New Roman" w:hAnsi="Arial" w:cs="Arial"/>
          <w:bCs/>
          <w:color w:val="000000"/>
          <w:lang w:eastAsia="ja-JP"/>
        </w:rPr>
      </w:pPr>
      <w:r w:rsidRPr="00FA2FE3">
        <w:rPr>
          <w:rFonts w:ascii="Arial" w:eastAsia="Times New Roman" w:hAnsi="Arial" w:cs="Arial"/>
          <w:bCs/>
          <w:color w:val="000000"/>
          <w:lang w:eastAsia="ja-JP"/>
        </w:rPr>
        <w:t xml:space="preserve">abbreviated forms on phylogenetic trees during the course of this </w:t>
      </w:r>
    </w:p>
    <w:p w14:paraId="4C96980C" w14:textId="77570B13" w:rsidR="003A48AB" w:rsidRDefault="00FA2FE3" w:rsidP="009F0A54">
      <w:pPr>
        <w:spacing w:after="0" w:line="240" w:lineRule="auto"/>
        <w:rPr>
          <w:rFonts w:ascii="Arial" w:eastAsia="Times New Roman" w:hAnsi="Arial" w:cs="Arial"/>
          <w:bCs/>
          <w:color w:val="000000"/>
          <w:lang w:eastAsia="ja-JP"/>
        </w:rPr>
      </w:pPr>
      <w:r w:rsidRPr="00FA2FE3">
        <w:rPr>
          <w:rFonts w:ascii="Arial" w:eastAsia="Times New Roman" w:hAnsi="Arial" w:cs="Arial"/>
          <w:bCs/>
          <w:color w:val="000000"/>
          <w:lang w:eastAsia="ja-JP"/>
        </w:rPr>
        <w:t>chapter.</w:t>
      </w:r>
    </w:p>
    <w:p w14:paraId="17B9D9AA" w14:textId="77777777" w:rsidR="00FA2FE3" w:rsidRPr="003A48AB" w:rsidRDefault="00FA2FE3" w:rsidP="009F0A54">
      <w:pPr>
        <w:spacing w:after="0" w:line="240" w:lineRule="auto"/>
        <w:rPr>
          <w:rFonts w:ascii="Arial" w:eastAsia="Times New Roman" w:hAnsi="Arial" w:cs="Arial"/>
          <w:bCs/>
          <w:color w:val="000000"/>
          <w:lang w:eastAsia="ja-JP"/>
        </w:rPr>
      </w:pPr>
    </w:p>
    <w:p w14:paraId="4853E7B7" w14:textId="47EFA8E4" w:rsidR="007B21B3" w:rsidRDefault="003A48AB" w:rsidP="009F0A54">
      <w:pPr>
        <w:spacing w:after="0" w:line="240" w:lineRule="auto"/>
        <w:rPr>
          <w:rFonts w:ascii="Arial" w:eastAsia="Times New Roman" w:hAnsi="Arial" w:cs="Arial"/>
          <w:bCs/>
          <w:color w:val="000000"/>
          <w:lang w:eastAsia="ja-JP"/>
        </w:rPr>
      </w:pPr>
      <w:r w:rsidRPr="003A48AB">
        <w:rPr>
          <w:rFonts w:ascii="Arial" w:eastAsia="Times New Roman" w:hAnsi="Arial" w:cs="Arial"/>
          <w:bCs/>
          <w:color w:val="000000"/>
          <w:lang w:eastAsia="ja-JP"/>
        </w:rPr>
        <w:t>Appendix 2. Full Phylogenetic analysis of ERf g</w:t>
      </w:r>
      <w:r w:rsidR="009F0A54">
        <w:rPr>
          <w:rFonts w:ascii="Arial" w:eastAsia="Times New Roman" w:hAnsi="Arial" w:cs="Arial"/>
          <w:bCs/>
          <w:color w:val="000000"/>
          <w:lang w:eastAsia="ja-JP"/>
        </w:rPr>
        <w:t xml:space="preserve">enes from selected </w:t>
      </w:r>
      <w:r w:rsidR="00FA2FE3">
        <w:rPr>
          <w:rFonts w:ascii="Arial" w:eastAsia="Times New Roman" w:hAnsi="Arial" w:cs="Arial"/>
          <w:bCs/>
          <w:color w:val="000000"/>
          <w:lang w:eastAsia="ja-JP"/>
        </w:rPr>
        <w:tab/>
        <w:t>170</w:t>
      </w:r>
    </w:p>
    <w:p w14:paraId="55ED2BC6" w14:textId="6291AEA6" w:rsidR="003A48AB" w:rsidRDefault="009F0A54" w:rsidP="009F0A54">
      <w:pPr>
        <w:spacing w:after="0" w:line="240" w:lineRule="auto"/>
        <w:rPr>
          <w:rFonts w:ascii="Arial" w:eastAsia="Times New Roman" w:hAnsi="Arial" w:cs="Arial"/>
          <w:bCs/>
          <w:color w:val="000000"/>
          <w:lang w:eastAsia="ja-JP"/>
        </w:rPr>
      </w:pPr>
      <w:r>
        <w:rPr>
          <w:rFonts w:ascii="Arial" w:eastAsia="Times New Roman" w:hAnsi="Arial" w:cs="Arial"/>
          <w:bCs/>
          <w:color w:val="000000"/>
          <w:lang w:eastAsia="ja-JP"/>
        </w:rPr>
        <w:t xml:space="preserve">plants </w:t>
      </w:r>
      <w:r w:rsidR="003A48AB" w:rsidRPr="003A48AB">
        <w:rPr>
          <w:rFonts w:ascii="Arial" w:eastAsia="Times New Roman" w:hAnsi="Arial" w:cs="Arial"/>
          <w:bCs/>
          <w:color w:val="000000"/>
          <w:lang w:eastAsia="ja-JP"/>
        </w:rPr>
        <w:t xml:space="preserve">and expression </w:t>
      </w:r>
      <w:r w:rsidR="003A48AB" w:rsidRPr="003A48AB">
        <w:rPr>
          <w:rFonts w:ascii="Arial" w:eastAsia="Times New Roman" w:hAnsi="Arial" w:cs="Arial"/>
          <w:bCs/>
          <w:i/>
          <w:color w:val="000000"/>
          <w:lang w:eastAsia="ja-JP"/>
        </w:rPr>
        <w:t xml:space="preserve">PpERECTA1 </w:t>
      </w:r>
      <w:r w:rsidR="003A48AB" w:rsidRPr="003A48AB">
        <w:rPr>
          <w:rFonts w:ascii="Arial" w:eastAsia="Times New Roman" w:hAnsi="Arial" w:cs="Arial"/>
          <w:bCs/>
          <w:color w:val="000000"/>
          <w:lang w:eastAsia="ja-JP"/>
        </w:rPr>
        <w:t xml:space="preserve">in </w:t>
      </w:r>
      <w:r w:rsidR="003A48AB" w:rsidRPr="003A48AB">
        <w:rPr>
          <w:rFonts w:ascii="Arial" w:eastAsia="Times New Roman" w:hAnsi="Arial" w:cs="Arial"/>
          <w:bCs/>
          <w:i/>
          <w:color w:val="000000"/>
          <w:lang w:eastAsia="ja-JP"/>
        </w:rPr>
        <w:t>P. patens</w:t>
      </w:r>
      <w:r w:rsidR="003A48AB" w:rsidRPr="003A48AB">
        <w:rPr>
          <w:rFonts w:ascii="Arial" w:eastAsia="Times New Roman" w:hAnsi="Arial" w:cs="Arial"/>
          <w:bCs/>
          <w:color w:val="000000"/>
          <w:lang w:eastAsia="ja-JP"/>
        </w:rPr>
        <w:t>.</w:t>
      </w:r>
    </w:p>
    <w:p w14:paraId="09E5F937" w14:textId="3C424DB7" w:rsidR="001D2DA0" w:rsidRDefault="001D2DA0" w:rsidP="009F0A54">
      <w:pPr>
        <w:spacing w:after="0" w:line="240" w:lineRule="auto"/>
        <w:rPr>
          <w:rFonts w:ascii="Arial" w:eastAsia="Times New Roman" w:hAnsi="Arial" w:cs="Arial"/>
          <w:bCs/>
          <w:color w:val="000000"/>
          <w:lang w:eastAsia="ja-JP"/>
        </w:rPr>
      </w:pPr>
    </w:p>
    <w:p w14:paraId="1047C814" w14:textId="5C9CB767" w:rsidR="001D2DA0" w:rsidRDefault="001D2DA0" w:rsidP="009F0A54">
      <w:pPr>
        <w:spacing w:after="0" w:line="240" w:lineRule="auto"/>
        <w:rPr>
          <w:rFonts w:ascii="Arial" w:eastAsia="Times New Roman" w:hAnsi="Arial" w:cs="Arial"/>
          <w:bCs/>
          <w:color w:val="000000"/>
          <w:lang w:eastAsia="ja-JP"/>
        </w:rPr>
      </w:pPr>
      <w:r w:rsidRPr="001D2DA0">
        <w:rPr>
          <w:rFonts w:ascii="Arial" w:eastAsia="Times New Roman" w:hAnsi="Arial" w:cs="Arial"/>
          <w:bCs/>
          <w:color w:val="000000"/>
          <w:lang w:eastAsia="ja-JP"/>
        </w:rPr>
        <w:t>Appendix 3. Partial amino ac</w:t>
      </w:r>
      <w:r>
        <w:rPr>
          <w:rFonts w:ascii="Arial" w:eastAsia="Times New Roman" w:hAnsi="Arial" w:cs="Arial"/>
          <w:bCs/>
          <w:color w:val="000000"/>
          <w:lang w:eastAsia="ja-JP"/>
        </w:rPr>
        <w:t xml:space="preserve">id sequences relating to ApEPF1 </w:t>
      </w:r>
      <w:r w:rsidRPr="001D2DA0">
        <w:rPr>
          <w:rFonts w:ascii="Arial" w:eastAsia="Times New Roman" w:hAnsi="Arial" w:cs="Arial"/>
          <w:bCs/>
          <w:color w:val="000000"/>
          <w:lang w:eastAsia="ja-JP"/>
        </w:rPr>
        <w:t>used for</w:t>
      </w:r>
      <w:r w:rsidR="00FA2FE3">
        <w:rPr>
          <w:rFonts w:ascii="Arial" w:eastAsia="Times New Roman" w:hAnsi="Arial" w:cs="Arial"/>
          <w:bCs/>
          <w:color w:val="000000"/>
          <w:lang w:eastAsia="ja-JP"/>
        </w:rPr>
        <w:tab/>
        <w:t>170</w:t>
      </w:r>
      <w:r w:rsidRPr="001D2DA0">
        <w:rPr>
          <w:rFonts w:ascii="Arial" w:eastAsia="Times New Roman" w:hAnsi="Arial" w:cs="Arial"/>
          <w:bCs/>
          <w:color w:val="000000"/>
          <w:lang w:eastAsia="ja-JP"/>
        </w:rPr>
        <w:t xml:space="preserve"> </w:t>
      </w:r>
      <w:r>
        <w:rPr>
          <w:rFonts w:ascii="Arial" w:eastAsia="Times New Roman" w:hAnsi="Arial" w:cs="Arial"/>
          <w:bCs/>
          <w:color w:val="000000"/>
          <w:lang w:eastAsia="ja-JP"/>
        </w:rPr>
        <w:tab/>
      </w:r>
    </w:p>
    <w:p w14:paraId="56AC446A" w14:textId="53E84264" w:rsidR="001D2DA0" w:rsidRPr="003A48AB" w:rsidRDefault="001D2DA0" w:rsidP="009F0A54">
      <w:pPr>
        <w:spacing w:after="0" w:line="240" w:lineRule="auto"/>
        <w:rPr>
          <w:rFonts w:ascii="Arial" w:eastAsia="Times New Roman" w:hAnsi="Arial" w:cs="Arial"/>
          <w:bCs/>
          <w:color w:val="000000"/>
          <w:lang w:eastAsia="ja-JP"/>
        </w:rPr>
      </w:pPr>
      <w:r w:rsidRPr="001D2DA0">
        <w:rPr>
          <w:rFonts w:ascii="Arial" w:eastAsia="Times New Roman" w:hAnsi="Arial" w:cs="Arial"/>
          <w:bCs/>
          <w:color w:val="000000"/>
          <w:lang w:eastAsia="ja-JP"/>
        </w:rPr>
        <w:t>the alignment in Figure 21.</w:t>
      </w:r>
    </w:p>
    <w:p w14:paraId="06B53209" w14:textId="29D8FD3F" w:rsidR="003A48AB" w:rsidRDefault="003A48AB" w:rsidP="009F0A54">
      <w:pPr>
        <w:spacing w:after="0" w:line="240" w:lineRule="auto"/>
        <w:rPr>
          <w:rFonts w:ascii="Arial" w:eastAsia="Times New Roman" w:hAnsi="Arial" w:cs="Arial"/>
          <w:bCs/>
          <w:color w:val="000000"/>
          <w:lang w:eastAsia="ja-JP"/>
        </w:rPr>
      </w:pPr>
    </w:p>
    <w:p w14:paraId="04781F80" w14:textId="6A91B109" w:rsidR="001D2DA0" w:rsidRPr="001D2DA0" w:rsidRDefault="001D2DA0" w:rsidP="009F0A54">
      <w:pPr>
        <w:spacing w:after="0" w:line="240" w:lineRule="auto"/>
        <w:rPr>
          <w:rFonts w:ascii="Arial" w:eastAsia="Times New Roman" w:hAnsi="Arial" w:cs="Arial"/>
          <w:b/>
          <w:bCs/>
          <w:color w:val="000000"/>
          <w:lang w:eastAsia="ja-JP"/>
        </w:rPr>
      </w:pPr>
      <w:r>
        <w:rPr>
          <w:rFonts w:ascii="Arial" w:eastAsia="Times New Roman" w:hAnsi="Arial" w:cs="Arial"/>
          <w:b/>
          <w:bCs/>
          <w:color w:val="000000"/>
          <w:lang w:eastAsia="ja-JP"/>
        </w:rPr>
        <w:t>Chapter 6</w:t>
      </w:r>
    </w:p>
    <w:p w14:paraId="51DD542A" w14:textId="77777777" w:rsidR="001D2DA0" w:rsidRDefault="001D2DA0" w:rsidP="009F0A54">
      <w:pPr>
        <w:spacing w:after="0" w:line="240" w:lineRule="auto"/>
        <w:rPr>
          <w:rFonts w:ascii="Arial" w:eastAsia="Times New Roman" w:hAnsi="Arial" w:cs="Arial"/>
          <w:bCs/>
          <w:color w:val="000000"/>
          <w:lang w:eastAsia="ja-JP"/>
        </w:rPr>
      </w:pPr>
    </w:p>
    <w:p w14:paraId="01AF958A" w14:textId="3E837776" w:rsidR="00BD0A55" w:rsidRDefault="001D2DA0" w:rsidP="009F0A54">
      <w:pPr>
        <w:spacing w:after="0" w:line="240" w:lineRule="auto"/>
        <w:rPr>
          <w:rFonts w:ascii="Arial" w:eastAsia="Times New Roman" w:hAnsi="Arial" w:cs="Arial"/>
          <w:bCs/>
          <w:color w:val="000000"/>
          <w:lang w:eastAsia="ja-JP"/>
        </w:rPr>
      </w:pPr>
      <w:r w:rsidRPr="001D2DA0">
        <w:rPr>
          <w:rFonts w:ascii="Arial" w:eastAsia="Times New Roman" w:hAnsi="Arial" w:cs="Arial"/>
          <w:bCs/>
          <w:color w:val="000000"/>
          <w:lang w:eastAsia="ja-JP"/>
        </w:rPr>
        <w:t xml:space="preserve">Appendix 1. Partial amino acid sequences relating to the most TMM </w:t>
      </w:r>
      <w:r w:rsidR="00FA2FE3">
        <w:rPr>
          <w:rFonts w:ascii="Arial" w:eastAsia="Times New Roman" w:hAnsi="Arial" w:cs="Arial"/>
          <w:bCs/>
          <w:color w:val="000000"/>
          <w:lang w:eastAsia="ja-JP"/>
        </w:rPr>
        <w:tab/>
        <w:t>230</w:t>
      </w:r>
    </w:p>
    <w:p w14:paraId="002BBF26" w14:textId="7BA4D5EF" w:rsidR="001D2DA0" w:rsidRPr="001D2DA0" w:rsidRDefault="001D2DA0" w:rsidP="009F0A54">
      <w:pPr>
        <w:spacing w:after="0" w:line="240" w:lineRule="auto"/>
        <w:rPr>
          <w:rFonts w:ascii="Arial" w:eastAsia="Times New Roman" w:hAnsi="Arial" w:cs="Arial"/>
          <w:bCs/>
          <w:color w:val="000000"/>
          <w:lang w:eastAsia="ja-JP"/>
        </w:rPr>
      </w:pPr>
      <w:r w:rsidRPr="001D2DA0">
        <w:rPr>
          <w:rFonts w:ascii="Arial" w:eastAsia="Times New Roman" w:hAnsi="Arial" w:cs="Arial"/>
          <w:bCs/>
          <w:color w:val="000000"/>
          <w:lang w:eastAsia="ja-JP"/>
        </w:rPr>
        <w:t>and SCRM-like genes in A. punctatos highlighted in Figure 3.</w:t>
      </w:r>
    </w:p>
    <w:p w14:paraId="2A6EDC6D" w14:textId="0A6BFEF7" w:rsidR="001D2DA0" w:rsidRDefault="001D2DA0" w:rsidP="009F0A54">
      <w:pPr>
        <w:spacing w:after="0" w:line="240" w:lineRule="auto"/>
        <w:rPr>
          <w:rFonts w:ascii="Arial" w:eastAsia="Times New Roman" w:hAnsi="Arial" w:cs="Arial"/>
          <w:b/>
          <w:bCs/>
          <w:color w:val="000000"/>
          <w:lang w:eastAsia="ja-JP"/>
        </w:rPr>
      </w:pPr>
    </w:p>
    <w:p w14:paraId="71A9013A" w14:textId="6713CDAD" w:rsidR="001D2DA0" w:rsidRDefault="001D2DA0" w:rsidP="009F0A54">
      <w:pPr>
        <w:spacing w:after="0" w:line="240" w:lineRule="auto"/>
        <w:rPr>
          <w:rFonts w:ascii="Arial" w:eastAsia="Times New Roman" w:hAnsi="Arial" w:cs="Arial"/>
          <w:bCs/>
          <w:color w:val="000000"/>
          <w:lang w:eastAsia="ja-JP"/>
        </w:rPr>
      </w:pPr>
      <w:r w:rsidRPr="001D2DA0">
        <w:rPr>
          <w:rFonts w:ascii="Arial" w:eastAsia="Times New Roman" w:hAnsi="Arial" w:cs="Arial"/>
          <w:bCs/>
          <w:color w:val="000000"/>
          <w:lang w:eastAsia="ja-JP"/>
        </w:rPr>
        <w:t xml:space="preserve">Appendix 2. Accession identifiers for proteins in C. reinhardtii, </w:t>
      </w:r>
      <w:r w:rsidR="00FA2FE3">
        <w:rPr>
          <w:rFonts w:ascii="Arial" w:eastAsia="Times New Roman" w:hAnsi="Arial" w:cs="Arial"/>
          <w:bCs/>
          <w:color w:val="000000"/>
          <w:lang w:eastAsia="ja-JP"/>
        </w:rPr>
        <w:tab/>
      </w:r>
      <w:r w:rsidR="00FA2FE3">
        <w:rPr>
          <w:rFonts w:ascii="Arial" w:eastAsia="Times New Roman" w:hAnsi="Arial" w:cs="Arial"/>
          <w:bCs/>
          <w:color w:val="000000"/>
          <w:lang w:eastAsia="ja-JP"/>
        </w:rPr>
        <w:tab/>
        <w:t>231</w:t>
      </w:r>
    </w:p>
    <w:p w14:paraId="77671E36" w14:textId="77777777" w:rsidR="001D2DA0" w:rsidRDefault="001D2DA0" w:rsidP="009F0A54">
      <w:pPr>
        <w:spacing w:after="0" w:line="240" w:lineRule="auto"/>
        <w:rPr>
          <w:rFonts w:ascii="Arial" w:eastAsia="Times New Roman" w:hAnsi="Arial" w:cs="Arial"/>
          <w:bCs/>
          <w:color w:val="000000"/>
          <w:lang w:eastAsia="ja-JP"/>
        </w:rPr>
      </w:pPr>
      <w:r w:rsidRPr="001D2DA0">
        <w:rPr>
          <w:rFonts w:ascii="Arial" w:eastAsia="Times New Roman" w:hAnsi="Arial" w:cs="Arial"/>
          <w:bCs/>
          <w:color w:val="000000"/>
          <w:lang w:eastAsia="ja-JP"/>
        </w:rPr>
        <w:t xml:space="preserve">K. flaccidum and M. polymorpha that are the most similar to the protein </w:t>
      </w:r>
    </w:p>
    <w:p w14:paraId="3EFCAFC7" w14:textId="77777777" w:rsidR="001D2DA0" w:rsidRDefault="001D2DA0" w:rsidP="009F0A54">
      <w:pPr>
        <w:spacing w:after="0" w:line="240" w:lineRule="auto"/>
        <w:rPr>
          <w:rFonts w:ascii="Arial" w:eastAsia="Times New Roman" w:hAnsi="Arial" w:cs="Arial"/>
          <w:bCs/>
          <w:color w:val="000000"/>
          <w:lang w:eastAsia="ja-JP"/>
        </w:rPr>
      </w:pPr>
      <w:r w:rsidRPr="001D2DA0">
        <w:rPr>
          <w:rFonts w:ascii="Arial" w:eastAsia="Times New Roman" w:hAnsi="Arial" w:cs="Arial"/>
          <w:bCs/>
          <w:color w:val="000000"/>
          <w:lang w:eastAsia="ja-JP"/>
        </w:rPr>
        <w:t xml:space="preserve">coding sequences of P. patens genes involved with stomatal </w:t>
      </w:r>
    </w:p>
    <w:p w14:paraId="6C210F1D" w14:textId="35CE1B5E" w:rsidR="001D2DA0" w:rsidRPr="001D2DA0" w:rsidRDefault="001D2DA0" w:rsidP="009F0A54">
      <w:pPr>
        <w:spacing w:after="0" w:line="240" w:lineRule="auto"/>
        <w:rPr>
          <w:rFonts w:ascii="Arial" w:eastAsia="Times New Roman" w:hAnsi="Arial" w:cs="Arial"/>
          <w:bCs/>
          <w:color w:val="000000"/>
          <w:lang w:eastAsia="ja-JP"/>
        </w:rPr>
      </w:pPr>
      <w:r w:rsidRPr="001D2DA0">
        <w:rPr>
          <w:rFonts w:ascii="Arial" w:eastAsia="Times New Roman" w:hAnsi="Arial" w:cs="Arial"/>
          <w:bCs/>
          <w:color w:val="000000"/>
          <w:lang w:eastAsia="ja-JP"/>
        </w:rPr>
        <w:t>development.</w:t>
      </w:r>
    </w:p>
    <w:p w14:paraId="2995464D" w14:textId="77777777" w:rsidR="001D2DA0" w:rsidRDefault="001D2DA0" w:rsidP="009F0A54">
      <w:pPr>
        <w:spacing w:after="0" w:line="240" w:lineRule="auto"/>
        <w:rPr>
          <w:rFonts w:ascii="Arial" w:eastAsia="Times New Roman" w:hAnsi="Arial" w:cs="Arial"/>
          <w:bCs/>
          <w:color w:val="000000"/>
          <w:lang w:eastAsia="ja-JP"/>
        </w:rPr>
      </w:pPr>
    </w:p>
    <w:p w14:paraId="704D3458" w14:textId="6C9E49AF" w:rsidR="003A48AB" w:rsidRPr="00FA2FE3" w:rsidRDefault="009F0A54" w:rsidP="009F0A54">
      <w:pPr>
        <w:spacing w:after="0" w:line="240" w:lineRule="auto"/>
        <w:rPr>
          <w:rFonts w:ascii="Arial" w:eastAsia="Times New Roman" w:hAnsi="Arial" w:cs="Arial"/>
          <w:b/>
          <w:bCs/>
          <w:color w:val="000000"/>
          <w:lang w:eastAsia="ja-JP"/>
        </w:rPr>
      </w:pPr>
      <w:r w:rsidRPr="00FA2FE3">
        <w:rPr>
          <w:rFonts w:ascii="Arial" w:eastAsia="Times New Roman" w:hAnsi="Arial" w:cs="Arial"/>
          <w:b/>
          <w:bCs/>
          <w:color w:val="000000"/>
          <w:lang w:eastAsia="ja-JP"/>
        </w:rPr>
        <w:t>Accompanying manuscript</w:t>
      </w:r>
      <w:r w:rsidR="001D2DA0" w:rsidRPr="00FA2FE3">
        <w:rPr>
          <w:rFonts w:ascii="Arial" w:eastAsia="Times New Roman" w:hAnsi="Arial" w:cs="Arial"/>
          <w:b/>
          <w:bCs/>
          <w:color w:val="000000"/>
          <w:lang w:eastAsia="ja-JP"/>
        </w:rPr>
        <w:t>s</w:t>
      </w:r>
    </w:p>
    <w:p w14:paraId="5CDE1332" w14:textId="4047033E" w:rsidR="003A48AB" w:rsidRDefault="003A48AB" w:rsidP="009F0A54">
      <w:pPr>
        <w:spacing w:after="0" w:line="240" w:lineRule="auto"/>
        <w:rPr>
          <w:rFonts w:ascii="Arial" w:eastAsia="Times New Roman" w:hAnsi="Arial" w:cs="Arial"/>
          <w:bCs/>
          <w:color w:val="000000"/>
          <w:lang w:eastAsia="ja-JP"/>
        </w:rPr>
      </w:pPr>
    </w:p>
    <w:p w14:paraId="7F544ADE" w14:textId="2B9AC125" w:rsidR="00BD0A55" w:rsidRDefault="00BD0A55" w:rsidP="009F0A54">
      <w:pPr>
        <w:spacing w:after="0" w:line="240" w:lineRule="auto"/>
        <w:rPr>
          <w:rFonts w:ascii="Arial" w:eastAsia="Times New Roman" w:hAnsi="Arial" w:cs="Arial"/>
          <w:bCs/>
          <w:color w:val="000000"/>
          <w:lang w:eastAsia="ja-JP"/>
        </w:rPr>
      </w:pPr>
      <w:r w:rsidRPr="00BD0A55">
        <w:rPr>
          <w:rFonts w:ascii="Arial" w:eastAsia="Times New Roman" w:hAnsi="Arial" w:cs="Arial"/>
          <w:bCs/>
          <w:color w:val="000000"/>
          <w:lang w:eastAsia="ja-JP"/>
        </w:rPr>
        <w:t>Caine, R., Chater, C. C., Kamisugi, Y., Cuming, A. C., Beerling, D. J., Gray, J. E. and Fleming, A. J. (2016). An ancestral stomatal patterning module revealed in the non-vascular land plant Physcomitrella patens. Development.</w:t>
      </w:r>
    </w:p>
    <w:p w14:paraId="3643A8F2" w14:textId="77777777" w:rsidR="00BD0A55" w:rsidRDefault="00BD0A55" w:rsidP="009F0A54">
      <w:pPr>
        <w:spacing w:after="0" w:line="240" w:lineRule="auto"/>
        <w:rPr>
          <w:rFonts w:ascii="Arial" w:eastAsia="Times New Roman" w:hAnsi="Arial" w:cs="Arial"/>
          <w:bCs/>
          <w:color w:val="000000"/>
          <w:lang w:eastAsia="ja-JP"/>
        </w:rPr>
      </w:pPr>
    </w:p>
    <w:p w14:paraId="1D2B873B" w14:textId="050F47D7" w:rsidR="00BD0A55" w:rsidRPr="003A48AB" w:rsidRDefault="00BD0A55" w:rsidP="009F0A54">
      <w:pPr>
        <w:spacing w:after="0" w:line="240" w:lineRule="auto"/>
        <w:rPr>
          <w:rFonts w:ascii="Arial" w:eastAsia="Times New Roman" w:hAnsi="Arial" w:cs="Arial"/>
          <w:bCs/>
          <w:color w:val="000000"/>
          <w:lang w:eastAsia="ja-JP"/>
        </w:rPr>
      </w:pPr>
      <w:r w:rsidRPr="00BD0A55">
        <w:rPr>
          <w:rFonts w:ascii="Arial" w:eastAsia="Times New Roman" w:hAnsi="Arial" w:cs="Arial"/>
          <w:bCs/>
          <w:color w:val="000000"/>
          <w:lang w:eastAsia="ja-JP"/>
        </w:rPr>
        <w:t>Chater, C. C., Caine, R. S., Tomek, M., Wallace, S., Kamisugi, Y., Cuming, A. C., Lang, D., MacAlister, C. A., Casson, S., Bergmann, D. C., et al. (2016). Origin and function of stomata in the moss Physcomitrella patens. Nature plants 2, 16179.</w:t>
      </w:r>
    </w:p>
    <w:p w14:paraId="7281B884" w14:textId="77777777" w:rsidR="001D2DA0" w:rsidRDefault="001D2DA0" w:rsidP="001D2DA0">
      <w:pPr>
        <w:tabs>
          <w:tab w:val="left" w:pos="6663"/>
        </w:tabs>
        <w:spacing w:after="160" w:line="360" w:lineRule="auto"/>
        <w:rPr>
          <w:rFonts w:ascii="Arial" w:eastAsia="Times New Roman" w:hAnsi="Arial" w:cs="Arial"/>
          <w:color w:val="000000"/>
          <w:sz w:val="56"/>
          <w:szCs w:val="56"/>
          <w:u w:val="single"/>
        </w:rPr>
      </w:pPr>
    </w:p>
    <w:p w14:paraId="04A2E1F9" w14:textId="77777777" w:rsidR="001D2DA0" w:rsidRDefault="001D2DA0" w:rsidP="001D2DA0">
      <w:pPr>
        <w:tabs>
          <w:tab w:val="left" w:pos="6663"/>
        </w:tabs>
        <w:spacing w:after="160" w:line="360" w:lineRule="auto"/>
        <w:rPr>
          <w:rFonts w:ascii="Arial" w:eastAsia="Times New Roman" w:hAnsi="Arial" w:cs="Arial"/>
          <w:color w:val="000000"/>
          <w:sz w:val="56"/>
          <w:szCs w:val="56"/>
          <w:u w:val="single"/>
        </w:rPr>
      </w:pPr>
    </w:p>
    <w:p w14:paraId="752BB01F" w14:textId="77777777" w:rsidR="001D2DA0" w:rsidRDefault="001D2DA0" w:rsidP="001D2DA0">
      <w:pPr>
        <w:tabs>
          <w:tab w:val="left" w:pos="6663"/>
        </w:tabs>
        <w:spacing w:after="160" w:line="360" w:lineRule="auto"/>
        <w:rPr>
          <w:rFonts w:ascii="Arial" w:eastAsia="Times New Roman" w:hAnsi="Arial" w:cs="Arial"/>
          <w:color w:val="000000"/>
          <w:sz w:val="56"/>
          <w:szCs w:val="56"/>
          <w:u w:val="single"/>
        </w:rPr>
      </w:pPr>
    </w:p>
    <w:p w14:paraId="0B3FF0B0" w14:textId="77777777" w:rsidR="00BD0A55" w:rsidRDefault="00BD0A55" w:rsidP="001D2DA0">
      <w:pPr>
        <w:tabs>
          <w:tab w:val="left" w:pos="6663"/>
        </w:tabs>
        <w:spacing w:after="160" w:line="360" w:lineRule="auto"/>
        <w:rPr>
          <w:rFonts w:ascii="Arial" w:eastAsia="Times New Roman" w:hAnsi="Arial" w:cs="Arial"/>
          <w:color w:val="000000"/>
          <w:sz w:val="56"/>
          <w:szCs w:val="56"/>
          <w:u w:val="single"/>
        </w:rPr>
        <w:sectPr w:rsidR="00BD0A55" w:rsidSect="00FA2FE3">
          <w:footerReference w:type="default" r:id="rId9"/>
          <w:pgSz w:w="11906" w:h="16838"/>
          <w:pgMar w:top="1440" w:right="1440" w:bottom="1440" w:left="2268" w:header="709" w:footer="709" w:gutter="0"/>
          <w:pgNumType w:fmt="lowerRoman" w:start="1"/>
          <w:cols w:space="708"/>
          <w:docGrid w:linePitch="360"/>
        </w:sectPr>
      </w:pPr>
    </w:p>
    <w:p w14:paraId="0107392A" w14:textId="15D443F6" w:rsidR="001D2DA0" w:rsidRDefault="001D2DA0" w:rsidP="001D2DA0">
      <w:pPr>
        <w:tabs>
          <w:tab w:val="left" w:pos="6663"/>
        </w:tabs>
        <w:spacing w:after="160" w:line="360" w:lineRule="auto"/>
        <w:rPr>
          <w:rFonts w:ascii="Arial" w:eastAsia="Times New Roman" w:hAnsi="Arial" w:cs="Arial"/>
          <w:color w:val="000000"/>
          <w:sz w:val="56"/>
          <w:szCs w:val="56"/>
          <w:u w:val="single"/>
        </w:rPr>
      </w:pPr>
    </w:p>
    <w:p w14:paraId="4F6A748F" w14:textId="77777777" w:rsidR="00BD0A55" w:rsidRDefault="00BD0A55" w:rsidP="001D2DA0">
      <w:pPr>
        <w:tabs>
          <w:tab w:val="left" w:pos="6663"/>
        </w:tabs>
        <w:spacing w:after="160" w:line="360" w:lineRule="auto"/>
        <w:rPr>
          <w:rFonts w:ascii="Arial" w:eastAsia="Times New Roman" w:hAnsi="Arial" w:cs="Arial"/>
          <w:color w:val="000000"/>
          <w:sz w:val="56"/>
          <w:szCs w:val="56"/>
          <w:u w:val="single"/>
        </w:rPr>
      </w:pPr>
    </w:p>
    <w:p w14:paraId="5A9208E3" w14:textId="77777777" w:rsidR="00BD0A55" w:rsidRDefault="00BD0A55" w:rsidP="001D2DA0">
      <w:pPr>
        <w:tabs>
          <w:tab w:val="left" w:pos="6663"/>
        </w:tabs>
        <w:spacing w:after="160" w:line="360" w:lineRule="auto"/>
        <w:rPr>
          <w:rFonts w:ascii="Arial" w:eastAsia="Times New Roman" w:hAnsi="Arial" w:cs="Arial"/>
          <w:color w:val="000000"/>
          <w:sz w:val="56"/>
          <w:szCs w:val="56"/>
          <w:u w:val="single"/>
        </w:rPr>
      </w:pPr>
    </w:p>
    <w:p w14:paraId="357E8042" w14:textId="77777777" w:rsidR="00BD0A55" w:rsidRDefault="00BD0A55" w:rsidP="001D2DA0">
      <w:pPr>
        <w:tabs>
          <w:tab w:val="left" w:pos="6663"/>
        </w:tabs>
        <w:spacing w:after="160" w:line="360" w:lineRule="auto"/>
        <w:rPr>
          <w:rFonts w:ascii="Arial" w:eastAsia="Times New Roman" w:hAnsi="Arial" w:cs="Arial"/>
          <w:color w:val="000000"/>
          <w:sz w:val="56"/>
          <w:szCs w:val="56"/>
          <w:u w:val="single"/>
        </w:rPr>
      </w:pPr>
    </w:p>
    <w:p w14:paraId="23AA1B27" w14:textId="6375B3C5" w:rsidR="001D2DA0" w:rsidRDefault="001D2DA0" w:rsidP="001D2DA0">
      <w:pPr>
        <w:tabs>
          <w:tab w:val="left" w:pos="6663"/>
        </w:tabs>
        <w:spacing w:after="160" w:line="360" w:lineRule="auto"/>
        <w:rPr>
          <w:rFonts w:ascii="Arial" w:eastAsia="Times New Roman" w:hAnsi="Arial" w:cs="Arial"/>
          <w:color w:val="000000"/>
          <w:sz w:val="56"/>
          <w:szCs w:val="56"/>
          <w:u w:val="single"/>
        </w:rPr>
      </w:pPr>
      <w:r>
        <w:rPr>
          <w:rFonts w:ascii="Arial" w:eastAsia="Times New Roman" w:hAnsi="Arial" w:cs="Arial"/>
          <w:color w:val="000000"/>
          <w:sz w:val="56"/>
          <w:szCs w:val="56"/>
          <w:u w:val="single"/>
        </w:rPr>
        <w:t>Chapter 1:</w:t>
      </w:r>
    </w:p>
    <w:p w14:paraId="3534E312" w14:textId="059DA3BF" w:rsidR="00530CCE" w:rsidRPr="00476449" w:rsidRDefault="001D2DA0" w:rsidP="00476449">
      <w:pPr>
        <w:spacing w:after="160" w:line="360" w:lineRule="auto"/>
        <w:rPr>
          <w:rFonts w:ascii="Arial" w:hAnsi="Arial" w:cs="Arial"/>
          <w:sz w:val="56"/>
          <w:u w:val="single"/>
        </w:rPr>
        <w:sectPr w:rsidR="00530CCE" w:rsidRPr="00476449" w:rsidSect="00476449">
          <w:pgSz w:w="11906" w:h="16838"/>
          <w:pgMar w:top="1440" w:right="1440" w:bottom="1440" w:left="2268" w:header="709" w:footer="709" w:gutter="0"/>
          <w:pgNumType w:start="1"/>
          <w:cols w:space="708"/>
          <w:docGrid w:linePitch="360"/>
        </w:sectPr>
      </w:pPr>
      <w:r>
        <w:rPr>
          <w:rFonts w:ascii="Arial" w:hAnsi="Arial" w:cs="Arial"/>
          <w:sz w:val="56"/>
          <w:u w:val="single"/>
        </w:rPr>
        <w:t>Introduction</w:t>
      </w:r>
    </w:p>
    <w:p w14:paraId="0745F18F" w14:textId="2AA28609" w:rsidR="00311AE8" w:rsidRPr="00FA7F73" w:rsidRDefault="00311AE8" w:rsidP="00311AE8">
      <w:pPr>
        <w:spacing w:after="160" w:line="360" w:lineRule="auto"/>
        <w:rPr>
          <w:rFonts w:ascii="Arial" w:hAnsi="Arial" w:cs="Arial"/>
          <w:u w:val="single"/>
        </w:rPr>
      </w:pPr>
      <w:r>
        <w:rPr>
          <w:rFonts w:ascii="Arial" w:hAnsi="Arial" w:cs="Arial"/>
          <w:u w:val="single"/>
        </w:rPr>
        <w:lastRenderedPageBreak/>
        <w:t>1.1 The importance of land plants</w:t>
      </w:r>
    </w:p>
    <w:p w14:paraId="2150BFCF" w14:textId="77777777" w:rsidR="00311AE8" w:rsidRPr="00FA7F73" w:rsidRDefault="00311AE8" w:rsidP="00311AE8">
      <w:pPr>
        <w:spacing w:after="160" w:line="360" w:lineRule="auto"/>
        <w:rPr>
          <w:rFonts w:ascii="Arial" w:hAnsi="Arial" w:cs="Arial"/>
          <w:u w:val="single"/>
        </w:rPr>
      </w:pPr>
      <w:r>
        <w:rPr>
          <w:rFonts w:ascii="Arial" w:hAnsi="Arial" w:cs="Arial"/>
        </w:rPr>
        <w:t>Current evidence suggests that the</w:t>
      </w:r>
      <w:r w:rsidRPr="00FA7F73">
        <w:rPr>
          <w:rFonts w:ascii="Arial" w:hAnsi="Arial" w:cs="Arial"/>
        </w:rPr>
        <w:t xml:space="preserve"> ancestors of extant land plants </w:t>
      </w:r>
      <w:r>
        <w:rPr>
          <w:rFonts w:ascii="Arial" w:hAnsi="Arial" w:cs="Arial"/>
        </w:rPr>
        <w:t>made the transition</w:t>
      </w:r>
      <w:r w:rsidRPr="00FA7F73">
        <w:rPr>
          <w:rFonts w:ascii="Arial" w:hAnsi="Arial" w:cs="Arial"/>
        </w:rPr>
        <w:t xml:space="preserve"> from the ocean to land</w:t>
      </w:r>
      <w:r>
        <w:rPr>
          <w:rFonts w:ascii="Arial" w:hAnsi="Arial" w:cs="Arial"/>
        </w:rPr>
        <w:t xml:space="preserve"> at least 475 million years ago (MYA) </w:t>
      </w:r>
      <w:r>
        <w:rPr>
          <w:rFonts w:ascii="Arial" w:hAnsi="Arial" w:cs="Arial"/>
        </w:rPr>
        <w:fldChar w:fldCharType="begin">
          <w:fldData xml:space="preserve">PEVuZE5vdGU+PENpdGU+PEF1dGhvcj5XZWxsbWFuPC9BdXRob3I+PFllYXI+MjAwMzwvWWVhcj48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</w:fldData>
        </w:fldChar>
      </w:r>
      <w:r>
        <w:rPr>
          <w:rFonts w:ascii="Arial" w:hAnsi="Arial" w:cs="Arial"/>
        </w:rPr>
        <w:instrText xml:space="preserve"> ADDIN EN.CITE </w:instrText>
      </w:r>
      <w:r>
        <w:rPr>
          <w:rFonts w:ascii="Arial" w:hAnsi="Arial" w:cs="Arial"/>
        </w:rPr>
        <w:fldChar w:fldCharType="begin">
          <w:fldData xml:space="preserve">PEVuZE5vdGU+PENpdGU+PEF1dGhvcj5XZWxsbWFuPC9BdXRob3I+PFllYXI+MjAwMzwvWWVhcj48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(Kenrick and Crane, 1997; Strother et al., 1996; Wellman et al., 2003)</w:t>
      </w:r>
      <w:r>
        <w:rPr>
          <w:rFonts w:ascii="Arial" w:hAnsi="Arial" w:cs="Arial"/>
        </w:rPr>
        <w:fldChar w:fldCharType="end"/>
      </w:r>
      <w:r w:rsidRPr="00FA7F73">
        <w:rPr>
          <w:rFonts w:ascii="Arial" w:hAnsi="Arial" w:cs="Arial"/>
        </w:rPr>
        <w:t xml:space="preserve">. By making such a </w:t>
      </w:r>
      <w:r>
        <w:rPr>
          <w:rFonts w:ascii="Arial" w:hAnsi="Arial" w:cs="Arial"/>
        </w:rPr>
        <w:t>journey</w:t>
      </w:r>
      <w:r w:rsidRPr="00FA7F73">
        <w:rPr>
          <w:rFonts w:ascii="Arial" w:hAnsi="Arial" w:cs="Arial"/>
        </w:rPr>
        <w:t xml:space="preserve">, </w:t>
      </w:r>
      <w:r>
        <w:rPr>
          <w:rFonts w:ascii="Arial" w:hAnsi="Arial" w:cs="Arial"/>
        </w:rPr>
        <w:t xml:space="preserve">pioneering plants </w:t>
      </w:r>
      <w:r w:rsidRPr="00FA7F73">
        <w:rPr>
          <w:rFonts w:ascii="Arial" w:hAnsi="Arial" w:cs="Arial"/>
        </w:rPr>
        <w:t>began to evolve the many structural adaptations that have subsequently led to the remarkable evolutionary success</w:t>
      </w:r>
      <w:r>
        <w:rPr>
          <w:rFonts w:ascii="Arial" w:hAnsi="Arial" w:cs="Arial"/>
        </w:rPr>
        <w:t xml:space="preserve"> </w:t>
      </w:r>
      <w:r w:rsidRPr="00FA7F73">
        <w:rPr>
          <w:rFonts w:ascii="Arial" w:hAnsi="Arial" w:cs="Arial"/>
        </w:rPr>
        <w:t xml:space="preserve">exhibited in their modern day land plant relatives </w:t>
      </w:r>
      <w:r w:rsidRPr="00FA7F73">
        <w:rPr>
          <w:rFonts w:ascii="Arial" w:hAnsi="Arial" w:cs="Arial"/>
        </w:rPr>
        <w:fldChar w:fldCharType="begin">
          <w:fldData xml:space="preserve">PEVuZE5vdGU+PENpdGU+PEF1dGhvcj5CZWVybGluZzwvQXV0aG9yPjxZZWFyPjIwMDc8L1llYXI+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</w:fldData>
        </w:fldChar>
      </w:r>
      <w:r>
        <w:rPr>
          <w:rFonts w:ascii="Arial" w:hAnsi="Arial" w:cs="Arial"/>
        </w:rPr>
        <w:instrText xml:space="preserve"> ADDIN EN.CITE </w:instrText>
      </w:r>
      <w:r>
        <w:rPr>
          <w:rFonts w:ascii="Arial" w:hAnsi="Arial" w:cs="Arial"/>
        </w:rPr>
        <w:fldChar w:fldCharType="begin">
          <w:fldData xml:space="preserve">PEVuZE5vdGU+PENpdGU+PEF1dGhvcj5CZWVybGluZzwvQXV0aG9yPjxZZWFyPjIwMDc8L1llYXI+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sidRPr="00FA7F73">
        <w:rPr>
          <w:rFonts w:ascii="Arial" w:hAnsi="Arial" w:cs="Arial"/>
          <w:noProof/>
        </w:rPr>
        <w:t>(Beerling, 2007; Berry et al., 2010; Jones and Dolan, 2012; Karol et al., 2001)</w:t>
      </w:r>
      <w:r w:rsidRPr="00FA7F73">
        <w:rPr>
          <w:rFonts w:ascii="Arial" w:hAnsi="Arial" w:cs="Arial"/>
        </w:rPr>
        <w:fldChar w:fldCharType="end"/>
      </w:r>
      <w:r w:rsidRPr="00FA7F73">
        <w:rPr>
          <w:rFonts w:ascii="Arial" w:hAnsi="Arial" w:cs="Arial"/>
        </w:rPr>
        <w:t>. Aside from the perpetuation of their genes, as plants continued to flourish they began to increasingly contribute to their surrounding environments which in-turn led to an impact on various global cycles</w:t>
      </w:r>
      <w:r>
        <w:rPr>
          <w:rFonts w:ascii="Arial" w:hAnsi="Arial" w:cs="Arial"/>
        </w:rPr>
        <w:t xml:space="preserve"> </w:t>
      </w:r>
      <w:r>
        <w:rPr>
          <w:rFonts w:ascii="Arial" w:hAnsi="Arial" w:cs="Arial"/>
        </w:rPr>
        <w:fldChar w:fldCharType="begin">
          <w:fldData xml:space="preserve">PEVuZE5vdGU+PENpdGU+PEF1dGhvcj5RdWlyazwvQXV0aG9yPjxZZWFyPjIwMTU8L1llYXI+PElE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</w:fldData>
        </w:fldChar>
      </w:r>
      <w:r>
        <w:rPr>
          <w:rFonts w:ascii="Arial" w:hAnsi="Arial" w:cs="Arial"/>
        </w:rPr>
        <w:instrText xml:space="preserve"> ADDIN EN.CITE </w:instrText>
      </w:r>
      <w:r>
        <w:rPr>
          <w:rFonts w:ascii="Arial" w:hAnsi="Arial" w:cs="Arial"/>
        </w:rPr>
        <w:fldChar w:fldCharType="begin">
          <w:fldData xml:space="preserve">PEVuZE5vdGU+PENpdGU+PEF1dGhvcj5RdWlyazwvQXV0aG9yPjxZZWFyPjIwMTU8L1llYXI+PElE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(Beerling and Berner, 2005; Gibling and Davies, 2012; Lenton et al., 2012; Quirk et al., 2015)</w:t>
      </w:r>
      <w:r>
        <w:rPr>
          <w:rFonts w:ascii="Arial" w:hAnsi="Arial" w:cs="Arial"/>
        </w:rPr>
        <w:fldChar w:fldCharType="end"/>
      </w:r>
      <w:r w:rsidRPr="00FA7F73">
        <w:rPr>
          <w:rFonts w:ascii="Arial" w:hAnsi="Arial" w:cs="Arial"/>
        </w:rPr>
        <w:t>. These contributions included but are not limited to: partaking in global atmospheric gaseous exchanges</w:t>
      </w:r>
      <w:r>
        <w:rPr>
          <w:rFonts w:ascii="Arial" w:hAnsi="Arial" w:cs="Arial"/>
        </w:rPr>
        <w:t xml:space="preserve"> (particularly the carbon cycle)</w:t>
      </w:r>
      <w:r w:rsidRPr="00FA7F73">
        <w:rPr>
          <w:rFonts w:ascii="Arial" w:hAnsi="Arial" w:cs="Arial"/>
        </w:rPr>
        <w:t xml:space="preserve">, aiding in nutrient cycling and participating in maintaining the structural integrity of lands surfaces. Of course, in addition, plants have provided the necessary sustenance for a vast range of life forms to evolve and as such have been and are the cornerstone to much of life on earth. Their importance therefore in relation to the history of the earth and all its inhabitants cannot be understated.  </w:t>
      </w:r>
    </w:p>
    <w:p w14:paraId="31DB3F44" w14:textId="77777777" w:rsidR="00311AE8" w:rsidRPr="00FA7F73" w:rsidRDefault="00311AE8" w:rsidP="00311AE8">
      <w:pPr>
        <w:spacing w:after="160" w:line="360" w:lineRule="auto"/>
        <w:rPr>
          <w:rFonts w:ascii="Arial" w:hAnsi="Arial" w:cs="Arial"/>
          <w:u w:val="single"/>
        </w:rPr>
      </w:pPr>
      <w:r>
        <w:rPr>
          <w:rFonts w:ascii="Arial" w:hAnsi="Arial" w:cs="Arial"/>
          <w:u w:val="single"/>
        </w:rPr>
        <w:t xml:space="preserve">1.2 </w:t>
      </w:r>
      <w:r w:rsidRPr="00E5501E">
        <w:rPr>
          <w:rFonts w:ascii="Arial" w:hAnsi="Arial" w:cs="Arial"/>
          <w:u w:val="single"/>
        </w:rPr>
        <w:t>Ancient plant fossils and an overview of land plant evolutionary history</w:t>
      </w:r>
      <w:r w:rsidRPr="00FA7F73">
        <w:rPr>
          <w:rFonts w:ascii="Arial" w:hAnsi="Arial" w:cs="Arial"/>
          <w:u w:val="single"/>
        </w:rPr>
        <w:t xml:space="preserve"> </w:t>
      </w:r>
    </w:p>
    <w:p w14:paraId="4316F017" w14:textId="77777777" w:rsidR="00311AE8" w:rsidRDefault="00311AE8" w:rsidP="00311AE8">
      <w:pPr>
        <w:spacing w:after="160" w:line="360" w:lineRule="auto"/>
        <w:rPr>
          <w:rFonts w:ascii="Arial" w:hAnsi="Arial" w:cs="Arial"/>
        </w:rPr>
      </w:pPr>
      <w:r w:rsidRPr="00FA7F73">
        <w:rPr>
          <w:rFonts w:ascii="Arial" w:hAnsi="Arial" w:cs="Arial"/>
        </w:rPr>
        <w:t>The earliest land plant remains thus far discovered are</w:t>
      </w:r>
      <w:r>
        <w:rPr>
          <w:rFonts w:ascii="Arial" w:hAnsi="Arial" w:cs="Arial"/>
        </w:rPr>
        <w:t xml:space="preserve"> from</w:t>
      </w:r>
      <w:r w:rsidRPr="00FA7F73">
        <w:rPr>
          <w:rFonts w:ascii="Arial" w:hAnsi="Arial" w:cs="Arial"/>
        </w:rPr>
        <w:t xml:space="preserve"> </w:t>
      </w:r>
      <w:r>
        <w:rPr>
          <w:rFonts w:ascii="Arial" w:hAnsi="Arial" w:cs="Arial"/>
        </w:rPr>
        <w:t xml:space="preserve">microscopic </w:t>
      </w:r>
      <w:r w:rsidRPr="00FA7F73">
        <w:rPr>
          <w:rFonts w:ascii="Arial" w:hAnsi="Arial" w:cs="Arial"/>
        </w:rPr>
        <w:t xml:space="preserve">spores </w:t>
      </w:r>
      <w:r>
        <w:rPr>
          <w:rFonts w:ascii="Arial" w:hAnsi="Arial" w:cs="Arial"/>
        </w:rPr>
        <w:t xml:space="preserve">(termed microfossils) </w:t>
      </w:r>
      <w:r w:rsidRPr="00FA7F73">
        <w:rPr>
          <w:rFonts w:ascii="Arial" w:hAnsi="Arial" w:cs="Arial"/>
        </w:rPr>
        <w:t xml:space="preserve">dating </w:t>
      </w:r>
      <w:r>
        <w:rPr>
          <w:rFonts w:ascii="Arial" w:hAnsi="Arial" w:cs="Arial"/>
        </w:rPr>
        <w:t>to</w:t>
      </w:r>
      <w:r w:rsidRPr="00FA7F73">
        <w:rPr>
          <w:rFonts w:ascii="Arial" w:hAnsi="Arial" w:cs="Arial"/>
        </w:rPr>
        <w:t xml:space="preserve"> around 475 </w:t>
      </w:r>
      <w:r>
        <w:rPr>
          <w:rFonts w:ascii="Arial" w:hAnsi="Arial" w:cs="Arial"/>
        </w:rPr>
        <w:t>MYA</w:t>
      </w:r>
      <w:r w:rsidRPr="00FA7F73">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&lt;EndNote&gt;&lt;Cite&gt;&lt;Author&gt;Strother&lt;/Author&gt;&lt;Year&gt;1996&lt;/Year&gt;&lt;IDText&gt;New evidence for land plants from the lower Middle&lt;/IDText&gt;&lt;DisplayText&gt;(Strother et al., 1996; Wellman et al., 2003)&lt;/DisplayText&gt;&lt;record&gt;&lt;titles&gt;&lt;title&gt;New evidence for land plants from the lower Middle&amp;#xA;Ordovician of Saudi Arabia&lt;/title&gt;&lt;secondary-title&gt;Geology&lt;/secondary-title&gt;&lt;/titles&gt;&lt;pages&gt;55-58&lt;/pages&gt;&lt;number&gt;1&lt;/number&gt;&lt;contributors&gt;&lt;authors&gt;&lt;author&gt;Strother, P. K.&lt;/author&gt;&lt;author&gt;Al-Hajri, S.&lt;/author&gt;&lt;author&gt;Traverse, A.&lt;/author&gt;&lt;/authors&gt;&lt;/contributors&gt;&lt;added-date format="utc"&gt;1465797112&lt;/added-date&gt;&lt;ref-type name="Journal Article"&gt;17&lt;/ref-type&gt;&lt;dates&gt;&lt;year&gt;1996&lt;/year&gt;&lt;/dates&gt;&lt;rec-number&gt;1294&lt;/rec-number&gt;&lt;last-updated-date format="utc"&gt;1465797229&lt;/last-updated-date&gt;&lt;volume&gt;24&lt;/volume&gt;&lt;/record&gt;&lt;/Cite&gt;&lt;Cite&gt;&lt;Author&gt;Wellman&lt;/Author&gt;&lt;Year&gt;2003&lt;/Year&gt;&lt;IDText&gt;Fragments of the earliest land plants&lt;/IDText&gt;&lt;record&gt;&lt;dates&gt;&lt;pub-dates&gt;&lt;date&gt;Sep&lt;/date&gt;&lt;/pub-dates&gt;&lt;year&gt;2003&lt;/year&gt;&lt;/dates&gt;&lt;urls&gt;&lt;related-urls&gt;&lt;url&gt;&amp;lt;Go to ISI&amp;gt;://WOS:000185370900041&lt;/url&gt;&lt;/related-urls&gt;&lt;/urls&gt;&lt;isbn&gt;0028-0836&lt;/isbn&gt;&lt;titles&gt;&lt;title&gt;Fragments of the earliest land plants&lt;/title&gt;&lt;secondary-title&gt;Nature&lt;/secondary-title&gt;&lt;/titles&gt;&lt;pages&gt;282-285&lt;/pages&gt;&lt;number&gt;6955&lt;/number&gt;&lt;contributors&gt;&lt;authors&gt;&lt;author&gt;Wellman, C. H.&lt;/author&gt;&lt;author&gt;Osterloff, P. L.&lt;/author&gt;&lt;author&gt;Mohiuddin, U.&lt;/author&gt;&lt;/authors&gt;&lt;/contributors&gt;&lt;added-date format="utc"&gt;1380112953&lt;/added-date&gt;&lt;ref-type name="Journal Article"&gt;17&lt;/ref-type&gt;&lt;rec-number&gt;109&lt;/rec-number&gt;&lt;last-updated-date format="utc"&gt;1380112953&lt;/last-updated-date&gt;&lt;accession-num&gt;WOS:000185370900041&lt;/accession-num&gt;&lt;electronic-resource-num&gt;10.1038/nature01884&lt;/electronic-resource-num&gt;&lt;volume&gt;425&lt;/volume&gt;&lt;/record&gt;&lt;/Cite&gt;&lt;/EndNote&gt;</w:instrText>
      </w:r>
      <w:r>
        <w:rPr>
          <w:rFonts w:ascii="Arial" w:hAnsi="Arial" w:cs="Arial"/>
        </w:rPr>
        <w:fldChar w:fldCharType="separate"/>
      </w:r>
      <w:r>
        <w:rPr>
          <w:rFonts w:ascii="Arial" w:hAnsi="Arial" w:cs="Arial"/>
          <w:noProof/>
        </w:rPr>
        <w:t>(Strother et al., 1996; Wellman et al., 2003)</w:t>
      </w:r>
      <w:r>
        <w:rPr>
          <w:rFonts w:ascii="Arial" w:hAnsi="Arial" w:cs="Arial"/>
        </w:rPr>
        <w:fldChar w:fldCharType="end"/>
      </w:r>
      <w:r w:rsidRPr="00FA7F73">
        <w:rPr>
          <w:rFonts w:ascii="Arial" w:hAnsi="Arial" w:cs="Arial"/>
        </w:rPr>
        <w:t xml:space="preserve">. Owing to their morphological similarity with modern day liverwort spores it </w:t>
      </w:r>
      <w:r>
        <w:rPr>
          <w:rFonts w:ascii="Arial" w:hAnsi="Arial" w:cs="Arial"/>
        </w:rPr>
        <w:t xml:space="preserve">has been suggested </w:t>
      </w:r>
      <w:r w:rsidRPr="00FA7F73">
        <w:rPr>
          <w:rFonts w:ascii="Arial" w:hAnsi="Arial" w:cs="Arial"/>
        </w:rPr>
        <w:t xml:space="preserve">that such spores came from an ancestor which had liverwort-like morphology </w:t>
      </w:r>
      <w:r w:rsidRPr="00FA7F73">
        <w:rPr>
          <w:rFonts w:ascii="Arial" w:hAnsi="Arial" w:cs="Arial"/>
        </w:rPr>
        <w:fldChar w:fldCharType="begin"/>
      </w:r>
      <w:r w:rsidRPr="00FA7F73">
        <w:rPr>
          <w:rFonts w:ascii="Arial" w:hAnsi="Arial" w:cs="Arial"/>
        </w:rPr>
        <w:instrText xml:space="preserve"> ADDIN EN.CITE &lt;EndNote&gt;&lt;Cite&gt;&lt;Author&gt;Wellman&lt;/Author&gt;&lt;Year&gt;2003&lt;/Year&gt;&lt;IDText&gt;Fragments of the earliest land plants&lt;/IDText&gt;&lt;DisplayText&gt;(Wellman et al., 2003)&lt;/DisplayText&gt;&lt;record&gt;&lt;dates&gt;&lt;pub-dates&gt;&lt;date&gt;Sep&lt;/date&gt;&lt;/pub-dates&gt;&lt;year&gt;2003&lt;/year&gt;&lt;/dates&gt;&lt;urls&gt;&lt;related-urls&gt;&lt;url&gt;&amp;lt;Go to ISI&amp;gt;://WOS:000185370900041&lt;/url&gt;&lt;/related-urls&gt;&lt;/urls&gt;&lt;isbn&gt;0028-0836&lt;/isbn&gt;&lt;titles&gt;&lt;title&gt;Fragments of the earliest land plants&lt;/title&gt;&lt;secondary-title&gt;Nature&lt;/secondary-title&gt;&lt;/titles&gt;&lt;pages&gt;282-285&lt;/pages&gt;&lt;number&gt;6955&lt;/number&gt;&lt;contributors&gt;&lt;authors&gt;&lt;author&gt;Wellman, C. H.&lt;/author&gt;&lt;author&gt;Osterloff, P. L.&lt;/author&gt;&lt;author&gt;Mohiuddin, U.&lt;/author&gt;&lt;/authors&gt;&lt;/contributors&gt;&lt;added-date format="utc"&gt;1380112953&lt;/added-date&gt;&lt;ref-type name="Journal Article"&gt;17&lt;/ref-type&gt;&lt;rec-number&gt;109&lt;/rec-number&gt;&lt;last-updated-date format="utc"&gt;1380112953&lt;/last-updated-date&gt;&lt;accession-num&gt;WOS:000185370900041&lt;/accession-num&gt;&lt;electronic-resource-num&gt;10.1038/nature01884&lt;/electronic-resource-num&gt;&lt;volume&gt;425&lt;/volume&gt;&lt;/record&gt;&lt;/Cite&gt;&lt;/EndNote&gt;</w:instrText>
      </w:r>
      <w:r w:rsidRPr="00FA7F73">
        <w:rPr>
          <w:rFonts w:ascii="Arial" w:hAnsi="Arial" w:cs="Arial"/>
        </w:rPr>
        <w:fldChar w:fldCharType="separate"/>
      </w:r>
      <w:r w:rsidRPr="00FA7F73">
        <w:rPr>
          <w:rFonts w:ascii="Arial" w:hAnsi="Arial" w:cs="Arial"/>
          <w:noProof/>
        </w:rPr>
        <w:t>(Wellman et al., 2003)</w:t>
      </w:r>
      <w:r w:rsidRPr="00FA7F73">
        <w:rPr>
          <w:rFonts w:ascii="Arial" w:hAnsi="Arial" w:cs="Arial"/>
        </w:rPr>
        <w:fldChar w:fldCharType="end"/>
      </w:r>
      <w:r w:rsidRPr="00FA7F73">
        <w:rPr>
          <w:rFonts w:ascii="Arial" w:hAnsi="Arial" w:cs="Arial"/>
        </w:rPr>
        <w:t>.</w:t>
      </w:r>
      <w:r>
        <w:rPr>
          <w:rFonts w:ascii="Arial" w:hAnsi="Arial" w:cs="Arial"/>
        </w:rPr>
        <w:t xml:space="preserve"> However, owing to only fragmentary megafossil remains from a similar period, suggestions relating to the lineage of plants from which the described plant matter originated from must be made very cautiously. In fact, fossil evidence relating to any of the anciently diverging bryophyte lineages (the liverworts, mosses and hornworts) during early land plant evolution is extremely sparse </w:t>
      </w:r>
      <w:r>
        <w:rPr>
          <w:rFonts w:ascii="Arial" w:hAnsi="Arial" w:cs="Arial"/>
        </w:rPr>
        <w:fldChar w:fldCharType="begin"/>
      </w:r>
      <w:r>
        <w:rPr>
          <w:rFonts w:ascii="Arial" w:hAnsi="Arial" w:cs="Arial"/>
        </w:rPr>
        <w:instrText xml:space="preserve"> ADDIN EN.CITE &lt;EndNote&gt;&lt;Cite&gt;&lt;Author&gt;Cardona-Correa&lt;/Author&gt;&lt;Year&gt;2016&lt;/Year&gt;&lt;IDText&gt;Peat Moss–Like Vegetative Remains from Ordovician Carbonates&lt;/IDText&gt;&lt;DisplayText&gt;(Cardona-Correa et al., 2016)&lt;/DisplayText&gt;&lt;record&gt;&lt;dates&gt;&lt;pub-dates&gt;&lt;date&gt;2016/07/01&lt;/date&gt;&lt;/pub-dates&gt;&lt;year&gt;2016&lt;/year&gt;&lt;/dates&gt;&lt;urls&gt;&lt;related-urls&gt;&lt;url&gt;http://dx.doi.org/10.1086/686242&lt;/url&gt;&lt;/related-urls&gt;&lt;/urls&gt;&lt;isbn&gt;1058-5893&lt;/isbn&gt;&lt;titles&gt;&lt;title&gt;Peat Moss–Like Vegetative Remains from Ordovician Carbonates&lt;/title&gt;&lt;secondary-title&gt;International Journal of Plant Sciences&lt;/secondary-title&gt;&lt;/titles&gt;&lt;pages&gt;523-538&lt;/pages&gt;&lt;number&gt;6&lt;/number&gt;&lt;access-date&gt;2016/08/01&lt;/access-date&gt;&lt;contributors&gt;&lt;authors&gt;&lt;author&gt;Cardona-Correa, Christopher&lt;/author&gt;&lt;author&gt;Piotrowski, Michael J.&lt;/author&gt;&lt;author&gt;Knack, Jennifer J.&lt;/author&gt;&lt;author&gt;Kodner, Robin E.&lt;/author&gt;&lt;author&gt;Geary, Dana H.&lt;/author&gt;&lt;author&gt;Graham, Linda E.&lt;/author&gt;&lt;/authors&gt;&lt;/contributors&gt;&lt;added-date format="utc"&gt;1470052564&lt;/added-date&gt;&lt;ref-type name="Journal Article"&gt;17&lt;/ref-type&gt;&lt;rec-number&gt;1322&lt;/rec-number&gt;&lt;publisher&gt;The University of Chicago Press&lt;/publisher&gt;&lt;last-updated-date format="utc"&gt;1470052564&lt;/last-updated-date&gt;&lt;electronic-resource-num&gt;10.1086/686242&lt;/electronic-resource-num&gt;&lt;volume&gt;177&lt;/volume&gt;&lt;/record&gt;&lt;/Cite&gt;&lt;/EndNote&gt;</w:instrText>
      </w:r>
      <w:r>
        <w:rPr>
          <w:rFonts w:ascii="Arial" w:hAnsi="Arial" w:cs="Arial"/>
        </w:rPr>
        <w:fldChar w:fldCharType="separate"/>
      </w:r>
      <w:r>
        <w:rPr>
          <w:rFonts w:ascii="Arial" w:hAnsi="Arial" w:cs="Arial"/>
          <w:noProof/>
        </w:rPr>
        <w:t>(Cardona-Correa et al., 2016)</w:t>
      </w:r>
      <w:r>
        <w:rPr>
          <w:rFonts w:ascii="Arial" w:hAnsi="Arial" w:cs="Arial"/>
        </w:rPr>
        <w:fldChar w:fldCharType="end"/>
      </w:r>
      <w:r>
        <w:rPr>
          <w:rFonts w:ascii="Arial" w:hAnsi="Arial" w:cs="Arial"/>
        </w:rPr>
        <w:t>, and questions remain as to whether such finds are actually derived from such an early point owing to the possibility of the samples concerned having undergone recrystallization thereby appearing older.</w:t>
      </w:r>
    </w:p>
    <w:p w14:paraId="62057AC5" w14:textId="441FA970" w:rsidR="00311AE8" w:rsidRDefault="00311AE8" w:rsidP="00311AE8">
      <w:pPr>
        <w:spacing w:after="160" w:line="360" w:lineRule="auto"/>
        <w:rPr>
          <w:rFonts w:ascii="Arial" w:hAnsi="Arial" w:cs="Arial"/>
        </w:rPr>
      </w:pPr>
      <w:r>
        <w:rPr>
          <w:rFonts w:ascii="Arial" w:hAnsi="Arial" w:cs="Arial"/>
        </w:rPr>
        <w:t xml:space="preserve">Such a lack of fossil record in the bryophytes combined with perceived over-lapping morphological and physiological similarities and differences have resulted in a continued debate in relation to the order in which these species diverged from the </w:t>
      </w:r>
      <w:r>
        <w:rPr>
          <w:rFonts w:ascii="Arial" w:hAnsi="Arial" w:cs="Arial"/>
        </w:rPr>
        <w:lastRenderedPageBreak/>
        <w:t xml:space="preserve">ancestral lineage </w:t>
      </w:r>
      <w:r>
        <w:rPr>
          <w:rFonts w:ascii="Arial" w:hAnsi="Arial" w:cs="Arial"/>
        </w:rPr>
        <w:fldChar w:fldCharType="begin">
          <w:fldData xml:space="preserve">PEVuZE5vdGU+PENpdGU+PEF1dGhvcj5FZHdhcmRzPC9BdXRob3I+PFllYXI+MjAxNTwvWWVhcj48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</w:fldData>
        </w:fldChar>
      </w:r>
      <w:r>
        <w:rPr>
          <w:rFonts w:ascii="Arial" w:hAnsi="Arial" w:cs="Arial"/>
        </w:rPr>
        <w:instrText xml:space="preserve"> ADDIN EN.CITE </w:instrText>
      </w:r>
      <w:r>
        <w:rPr>
          <w:rFonts w:ascii="Arial" w:hAnsi="Arial" w:cs="Arial"/>
        </w:rPr>
        <w:fldChar w:fldCharType="begin">
          <w:fldData xml:space="preserve">PEVuZE5vdGU+PENpdGU+PEF1dGhvcj5FZHdhcmRzPC9BdXRob3I+PFllYXI+MjAxNTwvWWVhcj48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(Chater et al., 2011; Edwards and Kenrick, 2015; Friedman et al., 2004)</w:t>
      </w:r>
      <w:r>
        <w:rPr>
          <w:rFonts w:ascii="Arial" w:hAnsi="Arial" w:cs="Arial"/>
        </w:rPr>
        <w:fldChar w:fldCharType="end"/>
      </w:r>
      <w:r>
        <w:rPr>
          <w:rFonts w:ascii="Arial" w:hAnsi="Arial" w:cs="Arial"/>
        </w:rPr>
        <w:t>. Even with the advent of large quantities of DNA sequence data relating to extant basal land plants, the phylogenetic positioning of bryophyte members is not fully resolved (</w:t>
      </w:r>
      <w:r w:rsidRPr="00C204C0">
        <w:rPr>
          <w:rFonts w:ascii="Arial" w:hAnsi="Arial" w:cs="Arial"/>
          <w:b/>
        </w:rPr>
        <w:t>Fig</w:t>
      </w:r>
      <w:r>
        <w:rPr>
          <w:rFonts w:ascii="Arial" w:hAnsi="Arial" w:cs="Arial"/>
        </w:rPr>
        <w:t xml:space="preserve">. </w:t>
      </w:r>
      <w:r w:rsidRPr="00C204C0">
        <w:rPr>
          <w:rFonts w:ascii="Arial" w:hAnsi="Arial" w:cs="Arial"/>
          <w:b/>
        </w:rPr>
        <w:t>1a</w:t>
      </w:r>
      <w:r w:rsidRPr="00C204C0">
        <w:rPr>
          <w:rFonts w:ascii="Arial" w:hAnsi="Arial" w:cs="Arial"/>
        </w:rPr>
        <w:t>-</w:t>
      </w:r>
      <w:r>
        <w:rPr>
          <w:rFonts w:ascii="Arial" w:hAnsi="Arial" w:cs="Arial"/>
          <w:b/>
        </w:rPr>
        <w:t>c</w:t>
      </w:r>
      <w:r>
        <w:rPr>
          <w:rFonts w:ascii="Arial" w:hAnsi="Arial" w:cs="Arial"/>
        </w:rPr>
        <w:t xml:space="preserve">) </w:t>
      </w:r>
      <w:r>
        <w:rPr>
          <w:rFonts w:ascii="Arial" w:hAnsi="Arial" w:cs="Arial"/>
        </w:rPr>
        <w:fldChar w:fldCharType="begin">
          <w:fldData xml:space="preserve">PEVuZE5vdGU+PENpdGU+PEF1dGhvcj5XaWNrZXR0PC9BdXRob3I+PFllYXI+MjAxNDwvWWVhcj48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</w:fldData>
        </w:fldChar>
      </w:r>
      <w:r w:rsidR="001D2DA0">
        <w:rPr>
          <w:rFonts w:ascii="Arial" w:hAnsi="Arial" w:cs="Arial"/>
        </w:rPr>
        <w:instrText xml:space="preserve"> ADDIN EN.CITE </w:instrText>
      </w:r>
      <w:r w:rsidR="001D2DA0">
        <w:rPr>
          <w:rFonts w:ascii="Arial" w:hAnsi="Arial" w:cs="Arial"/>
        </w:rPr>
        <w:fldChar w:fldCharType="begin">
          <w:fldData xml:space="preserve">PEVuZE5vdGU+PENpdGU+PEF1dGhvcj5XaWNrZXR0PC9BdXRob3I+PFllYXI+MjAxNDwvWWVhcj48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</w:fldData>
        </w:fldChar>
      </w:r>
      <w:r w:rsidR="001D2DA0">
        <w:rPr>
          <w:rFonts w:ascii="Arial" w:hAnsi="Arial" w:cs="Arial"/>
        </w:rPr>
        <w:instrText xml:space="preserve"> ADDIN EN.CITE.DATA </w:instrText>
      </w:r>
      <w:r w:rsidR="001D2DA0">
        <w:rPr>
          <w:rFonts w:ascii="Arial" w:hAnsi="Arial" w:cs="Arial"/>
        </w:rPr>
      </w:r>
      <w:r w:rsidR="001D2DA0">
        <w:rPr>
          <w:rFonts w:ascii="Arial" w:hAnsi="Arial" w:cs="Arial"/>
        </w:rPr>
        <w:fldChar w:fldCharType="end"/>
      </w:r>
      <w:r>
        <w:rPr>
          <w:rFonts w:ascii="Arial" w:hAnsi="Arial" w:cs="Arial"/>
        </w:rPr>
      </w:r>
      <w:r>
        <w:rPr>
          <w:rFonts w:ascii="Arial" w:hAnsi="Arial" w:cs="Arial"/>
        </w:rPr>
        <w:fldChar w:fldCharType="separate"/>
      </w:r>
      <w:r w:rsidR="001D2DA0">
        <w:rPr>
          <w:rFonts w:ascii="Arial" w:hAnsi="Arial" w:cs="Arial"/>
          <w:noProof/>
        </w:rPr>
        <w:t>(Cox et al., 2004; Harrison, 2017; Qiu et al., 2006; Ruhfel et al., 2014; Ruszala et al., 2011; Wickett et al., 2014)</w:t>
      </w:r>
      <w:r>
        <w:rPr>
          <w:rFonts w:ascii="Arial" w:hAnsi="Arial" w:cs="Arial"/>
        </w:rPr>
        <w:fldChar w:fldCharType="end"/>
      </w:r>
      <w:r>
        <w:rPr>
          <w:rFonts w:ascii="Arial" w:hAnsi="Arial" w:cs="Arial"/>
        </w:rPr>
        <w:t xml:space="preserve">. </w:t>
      </w:r>
    </w:p>
    <w:p w14:paraId="0743BE4C" w14:textId="3D01A1D0" w:rsidR="00311AE8" w:rsidRDefault="00311AE8" w:rsidP="00311AE8">
      <w:pPr>
        <w:spacing w:after="160" w:line="360" w:lineRule="auto"/>
        <w:rPr>
          <w:rFonts w:ascii="Arial" w:hAnsi="Arial" w:cs="Arial"/>
        </w:rPr>
      </w:pPr>
      <w:r>
        <w:rPr>
          <w:rFonts w:ascii="Arial" w:hAnsi="Arial" w:cs="Arial"/>
          <w:b/>
          <w:noProof/>
          <w:lang w:eastAsia="ja-JP"/>
        </w:rPr>
        <w:drawing>
          <wp:inline distT="0" distB="0" distL="0" distR="0" wp14:anchorId="109539B8" wp14:editId="47D3F480">
            <wp:extent cx="5205730" cy="634365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 updated with additional phylogenies.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05730" cy="6343650"/>
                    </a:xfrm>
                    <a:prstGeom prst="rect">
                      <a:avLst/>
                    </a:prstGeom>
                  </pic:spPr>
                </pic:pic>
              </a:graphicData>
            </a:graphic>
          </wp:inline>
        </w:drawing>
      </w:r>
      <w:r>
        <w:rPr>
          <w:rFonts w:ascii="Arial" w:hAnsi="Arial" w:cs="Arial"/>
          <w:b/>
        </w:rPr>
        <w:t>Figure 1</w:t>
      </w:r>
      <w:r w:rsidRPr="00FA7F73">
        <w:rPr>
          <w:rFonts w:ascii="Arial" w:hAnsi="Arial" w:cs="Arial"/>
          <w:b/>
        </w:rPr>
        <w:t xml:space="preserve">. </w:t>
      </w:r>
      <w:r>
        <w:rPr>
          <w:rFonts w:ascii="Arial" w:hAnsi="Arial" w:cs="Arial"/>
          <w:b/>
        </w:rPr>
        <w:t xml:space="preserve">Land plant evolutionary history. </w:t>
      </w:r>
      <w:r w:rsidRPr="00FA7F73">
        <w:rPr>
          <w:rFonts w:ascii="Arial" w:hAnsi="Arial" w:cs="Arial"/>
        </w:rPr>
        <w:t>(</w:t>
      </w:r>
      <w:r>
        <w:rPr>
          <w:rFonts w:ascii="Arial" w:hAnsi="Arial" w:cs="Arial"/>
          <w:b/>
        </w:rPr>
        <w:t>a</w:t>
      </w:r>
      <w:r w:rsidRPr="00FA7F73">
        <w:rPr>
          <w:rFonts w:ascii="Arial" w:hAnsi="Arial" w:cs="Arial"/>
        </w:rPr>
        <w:t>)</w:t>
      </w:r>
      <w:r>
        <w:rPr>
          <w:rFonts w:ascii="Arial" w:hAnsi="Arial" w:cs="Arial"/>
          <w:b/>
        </w:rPr>
        <w:t xml:space="preserve"> </w:t>
      </w:r>
      <w:r>
        <w:rPr>
          <w:rFonts w:ascii="Arial" w:hAnsi="Arial" w:cs="Arial"/>
        </w:rPr>
        <w:t>Current representation of a p</w:t>
      </w:r>
      <w:r w:rsidRPr="00FA7F73">
        <w:rPr>
          <w:rFonts w:ascii="Arial" w:hAnsi="Arial" w:cs="Arial"/>
        </w:rPr>
        <w:t xml:space="preserve">hylogenetic tree </w:t>
      </w:r>
      <w:r>
        <w:rPr>
          <w:rFonts w:ascii="Arial" w:hAnsi="Arial" w:cs="Arial"/>
        </w:rPr>
        <w:t xml:space="preserve">based on Wickett et al, </w:t>
      </w:r>
      <w:r>
        <w:rPr>
          <w:rFonts w:ascii="Arial" w:hAnsi="Arial" w:cs="Arial"/>
        </w:rPr>
        <w:fldChar w:fldCharType="begin">
          <w:fldData xml:space="preserve">PEVuZE5vdGU+PENpdGUgRXhjbHVkZUF1dGg9IjEiPjxBdXRob3I+V2lja2V0dDwvQXV0aG9yPjxZ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</w:fldData>
        </w:fldChar>
      </w:r>
      <w:r>
        <w:rPr>
          <w:rFonts w:ascii="Arial" w:hAnsi="Arial" w:cs="Arial"/>
        </w:rPr>
        <w:instrText xml:space="preserve"> ADDIN EN.CITE </w:instrText>
      </w:r>
      <w:r>
        <w:rPr>
          <w:rFonts w:ascii="Arial" w:hAnsi="Arial" w:cs="Arial"/>
        </w:rPr>
        <w:fldChar w:fldCharType="begin">
          <w:fldData xml:space="preserve">PEVuZE5vdGU+PENpdGUgRXhjbHVkZUF1dGg9IjEiPjxBdXRob3I+V2lja2V0dDwvQXV0aG9yPjxZ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(2014)</w:t>
      </w:r>
      <w:r>
        <w:rPr>
          <w:rFonts w:ascii="Arial" w:hAnsi="Arial" w:cs="Arial"/>
        </w:rPr>
        <w:fldChar w:fldCharType="end"/>
      </w:r>
      <w:r>
        <w:rPr>
          <w:rFonts w:ascii="Arial" w:hAnsi="Arial" w:cs="Arial"/>
        </w:rPr>
        <w:t xml:space="preserve"> </w:t>
      </w:r>
      <w:r w:rsidRPr="00FA7F73">
        <w:rPr>
          <w:rFonts w:ascii="Arial" w:hAnsi="Arial" w:cs="Arial"/>
        </w:rPr>
        <w:t>illustrating the relatedness of extant land plant lineages</w:t>
      </w:r>
      <w:r>
        <w:rPr>
          <w:rFonts w:ascii="Arial" w:hAnsi="Arial" w:cs="Arial"/>
        </w:rPr>
        <w:t xml:space="preserve"> and some key extinct genera. The positioning of extinct species in relation to extant lineages are based on Edwards et al </w:t>
      </w:r>
      <w:r>
        <w:rPr>
          <w:rFonts w:ascii="Arial" w:hAnsi="Arial" w:cs="Arial"/>
        </w:rPr>
        <w:fldChar w:fldCharType="begin">
          <w:fldData xml:space="preserve">PEVuZE5vdGU+PENpdGUgRXhjbHVkZUF1dGg9IjEiPjxBdXRob3I+RWR3YXJkczwvQXV0aG9yPjxZ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</w:fldData>
        </w:fldChar>
      </w:r>
      <w:r>
        <w:rPr>
          <w:rFonts w:ascii="Arial" w:hAnsi="Arial" w:cs="Arial"/>
        </w:rPr>
        <w:instrText xml:space="preserve"> ADDIN EN.CITE </w:instrText>
      </w:r>
      <w:r>
        <w:rPr>
          <w:rFonts w:ascii="Arial" w:hAnsi="Arial" w:cs="Arial"/>
        </w:rPr>
        <w:fldChar w:fldCharType="begin">
          <w:fldData xml:space="preserve">PEVuZE5vdGU+PENpdGUgRXhjbHVkZUF1dGg9IjEiPjxBdXRob3I+RWR3YXJkczwvQXV0aG9yPjxZ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(2014)</w:t>
      </w:r>
      <w:r>
        <w:rPr>
          <w:rFonts w:ascii="Arial" w:hAnsi="Arial" w:cs="Arial"/>
        </w:rPr>
        <w:fldChar w:fldCharType="end"/>
      </w:r>
      <w:r>
        <w:rPr>
          <w:rFonts w:ascii="Arial" w:hAnsi="Arial" w:cs="Arial"/>
        </w:rPr>
        <w:t>.</w:t>
      </w:r>
      <w:r w:rsidRPr="00FA7F73">
        <w:rPr>
          <w:rFonts w:ascii="Arial" w:hAnsi="Arial" w:cs="Arial"/>
        </w:rPr>
        <w:t xml:space="preserve"> </w:t>
      </w:r>
      <w:r>
        <w:rPr>
          <w:rFonts w:ascii="Arial" w:hAnsi="Arial" w:cs="Arial"/>
        </w:rPr>
        <w:t xml:space="preserve">Bright green branches illustrate vascular land plants, moderately dark and dark green branches </w:t>
      </w:r>
      <w:r>
        <w:rPr>
          <w:rFonts w:ascii="Arial" w:hAnsi="Arial" w:cs="Arial"/>
        </w:rPr>
        <w:lastRenderedPageBreak/>
        <w:t xml:space="preserve">illustrate non-vascular land plant lineages. Extinct genera of </w:t>
      </w:r>
      <w:r>
        <w:rPr>
          <w:rFonts w:ascii="Arial" w:hAnsi="Arial" w:cs="Arial"/>
          <w:i/>
        </w:rPr>
        <w:t>Cooksonia</w:t>
      </w:r>
      <w:r>
        <w:rPr>
          <w:rFonts w:ascii="Arial" w:hAnsi="Arial" w:cs="Arial"/>
        </w:rPr>
        <w:t xml:space="preserve">, </w:t>
      </w:r>
      <w:r>
        <w:rPr>
          <w:rFonts w:ascii="Arial" w:hAnsi="Arial" w:cs="Arial"/>
          <w:i/>
        </w:rPr>
        <w:t xml:space="preserve">Aglaophyton </w:t>
      </w:r>
      <w:r>
        <w:rPr>
          <w:rFonts w:ascii="Arial" w:hAnsi="Arial" w:cs="Arial"/>
        </w:rPr>
        <w:t xml:space="preserve">and </w:t>
      </w:r>
      <w:r>
        <w:rPr>
          <w:rFonts w:ascii="Arial" w:hAnsi="Arial" w:cs="Arial"/>
          <w:i/>
        </w:rPr>
        <w:t xml:space="preserve">Partitatheca </w:t>
      </w:r>
      <w:r>
        <w:rPr>
          <w:rFonts w:ascii="Arial" w:hAnsi="Arial" w:cs="Arial"/>
        </w:rPr>
        <w:t xml:space="preserve">are marked in grey text. Dates relating to the number of millions of years from the present are positioned next to branches to illustrate approximate times of divergence from the ancestral lineage and are based on Ruszala et al </w:t>
      </w:r>
      <w:r w:rsidRPr="00FA7F73">
        <w:rPr>
          <w:rFonts w:ascii="Arial" w:hAnsi="Arial" w:cs="Arial"/>
        </w:rPr>
        <w:fldChar w:fldCharType="begin">
          <w:fldData xml:space="preserve">PEVuZE5vdGU+PENpdGUgRXhjbHVkZUF1dGg9IjEiPjxBdXRob3I+UnVzemFsYTwvQXV0aG9yPjxZ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==
</w:fldData>
        </w:fldChar>
      </w:r>
      <w:r>
        <w:rPr>
          <w:rFonts w:ascii="Arial" w:hAnsi="Arial" w:cs="Arial"/>
        </w:rPr>
        <w:instrText xml:space="preserve"> ADDIN EN.CITE </w:instrText>
      </w:r>
      <w:r>
        <w:rPr>
          <w:rFonts w:ascii="Arial" w:hAnsi="Arial" w:cs="Arial"/>
        </w:rPr>
        <w:fldChar w:fldCharType="begin">
          <w:fldData xml:space="preserve">PEVuZE5vdGU+PENpdGUgRXhjbHVkZUF1dGg9IjEiPjxBdXRob3I+UnVzemFsYTwvQXV0aG9yPjxZ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==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sidRPr="00FA7F73">
        <w:rPr>
          <w:rFonts w:ascii="Arial" w:hAnsi="Arial" w:cs="Arial"/>
          <w:noProof/>
        </w:rPr>
        <w:t>(2011)</w:t>
      </w:r>
      <w:r w:rsidRPr="00FA7F73">
        <w:rPr>
          <w:rFonts w:ascii="Arial" w:hAnsi="Arial" w:cs="Arial"/>
        </w:rPr>
        <w:fldChar w:fldCharType="end"/>
      </w:r>
      <w:r>
        <w:rPr>
          <w:rFonts w:ascii="Arial" w:hAnsi="Arial" w:cs="Arial"/>
        </w:rPr>
        <w:t xml:space="preserve">, Edwards et al </w:t>
      </w:r>
      <w:r>
        <w:rPr>
          <w:rFonts w:ascii="Arial" w:hAnsi="Arial" w:cs="Arial"/>
        </w:rPr>
        <w:fldChar w:fldCharType="begin"/>
      </w:r>
      <w:r>
        <w:rPr>
          <w:rFonts w:ascii="Arial" w:hAnsi="Arial" w:cs="Arial"/>
        </w:rPr>
        <w:instrText xml:space="preserve"> ADDIN EN.CITE &lt;EndNote&gt;&lt;Cite ExcludeAuth="1"&gt;&lt;Author&gt;Edwards&lt;/Author&gt;&lt;Year&gt;1998&lt;/Year&gt;&lt;IDText&gt;Stomata in early land plants: an anatomical and ecophysiological approach&lt;/IDText&gt;&lt;DisplayText&gt;(1998)&lt;/DisplayText&gt;&lt;record&gt;&lt;dates&gt;&lt;pub-dates&gt;&lt;date&gt;Mar&lt;/date&gt;&lt;/pub-dates&gt;&lt;year&gt;1998&lt;/year&gt;&lt;/dates&gt;&lt;keywords&gt;&lt;keyword&gt;paleoecophysiology&lt;/keyword&gt;&lt;keyword&gt;Rhynie Chert&lt;/keyword&gt;&lt;keyword&gt;Siluro-Devonian&lt;/keyword&gt;&lt;keyword&gt;stomata&lt;/keyword&gt;&lt;keyword&gt;substomatal&lt;/keyword&gt;&lt;keyword&gt;chamber&lt;/keyword&gt;&lt;keyword&gt;VASCULAR PLANTS&lt;/keyword&gt;&lt;keyword&gt;SPOROPHYTES&lt;/keyword&gt;&lt;keyword&gt;EVAPORATION&lt;/keyword&gt;&lt;keyword&gt;EVOLUTION&lt;/keyword&gt;&lt;keyword&gt;CUTICLES&lt;/keyword&gt;&lt;keyword&gt;CELLS&lt;/keyword&gt;&lt;keyword&gt;CO2&lt;/keyword&gt;&lt;/keywords&gt;&lt;urls&gt;&lt;related-urls&gt;&lt;url&gt;&amp;lt;Go to ISI&amp;gt;://WOS:000072842300002&lt;/url&gt;&lt;/related-urls&gt;&lt;/urls&gt;&lt;isbn&gt;0022-0957&lt;/isbn&gt;&lt;work-type&gt;Article; Proceedings Paper&lt;/work-type&gt;&lt;titles&gt;&lt;title&gt;Stomata in early land plants: an anatomical and ecophysiological approach&lt;/title&gt;&lt;secondary-title&gt;Journal of Experimental Botany&lt;/secondary-title&gt;&lt;alt-title&gt;J. Exp. Bot.&lt;/alt-title&gt;&lt;/titles&gt;&lt;pages&gt;255-278&lt;/pages&gt;&lt;contributors&gt;&lt;authors&gt;&lt;author&gt;Edwards, D.&lt;/author&gt;&lt;author&gt;Kerp, H.&lt;/author&gt;&lt;author&gt;Hass, H.&lt;/author&gt;&lt;/authors&gt;&lt;/contributors&gt;&lt;language&gt;English&lt;/language&gt;&lt;added-date format="utc"&gt;1353956596&lt;/added-date&gt;&lt;ref-type name="Journal Article"&gt;17&lt;/ref-type&gt;&lt;auth-address&gt;Univ Wales, Dept Earth Sci, Cardiff CF1 3YE, S Glam, Wales. Univ Munster, Abt Palaobot, D-48143 Munster, Germany.&amp;#xD;Edwards, D (reprint author), Univ Wales, Dept Earth Sci, POB 914, Cardiff CF1 3YE, S Glam, Wales.&lt;/auth-address&gt;&lt;rec-number&gt;56&lt;/rec-number&gt;&lt;last-updated-date format="utc"&gt;1353956596&lt;/last-updated-date&gt;&lt;accession-num&gt;WOS:000072842300002&lt;/accession-num&gt;&lt;electronic-resource-num&gt;10.1093/jexbot/49.suppl_1.255&lt;/electronic-resource-num&gt;&lt;volume&gt;49&lt;/volume&gt;&lt;/record&gt;&lt;/Cite&gt;&lt;/EndNote&gt;</w:instrText>
      </w:r>
      <w:r>
        <w:rPr>
          <w:rFonts w:ascii="Arial" w:hAnsi="Arial" w:cs="Arial"/>
        </w:rPr>
        <w:fldChar w:fldCharType="separate"/>
      </w:r>
      <w:r>
        <w:rPr>
          <w:rFonts w:ascii="Arial" w:hAnsi="Arial" w:cs="Arial"/>
          <w:noProof/>
        </w:rPr>
        <w:t>(1998)</w:t>
      </w:r>
      <w:r>
        <w:rPr>
          <w:rFonts w:ascii="Arial" w:hAnsi="Arial" w:cs="Arial"/>
        </w:rPr>
        <w:fldChar w:fldCharType="end"/>
      </w:r>
      <w:r>
        <w:rPr>
          <w:rFonts w:ascii="Arial" w:hAnsi="Arial" w:cs="Arial"/>
        </w:rPr>
        <w:t xml:space="preserve">, Kenrick and Crane </w:t>
      </w:r>
      <w:r>
        <w:rPr>
          <w:rFonts w:ascii="Arial" w:hAnsi="Arial" w:cs="Arial"/>
        </w:rPr>
        <w:fldChar w:fldCharType="begin"/>
      </w:r>
      <w:r>
        <w:rPr>
          <w:rFonts w:ascii="Arial" w:hAnsi="Arial" w:cs="Arial"/>
        </w:rPr>
        <w:instrText xml:space="preserve"> ADDIN EN.CITE &lt;EndNote&gt;&lt;Cite ExcludeAuth="1"&gt;&lt;Author&gt;Kenrick&lt;/Author&gt;&lt;Year&gt;1997&lt;/Year&gt;&lt;IDText&gt;The origin and early evolution of plants on land&lt;/IDText&gt;&lt;DisplayText&gt;(1997)&lt;/DisplayText&gt;&lt;record&gt;&lt;dates&gt;&lt;pub-dates&gt;&lt;date&gt;Sep&lt;/date&gt;&lt;/pub-dates&gt;&lt;year&gt;1997&lt;/year&gt;&lt;/dates&gt;&lt;keywords&gt;&lt;keyword&gt;RNA GENE-SEQUENCES&lt;/keyword&gt;&lt;keyword&gt;WATER-CONDUCTING CELLS&lt;/keyword&gt;&lt;keyword&gt;PHYLOGENETIC-RELATIONSHIPS&lt;/keyword&gt;&lt;keyword&gt;VASCULAR PLANTS&lt;/keyword&gt;&lt;keyword&gt;RBCL SEQUENCES&lt;/keyword&gt;&lt;keyword&gt;CLADISTIC-ANALYSIS&lt;/keyword&gt;&lt;keyword&gt;ATMOSPHERIC CO2&lt;/keyword&gt;&lt;keyword&gt;GREEN-ALGAE&lt;/keyword&gt;&lt;keyword&gt;BRYOPHYTES&lt;/keyword&gt;&lt;keyword&gt;DIVERSIFICATION&lt;/keyword&gt;&lt;/keywords&gt;&lt;urls&gt;&lt;related-urls&gt;&lt;url&gt;&amp;lt;Go to ISI&amp;gt;://WOS:A1997XU59600036&lt;/url&gt;&lt;/related-urls&gt;&lt;/urls&gt;&lt;isbn&gt;0028-0836&lt;/isbn&gt;&lt;work-type&gt;Review&lt;/work-type&gt;&lt;titles&gt;&lt;title&gt;The origin and early evolution of plants on land&lt;/title&gt;&lt;secondary-title&gt;Nature&lt;/secondary-title&gt;&lt;alt-title&gt;Nature&lt;/alt-title&gt;&lt;/titles&gt;&lt;pages&gt;33-39&lt;/pages&gt;&lt;number&gt;6646&lt;/number&gt;&lt;contributors&gt;&lt;authors&gt;&lt;author&gt;Kenrick, P.&lt;/author&gt;&lt;author&gt;Crane, P. R.&lt;/author&gt;&lt;/authors&gt;&lt;/contributors&gt;&lt;language&gt;English&lt;/language&gt;&lt;added-date format="utc"&gt;1355243733&lt;/added-date&gt;&lt;ref-type name="Journal Article"&gt;17&lt;/ref-type&gt;&lt;auth-address&gt;FIELD MUSEUM NAT HIST,CHICAGO,IL 60605. UNIV CHICAGO,DEPT GEOPHYS SCI,CHICAGO,IL 60637.&amp;#xD;Kenrick, P (reprint author), SWEDISH MUSEUM NAT HIST,BOX 50007,S-10405 STOCKHOLM,SWEDEN.&lt;/auth-address&gt;&lt;rec-number&gt;98&lt;/rec-number&gt;&lt;last-updated-date format="utc"&gt;1355243733&lt;/last-updated-date&gt;&lt;accession-num&gt;WOS:A1997XU59600036&lt;/accession-num&gt;&lt;electronic-resource-num&gt;10.1038/37918&lt;/electronic-resource-num&gt;&lt;volume&gt;389&lt;/volume&gt;&lt;/record&gt;&lt;/Cite&gt;&lt;/EndNote&gt;</w:instrText>
      </w:r>
      <w:r>
        <w:rPr>
          <w:rFonts w:ascii="Arial" w:hAnsi="Arial" w:cs="Arial"/>
        </w:rPr>
        <w:fldChar w:fldCharType="separate"/>
      </w:r>
      <w:r>
        <w:rPr>
          <w:rFonts w:ascii="Arial" w:hAnsi="Arial" w:cs="Arial"/>
          <w:noProof/>
        </w:rPr>
        <w:t>(1997)</w:t>
      </w:r>
      <w:r>
        <w:rPr>
          <w:rFonts w:ascii="Arial" w:hAnsi="Arial" w:cs="Arial"/>
        </w:rPr>
        <w:fldChar w:fldCharType="end"/>
      </w:r>
      <w:r>
        <w:rPr>
          <w:rFonts w:ascii="Arial" w:hAnsi="Arial" w:cs="Arial"/>
        </w:rPr>
        <w:t xml:space="preserve">, Langdale </w:t>
      </w:r>
      <w:r>
        <w:rPr>
          <w:rFonts w:ascii="Arial" w:hAnsi="Arial" w:cs="Arial"/>
        </w:rPr>
        <w:fldChar w:fldCharType="begin"/>
      </w:r>
      <w:r>
        <w:rPr>
          <w:rFonts w:ascii="Arial" w:hAnsi="Arial" w:cs="Arial"/>
        </w:rPr>
        <w:instrText xml:space="preserve"> ADDIN EN.CITE &lt;EndNote&gt;&lt;Cite ExcludeAuth="1"&gt;&lt;Author&gt;Langdale&lt;/Author&gt;&lt;Year&gt;2008&lt;/Year&gt;&lt;IDText&gt;Evolution of developmental mechanisms in plants&lt;/IDText&gt;&lt;DisplayText&gt;(2008)&lt;/DisplayText&gt;&lt;record&gt;&lt;dates&gt;&lt;pub-dates&gt;&lt;date&gt;Aug&lt;/date&gt;&lt;/pub-dates&gt;&lt;year&gt;2008&lt;/year&gt;&lt;/dates&gt;&lt;keywords&gt;&lt;keyword&gt;*Biological Evolution&lt;/keyword&gt;&lt;keyword&gt;Embryonic Development/genetics/*physiology&lt;/keyword&gt;&lt;keyword&gt;Phylogeny&lt;/keyword&gt;&lt;keyword&gt;Plant Development&lt;/keyword&gt;&lt;keyword&gt;Plants/*embryology&lt;/keyword&gt;&lt;keyword&gt;Seeds/genetics&lt;/keyword&gt;&lt;keyword&gt;Signal Transduction/genetics/physiology&lt;/keyword&gt;&lt;/keywords&gt;&lt;isbn&gt;0959-437X (Print)&amp;#xD;0959-437x&lt;/isbn&gt;&lt;titles&gt;&lt;title&gt;Evolution of developmental mechanisms in plants&lt;/title&gt;&lt;secondary-title&gt;Curr Opin Genet Dev&lt;/secondary-title&gt;&lt;alt-title&gt;Current opinion in genetics &amp;amp; development&lt;/alt-title&gt;&lt;/titles&gt;&lt;pages&gt;368-73&lt;/pages&gt;&lt;number&gt;4&lt;/number&gt;&lt;contributors&gt;&lt;authors&gt;&lt;author&gt;Langdale, J. A.&lt;/author&gt;&lt;/authors&gt;&lt;/contributors&gt;&lt;edition&gt;2008/06/25&lt;/edition&gt;&lt;language&gt;eng&lt;/language&gt;&lt;added-date format="utc"&gt;1457003177&lt;/added-date&gt;&lt;ref-type name="Journal Article"&gt;17&lt;/ref-type&gt;&lt;auth-address&gt;Department of Plant Sciences, University of Oxford, South Parks Road, Oxford OX1 3RB, United Kingdom. jane.langdale@plants.ox.ac.uk&lt;/auth-address&gt;&lt;remote-database-provider&gt;NLM&lt;/remote-database-provider&gt;&lt;rec-number&gt;1065&lt;/rec-number&gt;&lt;last-updated-date format="utc"&gt;1457003177&lt;/last-updated-date&gt;&lt;accession-num&gt;18573341&lt;/accession-num&gt;&lt;electronic-resource-num&gt;10.1016/j.gde.2008.05.003&lt;/electronic-resource-num&gt;&lt;volume&gt;18&lt;/volume&gt;&lt;/record&gt;&lt;/Cite&gt;&lt;/EndNote&gt;</w:instrText>
      </w:r>
      <w:r>
        <w:rPr>
          <w:rFonts w:ascii="Arial" w:hAnsi="Arial" w:cs="Arial"/>
        </w:rPr>
        <w:fldChar w:fldCharType="separate"/>
      </w:r>
      <w:r>
        <w:rPr>
          <w:rFonts w:ascii="Arial" w:hAnsi="Arial" w:cs="Arial"/>
          <w:noProof/>
        </w:rPr>
        <w:t>(2008)</w:t>
      </w:r>
      <w:r>
        <w:rPr>
          <w:rFonts w:ascii="Arial" w:hAnsi="Arial" w:cs="Arial"/>
        </w:rPr>
        <w:fldChar w:fldCharType="end"/>
      </w:r>
      <w:r>
        <w:rPr>
          <w:rFonts w:ascii="Arial" w:hAnsi="Arial" w:cs="Arial"/>
        </w:rPr>
        <w:t xml:space="preserve">, Qiu et al </w:t>
      </w:r>
      <w:r>
        <w:rPr>
          <w:rFonts w:ascii="Arial" w:hAnsi="Arial" w:cs="Arial"/>
        </w:rPr>
        <w:fldChar w:fldCharType="begin">
          <w:fldData xml:space="preserve">PEVuZE5vdGU+PENpdGUgRXhjbHVkZUF1dGg9IjEiPjxBdXRob3I+UWl1PC9BdXRob3I+PFllYXI+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</w:fldData>
        </w:fldChar>
      </w:r>
      <w:r>
        <w:rPr>
          <w:rFonts w:ascii="Arial" w:hAnsi="Arial" w:cs="Arial"/>
        </w:rPr>
        <w:instrText xml:space="preserve"> ADDIN EN.CITE </w:instrText>
      </w:r>
      <w:r>
        <w:rPr>
          <w:rFonts w:ascii="Arial" w:hAnsi="Arial" w:cs="Arial"/>
        </w:rPr>
        <w:fldChar w:fldCharType="begin">
          <w:fldData xml:space="preserve">PEVuZE5vdGU+PENpdGUgRXhjbHVkZUF1dGg9IjEiPjxBdXRob3I+UWl1PC9BdXRob3I+PFllYXI+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(2006)</w:t>
      </w:r>
      <w:r>
        <w:rPr>
          <w:rFonts w:ascii="Arial" w:hAnsi="Arial" w:cs="Arial"/>
        </w:rPr>
        <w:fldChar w:fldCharType="end"/>
      </w:r>
      <w:r>
        <w:rPr>
          <w:rFonts w:ascii="Arial" w:hAnsi="Arial" w:cs="Arial"/>
        </w:rPr>
        <w:t xml:space="preserve"> and Rickards </w:t>
      </w:r>
      <w:r>
        <w:rPr>
          <w:rFonts w:ascii="Arial" w:hAnsi="Arial" w:cs="Arial"/>
        </w:rPr>
        <w:fldChar w:fldCharType="begin"/>
      </w:r>
      <w:r>
        <w:rPr>
          <w:rFonts w:ascii="Arial" w:hAnsi="Arial" w:cs="Arial"/>
        </w:rPr>
        <w:instrText xml:space="preserve"> ADDIN EN.CITE &lt;EndNote&gt;&lt;Cite&gt;&lt;Author&gt;Rickards&lt;/Author&gt;&lt;Year&gt;2000&lt;/Year&gt;&lt;IDText&gt;The age of the earliest club mosses: the Silurian Baragwanathia flora in Victoria, Australia&lt;/IDText&gt;&lt;DisplayText&gt;(Rickards, 2000)&lt;/DisplayText&gt;&lt;record&gt;&lt;work-type&gt;null&lt;/work-type&gt;&lt;titles&gt;&lt;title&gt;The age of the earliest club mosses: the Silurian Baragwanathia flora in Victoria, Australia&lt;/title&gt;&lt;secondary-title&gt;Geological Magazine&lt;/secondary-title&gt;&lt;/titles&gt;&lt;pages&gt;207-209&lt;/pages&gt;&lt;number&gt;02&lt;/number&gt;&lt;contributors&gt;&lt;authors&gt;&lt;author&gt;Rickards, R. B.&lt;/author&gt;&lt;/authors&gt;&lt;/contributors&gt;&lt;added-date format="utc"&gt;1457002474&lt;/added-date&gt;&lt;ref-type name="Journal Article"&gt;17&lt;/ref-type&gt;&lt;dates&gt;&lt;year&gt;2000&lt;/year&gt;&lt;/dates&gt;&lt;rec-number&gt;1064&lt;/rec-number&gt;&lt;last-updated-date format="utc"&gt;1457002474&lt;/last-updated-date&gt;&lt;volume&gt;137&lt;/volume&gt;&lt;/record&gt;&lt;/Cite&gt;&lt;/EndNote&gt;</w:instrText>
      </w:r>
      <w:r>
        <w:rPr>
          <w:rFonts w:ascii="Arial" w:hAnsi="Arial" w:cs="Arial"/>
        </w:rPr>
        <w:fldChar w:fldCharType="separate"/>
      </w:r>
      <w:r>
        <w:rPr>
          <w:rFonts w:ascii="Arial" w:hAnsi="Arial" w:cs="Arial"/>
          <w:noProof/>
        </w:rPr>
        <w:t>(Rickards, 2000)</w:t>
      </w:r>
      <w:r>
        <w:rPr>
          <w:rFonts w:ascii="Arial" w:hAnsi="Arial" w:cs="Arial"/>
        </w:rPr>
        <w:fldChar w:fldCharType="end"/>
      </w:r>
      <w:r w:rsidRPr="00FA7F73">
        <w:rPr>
          <w:rFonts w:ascii="Arial" w:hAnsi="Arial" w:cs="Arial"/>
        </w:rPr>
        <w:t>.</w:t>
      </w:r>
      <w:r>
        <w:rPr>
          <w:rFonts w:ascii="Arial" w:hAnsi="Arial" w:cs="Arial"/>
        </w:rPr>
        <w:t xml:space="preserve"> Lineages and genera marked with a stomate contain at least some species representatives that have or had stomata. The phylogeny depicts hornworts as the earliest diverging extant bryophytes followed by a group containing the mosses and liverworts which is sister to later diverging lineages including the vascular plants. </w:t>
      </w:r>
      <w:r w:rsidRPr="00FA7F73">
        <w:rPr>
          <w:rFonts w:ascii="Arial" w:hAnsi="Arial" w:cs="Arial"/>
        </w:rPr>
        <w:t>(</w:t>
      </w:r>
      <w:r>
        <w:rPr>
          <w:rFonts w:ascii="Arial" w:hAnsi="Arial" w:cs="Arial"/>
          <w:b/>
        </w:rPr>
        <w:t>b</w:t>
      </w:r>
      <w:r w:rsidRPr="00FA7F73">
        <w:rPr>
          <w:rFonts w:ascii="Arial" w:hAnsi="Arial" w:cs="Arial"/>
        </w:rPr>
        <w:t>)</w:t>
      </w:r>
      <w:r>
        <w:rPr>
          <w:rFonts w:ascii="Arial" w:hAnsi="Arial" w:cs="Arial"/>
        </w:rPr>
        <w:t xml:space="preserve"> An alternative land plant phylogeny with liverworts as the earliest diverging bryophytes, followed by the mosses and then hornworts based on amongst others Ruszala et al </w:t>
      </w:r>
      <w:r>
        <w:rPr>
          <w:rFonts w:ascii="Arial" w:hAnsi="Arial" w:cs="Arial"/>
        </w:rPr>
        <w:fldChar w:fldCharType="begin">
          <w:fldData xml:space="preserve">PEVuZE5vdGU+PENpdGUgRXhjbHVkZUF1dGg9IjEiPjxBdXRob3I+UnVzemFsYTwvQXV0aG9yPjxZ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==
</w:fldData>
        </w:fldChar>
      </w:r>
      <w:r>
        <w:rPr>
          <w:rFonts w:ascii="Arial" w:hAnsi="Arial" w:cs="Arial"/>
        </w:rPr>
        <w:instrText xml:space="preserve"> ADDIN EN.CITE </w:instrText>
      </w:r>
      <w:r>
        <w:rPr>
          <w:rFonts w:ascii="Arial" w:hAnsi="Arial" w:cs="Arial"/>
        </w:rPr>
        <w:fldChar w:fldCharType="begin">
          <w:fldData xml:space="preserve">PEVuZE5vdGU+PENpdGUgRXhjbHVkZUF1dGg9IjEiPjxBdXRob3I+UnVzemFsYTwvQXV0aG9yPjxZ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==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(2011)</w:t>
      </w:r>
      <w:r>
        <w:rPr>
          <w:rFonts w:ascii="Arial" w:hAnsi="Arial" w:cs="Arial"/>
        </w:rPr>
        <w:fldChar w:fldCharType="end"/>
      </w:r>
      <w:r>
        <w:rPr>
          <w:rFonts w:ascii="Arial" w:hAnsi="Arial" w:cs="Arial"/>
        </w:rPr>
        <w:t xml:space="preserve">, Edwards et al </w:t>
      </w:r>
      <w:r>
        <w:rPr>
          <w:rFonts w:ascii="Arial" w:hAnsi="Arial" w:cs="Arial"/>
        </w:rPr>
        <w:fldChar w:fldCharType="begin">
          <w:fldData xml:space="preserve">PEVuZE5vdGU+PENpdGUgRXhjbHVkZUF1dGg9IjEiPjxBdXRob3I+RWR3YXJkczwvQXV0aG9yPjxZ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</w:fldData>
        </w:fldChar>
      </w:r>
      <w:r>
        <w:rPr>
          <w:rFonts w:ascii="Arial" w:hAnsi="Arial" w:cs="Arial"/>
        </w:rPr>
        <w:instrText xml:space="preserve"> ADDIN EN.CITE </w:instrText>
      </w:r>
      <w:r>
        <w:rPr>
          <w:rFonts w:ascii="Arial" w:hAnsi="Arial" w:cs="Arial"/>
        </w:rPr>
        <w:fldChar w:fldCharType="begin">
          <w:fldData xml:space="preserve">PEVuZE5vdGU+PENpdGUgRXhjbHVkZUF1dGg9IjEiPjxBdXRob3I+RWR3YXJkczwvQXV0aG9yPjxZ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(2014)</w:t>
      </w:r>
      <w:r>
        <w:rPr>
          <w:rFonts w:ascii="Arial" w:hAnsi="Arial" w:cs="Arial"/>
        </w:rPr>
        <w:fldChar w:fldCharType="end"/>
      </w:r>
      <w:r>
        <w:rPr>
          <w:rFonts w:ascii="Arial" w:hAnsi="Arial" w:cs="Arial"/>
        </w:rPr>
        <w:t xml:space="preserve"> and Qiu et al </w:t>
      </w:r>
      <w:r>
        <w:rPr>
          <w:rFonts w:ascii="Arial" w:hAnsi="Arial" w:cs="Arial"/>
        </w:rPr>
        <w:fldChar w:fldCharType="begin">
          <w:fldData xml:space="preserve">PEVuZE5vdGU+PENpdGUgRXhjbHVkZUF1dGg9IjEiPjxBdXRob3I+UWl1PC9BdXRob3I+PFllYXI+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</w:fldData>
        </w:fldChar>
      </w:r>
      <w:r>
        <w:rPr>
          <w:rFonts w:ascii="Arial" w:hAnsi="Arial" w:cs="Arial"/>
        </w:rPr>
        <w:instrText xml:space="preserve"> ADDIN EN.CITE </w:instrText>
      </w:r>
      <w:r>
        <w:rPr>
          <w:rFonts w:ascii="Arial" w:hAnsi="Arial" w:cs="Arial"/>
        </w:rPr>
        <w:fldChar w:fldCharType="begin">
          <w:fldData xml:space="preserve">PEVuZE5vdGU+PENpdGUgRXhjbHVkZUF1dGg9IjEiPjxBdXRob3I+UWl1PC9BdXRob3I+PFllYXI+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(2006)</w:t>
      </w:r>
      <w:r>
        <w:rPr>
          <w:rFonts w:ascii="Arial" w:hAnsi="Arial" w:cs="Arial"/>
        </w:rPr>
        <w:fldChar w:fldCharType="end"/>
      </w:r>
      <w:r>
        <w:rPr>
          <w:rFonts w:ascii="Arial" w:hAnsi="Arial" w:cs="Arial"/>
        </w:rPr>
        <w:t>. (</w:t>
      </w:r>
      <w:r>
        <w:rPr>
          <w:rFonts w:ascii="Arial" w:hAnsi="Arial" w:cs="Arial"/>
          <w:b/>
        </w:rPr>
        <w:t>c</w:t>
      </w:r>
      <w:r>
        <w:rPr>
          <w:rFonts w:ascii="Arial" w:hAnsi="Arial" w:cs="Arial"/>
        </w:rPr>
        <w:t xml:space="preserve">) A further depiction of land plants phylogeny based on Nishiyama et al </w:t>
      </w:r>
      <w:r>
        <w:rPr>
          <w:rFonts w:ascii="Arial" w:hAnsi="Arial" w:cs="Arial"/>
        </w:rPr>
        <w:fldChar w:fldCharType="begin"/>
      </w:r>
      <w:r>
        <w:rPr>
          <w:rFonts w:ascii="Arial" w:hAnsi="Arial" w:cs="Arial"/>
        </w:rPr>
        <w:instrText xml:space="preserve"> ADDIN EN.CITE &lt;EndNote&gt;&lt;Cite ExcludeAuth="1"&gt;&lt;Author&gt;Nishiyama&lt;/Author&gt;&lt;Year&gt;2004&lt;/Year&gt;&lt;IDText&gt;Chloroplast phylogeny indicates that bryophytes are monophyletic&lt;/IDText&gt;&lt;DisplayText&gt;(2004)&lt;/DisplayText&gt;&lt;record&gt;&lt;dates&gt;&lt;pub-dates&gt;&lt;date&gt;2004//&lt;/date&gt;&lt;/pub-dates&gt;&lt;year&gt;2004&lt;/year&gt;&lt;/dates&gt;&lt;titles&gt;&lt;title&gt;Chloroplast phylogeny indicates that bryophytes are monophyletic&lt;/title&gt;&lt;secondary-title&gt;Mol Biol Evol&lt;/secondary-title&gt;&lt;/titles&gt;&lt;contributors&gt;&lt;authors&gt;&lt;author&gt;Nishiyama, T.&lt;/author&gt;&lt;author&gt;Wolf, P. G.&lt;/author&gt;&lt;author&gt;Kugita, M.&lt;/author&gt;&lt;author&gt;Sinclair, R. B.&lt;/author&gt;&lt;author&gt;Sugita, M.&lt;/author&gt;&lt;author&gt;Sugiura, C.&lt;/author&gt;&lt;author&gt;Wakasugi, T.&lt;/author&gt;&lt;author&gt;Yamada, K.&lt;/author&gt;&lt;author&gt;Yoshinaga, K.&lt;/author&gt;&lt;author&gt;Yamaguchi, K.&lt;/author&gt;&lt;/authors&gt;&lt;/contributors&gt;&lt;added-date format="utc"&gt;1452009944&lt;/added-date&gt;&lt;ref-type name="Journal Article"&gt;17&lt;/ref-type&gt;&lt;rec-number&gt;325&lt;/rec-number&gt;&lt;last-updated-date format="utc"&gt;1452009944&lt;/last-updated-date&gt;&lt;volume&gt;21&lt;/volume&gt;&lt;/record&gt;&lt;/Cite&gt;&lt;/EndNote&gt;</w:instrText>
      </w:r>
      <w:r>
        <w:rPr>
          <w:rFonts w:ascii="Arial" w:hAnsi="Arial" w:cs="Arial"/>
        </w:rPr>
        <w:fldChar w:fldCharType="separate"/>
      </w:r>
      <w:r>
        <w:rPr>
          <w:rFonts w:ascii="Arial" w:hAnsi="Arial" w:cs="Arial"/>
          <w:noProof/>
        </w:rPr>
        <w:t>(2004)</w:t>
      </w:r>
      <w:r>
        <w:rPr>
          <w:rFonts w:ascii="Arial" w:hAnsi="Arial" w:cs="Arial"/>
        </w:rPr>
        <w:fldChar w:fldCharType="end"/>
      </w:r>
      <w:r w:rsidRPr="00FA7F73">
        <w:rPr>
          <w:rFonts w:ascii="Arial" w:hAnsi="Arial" w:cs="Arial"/>
        </w:rPr>
        <w:t xml:space="preserve"> </w:t>
      </w:r>
      <w:r>
        <w:rPr>
          <w:rFonts w:ascii="Arial" w:hAnsi="Arial" w:cs="Arial"/>
        </w:rPr>
        <w:t>depicting a monophyletic group of bryophytes. (</w:t>
      </w:r>
      <w:r w:rsidRPr="0029328E">
        <w:rPr>
          <w:rFonts w:ascii="Arial" w:hAnsi="Arial" w:cs="Arial"/>
          <w:b/>
        </w:rPr>
        <w:t>d</w:t>
      </w:r>
      <w:r>
        <w:rPr>
          <w:rFonts w:ascii="Arial" w:hAnsi="Arial" w:cs="Arial"/>
        </w:rPr>
        <w:t xml:space="preserve">) </w:t>
      </w:r>
      <w:r w:rsidRPr="0029328E">
        <w:rPr>
          <w:rFonts w:ascii="Arial" w:hAnsi="Arial" w:cs="Arial"/>
        </w:rPr>
        <w:t>Representative</w:t>
      </w:r>
      <w:r>
        <w:rPr>
          <w:rFonts w:ascii="Arial" w:hAnsi="Arial" w:cs="Arial"/>
        </w:rPr>
        <w:t xml:space="preserve"> discoidal sporangium of </w:t>
      </w:r>
      <w:r w:rsidRPr="00014083">
        <w:rPr>
          <w:rFonts w:ascii="Arial" w:hAnsi="Arial" w:cs="Arial"/>
          <w:i/>
        </w:rPr>
        <w:t>C</w:t>
      </w:r>
      <w:r w:rsidRPr="00FA7F73">
        <w:rPr>
          <w:rFonts w:ascii="Arial" w:hAnsi="Arial" w:cs="Arial"/>
          <w:i/>
        </w:rPr>
        <w:t>ooksonia pertoni</w:t>
      </w:r>
      <w:r w:rsidRPr="00FA7F73">
        <w:rPr>
          <w:rFonts w:ascii="Arial" w:hAnsi="Arial" w:cs="Arial"/>
        </w:rPr>
        <w:t xml:space="preserve"> adapted </w:t>
      </w:r>
      <w:r>
        <w:rPr>
          <w:rFonts w:ascii="Arial" w:hAnsi="Arial" w:cs="Arial"/>
        </w:rPr>
        <w:t xml:space="preserve">from Edwards et al. </w:t>
      </w:r>
      <w:r>
        <w:rPr>
          <w:rFonts w:ascii="Arial" w:hAnsi="Arial" w:cs="Arial"/>
        </w:rPr>
        <w:fldChar w:fldCharType="begin"/>
      </w:r>
      <w:r>
        <w:rPr>
          <w:rFonts w:ascii="Arial" w:hAnsi="Arial" w:cs="Arial"/>
        </w:rPr>
        <w:instrText xml:space="preserve"> ADDIN EN.CITE &lt;EndNote&gt;&lt;Cite ExcludeAuth="1"&gt;&lt;Author&gt;Edwards&lt;/Author&gt;&lt;Year&gt;1992&lt;/Year&gt;&lt;IDText&gt;A vascular conducting strand in the early land plant Cooksonia&lt;/IDText&gt;&lt;DisplayText&gt;(1992)&lt;/DisplayText&gt;&lt;record&gt;&lt;dates&gt;&lt;pub-dates&gt;&lt;date&gt;06/25/print&lt;/date&gt;&lt;/pub-dates&gt;&lt;year&gt;1992&lt;/year&gt;&lt;/dates&gt;&lt;urls&gt;&lt;related-urls&gt;&lt;url&gt;http://dx.doi.org/10.1038/357683a0&lt;/url&gt;&lt;/related-urls&gt;&lt;/urls&gt;&lt;work-type&gt;10.1038/357683a0&lt;/work-type&gt;&lt;titles&gt;&lt;title&gt;A vascular conducting strand in the early land plant Cooksonia&lt;/title&gt;&lt;secondary-title&gt;Nature&lt;/secondary-title&gt;&lt;/titles&gt;&lt;pages&gt;683-685&lt;/pages&gt;&lt;number&gt;6380&lt;/number&gt;&lt;contributors&gt;&lt;authors&gt;&lt;author&gt;Edwards, D.&lt;/author&gt;&lt;author&gt;Davies, K. L.&lt;/author&gt;&lt;author&gt;Axe, L.&lt;/author&gt;&lt;/authors&gt;&lt;/contributors&gt;&lt;added-date format="utc"&gt;1453213700&lt;/added-date&gt;&lt;ref-type name="Journal Article"&gt;17&lt;/ref-type&gt;&lt;rec-number&gt;430&lt;/rec-number&gt;&lt;last-updated-date format="utc"&gt;1453213700&lt;/last-updated-date&gt;&lt;volume&gt;357&lt;/volume&gt;&lt;/record&gt;&lt;/Cite&gt;&lt;/EndNote&gt;</w:instrText>
      </w:r>
      <w:r>
        <w:rPr>
          <w:rFonts w:ascii="Arial" w:hAnsi="Arial" w:cs="Arial"/>
        </w:rPr>
        <w:fldChar w:fldCharType="separate"/>
      </w:r>
      <w:r>
        <w:rPr>
          <w:rFonts w:ascii="Arial" w:hAnsi="Arial" w:cs="Arial"/>
          <w:noProof/>
        </w:rPr>
        <w:t>(1992)</w:t>
      </w:r>
      <w:r>
        <w:rPr>
          <w:rFonts w:ascii="Arial" w:hAnsi="Arial" w:cs="Arial"/>
        </w:rPr>
        <w:fldChar w:fldCharType="end"/>
      </w:r>
      <w:r>
        <w:rPr>
          <w:rFonts w:ascii="Arial" w:hAnsi="Arial" w:cs="Arial"/>
        </w:rPr>
        <w:t xml:space="preserve">. </w:t>
      </w:r>
      <w:r w:rsidRPr="00FA7F73">
        <w:rPr>
          <w:rFonts w:ascii="Arial" w:hAnsi="Arial" w:cs="Arial"/>
        </w:rPr>
        <w:t>(</w:t>
      </w:r>
      <w:r>
        <w:rPr>
          <w:rFonts w:ascii="Arial" w:hAnsi="Arial" w:cs="Arial"/>
          <w:b/>
        </w:rPr>
        <w:t>e</w:t>
      </w:r>
      <w:r w:rsidRPr="00FA7F73">
        <w:rPr>
          <w:rFonts w:ascii="Arial" w:hAnsi="Arial" w:cs="Arial"/>
        </w:rPr>
        <w:t xml:space="preserve">) </w:t>
      </w:r>
      <w:r>
        <w:rPr>
          <w:rFonts w:ascii="Arial" w:hAnsi="Arial" w:cs="Arial"/>
        </w:rPr>
        <w:t xml:space="preserve">Terminal bifurcating discoidal sporangia also from </w:t>
      </w:r>
      <w:r>
        <w:rPr>
          <w:rFonts w:ascii="Arial" w:hAnsi="Arial" w:cs="Arial"/>
          <w:i/>
        </w:rPr>
        <w:t xml:space="preserve">C. pertoni </w:t>
      </w:r>
      <w:r>
        <w:rPr>
          <w:rFonts w:ascii="Arial" w:hAnsi="Arial" w:cs="Arial"/>
        </w:rPr>
        <w:t xml:space="preserve">adapted Edwards </w:t>
      </w:r>
      <w:r w:rsidRPr="00FA7F73">
        <w:rPr>
          <w:rFonts w:ascii="Arial" w:hAnsi="Arial" w:cs="Arial"/>
        </w:rPr>
        <w:fldChar w:fldCharType="begin"/>
      </w:r>
      <w:r>
        <w:rPr>
          <w:rFonts w:ascii="Arial" w:hAnsi="Arial" w:cs="Arial"/>
        </w:rPr>
        <w:instrText xml:space="preserve"> ADDIN EN.CITE &lt;EndNote&gt;&lt;Cite ExcludeAuth="1"&gt;&lt;Author&gt;Edwards&lt;/Author&gt;&lt;Year&gt;1996&lt;/Year&gt;&lt;IDText&gt;New insights into early land ecosystems: a glimpse of a lilliputian world&lt;/IDText&gt;&lt;DisplayText&gt;(1996)&lt;/DisplayText&gt;&lt;record&gt;&lt;dates&gt;&lt;pub-dates&gt;&lt;date&gt;1996/02/01&lt;/date&gt;&lt;/pub-dates&gt;&lt;year&gt;1996&lt;/year&gt;&lt;/dates&gt;&lt;urls&gt;&lt;related-urls&gt;&lt;url&gt;http://www.sciencedirect.com/science/article/pii/003466679500081X&lt;/url&gt;&lt;/related-urls&gt;&lt;/urls&gt;&lt;isbn&gt;0034-6667&lt;/isbn&gt;&lt;titles&gt;&lt;title&gt;New insights into early land ecosystems: a glimpse of a lilliputian world&lt;/title&gt;&lt;secondary-title&gt;Review of Palaeobotany and Palynology&lt;/secondary-title&gt;&lt;/titles&gt;&lt;pages&gt;159-174&lt;/pages&gt;&lt;number&gt;3&lt;/number&gt;&lt;contributors&gt;&lt;authors&gt;&lt;author&gt;Edwards, Dianne&lt;/author&gt;&lt;/authors&gt;&lt;/contributors&gt;&lt;added-date format="utc"&gt;1465809726&lt;/added-date&gt;&lt;ref-type name="Journal Article"&gt;17&lt;/ref-type&gt;&lt;rec-number&gt;1297&lt;/rec-number&gt;&lt;last-updated-date format="utc"&gt;1465809726&lt;/last-updated-date&gt;&lt;electronic-resource-num&gt;http://dx.doi.org/10.1016/0034-6667(95)00081-X&lt;/electronic-resource-num&gt;&lt;volume&gt;90&lt;/volume&gt;&lt;/record&gt;&lt;/Cite&gt;&lt;/EndNote&gt;</w:instrText>
      </w:r>
      <w:r w:rsidRPr="00FA7F73">
        <w:rPr>
          <w:rFonts w:ascii="Arial" w:hAnsi="Arial" w:cs="Arial"/>
        </w:rPr>
        <w:fldChar w:fldCharType="separate"/>
      </w:r>
      <w:r>
        <w:rPr>
          <w:rFonts w:ascii="Arial" w:hAnsi="Arial" w:cs="Arial"/>
          <w:noProof/>
        </w:rPr>
        <w:t>(1996)</w:t>
      </w:r>
      <w:r w:rsidRPr="00FA7F73">
        <w:rPr>
          <w:rFonts w:ascii="Arial" w:hAnsi="Arial" w:cs="Arial"/>
        </w:rPr>
        <w:fldChar w:fldCharType="end"/>
      </w:r>
      <w:r w:rsidRPr="00FA7F73">
        <w:rPr>
          <w:rFonts w:ascii="Arial" w:hAnsi="Arial" w:cs="Arial"/>
        </w:rPr>
        <w:t xml:space="preserve">. </w:t>
      </w:r>
      <w:r>
        <w:rPr>
          <w:rFonts w:ascii="Arial" w:hAnsi="Arial" w:cs="Arial"/>
        </w:rPr>
        <w:t>(</w:t>
      </w:r>
      <w:r>
        <w:rPr>
          <w:rFonts w:ascii="Arial" w:hAnsi="Arial" w:cs="Arial"/>
          <w:b/>
        </w:rPr>
        <w:t>f</w:t>
      </w:r>
      <w:r>
        <w:rPr>
          <w:rFonts w:ascii="Arial" w:hAnsi="Arial" w:cs="Arial"/>
        </w:rPr>
        <w:t xml:space="preserve">) Representative </w:t>
      </w:r>
      <w:r>
        <w:rPr>
          <w:rFonts w:ascii="Arial" w:hAnsi="Arial" w:cs="Arial"/>
          <w:i/>
        </w:rPr>
        <w:t xml:space="preserve">Cooksonia pertoni </w:t>
      </w:r>
      <w:r>
        <w:rPr>
          <w:rFonts w:ascii="Arial" w:hAnsi="Arial" w:cs="Arial"/>
        </w:rPr>
        <w:t xml:space="preserve">stomata close-up with the visible impressions of two guard cells surrounding a central pore also adapted from Edwards et al. </w:t>
      </w:r>
      <w:r>
        <w:rPr>
          <w:rFonts w:ascii="Arial" w:hAnsi="Arial" w:cs="Arial"/>
        </w:rPr>
        <w:fldChar w:fldCharType="begin"/>
      </w:r>
      <w:r>
        <w:rPr>
          <w:rFonts w:ascii="Arial" w:hAnsi="Arial" w:cs="Arial"/>
        </w:rPr>
        <w:instrText xml:space="preserve"> ADDIN EN.CITE &lt;EndNote&gt;&lt;Cite ExcludeAuth="1"&gt;&lt;Author&gt;Edwards&lt;/Author&gt;&lt;Year&gt;1992&lt;/Year&gt;&lt;IDText&gt;A vascular conducting strand in the early land plant Cooksonia&lt;/IDText&gt;&lt;DisplayText&gt;(1992)&lt;/DisplayText&gt;&lt;record&gt;&lt;dates&gt;&lt;pub-dates&gt;&lt;date&gt;06/25/print&lt;/date&gt;&lt;/pub-dates&gt;&lt;year&gt;1992&lt;/year&gt;&lt;/dates&gt;&lt;urls&gt;&lt;related-urls&gt;&lt;url&gt;http://dx.doi.org/10.1038/357683a0&lt;/url&gt;&lt;/related-urls&gt;&lt;/urls&gt;&lt;work-type&gt;10.1038/357683a0&lt;/work-type&gt;&lt;titles&gt;&lt;title&gt;A vascular conducting strand in the early land plant Cooksonia&lt;/title&gt;&lt;secondary-title&gt;Nature&lt;/secondary-title&gt;&lt;/titles&gt;&lt;pages&gt;683-685&lt;/pages&gt;&lt;number&gt;6380&lt;/number&gt;&lt;contributors&gt;&lt;authors&gt;&lt;author&gt;Edwards, D.&lt;/author&gt;&lt;author&gt;Davies, K. L.&lt;/author&gt;&lt;author&gt;Axe, L.&lt;/author&gt;&lt;/authors&gt;&lt;/contributors&gt;&lt;added-date format="utc"&gt;1453213700&lt;/added-date&gt;&lt;ref-type name="Journal Article"&gt;17&lt;/ref-type&gt;&lt;rec-number&gt;430&lt;/rec-number&gt;&lt;last-updated-date format="utc"&gt;1453213700&lt;/last-updated-date&gt;&lt;volume&gt;357&lt;/volume&gt;&lt;/record&gt;&lt;/Cite&gt;&lt;/EndNote&gt;</w:instrText>
      </w:r>
      <w:r>
        <w:rPr>
          <w:rFonts w:ascii="Arial" w:hAnsi="Arial" w:cs="Arial"/>
        </w:rPr>
        <w:fldChar w:fldCharType="separate"/>
      </w:r>
      <w:r>
        <w:rPr>
          <w:rFonts w:ascii="Arial" w:hAnsi="Arial" w:cs="Arial"/>
          <w:noProof/>
        </w:rPr>
        <w:t>(1992)</w:t>
      </w:r>
      <w:r>
        <w:rPr>
          <w:rFonts w:ascii="Arial" w:hAnsi="Arial" w:cs="Arial"/>
        </w:rPr>
        <w:fldChar w:fldCharType="end"/>
      </w:r>
      <w:r>
        <w:rPr>
          <w:rFonts w:ascii="Arial" w:hAnsi="Arial" w:cs="Arial"/>
        </w:rPr>
        <w:t xml:space="preserve">. </w:t>
      </w:r>
      <w:r w:rsidRPr="00FA7F73">
        <w:rPr>
          <w:rFonts w:ascii="Arial" w:hAnsi="Arial" w:cs="Arial"/>
        </w:rPr>
        <w:t>Note</w:t>
      </w:r>
      <w:r>
        <w:rPr>
          <w:rFonts w:ascii="Arial" w:hAnsi="Arial" w:cs="Arial"/>
        </w:rPr>
        <w:t>, the phylogenies presented in (</w:t>
      </w:r>
      <w:r>
        <w:rPr>
          <w:rFonts w:ascii="Arial" w:hAnsi="Arial" w:cs="Arial"/>
          <w:b/>
        </w:rPr>
        <w:t>a</w:t>
      </w:r>
      <w:r w:rsidRPr="00C204C0">
        <w:rPr>
          <w:rFonts w:ascii="Arial" w:hAnsi="Arial" w:cs="Arial"/>
        </w:rPr>
        <w:t>)</w:t>
      </w:r>
      <w:r>
        <w:rPr>
          <w:rFonts w:ascii="Arial" w:hAnsi="Arial" w:cs="Arial"/>
        </w:rPr>
        <w:t>, (</w:t>
      </w:r>
      <w:r>
        <w:rPr>
          <w:rFonts w:ascii="Arial" w:hAnsi="Arial" w:cs="Arial"/>
          <w:b/>
        </w:rPr>
        <w:t>b</w:t>
      </w:r>
      <w:r w:rsidRPr="00C204C0">
        <w:rPr>
          <w:rFonts w:ascii="Arial" w:hAnsi="Arial" w:cs="Arial"/>
        </w:rPr>
        <w:t>)</w:t>
      </w:r>
      <w:r>
        <w:rPr>
          <w:rFonts w:ascii="Arial" w:hAnsi="Arial" w:cs="Arial"/>
        </w:rPr>
        <w:t xml:space="preserve"> and (</w:t>
      </w:r>
      <w:r>
        <w:rPr>
          <w:rFonts w:ascii="Arial" w:hAnsi="Arial" w:cs="Arial"/>
          <w:b/>
        </w:rPr>
        <w:t>c</w:t>
      </w:r>
      <w:r w:rsidRPr="00FA7F73">
        <w:rPr>
          <w:rFonts w:ascii="Arial" w:hAnsi="Arial" w:cs="Arial"/>
        </w:rPr>
        <w:t xml:space="preserve">) </w:t>
      </w:r>
      <w:r>
        <w:rPr>
          <w:rFonts w:ascii="Arial" w:hAnsi="Arial" w:cs="Arial"/>
        </w:rPr>
        <w:t xml:space="preserve">are not exhaustive and other phylogenies have been proposed for further details see </w:t>
      </w:r>
      <w:r w:rsidRPr="00FA7F73">
        <w:rPr>
          <w:rFonts w:ascii="Arial" w:hAnsi="Arial" w:cs="Arial"/>
        </w:rPr>
        <w:fldChar w:fldCharType="begin">
          <w:fldData xml:space="preserve">PEVuZE5vdGU+PENpdGU+PEF1dGhvcj5Db3g8L0F1dGhvcj48WWVhcj4yMDE0PC9ZZWFyPjxJRFRl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</w:fldData>
        </w:fldChar>
      </w:r>
      <w:r w:rsidR="001D2DA0">
        <w:rPr>
          <w:rFonts w:ascii="Arial" w:hAnsi="Arial" w:cs="Arial"/>
        </w:rPr>
        <w:instrText xml:space="preserve"> ADDIN EN.CITE </w:instrText>
      </w:r>
      <w:r w:rsidR="001D2DA0">
        <w:rPr>
          <w:rFonts w:ascii="Arial" w:hAnsi="Arial" w:cs="Arial"/>
        </w:rPr>
        <w:fldChar w:fldCharType="begin">
          <w:fldData xml:space="preserve">PEVuZE5vdGU+PENpdGU+PEF1dGhvcj5Db3g8L0F1dGhvcj48WWVhcj4yMDE0PC9ZZWFyPjxJRFRl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</w:fldData>
        </w:fldChar>
      </w:r>
      <w:r w:rsidR="001D2DA0">
        <w:rPr>
          <w:rFonts w:ascii="Arial" w:hAnsi="Arial" w:cs="Arial"/>
        </w:rPr>
        <w:instrText xml:space="preserve"> ADDIN EN.CITE.DATA </w:instrText>
      </w:r>
      <w:r w:rsidR="001D2DA0">
        <w:rPr>
          <w:rFonts w:ascii="Arial" w:hAnsi="Arial" w:cs="Arial"/>
        </w:rPr>
      </w:r>
      <w:r w:rsidR="001D2DA0">
        <w:rPr>
          <w:rFonts w:ascii="Arial" w:hAnsi="Arial" w:cs="Arial"/>
        </w:rPr>
        <w:fldChar w:fldCharType="end"/>
      </w:r>
      <w:r w:rsidRPr="00FA7F73">
        <w:rPr>
          <w:rFonts w:ascii="Arial" w:hAnsi="Arial" w:cs="Arial"/>
        </w:rPr>
      </w:r>
      <w:r w:rsidRPr="00FA7F73">
        <w:rPr>
          <w:rFonts w:ascii="Arial" w:hAnsi="Arial" w:cs="Arial"/>
        </w:rPr>
        <w:fldChar w:fldCharType="separate"/>
      </w:r>
      <w:r w:rsidR="001D2DA0">
        <w:rPr>
          <w:rFonts w:ascii="Arial" w:hAnsi="Arial" w:cs="Arial"/>
          <w:noProof/>
        </w:rPr>
        <w:t>(Cox et al., 2014; Ruhfel et al., 2014; Wickett et al., 2014)</w:t>
      </w:r>
      <w:r w:rsidRPr="00FA7F73">
        <w:rPr>
          <w:rFonts w:ascii="Arial" w:hAnsi="Arial" w:cs="Arial"/>
        </w:rPr>
        <w:fldChar w:fldCharType="end"/>
      </w:r>
      <w:r w:rsidRPr="00FA7F73">
        <w:rPr>
          <w:rFonts w:ascii="Arial" w:hAnsi="Arial" w:cs="Arial"/>
        </w:rPr>
        <w:t>.</w:t>
      </w:r>
      <w:r>
        <w:rPr>
          <w:rFonts w:ascii="Arial" w:hAnsi="Arial" w:cs="Arial"/>
        </w:rPr>
        <w:t xml:space="preserve"> </w:t>
      </w:r>
      <w:r w:rsidRPr="00985CB5">
        <w:rPr>
          <w:rFonts w:ascii="Arial" w:hAnsi="Arial" w:cs="Arial"/>
        </w:rPr>
        <w:t>The</w:t>
      </w:r>
      <w:r w:rsidRPr="00FA7F73">
        <w:rPr>
          <w:rFonts w:ascii="Arial" w:hAnsi="Arial" w:cs="Arial"/>
        </w:rPr>
        <w:t xml:space="preserve"> scale bar</w:t>
      </w:r>
      <w:r>
        <w:rPr>
          <w:rFonts w:ascii="Arial" w:hAnsi="Arial" w:cs="Arial"/>
        </w:rPr>
        <w:t>s</w:t>
      </w:r>
      <w:r w:rsidRPr="00FA7F73">
        <w:rPr>
          <w:rFonts w:ascii="Arial" w:hAnsi="Arial" w:cs="Arial"/>
        </w:rPr>
        <w:t xml:space="preserve"> in </w:t>
      </w:r>
      <w:r>
        <w:rPr>
          <w:rFonts w:ascii="Arial" w:hAnsi="Arial" w:cs="Arial"/>
        </w:rPr>
        <w:t>(</w:t>
      </w:r>
      <w:r>
        <w:rPr>
          <w:rFonts w:ascii="Arial" w:hAnsi="Arial" w:cs="Arial"/>
          <w:b/>
        </w:rPr>
        <w:t>d</w:t>
      </w:r>
      <w:r>
        <w:rPr>
          <w:rFonts w:ascii="Arial" w:hAnsi="Arial" w:cs="Arial"/>
        </w:rPr>
        <w:t xml:space="preserve">) and </w:t>
      </w:r>
      <w:r w:rsidRPr="00FA7F73">
        <w:rPr>
          <w:rFonts w:ascii="Arial" w:hAnsi="Arial" w:cs="Arial"/>
        </w:rPr>
        <w:t>(</w:t>
      </w:r>
      <w:r>
        <w:rPr>
          <w:rFonts w:ascii="Arial" w:hAnsi="Arial" w:cs="Arial"/>
          <w:b/>
        </w:rPr>
        <w:t>e</w:t>
      </w:r>
      <w:r w:rsidRPr="00FA7F73">
        <w:rPr>
          <w:rFonts w:ascii="Arial" w:hAnsi="Arial" w:cs="Arial"/>
        </w:rPr>
        <w:t xml:space="preserve">) </w:t>
      </w:r>
      <w:r>
        <w:rPr>
          <w:rFonts w:ascii="Arial" w:hAnsi="Arial" w:cs="Arial"/>
        </w:rPr>
        <w:t>equate to 5</w:t>
      </w:r>
      <w:r w:rsidRPr="00FA7F73">
        <w:rPr>
          <w:rFonts w:ascii="Arial" w:hAnsi="Arial" w:cs="Arial"/>
        </w:rPr>
        <w:t>00µm, in (</w:t>
      </w:r>
      <w:r>
        <w:rPr>
          <w:rFonts w:ascii="Arial" w:hAnsi="Arial" w:cs="Arial"/>
          <w:b/>
        </w:rPr>
        <w:t>f</w:t>
      </w:r>
      <w:r>
        <w:rPr>
          <w:rFonts w:ascii="Arial" w:hAnsi="Arial" w:cs="Arial"/>
        </w:rPr>
        <w:t xml:space="preserve">) </w:t>
      </w:r>
      <w:r w:rsidRPr="00FA7F73">
        <w:rPr>
          <w:rFonts w:ascii="Arial" w:hAnsi="Arial" w:cs="Arial"/>
        </w:rPr>
        <w:t>10µm.</w:t>
      </w:r>
    </w:p>
    <w:p w14:paraId="4CE81E35" w14:textId="6A9E3105" w:rsidR="00311AE8" w:rsidRPr="00FA7F73" w:rsidRDefault="00311AE8" w:rsidP="00311AE8">
      <w:pPr>
        <w:spacing w:after="160" w:line="360" w:lineRule="auto"/>
        <w:rPr>
          <w:rFonts w:ascii="Arial" w:hAnsi="Arial" w:cs="Arial"/>
        </w:rPr>
      </w:pPr>
      <w:r>
        <w:rPr>
          <w:rFonts w:ascii="Arial" w:hAnsi="Arial" w:cs="Arial"/>
        </w:rPr>
        <w:t xml:space="preserve">Based on fossil evidence the earliest diverging lineage for which there is definitive fossil evidence is that of </w:t>
      </w:r>
      <w:r w:rsidRPr="002A335A">
        <w:rPr>
          <w:rFonts w:ascii="Arial" w:hAnsi="Arial" w:cs="Arial"/>
          <w:i/>
        </w:rPr>
        <w:t>Partitatheca</w:t>
      </w:r>
      <w:r>
        <w:rPr>
          <w:rFonts w:ascii="Arial" w:hAnsi="Arial" w:cs="Arial"/>
          <w:i/>
        </w:rPr>
        <w:t xml:space="preserve"> </w:t>
      </w:r>
      <w:r w:rsidRPr="001D2DA0">
        <w:rPr>
          <w:rFonts w:ascii="Arial" w:hAnsi="Arial" w:cs="Arial"/>
        </w:rPr>
        <w:fldChar w:fldCharType="begin">
          <w:fldData xml:space="preserve">PEVuZE5vdGU+PENpdGU+PEF1dGhvcj5FZHdhcmRzPC9BdXRob3I+PFllYXI+MjAxMjwvWWVhcj48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</w:fldData>
        </w:fldChar>
      </w:r>
      <w:r w:rsidR="001D2DA0">
        <w:rPr>
          <w:rFonts w:ascii="Arial" w:hAnsi="Arial" w:cs="Arial"/>
        </w:rPr>
        <w:instrText xml:space="preserve"> ADDIN EN.CITE </w:instrText>
      </w:r>
      <w:r w:rsidR="001D2DA0">
        <w:rPr>
          <w:rFonts w:ascii="Arial" w:hAnsi="Arial" w:cs="Arial"/>
        </w:rPr>
        <w:fldChar w:fldCharType="begin">
          <w:fldData xml:space="preserve">PEVuZE5vdGU+PENpdGU+PEF1dGhvcj5FZHdhcmRzPC9BdXRob3I+PFllYXI+MjAxMjwvWWVhcj48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</w:fldData>
        </w:fldChar>
      </w:r>
      <w:r w:rsidR="001D2DA0">
        <w:rPr>
          <w:rFonts w:ascii="Arial" w:hAnsi="Arial" w:cs="Arial"/>
        </w:rPr>
        <w:instrText xml:space="preserve"> ADDIN EN.CITE.DATA </w:instrText>
      </w:r>
      <w:r w:rsidR="001D2DA0">
        <w:rPr>
          <w:rFonts w:ascii="Arial" w:hAnsi="Arial" w:cs="Arial"/>
        </w:rPr>
      </w:r>
      <w:r w:rsidR="001D2DA0">
        <w:rPr>
          <w:rFonts w:ascii="Arial" w:hAnsi="Arial" w:cs="Arial"/>
        </w:rPr>
        <w:fldChar w:fldCharType="end"/>
      </w:r>
      <w:r w:rsidRPr="001D2DA0">
        <w:rPr>
          <w:rFonts w:ascii="Arial" w:hAnsi="Arial" w:cs="Arial"/>
        </w:rPr>
      </w:r>
      <w:r w:rsidRPr="001D2DA0">
        <w:rPr>
          <w:rFonts w:ascii="Arial" w:hAnsi="Arial" w:cs="Arial"/>
        </w:rPr>
        <w:fldChar w:fldCharType="separate"/>
      </w:r>
      <w:r w:rsidR="001D2DA0">
        <w:rPr>
          <w:rFonts w:ascii="Arial" w:hAnsi="Arial" w:cs="Arial"/>
          <w:noProof/>
        </w:rPr>
        <w:t>(Edwards et al., 2014; Edwards et al., 2012)</w:t>
      </w:r>
      <w:r w:rsidRPr="001D2DA0">
        <w:rPr>
          <w:rFonts w:ascii="Arial" w:hAnsi="Arial" w:cs="Arial"/>
        </w:rPr>
        <w:fldChar w:fldCharType="end"/>
      </w:r>
      <w:r>
        <w:rPr>
          <w:rFonts w:ascii="Arial" w:hAnsi="Arial" w:cs="Arial"/>
          <w:i/>
        </w:rPr>
        <w:t xml:space="preserve"> </w:t>
      </w:r>
      <w:r>
        <w:rPr>
          <w:rFonts w:ascii="Arial" w:hAnsi="Arial" w:cs="Arial"/>
        </w:rPr>
        <w:t xml:space="preserve">(For phylogeny see </w:t>
      </w:r>
      <w:r>
        <w:rPr>
          <w:rFonts w:ascii="Arial" w:hAnsi="Arial" w:cs="Arial"/>
          <w:b/>
        </w:rPr>
        <w:t>Fig. 1a</w:t>
      </w:r>
      <w:r>
        <w:rPr>
          <w:rFonts w:ascii="Arial" w:hAnsi="Arial" w:cs="Arial"/>
        </w:rPr>
        <w:t>). The bryophyte</w:t>
      </w:r>
      <w:r w:rsidR="0095129E">
        <w:rPr>
          <w:rFonts w:ascii="Arial" w:hAnsi="Arial" w:cs="Arial"/>
        </w:rPr>
        <w:t xml:space="preserve">-like non-vascular land plants </w:t>
      </w:r>
      <w:r>
        <w:rPr>
          <w:rFonts w:ascii="Arial" w:hAnsi="Arial" w:cs="Arial"/>
        </w:rPr>
        <w:t>of this lineage predominantly had dyad spores which developed inside valvate, branching sporangia that in some cases had stomata. With regard to the evolution of ancient vascular land plants, macrofossil</w:t>
      </w:r>
      <w:r w:rsidRPr="00FA7F73">
        <w:rPr>
          <w:rFonts w:ascii="Arial" w:hAnsi="Arial" w:cs="Arial"/>
        </w:rPr>
        <w:t xml:space="preserve"> </w:t>
      </w:r>
      <w:r>
        <w:rPr>
          <w:rFonts w:ascii="Arial" w:hAnsi="Arial" w:cs="Arial"/>
        </w:rPr>
        <w:t xml:space="preserve">impressions </w:t>
      </w:r>
      <w:r w:rsidRPr="00FA7F73">
        <w:rPr>
          <w:rFonts w:ascii="Arial" w:hAnsi="Arial" w:cs="Arial"/>
        </w:rPr>
        <w:t xml:space="preserve">of a now extinct genus known as </w:t>
      </w:r>
      <w:r w:rsidRPr="00FA7F73">
        <w:rPr>
          <w:rFonts w:ascii="Arial" w:hAnsi="Arial" w:cs="Arial"/>
          <w:i/>
        </w:rPr>
        <w:t xml:space="preserve">Cooksonia </w:t>
      </w:r>
      <w:r>
        <w:rPr>
          <w:rFonts w:ascii="Arial" w:hAnsi="Arial" w:cs="Arial"/>
        </w:rPr>
        <w:t>have been shown to date</w:t>
      </w:r>
      <w:r w:rsidRPr="00FA7F73">
        <w:rPr>
          <w:rFonts w:ascii="Arial" w:hAnsi="Arial" w:cs="Arial"/>
        </w:rPr>
        <w:t xml:space="preserve"> back </w:t>
      </w:r>
      <w:r>
        <w:rPr>
          <w:rFonts w:ascii="Arial" w:hAnsi="Arial" w:cs="Arial"/>
        </w:rPr>
        <w:t>at least 425 MYA, implying that vasculature had arisen by this point (</w:t>
      </w:r>
      <w:r>
        <w:rPr>
          <w:rFonts w:ascii="Arial" w:hAnsi="Arial" w:cs="Arial"/>
          <w:b/>
        </w:rPr>
        <w:t xml:space="preserve">Fig. 1a </w:t>
      </w:r>
      <w:r w:rsidRPr="00C204C0">
        <w:rPr>
          <w:rFonts w:ascii="Arial" w:hAnsi="Arial" w:cs="Arial"/>
        </w:rPr>
        <w:t>and</w:t>
      </w:r>
      <w:r>
        <w:rPr>
          <w:rFonts w:ascii="Arial" w:hAnsi="Arial" w:cs="Arial"/>
          <w:b/>
        </w:rPr>
        <w:t xml:space="preserve"> 1d</w:t>
      </w:r>
      <w:r>
        <w:rPr>
          <w:rFonts w:ascii="Arial" w:hAnsi="Arial" w:cs="Arial"/>
        </w:rPr>
        <w:t>-</w:t>
      </w:r>
      <w:r>
        <w:rPr>
          <w:rFonts w:ascii="Arial" w:hAnsi="Arial" w:cs="Arial"/>
          <w:b/>
        </w:rPr>
        <w:t>f</w:t>
      </w:r>
      <w:r>
        <w:rPr>
          <w:rFonts w:ascii="Arial" w:hAnsi="Arial" w:cs="Arial"/>
        </w:rPr>
        <w:t>)</w:t>
      </w:r>
      <w:r w:rsidRPr="00FA7F73">
        <w:rPr>
          <w:rFonts w:ascii="Arial" w:hAnsi="Arial" w:cs="Arial"/>
        </w:rPr>
        <w:t xml:space="preserve"> </w:t>
      </w:r>
      <w:r w:rsidRPr="00FA7F73">
        <w:rPr>
          <w:rFonts w:ascii="Arial" w:hAnsi="Arial" w:cs="Arial"/>
        </w:rPr>
        <w:fldChar w:fldCharType="begin">
          <w:fldData xml:space="preserve">PEVuZE5vdGU+PENpdGU+PEF1dGhvcj5FZHdhcmRzPC9BdXRob3I+PFllYXI+MTk5ODwvWWVhcj48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</w:fldData>
        </w:fldChar>
      </w:r>
      <w:r>
        <w:rPr>
          <w:rFonts w:ascii="Arial" w:hAnsi="Arial" w:cs="Arial"/>
        </w:rPr>
        <w:instrText xml:space="preserve"> ADDIN EN.CITE </w:instrText>
      </w:r>
      <w:r>
        <w:rPr>
          <w:rFonts w:ascii="Arial" w:hAnsi="Arial" w:cs="Arial"/>
        </w:rPr>
        <w:fldChar w:fldCharType="begin">
          <w:fldData xml:space="preserve">PEVuZE5vdGU+PENpdGU+PEF1dGhvcj5FZHdhcmRzPC9BdXRob3I+PFllYXI+MTk5ODwvWWVhcj48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sidRPr="00FA7F73">
        <w:rPr>
          <w:rFonts w:ascii="Arial" w:hAnsi="Arial" w:cs="Arial"/>
          <w:noProof/>
        </w:rPr>
        <w:t>(Edwards et al., 1992; Edwards et al., 1986; Edwards and Feehan, 1980; Edwards et al., 1998)</w:t>
      </w:r>
      <w:r w:rsidRPr="00FA7F73">
        <w:rPr>
          <w:rFonts w:ascii="Arial" w:hAnsi="Arial" w:cs="Arial"/>
        </w:rPr>
        <w:fldChar w:fldCharType="end"/>
      </w:r>
      <w:r w:rsidRPr="00FA7F73">
        <w:rPr>
          <w:rFonts w:ascii="Arial" w:hAnsi="Arial" w:cs="Arial"/>
        </w:rPr>
        <w:t xml:space="preserve">. </w:t>
      </w:r>
      <w:r>
        <w:rPr>
          <w:rFonts w:ascii="Arial" w:hAnsi="Arial" w:cs="Arial"/>
        </w:rPr>
        <w:t xml:space="preserve">Like the non-vascular </w:t>
      </w:r>
      <w:r>
        <w:rPr>
          <w:rFonts w:ascii="Arial" w:hAnsi="Arial" w:cs="Arial"/>
          <w:i/>
        </w:rPr>
        <w:t>Partitatheca</w:t>
      </w:r>
      <w:r>
        <w:rPr>
          <w:rFonts w:ascii="Arial" w:hAnsi="Arial" w:cs="Arial"/>
        </w:rPr>
        <w:t xml:space="preserve">, the vascular </w:t>
      </w:r>
      <w:r>
        <w:rPr>
          <w:rFonts w:ascii="Arial" w:hAnsi="Arial" w:cs="Arial"/>
          <w:i/>
        </w:rPr>
        <w:t xml:space="preserve">Cooksonia </w:t>
      </w:r>
      <w:r>
        <w:rPr>
          <w:rFonts w:ascii="Arial" w:hAnsi="Arial" w:cs="Arial"/>
        </w:rPr>
        <w:t xml:space="preserve">also </w:t>
      </w:r>
      <w:r w:rsidRPr="00FA7F73">
        <w:rPr>
          <w:rFonts w:ascii="Arial" w:hAnsi="Arial" w:cs="Arial"/>
        </w:rPr>
        <w:t xml:space="preserve">had </w:t>
      </w:r>
      <w:r>
        <w:rPr>
          <w:rFonts w:ascii="Arial" w:hAnsi="Arial" w:cs="Arial"/>
        </w:rPr>
        <w:t>branching</w:t>
      </w:r>
      <w:r w:rsidRPr="00FA7F73">
        <w:rPr>
          <w:rFonts w:ascii="Arial" w:hAnsi="Arial" w:cs="Arial"/>
        </w:rPr>
        <w:t xml:space="preserve"> sporangia</w:t>
      </w:r>
      <w:r>
        <w:rPr>
          <w:rFonts w:ascii="Arial" w:hAnsi="Arial" w:cs="Arial"/>
        </w:rPr>
        <w:t xml:space="preserve"> </w:t>
      </w:r>
      <w:r w:rsidRPr="00FA7F73">
        <w:rPr>
          <w:rFonts w:ascii="Arial" w:hAnsi="Arial" w:cs="Arial"/>
        </w:rPr>
        <w:t xml:space="preserve">and stomata </w:t>
      </w:r>
      <w:r>
        <w:rPr>
          <w:rFonts w:ascii="Arial" w:hAnsi="Arial" w:cs="Arial"/>
        </w:rPr>
        <w:t xml:space="preserve">but had monad rather than dyad spores </w:t>
      </w:r>
      <w:r w:rsidRPr="00FA7F73">
        <w:rPr>
          <w:rFonts w:ascii="Arial" w:hAnsi="Arial" w:cs="Arial"/>
        </w:rPr>
        <w:fldChar w:fldCharType="begin">
          <w:fldData xml:space="preserve">PEVuZE5vdGU+PENpdGU+PEF1dGhvcj5FZHdhcmRzPC9BdXRob3I+PFllYXI+MjAxNTwvWWVhcj48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</w:fldData>
        </w:fldChar>
      </w:r>
      <w:r>
        <w:rPr>
          <w:rFonts w:ascii="Arial" w:hAnsi="Arial" w:cs="Arial"/>
        </w:rPr>
        <w:instrText xml:space="preserve"> ADDIN EN.CITE </w:instrText>
      </w:r>
      <w:r>
        <w:rPr>
          <w:rFonts w:ascii="Arial" w:hAnsi="Arial" w:cs="Arial"/>
        </w:rPr>
        <w:fldChar w:fldCharType="begin">
          <w:fldData xml:space="preserve">PEVuZE5vdGU+PENpdGU+PEF1dGhvcj5FZHdhcmRzPC9BdXRob3I+PFllYXI+MjAxNTwvWWVhcj48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Pr>
          <w:rFonts w:ascii="Arial" w:hAnsi="Arial" w:cs="Arial"/>
          <w:noProof/>
        </w:rPr>
        <w:t>(Edwards et al., 1986; Edwards et al., 2014; Edwards and Kenrick, 2015; Pennington, 2002)</w:t>
      </w:r>
      <w:r w:rsidRPr="00FA7F73">
        <w:rPr>
          <w:rFonts w:ascii="Arial" w:hAnsi="Arial" w:cs="Arial"/>
        </w:rPr>
        <w:fldChar w:fldCharType="end"/>
      </w:r>
      <w:r>
        <w:rPr>
          <w:rFonts w:ascii="Arial" w:hAnsi="Arial" w:cs="Arial"/>
        </w:rPr>
        <w:t xml:space="preserve">. </w:t>
      </w:r>
    </w:p>
    <w:p w14:paraId="30A81554" w14:textId="77777777" w:rsidR="00476449" w:rsidRDefault="00476449" w:rsidP="00311AE8">
      <w:pPr>
        <w:spacing w:after="160" w:line="360" w:lineRule="auto"/>
        <w:rPr>
          <w:rFonts w:ascii="Arial" w:hAnsi="Arial" w:cs="Arial"/>
          <w:u w:val="single"/>
        </w:rPr>
      </w:pPr>
    </w:p>
    <w:p w14:paraId="7FDBC4B8" w14:textId="3F26055A" w:rsidR="00311AE8" w:rsidRPr="004A2079" w:rsidRDefault="00311AE8" w:rsidP="00311AE8">
      <w:pPr>
        <w:spacing w:after="160" w:line="360" w:lineRule="auto"/>
        <w:rPr>
          <w:rFonts w:ascii="Arial" w:hAnsi="Arial" w:cs="Arial"/>
          <w:u w:val="single"/>
        </w:rPr>
      </w:pPr>
      <w:r>
        <w:rPr>
          <w:rFonts w:ascii="Arial" w:hAnsi="Arial" w:cs="Arial"/>
          <w:u w:val="single"/>
        </w:rPr>
        <w:lastRenderedPageBreak/>
        <w:t xml:space="preserve">1.3 </w:t>
      </w:r>
      <w:r w:rsidRPr="00E5501E">
        <w:rPr>
          <w:rFonts w:ascii="Arial" w:hAnsi="Arial" w:cs="Arial"/>
          <w:u w:val="single"/>
        </w:rPr>
        <w:t>The Colonisation of land</w:t>
      </w:r>
    </w:p>
    <w:p w14:paraId="2D16D582" w14:textId="77777777" w:rsidR="00311AE8" w:rsidRDefault="00311AE8" w:rsidP="00311AE8">
      <w:pPr>
        <w:spacing w:after="160" w:line="360" w:lineRule="auto"/>
        <w:rPr>
          <w:rFonts w:ascii="Arial" w:hAnsi="Arial" w:cs="Arial"/>
        </w:rPr>
      </w:pPr>
      <w:r w:rsidRPr="00FA7F73">
        <w:rPr>
          <w:rFonts w:ascii="Arial" w:hAnsi="Arial" w:cs="Arial"/>
        </w:rPr>
        <w:t xml:space="preserve">When the descendants of ancestral charophycean algae began the process of moving to land they would have been faced with </w:t>
      </w:r>
      <w:r>
        <w:rPr>
          <w:rFonts w:ascii="Arial" w:hAnsi="Arial" w:cs="Arial"/>
        </w:rPr>
        <w:t xml:space="preserve">many </w:t>
      </w:r>
      <w:r w:rsidRPr="00FA7F73">
        <w:rPr>
          <w:rFonts w:ascii="Arial" w:hAnsi="Arial" w:cs="Arial"/>
        </w:rPr>
        <w:t>obstacles</w:t>
      </w:r>
      <w:r>
        <w:rPr>
          <w:rFonts w:ascii="Arial" w:hAnsi="Arial" w:cs="Arial"/>
        </w:rPr>
        <w:t xml:space="preserve">, including </w:t>
      </w:r>
      <w:r w:rsidRPr="00FA7F73">
        <w:rPr>
          <w:rFonts w:ascii="Arial" w:hAnsi="Arial" w:cs="Arial"/>
        </w:rPr>
        <w:t>adhering</w:t>
      </w:r>
      <w:r>
        <w:rPr>
          <w:rFonts w:ascii="Arial" w:hAnsi="Arial" w:cs="Arial"/>
        </w:rPr>
        <w:t xml:space="preserve"> to land, </w:t>
      </w:r>
      <w:r w:rsidRPr="00FA7F73">
        <w:rPr>
          <w:rFonts w:ascii="Arial" w:hAnsi="Arial" w:cs="Arial"/>
        </w:rPr>
        <w:t>preventing desiccation</w:t>
      </w:r>
      <w:r>
        <w:rPr>
          <w:rFonts w:ascii="Arial" w:hAnsi="Arial" w:cs="Arial"/>
        </w:rPr>
        <w:t>, blocking UV radiation and preventing the entry of pathogen and pests</w:t>
      </w:r>
      <w:r w:rsidRPr="00FA7F73">
        <w:rPr>
          <w:rFonts w:ascii="Arial" w:hAnsi="Arial" w:cs="Arial"/>
        </w:rPr>
        <w:t xml:space="preserve"> </w:t>
      </w:r>
      <w:r w:rsidRPr="00FA7F73">
        <w:rPr>
          <w:rFonts w:ascii="Arial" w:hAnsi="Arial" w:cs="Arial"/>
        </w:rPr>
        <w:fldChar w:fldCharType="begin">
          <w:fldData xml:space="preserve">PEVuZE5vdGU+PENpdGU+PEF1dGhvcj5CZWVybGluZzwvQXV0aG9yPjxZZWFyPjIwMDc8L1llYXI+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</w:fldData>
        </w:fldChar>
      </w:r>
      <w:r>
        <w:rPr>
          <w:rFonts w:ascii="Arial" w:hAnsi="Arial" w:cs="Arial"/>
        </w:rPr>
        <w:instrText xml:space="preserve"> ADDIN EN.CITE </w:instrText>
      </w:r>
      <w:r>
        <w:rPr>
          <w:rFonts w:ascii="Arial" w:hAnsi="Arial" w:cs="Arial"/>
        </w:rPr>
        <w:fldChar w:fldCharType="begin">
          <w:fldData xml:space="preserve">PEVuZE5vdGU+PENpdGU+PEF1dGhvcj5CZWVybGluZzwvQXV0aG9yPjxZZWFyPjIwMDc8L1llYXI+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Pr>
          <w:rFonts w:ascii="Arial" w:hAnsi="Arial" w:cs="Arial"/>
          <w:noProof/>
        </w:rPr>
        <w:t>(Beerling, 2007; Berry et al., 2010; Pittermann, 2010)</w:t>
      </w:r>
      <w:r w:rsidRPr="00FA7F73">
        <w:rPr>
          <w:rFonts w:ascii="Arial" w:hAnsi="Arial" w:cs="Arial"/>
        </w:rPr>
        <w:fldChar w:fldCharType="end"/>
      </w:r>
      <w:r w:rsidRPr="00FA7F73">
        <w:rPr>
          <w:rFonts w:ascii="Arial" w:hAnsi="Arial" w:cs="Arial"/>
        </w:rPr>
        <w:t xml:space="preserve">. </w:t>
      </w:r>
      <w:r>
        <w:rPr>
          <w:rFonts w:ascii="Arial" w:hAnsi="Arial" w:cs="Arial"/>
        </w:rPr>
        <w:t xml:space="preserve">To obtain a foothold on land, plants used </w:t>
      </w:r>
      <w:r w:rsidRPr="00FA7F73">
        <w:rPr>
          <w:rFonts w:ascii="Arial" w:hAnsi="Arial" w:cs="Arial"/>
        </w:rPr>
        <w:t xml:space="preserve">root-like structures called rhizoids which </w:t>
      </w:r>
      <w:r>
        <w:rPr>
          <w:rFonts w:ascii="Arial" w:hAnsi="Arial" w:cs="Arial"/>
        </w:rPr>
        <w:t xml:space="preserve">may </w:t>
      </w:r>
      <w:r w:rsidRPr="00FA7F73">
        <w:rPr>
          <w:rFonts w:ascii="Arial" w:hAnsi="Arial" w:cs="Arial"/>
        </w:rPr>
        <w:t xml:space="preserve">also </w:t>
      </w:r>
      <w:r>
        <w:rPr>
          <w:rFonts w:ascii="Arial" w:hAnsi="Arial" w:cs="Arial"/>
        </w:rPr>
        <w:t xml:space="preserve">have </w:t>
      </w:r>
      <w:r w:rsidRPr="00FA7F73">
        <w:rPr>
          <w:rFonts w:ascii="Arial" w:hAnsi="Arial" w:cs="Arial"/>
        </w:rPr>
        <w:t xml:space="preserve">functioned in the transport of some nutrients from ancestral soils </w:t>
      </w:r>
      <w:r w:rsidRPr="00FA7F73">
        <w:rPr>
          <w:rFonts w:ascii="Arial" w:hAnsi="Arial" w:cs="Arial"/>
        </w:rPr>
        <w:fldChar w:fldCharType="begin">
          <w:fldData xml:space="preserve">PEVuZE5vdGU+PENpdGU+PEF1dGhvcj5EdWNrZXR0PC9BdXRob3I+PFllYXI+MjAxNDwvWWVhcj48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</w:fldData>
        </w:fldChar>
      </w:r>
      <w:r>
        <w:rPr>
          <w:rFonts w:ascii="Arial" w:hAnsi="Arial" w:cs="Arial"/>
        </w:rPr>
        <w:instrText xml:space="preserve"> ADDIN EN.CITE </w:instrText>
      </w:r>
      <w:r>
        <w:rPr>
          <w:rFonts w:ascii="Arial" w:hAnsi="Arial" w:cs="Arial"/>
        </w:rPr>
        <w:fldChar w:fldCharType="begin">
          <w:fldData xml:space="preserve">PEVuZE5vdGU+PENpdGU+PEF1dGhvcj5EdWNrZXR0PC9BdXRob3I+PFllYXI+MjAxNDwvWWVhcj48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sidRPr="00FA7F73">
        <w:rPr>
          <w:rFonts w:ascii="Arial" w:hAnsi="Arial" w:cs="Arial"/>
          <w:noProof/>
        </w:rPr>
        <w:t>(Duckett et al., 2014; Jones and Dolan, 2012)</w:t>
      </w:r>
      <w:r w:rsidRPr="00FA7F73">
        <w:rPr>
          <w:rFonts w:ascii="Arial" w:hAnsi="Arial" w:cs="Arial"/>
        </w:rPr>
        <w:fldChar w:fldCharType="end"/>
      </w:r>
      <w:r w:rsidRPr="00FA7F73">
        <w:rPr>
          <w:rFonts w:ascii="Arial" w:hAnsi="Arial" w:cs="Arial"/>
        </w:rPr>
        <w:t xml:space="preserve">. Whether rhizoids evolved early in land plant evolution or </w:t>
      </w:r>
      <w:r>
        <w:rPr>
          <w:rFonts w:ascii="Arial" w:hAnsi="Arial" w:cs="Arial"/>
        </w:rPr>
        <w:t xml:space="preserve">were already present in </w:t>
      </w:r>
      <w:r w:rsidRPr="00FA7F73">
        <w:rPr>
          <w:rFonts w:ascii="Arial" w:hAnsi="Arial" w:cs="Arial"/>
        </w:rPr>
        <w:t xml:space="preserve">algae remains unclear </w:t>
      </w:r>
      <w:r w:rsidRPr="00FA7F73">
        <w:rPr>
          <w:rFonts w:ascii="Arial" w:hAnsi="Arial" w:cs="Arial"/>
        </w:rPr>
        <w:fldChar w:fldCharType="begin"/>
      </w:r>
      <w:r w:rsidRPr="00FA7F73">
        <w:rPr>
          <w:rFonts w:ascii="Arial" w:hAnsi="Arial" w:cs="Arial"/>
        </w:rPr>
        <w:instrText xml:space="preserve"> ADDIN EN.CITE &lt;EndNote&gt;&lt;Cite&gt;&lt;Author&gt;Jones&lt;/Author&gt;&lt;Year&gt;2012&lt;/Year&gt;&lt;IDText&gt;The evolution of root hairs and rhizoids&lt;/IDText&gt;&lt;DisplayText&gt;(Jones and Dolan, 2012)&lt;/DisplayText&gt;&lt;record&gt;&lt;dates&gt;&lt;pub-dates&gt;&lt;date&gt;Jul&lt;/date&gt;&lt;/pub-dates&gt;&lt;year&gt;2012&lt;/year&gt;&lt;/dates&gt;&lt;urls&gt;&lt;related-urls&gt;&lt;url&gt;&amp;lt;Go to ISI&amp;gt;://WOS:000306407800002&lt;/url&gt;&lt;/related-urls&gt;&lt;/urls&gt;&lt;isbn&gt;0305-7364&lt;/isbn&gt;&lt;titles&gt;&lt;title&gt;The evolution of root hairs and rhizoids&lt;/title&gt;&lt;secondary-title&gt;Annals of Botany&lt;/secondary-title&gt;&lt;/titles&gt;&lt;pages&gt;205-212&lt;/pages&gt;&lt;number&gt;2&lt;/number&gt;&lt;contributors&gt;&lt;authors&gt;&lt;author&gt;Jones, V. A. S.&lt;/author&gt;&lt;author&gt;Dolan, L.&lt;/author&gt;&lt;/authors&gt;&lt;/contributors&gt;&lt;added-date format="utc"&gt;1380177692&lt;/added-date&gt;&lt;ref-type name="Journal Article"&gt;17&lt;/ref-type&gt;&lt;rec-number&gt;111&lt;/rec-number&gt;&lt;last-updated-date format="utc"&gt;1380177692&lt;/last-updated-date&gt;&lt;accession-num&gt;WOS:000306407800002&lt;/accession-num&gt;&lt;electronic-resource-num&gt;10.1093/aob/mcs136&lt;/electronic-resource-num&gt;&lt;volume&gt;110&lt;/volume&gt;&lt;/record&gt;&lt;/Cite&gt;&lt;/EndNote&gt;</w:instrText>
      </w:r>
      <w:r w:rsidRPr="00FA7F73">
        <w:rPr>
          <w:rFonts w:ascii="Arial" w:hAnsi="Arial" w:cs="Arial"/>
        </w:rPr>
        <w:fldChar w:fldCharType="separate"/>
      </w:r>
      <w:r w:rsidRPr="00FA7F73">
        <w:rPr>
          <w:rFonts w:ascii="Arial" w:hAnsi="Arial" w:cs="Arial"/>
          <w:noProof/>
        </w:rPr>
        <w:t>(Jones and Dolan, 2012)</w:t>
      </w:r>
      <w:r w:rsidRPr="00FA7F73">
        <w:rPr>
          <w:rFonts w:ascii="Arial" w:hAnsi="Arial" w:cs="Arial"/>
        </w:rPr>
        <w:fldChar w:fldCharType="end"/>
      </w:r>
      <w:r w:rsidRPr="00FA7F73">
        <w:rPr>
          <w:rFonts w:ascii="Arial" w:hAnsi="Arial" w:cs="Arial"/>
        </w:rPr>
        <w:t xml:space="preserve">.  </w:t>
      </w:r>
    </w:p>
    <w:p w14:paraId="6009B012" w14:textId="77777777" w:rsidR="00311AE8" w:rsidRDefault="00311AE8" w:rsidP="00311AE8">
      <w:pPr>
        <w:spacing w:after="160" w:line="360" w:lineRule="auto"/>
        <w:rPr>
          <w:rFonts w:ascii="Arial" w:hAnsi="Arial" w:cs="Arial"/>
        </w:rPr>
      </w:pPr>
      <w:r w:rsidRPr="00FA7F73">
        <w:rPr>
          <w:rFonts w:ascii="Arial" w:hAnsi="Arial" w:cs="Arial"/>
        </w:rPr>
        <w:t xml:space="preserve">To overcome some of the physiological challenges associated with desiccation, early land plants evolved a waxy cuticle </w:t>
      </w:r>
      <w:r w:rsidRPr="00FA7F73">
        <w:rPr>
          <w:rFonts w:ascii="Arial" w:hAnsi="Arial" w:cs="Arial"/>
        </w:rPr>
        <w:fldChar w:fldCharType="begin">
          <w:fldData xml:space="preserve">PEVuZE5vdGU+PENpdGU+PEF1dGhvcj5ZYXRlczwvQXV0aG9yPjxZZWFyPjIwMTM8L1llYXI+PElE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</w:fldData>
        </w:fldChar>
      </w:r>
      <w:r>
        <w:rPr>
          <w:rFonts w:ascii="Arial" w:hAnsi="Arial" w:cs="Arial"/>
        </w:rPr>
        <w:instrText xml:space="preserve"> ADDIN EN.CITE </w:instrText>
      </w:r>
      <w:r>
        <w:rPr>
          <w:rFonts w:ascii="Arial" w:hAnsi="Arial" w:cs="Arial"/>
        </w:rPr>
        <w:fldChar w:fldCharType="begin">
          <w:fldData xml:space="preserve">PEVuZE5vdGU+PENpdGU+PEF1dGhvcj5ZYXRlczwvQXV0aG9yPjxZZWFyPjIwMTM8L1llYXI+PElE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Pr>
          <w:rFonts w:ascii="Arial" w:hAnsi="Arial" w:cs="Arial"/>
          <w:noProof/>
        </w:rPr>
        <w:t>(Kenrick and Crane, 1997; Ligrone et al., 2012; Pittermann, 2010; Yates and Rose, 2013)</w:t>
      </w:r>
      <w:r w:rsidRPr="00FA7F73">
        <w:rPr>
          <w:rFonts w:ascii="Arial" w:hAnsi="Arial" w:cs="Arial"/>
        </w:rPr>
        <w:fldChar w:fldCharType="end"/>
      </w:r>
      <w:r w:rsidRPr="00FA7F73">
        <w:rPr>
          <w:rFonts w:ascii="Arial" w:hAnsi="Arial" w:cs="Arial"/>
        </w:rPr>
        <w:t xml:space="preserve">. Consisting primarily of covalently linked cutin and waxy long chain fatty acids, the cuticle provided a hydrophobic barrier that allowed plants to tightly regulate water loss </w:t>
      </w:r>
      <w:r w:rsidRPr="00FA7F73">
        <w:rPr>
          <w:rFonts w:ascii="Arial" w:hAnsi="Arial" w:cs="Arial"/>
        </w:rPr>
        <w:fldChar w:fldCharType="begin">
          <w:fldData xml:space="preserve">PEVuZE5vdGU+PENpdGU+PEF1dGhvcj5CYXJnZWw8L0F1dGhvcj48WWVhcj4yMDA2PC9ZZWFyPjxJ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</w:fldData>
        </w:fldChar>
      </w:r>
      <w:r>
        <w:rPr>
          <w:rFonts w:ascii="Arial" w:hAnsi="Arial" w:cs="Arial"/>
        </w:rPr>
        <w:instrText xml:space="preserve"> ADDIN EN.CITE </w:instrText>
      </w:r>
      <w:r>
        <w:rPr>
          <w:rFonts w:ascii="Arial" w:hAnsi="Arial" w:cs="Arial"/>
        </w:rPr>
        <w:fldChar w:fldCharType="begin">
          <w:fldData xml:space="preserve">PEVuZE5vdGU+PENpdGU+PEF1dGhvcj5CYXJnZWw8L0F1dGhvcj48WWVhcj4yMDA2PC9ZZWFyPjxJ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sidRPr="00FA7F73">
        <w:rPr>
          <w:rFonts w:ascii="Arial" w:hAnsi="Arial" w:cs="Arial"/>
          <w:noProof/>
        </w:rPr>
        <w:t>(Bargel et al., 2006)</w:t>
      </w:r>
      <w:r w:rsidRPr="00FA7F73">
        <w:rPr>
          <w:rFonts w:ascii="Arial" w:hAnsi="Arial" w:cs="Arial"/>
        </w:rPr>
        <w:fldChar w:fldCharType="end"/>
      </w:r>
      <w:r w:rsidRPr="00FA7F73">
        <w:rPr>
          <w:rFonts w:ascii="Arial" w:hAnsi="Arial" w:cs="Arial"/>
        </w:rPr>
        <w:t xml:space="preserve">. </w:t>
      </w:r>
      <w:r>
        <w:rPr>
          <w:rFonts w:ascii="Arial" w:hAnsi="Arial" w:cs="Arial"/>
        </w:rPr>
        <w:t xml:space="preserve">In addition to preventing water loss, </w:t>
      </w:r>
      <w:r w:rsidRPr="00FA7F73">
        <w:rPr>
          <w:rFonts w:ascii="Arial" w:hAnsi="Arial" w:cs="Arial"/>
        </w:rPr>
        <w:t xml:space="preserve">cuticles </w:t>
      </w:r>
      <w:r>
        <w:rPr>
          <w:rFonts w:ascii="Arial" w:hAnsi="Arial" w:cs="Arial"/>
        </w:rPr>
        <w:t>also benefited land plants by</w:t>
      </w:r>
      <w:r w:rsidRPr="00FA7F73">
        <w:rPr>
          <w:rFonts w:ascii="Arial" w:hAnsi="Arial" w:cs="Arial"/>
        </w:rPr>
        <w:t xml:space="preserve"> protect</w:t>
      </w:r>
      <w:r>
        <w:rPr>
          <w:rFonts w:ascii="Arial" w:hAnsi="Arial" w:cs="Arial"/>
        </w:rPr>
        <w:t xml:space="preserve">ing against </w:t>
      </w:r>
      <w:r w:rsidRPr="00FA7F73">
        <w:rPr>
          <w:rFonts w:ascii="Arial" w:hAnsi="Arial" w:cs="Arial"/>
        </w:rPr>
        <w:t>UV radiation</w:t>
      </w:r>
      <w:r>
        <w:rPr>
          <w:rFonts w:ascii="Arial" w:hAnsi="Arial" w:cs="Arial"/>
        </w:rPr>
        <w:t xml:space="preserve"> and decreasing pest and pathogen attack. Furthermore, such plants began to use their cuticles as </w:t>
      </w:r>
      <w:r w:rsidRPr="00FA7F73">
        <w:rPr>
          <w:rFonts w:ascii="Arial" w:hAnsi="Arial" w:cs="Arial"/>
        </w:rPr>
        <w:t>physical barrier</w:t>
      </w:r>
      <w:r>
        <w:rPr>
          <w:rFonts w:ascii="Arial" w:hAnsi="Arial" w:cs="Arial"/>
        </w:rPr>
        <w:t>s</w:t>
      </w:r>
      <w:r w:rsidRPr="00FA7F73">
        <w:rPr>
          <w:rFonts w:ascii="Arial" w:hAnsi="Arial" w:cs="Arial"/>
        </w:rPr>
        <w:t xml:space="preserve"> by which </w:t>
      </w:r>
      <w:r>
        <w:rPr>
          <w:rFonts w:ascii="Arial" w:hAnsi="Arial" w:cs="Arial"/>
        </w:rPr>
        <w:t xml:space="preserve">they </w:t>
      </w:r>
      <w:r w:rsidRPr="00FA7F73">
        <w:rPr>
          <w:rFonts w:ascii="Arial" w:hAnsi="Arial" w:cs="Arial"/>
        </w:rPr>
        <w:t xml:space="preserve">could define organ boundaries during growth </w:t>
      </w:r>
      <w:r w:rsidRPr="00FA7F73">
        <w:rPr>
          <w:rFonts w:ascii="Arial" w:hAnsi="Arial" w:cs="Arial"/>
        </w:rPr>
        <w:fldChar w:fldCharType="begin"/>
      </w:r>
      <w:r w:rsidRPr="00FA7F73">
        <w:rPr>
          <w:rFonts w:ascii="Arial" w:hAnsi="Arial" w:cs="Arial"/>
        </w:rPr>
        <w:instrText xml:space="preserve"> ADDIN EN.CITE &lt;EndNote&gt;&lt;Cite&gt;&lt;Author&gt;Pittermann&lt;/Author&gt;&lt;Year&gt;2010&lt;/Year&gt;&lt;IDText&gt;The evolution of water transport in plants: an integrated approach&lt;/IDText&gt;&lt;DisplayText&gt;(Pittermann, 2010)&lt;/DisplayText&gt;&lt;record&gt;&lt;dates&gt;&lt;pub-dates&gt;&lt;date&gt;Mar&lt;/date&gt;&lt;/pub-dates&gt;&lt;year&gt;2010&lt;/year&gt;&lt;/dates&gt;&lt;urls&gt;&lt;related-urls&gt;&lt;url&gt;&amp;lt;Go to ISI&amp;gt;://WOS:000274388900003&lt;/url&gt;&lt;/related-urls&gt;&lt;/urls&gt;&lt;isbn&gt;1472-4677&lt;/isbn&gt;&lt;titles&gt;&lt;title&gt;The evolution of water transport in plants: an integrated approach&lt;/title&gt;&lt;secondary-title&gt;Geobiology&lt;/secondary-title&gt;&lt;/titles&gt;&lt;pages&gt;112-139&lt;/pages&gt;&lt;number&gt;2&lt;/number&gt;&lt;contributors&gt;&lt;authors&gt;&lt;author&gt;Pittermann, J.&lt;/author&gt;&lt;/authors&gt;&lt;/contributors&gt;&lt;added-date format="utc"&gt;1380105063&lt;/added-date&gt;&lt;ref-type name="Journal Article"&gt;17&lt;/ref-type&gt;&lt;rec-number&gt;107&lt;/rec-number&gt;&lt;last-updated-date format="utc"&gt;1380105063&lt;/last-updated-date&gt;&lt;accession-num&gt;WOS:000274388900003&lt;/accession-num&gt;&lt;electronic-resource-num&gt;10.1111/j.1472-4669.2010.00232.x&lt;/electronic-resource-num&gt;&lt;volume&gt;8&lt;/volume&gt;&lt;/record&gt;&lt;/Cite&gt;&lt;/EndNote&gt;</w:instrText>
      </w:r>
      <w:r w:rsidRPr="00FA7F73">
        <w:rPr>
          <w:rFonts w:ascii="Arial" w:hAnsi="Arial" w:cs="Arial"/>
        </w:rPr>
        <w:fldChar w:fldCharType="separate"/>
      </w:r>
      <w:r w:rsidRPr="00FA7F73">
        <w:rPr>
          <w:rFonts w:ascii="Arial" w:hAnsi="Arial" w:cs="Arial"/>
          <w:noProof/>
        </w:rPr>
        <w:t>(Pittermann, 2010)</w:t>
      </w:r>
      <w:r w:rsidRPr="00FA7F73">
        <w:rPr>
          <w:rFonts w:ascii="Arial" w:hAnsi="Arial" w:cs="Arial"/>
        </w:rPr>
        <w:fldChar w:fldCharType="end"/>
      </w:r>
      <w:r w:rsidRPr="00FA7F73">
        <w:rPr>
          <w:rFonts w:ascii="Arial" w:hAnsi="Arial" w:cs="Arial"/>
        </w:rPr>
        <w:t xml:space="preserve">. </w:t>
      </w:r>
    </w:p>
    <w:p w14:paraId="6EB48631" w14:textId="77777777" w:rsidR="00311AE8" w:rsidRPr="00FA7F73" w:rsidRDefault="00311AE8" w:rsidP="00311AE8">
      <w:pPr>
        <w:spacing w:after="160" w:line="360" w:lineRule="auto"/>
        <w:rPr>
          <w:rFonts w:ascii="Arial" w:hAnsi="Arial" w:cs="Arial"/>
        </w:rPr>
      </w:pPr>
      <w:r w:rsidRPr="00FA7F73">
        <w:rPr>
          <w:rFonts w:ascii="Arial" w:hAnsi="Arial" w:cs="Arial"/>
        </w:rPr>
        <w:t>The cuticle was, and is, a barrier to the diffusion of gases, and as such a trade-off would have been necessary</w:t>
      </w:r>
      <w:r>
        <w:rPr>
          <w:rFonts w:ascii="Arial" w:hAnsi="Arial" w:cs="Arial"/>
        </w:rPr>
        <w:t xml:space="preserve"> for ancient plants</w:t>
      </w:r>
      <w:r w:rsidRPr="00FA7F73">
        <w:rPr>
          <w:rFonts w:ascii="Arial" w:hAnsi="Arial" w:cs="Arial"/>
        </w:rPr>
        <w:t xml:space="preserve"> that permitted gases to enter at the expense of water loss. This was achieved via the evolution of simple pores which connected gas permeable surfaces on the interior of the plant with the </w:t>
      </w:r>
      <w:r>
        <w:rPr>
          <w:rFonts w:ascii="Arial" w:hAnsi="Arial" w:cs="Arial"/>
        </w:rPr>
        <w:t xml:space="preserve">exterior </w:t>
      </w:r>
      <w:r w:rsidRPr="00FA7F73">
        <w:rPr>
          <w:rFonts w:ascii="Arial" w:hAnsi="Arial" w:cs="Arial"/>
        </w:rPr>
        <w:t xml:space="preserve">environment </w:t>
      </w:r>
      <w:r w:rsidRPr="00FA7F73">
        <w:rPr>
          <w:rFonts w:ascii="Arial" w:hAnsi="Arial" w:cs="Arial"/>
        </w:rPr>
        <w:fldChar w:fldCharType="begin"/>
      </w:r>
      <w:r w:rsidRPr="00FA7F73">
        <w:rPr>
          <w:rFonts w:ascii="Arial" w:hAnsi="Arial" w:cs="Arial"/>
        </w:rPr>
        <w:instrText xml:space="preserve"> ADDIN EN.CITE &lt;EndNote&gt;&lt;Cite&gt;&lt;Author&gt;Zeiger&lt;/Author&gt;&lt;Year&gt;1987&lt;/Year&gt;&lt;IDText&gt;Stomatal function&lt;/IDText&gt;&lt;DisplayText&gt;(Zeiger et al., 1987)&lt;/DisplayText&gt;&lt;record&gt;&lt;keywords&gt;&lt;keyword&gt;Stomata.&lt;/keyword&gt;&lt;/keywords&gt;&lt;isbn&gt;0804713472&lt;/isbn&gt;&lt;titles&gt;&lt;title&gt;Stomatal function&lt;/title&gt;&lt;/titles&gt;&lt;pages&gt;xiv, 503 p.&lt;/pages&gt;&lt;contributors&gt;&lt;authors&gt;&lt;author&gt;Zeiger, Eduardo&lt;/author&gt;&lt;author&gt;Farquhar, G. D.&lt;/author&gt;&lt;author&gt;Cowan, I. R.&lt;/author&gt;&lt;/authors&gt;&lt;/contributors&gt;&lt;added-date format="utc"&gt;1432565933&lt;/added-date&gt;&lt;pub-location&gt;Stanford, Calif.&lt;/pub-location&gt;&lt;ref-type name="Book"&gt;6&lt;/ref-type&gt;&lt;dates&gt;&lt;year&gt;1987&lt;/year&gt;&lt;/dates&gt;&lt;rec-number&gt;162&lt;/rec-number&gt;&lt;publisher&gt;Stanford University Press&lt;/publisher&gt;&lt;last-updated-date format="utc"&gt;1432565933&lt;/last-updated-date&gt;&lt;/record&gt;&lt;/Cite&gt;&lt;/EndNote&gt;</w:instrText>
      </w:r>
      <w:r w:rsidRPr="00FA7F73">
        <w:rPr>
          <w:rFonts w:ascii="Arial" w:hAnsi="Arial" w:cs="Arial"/>
        </w:rPr>
        <w:fldChar w:fldCharType="separate"/>
      </w:r>
      <w:r w:rsidRPr="00FA7F73">
        <w:rPr>
          <w:rFonts w:ascii="Arial" w:hAnsi="Arial" w:cs="Arial"/>
          <w:noProof/>
        </w:rPr>
        <w:t>(Zeiger et al., 1987)</w:t>
      </w:r>
      <w:r w:rsidRPr="00FA7F73">
        <w:rPr>
          <w:rFonts w:ascii="Arial" w:hAnsi="Arial" w:cs="Arial"/>
        </w:rPr>
        <w:fldChar w:fldCharType="end"/>
      </w:r>
      <w:r w:rsidRPr="00FA7F73">
        <w:rPr>
          <w:rFonts w:ascii="Arial" w:hAnsi="Arial" w:cs="Arial"/>
        </w:rPr>
        <w:t xml:space="preserve">. By </w:t>
      </w:r>
      <w:r>
        <w:rPr>
          <w:rFonts w:ascii="Arial" w:hAnsi="Arial" w:cs="Arial"/>
        </w:rPr>
        <w:t xml:space="preserve">evolving pores and </w:t>
      </w:r>
      <w:r w:rsidRPr="00FA7F73">
        <w:rPr>
          <w:rFonts w:ascii="Arial" w:hAnsi="Arial" w:cs="Arial"/>
        </w:rPr>
        <w:t xml:space="preserve">moving </w:t>
      </w:r>
      <w:r>
        <w:rPr>
          <w:rFonts w:ascii="Arial" w:hAnsi="Arial" w:cs="Arial"/>
        </w:rPr>
        <w:t xml:space="preserve">gaseous </w:t>
      </w:r>
      <w:r w:rsidRPr="00FA7F73">
        <w:rPr>
          <w:rFonts w:ascii="Arial" w:hAnsi="Arial" w:cs="Arial"/>
        </w:rPr>
        <w:t>exchange to</w:t>
      </w:r>
      <w:r>
        <w:rPr>
          <w:rFonts w:ascii="Arial" w:hAnsi="Arial" w:cs="Arial"/>
        </w:rPr>
        <w:t xml:space="preserve"> their</w:t>
      </w:r>
      <w:r w:rsidRPr="00FA7F73">
        <w:rPr>
          <w:rFonts w:ascii="Arial" w:hAnsi="Arial" w:cs="Arial"/>
        </w:rPr>
        <w:t xml:space="preserve"> interior</w:t>
      </w:r>
      <w:r>
        <w:rPr>
          <w:rFonts w:ascii="Arial" w:hAnsi="Arial" w:cs="Arial"/>
        </w:rPr>
        <w:t xml:space="preserve"> regions plants would have been able to reduce</w:t>
      </w:r>
      <w:r w:rsidRPr="00FA7F73">
        <w:rPr>
          <w:rFonts w:ascii="Arial" w:hAnsi="Arial" w:cs="Arial"/>
        </w:rPr>
        <w:t xml:space="preserve"> the amount of evaporative water loss. For early colonisers, rhizoids, cuticles and pores would have assisted in existing on terrestrial surfaces but</w:t>
      </w:r>
      <w:r>
        <w:rPr>
          <w:rFonts w:ascii="Arial" w:hAnsi="Arial" w:cs="Arial"/>
        </w:rPr>
        <w:t xml:space="preserve"> on their own these structures</w:t>
      </w:r>
      <w:r w:rsidRPr="00FA7F73">
        <w:rPr>
          <w:rFonts w:ascii="Arial" w:hAnsi="Arial" w:cs="Arial"/>
        </w:rPr>
        <w:t xml:space="preserve"> </w:t>
      </w:r>
      <w:r>
        <w:rPr>
          <w:rFonts w:ascii="Arial" w:hAnsi="Arial" w:cs="Arial"/>
        </w:rPr>
        <w:t xml:space="preserve">would not have </w:t>
      </w:r>
      <w:r w:rsidRPr="00FA7F73">
        <w:rPr>
          <w:rFonts w:ascii="Arial" w:hAnsi="Arial" w:cs="Arial"/>
        </w:rPr>
        <w:t>facilitate</w:t>
      </w:r>
      <w:r>
        <w:rPr>
          <w:rFonts w:ascii="Arial" w:hAnsi="Arial" w:cs="Arial"/>
        </w:rPr>
        <w:t>d</w:t>
      </w:r>
      <w:r w:rsidRPr="00FA7F73">
        <w:rPr>
          <w:rFonts w:ascii="Arial" w:hAnsi="Arial" w:cs="Arial"/>
        </w:rPr>
        <w:t xml:space="preserve"> the diversification of form or increases in size that </w:t>
      </w:r>
      <w:r>
        <w:rPr>
          <w:rFonts w:ascii="Arial" w:hAnsi="Arial" w:cs="Arial"/>
        </w:rPr>
        <w:t xml:space="preserve">are associated with plethora of plant life that has subsequently evolved </w:t>
      </w:r>
      <w:r w:rsidRPr="00FA7F73">
        <w:rPr>
          <w:rFonts w:ascii="Arial" w:hAnsi="Arial" w:cs="Arial"/>
        </w:rPr>
        <w:fldChar w:fldCharType="begin"/>
      </w:r>
      <w:r w:rsidRPr="00FA7F73">
        <w:rPr>
          <w:rFonts w:ascii="Arial" w:hAnsi="Arial" w:cs="Arial"/>
        </w:rPr>
        <w:instrText xml:space="preserve"> ADDIN EN.CITE &lt;EndNote&gt;&lt;Cite&gt;&lt;Author&gt;Sperry&lt;/Author&gt;&lt;Year&gt;2003&lt;/Year&gt;&lt;IDText&gt;Evolution of water transport and xylem structure&lt;/IDText&gt;&lt;DisplayText&gt;(Sperry, 2003)&lt;/DisplayText&gt;&lt;record&gt;&lt;dates&gt;&lt;pub-dates&gt;&lt;date&gt;May&lt;/date&gt;&lt;/pub-dates&gt;&lt;year&gt;2003&lt;/year&gt;&lt;/dates&gt;&lt;urls&gt;&lt;related-urls&gt;&lt;url&gt;&amp;lt;Go to ISI&amp;gt;://WOS:000184018500009&lt;/url&gt;&lt;/related-urls&gt;&lt;/urls&gt;&lt;isbn&gt;1058-5893&lt;/isbn&gt;&lt;titles&gt;&lt;title&gt;Evolution of water transport and xylem structure&lt;/title&gt;&lt;secondary-title&gt;International Journal of Plant Sciences&lt;/secondary-title&gt;&lt;/titles&gt;&lt;pages&gt;S115-S127&lt;/pages&gt;&lt;number&gt;3&lt;/number&gt;&lt;contributors&gt;&lt;authors&gt;&lt;author&gt;Sperry, J. S.&lt;/author&gt;&lt;/authors&gt;&lt;/contributors&gt;&lt;added-date format="utc"&gt;1380186910&lt;/added-date&gt;&lt;ref-type name="Journal Article"&gt;17&lt;/ref-type&gt;&lt;rec-number&gt;115&lt;/rec-number&gt;&lt;last-updated-date format="utc"&gt;1380186910&lt;/last-updated-date&gt;&lt;accession-num&gt;WOS:000184018500009&lt;/accession-num&gt;&lt;electronic-resource-num&gt;10.1086/368398&lt;/electronic-resource-num&gt;&lt;volume&gt;164&lt;/volume&gt;&lt;/record&gt;&lt;/Cite&gt;&lt;/EndNote&gt;</w:instrText>
      </w:r>
      <w:r w:rsidRPr="00FA7F73">
        <w:rPr>
          <w:rFonts w:ascii="Arial" w:hAnsi="Arial" w:cs="Arial"/>
        </w:rPr>
        <w:fldChar w:fldCharType="separate"/>
      </w:r>
      <w:r w:rsidRPr="00FA7F73">
        <w:rPr>
          <w:rFonts w:ascii="Arial" w:hAnsi="Arial" w:cs="Arial"/>
          <w:noProof/>
        </w:rPr>
        <w:t>(Sperry, 2003)</w:t>
      </w:r>
      <w:r w:rsidRPr="00FA7F73">
        <w:rPr>
          <w:rFonts w:ascii="Arial" w:hAnsi="Arial" w:cs="Arial"/>
        </w:rPr>
        <w:fldChar w:fldCharType="end"/>
      </w:r>
      <w:r w:rsidRPr="00FA7F73">
        <w:rPr>
          <w:rFonts w:ascii="Arial" w:hAnsi="Arial" w:cs="Arial"/>
        </w:rPr>
        <w:t xml:space="preserve">. </w:t>
      </w:r>
    </w:p>
    <w:p w14:paraId="1E8CF5F9" w14:textId="77777777" w:rsidR="00311AE8" w:rsidRPr="00FA7F73" w:rsidRDefault="00311AE8" w:rsidP="00311AE8">
      <w:pPr>
        <w:spacing w:after="160" w:line="360" w:lineRule="auto"/>
        <w:rPr>
          <w:rFonts w:ascii="Arial" w:hAnsi="Arial" w:cs="Arial"/>
        </w:rPr>
      </w:pPr>
      <w:r w:rsidRPr="00FA7F73">
        <w:rPr>
          <w:rFonts w:ascii="Arial" w:hAnsi="Arial" w:cs="Arial"/>
        </w:rPr>
        <w:t>Given the available evidence in extant land plants</w:t>
      </w:r>
      <w:r>
        <w:rPr>
          <w:rFonts w:ascii="Arial" w:hAnsi="Arial" w:cs="Arial"/>
        </w:rPr>
        <w:t>,</w:t>
      </w:r>
      <w:r w:rsidRPr="00FA7F73">
        <w:rPr>
          <w:rFonts w:ascii="Arial" w:hAnsi="Arial" w:cs="Arial"/>
        </w:rPr>
        <w:t xml:space="preserve"> it is probable that </w:t>
      </w:r>
      <w:r>
        <w:rPr>
          <w:rFonts w:ascii="Arial" w:hAnsi="Arial" w:cs="Arial"/>
        </w:rPr>
        <w:t xml:space="preserve">ancestral </w:t>
      </w:r>
      <w:r w:rsidRPr="00FA7F73">
        <w:rPr>
          <w:rFonts w:ascii="Arial" w:hAnsi="Arial" w:cs="Arial"/>
        </w:rPr>
        <w:t>land plants transported water between different</w:t>
      </w:r>
      <w:r>
        <w:rPr>
          <w:rFonts w:ascii="Arial" w:hAnsi="Arial" w:cs="Arial"/>
        </w:rPr>
        <w:t xml:space="preserve"> regions </w:t>
      </w:r>
      <w:r w:rsidRPr="00FA7F73">
        <w:rPr>
          <w:rFonts w:ascii="Arial" w:hAnsi="Arial" w:cs="Arial"/>
        </w:rPr>
        <w:t>via ectohydric (external) and</w:t>
      </w:r>
      <w:r>
        <w:rPr>
          <w:rFonts w:ascii="Arial" w:hAnsi="Arial" w:cs="Arial"/>
        </w:rPr>
        <w:t>/</w:t>
      </w:r>
      <w:r w:rsidRPr="00FA7F73">
        <w:rPr>
          <w:rFonts w:ascii="Arial" w:hAnsi="Arial" w:cs="Arial"/>
        </w:rPr>
        <w:t xml:space="preserve">or endohydric (internal) mechanisms </w:t>
      </w:r>
      <w:r w:rsidRPr="00FA7F73">
        <w:rPr>
          <w:rFonts w:ascii="Arial" w:hAnsi="Arial" w:cs="Arial"/>
        </w:rPr>
        <w:fldChar w:fldCharType="begin">
          <w:fldData xml:space="preserve">PEVuZE5vdGU+PENpdGU+PEF1dGhvcj5QaXR0ZXJtYW5uPC9BdXRob3I+PFllYXI+MjAxMDwvWWVh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</w:fldData>
        </w:fldChar>
      </w:r>
      <w:r>
        <w:rPr>
          <w:rFonts w:ascii="Arial" w:hAnsi="Arial" w:cs="Arial"/>
        </w:rPr>
        <w:instrText xml:space="preserve"> ADDIN EN.CITE </w:instrText>
      </w:r>
      <w:r>
        <w:rPr>
          <w:rFonts w:ascii="Arial" w:hAnsi="Arial" w:cs="Arial"/>
        </w:rPr>
        <w:fldChar w:fldCharType="begin">
          <w:fldData xml:space="preserve">PEVuZE5vdGU+PENpdGU+PEF1dGhvcj5QaXR0ZXJtYW5uPC9BdXRob3I+PFllYXI+MjAxMDwvWWVh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Pr>
          <w:rFonts w:ascii="Arial" w:hAnsi="Arial" w:cs="Arial"/>
          <w:noProof/>
        </w:rPr>
        <w:t>(Kenrick and Crane, 1997; Pittermann, 2010; Raven, 2003)</w:t>
      </w:r>
      <w:r w:rsidRPr="00FA7F73">
        <w:rPr>
          <w:rFonts w:ascii="Arial" w:hAnsi="Arial" w:cs="Arial"/>
        </w:rPr>
        <w:fldChar w:fldCharType="end"/>
      </w:r>
      <w:r w:rsidRPr="00FA7F73">
        <w:rPr>
          <w:rFonts w:ascii="Arial" w:hAnsi="Arial" w:cs="Arial"/>
        </w:rPr>
        <w:t xml:space="preserve">. For ectohydric transport this involved the wicking of water via capillary action on the outermost surfaces of the plant </w:t>
      </w:r>
      <w:r w:rsidRPr="00FA7F73">
        <w:rPr>
          <w:rFonts w:ascii="Arial" w:hAnsi="Arial" w:cs="Arial"/>
        </w:rPr>
        <w:fldChar w:fldCharType="begin">
          <w:fldData xml:space="preserve">PEVuZE5vdGU+PENpdGU+PEF1dGhvcj5TcGVycnk8L0F1dGhvcj48WWVhcj4yMDAzPC9ZZWFyPjxJ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</w:fldData>
        </w:fldChar>
      </w:r>
      <w:r>
        <w:rPr>
          <w:rFonts w:ascii="Arial" w:hAnsi="Arial" w:cs="Arial"/>
        </w:rPr>
        <w:instrText xml:space="preserve"> ADDIN EN.CITE </w:instrText>
      </w:r>
      <w:r>
        <w:rPr>
          <w:rFonts w:ascii="Arial" w:hAnsi="Arial" w:cs="Arial"/>
        </w:rPr>
        <w:fldChar w:fldCharType="begin">
          <w:fldData xml:space="preserve">PEVuZE5vdGU+PENpdGU+PEF1dGhvcj5TcGVycnk8L0F1dGhvcj48WWVhcj4yMDAzPC9ZZWFyPjxJ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sidRPr="00FA7F73">
        <w:rPr>
          <w:rFonts w:ascii="Arial" w:hAnsi="Arial" w:cs="Arial"/>
          <w:noProof/>
        </w:rPr>
        <w:t>(Proctor and Tuba, 2002; Raven, 2003; Sperry, 2003)</w:t>
      </w:r>
      <w:r w:rsidRPr="00FA7F73">
        <w:rPr>
          <w:rFonts w:ascii="Arial" w:hAnsi="Arial" w:cs="Arial"/>
        </w:rPr>
        <w:fldChar w:fldCharType="end"/>
      </w:r>
      <w:r w:rsidRPr="00FA7F73">
        <w:rPr>
          <w:rFonts w:ascii="Arial" w:hAnsi="Arial" w:cs="Arial"/>
        </w:rPr>
        <w:t xml:space="preserve">. For endohydric transport, water and solute movement </w:t>
      </w:r>
      <w:r w:rsidRPr="00FA7F73">
        <w:rPr>
          <w:rFonts w:ascii="Arial" w:hAnsi="Arial" w:cs="Arial"/>
        </w:rPr>
        <w:lastRenderedPageBreak/>
        <w:t xml:space="preserve">occurred extracellularly through the apoplast and intracellularly through connective portals known as plasmodesmata that linked neighbouring cells </w:t>
      </w:r>
      <w:r w:rsidRPr="00FA7F73">
        <w:rPr>
          <w:rFonts w:ascii="Arial" w:hAnsi="Arial" w:cs="Arial"/>
        </w:rPr>
        <w:fldChar w:fldCharType="begin">
          <w:fldData xml:space="preserve">PEVuZE5vdGU+PENpdGU+PEF1dGhvcj5MdWNhczwvQXV0aG9yPjxZZWFyPjIwMTM8L1llYXI+PElE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</w:fldData>
        </w:fldChar>
      </w:r>
      <w:r>
        <w:rPr>
          <w:rFonts w:ascii="Arial" w:hAnsi="Arial" w:cs="Arial"/>
        </w:rPr>
        <w:instrText xml:space="preserve"> ADDIN EN.CITE </w:instrText>
      </w:r>
      <w:r>
        <w:rPr>
          <w:rFonts w:ascii="Arial" w:hAnsi="Arial" w:cs="Arial"/>
        </w:rPr>
        <w:fldChar w:fldCharType="begin">
          <w:fldData xml:space="preserve">PEVuZE5vdGU+PENpdGU+PEF1dGhvcj5MdWNhczwvQXV0aG9yPjxZZWFyPjIwMTM8L1llYXI+PElE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sidRPr="00FA7F73">
        <w:rPr>
          <w:rFonts w:ascii="Arial" w:hAnsi="Arial" w:cs="Arial"/>
          <w:noProof/>
        </w:rPr>
        <w:t>(Lucas et al., 1993; Lucas et al., 2013)</w:t>
      </w:r>
      <w:r w:rsidRPr="00FA7F73">
        <w:rPr>
          <w:rFonts w:ascii="Arial" w:hAnsi="Arial" w:cs="Arial"/>
        </w:rPr>
        <w:fldChar w:fldCharType="end"/>
      </w:r>
      <w:r w:rsidRPr="00FA7F73">
        <w:rPr>
          <w:rFonts w:ascii="Arial" w:hAnsi="Arial" w:cs="Arial"/>
        </w:rPr>
        <w:t xml:space="preserve">. As these processes were quite slow there would have been distinct advantages for plants </w:t>
      </w:r>
      <w:r>
        <w:rPr>
          <w:rFonts w:ascii="Arial" w:hAnsi="Arial" w:cs="Arial"/>
        </w:rPr>
        <w:t xml:space="preserve">that </w:t>
      </w:r>
      <w:r w:rsidRPr="00FA7F73">
        <w:rPr>
          <w:rFonts w:ascii="Arial" w:hAnsi="Arial" w:cs="Arial"/>
        </w:rPr>
        <w:t xml:space="preserve">refined how solutes and nutrients were shuttled within the plant </w:t>
      </w:r>
      <w:r w:rsidRPr="00FA7F73">
        <w:rPr>
          <w:rFonts w:ascii="Arial" w:hAnsi="Arial" w:cs="Arial"/>
        </w:rPr>
        <w:fldChar w:fldCharType="begin"/>
      </w:r>
      <w:r w:rsidRPr="00FA7F73">
        <w:rPr>
          <w:rFonts w:ascii="Arial" w:hAnsi="Arial" w:cs="Arial"/>
        </w:rPr>
        <w:instrText xml:space="preserve"> ADDIN EN.CITE &lt;EndNote&gt;&lt;Cite&gt;&lt;Author&gt;Pittermann&lt;/Author&gt;&lt;Year&gt;2010&lt;/Year&gt;&lt;IDText&gt;The evolution of water transport in plants: an integrated approach&lt;/IDText&gt;&lt;DisplayText&gt;(Pittermann, 2010; Sperry, 2003)&lt;/DisplayText&gt;&lt;record&gt;&lt;dates&gt;&lt;pub-dates&gt;&lt;date&gt;Mar&lt;/date&gt;&lt;/pub-dates&gt;&lt;year&gt;2010&lt;/year&gt;&lt;/dates&gt;&lt;urls&gt;&lt;related-urls&gt;&lt;url&gt;&amp;lt;Go to ISI&amp;gt;://WOS:000274388900003&lt;/url&gt;&lt;/related-urls&gt;&lt;/urls&gt;&lt;isbn&gt;1472-4677&lt;/isbn&gt;&lt;titles&gt;&lt;title&gt;The evolution of water transport in plants: an integrated approach&lt;/title&gt;&lt;secondary-title&gt;Geobiology&lt;/secondary-title&gt;&lt;/titles&gt;&lt;pages&gt;112-139&lt;/pages&gt;&lt;number&gt;2&lt;/number&gt;&lt;contributors&gt;&lt;authors&gt;&lt;author&gt;Pittermann, J.&lt;/author&gt;&lt;/authors&gt;&lt;/contributors&gt;&lt;added-date format="utc"&gt;1380105063&lt;/added-date&gt;&lt;ref-type name="Journal Article"&gt;17&lt;/ref-type&gt;&lt;rec-number&gt;107&lt;/rec-number&gt;&lt;last-updated-date format="utc"&gt;1380105063&lt;/last-updated-date&gt;&lt;accession-num&gt;WOS:000274388900003&lt;/accession-num&gt;&lt;electronic-resource-num&gt;10.1111/j.1472-4669.2010.00232.x&lt;/electronic-resource-num&gt;&lt;volume&gt;8&lt;/volume&gt;&lt;/record&gt;&lt;/Cite&gt;&lt;Cite&gt;&lt;Author&gt;Sperry&lt;/Author&gt;&lt;Year&gt;2003&lt;/Year&gt;&lt;IDText&gt;Evolution of water transport and xylem structure&lt;/IDText&gt;&lt;record&gt;&lt;dates&gt;&lt;pub-dates&gt;&lt;date&gt;May&lt;/date&gt;&lt;/pub-dates&gt;&lt;year&gt;2003&lt;/year&gt;&lt;/dates&gt;&lt;urls&gt;&lt;related-urls&gt;&lt;url&gt;&amp;lt;Go to ISI&amp;gt;://WOS:000184018500009&lt;/url&gt;&lt;/related-urls&gt;&lt;/urls&gt;&lt;isbn&gt;1058-5893&lt;/isbn&gt;&lt;titles&gt;&lt;title&gt;Evolution of water transport and xylem structure&lt;/title&gt;&lt;secondary-title&gt;International Journal of Plant Sciences&lt;/secondary-title&gt;&lt;/titles&gt;&lt;pages&gt;S115-S127&lt;/pages&gt;&lt;number&gt;3&lt;/number&gt;&lt;contributors&gt;&lt;authors&gt;&lt;author&gt;Sperry, J. S.&lt;/author&gt;&lt;/authors&gt;&lt;/contributors&gt;&lt;added-date format="utc"&gt;1380186910&lt;/added-date&gt;&lt;ref-type name="Journal Article"&gt;17&lt;/ref-type&gt;&lt;rec-number&gt;115&lt;/rec-number&gt;&lt;last-updated-date format="utc"&gt;1380186910&lt;/last-updated-date&gt;&lt;accession-num&gt;WOS:000184018500009&lt;/accession-num&gt;&lt;electronic-resource-num&gt;10.1086/368398&lt;/electronic-resource-num&gt;&lt;volume&gt;164&lt;/volume&gt;&lt;/record&gt;&lt;/Cite&gt;&lt;/EndNote&gt;</w:instrText>
      </w:r>
      <w:r w:rsidRPr="00FA7F73">
        <w:rPr>
          <w:rFonts w:ascii="Arial" w:hAnsi="Arial" w:cs="Arial"/>
        </w:rPr>
        <w:fldChar w:fldCharType="separate"/>
      </w:r>
      <w:r w:rsidRPr="00FA7F73">
        <w:rPr>
          <w:rFonts w:ascii="Arial" w:hAnsi="Arial" w:cs="Arial"/>
          <w:noProof/>
        </w:rPr>
        <w:t>(Pittermann, 2010; Sperry, 2003)</w:t>
      </w:r>
      <w:r w:rsidRPr="00FA7F73">
        <w:rPr>
          <w:rFonts w:ascii="Arial" w:hAnsi="Arial" w:cs="Arial"/>
        </w:rPr>
        <w:fldChar w:fldCharType="end"/>
      </w:r>
      <w:r w:rsidRPr="00FA7F73">
        <w:rPr>
          <w:rFonts w:ascii="Arial" w:hAnsi="Arial" w:cs="Arial"/>
        </w:rPr>
        <w:t xml:space="preserve">. Understanding how and in what order these refined advances arose is a complicated subject which has been afforded considerable study and thought </w:t>
      </w:r>
      <w:r w:rsidRPr="00FA7F73">
        <w:rPr>
          <w:rFonts w:ascii="Arial" w:hAnsi="Arial" w:cs="Arial"/>
        </w:rPr>
        <w:fldChar w:fldCharType="begin">
          <w:fldData xml:space="preserve">PEVuZE5vdGU+PENpdGU+PEF1dGhvcj5MaWdyb25lPC9BdXRob3I+PFllYXI+MjAwMDwvWWVhcj48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PEVuZE5vdGU+PENpdGU+PEF1dGhvcj5MaWdyb25lPC9BdXRob3I+PFllYXI+MjAwMDwvWWVhcj48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Pr>
          <w:rFonts w:ascii="Arial" w:hAnsi="Arial" w:cs="Arial"/>
          <w:noProof/>
        </w:rPr>
        <w:t>(Kenrick and Crane, 1997; Ligrone et al., 2000; Pressel et al., 2014; Raven, 2003)</w:t>
      </w:r>
      <w:r w:rsidRPr="00FA7F73">
        <w:rPr>
          <w:rFonts w:ascii="Arial" w:hAnsi="Arial" w:cs="Arial"/>
        </w:rPr>
        <w:fldChar w:fldCharType="end"/>
      </w:r>
      <w:r w:rsidRPr="00FA7F73">
        <w:rPr>
          <w:rFonts w:ascii="Arial" w:hAnsi="Arial" w:cs="Arial"/>
        </w:rPr>
        <w:t xml:space="preserve">. One of the key changes that gradually began to occur was the evolution of water conducting cells (WCCs) that were used to couple the “pull” provided from the evaporation of water from external surfaces with an internal water column thereby drawing water and solutes from the soil to distance apical regions </w:t>
      </w:r>
      <w:r w:rsidRPr="00FA7F73">
        <w:rPr>
          <w:rFonts w:ascii="Arial" w:hAnsi="Arial" w:cs="Arial"/>
        </w:rPr>
        <w:fldChar w:fldCharType="begin"/>
      </w:r>
      <w:r w:rsidRPr="00FA7F73">
        <w:rPr>
          <w:rFonts w:ascii="Arial" w:hAnsi="Arial" w:cs="Arial"/>
        </w:rPr>
        <w:instrText xml:space="preserve"> ADDIN EN.CITE &lt;EndNote&gt;&lt;Cite&gt;&lt;Author&gt;Sperry&lt;/Author&gt;&lt;Year&gt;2003&lt;/Year&gt;&lt;IDText&gt;Evolution of water transport and xylem structure&lt;/IDText&gt;&lt;DisplayText&gt;(Sperry, 2003)&lt;/DisplayText&gt;&lt;record&gt;&lt;dates&gt;&lt;pub-dates&gt;&lt;date&gt;May&lt;/date&gt;&lt;/pub-dates&gt;&lt;year&gt;2003&lt;/year&gt;&lt;/dates&gt;&lt;urls&gt;&lt;related-urls&gt;&lt;url&gt;&amp;lt;Go to ISI&amp;gt;://WOS:000184018500009&lt;/url&gt;&lt;/related-urls&gt;&lt;/urls&gt;&lt;isbn&gt;1058-5893&lt;/isbn&gt;&lt;titles&gt;&lt;title&gt;Evolution of water transport and xylem structure&lt;/title&gt;&lt;secondary-title&gt;International Journal of Plant Sciences&lt;/secondary-title&gt;&lt;/titles&gt;&lt;pages&gt;S115-S127&lt;/pages&gt;&lt;number&gt;3&lt;/number&gt;&lt;contributors&gt;&lt;authors&gt;&lt;author&gt;Sperry, J. S.&lt;/author&gt;&lt;/authors&gt;&lt;/contributors&gt;&lt;added-date format="utc"&gt;1380186910&lt;/added-date&gt;&lt;ref-type name="Journal Article"&gt;17&lt;/ref-type&gt;&lt;rec-number&gt;115&lt;/rec-number&gt;&lt;last-updated-date format="utc"&gt;1380186910&lt;/last-updated-date&gt;&lt;accession-num&gt;WOS:000184018500009&lt;/accession-num&gt;&lt;electronic-resource-num&gt;10.1086/368398&lt;/electronic-resource-num&gt;&lt;volume&gt;164&lt;/volume&gt;&lt;/record&gt;&lt;/Cite&gt;&lt;/EndNote&gt;</w:instrText>
      </w:r>
      <w:r w:rsidRPr="00FA7F73">
        <w:rPr>
          <w:rFonts w:ascii="Arial" w:hAnsi="Arial" w:cs="Arial"/>
        </w:rPr>
        <w:fldChar w:fldCharType="separate"/>
      </w:r>
      <w:r w:rsidRPr="00FA7F73">
        <w:rPr>
          <w:rFonts w:ascii="Arial" w:hAnsi="Arial" w:cs="Arial"/>
          <w:noProof/>
        </w:rPr>
        <w:t>(Sperry, 2003)</w:t>
      </w:r>
      <w:r w:rsidRPr="00FA7F73">
        <w:rPr>
          <w:rFonts w:ascii="Arial" w:hAnsi="Arial" w:cs="Arial"/>
        </w:rPr>
        <w:fldChar w:fldCharType="end"/>
      </w:r>
      <w:r w:rsidRPr="00FA7F73">
        <w:rPr>
          <w:rFonts w:ascii="Arial" w:hAnsi="Arial" w:cs="Arial"/>
        </w:rPr>
        <w:t>. These WCCs were hollow, anucleate and elongate which reduce</w:t>
      </w:r>
      <w:r>
        <w:rPr>
          <w:rFonts w:ascii="Arial" w:hAnsi="Arial" w:cs="Arial"/>
        </w:rPr>
        <w:t>d the intra</w:t>
      </w:r>
      <w:r w:rsidRPr="00FA7F73">
        <w:rPr>
          <w:rFonts w:ascii="Arial" w:hAnsi="Arial" w:cs="Arial"/>
        </w:rPr>
        <w:t>cellular resistance</w:t>
      </w:r>
      <w:r>
        <w:rPr>
          <w:rFonts w:ascii="Arial" w:hAnsi="Arial" w:cs="Arial"/>
        </w:rPr>
        <w:t>,</w:t>
      </w:r>
      <w:r w:rsidRPr="00FA7F73">
        <w:rPr>
          <w:rFonts w:ascii="Arial" w:hAnsi="Arial" w:cs="Arial"/>
        </w:rPr>
        <w:t xml:space="preserve"> thereby permitting water to be moved over much greater distances at much quicker speeds </w:t>
      </w:r>
      <w:r w:rsidRPr="00FA7F73">
        <w:rPr>
          <w:rFonts w:ascii="Arial" w:hAnsi="Arial" w:cs="Arial"/>
        </w:rPr>
        <w:fldChar w:fldCharType="begin"/>
      </w:r>
      <w:r>
        <w:rPr>
          <w:rFonts w:ascii="Arial" w:hAnsi="Arial" w:cs="Arial"/>
        </w:rPr>
        <w:instrText xml:space="preserve"> ADDIN EN.CITE &lt;EndNote&gt;&lt;Cite&gt;&lt;Author&gt;Kenrick&lt;/Author&gt;&lt;Year&gt;1997&lt;/Year&gt;&lt;IDText&gt;The origin and early evolution of plants on land&lt;/IDText&gt;&lt;DisplayText&gt;(Kenrick and Crane, 1997)&lt;/DisplayText&gt;&lt;record&gt;&lt;dates&gt;&lt;pub-dates&gt;&lt;date&gt;Sep&lt;/date&gt;&lt;/pub-dates&gt;&lt;year&gt;1997&lt;/year&gt;&lt;/dates&gt;&lt;keywords&gt;&lt;keyword&gt;RNA GENE-SEQUENCES&lt;/keyword&gt;&lt;keyword&gt;WATER-CONDUCTING CELLS&lt;/keyword&gt;&lt;keyword&gt;PHYLOGENETIC-RELATIONSHIPS&lt;/keyword&gt;&lt;keyword&gt;VASCULAR PLANTS&lt;/keyword&gt;&lt;keyword&gt;RBCL SEQUENCES&lt;/keyword&gt;&lt;keyword&gt;CLADISTIC-ANALYSIS&lt;/keyword&gt;&lt;keyword&gt;ATMOSPHERIC CO2&lt;/keyword&gt;&lt;keyword&gt;GREEN-ALGAE&lt;/keyword&gt;&lt;keyword&gt;BRYOPHYTES&lt;/keyword&gt;&lt;keyword&gt;DIVERSIFICATION&lt;/keyword&gt;&lt;/keywords&gt;&lt;urls&gt;&lt;related-urls&gt;&lt;url&gt;&amp;lt;Go to ISI&amp;gt;://WOS:A1997XU59600036&lt;/url&gt;&lt;/related-urls&gt;&lt;/urls&gt;&lt;isbn&gt;0028-0836&lt;/isbn&gt;&lt;work-type&gt;Review&lt;/work-type&gt;&lt;titles&gt;&lt;title&gt;The origin and early evolution of plants on land&lt;/title&gt;&lt;secondary-title&gt;Nature&lt;/secondary-title&gt;&lt;alt-title&gt;Nature&lt;/alt-title&gt;&lt;/titles&gt;&lt;pages&gt;33-39&lt;/pages&gt;&lt;number&gt;6646&lt;/number&gt;&lt;contributors&gt;&lt;authors&gt;&lt;author&gt;Kenrick, P.&lt;/author&gt;&lt;author&gt;Crane, P. R.&lt;/author&gt;&lt;/authors&gt;&lt;/contributors&gt;&lt;language&gt;English&lt;/language&gt;&lt;added-date format="utc"&gt;1355243733&lt;/added-date&gt;&lt;ref-type name="Journal Article"&gt;17&lt;/ref-type&gt;&lt;auth-address&gt;FIELD MUSEUM NAT HIST,CHICAGO,IL 60605. UNIV CHICAGO,DEPT GEOPHYS SCI,CHICAGO,IL 60637.&amp;#xD;Kenrick, P (reprint author), SWEDISH MUSEUM NAT HIST,BOX 50007,S-10405 STOCKHOLM,SWEDEN.&lt;/auth-address&gt;&lt;rec-number&gt;98&lt;/rec-number&gt;&lt;last-updated-date format="utc"&gt;1355243733&lt;/last-updated-date&gt;&lt;accession-num&gt;WOS:A1997XU59600036&lt;/accession-num&gt;&lt;electronic-resource-num&gt;10.1038/37918&lt;/electronic-resource-num&gt;&lt;volume&gt;389&lt;/volume&gt;&lt;/record&gt;&lt;/Cite&gt;&lt;/EndNote&gt;</w:instrText>
      </w:r>
      <w:r w:rsidRPr="00FA7F73">
        <w:rPr>
          <w:rFonts w:ascii="Arial" w:hAnsi="Arial" w:cs="Arial"/>
        </w:rPr>
        <w:fldChar w:fldCharType="separate"/>
      </w:r>
      <w:r>
        <w:rPr>
          <w:rFonts w:ascii="Arial" w:hAnsi="Arial" w:cs="Arial"/>
          <w:noProof/>
        </w:rPr>
        <w:t>(Kenrick and Crane, 1997)</w:t>
      </w:r>
      <w:r w:rsidRPr="00FA7F73">
        <w:rPr>
          <w:rFonts w:ascii="Arial" w:hAnsi="Arial" w:cs="Arial"/>
        </w:rPr>
        <w:fldChar w:fldCharType="end"/>
      </w:r>
      <w:r w:rsidRPr="00FA7F73">
        <w:rPr>
          <w:rFonts w:ascii="Arial" w:hAnsi="Arial" w:cs="Arial"/>
        </w:rPr>
        <w:t>. Such changes in anatomy</w:t>
      </w:r>
      <w:r>
        <w:rPr>
          <w:rFonts w:ascii="Arial" w:hAnsi="Arial" w:cs="Arial"/>
        </w:rPr>
        <w:t>,</w:t>
      </w:r>
      <w:r w:rsidRPr="00FA7F73">
        <w:rPr>
          <w:rFonts w:ascii="Arial" w:hAnsi="Arial" w:cs="Arial"/>
        </w:rPr>
        <w:t xml:space="preserve"> when coupled with adaptations such as stomata</w:t>
      </w:r>
      <w:r>
        <w:rPr>
          <w:rFonts w:ascii="Arial" w:hAnsi="Arial" w:cs="Arial"/>
        </w:rPr>
        <w:t>,</w:t>
      </w:r>
      <w:r w:rsidRPr="00FA7F73">
        <w:rPr>
          <w:rFonts w:ascii="Arial" w:hAnsi="Arial" w:cs="Arial"/>
        </w:rPr>
        <w:t xml:space="preserve"> enabled plants to begin to expand in size and influence.</w:t>
      </w:r>
    </w:p>
    <w:p w14:paraId="20C501CA" w14:textId="77777777" w:rsidR="00311AE8" w:rsidRPr="00FA7F73" w:rsidRDefault="00311AE8" w:rsidP="00311AE8">
      <w:pPr>
        <w:spacing w:after="160" w:line="360" w:lineRule="auto"/>
        <w:rPr>
          <w:rFonts w:ascii="Arial" w:hAnsi="Arial" w:cs="Arial"/>
        </w:rPr>
      </w:pPr>
      <w:r>
        <w:rPr>
          <w:rFonts w:ascii="Arial" w:hAnsi="Arial" w:cs="Arial"/>
          <w:u w:val="single"/>
        </w:rPr>
        <w:t xml:space="preserve">1.4 </w:t>
      </w:r>
      <w:r w:rsidRPr="00E5501E">
        <w:rPr>
          <w:rFonts w:ascii="Arial" w:hAnsi="Arial" w:cs="Arial"/>
          <w:u w:val="single"/>
        </w:rPr>
        <w:t>Stomatal beginnings and their functioning in land plants</w:t>
      </w:r>
      <w:r w:rsidRPr="00FA7F73">
        <w:rPr>
          <w:rFonts w:ascii="Arial" w:hAnsi="Arial" w:cs="Arial"/>
          <w:u w:val="single"/>
        </w:rPr>
        <w:t xml:space="preserve"> </w:t>
      </w:r>
    </w:p>
    <w:p w14:paraId="40E25BEE" w14:textId="77777777" w:rsidR="00311AE8" w:rsidRDefault="00311AE8" w:rsidP="00311AE8">
      <w:pPr>
        <w:spacing w:after="160" w:line="360" w:lineRule="auto"/>
        <w:rPr>
          <w:rFonts w:ascii="Arial" w:hAnsi="Arial" w:cs="Arial"/>
        </w:rPr>
      </w:pPr>
      <w:r w:rsidRPr="00FA7F73">
        <w:rPr>
          <w:rFonts w:ascii="Arial" w:hAnsi="Arial" w:cs="Arial"/>
        </w:rPr>
        <w:t xml:space="preserve">At a similar point in time to the evolution of WCCs prior to 415 million years ago the first stomata appeared </w:t>
      </w:r>
      <w:r w:rsidRPr="00FA7F73">
        <w:rPr>
          <w:rFonts w:ascii="Arial" w:hAnsi="Arial" w:cs="Arial"/>
        </w:rPr>
        <w:fldChar w:fldCharType="begin">
          <w:fldData xml:space="preserve">PEVuZE5vdGU+PENpdGU+PEF1dGhvcj5SdXN6YWxhPC9BdXRob3I+PFllYXI+MjAxMTwvWWVhcj48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PEVuZE5vdGU+PENpdGU+PEF1dGhvcj5SdXN6YWxhPC9BdXRob3I+PFllYXI+MjAxMTwvWWVhcj48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sidRPr="00FA7F73">
        <w:rPr>
          <w:rFonts w:ascii="Arial" w:hAnsi="Arial" w:cs="Arial"/>
          <w:noProof/>
        </w:rPr>
        <w:t>(Chater et al., 2011; Edwards et al., 1986; Ruszala et al., 2011; Sperry, 2003)</w:t>
      </w:r>
      <w:r w:rsidRPr="00FA7F73">
        <w:rPr>
          <w:rFonts w:ascii="Arial" w:hAnsi="Arial" w:cs="Arial"/>
        </w:rPr>
        <w:fldChar w:fldCharType="end"/>
      </w:r>
      <w:r w:rsidRPr="00FA7F73">
        <w:rPr>
          <w:rFonts w:ascii="Arial" w:hAnsi="Arial" w:cs="Arial"/>
        </w:rPr>
        <w:t xml:space="preserve"> </w:t>
      </w:r>
      <w:r w:rsidRPr="00FA7F73">
        <w:rPr>
          <w:rFonts w:ascii="Arial" w:hAnsi="Arial" w:cs="Arial"/>
          <w:b/>
        </w:rPr>
        <w:t>(Fig.</w:t>
      </w:r>
      <w:r>
        <w:rPr>
          <w:rFonts w:ascii="Arial" w:hAnsi="Arial" w:cs="Arial"/>
          <w:b/>
        </w:rPr>
        <w:t xml:space="preserve"> </w:t>
      </w:r>
      <w:r w:rsidRPr="008807CE">
        <w:rPr>
          <w:rFonts w:ascii="Arial" w:hAnsi="Arial" w:cs="Arial"/>
          <w:b/>
        </w:rPr>
        <w:t>1a</w:t>
      </w:r>
      <w:r w:rsidRPr="008807CE">
        <w:rPr>
          <w:rFonts w:ascii="Arial" w:hAnsi="Arial" w:cs="Arial"/>
        </w:rPr>
        <w:t>,</w:t>
      </w:r>
      <w:r>
        <w:rPr>
          <w:rFonts w:ascii="Arial" w:hAnsi="Arial" w:cs="Arial"/>
        </w:rPr>
        <w:t xml:space="preserve"> </w:t>
      </w:r>
      <w:r>
        <w:rPr>
          <w:rFonts w:ascii="Arial" w:hAnsi="Arial" w:cs="Arial"/>
          <w:b/>
        </w:rPr>
        <w:t xml:space="preserve">1d </w:t>
      </w:r>
      <w:r w:rsidRPr="00A037FC">
        <w:rPr>
          <w:rFonts w:ascii="Arial" w:hAnsi="Arial" w:cs="Arial"/>
        </w:rPr>
        <w:t>and</w:t>
      </w:r>
      <w:r>
        <w:rPr>
          <w:rFonts w:ascii="Arial" w:hAnsi="Arial" w:cs="Arial"/>
          <w:b/>
        </w:rPr>
        <w:t xml:space="preserve"> Fig. 2</w:t>
      </w:r>
      <w:r w:rsidRPr="00FA7F73">
        <w:rPr>
          <w:rFonts w:ascii="Arial" w:hAnsi="Arial" w:cs="Arial"/>
          <w:b/>
        </w:rPr>
        <w:t>)</w:t>
      </w:r>
      <w:r w:rsidRPr="00FA7F73">
        <w:rPr>
          <w:rFonts w:ascii="Arial" w:hAnsi="Arial" w:cs="Arial"/>
        </w:rPr>
        <w:t xml:space="preserve">. These microscopic structures found on the surfaces of the majority of </w:t>
      </w:r>
      <w:r>
        <w:rPr>
          <w:rFonts w:ascii="Arial" w:hAnsi="Arial" w:cs="Arial"/>
        </w:rPr>
        <w:t>extant land plants permit</w:t>
      </w:r>
      <w:r w:rsidRPr="00FA7F73">
        <w:rPr>
          <w:rFonts w:ascii="Arial" w:hAnsi="Arial" w:cs="Arial"/>
        </w:rPr>
        <w:t xml:space="preserve"> plants to actively</w:t>
      </w:r>
      <w:r>
        <w:rPr>
          <w:rFonts w:ascii="Arial" w:hAnsi="Arial" w:cs="Arial"/>
        </w:rPr>
        <w:t xml:space="preserve"> </w:t>
      </w:r>
      <w:r w:rsidRPr="00FA7F73">
        <w:rPr>
          <w:rFonts w:ascii="Arial" w:hAnsi="Arial" w:cs="Arial"/>
        </w:rPr>
        <w:t xml:space="preserve">moderate exchanges with </w:t>
      </w:r>
      <w:r>
        <w:rPr>
          <w:rFonts w:ascii="Arial" w:hAnsi="Arial" w:cs="Arial"/>
        </w:rPr>
        <w:t>the surrounding</w:t>
      </w:r>
      <w:r w:rsidRPr="00FA7F73">
        <w:rPr>
          <w:rFonts w:ascii="Arial" w:hAnsi="Arial" w:cs="Arial"/>
        </w:rPr>
        <w:t xml:space="preserve"> environment </w:t>
      </w:r>
      <w:r w:rsidRPr="00FA7F73">
        <w:rPr>
          <w:rFonts w:ascii="Arial" w:hAnsi="Arial" w:cs="Arial"/>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bjwvSURUZXh0PjxEaXNwbGF5VGV4dD4oQ2hhdGVyIGV0IGFsLiwgMjAxMTsgUnVzemFsYSBldCBh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</w:fldData>
        </w:fldChar>
      </w:r>
      <w:r>
        <w:rPr>
          <w:rFonts w:ascii="Arial" w:hAnsi="Arial" w:cs="Arial"/>
        </w:rPr>
        <w:instrText xml:space="preserve"> ADDIN EN.CITE </w:instrText>
      </w:r>
      <w:r>
        <w:rPr>
          <w:rFonts w:ascii="Arial" w:hAnsi="Arial" w:cs="Arial"/>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bjwvSURUZXh0PjxEaXNwbGF5VGV4dD4oQ2hhdGVyIGV0IGFsLiwgMjAxMTsgUnVzemFsYSBldCBh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Pr>
          <w:rFonts w:ascii="Arial" w:hAnsi="Arial" w:cs="Arial"/>
          <w:noProof/>
        </w:rPr>
        <w:t>(Chater et al., 2011; Ruszala et al., 2011; Zeiger et al., 1987)</w:t>
      </w:r>
      <w:r w:rsidRPr="00FA7F73">
        <w:rPr>
          <w:rFonts w:ascii="Arial" w:hAnsi="Arial" w:cs="Arial"/>
        </w:rPr>
        <w:fldChar w:fldCharType="end"/>
      </w:r>
      <w:r w:rsidRPr="00FA7F73">
        <w:rPr>
          <w:rFonts w:ascii="Arial" w:hAnsi="Arial" w:cs="Arial"/>
        </w:rPr>
        <w:t>. The oldest</w:t>
      </w:r>
      <w:r>
        <w:rPr>
          <w:rFonts w:ascii="Arial" w:hAnsi="Arial" w:cs="Arial"/>
        </w:rPr>
        <w:t xml:space="preserve"> evidence of</w:t>
      </w:r>
      <w:r w:rsidRPr="00FA7F73">
        <w:rPr>
          <w:rFonts w:ascii="Arial" w:hAnsi="Arial" w:cs="Arial"/>
        </w:rPr>
        <w:t xml:space="preserve"> fossilised </w:t>
      </w:r>
      <w:r>
        <w:rPr>
          <w:rFonts w:ascii="Arial" w:hAnsi="Arial" w:cs="Arial"/>
        </w:rPr>
        <w:t xml:space="preserve">stomatal comes from the </w:t>
      </w:r>
      <w:r w:rsidRPr="00FA7F73">
        <w:rPr>
          <w:rFonts w:ascii="Arial" w:hAnsi="Arial" w:cs="Arial"/>
        </w:rPr>
        <w:t xml:space="preserve">genus </w:t>
      </w:r>
      <w:r w:rsidRPr="00FA7F73">
        <w:rPr>
          <w:rFonts w:ascii="Arial" w:hAnsi="Arial" w:cs="Arial"/>
          <w:i/>
        </w:rPr>
        <w:t>Cooksonia</w:t>
      </w:r>
      <w:r w:rsidRPr="00FA7F73">
        <w:rPr>
          <w:rFonts w:ascii="Arial" w:hAnsi="Arial" w:cs="Arial"/>
        </w:rPr>
        <w:t xml:space="preserve">, which like </w:t>
      </w:r>
      <w:r>
        <w:rPr>
          <w:rFonts w:ascii="Arial" w:hAnsi="Arial" w:cs="Arial"/>
        </w:rPr>
        <w:t>with extant land plants, had stomata that consisted of</w:t>
      </w:r>
      <w:r w:rsidRPr="00FA7F73">
        <w:rPr>
          <w:rFonts w:ascii="Arial" w:hAnsi="Arial" w:cs="Arial"/>
        </w:rPr>
        <w:t xml:space="preserve"> 2 distinct guard cells encircling a central pore</w:t>
      </w:r>
      <w:r>
        <w:rPr>
          <w:rFonts w:ascii="Arial" w:hAnsi="Arial" w:cs="Arial"/>
        </w:rPr>
        <w:t xml:space="preserve"> (</w:t>
      </w:r>
      <w:r>
        <w:rPr>
          <w:rFonts w:ascii="Arial" w:hAnsi="Arial" w:cs="Arial"/>
          <w:b/>
        </w:rPr>
        <w:t>Fig. 1d</w:t>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&lt;EndNote&gt;&lt;Cite&gt;&lt;Author&gt;Edwards&lt;/Author&gt;&lt;Year&gt;1986&lt;/Year&gt;&lt;IDText&gt;Stomata and sterome in early land plants&lt;/IDText&gt;&lt;DisplayText&gt;(Edwards et al., 1986)&lt;/DisplayText&gt;&lt;record&gt;&lt;dates&gt;&lt;pub-dates&gt;&lt;date&gt;10/02/print&lt;/date&gt;&lt;/pub-dates&gt;&lt;year&gt;1986&lt;/year&gt;&lt;/dates&gt;&lt;urls&gt;&lt;related-urls&gt;&lt;url&gt;http://dx.doi.org/10.1038/323438a0&lt;/url&gt;&lt;/related-urls&gt;&lt;/urls&gt;&lt;work-type&gt;10.1038/323438a0&lt;/work-type&gt;&lt;titles&gt;&lt;title&gt;Stomata and sterome in early land plants&lt;/title&gt;&lt;secondary-title&gt;Nature&lt;/secondary-title&gt;&lt;/titles&gt;&lt;pages&gt;438-440&lt;/pages&gt;&lt;number&gt;6087&lt;/number&gt;&lt;contributors&gt;&lt;authors&gt;&lt;author&gt;Edwards, D.&lt;/author&gt;&lt;author&gt;Fanning, U.&lt;/author&gt;&lt;author&gt;Richardson, J. B.&lt;/author&gt;&lt;/authors&gt;&lt;/contributors&gt;&lt;added-date format="utc"&gt;1456662356&lt;/added-date&gt;&lt;ref-type name="Journal Article"&gt;17&lt;/ref-type&gt;&lt;rec-number&gt;1059&lt;/rec-number&gt;&lt;last-updated-date format="utc"&gt;1456662356&lt;/last-updated-date&gt;&lt;volume&gt;323&lt;/volume&gt;&lt;/record&gt;&lt;/Cite&gt;&lt;/EndNote&gt;</w:instrText>
      </w:r>
      <w:r>
        <w:rPr>
          <w:rFonts w:ascii="Arial" w:hAnsi="Arial" w:cs="Arial"/>
        </w:rPr>
        <w:fldChar w:fldCharType="separate"/>
      </w:r>
      <w:r>
        <w:rPr>
          <w:rFonts w:ascii="Arial" w:hAnsi="Arial" w:cs="Arial"/>
          <w:noProof/>
        </w:rPr>
        <w:t>(Edwards et al., 1986)</w:t>
      </w:r>
      <w:r>
        <w:rPr>
          <w:rFonts w:ascii="Arial" w:hAnsi="Arial" w:cs="Arial"/>
        </w:rPr>
        <w:fldChar w:fldCharType="end"/>
      </w:r>
      <w:r w:rsidRPr="00FA7F73">
        <w:rPr>
          <w:rFonts w:ascii="Arial" w:hAnsi="Arial" w:cs="Arial"/>
        </w:rPr>
        <w:t xml:space="preserve">. </w:t>
      </w:r>
    </w:p>
    <w:p w14:paraId="46ED801E" w14:textId="77777777" w:rsidR="00311AE8" w:rsidRPr="00FA7F73" w:rsidRDefault="00311AE8" w:rsidP="00311AE8">
      <w:pPr>
        <w:spacing w:after="160" w:line="360" w:lineRule="auto"/>
        <w:rPr>
          <w:rFonts w:ascii="Arial" w:hAnsi="Arial" w:cs="Arial"/>
        </w:rPr>
      </w:pPr>
      <w:r w:rsidRPr="00FA7F73">
        <w:rPr>
          <w:rFonts w:ascii="Arial" w:hAnsi="Arial" w:cs="Arial"/>
        </w:rPr>
        <w:t>In the case of most extant plants, stomata function by facilitating the up-take of CO</w:t>
      </w:r>
      <w:r w:rsidRPr="00FA7F73">
        <w:rPr>
          <w:rFonts w:ascii="Arial" w:hAnsi="Arial" w:cs="Arial"/>
          <w:vertAlign w:val="subscript"/>
        </w:rPr>
        <w:t>2</w:t>
      </w:r>
      <w:r w:rsidRPr="00FA7F73">
        <w:rPr>
          <w:rFonts w:ascii="Arial" w:hAnsi="Arial" w:cs="Arial"/>
        </w:rPr>
        <w:t xml:space="preserve"> and the release of water and oxygen</w:t>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&lt;EndNote&gt;&lt;Cite&gt;&lt;Author&gt;Zeiger&lt;/Author&gt;&lt;Year&gt;1987&lt;/Year&gt;&lt;IDText&gt;Stomatal function&lt;/IDText&gt;&lt;DisplayText&gt;(Zeiger et al., 1987)&lt;/DisplayText&gt;&lt;record&gt;&lt;keywords&gt;&lt;keyword&gt;Stomata.&lt;/keyword&gt;&lt;/keywords&gt;&lt;isbn&gt;0804713472&lt;/isbn&gt;&lt;titles&gt;&lt;title&gt;Stomatal function&lt;/title&gt;&lt;/titles&gt;&lt;pages&gt;xiv, 503 p.&lt;/pages&gt;&lt;contributors&gt;&lt;authors&gt;&lt;author&gt;Zeiger, Eduardo&lt;/author&gt;&lt;author&gt;Farquhar, G. D.&lt;/author&gt;&lt;author&gt;Cowan, I. R.&lt;/author&gt;&lt;/authors&gt;&lt;/contributors&gt;&lt;added-date format="utc"&gt;1432565933&lt;/added-date&gt;&lt;pub-location&gt;Stanford, Calif.&lt;/pub-location&gt;&lt;ref-type name="Book"&gt;6&lt;/ref-type&gt;&lt;dates&gt;&lt;year&gt;1987&lt;/year&gt;&lt;/dates&gt;&lt;rec-number&gt;162&lt;/rec-number&gt;&lt;publisher&gt;Stanford University Press&lt;/publisher&gt;&lt;last-updated-date format="utc"&gt;1432565933&lt;/last-updated-date&gt;&lt;/record&gt;&lt;/Cite&gt;&lt;/EndNote&gt;</w:instrText>
      </w:r>
      <w:r>
        <w:rPr>
          <w:rFonts w:ascii="Arial" w:hAnsi="Arial" w:cs="Arial"/>
        </w:rPr>
        <w:fldChar w:fldCharType="separate"/>
      </w:r>
      <w:r>
        <w:rPr>
          <w:rFonts w:ascii="Arial" w:hAnsi="Arial" w:cs="Arial"/>
          <w:noProof/>
        </w:rPr>
        <w:t>(Zeiger et al., 1987)</w:t>
      </w:r>
      <w:r>
        <w:rPr>
          <w:rFonts w:ascii="Arial" w:hAnsi="Arial" w:cs="Arial"/>
        </w:rPr>
        <w:fldChar w:fldCharType="end"/>
      </w:r>
      <w:r w:rsidRPr="00FA7F73">
        <w:rPr>
          <w:rFonts w:ascii="Arial" w:hAnsi="Arial" w:cs="Arial"/>
        </w:rPr>
        <w:t>. As well as permitting gaseous exchanges to occur stomata can shut in dry conditions</w:t>
      </w:r>
      <w:r>
        <w:rPr>
          <w:rFonts w:ascii="Arial" w:hAnsi="Arial" w:cs="Arial"/>
        </w:rPr>
        <w:t>,</w:t>
      </w:r>
      <w:r w:rsidRPr="00FA7F73">
        <w:rPr>
          <w:rFonts w:ascii="Arial" w:hAnsi="Arial" w:cs="Arial"/>
        </w:rPr>
        <w:t xml:space="preserve"> thereby conserving water</w:t>
      </w:r>
      <w:r>
        <w:rPr>
          <w:rFonts w:ascii="Arial" w:hAnsi="Arial" w:cs="Arial"/>
        </w:rPr>
        <w:t xml:space="preserve"> </w:t>
      </w:r>
      <w:r>
        <w:rPr>
          <w:rFonts w:ascii="Arial" w:hAnsi="Arial" w:cs="Arial"/>
        </w:rPr>
        <w:fldChar w:fldCharType="begin">
          <w:fldData xml:space="preserve">PEVuZE5vdGU+PENpdGU+PEF1dGhvcj5CbGFua2U8L0F1dGhvcj48WWVhcj4yMDA0PC9ZZWFyPjxJ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</w:fldData>
        </w:fldChar>
      </w:r>
      <w:r>
        <w:rPr>
          <w:rFonts w:ascii="Arial" w:hAnsi="Arial" w:cs="Arial"/>
        </w:rPr>
        <w:instrText xml:space="preserve"> ADDIN EN.CITE </w:instrText>
      </w:r>
      <w:r>
        <w:rPr>
          <w:rFonts w:ascii="Arial" w:hAnsi="Arial" w:cs="Arial"/>
        </w:rPr>
        <w:fldChar w:fldCharType="begin">
          <w:fldData xml:space="preserve">PEVuZE5vdGU+PENpdGU+PEF1dGhvcj5CbGFua2U8L0F1dGhvcj48WWVhcj4yMDA0PC9ZZWFyPjxJ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(Blanke and Cooke, 2004; Brodribb and McAdam, 2013)</w:t>
      </w:r>
      <w:r>
        <w:rPr>
          <w:rFonts w:ascii="Arial" w:hAnsi="Arial" w:cs="Arial"/>
        </w:rPr>
        <w:fldChar w:fldCharType="end"/>
      </w:r>
      <w:r w:rsidRPr="00FA7F73">
        <w:rPr>
          <w:rFonts w:ascii="Arial" w:hAnsi="Arial" w:cs="Arial"/>
        </w:rPr>
        <w:t>. To facilitate changes in stomatal shape and</w:t>
      </w:r>
      <w:r>
        <w:rPr>
          <w:rFonts w:ascii="Arial" w:hAnsi="Arial" w:cs="Arial"/>
        </w:rPr>
        <w:t>,</w:t>
      </w:r>
      <w:r w:rsidRPr="00FA7F73">
        <w:rPr>
          <w:rFonts w:ascii="Arial" w:hAnsi="Arial" w:cs="Arial"/>
        </w:rPr>
        <w:t xml:space="preserve"> therefore</w:t>
      </w:r>
      <w:r>
        <w:rPr>
          <w:rFonts w:ascii="Arial" w:hAnsi="Arial" w:cs="Arial"/>
        </w:rPr>
        <w:t>,</w:t>
      </w:r>
      <w:r w:rsidRPr="00FA7F73">
        <w:rPr>
          <w:rFonts w:ascii="Arial" w:hAnsi="Arial" w:cs="Arial"/>
        </w:rPr>
        <w:t xml:space="preserve"> opening and closing, plants moderate the internal turgor pressure of guard cells</w:t>
      </w:r>
      <w:r>
        <w:rPr>
          <w:rFonts w:ascii="Arial" w:hAnsi="Arial" w:cs="Arial"/>
        </w:rPr>
        <w:t xml:space="preserve"> </w:t>
      </w:r>
      <w:r>
        <w:rPr>
          <w:rFonts w:ascii="Arial" w:hAnsi="Arial" w:cs="Arial"/>
        </w:rPr>
        <w:fldChar w:fldCharType="begin">
          <w:fldData xml:space="preserve">PEVuZE5vdGU+PENpdGU+PEF1dGhvcj5BbmRyZXM8L0F1dGhvcj48WWVhcj4yMDE0PC9ZZWFyPjxJ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</w:fldData>
        </w:fldChar>
      </w:r>
      <w:r>
        <w:rPr>
          <w:rFonts w:ascii="Arial" w:hAnsi="Arial" w:cs="Arial"/>
        </w:rPr>
        <w:instrText xml:space="preserve"> ADDIN EN.CITE </w:instrText>
      </w:r>
      <w:r>
        <w:rPr>
          <w:rFonts w:ascii="Arial" w:hAnsi="Arial" w:cs="Arial"/>
        </w:rPr>
        <w:fldChar w:fldCharType="begin">
          <w:fldData xml:space="preserve">PEVuZE5vdGU+PENpdGU+PEF1dGhvcj5BbmRyZXM8L0F1dGhvcj48WWVhcj4yMDE0PC9ZZWFyPjxJ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(Andres et al., 2014; Franks and Farquhar, 2007)</w:t>
      </w:r>
      <w:r>
        <w:rPr>
          <w:rFonts w:ascii="Arial" w:hAnsi="Arial" w:cs="Arial"/>
        </w:rPr>
        <w:fldChar w:fldCharType="end"/>
      </w:r>
      <w:r w:rsidRPr="00FA7F73">
        <w:rPr>
          <w:rFonts w:ascii="Arial" w:hAnsi="Arial" w:cs="Arial"/>
        </w:rPr>
        <w:t>. Increases in turgor pressure</w:t>
      </w:r>
      <w:r>
        <w:rPr>
          <w:rFonts w:ascii="Arial" w:hAnsi="Arial" w:cs="Arial"/>
        </w:rPr>
        <w:t xml:space="preserve"> (which lead to guard cells swelling and bending outwards, thereby increasing the aperture of the central pore) are brought about due to increases in the osmolarity within guard cells</w:t>
      </w:r>
      <w:r w:rsidRPr="00FA7F73">
        <w:rPr>
          <w:rFonts w:ascii="Arial" w:hAnsi="Arial" w:cs="Arial"/>
        </w:rPr>
        <w:t xml:space="preserve">. Conversely, by reducing </w:t>
      </w:r>
      <w:r>
        <w:rPr>
          <w:rFonts w:ascii="Arial" w:hAnsi="Arial" w:cs="Arial"/>
        </w:rPr>
        <w:t xml:space="preserve">the </w:t>
      </w:r>
      <w:r>
        <w:rPr>
          <w:rFonts w:ascii="Arial" w:hAnsi="Arial" w:cs="Arial"/>
        </w:rPr>
        <w:lastRenderedPageBreak/>
        <w:t xml:space="preserve">osmolarity of guard cells, </w:t>
      </w:r>
      <w:r w:rsidRPr="00FA7F73">
        <w:rPr>
          <w:rFonts w:ascii="Arial" w:hAnsi="Arial" w:cs="Arial"/>
        </w:rPr>
        <w:t xml:space="preserve">turgor pressure </w:t>
      </w:r>
      <w:r>
        <w:rPr>
          <w:rFonts w:ascii="Arial" w:hAnsi="Arial" w:cs="Arial"/>
        </w:rPr>
        <w:t xml:space="preserve">reduces which leads to stomatal closure due to reduction in the </w:t>
      </w:r>
      <w:r w:rsidRPr="00FA7F73">
        <w:rPr>
          <w:rFonts w:ascii="Arial" w:hAnsi="Arial" w:cs="Arial"/>
        </w:rPr>
        <w:t xml:space="preserve">pore </w:t>
      </w:r>
      <w:r>
        <w:rPr>
          <w:rFonts w:ascii="Arial" w:hAnsi="Arial" w:cs="Arial"/>
        </w:rPr>
        <w:t xml:space="preserve">aperture </w:t>
      </w:r>
      <w:r>
        <w:rPr>
          <w:rFonts w:ascii="Arial" w:hAnsi="Arial" w:cs="Arial"/>
        </w:rPr>
        <w:fldChar w:fldCharType="begin"/>
      </w:r>
      <w:r>
        <w:rPr>
          <w:rFonts w:ascii="Arial" w:hAnsi="Arial" w:cs="Arial"/>
        </w:rPr>
        <w:instrText xml:space="preserve"> ADDIN EN.CITE &lt;EndNote&gt;&lt;Cite&gt;&lt;Author&gt;Liu&lt;/Author&gt;&lt;Year&gt;1998&lt;/Year&gt;&lt;IDText&gt;Voltage-Dependent K+ Channels as Targets of Osmosensing in Guard Cells&lt;/IDText&gt;&lt;DisplayText&gt;(Hedrich, 2012; Liu and Luan, 1998)&lt;/DisplayText&gt;&lt;record&gt;&lt;urls&gt;&lt;related-urls&gt;&lt;url&gt;http://www.plantcell.org/content/10/11/1957.abstract&lt;/url&gt;&lt;/related-urls&gt;&lt;/urls&gt;&lt;titles&gt;&lt;title&gt;Voltage-Dependent K+ Channels as Targets of Osmosensing in Guard Cells&lt;/title&gt;&lt;secondary-title&gt;The Plant Cell&lt;/secondary-title&gt;&lt;/titles&gt;&lt;pages&gt;1957-1970&lt;/pages&gt;&lt;number&gt;11&lt;/number&gt;&lt;contributors&gt;&lt;authors&gt;&lt;author&gt;Liu, Kun&lt;/author&gt;&lt;author&gt;Luan, Sheng&lt;/author&gt;&lt;/authors&gt;&lt;/contributors&gt;&lt;added-date format="utc"&gt;1470057841&lt;/added-date&gt;&lt;ref-type name="Journal Article"&gt;17&lt;/ref-type&gt;&lt;dates&gt;&lt;year&gt;1998&lt;/year&gt;&lt;/dates&gt;&lt;rec-number&gt;1323&lt;/rec-number&gt;&lt;last-updated-date format="utc"&gt;1470057841&lt;/last-updated-date&gt;&lt;volume&gt;10&lt;/volume&gt;&lt;/record&gt;&lt;/Cite&gt;&lt;Cite&gt;&lt;Author&gt;Hedrich&lt;/Author&gt;&lt;Year&gt;2012&lt;/Year&gt;&lt;IDText&gt;Ion Channels in Plants&lt;/IDText&gt;&lt;record&gt;&lt;urls&gt;&lt;related-urls&gt;&lt;url&gt;http://physrev.physiology.org/content/92/4/1777.abstract&lt;/url&gt;&lt;/related-urls&gt;&lt;/urls&gt;&lt;work-type&gt;10.1152/physrev.00038.2011&lt;/work-type&gt;&lt;titles&gt;&lt;title&gt;Ion Channels in Plants&lt;/title&gt;&lt;secondary-title&gt;Physiological Reviews&lt;/secondary-title&gt;&lt;/titles&gt;&lt;pages&gt;1777-1811&lt;/pages&gt;&lt;number&gt;4&lt;/number&gt;&lt;contributors&gt;&lt;authors&gt;&lt;author&gt;Hedrich, Rainer&lt;/author&gt;&lt;/authors&gt;&lt;/contributors&gt;&lt;added-date format="utc"&gt;1470058291&lt;/added-date&gt;&lt;ref-type name="Journal Article"&gt;17&lt;/ref-type&gt;&lt;dates&gt;&lt;year&gt;2012&lt;/year&gt;&lt;/dates&gt;&lt;rec-number&gt;1324&lt;/rec-number&gt;&lt;last-updated-date format="utc"&gt;1470058291&lt;/last-updated-date&gt;&lt;volume&gt;92&lt;/volume&gt;&lt;/record&gt;&lt;/Cite&gt;&lt;/EndNote&gt;</w:instrText>
      </w:r>
      <w:r>
        <w:rPr>
          <w:rFonts w:ascii="Arial" w:hAnsi="Arial" w:cs="Arial"/>
        </w:rPr>
        <w:fldChar w:fldCharType="separate"/>
      </w:r>
      <w:r>
        <w:rPr>
          <w:rFonts w:ascii="Arial" w:hAnsi="Arial" w:cs="Arial"/>
          <w:noProof/>
        </w:rPr>
        <w:t>(Hedrich, 2012; Liu and Luan, 1998)</w:t>
      </w:r>
      <w:r>
        <w:rPr>
          <w:rFonts w:ascii="Arial" w:hAnsi="Arial" w:cs="Arial"/>
        </w:rPr>
        <w:fldChar w:fldCharType="end"/>
      </w:r>
      <w:r w:rsidRPr="00FA7F73">
        <w:rPr>
          <w:rFonts w:ascii="Arial" w:hAnsi="Arial" w:cs="Arial"/>
        </w:rPr>
        <w:t xml:space="preserve">. </w:t>
      </w:r>
    </w:p>
    <w:p w14:paraId="2058E3C1" w14:textId="77777777" w:rsidR="00311AE8" w:rsidRDefault="00311AE8" w:rsidP="00311AE8">
      <w:pPr>
        <w:spacing w:after="160" w:line="360" w:lineRule="auto"/>
        <w:rPr>
          <w:rFonts w:ascii="Arial" w:hAnsi="Arial" w:cs="Arial"/>
        </w:rPr>
      </w:pPr>
      <w:r w:rsidRPr="00FA7F73">
        <w:rPr>
          <w:rFonts w:ascii="Arial" w:hAnsi="Arial" w:cs="Arial"/>
        </w:rPr>
        <w:t xml:space="preserve">The opening of stomata also allows plants to move solutes and water internally through a process called transpiration </w:t>
      </w:r>
      <w:r w:rsidRPr="00FA7F73">
        <w:rPr>
          <w:rFonts w:ascii="Arial" w:hAnsi="Arial" w:cs="Arial"/>
        </w:rPr>
        <w:fldChar w:fldCharType="begin">
          <w:fldData xml:space="preserve">PEVuZE5vdGU+PENpdGU+PEF1dGhvcj5TY2hvbGFuZDwvQXV0aG9yPjxZZWFyPjE5NjU8L1llYXI+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</w:fldData>
        </w:fldChar>
      </w:r>
      <w:r>
        <w:rPr>
          <w:rFonts w:ascii="Arial" w:hAnsi="Arial" w:cs="Arial"/>
        </w:rPr>
        <w:instrText xml:space="preserve"> ADDIN EN.CITE </w:instrText>
      </w:r>
      <w:r>
        <w:rPr>
          <w:rFonts w:ascii="Arial" w:hAnsi="Arial" w:cs="Arial"/>
        </w:rPr>
        <w:fldChar w:fldCharType="begin">
          <w:fldData xml:space="preserve">PEVuZE5vdGU+PENpdGU+PEF1dGhvcj5TY2hvbGFuZDwvQXV0aG9yPjxZZWFyPjE5NjU8L1llYXI+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Pr>
          <w:rFonts w:ascii="Arial" w:hAnsi="Arial" w:cs="Arial"/>
          <w:noProof/>
        </w:rPr>
        <w:t>(Hepworth et al., 2015; Scholand et al., 1965)</w:t>
      </w:r>
      <w:r w:rsidRPr="00FA7F73">
        <w:rPr>
          <w:rFonts w:ascii="Arial" w:hAnsi="Arial" w:cs="Arial"/>
        </w:rPr>
        <w:fldChar w:fldCharType="end"/>
      </w:r>
      <w:r w:rsidRPr="00FA7F73">
        <w:rPr>
          <w:rFonts w:ascii="Arial" w:hAnsi="Arial" w:cs="Arial"/>
        </w:rPr>
        <w:t xml:space="preserve">. </w:t>
      </w:r>
      <w:r>
        <w:rPr>
          <w:rFonts w:ascii="Arial" w:hAnsi="Arial" w:cs="Arial"/>
        </w:rPr>
        <w:t>This</w:t>
      </w:r>
      <w:r w:rsidRPr="00FA7F73">
        <w:rPr>
          <w:rFonts w:ascii="Arial" w:hAnsi="Arial" w:cs="Arial"/>
        </w:rPr>
        <w:t xml:space="preserve"> permits plants to access water and solutes in the soil that would ordinarily be inaccessible to stomata-less plants </w:t>
      </w:r>
      <w:r w:rsidRPr="00FA7F73">
        <w:rPr>
          <w:rFonts w:ascii="Arial" w:hAnsi="Arial" w:cs="Arial"/>
        </w:rPr>
        <w:fldChar w:fldCharType="begin">
          <w:fldData xml:space="preserve">PEVuZE5vdGU+PENpdGU+PEF1dGhvcj5CZXJyeTwvQXV0aG9yPjxZZWFyPjIwMTA8L1llYXI+PElE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</w:fldData>
        </w:fldChar>
      </w:r>
      <w:r>
        <w:rPr>
          <w:rFonts w:ascii="Arial" w:hAnsi="Arial" w:cs="Arial"/>
        </w:rPr>
        <w:instrText xml:space="preserve"> ADDIN EN.CITE </w:instrText>
      </w:r>
      <w:r>
        <w:rPr>
          <w:rFonts w:ascii="Arial" w:hAnsi="Arial" w:cs="Arial"/>
        </w:rPr>
        <w:fldChar w:fldCharType="begin">
          <w:fldData xml:space="preserve">PEVuZE5vdGU+PENpdGU+PEF1dGhvcj5CZXJyeTwvQXV0aG9yPjxZZWFyPjIwMTA8L1llYXI+PElE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Pr>
          <w:rFonts w:ascii="Arial" w:hAnsi="Arial" w:cs="Arial"/>
          <w:noProof/>
        </w:rPr>
        <w:t>(Berry et al., 2010; Hepworth et al., 2015)</w:t>
      </w:r>
      <w:r w:rsidRPr="00FA7F73">
        <w:rPr>
          <w:rFonts w:ascii="Arial" w:hAnsi="Arial" w:cs="Arial"/>
        </w:rPr>
        <w:fldChar w:fldCharType="end"/>
      </w:r>
      <w:r w:rsidRPr="00FA7F73">
        <w:rPr>
          <w:rFonts w:ascii="Arial" w:hAnsi="Arial" w:cs="Arial"/>
        </w:rPr>
        <w:t>. As well as serving as a way to acquire and transport nutrients, transpiration also facilitates evaporative cooling in warmer climates</w:t>
      </w:r>
      <w:r>
        <w:rPr>
          <w:rFonts w:ascii="Arial" w:hAnsi="Arial" w:cs="Arial"/>
        </w:rPr>
        <w:t>,</w:t>
      </w:r>
      <w:r w:rsidRPr="00FA7F73">
        <w:rPr>
          <w:rFonts w:ascii="Arial" w:hAnsi="Arial" w:cs="Arial"/>
        </w:rPr>
        <w:t xml:space="preserve"> thereby enabling plants to keep internal temperatures lower as long as sufficient water is available within the soil </w:t>
      </w:r>
      <w:r w:rsidRPr="00FA7F73">
        <w:rPr>
          <w:rFonts w:ascii="Arial" w:hAnsi="Arial" w:cs="Arial"/>
        </w:rPr>
        <w:fldChar w:fldCharType="begin"/>
      </w:r>
      <w:r>
        <w:rPr>
          <w:rFonts w:ascii="Arial" w:hAnsi="Arial" w:cs="Arial"/>
        </w:rPr>
        <w:instrText xml:space="preserve"> ADDIN EN.CITE &lt;EndNote&gt;&lt;Cite&gt;&lt;Author&gt;Hetherington&lt;/Author&gt;&lt;Year&gt;2003&lt;/Year&gt;&lt;IDText&gt;The role of stomata in sensing and driving environmental change&lt;/IDText&gt;&lt;DisplayText&gt;(Hetherington and Woodward, 2003)&lt;/DisplayText&gt;&lt;record&gt;&lt;dates&gt;&lt;pub-dates&gt;&lt;date&gt;Aug&lt;/date&gt;&lt;/pub-dates&gt;&lt;year&gt;2003&lt;/year&gt;&lt;/dates&gt;&lt;keywords&gt;&lt;keyword&gt;WATER-USE EFFICIENCY&lt;/keyword&gt;&lt;keyword&gt;ELEVATED CO2&lt;/keyword&gt;&lt;keyword&gt;ARABIDOPSIS-THALIANA&lt;/keyword&gt;&lt;keyword&gt;GAS-EXCHANGE&lt;/keyword&gt;&lt;keyword&gt;ABSCISIC-ACID&lt;/keyword&gt;&lt;keyword&gt;GUARD-CELLS&lt;/keyword&gt;&lt;keyword&gt;PHOTOCHEMICAL EFFICIENCY&lt;/keyword&gt;&lt;keyword&gt;SIGNAL-TRANSDUCTION&lt;/keyword&gt;&lt;keyword&gt;COMPLEX NETWORKS&lt;/keyword&gt;&lt;keyword&gt;SEASONAL-CHANGES&lt;/keyword&gt;&lt;/keywords&gt;&lt;urls&gt;&lt;related-urls&gt;&lt;url&gt;&amp;lt;Go to ISI&amp;gt;://WOS:000184843600031&lt;/url&gt;&lt;/related-urls&gt;&lt;/urls&gt;&lt;isbn&gt;0028-0836&lt;/isbn&gt;&lt;work-type&gt;Review&lt;/work-type&gt;&lt;titles&gt;&lt;title&gt;The role of stomata in sensing and driving environmental change&lt;/title&gt;&lt;secondary-title&gt;Nature&lt;/secondary-title&gt;&lt;alt-title&gt;Nature&lt;/alt-title&gt;&lt;/titles&gt;&lt;pages&gt;901-908&lt;/pages&gt;&lt;number&gt;6951&lt;/number&gt;&lt;contributors&gt;&lt;authors&gt;&lt;author&gt;Hetherington, A. M.&lt;/author&gt;&lt;author&gt;Woodward, F. I.&lt;/author&gt;&lt;/authors&gt;&lt;/contributors&gt;&lt;language&gt;English&lt;/language&gt;&lt;added-date format="utc"&gt;1355207625&lt;/added-date&gt;&lt;ref-type name="Journal Article"&gt;17&lt;/ref-type&gt;&lt;auth-address&gt;Univ Lancaster, Dept Biol Sci, Lancaster Environm Ctr, Lancaster LA1 4YQ, England. Univ Sheffield, Dept Anim &amp;amp; Plant Sci, Sheffield S10 2TN, S Yorkshire, England.&amp;#xD;Hetherington, AM (reprint author), Univ Lancaster, Dept Biol Sci, Lancaster Environm Ctr, Lancaster LA1 4YQ, England.&lt;/auth-address&gt;&lt;rec-number&gt;96&lt;/rec-number&gt;&lt;last-updated-date format="utc"&gt;1355207625&lt;/last-updated-date&gt;&lt;accession-num&gt;WOS:000184843600031&lt;/accession-num&gt;&lt;electronic-resource-num&gt;10.1038/nature01843&lt;/electronic-resource-num&gt;&lt;volume&gt;424&lt;/volume&gt;&lt;/record&gt;&lt;/Cite&gt;&lt;/EndNote&gt;</w:instrText>
      </w:r>
      <w:r w:rsidRPr="00FA7F73">
        <w:rPr>
          <w:rFonts w:ascii="Arial" w:hAnsi="Arial" w:cs="Arial"/>
        </w:rPr>
        <w:fldChar w:fldCharType="separate"/>
      </w:r>
      <w:r w:rsidRPr="00FA7F73">
        <w:rPr>
          <w:rFonts w:ascii="Arial" w:hAnsi="Arial" w:cs="Arial"/>
          <w:noProof/>
        </w:rPr>
        <w:t>(Hetherington and Woodward, 2003)</w:t>
      </w:r>
      <w:r w:rsidRPr="00FA7F73">
        <w:rPr>
          <w:rFonts w:ascii="Arial" w:hAnsi="Arial" w:cs="Arial"/>
        </w:rPr>
        <w:fldChar w:fldCharType="end"/>
      </w:r>
      <w:r w:rsidRPr="00FA7F73">
        <w:rPr>
          <w:rFonts w:ascii="Arial" w:hAnsi="Arial" w:cs="Arial"/>
        </w:rPr>
        <w:t>. In lower land plant lineages</w:t>
      </w:r>
      <w:r>
        <w:rPr>
          <w:rFonts w:ascii="Arial" w:hAnsi="Arial" w:cs="Arial"/>
        </w:rPr>
        <w:t xml:space="preserve"> it has been suggested that stomata might also function</w:t>
      </w:r>
      <w:r w:rsidRPr="00FA7F73">
        <w:rPr>
          <w:rFonts w:ascii="Arial" w:hAnsi="Arial" w:cs="Arial"/>
        </w:rPr>
        <w:t xml:space="preserve"> in sporophyte capsule dehiscence and spore dispersal </w:t>
      </w:r>
      <w:r w:rsidRPr="00FA7F73">
        <w:rPr>
          <w:rFonts w:ascii="Arial" w:hAnsi="Arial" w:cs="Arial"/>
        </w:rPr>
        <w:fldChar w:fldCharType="begin">
          <w:fldData xml:space="preserve">PEVuZE5vdGU+PENpdGU+PEF1dGhvcj5EdWNrZXR0PC9BdXRob3I+PFllYXI+MjAwOTwvWWVhcj48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</w:fldData>
        </w:fldChar>
      </w:r>
      <w:r>
        <w:rPr>
          <w:rFonts w:ascii="Arial" w:hAnsi="Arial" w:cs="Arial"/>
        </w:rPr>
        <w:instrText xml:space="preserve"> ADDIN EN.CITE </w:instrText>
      </w:r>
      <w:r>
        <w:rPr>
          <w:rFonts w:ascii="Arial" w:hAnsi="Arial" w:cs="Arial"/>
        </w:rPr>
        <w:fldChar w:fldCharType="begin">
          <w:fldData xml:space="preserve">PEVuZE5vdGU+PENpdGU+PEF1dGhvcj5EdWNrZXR0PC9BdXRob3I+PFllYXI+MjAwOTwvWWVhcj48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Pr>
          <w:rFonts w:ascii="Arial" w:hAnsi="Arial" w:cs="Arial"/>
          <w:noProof/>
        </w:rPr>
        <w:t>(Chater et al., 2011; Duckett et al., 2009; Merced and Renzaglia, 2014; Merced and Renzaglia, 2013; Pressel et al., 2014)</w:t>
      </w:r>
      <w:r w:rsidRPr="00FA7F73">
        <w:rPr>
          <w:rFonts w:ascii="Arial" w:hAnsi="Arial" w:cs="Arial"/>
        </w:rPr>
        <w:fldChar w:fldCharType="end"/>
      </w:r>
      <w:r w:rsidRPr="00FA7F73">
        <w:rPr>
          <w:rFonts w:ascii="Arial" w:hAnsi="Arial" w:cs="Arial"/>
        </w:rPr>
        <w:t>.</w:t>
      </w:r>
    </w:p>
    <w:p w14:paraId="0D262953" w14:textId="77777777" w:rsidR="00311AE8" w:rsidRPr="00C10E3D" w:rsidRDefault="00311AE8" w:rsidP="00311AE8">
      <w:pPr>
        <w:spacing w:after="160" w:line="360" w:lineRule="auto"/>
        <w:rPr>
          <w:rFonts w:ascii="Arial" w:hAnsi="Arial" w:cs="Arial"/>
        </w:rPr>
      </w:pPr>
      <w:r>
        <w:rPr>
          <w:rFonts w:ascii="Arial" w:hAnsi="Arial" w:cs="Arial"/>
        </w:rPr>
        <w:t xml:space="preserve">Whether stomata are monophyletic in origin or whether they have evolved on multiple occasions is heavily debated </w:t>
      </w:r>
      <w:r>
        <w:rPr>
          <w:rFonts w:ascii="Arial" w:hAnsi="Arial" w:cs="Arial"/>
        </w:rPr>
        <w:fldChar w:fldCharType="begin">
          <w:fldData xml:space="preserve">PEVuZE5vdGU+PENpdGU+PEF1dGhvcj5QcmVzc2VsPC9BdXRob3I+PFllYXI+MjAxNDwvWWVhcj48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</w:fldData>
        </w:fldChar>
      </w:r>
      <w:r>
        <w:rPr>
          <w:rFonts w:ascii="Arial" w:hAnsi="Arial" w:cs="Arial"/>
        </w:rPr>
        <w:instrText xml:space="preserve"> ADDIN EN.CITE </w:instrText>
      </w:r>
      <w:r>
        <w:rPr>
          <w:rFonts w:ascii="Arial" w:hAnsi="Arial" w:cs="Arial"/>
        </w:rPr>
        <w:fldChar w:fldCharType="begin">
          <w:fldData xml:space="preserve">PEVuZE5vdGU+PENpdGU+PEF1dGhvcj5QcmVzc2VsPC9BdXRob3I+PFllYXI+MjAxNDwvWWVhcj48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(Haig, 2013; Ligrone et al., 2012; Pressel et al., 2014)</w:t>
      </w:r>
      <w:r>
        <w:rPr>
          <w:rFonts w:ascii="Arial" w:hAnsi="Arial" w:cs="Arial"/>
        </w:rPr>
        <w:fldChar w:fldCharType="end"/>
      </w:r>
      <w:r>
        <w:rPr>
          <w:rFonts w:ascii="Arial" w:hAnsi="Arial" w:cs="Arial"/>
        </w:rPr>
        <w:t xml:space="preserve">. Such debate is further complicated when land plant phylogeny is considered as the position of some key early lineages is still to be wholly resolved leading to difficulties in understanding exactly when stomata first arose. For example, if the phylogeny present in </w:t>
      </w:r>
      <w:r>
        <w:rPr>
          <w:rFonts w:ascii="Arial" w:hAnsi="Arial" w:cs="Arial"/>
          <w:b/>
        </w:rPr>
        <w:t xml:space="preserve">Fig. 1a </w:t>
      </w:r>
      <w:r>
        <w:rPr>
          <w:rFonts w:ascii="Arial" w:hAnsi="Arial" w:cs="Arial"/>
        </w:rPr>
        <w:t xml:space="preserve">is considered correct, for stomata to be monophyletic they must have first evolved in the ancestor of hornworts and then been subsequently lost in liverworts and some earlier diverging mosses (early diverging mosses not shown on phylogeny). If the scenario in </w:t>
      </w:r>
      <w:r>
        <w:rPr>
          <w:rFonts w:ascii="Arial" w:hAnsi="Arial" w:cs="Arial"/>
          <w:b/>
        </w:rPr>
        <w:t xml:space="preserve">Fig. 1b </w:t>
      </w:r>
      <w:r>
        <w:rPr>
          <w:rFonts w:ascii="Arial" w:hAnsi="Arial" w:cs="Arial"/>
        </w:rPr>
        <w:t xml:space="preserve">is correct then stomata may have evolved first in the mosses, after the liverwort divergence from the ancestral lineage, again with losses occurring in early diverging mosses. Of course, in this latter scenario it is still possible a loss in the liverworts occurred and that stomata evolved before the liverworts and were subsequently lost in this lineage. Again, in </w:t>
      </w:r>
      <w:r>
        <w:rPr>
          <w:rFonts w:ascii="Arial" w:hAnsi="Arial" w:cs="Arial"/>
          <w:b/>
        </w:rPr>
        <w:t xml:space="preserve">Fig. 1c </w:t>
      </w:r>
      <w:r>
        <w:rPr>
          <w:rFonts w:ascii="Arial" w:hAnsi="Arial" w:cs="Arial"/>
        </w:rPr>
        <w:t xml:space="preserve">multiple losses must have occurred in all stomata descended from a common ancestral plant. Given these required losses and also the different morphological and physiological difference between stomata observed in different land plant lineages </w:t>
      </w:r>
      <w:r>
        <w:rPr>
          <w:rFonts w:ascii="Arial" w:hAnsi="Arial" w:cs="Arial"/>
        </w:rPr>
        <w:fldChar w:fldCharType="begin"/>
      </w:r>
      <w:r>
        <w:rPr>
          <w:rFonts w:ascii="Arial" w:hAnsi="Arial" w:cs="Arial"/>
        </w:rPr>
        <w:instrText xml:space="preserve"> ADDIN EN.CITE &lt;EndNote&gt;&lt;Cite&gt;&lt;Author&gt;Pressel&lt;/Author&gt;&lt;Year&gt;2014&lt;/Year&gt;&lt;IDText&gt;Stomatal differentiation and abnormal stomata in hornworts&lt;/IDText&gt;&lt;DisplayText&gt;(Pressel et al., 2014)&lt;/DisplayText&gt;&lt;record&gt;&lt;dates&gt;&lt;pub-dates&gt;&lt;date&gt;Jun&lt;/date&gt;&lt;/pub-dates&gt;&lt;year&gt;2014&lt;/year&gt;&lt;/dates&gt;&lt;keywords&gt;&lt;keyword&gt;Anthocerotophyta&lt;/keyword&gt;&lt;keyword&gt;Capsule dehiscence&lt;/keyword&gt;&lt;keyword&gt;Desiccation biology&lt;/keyword&gt;&lt;keyword&gt;Guard cells&lt;/keyword&gt;&lt;keyword&gt;Stomatal evolution&lt;/keyword&gt;&lt;keyword&gt;early land plants&lt;/keyword&gt;&lt;keyword&gt;abscisic-acid&lt;/keyword&gt;&lt;keyword&gt;division polarity&lt;/keyword&gt;&lt;keyword&gt;atmospheric co2&lt;/keyword&gt;&lt;keyword&gt;carbon-dioxide&lt;/keyword&gt;&lt;keyword&gt;density&lt;/keyword&gt;&lt;keyword&gt;evolution&lt;/keyword&gt;&lt;keyword&gt;sporophytes&lt;/keyword&gt;&lt;keyword&gt;fluorescence&lt;/keyword&gt;&lt;keyword&gt;bryophytes&lt;/keyword&gt;&lt;keyword&gt;Plant Sciences&lt;/keyword&gt;&lt;/keywords&gt;&lt;urls&gt;&lt;related-urls&gt;&lt;url&gt;&amp;lt;Go to ISI&amp;gt;://WOS:000337099400001&lt;/url&gt;&lt;/related-urls&gt;&lt;/urls&gt;&lt;isbn&gt;0373-6687&lt;/isbn&gt;&lt;work-type&gt;Article&lt;/work-type&gt;&lt;titles&gt;&lt;title&gt;Stomatal differentiation and abnormal stomata in hornworts&lt;/title&gt;&lt;secondary-title&gt;Journal of Bryology&lt;/secondary-title&gt;&lt;/titles&gt;&lt;pages&gt;87-103&lt;/pages&gt;&lt;contributors&gt;&lt;authors&gt;&lt;author&gt;Pressel, S.&lt;/author&gt;&lt;author&gt;Goral, T.&lt;/author&gt;&lt;author&gt;Duckett, J. G.&lt;/author&gt;&lt;/authors&gt;&lt;/contributors&gt;&lt;language&gt;English&lt;/language&gt;&lt;added-date format="utc"&gt;1431376663&lt;/added-date&gt;&lt;ref-type name="Journal Article"&gt;17&lt;/ref-type&gt;&lt;auth-address&gt;[Pressel, Silvia&amp;#xD;Duckett, Jeffrey G.] Nat Hist Museum, Dept Life Sci, London SW7 5BD, England. [Goral, Tomasz] Nat Hist Museum, Imaging &amp;amp; Anal Ctr, London SW7 5BD, England.&amp;#xD;Pressel, S (reprint author), Nat Hist Museum, Dept Life Sci, Cromwell Rd, London SW7 5BD, England.&amp;#xD;s.pressel@nhm.ac.uk&lt;/auth-address&gt;&lt;rec-number&gt;158&lt;/rec-number&gt;&lt;last-updated-date format="utc"&gt;1431376663&lt;/last-updated-date&gt;&lt;accession-num&gt;WOS:000337099400001&lt;/accession-num&gt;&lt;electronic-resource-num&gt;10.1179/1743282014y.0000000103&lt;/electronic-resource-num&gt;&lt;volume&gt;36&lt;/volume&gt;&lt;/record&gt;&lt;/Cite&gt;&lt;/EndNote&gt;</w:instrText>
      </w:r>
      <w:r>
        <w:rPr>
          <w:rFonts w:ascii="Arial" w:hAnsi="Arial" w:cs="Arial"/>
        </w:rPr>
        <w:fldChar w:fldCharType="separate"/>
      </w:r>
      <w:r>
        <w:rPr>
          <w:rFonts w:ascii="Arial" w:hAnsi="Arial" w:cs="Arial"/>
          <w:noProof/>
        </w:rPr>
        <w:t>(Pressel et al., 2014)</w:t>
      </w:r>
      <w:r>
        <w:rPr>
          <w:rFonts w:ascii="Arial" w:hAnsi="Arial" w:cs="Arial"/>
        </w:rPr>
        <w:fldChar w:fldCharType="end"/>
      </w:r>
      <w:r>
        <w:rPr>
          <w:rFonts w:ascii="Arial" w:hAnsi="Arial" w:cs="Arial"/>
        </w:rPr>
        <w:t xml:space="preserve"> it also cannot be ruled out that stomata evolved multiple times during evolutionary history. To understand stomatal evolution further a more concise understanding of the developmental genes that underpin these processes in different land plant lineages is required.</w:t>
      </w:r>
    </w:p>
    <w:p w14:paraId="0C0C1033" w14:textId="77777777" w:rsidR="00311AE8" w:rsidRPr="00FA7F73" w:rsidRDefault="00311AE8" w:rsidP="00311AE8">
      <w:pPr>
        <w:spacing w:after="160" w:line="360" w:lineRule="auto"/>
        <w:rPr>
          <w:rFonts w:ascii="Arial" w:hAnsi="Arial" w:cs="Arial"/>
        </w:rPr>
      </w:pPr>
      <w:r>
        <w:rPr>
          <w:rFonts w:ascii="Arial" w:hAnsi="Arial" w:cs="Arial"/>
        </w:rPr>
        <w:t xml:space="preserve">One of the key facets of this thesis will be to identify whether a core toolkit of genes is conserved between vascular and non-vascular plants which govern stomatal </w:t>
      </w:r>
      <w:r>
        <w:rPr>
          <w:rFonts w:ascii="Arial" w:hAnsi="Arial" w:cs="Arial"/>
        </w:rPr>
        <w:lastRenderedPageBreak/>
        <w:t xml:space="preserve">development and patterning. This will be achieved by comparing what has been established in Arabidopsis with data obtained by studying stomatal mutants created in the moss </w:t>
      </w:r>
      <w:r w:rsidRPr="00FC3CED">
        <w:rPr>
          <w:rFonts w:ascii="Arial" w:hAnsi="Arial" w:cs="Arial"/>
          <w:i/>
        </w:rPr>
        <w:t>P</w:t>
      </w:r>
      <w:r>
        <w:rPr>
          <w:rFonts w:ascii="Arial" w:hAnsi="Arial" w:cs="Arial"/>
          <w:i/>
        </w:rPr>
        <w:t>hyscomitrella</w:t>
      </w:r>
      <w:r w:rsidRPr="00FC3CED">
        <w:rPr>
          <w:rFonts w:ascii="Arial" w:hAnsi="Arial" w:cs="Arial"/>
          <w:i/>
        </w:rPr>
        <w:t xml:space="preserve"> patens</w:t>
      </w:r>
      <w:r>
        <w:rPr>
          <w:rFonts w:ascii="Arial" w:hAnsi="Arial" w:cs="Arial"/>
        </w:rPr>
        <w:t xml:space="preserve">. Further analysis of putative hornwort equivalent genes will also be performed using sequence alignments and phylogeny to assess whether genes in mosses are also conserved in hornworts. Should conservation of gene sequence and function (in mosses) have been retained between species that diverged over 400 million years ago, this would provide further evidence that stomata could be monophyletic in origin </w:t>
      </w:r>
      <w:r>
        <w:rPr>
          <w:rFonts w:ascii="Arial" w:hAnsi="Arial" w:cs="Arial"/>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bjwvSURUZXh0PjxEaXNwbGF5VGV4dD4oQ2hhdGVyIGV0IGFsLiwgMjAxMTsgTGluZCBldCBhbC4s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bjwvSURUZXh0PjxEaXNwbGF5VGV4dD4oQ2hhdGVyIGV0IGFsLiwgMjAxMTsgTGluZCBldCBhbC4s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(Chater et al., 2011; Lind et al., 2015; MacAlister and Bergmann, 2011)</w:t>
      </w:r>
      <w:r>
        <w:rPr>
          <w:rFonts w:ascii="Arial" w:hAnsi="Arial" w:cs="Arial"/>
        </w:rPr>
        <w:fldChar w:fldCharType="end"/>
      </w:r>
      <w:r>
        <w:rPr>
          <w:rFonts w:ascii="Arial" w:hAnsi="Arial" w:cs="Arial"/>
        </w:rPr>
        <w:t>.</w:t>
      </w:r>
    </w:p>
    <w:p w14:paraId="45D62D19" w14:textId="40E822A4" w:rsidR="00311AE8" w:rsidRPr="00FA7F73" w:rsidRDefault="00311AE8" w:rsidP="00311AE8">
      <w:pPr>
        <w:spacing w:after="160" w:line="360" w:lineRule="auto"/>
        <w:rPr>
          <w:rFonts w:ascii="Arial" w:hAnsi="Arial" w:cs="Arial"/>
          <w:u w:val="single"/>
        </w:rPr>
      </w:pPr>
      <w:r>
        <w:rPr>
          <w:rFonts w:ascii="Arial" w:hAnsi="Arial" w:cs="Arial"/>
          <w:u w:val="single"/>
        </w:rPr>
        <w:t xml:space="preserve">1.4.1 </w:t>
      </w:r>
      <w:r w:rsidRPr="00E5501E">
        <w:rPr>
          <w:rFonts w:ascii="Arial" w:hAnsi="Arial" w:cs="Arial"/>
          <w:u w:val="single"/>
        </w:rPr>
        <w:t>Stomatal form and developmental</w:t>
      </w:r>
      <w:r w:rsidR="00847DDD">
        <w:rPr>
          <w:rFonts w:ascii="Arial" w:hAnsi="Arial" w:cs="Arial"/>
          <w:u w:val="single"/>
        </w:rPr>
        <w:t xml:space="preserve"> ontogeny</w:t>
      </w:r>
      <w:r w:rsidRPr="00FA7F73">
        <w:rPr>
          <w:rFonts w:ascii="Arial" w:hAnsi="Arial" w:cs="Arial"/>
          <w:u w:val="single"/>
        </w:rPr>
        <w:t xml:space="preserve"> </w:t>
      </w:r>
    </w:p>
    <w:p w14:paraId="448CF73E" w14:textId="77777777" w:rsidR="00311AE8" w:rsidRPr="00FA7F73" w:rsidRDefault="00311AE8" w:rsidP="00311AE8">
      <w:pPr>
        <w:spacing w:after="160" w:line="360" w:lineRule="auto"/>
        <w:rPr>
          <w:rFonts w:ascii="Arial" w:hAnsi="Arial" w:cs="Arial"/>
        </w:rPr>
      </w:pPr>
      <w:r w:rsidRPr="00FA7F73">
        <w:rPr>
          <w:rFonts w:ascii="Arial" w:hAnsi="Arial" w:cs="Arial"/>
        </w:rPr>
        <w:t>Comparisons relating to stomatal form and development in extant land plants illustrates that considera</w:t>
      </w:r>
      <w:r>
        <w:rPr>
          <w:rFonts w:ascii="Arial" w:hAnsi="Arial" w:cs="Arial"/>
        </w:rPr>
        <w:t>ble</w:t>
      </w:r>
      <w:r w:rsidRPr="00FA7F73">
        <w:rPr>
          <w:rFonts w:ascii="Arial" w:hAnsi="Arial" w:cs="Arial"/>
        </w:rPr>
        <w:t xml:space="preserve"> variation exists between different species and lineages  </w:t>
      </w:r>
      <w:r w:rsidRPr="00FA7F73">
        <w:rPr>
          <w:rFonts w:ascii="Arial" w:hAnsi="Arial" w:cs="Arial"/>
        </w:rPr>
        <w:fldChar w:fldCharType="begin">
          <w:fldData xml:space="preserve">PEVuZE5vdGU+PENpdGU+PEF1dGhvcj5MaXU8L0F1dGhvcj48WWVhcj4yMDA5PC9ZZWFyPjxJRFRl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PEVuZE5vdGU+PENpdGU+PEF1dGhvcj5MaXU8L0F1dGhvcj48WWVhcj4yMDA5PC9ZZWFyPjxJRFRl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sidRPr="00FA7F73">
        <w:rPr>
          <w:rFonts w:ascii="Arial" w:hAnsi="Arial" w:cs="Arial"/>
          <w:noProof/>
        </w:rPr>
        <w:t>(Liu et al., 2009; Luo et al., 2012; MacAlister and Bergmann, 2011; Peterson et al., 2010; Pillitteri and Torii, 2012; Rudall and Knowles, 2013; Zhao and Sack, 1999)</w:t>
      </w:r>
      <w:r w:rsidRPr="00FA7F73">
        <w:rPr>
          <w:rFonts w:ascii="Arial" w:hAnsi="Arial" w:cs="Arial"/>
        </w:rPr>
        <w:fldChar w:fldCharType="end"/>
      </w:r>
      <w:r w:rsidRPr="00FA7F73">
        <w:rPr>
          <w:rFonts w:ascii="Arial" w:hAnsi="Arial" w:cs="Arial"/>
        </w:rPr>
        <w:t xml:space="preserve"> (</w:t>
      </w:r>
      <w:r w:rsidRPr="00FA7F73">
        <w:rPr>
          <w:rFonts w:ascii="Arial" w:hAnsi="Arial" w:cs="Arial"/>
          <w:b/>
        </w:rPr>
        <w:t>Fig. 2</w:t>
      </w:r>
      <w:r w:rsidRPr="00FA7F73">
        <w:rPr>
          <w:rFonts w:ascii="Arial" w:hAnsi="Arial" w:cs="Arial"/>
        </w:rPr>
        <w:t>). For most plants stomata are comprised of two guard cells which in many species are described as being kidney shaped (</w:t>
      </w:r>
      <w:r w:rsidRPr="00FA7F73">
        <w:rPr>
          <w:rFonts w:ascii="Arial" w:hAnsi="Arial" w:cs="Arial"/>
          <w:b/>
        </w:rPr>
        <w:t>Fig. 2b-e and g-h</w:t>
      </w:r>
      <w:r w:rsidRPr="00FA7F73">
        <w:rPr>
          <w:rFonts w:ascii="Arial" w:hAnsi="Arial" w:cs="Arial"/>
        </w:rPr>
        <w:t xml:space="preserve">) </w:t>
      </w:r>
      <w:r w:rsidRPr="00FA7F73">
        <w:rPr>
          <w:rFonts w:ascii="Arial" w:hAnsi="Arial" w:cs="Arial"/>
        </w:rPr>
        <w:fldChar w:fldCharType="begin">
          <w:fldData xml:space="preserve">PEVuZE5vdGU+PENpdGU+PEF1dGhvcj5QYXluZTwvQXV0aG9yPjxZZWFyPjE5Nzk8L1llYXI+PElE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PEVuZE5vdGU+PENpdGU+PEF1dGhvcj5QYXluZTwvQXV0aG9yPjxZZWFyPjE5Nzk8L1llYXI+PElE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Pr>
          <w:rFonts w:ascii="Arial" w:hAnsi="Arial" w:cs="Arial"/>
          <w:noProof/>
        </w:rPr>
        <w:t>(Franks and Farquhar, 2007; Payne, 1979)</w:t>
      </w:r>
      <w:r w:rsidRPr="00FA7F73">
        <w:rPr>
          <w:rFonts w:ascii="Arial" w:hAnsi="Arial" w:cs="Arial"/>
        </w:rPr>
        <w:fldChar w:fldCharType="end"/>
      </w:r>
      <w:r w:rsidRPr="00FA7F73">
        <w:rPr>
          <w:rFonts w:ascii="Arial" w:hAnsi="Arial" w:cs="Arial"/>
        </w:rPr>
        <w:t>. In the grasses however this is not the case</w:t>
      </w:r>
      <w:r>
        <w:rPr>
          <w:rFonts w:ascii="Arial" w:hAnsi="Arial" w:cs="Arial"/>
        </w:rPr>
        <w:t>.</w:t>
      </w:r>
      <w:r w:rsidRPr="00FA7F73">
        <w:rPr>
          <w:rFonts w:ascii="Arial" w:hAnsi="Arial" w:cs="Arial"/>
        </w:rPr>
        <w:t xml:space="preserve"> </w:t>
      </w:r>
      <w:r>
        <w:rPr>
          <w:rFonts w:ascii="Arial" w:hAnsi="Arial" w:cs="Arial"/>
        </w:rPr>
        <w:t>I</w:t>
      </w:r>
      <w:r w:rsidRPr="00FA7F73">
        <w:rPr>
          <w:rFonts w:ascii="Arial" w:hAnsi="Arial" w:cs="Arial"/>
        </w:rPr>
        <w:t>nstead</w:t>
      </w:r>
      <w:r>
        <w:rPr>
          <w:rFonts w:ascii="Arial" w:hAnsi="Arial" w:cs="Arial"/>
        </w:rPr>
        <w:t>,</w:t>
      </w:r>
      <w:r w:rsidRPr="00FA7F73">
        <w:rPr>
          <w:rFonts w:ascii="Arial" w:hAnsi="Arial" w:cs="Arial"/>
        </w:rPr>
        <w:t xml:space="preserve"> stomata closer resemble dumbbells which are flanked laterally by specialised subsidiary cells which aid in stomatal functioning (</w:t>
      </w:r>
      <w:r>
        <w:rPr>
          <w:rFonts w:ascii="Arial" w:hAnsi="Arial" w:cs="Arial"/>
          <w:b/>
        </w:rPr>
        <w:t>Fig. 2f</w:t>
      </w:r>
      <w:r w:rsidRPr="00FA7F73">
        <w:rPr>
          <w:rFonts w:ascii="Arial" w:hAnsi="Arial" w:cs="Arial"/>
        </w:rPr>
        <w:t xml:space="preserve">) </w:t>
      </w:r>
      <w:r w:rsidRPr="00FA7F73">
        <w:rPr>
          <w:rFonts w:ascii="Arial" w:hAnsi="Arial" w:cs="Arial"/>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SURUZXh0PjxEaXNwbGF5VGV4dD4oTWFqb3JlIGV0IGFsLiwgMjAwMjsgUnVkYWxsIGV0IGFsLiwg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SURUZXh0PjxEaXNwbGF5VGV4dD4oTWFqb3JlIGV0IGFsLiwgMjAwMjsgUnVkYWxsIGV0IGFsLiwg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sidRPr="00FA7F73">
        <w:rPr>
          <w:rFonts w:ascii="Arial" w:hAnsi="Arial" w:cs="Arial"/>
          <w:noProof/>
        </w:rPr>
        <w:t>(Majore et al., 2002; Rudall et al., 2013)</w:t>
      </w:r>
      <w:r w:rsidRPr="00FA7F73">
        <w:rPr>
          <w:rFonts w:ascii="Arial" w:hAnsi="Arial" w:cs="Arial"/>
        </w:rPr>
        <w:fldChar w:fldCharType="end"/>
      </w:r>
      <w:r w:rsidRPr="00FA7F73">
        <w:rPr>
          <w:rFonts w:ascii="Arial" w:hAnsi="Arial" w:cs="Arial"/>
        </w:rPr>
        <w:t>. In selected mosses</w:t>
      </w:r>
      <w:r>
        <w:rPr>
          <w:rFonts w:ascii="Arial" w:hAnsi="Arial" w:cs="Arial"/>
        </w:rPr>
        <w:t>,</w:t>
      </w:r>
      <w:r w:rsidRPr="00FA7F73">
        <w:rPr>
          <w:rFonts w:ascii="Arial" w:hAnsi="Arial" w:cs="Arial"/>
        </w:rPr>
        <w:t xml:space="preserve"> such as </w:t>
      </w:r>
      <w:r w:rsidRPr="00FA7F73">
        <w:rPr>
          <w:rFonts w:ascii="Arial" w:hAnsi="Arial" w:cs="Arial"/>
          <w:i/>
        </w:rPr>
        <w:t xml:space="preserve">Funaria hygrometrica </w:t>
      </w:r>
      <w:r w:rsidRPr="00FA7F73">
        <w:rPr>
          <w:rFonts w:ascii="Arial" w:hAnsi="Arial" w:cs="Arial"/>
        </w:rPr>
        <w:t xml:space="preserve">and </w:t>
      </w:r>
      <w:r>
        <w:rPr>
          <w:rFonts w:ascii="Arial" w:hAnsi="Arial" w:cs="Arial"/>
        </w:rPr>
        <w:t xml:space="preserve">most probably </w:t>
      </w:r>
      <w:r w:rsidRPr="00FC3CED">
        <w:rPr>
          <w:rFonts w:ascii="Arial" w:hAnsi="Arial" w:cs="Arial"/>
          <w:i/>
        </w:rPr>
        <w:t>P. patens</w:t>
      </w:r>
      <w:r w:rsidRPr="00FA7F73">
        <w:rPr>
          <w:rFonts w:ascii="Arial" w:hAnsi="Arial" w:cs="Arial"/>
        </w:rPr>
        <w:t xml:space="preserve">, rather than having a pair of guard cells a single incompletely divided guard cell forms </w:t>
      </w:r>
      <w:r w:rsidRPr="00FA7F73">
        <w:rPr>
          <w:rFonts w:ascii="Arial" w:hAnsi="Arial" w:cs="Arial"/>
        </w:rPr>
        <w:fldChar w:fldCharType="begin">
          <w:fldData xml:space="preserve">PEVuZE5vdGU+PENpdGU+PEF1dGhvcj5TYWNrPC9BdXRob3I+PFllYXI+MTk4NTwvWWVhcj48SURU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PEVuZE5vdGU+PENpdGU+PEF1dGhvcj5TYWNrPC9BdXRob3I+PFllYXI+MTk4NTwvWWVhcj48SURU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Pr>
          <w:rFonts w:ascii="Arial" w:hAnsi="Arial" w:cs="Arial"/>
          <w:noProof/>
        </w:rPr>
        <w:t>(Field et al., 2015; Sack and Paolillo, 1985)</w:t>
      </w:r>
      <w:r w:rsidRPr="00FA7F73">
        <w:rPr>
          <w:rFonts w:ascii="Arial" w:hAnsi="Arial" w:cs="Arial"/>
        </w:rPr>
        <w:fldChar w:fldCharType="end"/>
      </w:r>
      <w:r>
        <w:rPr>
          <w:rFonts w:ascii="Arial" w:hAnsi="Arial" w:cs="Arial"/>
        </w:rPr>
        <w:t>.</w:t>
      </w:r>
    </w:p>
    <w:p w14:paraId="6EF5D339" w14:textId="77777777" w:rsidR="00311AE8" w:rsidRPr="00FA7F73" w:rsidRDefault="00311AE8" w:rsidP="00311AE8">
      <w:pPr>
        <w:spacing w:after="160" w:line="360" w:lineRule="auto"/>
        <w:rPr>
          <w:rFonts w:ascii="Arial" w:hAnsi="Arial" w:cs="Arial"/>
          <w:u w:val="single"/>
        </w:rPr>
      </w:pPr>
      <w:r w:rsidRPr="002A2B45">
        <w:rPr>
          <w:rFonts w:ascii="Arial" w:hAnsi="Arial" w:cs="Arial"/>
          <w:noProof/>
          <w:lang w:eastAsia="ja-JP"/>
        </w:rPr>
        <w:lastRenderedPageBreak/>
        <w:drawing>
          <wp:inline distT="0" distB="0" distL="0" distR="0" wp14:anchorId="2957B63B" wp14:editId="24F6C635">
            <wp:extent cx="5205730" cy="4894580"/>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 2 updated.jpg"/>
                    <pic:cNvPicPr/>
                  </pic:nvPicPr>
                  <pic:blipFill>
                    <a:blip r:embed="rId11">
                      <a:extLst>
                        <a:ext uri="{28A0092B-C50C-407E-A947-70E740481C1C}">
                          <a14:useLocalDpi xmlns:a14="http://schemas.microsoft.com/office/drawing/2010/main" val="0"/>
                        </a:ext>
                      </a:extLst>
                    </a:blip>
                    <a:stretch>
                      <a:fillRect/>
                    </a:stretch>
                  </pic:blipFill>
                  <pic:spPr>
                    <a:xfrm>
                      <a:off x="0" y="0"/>
                      <a:ext cx="5205730" cy="4894580"/>
                    </a:xfrm>
                    <a:prstGeom prst="rect">
                      <a:avLst/>
                    </a:prstGeom>
                  </pic:spPr>
                </pic:pic>
              </a:graphicData>
            </a:graphic>
          </wp:inline>
        </w:drawing>
      </w:r>
    </w:p>
    <w:p w14:paraId="67B51968" w14:textId="77777777" w:rsidR="00311AE8" w:rsidRPr="00FA7F73" w:rsidRDefault="00311AE8" w:rsidP="00311AE8">
      <w:pPr>
        <w:spacing w:after="160" w:line="360" w:lineRule="auto"/>
        <w:rPr>
          <w:rFonts w:ascii="Arial" w:hAnsi="Arial" w:cs="Arial"/>
        </w:rPr>
      </w:pPr>
      <w:r w:rsidRPr="00AB2CE5">
        <w:rPr>
          <w:rFonts w:ascii="Arial" w:hAnsi="Arial" w:cs="Arial"/>
          <w:b/>
        </w:rPr>
        <w:t>Figure 2</w:t>
      </w:r>
      <w:r w:rsidRPr="00B0055A">
        <w:rPr>
          <w:rFonts w:ascii="Arial" w:hAnsi="Arial" w:cs="Arial"/>
          <w:b/>
        </w:rPr>
        <w:t xml:space="preserve">. Examples of Stomata and neighbouring cells from a variety of land plant lineages adapted from Peterson et al. </w:t>
      </w:r>
      <w:r w:rsidRPr="00B0055A">
        <w:rPr>
          <w:rFonts w:ascii="Arial" w:hAnsi="Arial" w:cs="Arial"/>
          <w:b/>
        </w:rPr>
        <w:fldChar w:fldCharType="begin"/>
      </w:r>
      <w:r>
        <w:rPr>
          <w:rFonts w:ascii="Arial" w:hAnsi="Arial" w:cs="Arial"/>
          <w:b/>
        </w:rPr>
        <w:instrText xml:space="preserve"> ADDIN EN.CITE &lt;EndNote&gt;&lt;Cite ExcludeAuth="1"&gt;&lt;Author&gt;Peterson&lt;/Author&gt;&lt;Year&gt;2010&lt;/Year&gt;&lt;IDText&gt;Out of the Mouths of Plants: The Molecular Basis of the Evolution and Diversity of Stomatal Development&lt;/IDText&gt;&lt;DisplayText&gt;(2010)&lt;/DisplayText&gt;&lt;record&gt;&lt;dates&gt;&lt;pub-dates&gt;&lt;date&gt;Feb&lt;/date&gt;&lt;/pub-dates&gt;&lt;year&gt;2010&lt;/year&gt;&lt;/dates&gt;&lt;keywords&gt;&lt;keyword&gt;ASYMMETRIC CELL-DIVISION&lt;/keyword&gt;&lt;keyword&gt;ACTIVATED PROTEIN-KINASES&lt;/keyword&gt;&lt;keyword&gt;RECEPTOR-LIKE&lt;/keyword&gt;&lt;keyword&gt;KINASES&lt;/keyword&gt;&lt;keyword&gt;EARLY LAND PLANTS&lt;/keyword&gt;&lt;keyword&gt;ARABIDOPSIS-THALIANA&lt;/keyword&gt;&lt;keyword&gt;MEDIATED REGULATION&lt;/keyword&gt;&lt;keyword&gt;SECRETORY PEPTIDE&lt;/keyword&gt;&lt;keyword&gt;MAPKK KINASE&lt;/keyword&gt;&lt;keyword&gt;DIFFERENTIATION&lt;/keyword&gt;&lt;keyword&gt;DENSITY&lt;/keyword&gt;&lt;/keywords&gt;&lt;urls&gt;&lt;related-urls&gt;&lt;url&gt;&amp;lt;Go to ISI&amp;gt;://WOS:000275926200004&lt;/url&gt;&lt;/related-urls&gt;&lt;/urls&gt;&lt;isbn&gt;1040-4651&lt;/isbn&gt;&lt;work-type&gt;Review&lt;/work-type&gt;&lt;titles&gt;&lt;title&gt;Out of the Mouths of Plants: The Molecular Basis of the Evolution and Diversity of Stomatal Development&lt;/title&gt;&lt;secondary-title&gt;Plant Cell&lt;/secondary-title&gt;&lt;alt-title&gt;Plant Cell&lt;/alt-title&gt;&lt;/titles&gt;&lt;pages&gt;296-306&lt;/pages&gt;&lt;number&gt;2&lt;/number&gt;&lt;contributors&gt;&lt;authors&gt;&lt;author&gt;Peterson, K. M.&lt;/author&gt;&lt;author&gt;Rychel, A. L.&lt;/author&gt;&lt;author&gt;Torii, K. U.&lt;/author&gt;&lt;/authors&gt;&lt;/contributors&gt;&lt;language&gt;English&lt;/language&gt;&lt;added-date format="utc"&gt;1354439861&lt;/added-date&gt;&lt;ref-type name="Journal Article"&gt;17&lt;/ref-type&gt;&lt;auth-address&gt;[Peterson, Kylee M.&amp;#xD;Rychel, Amanda L.&amp;#xD;Torii, Keiko U.] Univ Washington, Dept Biol, Seattle, WA 98195 USA. [Torii, Keiko U.] Japan Sci &amp;amp; Technol Agcy, PREST, Tokyo 1020075, Japan.&amp;#xD;Torii, KU (reprint author), Univ Washington, Dept Biol, Seattle, WA 98195 USA.&amp;#xD;ktorii@u.washington.edu&lt;/auth-address&gt;&lt;rec-number&gt;82&lt;/rec-number&gt;&lt;last-updated-date format="utc"&gt;1354439861&lt;/last-updated-date&gt;&lt;accession-num&gt;WOS:000275926200004&lt;/accession-num&gt;&lt;electronic-resource-num&gt;10.1105/tpc.109.072777&lt;/electronic-resource-num&gt;&lt;volume&gt;22&lt;/volume&gt;&lt;/record&gt;&lt;/Cite&gt;&lt;/EndNote&gt;</w:instrText>
      </w:r>
      <w:r w:rsidRPr="00B0055A">
        <w:rPr>
          <w:rFonts w:ascii="Arial" w:hAnsi="Arial" w:cs="Arial"/>
          <w:b/>
        </w:rPr>
        <w:fldChar w:fldCharType="separate"/>
      </w:r>
      <w:r w:rsidRPr="00B0055A">
        <w:rPr>
          <w:rFonts w:ascii="Arial" w:hAnsi="Arial" w:cs="Arial"/>
          <w:b/>
          <w:noProof/>
        </w:rPr>
        <w:t>(2010)</w:t>
      </w:r>
      <w:r w:rsidRPr="00B0055A">
        <w:rPr>
          <w:rFonts w:ascii="Arial" w:hAnsi="Arial" w:cs="Arial"/>
          <w:b/>
        </w:rPr>
        <w:fldChar w:fldCharType="end"/>
      </w:r>
      <w:r w:rsidRPr="00FA7F73">
        <w:rPr>
          <w:rFonts w:ascii="Arial" w:hAnsi="Arial" w:cs="Arial"/>
        </w:rPr>
        <w:t>. (</w:t>
      </w:r>
      <w:r w:rsidRPr="00C204C0">
        <w:rPr>
          <w:rFonts w:ascii="Arial" w:hAnsi="Arial" w:cs="Arial"/>
          <w:b/>
        </w:rPr>
        <w:t>A</w:t>
      </w:r>
      <w:r w:rsidRPr="00FA7F73">
        <w:rPr>
          <w:rFonts w:ascii="Arial" w:hAnsi="Arial" w:cs="Arial"/>
        </w:rPr>
        <w:t xml:space="preserve">) the bryophyte and moss </w:t>
      </w:r>
      <w:r w:rsidRPr="00FC3CED">
        <w:rPr>
          <w:rFonts w:ascii="Arial" w:hAnsi="Arial" w:cs="Arial"/>
          <w:i/>
        </w:rPr>
        <w:t>P. patens</w:t>
      </w:r>
      <w:r w:rsidRPr="00FA7F73">
        <w:rPr>
          <w:rFonts w:ascii="Arial" w:hAnsi="Arial" w:cs="Arial"/>
        </w:rPr>
        <w:t>,</w:t>
      </w:r>
      <w:r w:rsidRPr="00FA7F73">
        <w:rPr>
          <w:rFonts w:ascii="Arial" w:hAnsi="Arial" w:cs="Arial"/>
          <w:i/>
        </w:rPr>
        <w:t xml:space="preserve"> </w:t>
      </w:r>
      <w:r w:rsidRPr="00FA7F73">
        <w:rPr>
          <w:rFonts w:ascii="Arial" w:hAnsi="Arial" w:cs="Arial"/>
        </w:rPr>
        <w:t>(</w:t>
      </w:r>
      <w:r w:rsidRPr="00C204C0">
        <w:rPr>
          <w:rFonts w:ascii="Arial" w:hAnsi="Arial" w:cs="Arial"/>
          <w:b/>
        </w:rPr>
        <w:t>B</w:t>
      </w:r>
      <w:r w:rsidRPr="00FA7F73">
        <w:rPr>
          <w:rFonts w:ascii="Arial" w:hAnsi="Arial" w:cs="Arial"/>
        </w:rPr>
        <w:t xml:space="preserve">) the lycophyte </w:t>
      </w:r>
      <w:r w:rsidRPr="00FA7F73">
        <w:rPr>
          <w:rFonts w:ascii="Arial" w:hAnsi="Arial" w:cs="Arial"/>
          <w:i/>
        </w:rPr>
        <w:t>Selaginella kraussiana</w:t>
      </w:r>
      <w:r w:rsidRPr="00FA7F73">
        <w:rPr>
          <w:rFonts w:ascii="Arial" w:hAnsi="Arial" w:cs="Arial"/>
        </w:rPr>
        <w:t>, (</w:t>
      </w:r>
      <w:r w:rsidRPr="00C204C0">
        <w:rPr>
          <w:rFonts w:ascii="Arial" w:hAnsi="Arial" w:cs="Arial"/>
          <w:b/>
        </w:rPr>
        <w:t>C</w:t>
      </w:r>
      <w:r w:rsidRPr="00FA7F73">
        <w:rPr>
          <w:rFonts w:ascii="Arial" w:hAnsi="Arial" w:cs="Arial"/>
        </w:rPr>
        <w:t xml:space="preserve">) the fern </w:t>
      </w:r>
      <w:r w:rsidRPr="00FA7F73">
        <w:rPr>
          <w:rFonts w:ascii="Arial" w:hAnsi="Arial" w:cs="Arial"/>
          <w:i/>
        </w:rPr>
        <w:t>Marsilea macropoda</w:t>
      </w:r>
      <w:r w:rsidRPr="00FA7F73">
        <w:rPr>
          <w:rFonts w:ascii="Arial" w:hAnsi="Arial" w:cs="Arial"/>
        </w:rPr>
        <w:t>, (</w:t>
      </w:r>
      <w:r w:rsidRPr="00C204C0">
        <w:rPr>
          <w:rFonts w:ascii="Arial" w:hAnsi="Arial" w:cs="Arial"/>
          <w:b/>
        </w:rPr>
        <w:t>D</w:t>
      </w:r>
      <w:r w:rsidRPr="00FA7F73">
        <w:rPr>
          <w:rFonts w:ascii="Arial" w:hAnsi="Arial" w:cs="Arial"/>
        </w:rPr>
        <w:t xml:space="preserve">) the basal angiosperm </w:t>
      </w:r>
      <w:r w:rsidRPr="00FA7F73">
        <w:rPr>
          <w:rFonts w:ascii="Arial" w:hAnsi="Arial" w:cs="Arial"/>
          <w:i/>
        </w:rPr>
        <w:t>Victoria amazonica</w:t>
      </w:r>
      <w:r w:rsidRPr="00FA7F73">
        <w:rPr>
          <w:rFonts w:ascii="Arial" w:hAnsi="Arial" w:cs="Arial"/>
        </w:rPr>
        <w:t>, (</w:t>
      </w:r>
      <w:r w:rsidRPr="00C204C0">
        <w:rPr>
          <w:rFonts w:ascii="Arial" w:hAnsi="Arial" w:cs="Arial"/>
          <w:b/>
        </w:rPr>
        <w:t>E</w:t>
      </w:r>
      <w:r w:rsidRPr="00FA7F73">
        <w:rPr>
          <w:rFonts w:ascii="Arial" w:hAnsi="Arial" w:cs="Arial"/>
        </w:rPr>
        <w:t xml:space="preserve">) The magnolid </w:t>
      </w:r>
      <w:r w:rsidRPr="00FA7F73">
        <w:rPr>
          <w:rFonts w:ascii="Arial" w:hAnsi="Arial" w:cs="Arial"/>
          <w:i/>
        </w:rPr>
        <w:t>Houttuynia cordata</w:t>
      </w:r>
      <w:r w:rsidRPr="00FA7F73">
        <w:rPr>
          <w:rFonts w:ascii="Arial" w:hAnsi="Arial" w:cs="Arial"/>
        </w:rPr>
        <w:t>, (</w:t>
      </w:r>
      <w:r w:rsidRPr="00C204C0">
        <w:rPr>
          <w:rFonts w:ascii="Arial" w:hAnsi="Arial" w:cs="Arial"/>
          <w:b/>
        </w:rPr>
        <w:t>F</w:t>
      </w:r>
      <w:r w:rsidRPr="00FA7F73">
        <w:rPr>
          <w:rFonts w:ascii="Arial" w:hAnsi="Arial" w:cs="Arial"/>
        </w:rPr>
        <w:t xml:space="preserve">) the monocot </w:t>
      </w:r>
      <w:r w:rsidRPr="00FA7F73">
        <w:rPr>
          <w:rFonts w:ascii="Arial" w:hAnsi="Arial" w:cs="Arial"/>
          <w:i/>
        </w:rPr>
        <w:t>Oplimenus hirtellus</w:t>
      </w:r>
      <w:r w:rsidRPr="00FA7F73">
        <w:rPr>
          <w:rFonts w:ascii="Arial" w:hAnsi="Arial" w:cs="Arial"/>
        </w:rPr>
        <w:t xml:space="preserve"> (</w:t>
      </w:r>
      <w:r w:rsidRPr="00C204C0">
        <w:rPr>
          <w:rFonts w:ascii="Arial" w:hAnsi="Arial" w:cs="Arial"/>
          <w:b/>
        </w:rPr>
        <w:t>G</w:t>
      </w:r>
      <w:r w:rsidRPr="00FA7F73">
        <w:rPr>
          <w:rFonts w:ascii="Arial" w:hAnsi="Arial" w:cs="Arial"/>
        </w:rPr>
        <w:t xml:space="preserve"> and </w:t>
      </w:r>
      <w:r w:rsidRPr="00C204C0">
        <w:rPr>
          <w:rFonts w:ascii="Arial" w:hAnsi="Arial" w:cs="Arial"/>
          <w:b/>
        </w:rPr>
        <w:t>H</w:t>
      </w:r>
      <w:r w:rsidRPr="00FA7F73">
        <w:rPr>
          <w:rFonts w:ascii="Arial" w:hAnsi="Arial" w:cs="Arial"/>
        </w:rPr>
        <w:t xml:space="preserve">) the eudicots </w:t>
      </w:r>
      <w:r w:rsidRPr="00FA7F73">
        <w:rPr>
          <w:rFonts w:ascii="Arial" w:hAnsi="Arial" w:cs="Arial"/>
          <w:i/>
        </w:rPr>
        <w:t>Gardenia taitensis</w:t>
      </w:r>
      <w:r w:rsidRPr="00FA7F73">
        <w:rPr>
          <w:rFonts w:ascii="Arial" w:hAnsi="Arial" w:cs="Arial"/>
        </w:rPr>
        <w:t xml:space="preserve"> and </w:t>
      </w:r>
      <w:r w:rsidRPr="00FA7F73">
        <w:rPr>
          <w:rFonts w:ascii="Arial" w:hAnsi="Arial" w:cs="Arial"/>
          <w:i/>
        </w:rPr>
        <w:t>Begonia rex-cultorum</w:t>
      </w:r>
      <w:r w:rsidRPr="00FA7F73">
        <w:rPr>
          <w:rFonts w:ascii="Arial" w:hAnsi="Arial" w:cs="Arial"/>
        </w:rPr>
        <w:t>. The</w:t>
      </w:r>
      <w:r>
        <w:rPr>
          <w:rFonts w:ascii="Arial" w:hAnsi="Arial" w:cs="Arial"/>
        </w:rPr>
        <w:t xml:space="preserve"> green star adjacent to the </w:t>
      </w:r>
      <w:r w:rsidRPr="00FA7F73">
        <w:rPr>
          <w:rFonts w:ascii="Arial" w:hAnsi="Arial" w:cs="Arial"/>
        </w:rPr>
        <w:t>Rhyniophyte</w:t>
      </w:r>
      <w:r>
        <w:rPr>
          <w:rFonts w:ascii="Arial" w:hAnsi="Arial" w:cs="Arial"/>
        </w:rPr>
        <w:t>s</w:t>
      </w:r>
      <w:r w:rsidRPr="00FA7F73">
        <w:rPr>
          <w:rFonts w:ascii="Arial" w:hAnsi="Arial" w:cs="Arial"/>
        </w:rPr>
        <w:t xml:space="preserve"> </w:t>
      </w:r>
      <w:r>
        <w:rPr>
          <w:rFonts w:ascii="Arial" w:hAnsi="Arial" w:cs="Arial"/>
        </w:rPr>
        <w:t>indicates lineage extinction</w:t>
      </w:r>
      <w:r w:rsidRPr="00FA7F73">
        <w:rPr>
          <w:rFonts w:ascii="Arial" w:hAnsi="Arial" w:cs="Arial"/>
        </w:rPr>
        <w:t>.</w:t>
      </w:r>
    </w:p>
    <w:p w14:paraId="299C939C" w14:textId="47D7C764" w:rsidR="00311AE8" w:rsidRPr="00FA7F73" w:rsidRDefault="00311AE8" w:rsidP="00311AE8">
      <w:pPr>
        <w:spacing w:after="160" w:line="360" w:lineRule="auto"/>
        <w:rPr>
          <w:rFonts w:ascii="Arial" w:hAnsi="Arial" w:cs="Arial"/>
        </w:rPr>
      </w:pPr>
      <w:r w:rsidRPr="00FA7F73">
        <w:rPr>
          <w:rFonts w:ascii="Arial" w:hAnsi="Arial" w:cs="Arial"/>
        </w:rPr>
        <w:t xml:space="preserve">In anciently diverging land plant lineages such as stomatal-bearing bryophytes (the mosses and the hornworts) and some </w:t>
      </w:r>
      <w:r>
        <w:rPr>
          <w:rFonts w:ascii="Arial" w:hAnsi="Arial" w:cs="Arial"/>
        </w:rPr>
        <w:t>lycophyte and fern</w:t>
      </w:r>
      <w:r w:rsidRPr="00FA7F73">
        <w:rPr>
          <w:rFonts w:ascii="Arial" w:hAnsi="Arial" w:cs="Arial"/>
        </w:rPr>
        <w:t xml:space="preserve"> species, current opinion is that stomata are formed when a preceding protodermal cell enlarges, becomes a guard mother cell (GMC</w:t>
      </w:r>
      <w:r>
        <w:rPr>
          <w:rFonts w:ascii="Arial" w:hAnsi="Arial" w:cs="Arial"/>
        </w:rPr>
        <w:t>, also termed a stomatal mother cell in hornworts),</w:t>
      </w:r>
      <w:r w:rsidRPr="00FA7F73">
        <w:rPr>
          <w:rFonts w:ascii="Arial" w:hAnsi="Arial" w:cs="Arial"/>
        </w:rPr>
        <w:t xml:space="preserve">and then symmetrically divides to produce a guard cell </w:t>
      </w:r>
      <w:r w:rsidRPr="00FA7F73">
        <w:rPr>
          <w:rFonts w:ascii="Arial" w:hAnsi="Arial" w:cs="Arial"/>
        </w:rPr>
        <w:fldChar w:fldCharType="begin">
          <w:fldData xml:space="preserve">PEVuZE5vdGU+PENpdGU+PEF1dGhvcj5SdWRhbGw8L0F1dGhvcj48WWVhcj4yMDEzPC9ZZWFyPjxJ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</w:fldData>
        </w:fldChar>
      </w:r>
      <w:r w:rsidR="001D2DA0">
        <w:rPr>
          <w:rFonts w:ascii="Arial" w:hAnsi="Arial" w:cs="Arial"/>
        </w:rPr>
        <w:instrText xml:space="preserve"> ADDIN EN.CITE </w:instrText>
      </w:r>
      <w:r w:rsidR="001D2DA0">
        <w:rPr>
          <w:rFonts w:ascii="Arial" w:hAnsi="Arial" w:cs="Arial"/>
        </w:rPr>
        <w:fldChar w:fldCharType="begin">
          <w:fldData xml:space="preserve">PEVuZE5vdGU+PENpdGU+PEF1dGhvcj5SdWRhbGw8L0F1dGhvcj48WWVhcj4yMDEzPC9ZZWFyPjxJ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</w:fldData>
        </w:fldChar>
      </w:r>
      <w:r w:rsidR="001D2DA0">
        <w:rPr>
          <w:rFonts w:ascii="Arial" w:hAnsi="Arial" w:cs="Arial"/>
        </w:rPr>
        <w:instrText xml:space="preserve"> ADDIN EN.CITE.DATA </w:instrText>
      </w:r>
      <w:r w:rsidR="001D2DA0">
        <w:rPr>
          <w:rFonts w:ascii="Arial" w:hAnsi="Arial" w:cs="Arial"/>
        </w:rPr>
      </w:r>
      <w:r w:rsidR="001D2DA0">
        <w:rPr>
          <w:rFonts w:ascii="Arial" w:hAnsi="Arial" w:cs="Arial"/>
        </w:rPr>
        <w:fldChar w:fldCharType="end"/>
      </w:r>
      <w:r w:rsidRPr="00FA7F73">
        <w:rPr>
          <w:rFonts w:ascii="Arial" w:hAnsi="Arial" w:cs="Arial"/>
        </w:rPr>
      </w:r>
      <w:r w:rsidRPr="00FA7F73">
        <w:rPr>
          <w:rFonts w:ascii="Arial" w:hAnsi="Arial" w:cs="Arial"/>
        </w:rPr>
        <w:fldChar w:fldCharType="separate"/>
      </w:r>
      <w:r w:rsidR="001D2DA0">
        <w:rPr>
          <w:rFonts w:ascii="Arial" w:hAnsi="Arial" w:cs="Arial"/>
          <w:noProof/>
        </w:rPr>
        <w:t>(Merced and Renzaglia, 2016; Pressel et al., 2014; Rudall and Knowles, 2013)</w:t>
      </w:r>
      <w:r w:rsidRPr="00FA7F73">
        <w:rPr>
          <w:rFonts w:ascii="Arial" w:hAnsi="Arial" w:cs="Arial"/>
        </w:rPr>
        <w:fldChar w:fldCharType="end"/>
      </w:r>
      <w:r w:rsidRPr="00FA7F73">
        <w:rPr>
          <w:rFonts w:ascii="Arial" w:hAnsi="Arial" w:cs="Arial"/>
        </w:rPr>
        <w:t xml:space="preserve">. Stomata formed by such developmental mechanisms are termed perigenous. Ordinarily such stomata are bordered by non-specialised epidermal cells rather than subsidiary cells and for this reason are </w:t>
      </w:r>
      <w:r w:rsidRPr="00FA7F73">
        <w:rPr>
          <w:rFonts w:ascii="Arial" w:hAnsi="Arial" w:cs="Arial"/>
        </w:rPr>
        <w:lastRenderedPageBreak/>
        <w:t>normally also termed anomocytic stomata</w:t>
      </w:r>
      <w:r>
        <w:rPr>
          <w:rFonts w:ascii="Arial" w:hAnsi="Arial" w:cs="Arial"/>
        </w:rPr>
        <w:t xml:space="preserve"> </w:t>
      </w:r>
      <w:r>
        <w:rPr>
          <w:rFonts w:ascii="Arial" w:hAnsi="Arial" w:cs="Arial"/>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SURUZXh0PjxEaXNwbGF5VGV4dD4oUGF5bmUsIDE5Nzk7IFJ1ZGFsbCBldCBhbC4sIDIwMTMpPC9E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SURUZXh0PjxEaXNwbGF5VGV4dD4oUGF5bmUsIDE5Nzk7IFJ1ZGFsbCBldCBhbC4sIDIwMTMpPC9E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(Payne, 1979; Rudall et al., 2013)</w:t>
      </w:r>
      <w:r>
        <w:rPr>
          <w:rFonts w:ascii="Arial" w:hAnsi="Arial" w:cs="Arial"/>
        </w:rPr>
        <w:fldChar w:fldCharType="end"/>
      </w:r>
      <w:r w:rsidRPr="00FA7F73">
        <w:rPr>
          <w:rFonts w:ascii="Arial" w:hAnsi="Arial" w:cs="Arial"/>
        </w:rPr>
        <w:t xml:space="preserve">. </w:t>
      </w:r>
      <w:r>
        <w:rPr>
          <w:rFonts w:ascii="Arial" w:hAnsi="Arial" w:cs="Arial"/>
        </w:rPr>
        <w:t>T</w:t>
      </w:r>
      <w:r w:rsidRPr="00FA7F73">
        <w:rPr>
          <w:rFonts w:ascii="Arial" w:hAnsi="Arial" w:cs="Arial"/>
        </w:rPr>
        <w:t>he current opinion is that around the time ferns began diverging from the ancestral lineage, an entry symmetric division or</w:t>
      </w:r>
      <w:r>
        <w:rPr>
          <w:rFonts w:ascii="Arial" w:hAnsi="Arial" w:cs="Arial"/>
        </w:rPr>
        <w:t>,</w:t>
      </w:r>
      <w:r w:rsidRPr="00FA7F73">
        <w:rPr>
          <w:rFonts w:ascii="Arial" w:hAnsi="Arial" w:cs="Arial"/>
        </w:rPr>
        <w:t xml:space="preserve"> more </w:t>
      </w:r>
      <w:r>
        <w:rPr>
          <w:rFonts w:ascii="Arial" w:hAnsi="Arial" w:cs="Arial"/>
        </w:rPr>
        <w:t>likely,</w:t>
      </w:r>
      <w:r w:rsidRPr="00FA7F73">
        <w:rPr>
          <w:rFonts w:ascii="Arial" w:hAnsi="Arial" w:cs="Arial"/>
        </w:rPr>
        <w:t xml:space="preserve"> an asymmetric division </w:t>
      </w:r>
      <w:r>
        <w:rPr>
          <w:rFonts w:ascii="Arial" w:hAnsi="Arial" w:cs="Arial"/>
        </w:rPr>
        <w:t xml:space="preserve">started to occur </w:t>
      </w:r>
      <w:r w:rsidRPr="00FA7F73">
        <w:rPr>
          <w:rFonts w:ascii="Arial" w:hAnsi="Arial" w:cs="Arial"/>
        </w:rPr>
        <w:t xml:space="preserve">prior to the formation of the GMC </w:t>
      </w:r>
      <w:r w:rsidRPr="00FA7F73">
        <w:rPr>
          <w:rFonts w:ascii="Arial" w:hAnsi="Arial" w:cs="Arial"/>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SURUZXh0PjxEaXNwbGF5VGV4dD4oTWFyb3RpLCAxOTY2OyBQYXluZSwgMTk3OTsgUnVkYWxsIGV0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</w:fldData>
        </w:fldChar>
      </w:r>
      <w:r>
        <w:rPr>
          <w:rFonts w:ascii="Arial" w:hAnsi="Arial" w:cs="Arial"/>
        </w:rPr>
        <w:instrText xml:space="preserve"> ADDIN EN.CITE </w:instrText>
      </w:r>
      <w:r>
        <w:rPr>
          <w:rFonts w:ascii="Arial" w:hAnsi="Arial" w:cs="Arial"/>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SURUZXh0PjxEaXNwbGF5VGV4dD4oTWFyb3RpLCAxOTY2OyBQYXluZSwgMTk3OTsgUnVkYWxsIGV0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sidRPr="00FA7F73">
        <w:rPr>
          <w:rFonts w:ascii="Arial" w:hAnsi="Arial" w:cs="Arial"/>
          <w:noProof/>
        </w:rPr>
        <w:t>(Maroti, 1966; Payne, 1979; Rudall et al., 2013; Sen and De, 1992)</w:t>
      </w:r>
      <w:r w:rsidRPr="00FA7F73">
        <w:rPr>
          <w:rFonts w:ascii="Arial" w:hAnsi="Arial" w:cs="Arial"/>
        </w:rPr>
        <w:fldChar w:fldCharType="end"/>
      </w:r>
      <w:r w:rsidRPr="00FA7F73">
        <w:rPr>
          <w:rFonts w:ascii="Arial" w:hAnsi="Arial" w:cs="Arial"/>
        </w:rPr>
        <w:t>. For asymmetric divisions this typically result</w:t>
      </w:r>
      <w:r>
        <w:rPr>
          <w:rFonts w:ascii="Arial" w:hAnsi="Arial" w:cs="Arial"/>
        </w:rPr>
        <w:t>s</w:t>
      </w:r>
      <w:r w:rsidRPr="00FA7F73">
        <w:rPr>
          <w:rFonts w:ascii="Arial" w:hAnsi="Arial" w:cs="Arial"/>
        </w:rPr>
        <w:t xml:space="preserve"> in a smaller GMC and a larger stomatal lineage cell ground cell (SLGC). The GMC then symmetrically divides to form a pair of guard cells. </w:t>
      </w:r>
      <w:r>
        <w:rPr>
          <w:rFonts w:ascii="Arial" w:hAnsi="Arial" w:cs="Arial"/>
        </w:rPr>
        <w:t xml:space="preserve">As the formed </w:t>
      </w:r>
      <w:r w:rsidRPr="00FA7F73">
        <w:rPr>
          <w:rFonts w:ascii="Arial" w:hAnsi="Arial" w:cs="Arial"/>
        </w:rPr>
        <w:t>guard cells are bordered by at least one cell derived from the same stomatal lineage (the SLGC)</w:t>
      </w:r>
      <w:r>
        <w:rPr>
          <w:rFonts w:ascii="Arial" w:hAnsi="Arial" w:cs="Arial"/>
        </w:rPr>
        <w:t xml:space="preserve">, rather than being perigenous </w:t>
      </w:r>
      <w:r w:rsidRPr="00FA7F73">
        <w:rPr>
          <w:rFonts w:ascii="Arial" w:hAnsi="Arial" w:cs="Arial"/>
        </w:rPr>
        <w:t>such stomata are term</w:t>
      </w:r>
      <w:r>
        <w:rPr>
          <w:rFonts w:ascii="Arial" w:hAnsi="Arial" w:cs="Arial"/>
        </w:rPr>
        <w:t>ed</w:t>
      </w:r>
      <w:r w:rsidRPr="00FA7F73">
        <w:rPr>
          <w:rFonts w:ascii="Arial" w:hAnsi="Arial" w:cs="Arial"/>
        </w:rPr>
        <w:t xml:space="preserve"> mesoperigenous</w:t>
      </w:r>
      <w:r>
        <w:rPr>
          <w:rFonts w:ascii="Arial" w:hAnsi="Arial" w:cs="Arial"/>
        </w:rPr>
        <w:t xml:space="preserve"> </w:t>
      </w:r>
      <w:r>
        <w:rPr>
          <w:rFonts w:ascii="Arial" w:hAnsi="Arial" w:cs="Arial"/>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SURUZXh0PjxEaXNwbGF5VGV4dD4oUnVkYWxsIGV0IGFsLiwgMjAxMyk8L0Rpc3BsYXlUZXh0Pjxy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</w:fldData>
        </w:fldChar>
      </w:r>
      <w:r>
        <w:rPr>
          <w:rFonts w:ascii="Arial" w:hAnsi="Arial" w:cs="Arial"/>
        </w:rPr>
        <w:instrText xml:space="preserve"> ADDIN EN.CITE </w:instrText>
      </w:r>
      <w:r>
        <w:rPr>
          <w:rFonts w:ascii="Arial" w:hAnsi="Arial" w:cs="Arial"/>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SURUZXh0PjxEaXNwbGF5VGV4dD4oUnVkYWxsIGV0IGFsLiwgMjAxMyk8L0Rpc3BsYXlUZXh0Pjxy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(Rudall et al., 2013)</w:t>
      </w:r>
      <w:r>
        <w:rPr>
          <w:rFonts w:ascii="Arial" w:hAnsi="Arial" w:cs="Arial"/>
        </w:rPr>
        <w:fldChar w:fldCharType="end"/>
      </w:r>
      <w:r w:rsidRPr="00FA7F73">
        <w:rPr>
          <w:rFonts w:ascii="Arial" w:hAnsi="Arial" w:cs="Arial"/>
        </w:rPr>
        <w:t xml:space="preserve">. Stomata formed by </w:t>
      </w:r>
      <w:r>
        <w:rPr>
          <w:rFonts w:ascii="Arial" w:hAnsi="Arial" w:cs="Arial"/>
        </w:rPr>
        <w:t>such a</w:t>
      </w:r>
      <w:r w:rsidRPr="00FA7F73">
        <w:rPr>
          <w:rFonts w:ascii="Arial" w:hAnsi="Arial" w:cs="Arial"/>
        </w:rPr>
        <w:t xml:space="preserve"> process can either be anomocytic, or if bordered by specialised subsidiary cells </w:t>
      </w:r>
      <w:r>
        <w:rPr>
          <w:rFonts w:ascii="Arial" w:hAnsi="Arial" w:cs="Arial"/>
        </w:rPr>
        <w:t xml:space="preserve">can be </w:t>
      </w:r>
      <w:r w:rsidRPr="00FA7F73">
        <w:rPr>
          <w:rFonts w:ascii="Arial" w:hAnsi="Arial" w:cs="Arial"/>
        </w:rPr>
        <w:t xml:space="preserve">paracytic. Payne </w:t>
      </w:r>
      <w:r w:rsidRPr="00FA7F73">
        <w:rPr>
          <w:rFonts w:ascii="Arial" w:hAnsi="Arial" w:cs="Arial"/>
        </w:rPr>
        <w:fldChar w:fldCharType="begin"/>
      </w:r>
      <w:r w:rsidRPr="00FA7F73">
        <w:rPr>
          <w:rFonts w:ascii="Arial" w:hAnsi="Arial" w:cs="Arial"/>
        </w:rPr>
        <w:instrText xml:space="preserve"> ADDIN EN.CITE &lt;EndNote&gt;&lt;Cite ExcludeAuth="1"&gt;&lt;Author&gt;Payne&lt;/Author&gt;&lt;Year&gt;1979&lt;/Year&gt;&lt;IDText&gt;Stomatal patterns in embyrophytes - Their evolution, ontogeny and interpretation&lt;/IDText&gt;&lt;DisplayText&gt;(1979)&lt;/DisplayText&gt;&lt;record&gt;&lt;urls&gt;&lt;related-urls&gt;&lt;url&gt;&amp;lt;Go to ISI&amp;gt;://WOS:A1979GS81200017&lt;/url&gt;&lt;/related-urls&gt;&lt;/urls&gt;&lt;isbn&gt;0040-0262&lt;/isbn&gt;&lt;work-type&gt;Article&lt;/work-type&gt;&lt;titles&gt;&lt;title&gt;Stomatal patterns in embyrophytes - Their evolution, ontogeny and interpretation&lt;/title&gt;&lt;secondary-title&gt;Taxon&lt;/secondary-title&gt;&lt;alt-title&gt;Taxon&lt;/alt-title&gt;&lt;/titles&gt;&lt;pages&gt;117-132&lt;/pages&gt;&lt;number&gt;1-3&lt;/number&gt;&lt;contributors&gt;&lt;authors&gt;&lt;author&gt;Payne, W. W.&lt;/author&gt;&lt;/authors&gt;&lt;/contributors&gt;&lt;language&gt;English&lt;/language&gt;&lt;added-date format="utc"&gt;1354648675&lt;/added-date&gt;&lt;ref-type name="Journal Article"&gt;17&lt;/ref-type&gt;&lt;auth-address&gt;FAIRCHILD TROP GARDEN,MIAMI,FL 33156.&amp;#xD;PAYNE, WW (reprint author), NEW YORK BOT GARDEN,CARY ARBORETUM,BOX AB,MILLBROOK,NY 12545, USA.&lt;/auth-address&gt;&lt;dates&gt;&lt;year&gt;1979&lt;/year&gt;&lt;/dates&gt;&lt;rec-number&gt;91&lt;/rec-number&gt;&lt;last-updated-date format="utc"&gt;1465018399&lt;/last-updated-date&gt;&lt;accession-num&gt;WOS:A1979GS81200017&lt;/accession-num&gt;&lt;electronic-resource-num&gt;10.2307/1219566&lt;/electronic-resource-num&gt;&lt;volume&gt;28&lt;/volume&gt;&lt;/record&gt;&lt;/Cite&gt;&lt;/EndNote&gt;</w:instrText>
      </w:r>
      <w:r w:rsidRPr="00FA7F73">
        <w:rPr>
          <w:rFonts w:ascii="Arial" w:hAnsi="Arial" w:cs="Arial"/>
        </w:rPr>
        <w:fldChar w:fldCharType="separate"/>
      </w:r>
      <w:r w:rsidRPr="00FA7F73">
        <w:rPr>
          <w:rFonts w:ascii="Arial" w:hAnsi="Arial" w:cs="Arial"/>
          <w:noProof/>
        </w:rPr>
        <w:t>(1979)</w:t>
      </w:r>
      <w:r w:rsidRPr="00FA7F73">
        <w:rPr>
          <w:rFonts w:ascii="Arial" w:hAnsi="Arial" w:cs="Arial"/>
        </w:rPr>
        <w:fldChar w:fldCharType="end"/>
      </w:r>
      <w:r w:rsidRPr="00FA7F73">
        <w:rPr>
          <w:rFonts w:ascii="Arial" w:hAnsi="Arial" w:cs="Arial"/>
        </w:rPr>
        <w:t xml:space="preserve"> has suggested that the such mesoperigenous stomatal development is the ancestral condition and is present in lineages as far back as the mosses</w:t>
      </w:r>
      <w:r>
        <w:rPr>
          <w:rFonts w:ascii="Arial" w:hAnsi="Arial" w:cs="Arial"/>
        </w:rPr>
        <w:t>,</w:t>
      </w:r>
      <w:r w:rsidRPr="00FA7F73">
        <w:rPr>
          <w:rFonts w:ascii="Arial" w:hAnsi="Arial" w:cs="Arial"/>
        </w:rPr>
        <w:t xml:space="preserve"> but this does not appear to be the consensus view </w:t>
      </w:r>
      <w:r w:rsidRPr="00FA7F73">
        <w:rPr>
          <w:rFonts w:ascii="Arial" w:hAnsi="Arial" w:cs="Arial"/>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SURUZXh0PjxEaXNwbGF5VGV4dD4oTWVyY2VkIGFuZCBSZW56YWdsaWEsIDIwMTY7IFJ1ZGFsbCBl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</w:fldData>
        </w:fldChar>
      </w:r>
      <w:r w:rsidR="001D2DA0">
        <w:rPr>
          <w:rFonts w:ascii="Arial" w:hAnsi="Arial" w:cs="Arial"/>
        </w:rPr>
        <w:instrText xml:space="preserve"> ADDIN EN.CITE </w:instrText>
      </w:r>
      <w:r w:rsidR="001D2DA0">
        <w:rPr>
          <w:rFonts w:ascii="Arial" w:hAnsi="Arial" w:cs="Arial"/>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SURUZXh0PjxEaXNwbGF5VGV4dD4oTWVyY2VkIGFuZCBSZW56YWdsaWEsIDIwMTY7IFJ1ZGFsbCBl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</w:fldData>
        </w:fldChar>
      </w:r>
      <w:r w:rsidR="001D2DA0">
        <w:rPr>
          <w:rFonts w:ascii="Arial" w:hAnsi="Arial" w:cs="Arial"/>
        </w:rPr>
        <w:instrText xml:space="preserve"> ADDIN EN.CITE.DATA </w:instrText>
      </w:r>
      <w:r w:rsidR="001D2DA0">
        <w:rPr>
          <w:rFonts w:ascii="Arial" w:hAnsi="Arial" w:cs="Arial"/>
        </w:rPr>
      </w:r>
      <w:r w:rsidR="001D2DA0">
        <w:rPr>
          <w:rFonts w:ascii="Arial" w:hAnsi="Arial" w:cs="Arial"/>
        </w:rPr>
        <w:fldChar w:fldCharType="end"/>
      </w:r>
      <w:r w:rsidRPr="00FA7F73">
        <w:rPr>
          <w:rFonts w:ascii="Arial" w:hAnsi="Arial" w:cs="Arial"/>
        </w:rPr>
      </w:r>
      <w:r w:rsidRPr="00FA7F73">
        <w:rPr>
          <w:rFonts w:ascii="Arial" w:hAnsi="Arial" w:cs="Arial"/>
        </w:rPr>
        <w:fldChar w:fldCharType="separate"/>
      </w:r>
      <w:r w:rsidR="001D2DA0">
        <w:rPr>
          <w:rFonts w:ascii="Arial" w:hAnsi="Arial" w:cs="Arial"/>
          <w:noProof/>
        </w:rPr>
        <w:t>(Merced and Renzaglia, 2016; Rudall et al., 2013; Vaten and Bergmann, 2012)</w:t>
      </w:r>
      <w:r w:rsidRPr="00FA7F73">
        <w:rPr>
          <w:rFonts w:ascii="Arial" w:hAnsi="Arial" w:cs="Arial"/>
        </w:rPr>
        <w:fldChar w:fldCharType="end"/>
      </w:r>
      <w:r w:rsidRPr="00FA7F73">
        <w:rPr>
          <w:rFonts w:ascii="Arial" w:hAnsi="Arial" w:cs="Arial"/>
        </w:rPr>
        <w:t>.</w:t>
      </w:r>
    </w:p>
    <w:p w14:paraId="76D77F91" w14:textId="2D2A7BD7" w:rsidR="00311AE8" w:rsidRPr="001971C4" w:rsidRDefault="00311AE8" w:rsidP="00311AE8">
      <w:pPr>
        <w:spacing w:after="160" w:line="360" w:lineRule="auto"/>
        <w:rPr>
          <w:rFonts w:ascii="Arial" w:hAnsi="Arial" w:cs="Arial"/>
        </w:rPr>
      </w:pPr>
      <w:r w:rsidRPr="00FA7F73">
        <w:rPr>
          <w:rFonts w:ascii="Arial" w:hAnsi="Arial" w:cs="Arial"/>
        </w:rPr>
        <w:t>As well as</w:t>
      </w:r>
      <w:r>
        <w:rPr>
          <w:rFonts w:ascii="Arial" w:hAnsi="Arial" w:cs="Arial"/>
        </w:rPr>
        <w:t xml:space="preserve"> perigenous and</w:t>
      </w:r>
      <w:r w:rsidRPr="00FA7F73">
        <w:rPr>
          <w:rFonts w:ascii="Arial" w:hAnsi="Arial" w:cs="Arial"/>
        </w:rPr>
        <w:t xml:space="preserve"> mesoperigenous development another form of stomatal development</w:t>
      </w:r>
      <w:r>
        <w:rPr>
          <w:rFonts w:ascii="Arial" w:hAnsi="Arial" w:cs="Arial"/>
        </w:rPr>
        <w:t>,</w:t>
      </w:r>
      <w:r w:rsidRPr="00FA7F73">
        <w:rPr>
          <w:rFonts w:ascii="Arial" w:hAnsi="Arial" w:cs="Arial"/>
        </w:rPr>
        <w:t xml:space="preserve"> termed mesogenous</w:t>
      </w:r>
      <w:r>
        <w:rPr>
          <w:rFonts w:ascii="Arial" w:hAnsi="Arial" w:cs="Arial"/>
        </w:rPr>
        <w:t xml:space="preserve">, </w:t>
      </w:r>
      <w:r w:rsidRPr="00FA7F73">
        <w:rPr>
          <w:rFonts w:ascii="Arial" w:hAnsi="Arial" w:cs="Arial"/>
        </w:rPr>
        <w:t xml:space="preserve">is also employed by many vascular land plants </w:t>
      </w:r>
      <w:r w:rsidRPr="00FA7F73">
        <w:rPr>
          <w:rFonts w:ascii="Arial" w:hAnsi="Arial" w:cs="Arial"/>
        </w:rPr>
        <w:fldChar w:fldCharType="begin">
          <w:fldData xml:space="preserve">PEVuZE5vdGU+PENpdGU+PEF1dGhvcj5QYXluZTwvQXV0aG9yPjxZZWFyPjE5Nzk8L1llYXI+PElE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PEVuZE5vdGU+PENpdGU+PEF1dGhvcj5QYXluZTwvQXV0aG9yPjxZZWFyPjE5Nzk8L1llYXI+PElE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sidRPr="00FA7F73">
        <w:rPr>
          <w:rFonts w:ascii="Arial" w:hAnsi="Arial" w:cs="Arial"/>
          <w:noProof/>
        </w:rPr>
        <w:t>(Payne, 1979; Rudall et al., 2013)</w:t>
      </w:r>
      <w:r w:rsidRPr="00FA7F73">
        <w:rPr>
          <w:rFonts w:ascii="Arial" w:hAnsi="Arial" w:cs="Arial"/>
        </w:rPr>
        <w:fldChar w:fldCharType="end"/>
      </w:r>
      <w:r w:rsidRPr="00FA7F73">
        <w:rPr>
          <w:rFonts w:ascii="Arial" w:hAnsi="Arial" w:cs="Arial"/>
        </w:rPr>
        <w:t xml:space="preserve">. This occurs when a developed stomate rather than being partially bordered by cells from the same series of divisions (mesoperigenous) is completely surrounded. Whilst </w:t>
      </w:r>
      <w:r>
        <w:rPr>
          <w:rFonts w:ascii="Arial" w:hAnsi="Arial" w:cs="Arial"/>
        </w:rPr>
        <w:t xml:space="preserve">a version of </w:t>
      </w:r>
      <w:r w:rsidRPr="00FA7F73">
        <w:rPr>
          <w:rFonts w:ascii="Arial" w:hAnsi="Arial" w:cs="Arial"/>
        </w:rPr>
        <w:t xml:space="preserve">this </w:t>
      </w:r>
      <w:r>
        <w:rPr>
          <w:rFonts w:ascii="Arial" w:hAnsi="Arial" w:cs="Arial"/>
        </w:rPr>
        <w:t xml:space="preserve">developmental process has arisen in </w:t>
      </w:r>
      <w:r w:rsidRPr="00FA7F73">
        <w:rPr>
          <w:rFonts w:ascii="Arial" w:hAnsi="Arial" w:cs="Arial"/>
          <w:i/>
        </w:rPr>
        <w:t>Equisetum</w:t>
      </w:r>
      <w:r w:rsidRPr="00FA7F73">
        <w:rPr>
          <w:rFonts w:ascii="Arial" w:hAnsi="Arial" w:cs="Arial"/>
        </w:rPr>
        <w:t xml:space="preserve">, it </w:t>
      </w:r>
      <w:r>
        <w:rPr>
          <w:rFonts w:ascii="Arial" w:hAnsi="Arial" w:cs="Arial"/>
        </w:rPr>
        <w:t xml:space="preserve">is </w:t>
      </w:r>
      <w:r w:rsidRPr="00FA7F73">
        <w:rPr>
          <w:rFonts w:ascii="Arial" w:hAnsi="Arial" w:cs="Arial"/>
        </w:rPr>
        <w:t xml:space="preserve">much more common in seed plants </w:t>
      </w:r>
      <w:r w:rsidRPr="00FA7F73">
        <w:rPr>
          <w:rFonts w:ascii="Arial" w:hAnsi="Arial" w:cs="Arial"/>
        </w:rPr>
        <w:fldChar w:fldCharType="begin">
          <w:fldData xml:space="preserve">PEVuZE5vdGU+PENpdGU+PEF1dGhvcj5NZWhyYTwvQXV0aG9yPjxZZWFyPjE5ODM8L1llYXI+PElE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</w:fldData>
        </w:fldChar>
      </w:r>
      <w:r>
        <w:rPr>
          <w:rFonts w:ascii="Arial" w:hAnsi="Arial" w:cs="Arial"/>
        </w:rPr>
        <w:instrText xml:space="preserve"> ADDIN EN.CITE </w:instrText>
      </w:r>
      <w:r>
        <w:rPr>
          <w:rFonts w:ascii="Arial" w:hAnsi="Arial" w:cs="Arial"/>
        </w:rPr>
        <w:fldChar w:fldCharType="begin">
          <w:fldData xml:space="preserve">PEVuZE5vdGU+PENpdGU+PEF1dGhvcj5NZWhyYTwvQXV0aG9yPjxZZWFyPjE5ODM8L1llYXI+PElE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sidRPr="00FA7F73">
        <w:rPr>
          <w:rFonts w:ascii="Arial" w:hAnsi="Arial" w:cs="Arial"/>
          <w:noProof/>
        </w:rPr>
        <w:t>(Mehra and Soni, 1983; Rudall et al., 2013; Zhao et al., 2006)</w:t>
      </w:r>
      <w:r w:rsidRPr="00FA7F73">
        <w:rPr>
          <w:rFonts w:ascii="Arial" w:hAnsi="Arial" w:cs="Arial"/>
        </w:rPr>
        <w:fldChar w:fldCharType="end"/>
      </w:r>
      <w:r w:rsidRPr="00FA7F73">
        <w:rPr>
          <w:rFonts w:ascii="Arial" w:hAnsi="Arial" w:cs="Arial"/>
        </w:rPr>
        <w:t xml:space="preserve">. This includes the flowering plant and model organism </w:t>
      </w:r>
      <w:r w:rsidRPr="00FA7F73">
        <w:rPr>
          <w:rFonts w:ascii="Arial" w:hAnsi="Arial" w:cs="Arial"/>
          <w:i/>
        </w:rPr>
        <w:t xml:space="preserve">Arabidopsis </w:t>
      </w:r>
      <w:r w:rsidRPr="00FA7F73">
        <w:rPr>
          <w:rFonts w:ascii="Arial" w:hAnsi="Arial" w:cs="Arial"/>
        </w:rPr>
        <w:t xml:space="preserve">thaliana </w:t>
      </w:r>
      <w:r w:rsidRPr="00FA7F73">
        <w:rPr>
          <w:rFonts w:ascii="Arial" w:hAnsi="Arial" w:cs="Arial"/>
        </w:rPr>
        <w:fldChar w:fldCharType="begin"/>
      </w:r>
      <w:r>
        <w:rPr>
          <w:rFonts w:ascii="Arial" w:hAnsi="Arial" w:cs="Arial"/>
        </w:rPr>
        <w:instrText xml:space="preserve"> ADDIN EN.CITE &lt;EndNote&gt;&lt;Cite&gt;&lt;Author&gt;Zhao&lt;/Author&gt;&lt;Year&gt;1999&lt;/Year&gt;&lt;IDText&gt;Ultrastructure of stomatal development in Arabidopsis (Brassicaceae) leaves&lt;/IDText&gt;&lt;DisplayText&gt;(Zhao and Sack, 1999)&lt;/DisplayText&gt;&lt;record&gt;&lt;dates&gt;&lt;pub-dates&gt;&lt;date&gt;Jul&lt;/date&gt;&lt;/pub-dates&gt;&lt;year&gt;1999&lt;/year&gt;&lt;/dates&gt;&lt;keywords&gt;&lt;keyword&gt;Arabidopsis&lt;/keyword&gt;&lt;keyword&gt;asymmetric division&lt;/keyword&gt;&lt;keyword&gt;Brassicaceae&lt;/keyword&gt;&lt;keyword&gt;differentiation&lt;/keyword&gt;&lt;keyword&gt;division site&lt;/keyword&gt;&lt;keyword&gt;guard cell&lt;/keyword&gt;&lt;keyword&gt;meristemoid&lt;/keyword&gt;&lt;keyword&gt;stomate&lt;/keyword&gt;&lt;keyword&gt;cortical microtubules&lt;/keyword&gt;&lt;keyword&gt;vigna-sinensis&lt;/keyword&gt;&lt;keyword&gt;cell-division&lt;/keyword&gt;&lt;keyword&gt;mother cells&lt;/keyword&gt;&lt;keyword&gt;guard-cells&lt;/keyword&gt;&lt;keyword&gt;4 lips&lt;/keyword&gt;&lt;keyword&gt;band&lt;/keyword&gt;&lt;keyword&gt;morphogenesis&lt;/keyword&gt;&lt;keyword&gt;organization&lt;/keyword&gt;&lt;keyword&gt;tradescantia&lt;/keyword&gt;&lt;keyword&gt;Plant Sciences&lt;/keyword&gt;&lt;/keywords&gt;&lt;urls&gt;&lt;related-urls&gt;&lt;url&gt;&amp;lt;Go to ISI&amp;gt;://WOS:000081649300003&lt;/url&gt;&lt;/related-urls&gt;&lt;/urls&gt;&lt;isbn&gt;0002-9122&lt;/isbn&gt;&lt;work-type&gt;Article&lt;/work-type&gt;&lt;titles&gt;&lt;title&gt;Ultrastructure of stomatal development in Arabidopsis (Brassicaceae) leaves&lt;/title&gt;&lt;secondary-title&gt;American Journal of Botany&lt;/secondary-title&gt;&lt;/titles&gt;&lt;pages&gt;929-939&lt;/pages&gt;&lt;number&gt;7&lt;/number&gt;&lt;contributors&gt;&lt;authors&gt;&lt;author&gt;Zhao, L. M.&lt;/author&gt;&lt;author&gt;Sack, F. D.&lt;/author&gt;&lt;/authors&gt;&lt;/contributors&gt;&lt;language&gt;English&lt;/language&gt;&lt;added-date format="utc"&gt;1452034356&lt;/added-date&gt;&lt;ref-type name="Journal Article"&gt;17&lt;/ref-type&gt;&lt;auth-address&gt;Ohio State Univ, Dept Plant Biol, Columbus, OH 43210 USA.&amp;#xD;Sack, FD (reprint author), Ohio State Univ, Dept Plant Biol, 1735 Neil Ave, Columbus, OH 43210 USA.&lt;/auth-address&gt;&lt;rec-number&gt;400&lt;/rec-number&gt;&lt;last-updated-date format="utc"&gt;1452034356&lt;/last-updated-date&gt;&lt;accession-num&gt;WOS:000081649300003&lt;/accession-num&gt;&lt;electronic-resource-num&gt;10.2307/2656609&lt;/electronic-resource-num&gt;&lt;volume&gt;86&lt;/volume&gt;&lt;/record&gt;&lt;/Cite&gt;&lt;/EndNote&gt;</w:instrText>
      </w:r>
      <w:r w:rsidRPr="00FA7F73">
        <w:rPr>
          <w:rFonts w:ascii="Arial" w:hAnsi="Arial" w:cs="Arial"/>
        </w:rPr>
        <w:fldChar w:fldCharType="separate"/>
      </w:r>
      <w:r>
        <w:rPr>
          <w:rFonts w:ascii="Arial" w:hAnsi="Arial" w:cs="Arial"/>
          <w:noProof/>
        </w:rPr>
        <w:t>(Zhao and Sack, 1999)</w:t>
      </w:r>
      <w:r w:rsidRPr="00FA7F73">
        <w:rPr>
          <w:rFonts w:ascii="Arial" w:hAnsi="Arial" w:cs="Arial"/>
        </w:rPr>
        <w:fldChar w:fldCharType="end"/>
      </w:r>
      <w:r w:rsidRPr="00FA7F73">
        <w:rPr>
          <w:rFonts w:ascii="Arial" w:hAnsi="Arial" w:cs="Arial"/>
        </w:rPr>
        <w:t xml:space="preserve"> (</w:t>
      </w:r>
      <w:r w:rsidRPr="00FA7F73">
        <w:rPr>
          <w:rFonts w:ascii="Arial" w:hAnsi="Arial" w:cs="Arial"/>
          <w:b/>
        </w:rPr>
        <w:t>Fig. 3</w:t>
      </w:r>
      <w:r w:rsidRPr="00FA7F73">
        <w:rPr>
          <w:rFonts w:ascii="Arial" w:hAnsi="Arial" w:cs="Arial"/>
        </w:rPr>
        <w:t xml:space="preserve">). For Arabidopsis, stomatal development </w:t>
      </w:r>
      <w:r>
        <w:rPr>
          <w:rFonts w:ascii="Arial" w:hAnsi="Arial" w:cs="Arial"/>
        </w:rPr>
        <w:t>begins</w:t>
      </w:r>
      <w:r w:rsidRPr="00FA7F73">
        <w:rPr>
          <w:rFonts w:ascii="Arial" w:hAnsi="Arial" w:cs="Arial"/>
        </w:rPr>
        <w:t xml:space="preserve"> </w:t>
      </w:r>
      <w:r>
        <w:rPr>
          <w:rFonts w:ascii="Arial" w:hAnsi="Arial" w:cs="Arial"/>
        </w:rPr>
        <w:t>when m</w:t>
      </w:r>
      <w:r w:rsidRPr="00FA7F73">
        <w:rPr>
          <w:rFonts w:ascii="Arial" w:hAnsi="Arial" w:cs="Arial"/>
        </w:rPr>
        <w:t>eristemoid mother cell</w:t>
      </w:r>
      <w:r>
        <w:rPr>
          <w:rFonts w:ascii="Arial" w:hAnsi="Arial" w:cs="Arial"/>
        </w:rPr>
        <w:t>s (MMC) are</w:t>
      </w:r>
      <w:r w:rsidRPr="00FA7F73">
        <w:rPr>
          <w:rFonts w:ascii="Arial" w:hAnsi="Arial" w:cs="Arial"/>
        </w:rPr>
        <w:t xml:space="preserve"> specified from </w:t>
      </w:r>
      <w:r>
        <w:rPr>
          <w:rFonts w:ascii="Arial" w:hAnsi="Arial" w:cs="Arial"/>
        </w:rPr>
        <w:t xml:space="preserve">within a pool of </w:t>
      </w:r>
      <w:r w:rsidRPr="00FA7F73">
        <w:rPr>
          <w:rFonts w:ascii="Arial" w:hAnsi="Arial" w:cs="Arial"/>
        </w:rPr>
        <w:t>protodermal cells</w:t>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&lt;EndNote&gt;&lt;Cite&gt;&lt;Author&gt;Simmons&lt;/Author&gt;&lt;Year&gt;2016&lt;/Year&gt;&lt;IDText&gt;Transcriptional control of cell fate in the stomatal lineage&lt;/IDText&gt;&lt;DisplayText&gt;(Simmons and Bergmann, 2016)&lt;/DisplayText&gt;&lt;record&gt;&lt;dates&gt;&lt;pub-dates&gt;&lt;date&gt;2//&lt;/date&gt;&lt;/pub-dates&gt;&lt;year&gt;2016&lt;/year&gt;&lt;/dates&gt;&lt;urls&gt;&lt;related-urls&gt;&lt;url&gt;http://www.sciencedirect.com/science/article/pii/S136952661500148X&lt;/url&gt;&lt;/related-urls&gt;&lt;/urls&gt;&lt;isbn&gt;1369-5266&lt;/isbn&gt;&lt;titles&gt;&lt;title&gt;Transcriptional control of cell fate in the stomatal lineage&lt;/title&gt;&lt;secondary-title&gt;Current Opinion in Plant Biology&lt;/secondary-title&gt;&lt;/titles&gt;&lt;pages&gt;1-8&lt;/pages&gt;&lt;contributors&gt;&lt;authors&gt;&lt;author&gt;Simmons, Abigail R.&lt;/author&gt;&lt;author&gt;Bergmann, Dominique C.&lt;/author&gt;&lt;/authors&gt;&lt;/contributors&gt;&lt;added-date format="utc"&gt;1457767454&lt;/added-date&gt;&lt;ref-type name="Journal Article"&gt;17&lt;/ref-type&gt;&lt;rec-number&gt;1077&lt;/rec-number&gt;&lt;last-updated-date format="utc"&gt;1457767454&lt;/last-updated-date&gt;&lt;electronic-resource-num&gt;http://dx.doi.org/10.1016/j.pbi.2015.09.008&lt;/electronic-resource-num&gt;&lt;volume&gt;29&lt;/volume&gt;&lt;/record&gt;&lt;/Cite&gt;&lt;/EndNote&gt;</w:instrText>
      </w:r>
      <w:r>
        <w:rPr>
          <w:rFonts w:ascii="Arial" w:hAnsi="Arial" w:cs="Arial"/>
        </w:rPr>
        <w:fldChar w:fldCharType="separate"/>
      </w:r>
      <w:r>
        <w:rPr>
          <w:rFonts w:ascii="Arial" w:hAnsi="Arial" w:cs="Arial"/>
          <w:noProof/>
        </w:rPr>
        <w:t>(Simmons and Bergmann, 2016)</w:t>
      </w:r>
      <w:r>
        <w:rPr>
          <w:rFonts w:ascii="Arial" w:hAnsi="Arial" w:cs="Arial"/>
        </w:rPr>
        <w:fldChar w:fldCharType="end"/>
      </w:r>
      <w:r w:rsidRPr="00FA7F73">
        <w:rPr>
          <w:rFonts w:ascii="Arial" w:hAnsi="Arial" w:cs="Arial"/>
        </w:rPr>
        <w:t>. The MMC then divides asymmetrically</w:t>
      </w:r>
      <w:r>
        <w:rPr>
          <w:rFonts w:ascii="Arial" w:hAnsi="Arial" w:cs="Arial"/>
        </w:rPr>
        <w:t>,</w:t>
      </w:r>
      <w:r w:rsidRPr="00FA7F73">
        <w:rPr>
          <w:rFonts w:ascii="Arial" w:hAnsi="Arial" w:cs="Arial"/>
        </w:rPr>
        <w:t xml:space="preserve"> which leads to the formation of a meristemoid and a stomatal lineage ground cell (SLGC)</w:t>
      </w:r>
      <w:r>
        <w:rPr>
          <w:rFonts w:ascii="Arial" w:hAnsi="Arial" w:cs="Arial"/>
        </w:rPr>
        <w:t xml:space="preserve"> </w:t>
      </w:r>
      <w:r>
        <w:rPr>
          <w:rFonts w:ascii="Arial" w:hAnsi="Arial" w:cs="Arial"/>
        </w:rPr>
        <w:fldChar w:fldCharType="begin">
          <w:fldData xml:space="preserve">PEVuZE5vdGU+PENpdGU+PEF1dGhvcj5Sb2JpbnNvbjwvQXV0aG9yPjxZZWFyPjIwMTE8L1llYXI+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</w:fldData>
        </w:fldChar>
      </w:r>
      <w:r>
        <w:rPr>
          <w:rFonts w:ascii="Arial" w:hAnsi="Arial" w:cs="Arial"/>
        </w:rPr>
        <w:instrText xml:space="preserve"> ADDIN EN.CITE </w:instrText>
      </w:r>
      <w:r>
        <w:rPr>
          <w:rFonts w:ascii="Arial" w:hAnsi="Arial" w:cs="Arial"/>
        </w:rPr>
        <w:fldChar w:fldCharType="begin">
          <w:fldData xml:space="preserve">PEVuZE5vdGU+PENpdGU+PEF1dGhvcj5Sb2JpbnNvbjwvQXV0aG9yPjxZZWFyPjIwMTE8L1llYXI+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(Pillitteri and Dong, 2013; Robinson et al., 2011; Zhao and Sack, 1999)</w:t>
      </w:r>
      <w:r>
        <w:rPr>
          <w:rFonts w:ascii="Arial" w:hAnsi="Arial" w:cs="Arial"/>
        </w:rPr>
        <w:fldChar w:fldCharType="end"/>
      </w:r>
      <w:r w:rsidRPr="00FA7F73">
        <w:rPr>
          <w:rFonts w:ascii="Arial" w:hAnsi="Arial" w:cs="Arial"/>
        </w:rPr>
        <w:t>. The meristemoid can either further advance into the stomatal lineage to become a GMC or can maintain meristemoid state by undergoing a number of amplifying divisions</w:t>
      </w:r>
      <w:r>
        <w:rPr>
          <w:rFonts w:ascii="Arial" w:hAnsi="Arial" w:cs="Arial"/>
        </w:rPr>
        <w:t xml:space="preserve"> </w:t>
      </w:r>
      <w:r>
        <w:rPr>
          <w:rFonts w:ascii="Arial" w:hAnsi="Arial" w:cs="Arial"/>
        </w:rPr>
        <w:fldChar w:fldCharType="begin">
          <w:fldData xml:space="preserve">PEVuZE5vdGU+PENpdGU+PEF1dGhvcj5aaGFvPC9BdXRob3I+PFllYXI+MTk5OTwvWWVhcj48SURU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</w:fldData>
        </w:fldChar>
      </w:r>
      <w:r>
        <w:rPr>
          <w:rFonts w:ascii="Arial" w:hAnsi="Arial" w:cs="Arial"/>
        </w:rPr>
        <w:instrText xml:space="preserve"> ADDIN EN.CITE </w:instrText>
      </w:r>
      <w:r>
        <w:rPr>
          <w:rFonts w:ascii="Arial" w:hAnsi="Arial" w:cs="Arial"/>
        </w:rPr>
        <w:fldChar w:fldCharType="begin">
          <w:fldData xml:space="preserve">PEVuZE5vdGU+PENpdGU+PEF1dGhvcj5aaGFvPC9BdXRob3I+PFllYXI+MTk5OTwvWWVhcj48SURU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(Robinson et al., 2011; Zhao and Sack, 1999)</w:t>
      </w:r>
      <w:r>
        <w:rPr>
          <w:rFonts w:ascii="Arial" w:hAnsi="Arial" w:cs="Arial"/>
        </w:rPr>
        <w:fldChar w:fldCharType="end"/>
      </w:r>
      <w:r w:rsidRPr="00FA7F73">
        <w:rPr>
          <w:rFonts w:ascii="Arial" w:hAnsi="Arial" w:cs="Arial"/>
        </w:rPr>
        <w:t xml:space="preserve">. For each successive division an adjacent neighbouring SLGC is produced. </w:t>
      </w:r>
      <w:r>
        <w:rPr>
          <w:rFonts w:ascii="Arial" w:hAnsi="Arial" w:cs="Arial"/>
        </w:rPr>
        <w:t xml:space="preserve">Once a GMC has formed it undergoes a final symmetric division leading to the formation of a pair of guard cells. If the mature stoma is </w:t>
      </w:r>
      <w:r w:rsidRPr="00FA7F73">
        <w:rPr>
          <w:rFonts w:ascii="Arial" w:hAnsi="Arial" w:cs="Arial"/>
        </w:rPr>
        <w:t>entirely bordered by SLGC cells produced from the preceding divisions, it is termed mesogenous</w:t>
      </w:r>
      <w:r>
        <w:rPr>
          <w:rFonts w:ascii="Arial" w:hAnsi="Arial" w:cs="Arial"/>
        </w:rPr>
        <w:t xml:space="preserve"> </w:t>
      </w:r>
      <w:r>
        <w:rPr>
          <w:rFonts w:ascii="Arial" w:hAnsi="Arial" w:cs="Arial"/>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SURUZXh0PjxEaXNwbGF5VGV4dD4oUnVkYWxsIGV0IGFsLiwgMjAxMyk8L0Rpc3BsYXlUZXh0Pjxy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</w:fldData>
        </w:fldChar>
      </w:r>
      <w:r>
        <w:rPr>
          <w:rFonts w:ascii="Arial" w:hAnsi="Arial" w:cs="Arial"/>
        </w:rPr>
        <w:instrText xml:space="preserve"> ADDIN EN.CITE </w:instrText>
      </w:r>
      <w:r>
        <w:rPr>
          <w:rFonts w:ascii="Arial" w:hAnsi="Arial" w:cs="Arial"/>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SURUZXh0PjxEaXNwbGF5VGV4dD4oUnVkYWxsIGV0IGFsLiwgMjAxMyk8L0Rpc3BsYXlUZXh0Pjxy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(Rudall et al., 2013)</w:t>
      </w:r>
      <w:r>
        <w:rPr>
          <w:rFonts w:ascii="Arial" w:hAnsi="Arial" w:cs="Arial"/>
        </w:rPr>
        <w:fldChar w:fldCharType="end"/>
      </w:r>
      <w:r w:rsidRPr="00FA7F73">
        <w:rPr>
          <w:rFonts w:ascii="Arial" w:hAnsi="Arial" w:cs="Arial"/>
        </w:rPr>
        <w:t>. If the transition to GMC is more abrupt</w:t>
      </w:r>
      <w:r>
        <w:rPr>
          <w:rFonts w:ascii="Arial" w:hAnsi="Arial" w:cs="Arial"/>
        </w:rPr>
        <w:t>,</w:t>
      </w:r>
      <w:r w:rsidRPr="00FA7F73">
        <w:rPr>
          <w:rFonts w:ascii="Arial" w:hAnsi="Arial" w:cs="Arial"/>
        </w:rPr>
        <w:t xml:space="preserve"> with li</w:t>
      </w:r>
      <w:r>
        <w:rPr>
          <w:rFonts w:ascii="Arial" w:hAnsi="Arial" w:cs="Arial"/>
        </w:rPr>
        <w:t>ttle to no amplifying divisions, then the stoma</w:t>
      </w:r>
      <w:r w:rsidRPr="00FA7F73">
        <w:rPr>
          <w:rFonts w:ascii="Arial" w:hAnsi="Arial" w:cs="Arial"/>
        </w:rPr>
        <w:t xml:space="preserve"> </w:t>
      </w:r>
      <w:r>
        <w:rPr>
          <w:rFonts w:ascii="Arial" w:hAnsi="Arial" w:cs="Arial"/>
        </w:rPr>
        <w:t xml:space="preserve">will more likely be mesoperigenous as it is bordered by a </w:t>
      </w:r>
      <w:r>
        <w:rPr>
          <w:rFonts w:ascii="Arial" w:hAnsi="Arial" w:cs="Arial"/>
        </w:rPr>
        <w:lastRenderedPageBreak/>
        <w:t>combination of cells derived either from the same stomatal lineage as itself as well as other epidermal cells</w:t>
      </w:r>
      <w:r w:rsidRPr="00FA7F73">
        <w:rPr>
          <w:rFonts w:ascii="Arial" w:hAnsi="Arial" w:cs="Arial"/>
        </w:rPr>
        <w:t>. As well as stomata forming via asymmetric entry divisions, it is possible for stomata to arise via spacing divisions of SLGCs</w:t>
      </w:r>
      <w:r>
        <w:rPr>
          <w:rFonts w:ascii="Arial" w:hAnsi="Arial" w:cs="Arial"/>
        </w:rPr>
        <w:t xml:space="preserve"> </w:t>
      </w:r>
      <w:r>
        <w:rPr>
          <w:rFonts w:ascii="Arial" w:hAnsi="Arial" w:cs="Arial"/>
        </w:rPr>
        <w:fldChar w:fldCharType="begin"/>
      </w:r>
      <w:r w:rsidR="00417B1E">
        <w:rPr>
          <w:rFonts w:ascii="Arial" w:hAnsi="Arial" w:cs="Arial"/>
        </w:rPr>
        <w:instrText xml:space="preserve"> ADDIN EN.CITE &lt;EndNote&gt;&lt;Cite&gt;&lt;Author&gt;Nadeau&lt;/Author&gt;&lt;Year&gt;2002&lt;/Year&gt;&lt;IDText&gt;Stomatal Development in Arabidopsis&lt;/IDText&gt;&lt;DisplayText&gt;(Nadeau and Sack, 2002b)&lt;/DisplayText&gt;&lt;record&gt;&lt;dates&gt;&lt;pub-dates&gt;&lt;date&gt;09/30&lt;/date&gt;&lt;/pub-dates&gt;&lt;year&gt;2002&lt;/year&gt;&lt;/dates&gt;&lt;urls&gt;&lt;related-urls&gt;&lt;url&gt;http://www.ncbi.nlm.nih.gov/pmc/articles/PMC3243354/&lt;/url&gt;&lt;/related-urls&gt;&lt;/urls&gt;&lt;isbn&gt;1543-8120&lt;/isbn&gt;&lt;titles&gt;&lt;title&gt;Stomatal Development in Arabidopsis&lt;/title&gt;&lt;secondary-title&gt;The Arabidopsis Book / American Society of Plant Biologists&lt;/secondary-title&gt;&lt;/titles&gt;&lt;pages&gt;e0066&lt;/pages&gt;&lt;contributors&gt;&lt;authors&gt;&lt;author&gt;Nadeau, Jeanette A.&lt;/author&gt;&lt;author&gt;Sack, Fred D.&lt;/author&gt;&lt;/authors&gt;&lt;/contributors&gt;&lt;added-date format="utc"&gt;1470060078&lt;/added-date&gt;&lt;ref-type name="Journal Article"&gt;17&lt;/ref-type&gt;&lt;rec-number&gt;1325&lt;/rec-number&gt;&lt;publisher&gt;American Society of Plant Biologists&lt;/publisher&gt;&lt;last-updated-date format="utc"&gt;1470060078&lt;/last-updated-date&gt;&lt;accession-num&gt;PMC3243354&lt;/accession-num&gt;&lt;electronic-resource-num&gt;10.1199/tab.0066&lt;/electronic-resource-num&gt;&lt;volume&gt;1&lt;/volume&gt;&lt;remote-database-name&gt;PMC&lt;/remote-database-name&gt;&lt;/record&gt;&lt;/Cite&gt;&lt;/EndNote&gt;</w:instrText>
      </w:r>
      <w:r>
        <w:rPr>
          <w:rFonts w:ascii="Arial" w:hAnsi="Arial" w:cs="Arial"/>
        </w:rPr>
        <w:fldChar w:fldCharType="separate"/>
      </w:r>
      <w:r w:rsidR="00417B1E">
        <w:rPr>
          <w:rFonts w:ascii="Arial" w:hAnsi="Arial" w:cs="Arial"/>
          <w:noProof/>
        </w:rPr>
        <w:t>(Nadeau and Sack, 2002b)</w:t>
      </w:r>
      <w:r>
        <w:rPr>
          <w:rFonts w:ascii="Arial" w:hAnsi="Arial" w:cs="Arial"/>
        </w:rPr>
        <w:fldChar w:fldCharType="end"/>
      </w:r>
      <w:r>
        <w:rPr>
          <w:rFonts w:ascii="Arial" w:hAnsi="Arial" w:cs="Arial"/>
        </w:rPr>
        <w:t xml:space="preserve"> (</w:t>
      </w:r>
      <w:r>
        <w:rPr>
          <w:rFonts w:ascii="Arial" w:hAnsi="Arial" w:cs="Arial"/>
          <w:b/>
        </w:rPr>
        <w:t>Fig. 3</w:t>
      </w:r>
      <w:r>
        <w:rPr>
          <w:rFonts w:ascii="Arial" w:hAnsi="Arial" w:cs="Arial"/>
        </w:rPr>
        <w:t>)</w:t>
      </w:r>
      <w:r w:rsidRPr="00FA7F73">
        <w:rPr>
          <w:rFonts w:ascii="Arial" w:hAnsi="Arial" w:cs="Arial"/>
        </w:rPr>
        <w:t>. In such a case the SLGC will undergo an asymmetric division which forms a satellite meristemoid in a</w:t>
      </w:r>
      <w:r>
        <w:rPr>
          <w:rFonts w:ascii="Arial" w:hAnsi="Arial" w:cs="Arial"/>
        </w:rPr>
        <w:t xml:space="preserve"> location away from the initially formed meristemoid, which itself can then either transit to a GMC or undergo an amplifying divisions </w:t>
      </w:r>
      <w:r>
        <w:rPr>
          <w:rFonts w:ascii="Arial" w:hAnsi="Arial" w:cs="Arial"/>
        </w:rPr>
        <w:fldChar w:fldCharType="begin"/>
      </w:r>
      <w:r>
        <w:rPr>
          <w:rFonts w:ascii="Arial" w:hAnsi="Arial" w:cs="Arial"/>
        </w:rPr>
        <w:instrText xml:space="preserve"> ADDIN EN.CITE &lt;EndNote&gt;&lt;Cite&gt;&lt;Author&gt;Geisler&lt;/Author&gt;&lt;Year&gt;2000&lt;/Year&gt;&lt;IDText&gt;Oriented asymmetric divisions that generate the stomatal spacing pattern in Arabidopsis are disrupted by the too many mouths mutation&lt;/IDText&gt;&lt;DisplayText&gt;(Geisler et al., 2000)&lt;/DisplayText&gt;&lt;record&gt;&lt;dates&gt;&lt;pub-dates&gt;&lt;date&gt;Nov&lt;/date&gt;&lt;/pub-dates&gt;&lt;year&gt;2000&lt;/year&gt;&lt;/dates&gt;&lt;keywords&gt;&lt;keyword&gt;CELL-DIVISION&lt;/keyword&gt;&lt;keyword&gt;4 LIPS&lt;/keyword&gt;&lt;keyword&gt;FATE&lt;/keyword&gt;&lt;keyword&gt;EPIDERMIS&lt;/keyword&gt;&lt;keyword&gt;POLARITY&lt;/keyword&gt;&lt;keyword&gt;PLANTS&lt;/keyword&gt;&lt;keyword&gt;LEAVES&lt;/keyword&gt;&lt;keyword&gt;LEAF&lt;/keyword&gt;&lt;/keywords&gt;&lt;urls&gt;&lt;related-urls&gt;&lt;url&gt;&amp;lt;Go to ISI&amp;gt;://WOS:000165916900005&lt;/url&gt;&lt;/related-urls&gt;&lt;/urls&gt;&lt;isbn&gt;1040-4651&lt;/isbn&gt;&lt;work-type&gt;Article&lt;/work-type&gt;&lt;titles&gt;&lt;title&gt;Oriented asymmetric divisions that generate the stomatal spacing pattern in Arabidopsis are disrupted by the too many mouths mutation&lt;/title&gt;&lt;secondary-title&gt;Plant Cell&lt;/secondary-title&gt;&lt;alt-title&gt;Plant Cell&lt;/alt-title&gt;&lt;/titles&gt;&lt;pages&gt;2075-2086&lt;/pages&gt;&lt;number&gt;11&lt;/number&gt;&lt;contributors&gt;&lt;authors&gt;&lt;author&gt;Geisler, M.&lt;/author&gt;&lt;author&gt;Nadeau, J.&lt;/author&gt;&lt;author&gt;Sack, F. D.&lt;/author&gt;&lt;/authors&gt;&lt;/contributors&gt;&lt;language&gt;English&lt;/language&gt;&lt;added-date format="utc"&gt;1351503689&lt;/added-date&gt;&lt;ref-type name="Journal Article"&gt;17&lt;/ref-type&gt;&lt;auth-address&gt;Ohio State Univ, Dept Plant Biol, Columbus, OH 43210 USA.&amp;#xD;Sack, FD (reprint author), Ohio State Univ, Dept Plant Biol, Columbus, OH 43210 USA.&lt;/auth-address&gt;&lt;rec-number&gt;13&lt;/rec-number&gt;&lt;last-updated-date format="utc"&gt;1351503689&lt;/last-updated-date&gt;&lt;accession-num&gt;WOS:000165916900005&lt;/accession-num&gt;&lt;electronic-resource-num&gt;10.2307/3871106&lt;/electronic-resource-num&gt;&lt;volume&gt;12&lt;/volume&gt;&lt;/record&gt;&lt;/Cite&gt;&lt;/EndNote&gt;</w:instrText>
      </w:r>
      <w:r>
        <w:rPr>
          <w:rFonts w:ascii="Arial" w:hAnsi="Arial" w:cs="Arial"/>
        </w:rPr>
        <w:fldChar w:fldCharType="separate"/>
      </w:r>
      <w:r>
        <w:rPr>
          <w:rFonts w:ascii="Arial" w:hAnsi="Arial" w:cs="Arial"/>
          <w:noProof/>
        </w:rPr>
        <w:t>(Geisler et al., 2000)</w:t>
      </w:r>
      <w:r>
        <w:rPr>
          <w:rFonts w:ascii="Arial" w:hAnsi="Arial" w:cs="Arial"/>
        </w:rPr>
        <w:fldChar w:fldCharType="end"/>
      </w:r>
      <w:r>
        <w:rPr>
          <w:rFonts w:ascii="Arial" w:hAnsi="Arial" w:cs="Arial"/>
        </w:rPr>
        <w:t xml:space="preserve">. </w:t>
      </w:r>
    </w:p>
    <w:p w14:paraId="4445CAD9" w14:textId="77777777" w:rsidR="00311AE8" w:rsidRPr="00FA7F73" w:rsidRDefault="00311AE8" w:rsidP="00311AE8">
      <w:pPr>
        <w:spacing w:after="160" w:line="360" w:lineRule="auto"/>
        <w:rPr>
          <w:rFonts w:ascii="Arial" w:hAnsi="Arial" w:cs="Arial"/>
          <w:b/>
        </w:rPr>
      </w:pPr>
      <w:r w:rsidRPr="00FA7F73">
        <w:rPr>
          <w:rFonts w:ascii="Arial" w:hAnsi="Arial" w:cs="Arial"/>
          <w:b/>
          <w:noProof/>
          <w:lang w:eastAsia="ja-JP"/>
        </w:rPr>
        <w:drawing>
          <wp:inline distT="0" distB="0" distL="0" distR="0" wp14:anchorId="2A1EB1C0" wp14:editId="7695EC10">
            <wp:extent cx="5194300" cy="3443979"/>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 3.tif"/>
                    <pic:cNvPicPr/>
                  </pic:nvPicPr>
                  <pic:blipFill>
                    <a:blip r:embed="rId12">
                      <a:extLst>
                        <a:ext uri="{28A0092B-C50C-407E-A947-70E740481C1C}">
                          <a14:useLocalDpi xmlns:a14="http://schemas.microsoft.com/office/drawing/2010/main" val="0"/>
                        </a:ext>
                      </a:extLst>
                    </a:blip>
                    <a:stretch>
                      <a:fillRect/>
                    </a:stretch>
                  </pic:blipFill>
                  <pic:spPr>
                    <a:xfrm>
                      <a:off x="0" y="0"/>
                      <a:ext cx="5207245" cy="3452562"/>
                    </a:xfrm>
                    <a:prstGeom prst="rect">
                      <a:avLst/>
                    </a:prstGeom>
                  </pic:spPr>
                </pic:pic>
              </a:graphicData>
            </a:graphic>
          </wp:inline>
        </w:drawing>
      </w:r>
    </w:p>
    <w:p w14:paraId="4483B355" w14:textId="66DB50C5" w:rsidR="00311AE8" w:rsidRPr="00FA7F73" w:rsidRDefault="00311AE8" w:rsidP="00311AE8">
      <w:pPr>
        <w:spacing w:after="160" w:line="360" w:lineRule="auto"/>
        <w:rPr>
          <w:rFonts w:ascii="Arial" w:hAnsi="Arial" w:cs="Arial"/>
        </w:rPr>
      </w:pPr>
      <w:r w:rsidRPr="00AB2CE5">
        <w:rPr>
          <w:rFonts w:ascii="Arial" w:hAnsi="Arial" w:cs="Arial"/>
          <w:b/>
        </w:rPr>
        <w:t>Figure 3</w:t>
      </w:r>
      <w:r w:rsidRPr="00B0055A">
        <w:rPr>
          <w:rFonts w:ascii="Arial" w:hAnsi="Arial" w:cs="Arial"/>
          <w:b/>
        </w:rPr>
        <w:t xml:space="preserve">. Mesogenous and mesoperigenous stomata in </w:t>
      </w:r>
      <w:r w:rsidRPr="00B0055A">
        <w:rPr>
          <w:rFonts w:ascii="Arial" w:hAnsi="Arial" w:cs="Arial"/>
          <w:b/>
          <w:i/>
        </w:rPr>
        <w:t>Arabidopsis thaliana</w:t>
      </w:r>
      <w:r w:rsidRPr="00B0055A">
        <w:rPr>
          <w:rFonts w:ascii="Arial" w:hAnsi="Arial" w:cs="Arial"/>
          <w:b/>
        </w:rPr>
        <w:t xml:space="preserve"> adapted from Lau and Bergmann</w:t>
      </w:r>
      <w:r w:rsidRPr="00B0055A">
        <w:rPr>
          <w:rFonts w:ascii="Arial" w:hAnsi="Arial" w:cs="Arial"/>
          <w:b/>
          <w:i/>
        </w:rPr>
        <w:t xml:space="preserve"> </w:t>
      </w:r>
      <w:r w:rsidRPr="00B0055A">
        <w:rPr>
          <w:rFonts w:ascii="Arial" w:hAnsi="Arial" w:cs="Arial"/>
          <w:b/>
        </w:rPr>
        <w:fldChar w:fldCharType="begin"/>
      </w:r>
      <w:r>
        <w:rPr>
          <w:rFonts w:ascii="Arial" w:hAnsi="Arial" w:cs="Arial"/>
          <w:b/>
        </w:rPr>
        <w:instrText xml:space="preserve"> ADDIN EN.CITE &lt;EndNote&gt;&lt;Cite ExcludeAuth="1"&gt;&lt;Author&gt;Lau&lt;/Author&gt;&lt;Year&gt;2012&lt;/Year&gt;&lt;IDText&gt;Stomatal development: a plant&amp;apos;s perspective on cell polarity, cell fate transitions and intercellular communication&lt;/IDText&gt;&lt;DisplayText&gt;(2012)&lt;/DisplayText&gt;&lt;record&gt;&lt;dates&gt;&lt;pub-dates&gt;&lt;date&gt;Oct&lt;/date&gt;&lt;/pub-dates&gt;&lt;year&gt;2012&lt;/year&gt;&lt;/dates&gt;&lt;keywords&gt;&lt;keyword&gt;Stomatal development&lt;/keyword&gt;&lt;keyword&gt;Cell polarity&lt;/keyword&gt;&lt;keyword&gt;Intercellular communication&lt;/keyword&gt;&lt;keyword&gt;TRANSCRIPTION FACTOR&lt;/keyword&gt;&lt;keyword&gt;SECRETORY PEPTIDE&lt;/keyword&gt;&lt;keyword&gt;RECEPTOR KINASES&lt;/keyword&gt;&lt;keyword&gt;HLH PROTEINS&lt;/keyword&gt;&lt;keyword&gt;4 LIPS&lt;/keyword&gt;&lt;keyword&gt;ARABIDOPSIS&lt;/keyword&gt;&lt;keyword&gt;DIFFERENTIATION&lt;/keyword&gt;&lt;keyword&gt;DIVISION&lt;/keyword&gt;&lt;keyword&gt;DENSITY&lt;/keyword&gt;&lt;keyword&gt;MOUTHS&lt;/keyword&gt;&lt;/keywords&gt;&lt;urls&gt;&lt;related-urls&gt;&lt;url&gt;&amp;lt;Go to ISI&amp;gt;://WOS:000308976300003&lt;/url&gt;&lt;/related-urls&gt;&lt;/urls&gt;&lt;isbn&gt;0950-1991&lt;/isbn&gt;&lt;work-type&gt;Article&lt;/work-type&gt;&lt;titles&gt;&lt;title&gt;Stomatal development: a plant&amp;apos;s perspective on cell polarity, cell fate transitions and intercellular communication&lt;/title&gt;&lt;secondary-title&gt;Development&lt;/secondary-title&gt;&lt;alt-title&gt;Development&lt;/alt-title&gt;&lt;/titles&gt;&lt;pages&gt;3683-3692&lt;/pages&gt;&lt;number&gt;20&lt;/number&gt;&lt;contributors&gt;&lt;authors&gt;&lt;author&gt;Lau, O. S.&lt;/author&gt;&lt;author&gt;Bergmann, D. C.&lt;/author&gt;&lt;/authors&gt;&lt;/contributors&gt;&lt;language&gt;English&lt;/language&gt;&lt;added-date format="utc"&gt;1351499827&lt;/added-date&gt;&lt;ref-type name="Journal Article"&gt;17&lt;/ref-type&gt;&lt;auth-address&gt;[Bergmann, Dominique C.] Stanford Univ, Howard Hughes Med Inst, Stanford, CA 94305 USA. [Lau, On Sun&amp;#xD;Bergmann, Dominique C.] Stanford Univ, Dept Biol, Stanford, CA 94305 USA.&amp;#xD;Bergmann, DC (reprint author), Stanford Univ, Howard Hughes Med Inst, Stanford, CA 94305 USA.&amp;#xD;dbergmann@stanford.edu&lt;/auth-address&gt;&lt;rec-number&gt;9&lt;/rec-number&gt;&lt;last-updated-date format="utc"&gt;1351499827&lt;/last-updated-date&gt;&lt;accession-num&gt;WOS:000308976300003&lt;/accession-num&gt;&lt;electronic-resource-num&gt;10.1242/dev.080523&lt;/electronic-resource-num&gt;&lt;volume&gt;139&lt;/volume&gt;&lt;/record&gt;&lt;/Cite&gt;&lt;/EndNote&gt;</w:instrText>
      </w:r>
      <w:r w:rsidRPr="00B0055A">
        <w:rPr>
          <w:rFonts w:ascii="Arial" w:hAnsi="Arial" w:cs="Arial"/>
          <w:b/>
        </w:rPr>
        <w:fldChar w:fldCharType="separate"/>
      </w:r>
      <w:r w:rsidRPr="00B0055A">
        <w:rPr>
          <w:rFonts w:ascii="Arial" w:hAnsi="Arial" w:cs="Arial"/>
          <w:b/>
          <w:noProof/>
        </w:rPr>
        <w:t>(2012)</w:t>
      </w:r>
      <w:r w:rsidRPr="00B0055A">
        <w:rPr>
          <w:rFonts w:ascii="Arial" w:hAnsi="Arial" w:cs="Arial"/>
          <w:b/>
        </w:rPr>
        <w:fldChar w:fldCharType="end"/>
      </w:r>
      <w:r w:rsidRPr="00FA7F73">
        <w:rPr>
          <w:rFonts w:ascii="Arial" w:hAnsi="Arial" w:cs="Arial"/>
        </w:rPr>
        <w:t xml:space="preserve">. At the beginning of stomatal development in Arabidopsis a meristemoid mother cell (MMC) is specified from </w:t>
      </w:r>
      <w:r>
        <w:rPr>
          <w:rFonts w:ascii="Arial" w:hAnsi="Arial" w:cs="Arial"/>
        </w:rPr>
        <w:t xml:space="preserve">within a </w:t>
      </w:r>
      <w:r w:rsidRPr="00FA7F73">
        <w:rPr>
          <w:rFonts w:ascii="Arial" w:hAnsi="Arial" w:cs="Arial"/>
        </w:rPr>
        <w:t xml:space="preserve">pool of protodermal cells. The MMC undergoes an unequal asymmetric entry division which results in a smaller meristemoid cell and a larger stomatal lineage ground cell (SLGC). </w:t>
      </w:r>
      <w:r>
        <w:rPr>
          <w:rFonts w:ascii="Arial" w:hAnsi="Arial" w:cs="Arial"/>
        </w:rPr>
        <w:t xml:space="preserve">The meristemoid can then undergo a series of amplifying divisions which eventually cease leading to the formation of a guard mother cell (GMC) completely surrounded by cells produced by the preceding amplifying divisions. The GMC can then symmetrically divides to form a pair of guard cells. Stomata formed by such a process are termed mesogenous. Alternatively, meristemoids formed via asymmetric divisions can transition directly to GMCs, which then symmetrically divide to produce a pair of guard cells (See middle). In this instance because the stoma is not entirely encircled by cells derived from the same series of divisions it is termed mesoperigenous. Finally, the </w:t>
      </w:r>
      <w:r>
        <w:rPr>
          <w:rFonts w:ascii="Arial" w:hAnsi="Arial" w:cs="Arial"/>
        </w:rPr>
        <w:lastRenderedPageBreak/>
        <w:t xml:space="preserve">aforementioned SLGCs formed when MMCs asymmetrically divide can undergo a spacing division which leads to the formation of a satellite meristemoid which can either transit to a GMC (see bottom) or can undergo a small number of amplifying divisions. In such situations the satellite stomata will be mesoperigenous. It is unclear as to whether mesogenous satellite stomata form from satellite meristemoids. For a more detailed description of </w:t>
      </w:r>
      <w:r w:rsidR="00847DDD">
        <w:rPr>
          <w:rFonts w:ascii="Arial" w:hAnsi="Arial" w:cs="Arial"/>
        </w:rPr>
        <w:t xml:space="preserve">stomatal developmental ontogeny </w:t>
      </w:r>
      <w:r>
        <w:rPr>
          <w:rFonts w:ascii="Arial" w:hAnsi="Arial" w:cs="Arial"/>
        </w:rPr>
        <w:t xml:space="preserve">in Arabidopsis see Nadeau and Sack </w:t>
      </w:r>
      <w:r>
        <w:rPr>
          <w:rFonts w:ascii="Arial" w:hAnsi="Arial" w:cs="Arial"/>
        </w:rPr>
        <w:fldChar w:fldCharType="begin"/>
      </w:r>
      <w:r w:rsidR="00417B1E">
        <w:rPr>
          <w:rFonts w:ascii="Arial" w:hAnsi="Arial" w:cs="Arial"/>
        </w:rPr>
        <w:instrText xml:space="preserve"> ADDIN EN.CITE &lt;EndNote&gt;&lt;Cite ExcludeAuth="1"&gt;&lt;Author&gt;Nadeau&lt;/Author&gt;&lt;Year&gt;2002&lt;/Year&gt;&lt;IDText&gt;Stomatal Development in Arabidopsis&lt;/IDText&gt;&lt;DisplayText&gt;(2002b)&lt;/DisplayText&gt;&lt;record&gt;&lt;dates&gt;&lt;pub-dates&gt;&lt;date&gt;09/30&lt;/date&gt;&lt;/pub-dates&gt;&lt;year&gt;2002&lt;/year&gt;&lt;/dates&gt;&lt;urls&gt;&lt;related-urls&gt;&lt;url&gt;http://www.ncbi.nlm.nih.gov/pmc/articles/PMC3243354/&lt;/url&gt;&lt;/related-urls&gt;&lt;/urls&gt;&lt;isbn&gt;1543-8120&lt;/isbn&gt;&lt;titles&gt;&lt;title&gt;Stomatal Development in Arabidopsis&lt;/title&gt;&lt;secondary-title&gt;The Arabidopsis Book / American Society of Plant Biologists&lt;/secondary-title&gt;&lt;/titles&gt;&lt;pages&gt;e0066&lt;/pages&gt;&lt;contributors&gt;&lt;authors&gt;&lt;author&gt;Nadeau, Jeanette A.&lt;/author&gt;&lt;author&gt;Sack, Fred D.&lt;/author&gt;&lt;/authors&gt;&lt;/contributors&gt;&lt;added-date format="utc"&gt;1470060078&lt;/added-date&gt;&lt;ref-type name="Journal Article"&gt;17&lt;/ref-type&gt;&lt;rec-number&gt;1325&lt;/rec-number&gt;&lt;publisher&gt;American Society of Plant Biologists&lt;/publisher&gt;&lt;last-updated-date format="utc"&gt;1470060078&lt;/last-updated-date&gt;&lt;accession-num&gt;PMC3243354&lt;/accession-num&gt;&lt;electronic-resource-num&gt;10.1199/tab.0066&lt;/electronic-resource-num&gt;&lt;volume&gt;1&lt;/volume&gt;&lt;remote-database-name&gt;PMC&lt;/remote-database-name&gt;&lt;/record&gt;&lt;/Cite&gt;&lt;/EndNote&gt;</w:instrText>
      </w:r>
      <w:r>
        <w:rPr>
          <w:rFonts w:ascii="Arial" w:hAnsi="Arial" w:cs="Arial"/>
        </w:rPr>
        <w:fldChar w:fldCharType="separate"/>
      </w:r>
      <w:r w:rsidR="00417B1E">
        <w:rPr>
          <w:rFonts w:ascii="Arial" w:hAnsi="Arial" w:cs="Arial"/>
          <w:noProof/>
        </w:rPr>
        <w:t>(2002b)</w:t>
      </w:r>
      <w:r>
        <w:rPr>
          <w:rFonts w:ascii="Arial" w:hAnsi="Arial" w:cs="Arial"/>
        </w:rPr>
        <w:fldChar w:fldCharType="end"/>
      </w:r>
      <w:r>
        <w:rPr>
          <w:rFonts w:ascii="Arial" w:hAnsi="Arial" w:cs="Arial"/>
        </w:rPr>
        <w:t>.</w:t>
      </w:r>
    </w:p>
    <w:p w14:paraId="0B83AF2E" w14:textId="77777777" w:rsidR="00311AE8" w:rsidRPr="005316BD" w:rsidRDefault="00311AE8" w:rsidP="00311AE8">
      <w:pPr>
        <w:spacing w:after="160" w:line="360" w:lineRule="auto"/>
        <w:rPr>
          <w:rFonts w:ascii="Arial" w:hAnsi="Arial" w:cs="Arial"/>
          <w:u w:val="single"/>
        </w:rPr>
      </w:pPr>
      <w:r>
        <w:rPr>
          <w:rFonts w:ascii="Arial" w:hAnsi="Arial" w:cs="Arial"/>
          <w:u w:val="single"/>
        </w:rPr>
        <w:t xml:space="preserve">1.5 </w:t>
      </w:r>
      <w:r w:rsidRPr="00E5501E">
        <w:rPr>
          <w:rFonts w:ascii="Arial" w:hAnsi="Arial" w:cs="Arial"/>
          <w:u w:val="single"/>
        </w:rPr>
        <w:t xml:space="preserve">Stomatal development in the model organism </w:t>
      </w:r>
      <w:r w:rsidRPr="00E5501E">
        <w:rPr>
          <w:rFonts w:ascii="Arial" w:hAnsi="Arial" w:cs="Arial"/>
          <w:i/>
          <w:u w:val="single"/>
        </w:rPr>
        <w:t>Arabidopsis thaliana</w:t>
      </w:r>
    </w:p>
    <w:p w14:paraId="55E42F62" w14:textId="77777777" w:rsidR="00311AE8" w:rsidRDefault="00311AE8" w:rsidP="00311AE8">
      <w:pPr>
        <w:spacing w:after="160" w:line="360" w:lineRule="auto"/>
        <w:rPr>
          <w:rFonts w:ascii="Arial" w:hAnsi="Arial" w:cs="Arial"/>
        </w:rPr>
      </w:pPr>
      <w:r>
        <w:rPr>
          <w:rFonts w:ascii="Arial" w:hAnsi="Arial" w:cs="Arial"/>
        </w:rPr>
        <w:t xml:space="preserve">To identify whether stomatal developmental genes are conserved between distant land plant lineages, such as the moss </w:t>
      </w:r>
      <w:r>
        <w:rPr>
          <w:rFonts w:ascii="Arial" w:hAnsi="Arial" w:cs="Arial"/>
          <w:i/>
        </w:rPr>
        <w:t xml:space="preserve">P. patens, </w:t>
      </w:r>
      <w:r>
        <w:rPr>
          <w:rFonts w:ascii="Arial" w:hAnsi="Arial" w:cs="Arial"/>
        </w:rPr>
        <w:t xml:space="preserve">and more recently diverging vascular land plant lineages, such as the angiosperms, it first necessary to identify what is known in the latter. Many of the genes and gene networks relating to stomatal development have been identified in Arabidopsis </w:t>
      </w:r>
      <w:r>
        <w:rPr>
          <w:rFonts w:ascii="Arial" w:hAnsi="Arial" w:cs="Arial"/>
        </w:rPr>
        <w:fldChar w:fldCharType="begin">
          <w:fldData xml:space="preserve">PEVuZE5vdGU+PENpdGU+PEF1dGhvcj5TaW1tb25zPC9BdXRob3I+PFllYXI+MjAxNjwvWWVhcj48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</w:fldData>
        </w:fldChar>
      </w:r>
      <w:r>
        <w:rPr>
          <w:rFonts w:ascii="Arial" w:hAnsi="Arial" w:cs="Arial"/>
        </w:rPr>
        <w:instrText xml:space="preserve"> ADDIN EN.CITE </w:instrText>
      </w:r>
      <w:r>
        <w:rPr>
          <w:rFonts w:ascii="Arial" w:hAnsi="Arial" w:cs="Arial"/>
        </w:rPr>
        <w:fldChar w:fldCharType="begin">
          <w:fldData xml:space="preserve">PEVuZE5vdGU+PENpdGU+PEF1dGhvcj5TaW1tb25zPC9BdXRob3I+PFllYXI+MjAxNjwvWWVhcj48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(Engineer et al., 2014; MacAlister et al., 2007; Meng et al., 2015; Pillitteri and Dong, 2013; Simmons and Bergmann, 2016; Yang and Sack, 1995)</w:t>
      </w:r>
      <w:r>
        <w:rPr>
          <w:rFonts w:ascii="Arial" w:hAnsi="Arial" w:cs="Arial"/>
        </w:rPr>
        <w:fldChar w:fldCharType="end"/>
      </w:r>
      <w:r>
        <w:rPr>
          <w:rFonts w:ascii="Arial" w:hAnsi="Arial" w:cs="Arial"/>
        </w:rPr>
        <w:t xml:space="preserve">. The developmental mechanisms in Arabidopsis discussed below focus mainly on stomatal development in leaves. However, it has been shown that the mechanisms that underpin stomatal development are organ dependent with certain genes exhibiting different functions in different organs </w:t>
      </w:r>
      <w:r>
        <w:rPr>
          <w:rFonts w:ascii="Arial" w:hAnsi="Arial" w:cs="Arial"/>
        </w:rPr>
        <w:fldChar w:fldCharType="begin">
          <w:fldData xml:space="preserve">PEVuZE5vdGU+PENpdGU+PEF1dGhvcj5BYnJhc2g8L0F1dGhvcj48WWVhcj4yMDEwPC9ZZWFyPjxJ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</w:fldData>
        </w:fldChar>
      </w:r>
      <w:r>
        <w:rPr>
          <w:rFonts w:ascii="Arial" w:hAnsi="Arial" w:cs="Arial"/>
        </w:rPr>
        <w:instrText xml:space="preserve"> ADDIN EN.CITE </w:instrText>
      </w:r>
      <w:r>
        <w:rPr>
          <w:rFonts w:ascii="Arial" w:hAnsi="Arial" w:cs="Arial"/>
        </w:rPr>
        <w:fldChar w:fldCharType="begin">
          <w:fldData xml:space="preserve">PEVuZE5vdGU+PENpdGU+PEF1dGhvcj5BYnJhc2g8L0F1dGhvcj48WWVhcj4yMDEwPC9ZZWFyPjxJ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(Abrash and Bergmann, 2010; Geisler et al., 1998; Shpak et al., 2005)</w:t>
      </w:r>
      <w:r>
        <w:rPr>
          <w:rFonts w:ascii="Arial" w:hAnsi="Arial" w:cs="Arial"/>
        </w:rPr>
        <w:fldChar w:fldCharType="end"/>
      </w:r>
      <w:r>
        <w:rPr>
          <w:rFonts w:ascii="Arial" w:hAnsi="Arial" w:cs="Arial"/>
        </w:rPr>
        <w:t>. For further details relating to stomatal patterning in organs other than leaves, see chapter 4 and the aforementioned references.</w:t>
      </w:r>
    </w:p>
    <w:p w14:paraId="2DFA9ADE" w14:textId="77777777" w:rsidR="00311AE8" w:rsidRPr="004908DD" w:rsidRDefault="00311AE8" w:rsidP="00311AE8">
      <w:pPr>
        <w:spacing w:after="160" w:line="360" w:lineRule="auto"/>
        <w:rPr>
          <w:rFonts w:ascii="Arial" w:hAnsi="Arial" w:cs="Arial"/>
          <w:u w:val="single"/>
        </w:rPr>
      </w:pPr>
      <w:r>
        <w:rPr>
          <w:rFonts w:ascii="Arial" w:hAnsi="Arial" w:cs="Arial"/>
          <w:u w:val="single"/>
        </w:rPr>
        <w:t xml:space="preserve">1.5.1 </w:t>
      </w:r>
      <w:r w:rsidRPr="00E5501E">
        <w:rPr>
          <w:rFonts w:ascii="Arial" w:hAnsi="Arial" w:cs="Arial"/>
          <w:u w:val="single"/>
        </w:rPr>
        <w:t>Key transcription factors responsible for stomatal development in Arabidopsis</w:t>
      </w:r>
    </w:p>
    <w:p w14:paraId="02140F71" w14:textId="1DDABBF0" w:rsidR="00311AE8" w:rsidRPr="00FA7F73" w:rsidRDefault="00311AE8" w:rsidP="00311AE8">
      <w:pPr>
        <w:spacing w:after="160" w:line="360" w:lineRule="auto"/>
        <w:rPr>
          <w:rFonts w:ascii="Arial" w:hAnsi="Arial" w:cs="Arial"/>
        </w:rPr>
      </w:pPr>
      <w:r>
        <w:rPr>
          <w:rFonts w:ascii="Arial" w:hAnsi="Arial" w:cs="Arial"/>
        </w:rPr>
        <w:t xml:space="preserve">For stomatal development to be initiated and proceed in Arabidopsis, basic helix-loop-helix (bHLH) transcription factors are essential </w:t>
      </w:r>
      <w:r>
        <w:rPr>
          <w:rFonts w:ascii="Arial" w:hAnsi="Arial" w:cs="Arial"/>
        </w:rPr>
        <w:fldChar w:fldCharType="begin"/>
      </w:r>
      <w:r>
        <w:rPr>
          <w:rFonts w:ascii="Arial" w:hAnsi="Arial" w:cs="Arial"/>
        </w:rPr>
        <w:instrText xml:space="preserve"> ADDIN EN.CITE &lt;EndNote&gt;&lt;Cite&gt;&lt;Author&gt;Simmons&lt;/Author&gt;&lt;Year&gt;2016&lt;/Year&gt;&lt;IDText&gt;Transcriptional control of cell fate in the stomatal lineage&lt;/IDText&gt;&lt;DisplayText&gt;(Simmons and Bergmann, 2016)&lt;/DisplayText&gt;&lt;record&gt;&lt;dates&gt;&lt;pub-dates&gt;&lt;date&gt;2//&lt;/date&gt;&lt;/pub-dates&gt;&lt;year&gt;2016&lt;/year&gt;&lt;/dates&gt;&lt;urls&gt;&lt;related-urls&gt;&lt;url&gt;http://www.sciencedirect.com/science/article/pii/S136952661500148X&lt;/url&gt;&lt;/related-urls&gt;&lt;/urls&gt;&lt;isbn&gt;1369-5266&lt;/isbn&gt;&lt;titles&gt;&lt;title&gt;Transcriptional control of cell fate in the stomatal lineage&lt;/title&gt;&lt;secondary-title&gt;Current Opinion in Plant Biology&lt;/secondary-title&gt;&lt;/titles&gt;&lt;pages&gt;1-8&lt;/pages&gt;&lt;contributors&gt;&lt;authors&gt;&lt;author&gt;Simmons, Abigail R.&lt;/author&gt;&lt;author&gt;Bergmann, Dominique C.&lt;/author&gt;&lt;/authors&gt;&lt;/contributors&gt;&lt;added-date format="utc"&gt;1457767454&lt;/added-date&gt;&lt;ref-type name="Journal Article"&gt;17&lt;/ref-type&gt;&lt;rec-number&gt;1077&lt;/rec-number&gt;&lt;last-updated-date format="utc"&gt;1457767454&lt;/last-updated-date&gt;&lt;electronic-resource-num&gt;http://dx.doi.org/10.1016/j.pbi.2015.09.008&lt;/electronic-resource-num&gt;&lt;volume&gt;29&lt;/volume&gt;&lt;/record&gt;&lt;/Cite&gt;&lt;/EndNote&gt;</w:instrText>
      </w:r>
      <w:r>
        <w:rPr>
          <w:rFonts w:ascii="Arial" w:hAnsi="Arial" w:cs="Arial"/>
        </w:rPr>
        <w:fldChar w:fldCharType="separate"/>
      </w:r>
      <w:r>
        <w:rPr>
          <w:rFonts w:ascii="Arial" w:hAnsi="Arial" w:cs="Arial"/>
          <w:noProof/>
        </w:rPr>
        <w:t>(Simmons and Bergmann, 2016)</w:t>
      </w:r>
      <w:r>
        <w:rPr>
          <w:rFonts w:ascii="Arial" w:hAnsi="Arial" w:cs="Arial"/>
        </w:rPr>
        <w:fldChar w:fldCharType="end"/>
      </w:r>
      <w:r>
        <w:rPr>
          <w:rFonts w:ascii="Arial" w:hAnsi="Arial" w:cs="Arial"/>
        </w:rPr>
        <w:t xml:space="preserve">. These include three group 1A members: </w:t>
      </w:r>
      <w:r w:rsidRPr="00E73433">
        <w:rPr>
          <w:rFonts w:ascii="Arial" w:hAnsi="Arial" w:cs="Arial"/>
        </w:rPr>
        <w:t>SPEECHLESS</w:t>
      </w:r>
      <w:r>
        <w:rPr>
          <w:rFonts w:ascii="Arial" w:hAnsi="Arial" w:cs="Arial"/>
        </w:rPr>
        <w:t xml:space="preserve"> (SPCH), MUTE and FAMA which independently heterodimerise with either of the two group 3B members: ICE1/ SCREAM (SCRM) or ICE2/SCRM2 (</w:t>
      </w:r>
      <w:r>
        <w:rPr>
          <w:rFonts w:ascii="Arial" w:hAnsi="Arial" w:cs="Arial"/>
          <w:b/>
        </w:rPr>
        <w:t>Fig. 4</w:t>
      </w:r>
      <w:r>
        <w:rPr>
          <w:rFonts w:ascii="Arial" w:hAnsi="Arial" w:cs="Arial"/>
        </w:rPr>
        <w:t xml:space="preserve">) </w:t>
      </w:r>
      <w:r>
        <w:rPr>
          <w:rFonts w:ascii="Arial" w:hAnsi="Arial" w:cs="Arial"/>
        </w:rPr>
        <w:fldChar w:fldCharType="begin">
          <w:fldData xml:space="preserve">PEVuZE5vdGU+PENpdGU+PEF1dGhvcj5NYWNBbGlzdGVyPC9BdXRob3I+PFllYXI+MjAwNzwvWWVh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</w:fldData>
        </w:fldChar>
      </w:r>
      <w:r>
        <w:rPr>
          <w:rFonts w:ascii="Arial" w:hAnsi="Arial" w:cs="Arial"/>
        </w:rPr>
        <w:instrText xml:space="preserve"> ADDIN EN.CITE </w:instrText>
      </w:r>
      <w:r>
        <w:rPr>
          <w:rFonts w:ascii="Arial" w:hAnsi="Arial" w:cs="Arial"/>
        </w:rPr>
        <w:fldChar w:fldCharType="begin">
          <w:fldData xml:space="preserve">PEVuZE5vdGU+PENpdGU+PEF1dGhvcj5NYWNBbGlzdGVyPC9BdXRob3I+PFllYXI+MjAwNzwvWWVh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(Kanaoka et al., 2008; MacAlister et al., 2007; Ohashi-Ito and Bergmann, 2006; Pillitteri et al., 2007; Pires and Dolan, 2010)</w:t>
      </w:r>
      <w:r>
        <w:rPr>
          <w:rFonts w:ascii="Arial" w:hAnsi="Arial" w:cs="Arial"/>
        </w:rPr>
        <w:fldChar w:fldCharType="end"/>
      </w:r>
      <w:r>
        <w:rPr>
          <w:rFonts w:ascii="Arial" w:hAnsi="Arial" w:cs="Arial"/>
        </w:rPr>
        <w:t>. For further details relating to bHLH functioning see also chapter 3. In the early stages of stomatal development, for specification of MMC cells and subsequent asymmetric entry and amplifying divisions a heterodimer consisting of either SPCH-SCRM or SPCH-SCRM2 is required (</w:t>
      </w:r>
      <w:r>
        <w:rPr>
          <w:rFonts w:ascii="Arial" w:hAnsi="Arial" w:cs="Arial"/>
          <w:b/>
        </w:rPr>
        <w:t>Fig. 4</w:t>
      </w:r>
      <w:r>
        <w:rPr>
          <w:rFonts w:ascii="Arial" w:hAnsi="Arial" w:cs="Arial"/>
        </w:rPr>
        <w:t xml:space="preserve">) </w:t>
      </w:r>
      <w:r>
        <w:rPr>
          <w:rFonts w:ascii="Arial" w:hAnsi="Arial" w:cs="Arial"/>
        </w:rPr>
        <w:fldChar w:fldCharType="begin">
          <w:fldData xml:space="preserve">PEVuZE5vdGU+PENpdGU+PEF1dGhvcj5NYWNBbGlzdGVyPC9BdXRob3I+PFllYXI+MjAwNzwvWWVh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PEVuZE5vdGU+PENpdGU+PEF1dGhvcj5NYWNBbGlzdGVyPC9BdXRob3I+PFllYXI+MjAwNzwvWWVh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(Kanaoka et al., 2008; MacAlister et al., 2007)</w:t>
      </w:r>
      <w:r>
        <w:rPr>
          <w:rFonts w:ascii="Arial" w:hAnsi="Arial" w:cs="Arial"/>
        </w:rPr>
        <w:fldChar w:fldCharType="end"/>
      </w:r>
      <w:r>
        <w:rPr>
          <w:rFonts w:ascii="Arial" w:hAnsi="Arial" w:cs="Arial"/>
        </w:rPr>
        <w:t xml:space="preserve">. To integrate these transitions and divisions, SPCH-SCRM/2 upregulates a number of key patterning genes and drives its own expression </w:t>
      </w:r>
      <w:r>
        <w:rPr>
          <w:rFonts w:ascii="Arial" w:hAnsi="Arial" w:cs="Arial"/>
        </w:rPr>
        <w:fldChar w:fldCharType="begin">
          <w:fldData xml:space="preserve">PEVuZE5vdGU+PENpdGU+PEF1dGhvcj5MYXU8L0F1dGhvcj48WWVhcj4yMDE0PC9ZZWFyPjxJRFRl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</w:fldData>
        </w:fldChar>
      </w:r>
      <w:r>
        <w:rPr>
          <w:rFonts w:ascii="Arial" w:hAnsi="Arial" w:cs="Arial"/>
        </w:rPr>
        <w:instrText xml:space="preserve"> ADDIN EN.CITE </w:instrText>
      </w:r>
      <w:r>
        <w:rPr>
          <w:rFonts w:ascii="Arial" w:hAnsi="Arial" w:cs="Arial"/>
        </w:rPr>
        <w:fldChar w:fldCharType="begin">
          <w:fldData xml:space="preserve">PEVuZE5vdGU+PENpdGU+PEF1dGhvcj5MYXU8L0F1dGhvcj48WWVhcj4yMDE0PC9ZZWFyPjxJRFRl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(Lau et al., 2014)</w:t>
      </w:r>
      <w:r>
        <w:rPr>
          <w:rFonts w:ascii="Arial" w:hAnsi="Arial" w:cs="Arial"/>
        </w:rPr>
        <w:fldChar w:fldCharType="end"/>
      </w:r>
      <w:r>
        <w:rPr>
          <w:rFonts w:ascii="Arial" w:hAnsi="Arial" w:cs="Arial"/>
        </w:rPr>
        <w:t xml:space="preserve">. To advance further into the stomatal lineage, thereby promoting GMC </w:t>
      </w:r>
      <w:r>
        <w:rPr>
          <w:rFonts w:ascii="Arial" w:hAnsi="Arial" w:cs="Arial"/>
        </w:rPr>
        <w:lastRenderedPageBreak/>
        <w:t xml:space="preserve">formation, MUTE and either of the SCRMs is required </w:t>
      </w:r>
      <w:r>
        <w:rPr>
          <w:rFonts w:ascii="Arial" w:hAnsi="Arial" w:cs="Arial"/>
        </w:rPr>
        <w:fldChar w:fldCharType="begin">
          <w:fldData xml:space="preserve">PEVuZE5vdGU+PENpdGU+PEF1dGhvcj5QaWxsaXR0ZXJpPC9BdXRob3I+PFllYXI+MjAwNzwvWWVh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</w:fldData>
        </w:fldChar>
      </w:r>
      <w:r>
        <w:rPr>
          <w:rFonts w:ascii="Arial" w:hAnsi="Arial" w:cs="Arial"/>
        </w:rPr>
        <w:instrText xml:space="preserve"> ADDIN EN.CITE </w:instrText>
      </w:r>
      <w:r>
        <w:rPr>
          <w:rFonts w:ascii="Arial" w:hAnsi="Arial" w:cs="Arial"/>
        </w:rPr>
        <w:fldChar w:fldCharType="begin">
          <w:fldData xml:space="preserve">PEVuZE5vdGU+PENpdGU+PEF1dGhvcj5QaWxsaXR0ZXJpPC9BdXRob3I+PFllYXI+MjAwNzwvWWVh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(Kanaoka et al., 2008; Pillitteri et al., 2007)</w:t>
      </w:r>
      <w:r>
        <w:rPr>
          <w:rFonts w:ascii="Arial" w:hAnsi="Arial" w:cs="Arial"/>
        </w:rPr>
        <w:fldChar w:fldCharType="end"/>
      </w:r>
      <w:r>
        <w:rPr>
          <w:rFonts w:ascii="Arial" w:hAnsi="Arial" w:cs="Arial"/>
        </w:rPr>
        <w:t xml:space="preserve">. The final symmetric division of a GMC, which leads to the formation of two guard cells, is governed by FAMA and either of the SCRMs </w:t>
      </w:r>
      <w:r>
        <w:rPr>
          <w:rFonts w:ascii="Arial" w:hAnsi="Arial" w:cs="Arial"/>
        </w:rPr>
        <w:fldChar w:fldCharType="begin">
          <w:fldData xml:space="preserve">PEVuZE5vdGU+PENpdGU+PEF1dGhvcj5PaGFzaGktSXRvPC9BdXRob3I+PFllYXI+MjAwNjwvWWVh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</w:fldData>
        </w:fldChar>
      </w:r>
      <w:r>
        <w:rPr>
          <w:rFonts w:ascii="Arial" w:hAnsi="Arial" w:cs="Arial"/>
        </w:rPr>
        <w:instrText xml:space="preserve"> ADDIN EN.CITE </w:instrText>
      </w:r>
      <w:r>
        <w:rPr>
          <w:rFonts w:ascii="Arial" w:hAnsi="Arial" w:cs="Arial"/>
        </w:rPr>
        <w:fldChar w:fldCharType="begin">
          <w:fldData xml:space="preserve">PEVuZE5vdGU+PENpdGU+PEF1dGhvcj5PaGFzaGktSXRvPC9BdXRob3I+PFllYXI+MjAwNjwvWWVh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(Ohashi-Ito and Bergmann, 2006)</w:t>
      </w:r>
      <w:r>
        <w:rPr>
          <w:rFonts w:ascii="Arial" w:hAnsi="Arial" w:cs="Arial"/>
        </w:rPr>
        <w:fldChar w:fldCharType="end"/>
      </w:r>
      <w:r>
        <w:rPr>
          <w:rFonts w:ascii="Arial" w:hAnsi="Arial" w:cs="Arial"/>
        </w:rPr>
        <w:t xml:space="preserve">. This final step is also regulated by the MYB transcription factors FOUR LIPS (FLP) and MYB88 </w:t>
      </w:r>
      <w:r>
        <w:rPr>
          <w:rFonts w:ascii="Arial" w:hAnsi="Arial" w:cs="Arial"/>
        </w:rPr>
        <w:fldChar w:fldCharType="begin">
          <w:fldData xml:space="preserve">PEVuZE5vdGU+PENpdGU+PEF1dGhvcj5MZWU8L0F1dGhvcj48WWVhcj4yMDEzPC9ZZWFyPjxJRFRl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</w:fldData>
        </w:fldChar>
      </w:r>
      <w:r w:rsidR="00417B1E">
        <w:rPr>
          <w:rFonts w:ascii="Arial" w:hAnsi="Arial" w:cs="Arial"/>
        </w:rPr>
        <w:instrText xml:space="preserve"> ADDIN EN.CITE </w:instrText>
      </w:r>
      <w:r w:rsidR="00417B1E">
        <w:rPr>
          <w:rFonts w:ascii="Arial" w:hAnsi="Arial" w:cs="Arial"/>
        </w:rPr>
        <w:fldChar w:fldCharType="begin">
          <w:fldData xml:space="preserve">PEVuZE5vdGU+PENpdGU+PEF1dGhvcj5MZWU8L0F1dGhvcj48WWVhcj4yMDEzPC9ZZWFyPjxJRFRl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</w:fldData>
        </w:fldChar>
      </w:r>
      <w:r w:rsidR="00417B1E">
        <w:rPr>
          <w:rFonts w:ascii="Arial" w:hAnsi="Arial" w:cs="Arial"/>
        </w:rPr>
        <w:instrText xml:space="preserve"> ADDIN EN.CITE.DATA </w:instrText>
      </w:r>
      <w:r w:rsidR="00417B1E">
        <w:rPr>
          <w:rFonts w:ascii="Arial" w:hAnsi="Arial" w:cs="Arial"/>
        </w:rPr>
      </w:r>
      <w:r w:rsidR="00417B1E">
        <w:rPr>
          <w:rFonts w:ascii="Arial" w:hAnsi="Arial" w:cs="Arial"/>
        </w:rPr>
        <w:fldChar w:fldCharType="end"/>
      </w:r>
      <w:r>
        <w:rPr>
          <w:rFonts w:ascii="Arial" w:hAnsi="Arial" w:cs="Arial"/>
        </w:rPr>
      </w:r>
      <w:r>
        <w:rPr>
          <w:rFonts w:ascii="Arial" w:hAnsi="Arial" w:cs="Arial"/>
        </w:rPr>
        <w:fldChar w:fldCharType="separate"/>
      </w:r>
      <w:r w:rsidR="00417B1E">
        <w:rPr>
          <w:rFonts w:ascii="Arial" w:hAnsi="Arial" w:cs="Arial"/>
          <w:noProof/>
        </w:rPr>
        <w:t>(Lai et al., 2005; Lee et al., 2013; Lee et al., 2014a)</w:t>
      </w:r>
      <w:r>
        <w:rPr>
          <w:rFonts w:ascii="Arial" w:hAnsi="Arial" w:cs="Arial"/>
        </w:rPr>
        <w:fldChar w:fldCharType="end"/>
      </w:r>
    </w:p>
    <w:p w14:paraId="56A11EE4" w14:textId="77777777" w:rsidR="00311AE8" w:rsidRDefault="00311AE8" w:rsidP="00311AE8">
      <w:pPr>
        <w:spacing w:after="160" w:line="360" w:lineRule="auto"/>
        <w:rPr>
          <w:rFonts w:ascii="Arial" w:hAnsi="Arial" w:cs="Arial"/>
          <w:b/>
        </w:rPr>
      </w:pPr>
      <w:r>
        <w:rPr>
          <w:rFonts w:ascii="Arial" w:hAnsi="Arial" w:cs="Arial"/>
          <w:b/>
          <w:noProof/>
          <w:lang w:eastAsia="ja-JP"/>
        </w:rPr>
        <w:drawing>
          <wp:inline distT="0" distB="0" distL="0" distR="0" wp14:anchorId="708E0F6E" wp14:editId="14F2E547">
            <wp:extent cx="5155324" cy="3947506"/>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4 MODded09061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68724" cy="3957767"/>
                    </a:xfrm>
                    <a:prstGeom prst="rect">
                      <a:avLst/>
                    </a:prstGeom>
                  </pic:spPr>
                </pic:pic>
              </a:graphicData>
            </a:graphic>
          </wp:inline>
        </w:drawing>
      </w:r>
    </w:p>
    <w:p w14:paraId="7E2AFD8C" w14:textId="3461C53C" w:rsidR="00311AE8" w:rsidRDefault="00311AE8" w:rsidP="00311AE8">
      <w:pPr>
        <w:spacing w:after="160" w:line="360" w:lineRule="auto"/>
        <w:rPr>
          <w:rFonts w:ascii="Arial" w:hAnsi="Arial" w:cs="Arial"/>
        </w:rPr>
      </w:pPr>
      <w:r w:rsidRPr="00AB2CE5">
        <w:rPr>
          <w:rFonts w:ascii="Arial" w:hAnsi="Arial" w:cs="Arial"/>
          <w:b/>
        </w:rPr>
        <w:t>Figure 4</w:t>
      </w:r>
      <w:r w:rsidRPr="00B0055A">
        <w:rPr>
          <w:rFonts w:ascii="Arial" w:hAnsi="Arial" w:cs="Arial"/>
          <w:b/>
        </w:rPr>
        <w:t xml:space="preserve">. </w:t>
      </w:r>
      <w:r w:rsidRPr="00AB2CE5">
        <w:rPr>
          <w:rFonts w:ascii="Arial" w:hAnsi="Arial" w:cs="Arial"/>
          <w:b/>
        </w:rPr>
        <w:t xml:space="preserve">Overview of Stomatal development in </w:t>
      </w:r>
      <w:r w:rsidRPr="00AB2CE5">
        <w:rPr>
          <w:rFonts w:ascii="Arial" w:hAnsi="Arial" w:cs="Arial"/>
          <w:b/>
          <w:i/>
        </w:rPr>
        <w:t>Arabidopsis thaliana</w:t>
      </w:r>
      <w:r w:rsidRPr="00AB2CE5">
        <w:rPr>
          <w:rFonts w:ascii="Arial" w:hAnsi="Arial" w:cs="Arial"/>
          <w:b/>
        </w:rPr>
        <w:t xml:space="preserve"> adapted from Pillitteri and Torii </w:t>
      </w:r>
      <w:r w:rsidRPr="00AB2CE5">
        <w:rPr>
          <w:rFonts w:ascii="Arial" w:hAnsi="Arial" w:cs="Arial"/>
          <w:b/>
        </w:rPr>
        <w:fldChar w:fldCharType="begin">
          <w:fldData xml:space="preserve">PEVuZE5vdGU+PENpdGUgRXhjbHVkZUF1dGg9IjEiPjxBdXRob3I+UGlsbGl0dGVyaTwvQXV0aG9y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</w:fldData>
        </w:fldChar>
      </w:r>
      <w:r>
        <w:rPr>
          <w:rFonts w:ascii="Arial" w:hAnsi="Arial" w:cs="Arial"/>
          <w:b/>
        </w:rPr>
        <w:instrText xml:space="preserve"> ADDIN EN.CITE </w:instrText>
      </w:r>
      <w:r>
        <w:rPr>
          <w:rFonts w:ascii="Arial" w:hAnsi="Arial" w:cs="Arial"/>
          <w:b/>
        </w:rPr>
        <w:fldChar w:fldCharType="begin">
          <w:fldData xml:space="preserve">PEVuZE5vdGU+PENpdGUgRXhjbHVkZUF1dGg9IjEiPjxBdXRob3I+UGlsbGl0dGVyaTwvQXV0aG9y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</w:fldData>
        </w:fldChar>
      </w:r>
      <w:r>
        <w:rPr>
          <w:rFonts w:ascii="Arial" w:hAnsi="Arial" w:cs="Arial"/>
          <w:b/>
        </w:rPr>
        <w:instrText xml:space="preserve"> ADDIN EN.CITE.DATA </w:instrText>
      </w:r>
      <w:r>
        <w:rPr>
          <w:rFonts w:ascii="Arial" w:hAnsi="Arial" w:cs="Arial"/>
          <w:b/>
        </w:rPr>
      </w:r>
      <w:r>
        <w:rPr>
          <w:rFonts w:ascii="Arial" w:hAnsi="Arial" w:cs="Arial"/>
          <w:b/>
        </w:rPr>
        <w:fldChar w:fldCharType="end"/>
      </w:r>
      <w:r w:rsidRPr="00AB2CE5">
        <w:rPr>
          <w:rFonts w:ascii="Arial" w:hAnsi="Arial" w:cs="Arial"/>
          <w:b/>
        </w:rPr>
      </w:r>
      <w:r w:rsidRPr="00AB2CE5">
        <w:rPr>
          <w:rFonts w:ascii="Arial" w:hAnsi="Arial" w:cs="Arial"/>
          <w:b/>
        </w:rPr>
        <w:fldChar w:fldCharType="separate"/>
      </w:r>
      <w:r w:rsidRPr="00AB2CE5">
        <w:rPr>
          <w:rFonts w:ascii="Arial" w:hAnsi="Arial" w:cs="Arial"/>
          <w:b/>
          <w:noProof/>
        </w:rPr>
        <w:t>(2012)</w:t>
      </w:r>
      <w:r w:rsidRPr="00AB2CE5">
        <w:rPr>
          <w:rFonts w:ascii="Arial" w:hAnsi="Arial" w:cs="Arial"/>
          <w:b/>
        </w:rPr>
        <w:fldChar w:fldCharType="end"/>
      </w:r>
      <w:r w:rsidRPr="00AB2CE5">
        <w:rPr>
          <w:rFonts w:ascii="Arial" w:hAnsi="Arial" w:cs="Arial"/>
          <w:b/>
        </w:rPr>
        <w:t>.</w:t>
      </w:r>
      <w:r>
        <w:rPr>
          <w:rFonts w:ascii="Arial" w:hAnsi="Arial" w:cs="Arial"/>
          <w:b/>
        </w:rPr>
        <w:t xml:space="preserve"> </w:t>
      </w:r>
      <w:r w:rsidRPr="00FA7F73">
        <w:rPr>
          <w:rFonts w:ascii="Arial" w:hAnsi="Arial" w:cs="Arial"/>
        </w:rPr>
        <w:t xml:space="preserve"> </w:t>
      </w:r>
      <w:r>
        <w:rPr>
          <w:rFonts w:ascii="Arial" w:hAnsi="Arial" w:cs="Arial"/>
        </w:rPr>
        <w:t>The initiation of stomatal development in Arabidopsis</w:t>
      </w:r>
      <w:r>
        <w:rPr>
          <w:rFonts w:ascii="Arial" w:hAnsi="Arial" w:cs="Arial"/>
          <w:i/>
        </w:rPr>
        <w:t xml:space="preserve"> </w:t>
      </w:r>
      <w:r>
        <w:rPr>
          <w:rFonts w:ascii="Arial" w:hAnsi="Arial" w:cs="Arial"/>
        </w:rPr>
        <w:t>occurs in the nucleus where a bHLH heterodimer forms between SPEECHLESS (</w:t>
      </w:r>
      <w:r w:rsidRPr="00FA7F73">
        <w:rPr>
          <w:rFonts w:ascii="Arial" w:hAnsi="Arial" w:cs="Arial"/>
        </w:rPr>
        <w:t>SPC</w:t>
      </w:r>
      <w:r>
        <w:rPr>
          <w:rFonts w:ascii="Arial" w:hAnsi="Arial" w:cs="Arial"/>
        </w:rPr>
        <w:t>H) and ICE1/SCREA</w:t>
      </w:r>
      <w:r w:rsidRPr="00FA7F73">
        <w:rPr>
          <w:rFonts w:ascii="Arial" w:hAnsi="Arial" w:cs="Arial"/>
        </w:rPr>
        <w:t>M</w:t>
      </w:r>
      <w:r>
        <w:rPr>
          <w:rFonts w:ascii="Arial" w:hAnsi="Arial" w:cs="Arial"/>
        </w:rPr>
        <w:t xml:space="preserve"> (SCRM)</w:t>
      </w:r>
      <w:r w:rsidRPr="00FA7F73">
        <w:rPr>
          <w:rFonts w:ascii="Arial" w:hAnsi="Arial" w:cs="Arial"/>
        </w:rPr>
        <w:t xml:space="preserve"> </w:t>
      </w:r>
      <w:r>
        <w:rPr>
          <w:rFonts w:ascii="Arial" w:hAnsi="Arial" w:cs="Arial"/>
        </w:rPr>
        <w:t xml:space="preserve">or SCRM2 which promotes the formation of a meristemoid mother cell </w:t>
      </w:r>
      <w:r w:rsidRPr="00FA7F73">
        <w:rPr>
          <w:rFonts w:ascii="Arial" w:hAnsi="Arial" w:cs="Arial"/>
        </w:rPr>
        <w:t>(MMC</w:t>
      </w:r>
      <w:r>
        <w:rPr>
          <w:rFonts w:ascii="Arial" w:hAnsi="Arial" w:cs="Arial"/>
        </w:rPr>
        <w:t>, marked light blue</w:t>
      </w:r>
      <w:r w:rsidRPr="00FA7F73">
        <w:rPr>
          <w:rFonts w:ascii="Arial" w:hAnsi="Arial" w:cs="Arial"/>
        </w:rPr>
        <w:t>)</w:t>
      </w:r>
      <w:r>
        <w:rPr>
          <w:rFonts w:ascii="Arial" w:hAnsi="Arial" w:cs="Arial"/>
        </w:rPr>
        <w:t xml:space="preserve"> from a protodermal cell (clear round cell). SPCH and SCRM/2 then act to instigate an asymmetric division of the MMC which produces a smaller meristemoid (dark blue) and larger neighbouring stomatal lineage ground cell. To integrate these processes SPCH-SCRM/2 upregulate a number of patterning genes including </w:t>
      </w:r>
      <w:r>
        <w:rPr>
          <w:rFonts w:ascii="Arial" w:hAnsi="Arial" w:cs="Arial"/>
          <w:i/>
        </w:rPr>
        <w:t>ERECTA-like 2</w:t>
      </w:r>
      <w:r>
        <w:rPr>
          <w:rFonts w:ascii="Arial" w:hAnsi="Arial" w:cs="Arial"/>
        </w:rPr>
        <w:t>, (</w:t>
      </w:r>
      <w:r>
        <w:rPr>
          <w:rFonts w:ascii="Arial" w:hAnsi="Arial" w:cs="Arial"/>
          <w:i/>
        </w:rPr>
        <w:t>ERL2</w:t>
      </w:r>
      <w:r w:rsidRPr="00FA2A89">
        <w:rPr>
          <w:rFonts w:ascii="Arial" w:hAnsi="Arial" w:cs="Arial"/>
        </w:rPr>
        <w:t>)</w:t>
      </w:r>
      <w:r>
        <w:rPr>
          <w:rFonts w:ascii="Arial" w:hAnsi="Arial" w:cs="Arial"/>
        </w:rPr>
        <w:t xml:space="preserve">, </w:t>
      </w:r>
      <w:r w:rsidRPr="00FA2A89">
        <w:rPr>
          <w:rFonts w:ascii="Arial" w:hAnsi="Arial" w:cs="Arial"/>
          <w:i/>
        </w:rPr>
        <w:t>TOO MANY MOUTHS</w:t>
      </w:r>
      <w:r>
        <w:rPr>
          <w:rFonts w:ascii="Arial" w:hAnsi="Arial" w:cs="Arial"/>
        </w:rPr>
        <w:t xml:space="preserve"> (</w:t>
      </w:r>
      <w:r w:rsidRPr="00FA2A89">
        <w:rPr>
          <w:rFonts w:ascii="Arial" w:hAnsi="Arial" w:cs="Arial"/>
          <w:i/>
        </w:rPr>
        <w:t>TMM</w:t>
      </w:r>
      <w:r>
        <w:rPr>
          <w:rFonts w:ascii="Arial" w:hAnsi="Arial" w:cs="Arial"/>
        </w:rPr>
        <w:t xml:space="preserve">), and </w:t>
      </w:r>
      <w:r w:rsidRPr="00FA2A89">
        <w:rPr>
          <w:rFonts w:ascii="Arial" w:hAnsi="Arial" w:cs="Arial"/>
          <w:i/>
        </w:rPr>
        <w:t>EPIDERMAL PATTERNING FACTOR 2</w:t>
      </w:r>
      <w:r>
        <w:rPr>
          <w:rFonts w:ascii="Arial" w:hAnsi="Arial" w:cs="Arial"/>
        </w:rPr>
        <w:t xml:space="preserve"> (</w:t>
      </w:r>
      <w:r w:rsidRPr="00FA2A89">
        <w:rPr>
          <w:rFonts w:ascii="Arial" w:hAnsi="Arial" w:cs="Arial"/>
          <w:i/>
        </w:rPr>
        <w:t>EPF2</w:t>
      </w:r>
      <w:r>
        <w:rPr>
          <w:rFonts w:ascii="Arial" w:hAnsi="Arial" w:cs="Arial"/>
        </w:rPr>
        <w:t xml:space="preserve">). For a given meristemoid to differentiate into a guard mother cell (GMC) (red oval), a second bHLH heterodimer consisting of MUTE and either SCRM or SCRM2 is required. The final symmetric division of the GMC to form a pair of guard cells </w:t>
      </w:r>
      <w:r w:rsidRPr="00FA7F73">
        <w:rPr>
          <w:rFonts w:ascii="Arial" w:hAnsi="Arial" w:cs="Arial"/>
        </w:rPr>
        <w:t xml:space="preserve">is </w:t>
      </w:r>
      <w:r w:rsidRPr="00FA7F73">
        <w:rPr>
          <w:rFonts w:ascii="Arial" w:hAnsi="Arial" w:cs="Arial"/>
        </w:rPr>
        <w:lastRenderedPageBreak/>
        <w:t xml:space="preserve">governed by </w:t>
      </w:r>
      <w:r>
        <w:rPr>
          <w:rFonts w:ascii="Arial" w:hAnsi="Arial" w:cs="Arial"/>
        </w:rPr>
        <w:t xml:space="preserve">a final heterodimer consisting of </w:t>
      </w:r>
      <w:r w:rsidRPr="00FA7F73">
        <w:rPr>
          <w:rFonts w:ascii="Arial" w:hAnsi="Arial" w:cs="Arial"/>
        </w:rPr>
        <w:t xml:space="preserve">FAMA and </w:t>
      </w:r>
      <w:r>
        <w:rPr>
          <w:rFonts w:ascii="Arial" w:hAnsi="Arial" w:cs="Arial"/>
        </w:rPr>
        <w:t>either SCRM or SCRM2</w:t>
      </w:r>
      <w:r w:rsidRPr="00FA7F73">
        <w:rPr>
          <w:rFonts w:ascii="Arial" w:hAnsi="Arial" w:cs="Arial"/>
        </w:rPr>
        <w:t xml:space="preserve">. </w:t>
      </w:r>
      <w:r>
        <w:rPr>
          <w:rFonts w:ascii="Arial" w:hAnsi="Arial" w:cs="Arial"/>
        </w:rPr>
        <w:t xml:space="preserve">Negative regulation of SPCH-SCRM/2 and MUTE-SCRM/2 heterodimers and positive regulation of FAMA-SCRM/2 heterodimers occur within the cell via the actions of the </w:t>
      </w:r>
      <w:r w:rsidRPr="00FA7F73">
        <w:rPr>
          <w:rFonts w:ascii="Arial" w:hAnsi="Arial" w:cs="Arial"/>
        </w:rPr>
        <w:t>Mitogen activated kinase kinase kinase</w:t>
      </w:r>
      <w:r>
        <w:rPr>
          <w:rFonts w:ascii="Arial" w:hAnsi="Arial" w:cs="Arial"/>
        </w:rPr>
        <w:t xml:space="preserve"> YODA, the </w:t>
      </w:r>
      <w:r w:rsidRPr="00FA7F73">
        <w:rPr>
          <w:rFonts w:ascii="Arial" w:hAnsi="Arial" w:cs="Arial"/>
        </w:rPr>
        <w:t>mitogen activated kinase kinases</w:t>
      </w:r>
      <w:r>
        <w:rPr>
          <w:rFonts w:ascii="Arial" w:hAnsi="Arial" w:cs="Arial"/>
        </w:rPr>
        <w:t xml:space="preserve"> 4, 5, 7 and 9 (MKK4/5/7/9) </w:t>
      </w:r>
      <w:r w:rsidRPr="00FA7F73">
        <w:rPr>
          <w:rFonts w:ascii="Arial" w:hAnsi="Arial" w:cs="Arial"/>
        </w:rPr>
        <w:t>an</w:t>
      </w:r>
      <w:r>
        <w:rPr>
          <w:rFonts w:ascii="Arial" w:hAnsi="Arial" w:cs="Arial"/>
        </w:rPr>
        <w:t xml:space="preserve">d the mitogen activated protein kinases 3 and 6 (MPK3/6). The final kinases in this cascade MPK3 and 6 are immediately upstream of the nuclear residing SPCH/MUTE/FAMA and SCRM/2. Upstream of YODA, receptor like-kinases (RLKs) belonging to ERECTA (ER, ERL1 and ERL2) and SERK (SERK1/2/3/4) families are present that span the plasma membrane </w:t>
      </w:r>
      <w:r>
        <w:rPr>
          <w:rFonts w:ascii="Arial" w:hAnsi="Arial" w:cs="Arial"/>
        </w:rPr>
        <w:fldChar w:fldCharType="begin">
          <w:fldData xml:space="preserve">PEVuZE5vdGU+PENpdGU+PEF1dGhvcj5NZW5nPC9BdXRob3I+PFllYXI+MjAxNTwvWWVhcj48SURU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PEVuZE5vdGU+PENpdGU+PEF1dGhvcj5NZW5nPC9BdXRob3I+PFllYXI+MjAxNTwvWWVhcj48SURU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(Meng et al., 2015)</w:t>
      </w:r>
      <w:r>
        <w:rPr>
          <w:rFonts w:ascii="Arial" w:hAnsi="Arial" w:cs="Arial"/>
        </w:rPr>
        <w:fldChar w:fldCharType="end"/>
      </w:r>
      <w:r>
        <w:rPr>
          <w:rFonts w:ascii="Arial" w:hAnsi="Arial" w:cs="Arial"/>
        </w:rPr>
        <w:t>. The ERECTAs and the SERKs work in combination with the receptor-like protein T</w:t>
      </w:r>
      <w:r w:rsidRPr="00F00701">
        <w:rPr>
          <w:rFonts w:ascii="Arial" w:hAnsi="Arial" w:cs="Arial"/>
        </w:rPr>
        <w:t>OO M</w:t>
      </w:r>
      <w:r>
        <w:rPr>
          <w:rFonts w:ascii="Arial" w:hAnsi="Arial" w:cs="Arial"/>
        </w:rPr>
        <w:t xml:space="preserve">ANY MOUTHS (TMM) to transduce signals from the apoplast into the cell. On the surface of the plasma membrane Epidermal patterning factor (EPF) and Epidermal patterning factor-like (EPFL) signalling peptides interact with certain RLKs and TMM to regulate actions of the downstream signalling cascade within the cell </w:t>
      </w:r>
      <w:r>
        <w:rPr>
          <w:rFonts w:ascii="Arial" w:hAnsi="Arial" w:cs="Arial"/>
        </w:rPr>
        <w:fldChar w:fldCharType="begin">
          <w:fldData xml:space="preserve">PEVuZE5vdGU+PENpdGU+PEF1dGhvcj5MZWU8L0F1dGhvcj48WWVhcj4yMDE1PC9ZZWFyPjxJRFRl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==
</w:fldData>
        </w:fldChar>
      </w:r>
      <w:r w:rsidR="00417B1E">
        <w:rPr>
          <w:rFonts w:ascii="Arial" w:hAnsi="Arial" w:cs="Arial"/>
        </w:rPr>
        <w:instrText xml:space="preserve"> ADDIN EN.CITE </w:instrText>
      </w:r>
      <w:r w:rsidR="00417B1E">
        <w:rPr>
          <w:rFonts w:ascii="Arial" w:hAnsi="Arial" w:cs="Arial"/>
        </w:rPr>
        <w:fldChar w:fldCharType="begin">
          <w:fldData xml:space="preserve">PEVuZE5vdGU+PENpdGU+PEF1dGhvcj5MZWU8L0F1dGhvcj48WWVhcj4yMDE1PC9ZZWFyPjxJRFRl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==
</w:fldData>
        </w:fldChar>
      </w:r>
      <w:r w:rsidR="00417B1E">
        <w:rPr>
          <w:rFonts w:ascii="Arial" w:hAnsi="Arial" w:cs="Arial"/>
        </w:rPr>
        <w:instrText xml:space="preserve"> ADDIN EN.CITE.DATA </w:instrText>
      </w:r>
      <w:r w:rsidR="00417B1E">
        <w:rPr>
          <w:rFonts w:ascii="Arial" w:hAnsi="Arial" w:cs="Arial"/>
        </w:rPr>
      </w:r>
      <w:r w:rsidR="00417B1E">
        <w:rPr>
          <w:rFonts w:ascii="Arial" w:hAnsi="Arial" w:cs="Arial"/>
        </w:rPr>
        <w:fldChar w:fldCharType="end"/>
      </w:r>
      <w:r>
        <w:rPr>
          <w:rFonts w:ascii="Arial" w:hAnsi="Arial" w:cs="Arial"/>
        </w:rPr>
      </w:r>
      <w:r>
        <w:rPr>
          <w:rFonts w:ascii="Arial" w:hAnsi="Arial" w:cs="Arial"/>
        </w:rPr>
        <w:fldChar w:fldCharType="separate"/>
      </w:r>
      <w:r w:rsidR="00417B1E">
        <w:rPr>
          <w:rFonts w:ascii="Arial" w:hAnsi="Arial" w:cs="Arial"/>
          <w:noProof/>
        </w:rPr>
        <w:t>(Lee et al., 2015b; Meng et al., 2015)</w:t>
      </w:r>
      <w:r>
        <w:rPr>
          <w:rFonts w:ascii="Arial" w:hAnsi="Arial" w:cs="Arial"/>
        </w:rPr>
        <w:fldChar w:fldCharType="end"/>
      </w:r>
      <w:r>
        <w:rPr>
          <w:rFonts w:ascii="Arial" w:hAnsi="Arial" w:cs="Arial"/>
        </w:rPr>
        <w:t xml:space="preserve">. During early regulation of the stomatal lineage, </w:t>
      </w:r>
      <w:r w:rsidRPr="00FA7F73">
        <w:rPr>
          <w:rFonts w:ascii="Arial" w:hAnsi="Arial" w:cs="Arial"/>
        </w:rPr>
        <w:t>EPF2 negatively regulates the</w:t>
      </w:r>
      <w:r>
        <w:rPr>
          <w:rFonts w:ascii="Arial" w:hAnsi="Arial" w:cs="Arial"/>
        </w:rPr>
        <w:t xml:space="preserve"> initial stages of stomatal development by </w:t>
      </w:r>
      <w:r w:rsidRPr="00FA7F73">
        <w:rPr>
          <w:rFonts w:ascii="Arial" w:hAnsi="Arial" w:cs="Arial"/>
        </w:rPr>
        <w:t xml:space="preserve">binding </w:t>
      </w:r>
      <w:r>
        <w:rPr>
          <w:rFonts w:ascii="Arial" w:hAnsi="Arial" w:cs="Arial"/>
        </w:rPr>
        <w:t xml:space="preserve">with </w:t>
      </w:r>
      <w:r w:rsidRPr="00FA7F73">
        <w:rPr>
          <w:rFonts w:ascii="Arial" w:hAnsi="Arial" w:cs="Arial"/>
        </w:rPr>
        <w:t>members</w:t>
      </w:r>
      <w:r>
        <w:rPr>
          <w:rFonts w:ascii="Arial" w:hAnsi="Arial" w:cs="Arial"/>
        </w:rPr>
        <w:t xml:space="preserve"> of the ERECTA family </w:t>
      </w:r>
      <w:r w:rsidRPr="00FA7F73">
        <w:rPr>
          <w:rFonts w:ascii="Arial" w:hAnsi="Arial" w:cs="Arial"/>
        </w:rPr>
        <w:t xml:space="preserve">and TMM </w:t>
      </w:r>
      <w:r>
        <w:rPr>
          <w:rFonts w:ascii="Arial" w:hAnsi="Arial" w:cs="Arial"/>
        </w:rPr>
        <w:t xml:space="preserve">which is assisted indirectly by the SERKs in the plasma membrane. This </w:t>
      </w:r>
      <w:r w:rsidRPr="00FA7F73">
        <w:rPr>
          <w:rFonts w:ascii="Arial" w:hAnsi="Arial" w:cs="Arial"/>
        </w:rPr>
        <w:t>leads</w:t>
      </w:r>
      <w:r>
        <w:rPr>
          <w:rFonts w:ascii="Arial" w:hAnsi="Arial" w:cs="Arial"/>
        </w:rPr>
        <w:t xml:space="preserve"> to increased activation of the YDA-MKK4/5/7/9-MPK3/6 module culminating in </w:t>
      </w:r>
      <w:r w:rsidRPr="00FA7F73">
        <w:rPr>
          <w:rFonts w:ascii="Arial" w:hAnsi="Arial" w:cs="Arial"/>
        </w:rPr>
        <w:t xml:space="preserve">inhibition of </w:t>
      </w:r>
      <w:r>
        <w:rPr>
          <w:rFonts w:ascii="Arial" w:hAnsi="Arial" w:cs="Arial"/>
        </w:rPr>
        <w:t xml:space="preserve">the nuclear </w:t>
      </w:r>
      <w:r w:rsidRPr="00FA7F73">
        <w:rPr>
          <w:rFonts w:ascii="Arial" w:hAnsi="Arial" w:cs="Arial"/>
        </w:rPr>
        <w:t>SPCH</w:t>
      </w:r>
      <w:r>
        <w:rPr>
          <w:rFonts w:ascii="Arial" w:hAnsi="Arial" w:cs="Arial"/>
        </w:rPr>
        <w:t xml:space="preserve">-SCRM/2 heterodimers. Antagonistically to EPF2, </w:t>
      </w:r>
      <w:r w:rsidRPr="00FA7F73">
        <w:rPr>
          <w:rFonts w:ascii="Arial" w:hAnsi="Arial" w:cs="Arial"/>
        </w:rPr>
        <w:t>EPFL9</w:t>
      </w:r>
      <w:r>
        <w:rPr>
          <w:rFonts w:ascii="Arial" w:hAnsi="Arial" w:cs="Arial"/>
        </w:rPr>
        <w:t xml:space="preserve"> (otherwise known as </w:t>
      </w:r>
      <w:r w:rsidRPr="00FA7F73">
        <w:rPr>
          <w:rFonts w:ascii="Arial" w:hAnsi="Arial" w:cs="Arial"/>
        </w:rPr>
        <w:t>STOMAGEN</w:t>
      </w:r>
      <w:r>
        <w:rPr>
          <w:rFonts w:ascii="Arial" w:hAnsi="Arial" w:cs="Arial"/>
        </w:rPr>
        <w:t>)</w:t>
      </w:r>
      <w:r w:rsidRPr="00FA7F73">
        <w:rPr>
          <w:rFonts w:ascii="Arial" w:hAnsi="Arial" w:cs="Arial"/>
        </w:rPr>
        <w:t xml:space="preserve"> </w:t>
      </w:r>
      <w:r>
        <w:rPr>
          <w:rFonts w:ascii="Arial" w:hAnsi="Arial" w:cs="Arial"/>
        </w:rPr>
        <w:t xml:space="preserve">acts to prevent negative regulatory signals from being transduced into the cell and therefore positively regulates stomatal development. More latterly, to prevent meristemoids becoming GMCs a second negatively acting EPF: </w:t>
      </w:r>
      <w:r w:rsidRPr="00FA7F73">
        <w:rPr>
          <w:rFonts w:ascii="Arial" w:hAnsi="Arial" w:cs="Arial"/>
        </w:rPr>
        <w:t xml:space="preserve">EPF1 </w:t>
      </w:r>
      <w:r>
        <w:rPr>
          <w:rFonts w:ascii="Arial" w:hAnsi="Arial" w:cs="Arial"/>
        </w:rPr>
        <w:t xml:space="preserve">also functions by transmitting signals through the </w:t>
      </w:r>
      <w:r w:rsidRPr="00FA7F73">
        <w:rPr>
          <w:rFonts w:ascii="Arial" w:hAnsi="Arial" w:cs="Arial"/>
        </w:rPr>
        <w:t xml:space="preserve">ERECTAs </w:t>
      </w:r>
      <w:r>
        <w:rPr>
          <w:rFonts w:ascii="Arial" w:hAnsi="Arial" w:cs="Arial"/>
        </w:rPr>
        <w:t xml:space="preserve">and SERKs via the moderation of TMM </w:t>
      </w:r>
      <w:r>
        <w:rPr>
          <w:rFonts w:ascii="Arial" w:hAnsi="Arial" w:cs="Arial"/>
        </w:rPr>
        <w:fldChar w:fldCharType="begin">
          <w:fldData xml:space="preserve">PEVuZE5vdGU+PENpdGU+PEF1dGhvcj5NZW5nPC9BdXRob3I+PFllYXI+MjAxNTwvWWVhcj48SURU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PEVuZE5vdGU+PENpdGU+PEF1dGhvcj5NZW5nPC9BdXRob3I+PFllYXI+MjAxNTwvWWVhcj48SURU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(Meng et al., 2015)</w:t>
      </w:r>
      <w:r>
        <w:rPr>
          <w:rFonts w:ascii="Arial" w:hAnsi="Arial" w:cs="Arial"/>
        </w:rPr>
        <w:fldChar w:fldCharType="end"/>
      </w:r>
      <w:r>
        <w:rPr>
          <w:rFonts w:ascii="Arial" w:hAnsi="Arial" w:cs="Arial"/>
        </w:rPr>
        <w:t xml:space="preserve">. Many environmental cues are continually being discovered which converge on this pathway to regulate stomatal development </w:t>
      </w:r>
      <w:r>
        <w:rPr>
          <w:rFonts w:ascii="Arial" w:hAnsi="Arial" w:cs="Arial"/>
        </w:rPr>
        <w:fldChar w:fldCharType="begin">
          <w:fldData xml:space="preserve">PEVuZE5vdGU+PENpdGU+PEF1dGhvcj5FbmdpbmVlcjwvQXV0aG9yPjxZZWFyPjIwMTQ8L1llYXI+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</w:fldData>
        </w:fldChar>
      </w:r>
      <w:r>
        <w:rPr>
          <w:rFonts w:ascii="Arial" w:hAnsi="Arial" w:cs="Arial"/>
        </w:rPr>
        <w:instrText xml:space="preserve"> ADDIN EN.CITE </w:instrText>
      </w:r>
      <w:r>
        <w:rPr>
          <w:rFonts w:ascii="Arial" w:hAnsi="Arial" w:cs="Arial"/>
        </w:rPr>
        <w:fldChar w:fldCharType="begin">
          <w:fldData xml:space="preserve">PEVuZE5vdGU+PENpdGU+PEF1dGhvcj5FbmdpbmVlcjwvQXV0aG9yPjxZZWFyPjIwMTQ8L1llYXI+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(Engineer et al., 2014; Wang et al., 2007)</w:t>
      </w:r>
      <w:r>
        <w:rPr>
          <w:rFonts w:ascii="Arial" w:hAnsi="Arial" w:cs="Arial"/>
        </w:rPr>
        <w:fldChar w:fldCharType="end"/>
      </w:r>
      <w:r>
        <w:rPr>
          <w:rFonts w:ascii="Arial" w:hAnsi="Arial" w:cs="Arial"/>
        </w:rPr>
        <w:t>. Parts of the pathway that marked by question marks require experimentation to be confirmed.</w:t>
      </w:r>
    </w:p>
    <w:p w14:paraId="524DEA34" w14:textId="77777777" w:rsidR="00311AE8" w:rsidRPr="001534D7" w:rsidRDefault="00311AE8" w:rsidP="00311AE8">
      <w:pPr>
        <w:spacing w:after="160" w:line="360" w:lineRule="auto"/>
        <w:rPr>
          <w:rFonts w:ascii="Arial" w:hAnsi="Arial" w:cs="Arial"/>
          <w:b/>
          <w:u w:val="single"/>
        </w:rPr>
      </w:pPr>
      <w:r>
        <w:rPr>
          <w:rFonts w:ascii="Arial" w:hAnsi="Arial" w:cs="Arial"/>
          <w:u w:val="single"/>
        </w:rPr>
        <w:t xml:space="preserve">1.5.2 </w:t>
      </w:r>
      <w:r w:rsidRPr="00E5501E">
        <w:rPr>
          <w:rFonts w:ascii="Arial" w:hAnsi="Arial" w:cs="Arial"/>
          <w:u w:val="single"/>
        </w:rPr>
        <w:t>Intracellular signalling of stomatal development via mitogen activated protein kinases (MPK), MPK kinases (MKK) and the MKK kinase YODA</w:t>
      </w:r>
    </w:p>
    <w:p w14:paraId="121EC0F5" w14:textId="77777777" w:rsidR="00311AE8" w:rsidRDefault="00311AE8" w:rsidP="00311AE8">
      <w:pPr>
        <w:spacing w:after="160" w:line="360" w:lineRule="auto"/>
        <w:rPr>
          <w:rFonts w:ascii="Arial" w:hAnsi="Arial" w:cs="Arial"/>
        </w:rPr>
      </w:pPr>
      <w:r>
        <w:rPr>
          <w:rFonts w:ascii="Arial" w:hAnsi="Arial" w:cs="Arial"/>
        </w:rPr>
        <w:t xml:space="preserve">During stomatal development, upstream of SPCH, MUTE, FAMA and their partner SCRMs is a signalling transduction cascade which consists of a number of protein kinases that are activated via upstream phosphorylation </w:t>
      </w:r>
      <w:r>
        <w:rPr>
          <w:rFonts w:ascii="Arial" w:hAnsi="Arial" w:cs="Arial"/>
        </w:rPr>
        <w:fldChar w:fldCharType="begin">
          <w:fldData xml:space="preserve">PEVuZE5vdGU+PENpdGU+PEF1dGhvcj5QaWxsaXR0ZXJpPC9BdXRob3I+PFllYXI+MjAxMjwvWWVh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=
</w:fldData>
        </w:fldChar>
      </w:r>
      <w:r>
        <w:rPr>
          <w:rFonts w:ascii="Arial" w:hAnsi="Arial" w:cs="Arial"/>
        </w:rPr>
        <w:instrText xml:space="preserve"> ADDIN EN.CITE </w:instrText>
      </w:r>
      <w:r>
        <w:rPr>
          <w:rFonts w:ascii="Arial" w:hAnsi="Arial" w:cs="Arial"/>
        </w:rPr>
        <w:fldChar w:fldCharType="begin">
          <w:fldData xml:space="preserve">PEVuZE5vdGU+PENpdGU+PEF1dGhvcj5QaWxsaXR0ZXJpPC9BdXRob3I+PFllYXI+MjAxMjwvWWVh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=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(Lampard et al., 2014; Pillitteri and Torii, 2012)</w:t>
      </w:r>
      <w:r>
        <w:rPr>
          <w:rFonts w:ascii="Arial" w:hAnsi="Arial" w:cs="Arial"/>
        </w:rPr>
        <w:fldChar w:fldCharType="end"/>
      </w:r>
      <w:r>
        <w:rPr>
          <w:rFonts w:ascii="Arial" w:hAnsi="Arial" w:cs="Arial"/>
        </w:rPr>
        <w:t xml:space="preserve">. It has been shown that phosphorylation of the Mitogen activated protein kinase (MPK) domain of SPCH and phosphorylation of residues on </w:t>
      </w:r>
      <w:r>
        <w:rPr>
          <w:rFonts w:ascii="Arial" w:hAnsi="Arial" w:cs="Arial"/>
        </w:rPr>
        <w:lastRenderedPageBreak/>
        <w:t>MUTE by either of M</w:t>
      </w:r>
      <w:r w:rsidRPr="00FA7F73">
        <w:rPr>
          <w:rFonts w:ascii="Arial" w:hAnsi="Arial" w:cs="Arial"/>
        </w:rPr>
        <w:t xml:space="preserve">PK3 </w:t>
      </w:r>
      <w:r>
        <w:rPr>
          <w:rFonts w:ascii="Arial" w:hAnsi="Arial" w:cs="Arial"/>
        </w:rPr>
        <w:t>or M</w:t>
      </w:r>
      <w:r w:rsidRPr="00FA7F73">
        <w:rPr>
          <w:rFonts w:ascii="Arial" w:hAnsi="Arial" w:cs="Arial"/>
        </w:rPr>
        <w:t xml:space="preserve">PK6 </w:t>
      </w:r>
      <w:r>
        <w:rPr>
          <w:rFonts w:ascii="Arial" w:hAnsi="Arial" w:cs="Arial"/>
        </w:rPr>
        <w:t xml:space="preserve">leads to a inactivation of the SPCH or MUTE proteins,  blocking stomatal lineage advancement </w:t>
      </w:r>
      <w:r>
        <w:rPr>
          <w:rFonts w:ascii="Arial" w:hAnsi="Arial" w:cs="Arial"/>
        </w:rPr>
        <w:fldChar w:fldCharType="begin">
          <w:fldData xml:space="preserve">PEVuZE5vdGU+PENpdGU+PEF1dGhvcj5MYW1wYXJkPC9BdXRob3I+PFllYXI+MjAwODwvWWVhcj48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PEVuZE5vdGU+PENpdGU+PEF1dGhvcj5MYW1wYXJkPC9BdXRob3I+PFllYXI+MjAwODwvWWVhcj48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(Lampard et al., 2009; Lampard et al., 2008)</w:t>
      </w:r>
      <w:r>
        <w:rPr>
          <w:rFonts w:ascii="Arial" w:hAnsi="Arial" w:cs="Arial"/>
        </w:rPr>
        <w:fldChar w:fldCharType="end"/>
      </w:r>
      <w:r>
        <w:rPr>
          <w:rFonts w:ascii="Arial" w:hAnsi="Arial" w:cs="Arial"/>
        </w:rPr>
        <w:t xml:space="preserve"> (</w:t>
      </w:r>
      <w:r>
        <w:rPr>
          <w:rFonts w:ascii="Arial" w:hAnsi="Arial" w:cs="Arial"/>
          <w:b/>
        </w:rPr>
        <w:t>Fig. 4</w:t>
      </w:r>
      <w:r>
        <w:rPr>
          <w:rFonts w:ascii="Arial" w:hAnsi="Arial" w:cs="Arial"/>
        </w:rPr>
        <w:t xml:space="preserve">). Conversely, FAMA has been shown to be activated by such MPKs </w:t>
      </w:r>
      <w:r>
        <w:rPr>
          <w:rFonts w:ascii="Arial" w:hAnsi="Arial" w:cs="Arial"/>
        </w:rPr>
        <w:fldChar w:fldCharType="begin"/>
      </w:r>
      <w:r>
        <w:rPr>
          <w:rFonts w:ascii="Arial" w:hAnsi="Arial" w:cs="Arial"/>
        </w:rPr>
        <w:instrText xml:space="preserve"> ADDIN EN.CITE &lt;EndNote&gt;&lt;Cite&gt;&lt;Author&gt;Lampard&lt;/Author&gt;&lt;Year&gt;2009&lt;/Year&gt;&lt;IDText&gt;Novel and Expanded Roles for MAPK Signaling in Arabidopsis Stomatal Cell Fate Revealed by Cell Type-Specific Manipulations&lt;/IDText&gt;&lt;DisplayText&gt;(Lampard et al., 2009)&lt;/DisplayText&gt;&lt;record&gt;&lt;dates&gt;&lt;pub-dates&gt;&lt;date&gt;Nov&lt;/date&gt;&lt;/pub-dates&gt;&lt;year&gt;2009&lt;/year&gt;&lt;/dates&gt;&lt;keywords&gt;&lt;keyword&gt;ACTIVATED PROTEIN-KINASE&lt;/keyword&gt;&lt;keyword&gt;SALT STRESS&lt;/keyword&gt;&lt;keyword&gt;RESISTANCE&lt;/keyword&gt;&lt;keyword&gt;DIVISIONS&lt;/keyword&gt;&lt;keyword&gt;MKK2&lt;/keyword&gt;&lt;keyword&gt;DIFFERENTIATION&lt;/keyword&gt;&lt;keyword&gt;EXPRESSION&lt;/keyword&gt;&lt;keyword&gt;NETWORKS&lt;/keyword&gt;&lt;keyword&gt;CASCADES&lt;/keyword&gt;&lt;keyword&gt;PATHWAY&lt;/keyword&gt;&lt;/keywords&gt;&lt;urls&gt;&lt;related-urls&gt;&lt;url&gt;&amp;lt;Go to ISI&amp;gt;://WOS:000273235600011&lt;/url&gt;&lt;/related-urls&gt;&lt;/urls&gt;&lt;isbn&gt;1040-4651&lt;/isbn&gt;&lt;work-type&gt;Article&lt;/work-type&gt;&lt;titles&gt;&lt;title&gt;Novel and Expanded Roles for MAPK Signaling in Arabidopsis Stomatal Cell Fate Revealed by Cell Type-Specific Manipulations&lt;/title&gt;&lt;secondary-title&gt;Plant Cell&lt;/secondary-title&gt;&lt;alt-title&gt;Plant Cell&lt;/alt-title&gt;&lt;/titles&gt;&lt;pages&gt;3506-3517&lt;/pages&gt;&lt;number&gt;11&lt;/number&gt;&lt;contributors&gt;&lt;authors&gt;&lt;author&gt;Lampard, G. R.&lt;/author&gt;&lt;author&gt;Lukowitz, W.&lt;/author&gt;&lt;author&gt;Ellis, B. E.&lt;/author&gt;&lt;author&gt;Bergmann, D. C.&lt;/author&gt;&lt;/authors&gt;&lt;/contributors&gt;&lt;language&gt;English&lt;/language&gt;&lt;added-date format="utc"&gt;1352214383&lt;/added-date&gt;&lt;ref-type name="Journal Article"&gt;17&lt;/ref-type&gt;&lt;auth-address&gt;[Lampard, Gregory R.&amp;#xD;Bergmann, Dominique C.] Stanford Univ, Dept Biol, Stanford, CA 94305 USA. [Lukowitz, Wolfgang] Univ Georgia, Dept Plant Biol, Athens, GA 30602 USA. [Ellis, Brian E.] Univ British Columbia, Michael Smith Lab, Vancouver, BC V6T 1Z4, Canada.&amp;#xD;Bergmann, DC (reprint author), Stanford Univ, Dept Biol, Stanford, CA 94305 USA.&amp;#xD;dbergmann@stanford.edu&lt;/auth-address&gt;&lt;rec-number&gt;24&lt;/rec-number&gt;&lt;last-updated-date format="utc"&gt;1352214383&lt;/last-updated-date&gt;&lt;accession-num&gt;WOS:000273235600011&lt;/accession-num&gt;&lt;electronic-resource-num&gt;10.1105/tpc.109.070110&lt;/electronic-resource-num&gt;&lt;volume&gt;21&lt;/volume&gt;&lt;/record&gt;&lt;/Cite&gt;&lt;/EndNote&gt;</w:instrText>
      </w:r>
      <w:r>
        <w:rPr>
          <w:rFonts w:ascii="Arial" w:hAnsi="Arial" w:cs="Arial"/>
        </w:rPr>
        <w:fldChar w:fldCharType="separate"/>
      </w:r>
      <w:r>
        <w:rPr>
          <w:rFonts w:ascii="Arial" w:hAnsi="Arial" w:cs="Arial"/>
          <w:noProof/>
        </w:rPr>
        <w:t>(Lampard et al., 2009)</w:t>
      </w:r>
      <w:r>
        <w:rPr>
          <w:rFonts w:ascii="Arial" w:hAnsi="Arial" w:cs="Arial"/>
        </w:rPr>
        <w:fldChar w:fldCharType="end"/>
      </w:r>
      <w:r>
        <w:rPr>
          <w:rFonts w:ascii="Arial" w:hAnsi="Arial" w:cs="Arial"/>
        </w:rPr>
        <w:t>. Upstream of the M</w:t>
      </w:r>
      <w:r w:rsidRPr="00FA7F73">
        <w:rPr>
          <w:rFonts w:ascii="Arial" w:hAnsi="Arial" w:cs="Arial"/>
        </w:rPr>
        <w:t>PK</w:t>
      </w:r>
      <w:r>
        <w:rPr>
          <w:rFonts w:ascii="Arial" w:hAnsi="Arial" w:cs="Arial"/>
        </w:rPr>
        <w:t>s MKK</w:t>
      </w:r>
      <w:r w:rsidRPr="00FA7F73">
        <w:rPr>
          <w:rFonts w:ascii="Arial" w:hAnsi="Arial" w:cs="Arial"/>
        </w:rPr>
        <w:t xml:space="preserve">4, 5, 7 and 9 </w:t>
      </w:r>
      <w:r>
        <w:rPr>
          <w:rFonts w:ascii="Arial" w:hAnsi="Arial" w:cs="Arial"/>
        </w:rPr>
        <w:t xml:space="preserve">act by </w:t>
      </w:r>
      <w:r w:rsidRPr="00FA7F73">
        <w:rPr>
          <w:rFonts w:ascii="Arial" w:hAnsi="Arial" w:cs="Arial"/>
        </w:rPr>
        <w:t>p</w:t>
      </w:r>
      <w:r>
        <w:rPr>
          <w:rFonts w:ascii="Arial" w:hAnsi="Arial" w:cs="Arial"/>
        </w:rPr>
        <w:t xml:space="preserve">hosphorylating MAPK3 and MAPK6 </w:t>
      </w:r>
      <w:r w:rsidRPr="00FA7F73">
        <w:rPr>
          <w:rFonts w:ascii="Arial" w:hAnsi="Arial" w:cs="Arial"/>
        </w:rPr>
        <w:fldChar w:fldCharType="begin">
          <w:fldData xml:space="preserve">PEVuZE5vdGU+PENpdGU+PEF1dGhvcj5XYW5nPC9BdXRob3I+PFllYXI+MjAwNzwvWWVhcj48SURU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PEVuZE5vdGU+PENpdGU+PEF1dGhvcj5XYW5nPC9BdXRob3I+PFllYXI+MjAwNzwvWWVhcj48SURU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Pr>
          <w:rFonts w:ascii="Arial" w:hAnsi="Arial" w:cs="Arial"/>
          <w:noProof/>
        </w:rPr>
        <w:t>(Lampard et al., 2009; Lampard et al., 2014; Sorensson et al., 2012; Wang et al., 2007)</w:t>
      </w:r>
      <w:r w:rsidRPr="00FA7F73">
        <w:rPr>
          <w:rFonts w:ascii="Arial" w:hAnsi="Arial" w:cs="Arial"/>
        </w:rPr>
        <w:fldChar w:fldCharType="end"/>
      </w:r>
      <w:r w:rsidRPr="00FA7F73">
        <w:rPr>
          <w:rFonts w:ascii="Arial" w:hAnsi="Arial" w:cs="Arial"/>
        </w:rPr>
        <w:t>.</w:t>
      </w:r>
      <w:r>
        <w:rPr>
          <w:rFonts w:ascii="Arial" w:hAnsi="Arial" w:cs="Arial"/>
        </w:rPr>
        <w:t xml:space="preserve"> However</w:t>
      </w:r>
      <w:r w:rsidRPr="00FA7F73">
        <w:rPr>
          <w:rFonts w:ascii="Arial" w:hAnsi="Arial" w:cs="Arial"/>
        </w:rPr>
        <w:t xml:space="preserve"> </w:t>
      </w:r>
      <w:r>
        <w:rPr>
          <w:rFonts w:ascii="Arial" w:hAnsi="Arial" w:cs="Arial"/>
        </w:rPr>
        <w:t xml:space="preserve">for MKK4 and MKK5 this activity appears not to affect FAMA </w:t>
      </w:r>
      <w:r>
        <w:rPr>
          <w:rFonts w:ascii="Arial" w:hAnsi="Arial" w:cs="Arial"/>
        </w:rPr>
        <w:fldChar w:fldCharType="begin"/>
      </w:r>
      <w:r>
        <w:rPr>
          <w:rFonts w:ascii="Arial" w:hAnsi="Arial" w:cs="Arial"/>
        </w:rPr>
        <w:instrText xml:space="preserve"> ADDIN EN.CITE &lt;EndNote&gt;&lt;Cite&gt;&lt;Author&gt;Lampard&lt;/Author&gt;&lt;Year&gt;2009&lt;/Year&gt;&lt;IDText&gt;Novel and Expanded Roles for MAPK Signaling in Arabidopsis Stomatal Cell Fate Revealed by Cell Type-Specific Manipulations&lt;/IDText&gt;&lt;DisplayText&gt;(Lampard et al., 2009)&lt;/DisplayText&gt;&lt;record&gt;&lt;dates&gt;&lt;pub-dates&gt;&lt;date&gt;Nov&lt;/date&gt;&lt;/pub-dates&gt;&lt;year&gt;2009&lt;/year&gt;&lt;/dates&gt;&lt;keywords&gt;&lt;keyword&gt;ACTIVATED PROTEIN-KINASE&lt;/keyword&gt;&lt;keyword&gt;SALT STRESS&lt;/keyword&gt;&lt;keyword&gt;RESISTANCE&lt;/keyword&gt;&lt;keyword&gt;DIVISIONS&lt;/keyword&gt;&lt;keyword&gt;MKK2&lt;/keyword&gt;&lt;keyword&gt;DIFFERENTIATION&lt;/keyword&gt;&lt;keyword&gt;EXPRESSION&lt;/keyword&gt;&lt;keyword&gt;NETWORKS&lt;/keyword&gt;&lt;keyword&gt;CASCADES&lt;/keyword&gt;&lt;keyword&gt;PATHWAY&lt;/keyword&gt;&lt;/keywords&gt;&lt;urls&gt;&lt;related-urls&gt;&lt;url&gt;&amp;lt;Go to ISI&amp;gt;://WOS:000273235600011&lt;/url&gt;&lt;/related-urls&gt;&lt;/urls&gt;&lt;isbn&gt;1040-4651&lt;/isbn&gt;&lt;work-type&gt;Article&lt;/work-type&gt;&lt;titles&gt;&lt;title&gt;Novel and Expanded Roles for MAPK Signaling in Arabidopsis Stomatal Cell Fate Revealed by Cell Type-Specific Manipulations&lt;/title&gt;&lt;secondary-title&gt;Plant Cell&lt;/secondary-title&gt;&lt;alt-title&gt;Plant Cell&lt;/alt-title&gt;&lt;/titles&gt;&lt;pages&gt;3506-3517&lt;/pages&gt;&lt;number&gt;11&lt;/number&gt;&lt;contributors&gt;&lt;authors&gt;&lt;author&gt;Lampard, G. R.&lt;/author&gt;&lt;author&gt;Lukowitz, W.&lt;/author&gt;&lt;author&gt;Ellis, B. E.&lt;/author&gt;&lt;author&gt;Bergmann, D. C.&lt;/author&gt;&lt;/authors&gt;&lt;/contributors&gt;&lt;language&gt;English&lt;/language&gt;&lt;added-date format="utc"&gt;1352214383&lt;/added-date&gt;&lt;ref-type name="Journal Article"&gt;17&lt;/ref-type&gt;&lt;auth-address&gt;[Lampard, Gregory R.&amp;#xD;Bergmann, Dominique C.] Stanford Univ, Dept Biol, Stanford, CA 94305 USA. [Lukowitz, Wolfgang] Univ Georgia, Dept Plant Biol, Athens, GA 30602 USA. [Ellis, Brian E.] Univ British Columbia, Michael Smith Lab, Vancouver, BC V6T 1Z4, Canada.&amp;#xD;Bergmann, DC (reprint author), Stanford Univ, Dept Biol, Stanford, CA 94305 USA.&amp;#xD;dbergmann@stanford.edu&lt;/auth-address&gt;&lt;rec-number&gt;24&lt;/rec-number&gt;&lt;last-updated-date format="utc"&gt;1352214383&lt;/last-updated-date&gt;&lt;accession-num&gt;WOS:000273235600011&lt;/accession-num&gt;&lt;electronic-resource-num&gt;10.1105/tpc.109.070110&lt;/electronic-resource-num&gt;&lt;volume&gt;21&lt;/volume&gt;&lt;/record&gt;&lt;/Cite&gt;&lt;/EndNote&gt;</w:instrText>
      </w:r>
      <w:r>
        <w:rPr>
          <w:rFonts w:ascii="Arial" w:hAnsi="Arial" w:cs="Arial"/>
        </w:rPr>
        <w:fldChar w:fldCharType="separate"/>
      </w:r>
      <w:r>
        <w:rPr>
          <w:rFonts w:ascii="Arial" w:hAnsi="Arial" w:cs="Arial"/>
          <w:noProof/>
        </w:rPr>
        <w:t>(Lampard et al., 2009)</w:t>
      </w:r>
      <w:r>
        <w:rPr>
          <w:rFonts w:ascii="Arial" w:hAnsi="Arial" w:cs="Arial"/>
        </w:rPr>
        <w:fldChar w:fldCharType="end"/>
      </w:r>
      <w:r>
        <w:rPr>
          <w:rFonts w:ascii="Arial" w:hAnsi="Arial" w:cs="Arial"/>
        </w:rPr>
        <w:t>. The MKKs are themselves phosphorylated by the MKK kinase YODA.</w:t>
      </w:r>
      <w:r w:rsidRPr="00FA7F73">
        <w:rPr>
          <w:rFonts w:ascii="Arial" w:hAnsi="Arial" w:cs="Arial"/>
        </w:rPr>
        <w:t xml:space="preserve"> </w:t>
      </w:r>
      <w:r w:rsidRPr="00FA7F73">
        <w:rPr>
          <w:rFonts w:ascii="Arial" w:hAnsi="Arial" w:cs="Arial"/>
        </w:rPr>
        <w:fldChar w:fldCharType="begin">
          <w:fldData xml:space="preserve">PEVuZE5vdGU+PENpdGU+PEF1dGhvcj5CZXJnbWFubjwvQXV0aG9yPjxZZWFyPjIwMDQ8L1llYXI+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</w:fldData>
        </w:fldChar>
      </w:r>
      <w:r>
        <w:rPr>
          <w:rFonts w:ascii="Arial" w:hAnsi="Arial" w:cs="Arial"/>
        </w:rPr>
        <w:instrText xml:space="preserve"> ADDIN EN.CITE </w:instrText>
      </w:r>
      <w:r>
        <w:rPr>
          <w:rFonts w:ascii="Arial" w:hAnsi="Arial" w:cs="Arial"/>
        </w:rPr>
        <w:fldChar w:fldCharType="begin">
          <w:fldData xml:space="preserve">PEVuZE5vdGU+PENpdGU+PEF1dGhvcj5CZXJnbWFubjwvQXV0aG9yPjxZZWFyPjIwMDQ8L1llYXI+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sidRPr="00FA7F73">
        <w:rPr>
          <w:rFonts w:ascii="Arial" w:hAnsi="Arial" w:cs="Arial"/>
          <w:noProof/>
        </w:rPr>
        <w:t>(Bergmann et al., 2004; Wang et al., 2007)</w:t>
      </w:r>
      <w:r w:rsidRPr="00FA7F73">
        <w:rPr>
          <w:rFonts w:ascii="Arial" w:hAnsi="Arial" w:cs="Arial"/>
        </w:rPr>
        <w:fldChar w:fldCharType="end"/>
      </w:r>
      <w:r>
        <w:rPr>
          <w:rFonts w:ascii="Arial" w:hAnsi="Arial" w:cs="Arial"/>
        </w:rPr>
        <w:t xml:space="preserve">. As well as being involved in stomatal development, it has been shown these MPKs and MKK/Ks also serve as a hubs for the integration of many environmentally derived signals, thereby permitting the potential for cross-talk </w:t>
      </w:r>
      <w:r>
        <w:rPr>
          <w:rFonts w:ascii="Arial" w:hAnsi="Arial" w:cs="Arial"/>
        </w:rPr>
        <w:fldChar w:fldCharType="begin">
          <w:fldData xml:space="preserve">PEVuZE5vdGU+PENpdGU+PEF1dGhvcj5aaGFvPC9BdXRob3I+PFllYXI+MjAxNDwvWWVhcj48SURU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</w:fldData>
        </w:fldChar>
      </w:r>
      <w:r>
        <w:rPr>
          <w:rFonts w:ascii="Arial" w:hAnsi="Arial" w:cs="Arial"/>
        </w:rPr>
        <w:instrText xml:space="preserve"> ADDIN EN.CITE </w:instrText>
      </w:r>
      <w:r>
        <w:rPr>
          <w:rFonts w:ascii="Arial" w:hAnsi="Arial" w:cs="Arial"/>
        </w:rPr>
        <w:fldChar w:fldCharType="begin">
          <w:fldData xml:space="preserve">PEVuZE5vdGU+PENpdGU+PEF1dGhvcj5aaGFvPC9BdXRob3I+PFllYXI+MjAxNDwvWWVhcj48SURU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(Kang et al., 2009; Pedley and Martin, 2005; Zhao et al., 2014)</w:t>
      </w:r>
      <w:r>
        <w:rPr>
          <w:rFonts w:ascii="Arial" w:hAnsi="Arial" w:cs="Arial"/>
        </w:rPr>
        <w:fldChar w:fldCharType="end"/>
      </w:r>
      <w:r>
        <w:rPr>
          <w:rFonts w:ascii="Arial" w:hAnsi="Arial" w:cs="Arial"/>
        </w:rPr>
        <w:t>.</w:t>
      </w:r>
    </w:p>
    <w:p w14:paraId="40DD3857" w14:textId="77777777" w:rsidR="00311AE8" w:rsidRPr="00FB0432" w:rsidRDefault="00311AE8" w:rsidP="00311AE8">
      <w:pPr>
        <w:spacing w:after="160" w:line="360" w:lineRule="auto"/>
        <w:rPr>
          <w:rFonts w:ascii="Arial" w:hAnsi="Arial" w:cs="Arial"/>
          <w:u w:val="single"/>
        </w:rPr>
      </w:pPr>
      <w:r>
        <w:rPr>
          <w:rFonts w:ascii="Arial" w:hAnsi="Arial" w:cs="Arial"/>
          <w:u w:val="single"/>
        </w:rPr>
        <w:t xml:space="preserve">1.5.3 </w:t>
      </w:r>
      <w:r w:rsidRPr="00E5501E">
        <w:rPr>
          <w:rFonts w:ascii="Arial" w:hAnsi="Arial" w:cs="Arial"/>
          <w:u w:val="single"/>
        </w:rPr>
        <w:t>Plasma membrane receptor signalling in Arabidopsis stomatal development</w:t>
      </w:r>
      <w:r w:rsidRPr="00FB0432">
        <w:rPr>
          <w:rFonts w:ascii="Arial" w:hAnsi="Arial" w:cs="Arial"/>
          <w:u w:val="single"/>
        </w:rPr>
        <w:t xml:space="preserve"> </w:t>
      </w:r>
    </w:p>
    <w:p w14:paraId="01C74A6F" w14:textId="3B0D4880" w:rsidR="00311AE8" w:rsidRPr="00FA7F73" w:rsidRDefault="00311AE8" w:rsidP="00311AE8">
      <w:pPr>
        <w:spacing w:after="160" w:line="360" w:lineRule="auto"/>
        <w:rPr>
          <w:rFonts w:ascii="Arial" w:hAnsi="Arial" w:cs="Arial"/>
        </w:rPr>
      </w:pPr>
      <w:r>
        <w:rPr>
          <w:rFonts w:ascii="Arial" w:hAnsi="Arial" w:cs="Arial"/>
        </w:rPr>
        <w:t xml:space="preserve">On the plasma membrane of developing cells, members of the </w:t>
      </w:r>
      <w:r w:rsidRPr="00FA7F73">
        <w:rPr>
          <w:rFonts w:ascii="Arial" w:hAnsi="Arial" w:cs="Arial"/>
        </w:rPr>
        <w:t>ERECTA family</w:t>
      </w:r>
      <w:r>
        <w:rPr>
          <w:rFonts w:ascii="Arial" w:hAnsi="Arial" w:cs="Arial"/>
        </w:rPr>
        <w:t xml:space="preserve"> (ERf) of</w:t>
      </w:r>
      <w:r w:rsidRPr="00FA7F73">
        <w:rPr>
          <w:rFonts w:ascii="Arial" w:hAnsi="Arial" w:cs="Arial"/>
        </w:rPr>
        <w:t xml:space="preserve"> </w:t>
      </w:r>
      <w:r>
        <w:rPr>
          <w:rFonts w:ascii="Arial" w:hAnsi="Arial" w:cs="Arial"/>
        </w:rPr>
        <w:t xml:space="preserve">receptor-like kinases (RLK) including ERECTA (ER), ER-like 1 (ERL1) and ER-like 2 (ERL2) are present which function redundantly to assist in regulating stomatal development </w:t>
      </w:r>
      <w:r>
        <w:rPr>
          <w:rFonts w:ascii="Arial" w:hAnsi="Arial" w:cs="Arial"/>
        </w:rPr>
        <w:fldChar w:fldCharType="begin">
          <w:fldData xml:space="preserve">PEVuZE5vdGU+PENpdGU+PEF1dGhvcj5TaHBhazwvQXV0aG9yPjxZZWFyPjIwMDU8L1llYXI+PElE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</w:fldData>
        </w:fldChar>
      </w:r>
      <w:r w:rsidR="00417B1E">
        <w:rPr>
          <w:rFonts w:ascii="Arial" w:hAnsi="Arial" w:cs="Arial"/>
        </w:rPr>
        <w:instrText xml:space="preserve"> ADDIN EN.CITE </w:instrText>
      </w:r>
      <w:r w:rsidR="00417B1E">
        <w:rPr>
          <w:rFonts w:ascii="Arial" w:hAnsi="Arial" w:cs="Arial"/>
        </w:rPr>
        <w:fldChar w:fldCharType="begin">
          <w:fldData xml:space="preserve">PEVuZE5vdGU+PENpdGU+PEF1dGhvcj5TaHBhazwvQXV0aG9yPjxZZWFyPjIwMDU8L1llYXI+PElE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</w:fldData>
        </w:fldChar>
      </w:r>
      <w:r w:rsidR="00417B1E">
        <w:rPr>
          <w:rFonts w:ascii="Arial" w:hAnsi="Arial" w:cs="Arial"/>
        </w:rPr>
        <w:instrText xml:space="preserve"> ADDIN EN.CITE.DATA </w:instrText>
      </w:r>
      <w:r w:rsidR="00417B1E">
        <w:rPr>
          <w:rFonts w:ascii="Arial" w:hAnsi="Arial" w:cs="Arial"/>
        </w:rPr>
      </w:r>
      <w:r w:rsidR="00417B1E">
        <w:rPr>
          <w:rFonts w:ascii="Arial" w:hAnsi="Arial" w:cs="Arial"/>
        </w:rPr>
        <w:fldChar w:fldCharType="end"/>
      </w:r>
      <w:r>
        <w:rPr>
          <w:rFonts w:ascii="Arial" w:hAnsi="Arial" w:cs="Arial"/>
        </w:rPr>
      </w:r>
      <w:r>
        <w:rPr>
          <w:rFonts w:ascii="Arial" w:hAnsi="Arial" w:cs="Arial"/>
        </w:rPr>
        <w:fldChar w:fldCharType="separate"/>
      </w:r>
      <w:r w:rsidR="00417B1E">
        <w:rPr>
          <w:rFonts w:ascii="Arial" w:hAnsi="Arial" w:cs="Arial"/>
          <w:noProof/>
        </w:rPr>
        <w:t>(Lee et al., 2015b; Lee et al., 2012; Shpak et al., 2005)</w:t>
      </w:r>
      <w:r>
        <w:rPr>
          <w:rFonts w:ascii="Arial" w:hAnsi="Arial" w:cs="Arial"/>
        </w:rPr>
        <w:fldChar w:fldCharType="end"/>
      </w:r>
      <w:r>
        <w:rPr>
          <w:rFonts w:ascii="Arial" w:hAnsi="Arial" w:cs="Arial"/>
        </w:rPr>
        <w:t>. The ERf members, in combination with the receptor-like protein TOO MANY MOUTHS (TMM) and four other RLKs belonging to of the Somatic embryogenesis receptor kinase family (SERK1-4, collectively SERKs), are responsible for correctly transducing signals from the apoplast into the cytoplasm (</w:t>
      </w:r>
      <w:r>
        <w:rPr>
          <w:rFonts w:ascii="Arial" w:hAnsi="Arial" w:cs="Arial"/>
          <w:b/>
        </w:rPr>
        <w:t>Fig. 4</w:t>
      </w:r>
      <w:r w:rsidRPr="00E46350">
        <w:rPr>
          <w:rFonts w:ascii="Arial" w:hAnsi="Arial" w:cs="Arial"/>
        </w:rPr>
        <w:t>)</w:t>
      </w:r>
      <w:r>
        <w:rPr>
          <w:rFonts w:ascii="Arial" w:hAnsi="Arial" w:cs="Arial"/>
          <w:b/>
        </w:rPr>
        <w:t xml:space="preserve"> </w:t>
      </w:r>
      <w:r>
        <w:rPr>
          <w:rFonts w:ascii="Arial" w:hAnsi="Arial" w:cs="Arial"/>
        </w:rPr>
        <w:fldChar w:fldCharType="begin">
          <w:fldData xml:space="preserve">PEVuZE5vdGU+PENpdGU+PEF1dGhvcj5TaHBhazwvQXV0aG9yPjxZZWFyPjIwMDU8L1llYXI+PElE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</w:fldData>
        </w:fldChar>
      </w:r>
      <w:r w:rsidR="00417B1E">
        <w:rPr>
          <w:rFonts w:ascii="Arial" w:hAnsi="Arial" w:cs="Arial"/>
        </w:rPr>
        <w:instrText xml:space="preserve"> ADDIN EN.CITE </w:instrText>
      </w:r>
      <w:r w:rsidR="00417B1E">
        <w:rPr>
          <w:rFonts w:ascii="Arial" w:hAnsi="Arial" w:cs="Arial"/>
        </w:rPr>
        <w:fldChar w:fldCharType="begin">
          <w:fldData xml:space="preserve">PEVuZE5vdGU+PENpdGU+PEF1dGhvcj5TaHBhazwvQXV0aG9yPjxZZWFyPjIwMDU8L1llYXI+PElE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</w:fldData>
        </w:fldChar>
      </w:r>
      <w:r w:rsidR="00417B1E">
        <w:rPr>
          <w:rFonts w:ascii="Arial" w:hAnsi="Arial" w:cs="Arial"/>
        </w:rPr>
        <w:instrText xml:space="preserve"> ADDIN EN.CITE.DATA </w:instrText>
      </w:r>
      <w:r w:rsidR="00417B1E">
        <w:rPr>
          <w:rFonts w:ascii="Arial" w:hAnsi="Arial" w:cs="Arial"/>
        </w:rPr>
      </w:r>
      <w:r w:rsidR="00417B1E">
        <w:rPr>
          <w:rFonts w:ascii="Arial" w:hAnsi="Arial" w:cs="Arial"/>
        </w:rPr>
        <w:fldChar w:fldCharType="end"/>
      </w:r>
      <w:r>
        <w:rPr>
          <w:rFonts w:ascii="Arial" w:hAnsi="Arial" w:cs="Arial"/>
        </w:rPr>
      </w:r>
      <w:r>
        <w:rPr>
          <w:rFonts w:ascii="Arial" w:hAnsi="Arial" w:cs="Arial"/>
        </w:rPr>
        <w:fldChar w:fldCharType="separate"/>
      </w:r>
      <w:r w:rsidR="00417B1E">
        <w:rPr>
          <w:rFonts w:ascii="Arial" w:hAnsi="Arial" w:cs="Arial"/>
          <w:noProof/>
        </w:rPr>
        <w:t>(Lee et al., 2015b; Meng et al., 2015; Shpak et al., 2005; Yang and Sack, 1995)</w:t>
      </w:r>
      <w:r>
        <w:rPr>
          <w:rFonts w:ascii="Arial" w:hAnsi="Arial" w:cs="Arial"/>
        </w:rPr>
        <w:fldChar w:fldCharType="end"/>
      </w:r>
      <w:r>
        <w:rPr>
          <w:rFonts w:ascii="Arial" w:hAnsi="Arial" w:cs="Arial"/>
        </w:rPr>
        <w:t xml:space="preserve">. Once extracellular signals have been transduced inside the cell they are relayed through an unknown intermediate to the YODA-MKK4/5/7/9-MPK3/6 signalling cascade which culminates in either negative (SPCH-SCRM/2 and MUTE-SCRM/2) or positive (FAMA-SCRM/2) regulation of the heterodimeric bHLH transcription factor units which govern stomatal development </w:t>
      </w:r>
      <w:r>
        <w:rPr>
          <w:rFonts w:ascii="Arial" w:hAnsi="Arial" w:cs="Arial"/>
        </w:rPr>
        <w:fldChar w:fldCharType="begin"/>
      </w:r>
      <w:r>
        <w:rPr>
          <w:rFonts w:ascii="Arial" w:hAnsi="Arial" w:cs="Arial"/>
        </w:rPr>
        <w:instrText xml:space="preserve"> ADDIN EN.CITE &lt;EndNote&gt;&lt;Cite&gt;&lt;Author&gt;Pillitteri&lt;/Author&gt;&lt;Year&gt;2013&lt;/Year&gt;&lt;IDText&gt;Stomatal Development in Arabidopsis&lt;/IDText&gt;&lt;DisplayText&gt;(Pillitteri and Dong, 2013)&lt;/DisplayText&gt;&lt;record&gt;&lt;dates&gt;&lt;pub-dates&gt;&lt;date&gt;06/06&lt;/date&gt;&lt;/pub-dates&gt;&lt;year&gt;2013&lt;/year&gt;&lt;/dates&gt;&lt;urls&gt;&lt;related-urls&gt;&lt;url&gt;http://www.ncbi.nlm.nih.gov/pmc/articles/PMC3711358/&lt;/url&gt;&lt;/related-urls&gt;&lt;/urls&gt;&lt;isbn&gt;1543-8120&lt;/isbn&gt;&lt;titles&gt;&lt;title&gt;Stomatal Development in Arabidopsis&lt;/title&gt;&lt;secondary-title&gt;The Arabidopsis Book / American Society of Plant Biologists&lt;/secondary-title&gt;&lt;/titles&gt;&lt;pages&gt;e0162&lt;/pages&gt;&lt;contributors&gt;&lt;authors&gt;&lt;author&gt;Pillitteri, Lynn Jo&lt;/author&gt;&lt;author&gt;Dong, Juan&lt;/author&gt;&lt;/authors&gt;&lt;/contributors&gt;&lt;added-date format="utc"&gt;1452067835&lt;/added-date&gt;&lt;ref-type name="Journal Article"&gt;17&lt;/ref-type&gt;&lt;rec-number&gt;401&lt;/rec-number&gt;&lt;publisher&gt;American Society of Plant Biologists&lt;/publisher&gt;&lt;last-updated-date format="utc"&gt;1452067835&lt;/last-updated-date&gt;&lt;accession-num&gt;PMC3711358&lt;/accession-num&gt;&lt;electronic-resource-num&gt;10.1199/tab.0162&lt;/electronic-resource-num&gt;&lt;volume&gt;11&lt;/volume&gt;&lt;remote-database-name&gt;PMC&lt;/remote-database-name&gt;&lt;/record&gt;&lt;/Cite&gt;&lt;/EndNote&gt;</w:instrText>
      </w:r>
      <w:r>
        <w:rPr>
          <w:rFonts w:ascii="Arial" w:hAnsi="Arial" w:cs="Arial"/>
        </w:rPr>
        <w:fldChar w:fldCharType="separate"/>
      </w:r>
      <w:r>
        <w:rPr>
          <w:rFonts w:ascii="Arial" w:hAnsi="Arial" w:cs="Arial"/>
          <w:noProof/>
        </w:rPr>
        <w:t>(Pillitteri and Dong, 2013)</w:t>
      </w:r>
      <w:r>
        <w:rPr>
          <w:rFonts w:ascii="Arial" w:hAnsi="Arial" w:cs="Arial"/>
        </w:rPr>
        <w:fldChar w:fldCharType="end"/>
      </w:r>
      <w:r>
        <w:rPr>
          <w:rFonts w:ascii="Arial" w:hAnsi="Arial" w:cs="Arial"/>
        </w:rPr>
        <w:t>. The interactions of ERf, TMM and SERKs seem to be very complex and are only partially understood and require further study.</w:t>
      </w:r>
    </w:p>
    <w:p w14:paraId="557F3C38" w14:textId="77777777" w:rsidR="00311AE8" w:rsidRPr="00E5501E" w:rsidRDefault="00311AE8" w:rsidP="00311AE8">
      <w:pPr>
        <w:spacing w:after="160" w:line="360" w:lineRule="auto"/>
        <w:rPr>
          <w:rFonts w:ascii="Arial" w:hAnsi="Arial" w:cs="Arial"/>
          <w:u w:val="single"/>
        </w:rPr>
      </w:pPr>
      <w:r>
        <w:rPr>
          <w:rFonts w:ascii="Arial" w:hAnsi="Arial" w:cs="Arial"/>
          <w:u w:val="single"/>
        </w:rPr>
        <w:t xml:space="preserve">1.5.4 </w:t>
      </w:r>
      <w:r w:rsidRPr="00E5501E">
        <w:rPr>
          <w:rFonts w:ascii="Arial" w:hAnsi="Arial" w:cs="Arial"/>
          <w:u w:val="single"/>
        </w:rPr>
        <w:t>The role of apoplastic small signalling peptides belonging to the Epidermal patterning factor (EPF) and EPF-like (EPFL) family</w:t>
      </w:r>
      <w:r>
        <w:rPr>
          <w:rFonts w:ascii="Arial" w:hAnsi="Arial" w:cs="Arial"/>
          <w:u w:val="single"/>
        </w:rPr>
        <w:t xml:space="preserve"> in Arabidopsis</w:t>
      </w:r>
      <w:r w:rsidRPr="00E5501E">
        <w:rPr>
          <w:rFonts w:ascii="Arial" w:hAnsi="Arial" w:cs="Arial"/>
          <w:u w:val="single"/>
        </w:rPr>
        <w:t xml:space="preserve"> </w:t>
      </w:r>
    </w:p>
    <w:p w14:paraId="0D361D85" w14:textId="4E132E3E" w:rsidR="00311AE8" w:rsidRDefault="00311AE8" w:rsidP="00311AE8">
      <w:pPr>
        <w:spacing w:after="160" w:line="360" w:lineRule="auto"/>
        <w:rPr>
          <w:rFonts w:ascii="Arial" w:hAnsi="Arial" w:cs="Arial"/>
        </w:rPr>
      </w:pPr>
      <w:r>
        <w:rPr>
          <w:rFonts w:ascii="Arial" w:hAnsi="Arial" w:cs="Arial"/>
        </w:rPr>
        <w:t xml:space="preserve">During stomatal development in Arabidopsis the Epidermal patterning factor (EPF) and EPF-like (EPFL) signalling peptides are particularly important in regulating intercellular signalling </w:t>
      </w:r>
      <w:r>
        <w:rPr>
          <w:rFonts w:ascii="Arial" w:hAnsi="Arial" w:cs="Arial"/>
        </w:rPr>
        <w:fldChar w:fldCharType="begin"/>
      </w:r>
      <w:r>
        <w:rPr>
          <w:rFonts w:ascii="Arial" w:hAnsi="Arial" w:cs="Arial"/>
        </w:rPr>
        <w:instrText xml:space="preserve"> ADDIN EN.CITE &lt;EndNote&gt;&lt;Cite&gt;&lt;Author&gt;Han&lt;/Author&gt;&lt;Year&gt;2016&lt;/Year&gt;&lt;IDText&gt;Lineage-specific stem cells, signals and asymmetries during stomatal development&lt;/IDText&gt;&lt;DisplayText&gt;(Han and Torii, 2016)&lt;/DisplayText&gt;&lt;record&gt;&lt;dates&gt;&lt;pub-dates&gt;&lt;date&gt;2016 Apr&lt;/date&gt;&lt;/pub-dates&gt;&lt;year&gt;2016&lt;/year&gt;&lt;/dates&gt;&lt;keywords&gt;&lt;keyword&gt;Index Medicus&lt;/keyword&gt;&lt;keyword&gt;Asymmetric division&lt;/keyword&gt;&lt;keyword&gt;Epigenetic regulation of differentiation&lt;/keyword&gt;&lt;keyword&gt;Lineage-specific stem cells&lt;/keyword&gt;&lt;keyword&gt;Peptide signaling&lt;/keyword&gt;&lt;keyword&gt;Stomata&lt;/keyword&gt;&lt;keyword&gt;bHLH proteins&lt;/keyword&gt;&lt;/keywords&gt;&lt;urls&gt;&lt;related-urls&gt;&lt;url&gt;&amp;lt;Go to ISI&amp;gt;://MEDLINE:27095491&lt;/url&gt;&lt;/related-urls&gt;&lt;/urls&gt;&lt;isbn&gt;1477-9129&lt;/isbn&gt;&lt;work-type&gt;; Review&lt;/work-type&gt;&lt;titles&gt;&lt;title&gt;Lineage-specific stem cells, signals and asymmetries during stomatal development&lt;/title&gt;&lt;secondary-title&gt;Development (Cambridge, England)&lt;/secondary-title&gt;&lt;/titles&gt;&lt;pages&gt;1259-70&lt;/pages&gt;&lt;number&gt;8&lt;/number&gt;&lt;contributors&gt;&lt;authors&gt;&lt;author&gt;Han, Soon-Ki&lt;/author&gt;&lt;author&gt;Torii, Keiko U.&lt;/author&gt;&lt;/authors&gt;&lt;/contributors&gt;&lt;language&gt;English&lt;/language&gt;&lt;added-date format="utc"&gt;1465469705&lt;/added-date&gt;&lt;ref-type name="Journal Article"&gt;17&lt;/ref-type&gt;&lt;auth-address&gt;Howard Hughes Medical Institute, University of Washington, Seattle, WA 98195, USA Department of Biology, University of Washington, Seattle, WA 98195, USA.&lt;/auth-address&gt;&lt;rec-number&gt;1291&lt;/rec-number&gt;&lt;last-updated-date format="utc"&gt;1465469705&lt;/last-updated-date&gt;&lt;accession-num&gt;MEDLINE:27095491&lt;/accession-num&gt;&lt;electronic-resource-num&gt;10.1242/dev.127712&lt;/electronic-resource-num&gt;&lt;volume&gt;143&lt;/volume&gt;&lt;/record&gt;&lt;/Cite&gt;&lt;/EndNote&gt;</w:instrText>
      </w:r>
      <w:r>
        <w:rPr>
          <w:rFonts w:ascii="Arial" w:hAnsi="Arial" w:cs="Arial"/>
        </w:rPr>
        <w:fldChar w:fldCharType="separate"/>
      </w:r>
      <w:r>
        <w:rPr>
          <w:rFonts w:ascii="Arial" w:hAnsi="Arial" w:cs="Arial"/>
          <w:noProof/>
        </w:rPr>
        <w:t>(Han and Torii, 2016)</w:t>
      </w:r>
      <w:r>
        <w:rPr>
          <w:rFonts w:ascii="Arial" w:hAnsi="Arial" w:cs="Arial"/>
        </w:rPr>
        <w:fldChar w:fldCharType="end"/>
      </w:r>
      <w:r>
        <w:rPr>
          <w:rFonts w:ascii="Arial" w:hAnsi="Arial" w:cs="Arial"/>
        </w:rPr>
        <w:t xml:space="preserve">. In the early stages this involves two antagonistically acting peptides, EPF2 and EPFL9, which compete for the binding of </w:t>
      </w:r>
      <w:r>
        <w:rPr>
          <w:rFonts w:ascii="Arial" w:hAnsi="Arial" w:cs="Arial"/>
        </w:rPr>
        <w:lastRenderedPageBreak/>
        <w:t xml:space="preserve">ERf membrane receptors (preferentially ER) </w:t>
      </w:r>
      <w:r>
        <w:rPr>
          <w:rFonts w:ascii="Arial" w:hAnsi="Arial" w:cs="Arial"/>
        </w:rPr>
        <w:fldChar w:fldCharType="begin">
          <w:fldData xml:space="preserve">PEVuZE5vdGU+PENpdGU+PEF1dGhvcj5IdW50PC9BdXRob3I+PFllYXI+MjAwOTwvWWVhcj48SURU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==
</w:fldData>
        </w:fldChar>
      </w:r>
      <w:r w:rsidR="00417B1E">
        <w:rPr>
          <w:rFonts w:ascii="Arial" w:hAnsi="Arial" w:cs="Arial"/>
        </w:rPr>
        <w:instrText xml:space="preserve"> ADDIN EN.CITE </w:instrText>
      </w:r>
      <w:r w:rsidR="00417B1E">
        <w:rPr>
          <w:rFonts w:ascii="Arial" w:hAnsi="Arial" w:cs="Arial"/>
        </w:rPr>
        <w:fldChar w:fldCharType="begin">
          <w:fldData xml:space="preserve">PEVuZE5vdGU+PENpdGU+PEF1dGhvcj5IdW50PC9BdXRob3I+PFllYXI+MjAwOTwvWWVhcj48SURU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==
</w:fldData>
        </w:fldChar>
      </w:r>
      <w:r w:rsidR="00417B1E">
        <w:rPr>
          <w:rFonts w:ascii="Arial" w:hAnsi="Arial" w:cs="Arial"/>
        </w:rPr>
        <w:instrText xml:space="preserve"> ADDIN EN.CITE.DATA </w:instrText>
      </w:r>
      <w:r w:rsidR="00417B1E">
        <w:rPr>
          <w:rFonts w:ascii="Arial" w:hAnsi="Arial" w:cs="Arial"/>
        </w:rPr>
      </w:r>
      <w:r w:rsidR="00417B1E">
        <w:rPr>
          <w:rFonts w:ascii="Arial" w:hAnsi="Arial" w:cs="Arial"/>
        </w:rPr>
        <w:fldChar w:fldCharType="end"/>
      </w:r>
      <w:r>
        <w:rPr>
          <w:rFonts w:ascii="Arial" w:hAnsi="Arial" w:cs="Arial"/>
        </w:rPr>
      </w:r>
      <w:r>
        <w:rPr>
          <w:rFonts w:ascii="Arial" w:hAnsi="Arial" w:cs="Arial"/>
        </w:rPr>
        <w:fldChar w:fldCharType="separate"/>
      </w:r>
      <w:r w:rsidR="00417B1E">
        <w:rPr>
          <w:rFonts w:ascii="Arial" w:hAnsi="Arial" w:cs="Arial"/>
          <w:noProof/>
        </w:rPr>
        <w:t>(Hara et al., 2009; Hunt et al., 2010; Hunt and Gray, 2009; Lee et al., 2015b; Lee et al., 2012; Sugano et al., 2010)</w:t>
      </w:r>
      <w:r>
        <w:rPr>
          <w:rFonts w:ascii="Arial" w:hAnsi="Arial" w:cs="Arial"/>
        </w:rPr>
        <w:fldChar w:fldCharType="end"/>
      </w:r>
      <w:r>
        <w:rPr>
          <w:rFonts w:ascii="Arial" w:hAnsi="Arial" w:cs="Arial"/>
        </w:rPr>
        <w:t>. These interactions are overseen by TMM which is epistatic to both EPF2 and EPFL9 (for more details relating to TMM functioning see also chapter 4)</w:t>
      </w:r>
      <w:r w:rsidRPr="00FA7F73">
        <w:rPr>
          <w:rFonts w:ascii="Arial" w:hAnsi="Arial" w:cs="Arial"/>
        </w:rPr>
        <w:t xml:space="preserve">. </w:t>
      </w:r>
      <w:r>
        <w:rPr>
          <w:rFonts w:ascii="Arial" w:hAnsi="Arial" w:cs="Arial"/>
        </w:rPr>
        <w:t xml:space="preserve">If EPF2 successfully binds to ERf members then a conformational change in ERf proteins occurs that leads to binding with SERKs proteins </w:t>
      </w:r>
      <w:r>
        <w:rPr>
          <w:rFonts w:ascii="Arial" w:hAnsi="Arial" w:cs="Arial"/>
        </w:rPr>
        <w:fldChar w:fldCharType="begin">
          <w:fldData xml:space="preserve">PEVuZE5vdGU+PENpdGU+PEF1dGhvcj5NZW5nPC9BdXRob3I+PFllYXI+MjAxNTwvWWVhcj48SURU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PEVuZE5vdGU+PENpdGU+PEF1dGhvcj5NZW5nPC9BdXRob3I+PFllYXI+MjAxNTwvWWVhcj48SURU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(Meng et al., 2015)</w:t>
      </w:r>
      <w:r>
        <w:rPr>
          <w:rFonts w:ascii="Arial" w:hAnsi="Arial" w:cs="Arial"/>
        </w:rPr>
        <w:fldChar w:fldCharType="end"/>
      </w:r>
      <w:r>
        <w:rPr>
          <w:rFonts w:ascii="Arial" w:hAnsi="Arial" w:cs="Arial"/>
        </w:rPr>
        <w:t>. Such interactions appear to lead to an increase in intracellular signalling within the cell leading to inhibition of stomatal lineage advancement. Conversely, if EPFL9 outcompetes EPF2 in binding to ERf members then it seems that intracellular signalling is blocked and stomatal lineage progression occurs.</w:t>
      </w:r>
    </w:p>
    <w:p w14:paraId="70173461" w14:textId="77777777" w:rsidR="00311AE8" w:rsidRPr="00FA7F73" w:rsidRDefault="00311AE8" w:rsidP="00311AE8">
      <w:pPr>
        <w:spacing w:after="160" w:line="360" w:lineRule="auto"/>
        <w:rPr>
          <w:rFonts w:ascii="Arial" w:hAnsi="Arial" w:cs="Arial"/>
        </w:rPr>
      </w:pPr>
      <w:r>
        <w:rPr>
          <w:rFonts w:ascii="Arial" w:hAnsi="Arial" w:cs="Arial"/>
        </w:rPr>
        <w:t xml:space="preserve">For the stomatal lineage to advance from a self-renewing meristemoid to a GMC, MUTE-SCRM/2 heterodimers are required </w:t>
      </w:r>
      <w:r>
        <w:rPr>
          <w:rFonts w:ascii="Arial" w:hAnsi="Arial" w:cs="Arial"/>
        </w:rPr>
        <w:fldChar w:fldCharType="begin">
          <w:fldData xml:space="preserve">PEVuZE5vdGU+PENpdGU+PEF1dGhvcj5QaWxsaXR0ZXJpPC9BdXRob3I+PFllYXI+MjAwNzwvWWVh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</w:fldData>
        </w:fldChar>
      </w:r>
      <w:r>
        <w:rPr>
          <w:rFonts w:ascii="Arial" w:hAnsi="Arial" w:cs="Arial"/>
        </w:rPr>
        <w:instrText xml:space="preserve"> ADDIN EN.CITE </w:instrText>
      </w:r>
      <w:r>
        <w:rPr>
          <w:rFonts w:ascii="Arial" w:hAnsi="Arial" w:cs="Arial"/>
        </w:rPr>
        <w:fldChar w:fldCharType="begin">
          <w:fldData xml:space="preserve">PEVuZE5vdGU+PENpdGU+PEF1dGhvcj5QaWxsaXR0ZXJpPC9BdXRob3I+PFllYXI+MjAwNzwvWWVh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(Kanaoka et al., 2008; Lampard et al., 2014; Pillitteri et al., 2007)</w:t>
      </w:r>
      <w:r>
        <w:rPr>
          <w:rFonts w:ascii="Arial" w:hAnsi="Arial" w:cs="Arial"/>
        </w:rPr>
        <w:fldChar w:fldCharType="end"/>
      </w:r>
      <w:r>
        <w:rPr>
          <w:rFonts w:ascii="Arial" w:hAnsi="Arial" w:cs="Arial"/>
        </w:rPr>
        <w:t xml:space="preserve"> (</w:t>
      </w:r>
      <w:r>
        <w:rPr>
          <w:rFonts w:ascii="Arial" w:hAnsi="Arial" w:cs="Arial"/>
          <w:b/>
        </w:rPr>
        <w:t xml:space="preserve">Fig. 3 </w:t>
      </w:r>
      <w:r>
        <w:rPr>
          <w:rFonts w:ascii="Arial" w:hAnsi="Arial" w:cs="Arial"/>
        </w:rPr>
        <w:t xml:space="preserve">and </w:t>
      </w:r>
      <w:r>
        <w:rPr>
          <w:rFonts w:ascii="Arial" w:hAnsi="Arial" w:cs="Arial"/>
          <w:b/>
        </w:rPr>
        <w:t>Fig. 4</w:t>
      </w:r>
      <w:r>
        <w:rPr>
          <w:rFonts w:ascii="Arial" w:hAnsi="Arial" w:cs="Arial"/>
        </w:rPr>
        <w:t xml:space="preserve">) This advancement appears to be primarily negatively regulated by EPF1 which, like EPF2, utilises ERf members (especially ERL1), together with TMM and SERK to signal across of the membrane of a developing stomatal lineage cell </w:t>
      </w:r>
      <w:r>
        <w:rPr>
          <w:rFonts w:ascii="Arial" w:hAnsi="Arial" w:cs="Arial"/>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IDIwMDc7IExlZSBldCBhbC4sIDIwMTI7IE1lbmcgZXQgYWwuLCAyMDE1KTwvRGlzcGxheVRleHQ+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</w:fldData>
        </w:fldChar>
      </w:r>
      <w:r>
        <w:rPr>
          <w:rFonts w:ascii="Arial" w:hAnsi="Arial" w:cs="Arial"/>
        </w:rPr>
        <w:instrText xml:space="preserve"> ADDIN EN.CITE </w:instrText>
      </w:r>
      <w:r>
        <w:rPr>
          <w:rFonts w:ascii="Arial" w:hAnsi="Arial" w:cs="Arial"/>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IDIwMDc7IExlZSBldCBhbC4sIDIwMTI7IE1lbmcgZXQgYWwuLCAyMDE1KTwvRGlzcGxheVRleHQ+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(Hara et al., 2007; Lee et al., 2012; Meng et al., 2015)</w:t>
      </w:r>
      <w:r>
        <w:rPr>
          <w:rFonts w:ascii="Arial" w:hAnsi="Arial" w:cs="Arial"/>
        </w:rPr>
        <w:fldChar w:fldCharType="end"/>
      </w:r>
      <w:r>
        <w:rPr>
          <w:rFonts w:ascii="Arial" w:hAnsi="Arial" w:cs="Arial"/>
        </w:rPr>
        <w:t xml:space="preserve">. Once inside the cell it is believed that this signal is relayed to the nucleus via the aforementioned YODA-MKK4/5/7/9-MPK3/6 signalling cascade to block the differentiation of a meristemoid to GMC by blocking MUTE from acting </w:t>
      </w:r>
      <w:r>
        <w:rPr>
          <w:rFonts w:ascii="Arial" w:hAnsi="Arial" w:cs="Arial"/>
        </w:rPr>
        <w:fldChar w:fldCharType="begin">
          <w:fldData xml:space="preserve">PEVuZE5vdGU+PENpdGU+PEF1dGhvcj5MYW1wYXJkPC9BdXRob3I+PFllYXI+MjAxNDwvWWVhcj48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PEVuZE5vdGU+PENpdGU+PEF1dGhvcj5MYW1wYXJkPC9BdXRob3I+PFllYXI+MjAxNDwvWWVhcj48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(Lampard et al., 2014)</w:t>
      </w:r>
      <w:r>
        <w:rPr>
          <w:rFonts w:ascii="Arial" w:hAnsi="Arial" w:cs="Arial"/>
        </w:rPr>
        <w:fldChar w:fldCharType="end"/>
      </w:r>
      <w:r>
        <w:rPr>
          <w:rFonts w:ascii="Arial" w:hAnsi="Arial" w:cs="Arial"/>
        </w:rPr>
        <w:t xml:space="preserve"> (</w:t>
      </w:r>
      <w:r>
        <w:rPr>
          <w:rFonts w:ascii="Arial" w:hAnsi="Arial" w:cs="Arial"/>
          <w:b/>
        </w:rPr>
        <w:t>Fig. 4</w:t>
      </w:r>
      <w:r>
        <w:rPr>
          <w:rFonts w:ascii="Arial" w:hAnsi="Arial" w:cs="Arial"/>
        </w:rPr>
        <w:t xml:space="preserve">). By preventing GMC formation EPF1 blocks stomata from forming adjacent to one another and is therefore very important in maintaining the one cell spacing rule in Arabidopsis </w:t>
      </w:r>
      <w:r>
        <w:rPr>
          <w:rFonts w:ascii="Arial" w:hAnsi="Arial" w:cs="Arial"/>
        </w:rPr>
        <w:fldChar w:fldCharType="begin">
          <w:fldData xml:space="preserve">PEVuZE5vdGU+PENpdGU+PEF1dGhvcj5IdW50PC9BdXRob3I+PFllYXI+MjAxMDwvWWVhcj48SURU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</w:fldData>
        </w:fldChar>
      </w:r>
      <w:r>
        <w:rPr>
          <w:rFonts w:ascii="Arial" w:hAnsi="Arial" w:cs="Arial"/>
        </w:rPr>
        <w:instrText xml:space="preserve"> ADDIN EN.CITE </w:instrText>
      </w:r>
      <w:r>
        <w:rPr>
          <w:rFonts w:ascii="Arial" w:hAnsi="Arial" w:cs="Arial"/>
        </w:rPr>
        <w:fldChar w:fldCharType="begin">
          <w:fldData xml:space="preserve">PEVuZE5vdGU+PENpdGU+PEF1dGhvcj5IdW50PC9BdXRob3I+PFllYXI+MjAxMDwvWWVhcj48SURU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(Hara et al., 2007; Hara et al., 2009; Hunt and Gray, 2010)</w:t>
      </w:r>
      <w:r>
        <w:rPr>
          <w:rFonts w:ascii="Arial" w:hAnsi="Arial" w:cs="Arial"/>
        </w:rPr>
        <w:fldChar w:fldCharType="end"/>
      </w:r>
      <w:r>
        <w:rPr>
          <w:rFonts w:ascii="Arial" w:hAnsi="Arial" w:cs="Arial"/>
        </w:rPr>
        <w:t>.</w:t>
      </w:r>
    </w:p>
    <w:p w14:paraId="45416EDD" w14:textId="77777777" w:rsidR="00311AE8" w:rsidRDefault="00311AE8" w:rsidP="00311AE8">
      <w:pPr>
        <w:spacing w:after="160" w:line="360" w:lineRule="auto"/>
        <w:rPr>
          <w:rFonts w:ascii="Arial" w:hAnsi="Arial" w:cs="Arial"/>
          <w:u w:val="single"/>
        </w:rPr>
      </w:pPr>
      <w:r>
        <w:rPr>
          <w:rFonts w:ascii="Arial" w:hAnsi="Arial" w:cs="Arial"/>
          <w:u w:val="single"/>
        </w:rPr>
        <w:t xml:space="preserve">1.5.5 </w:t>
      </w:r>
      <w:r w:rsidRPr="00E5501E">
        <w:rPr>
          <w:rFonts w:ascii="Arial" w:hAnsi="Arial" w:cs="Arial"/>
          <w:u w:val="single"/>
        </w:rPr>
        <w:t>The genetics underpinning cell polarity and spacing during stomatal development in Arabidopsis</w:t>
      </w:r>
    </w:p>
    <w:p w14:paraId="7A46F769" w14:textId="77777777" w:rsidR="00311AE8" w:rsidRDefault="00311AE8" w:rsidP="00311AE8">
      <w:pPr>
        <w:spacing w:after="160" w:line="360" w:lineRule="auto"/>
        <w:rPr>
          <w:rFonts w:ascii="Arial" w:hAnsi="Arial" w:cs="Arial"/>
        </w:rPr>
      </w:pPr>
      <w:r>
        <w:rPr>
          <w:rFonts w:ascii="Arial" w:hAnsi="Arial" w:cs="Arial"/>
        </w:rPr>
        <w:t xml:space="preserve">The networks of genes discussed above highlight some of the main players that either permit or block advances in the stomatal lineage. However, to achieve such processes, division planes in nascent stomatal lineage cells must be orientated correctly. In the case of Arabidopsis </w:t>
      </w:r>
      <w:r>
        <w:rPr>
          <w:rFonts w:ascii="Arial" w:hAnsi="Arial" w:cs="Arial"/>
          <w:i/>
        </w:rPr>
        <w:t xml:space="preserve">BREAKING OF ASYMMETRY IN THE STOMATAL LINEAGE </w:t>
      </w:r>
      <w:r>
        <w:rPr>
          <w:rFonts w:ascii="Arial" w:hAnsi="Arial" w:cs="Arial"/>
        </w:rPr>
        <w:t>(</w:t>
      </w:r>
      <w:r>
        <w:rPr>
          <w:rFonts w:ascii="Arial" w:hAnsi="Arial" w:cs="Arial"/>
          <w:i/>
        </w:rPr>
        <w:t>BASL</w:t>
      </w:r>
      <w:r>
        <w:rPr>
          <w:rFonts w:ascii="Arial" w:hAnsi="Arial" w:cs="Arial"/>
        </w:rPr>
        <w:t xml:space="preserve">) appears to be quite important. BASL functioning begins early in the stomatal lineage during MMC formation where the protein accumulates in the nucleus </w:t>
      </w:r>
      <w:r>
        <w:rPr>
          <w:rFonts w:ascii="Arial" w:hAnsi="Arial" w:cs="Arial"/>
        </w:rPr>
        <w:fldChar w:fldCharType="begin">
          <w:fldData xml:space="preserve">PEVuZE5vdGU+PENpdGU+PEF1dGhvcj5Eb25nPC9BdXRob3I+PFllYXI+MjAwOTwvWWVhcj48SURU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</w:fldData>
        </w:fldChar>
      </w:r>
      <w:r>
        <w:rPr>
          <w:rFonts w:ascii="Arial" w:hAnsi="Arial" w:cs="Arial"/>
        </w:rPr>
        <w:instrText xml:space="preserve"> ADDIN EN.CITE </w:instrText>
      </w:r>
      <w:r>
        <w:rPr>
          <w:rFonts w:ascii="Arial" w:hAnsi="Arial" w:cs="Arial"/>
        </w:rPr>
        <w:fldChar w:fldCharType="begin">
          <w:fldData xml:space="preserve">PEVuZE5vdGU+PENpdGU+PEF1dGhvcj5Eb25nPC9BdXRob3I+PFllYXI+MjAwOTwvWWVhcj48SURU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(Dong et al., 2009; Han and Torii, 2016; Zhang et al., 2015)</w:t>
      </w:r>
      <w:r>
        <w:rPr>
          <w:rFonts w:ascii="Arial" w:hAnsi="Arial" w:cs="Arial"/>
        </w:rPr>
        <w:fldChar w:fldCharType="end"/>
      </w:r>
      <w:r>
        <w:rPr>
          <w:rFonts w:ascii="Arial" w:hAnsi="Arial" w:cs="Arial"/>
        </w:rPr>
        <w:t xml:space="preserve"> (</w:t>
      </w:r>
      <w:r>
        <w:rPr>
          <w:rFonts w:ascii="Arial" w:hAnsi="Arial" w:cs="Arial"/>
          <w:b/>
        </w:rPr>
        <w:t>Fig. 5a</w:t>
      </w:r>
      <w:r>
        <w:rPr>
          <w:rFonts w:ascii="Arial" w:hAnsi="Arial" w:cs="Arial"/>
        </w:rPr>
        <w:t xml:space="preserve">). As MMC expansion occurs, BASL begins to localise at the wall of the enlarging cell at the opposite pole to where the nucleus is located. Once  asymmetric division occurs the larger SLGC maintains the distally located BASL but </w:t>
      </w:r>
      <w:r>
        <w:rPr>
          <w:rFonts w:ascii="Arial" w:hAnsi="Arial" w:cs="Arial"/>
        </w:rPr>
        <w:lastRenderedPageBreak/>
        <w:t xml:space="preserve">does not exhibit BASL accumulation in the newly formed nucleus </w:t>
      </w:r>
      <w:r>
        <w:rPr>
          <w:rFonts w:ascii="Arial" w:hAnsi="Arial" w:cs="Arial"/>
        </w:rPr>
        <w:fldChar w:fldCharType="begin"/>
      </w:r>
      <w:r>
        <w:rPr>
          <w:rFonts w:ascii="Arial" w:hAnsi="Arial" w:cs="Arial"/>
        </w:rPr>
        <w:instrText xml:space="preserve"> ADDIN EN.CITE &lt;EndNote&gt;&lt;Cite&gt;&lt;Author&gt;Dong&lt;/Author&gt;&lt;Year&gt;2009&lt;/Year&gt;&lt;IDText&gt;BASL Controls Asymmetric Cell Division in Arabidopsis&lt;/IDText&gt;&lt;DisplayText&gt;(Dong et al., 2009)&lt;/DisplayText&gt;&lt;record&gt;&lt;dates&gt;&lt;pub-dates&gt;&lt;date&gt;Jun&lt;/date&gt;&lt;/pub-dates&gt;&lt;year&gt;2009&lt;/year&gt;&lt;/dates&gt;&lt;keywords&gt;&lt;keyword&gt;stomatal development&lt;/keyword&gt;&lt;keyword&gt;transcription factor&lt;/keyword&gt;&lt;keyword&gt;auxin transport&lt;/keyword&gt;&lt;keyword&gt;plasma-membrane&lt;/keyword&gt;&lt;keyword&gt;mapkk kinase&lt;/keyword&gt;&lt;keyword&gt;differentiation&lt;/keyword&gt;&lt;keyword&gt;morphogenesis&lt;/keyword&gt;&lt;keyword&gt;cytoskeleton&lt;/keyword&gt;&lt;keyword&gt;polarity&lt;/keyword&gt;&lt;keyword&gt;elegans&lt;/keyword&gt;&lt;keyword&gt;Biochemistry &amp;amp; Molecular Biology&lt;/keyword&gt;&lt;keyword&gt;Cell Biology&lt;/keyword&gt;&lt;/keywords&gt;&lt;urls&gt;&lt;related-urls&gt;&lt;url&gt;&amp;lt;Go to ISI&amp;gt;://WOS:000267373400024&lt;/url&gt;&lt;/related-urls&gt;&lt;/urls&gt;&lt;isbn&gt;0092-8674&lt;/isbn&gt;&lt;work-type&gt;Article&lt;/work-type&gt;&lt;titles&gt;&lt;title&gt;BASL Controls Asymmetric Cell Division in Arabidopsis&lt;/title&gt;&lt;secondary-title&gt;Cell&lt;/secondary-title&gt;&lt;/titles&gt;&lt;pages&gt;1320-1330&lt;/pages&gt;&lt;number&gt;7&lt;/number&gt;&lt;contributors&gt;&lt;authors&gt;&lt;author&gt;Dong, J.&lt;/author&gt;&lt;author&gt;MacAlister, C. A.&lt;/author&gt;&lt;author&gt;Bergmann, D. C.&lt;/author&gt;&lt;/authors&gt;&lt;/contributors&gt;&lt;language&gt;English&lt;/language&gt;&lt;added-date format="utc"&gt;1445668707&lt;/added-date&gt;&lt;ref-type name="Journal Article"&gt;17&lt;/ref-type&gt;&lt;auth-address&gt;[Dong, Juan&amp;#xD;MacAlister, Cora A.&amp;#xD;Bergmann, Dominique C.] Stanford Univ, Dept Biol, Stanford, CA 94305 USA.&amp;#xD;Bergmann, DC (reprint author), Stanford Univ, Dept Biol, Stanford, CA 94305 USA.&amp;#xD;dbergmann@stanford.edu&lt;/auth-address&gt;&lt;rec-number&gt;185&lt;/rec-number&gt;&lt;last-updated-date format="utc"&gt;1445668707&lt;/last-updated-date&gt;&lt;accession-num&gt;WOS:000267373400024&lt;/accession-num&gt;&lt;electronic-resource-num&gt;10.1016/j.cell.2009.04.018&lt;/electronic-resource-num&gt;&lt;volume&gt;137&lt;/volume&gt;&lt;/record&gt;&lt;/Cite&gt;&lt;/EndNote&gt;</w:instrText>
      </w:r>
      <w:r>
        <w:rPr>
          <w:rFonts w:ascii="Arial" w:hAnsi="Arial" w:cs="Arial"/>
        </w:rPr>
        <w:fldChar w:fldCharType="separate"/>
      </w:r>
      <w:r>
        <w:rPr>
          <w:rFonts w:ascii="Arial" w:hAnsi="Arial" w:cs="Arial"/>
          <w:noProof/>
        </w:rPr>
        <w:t>(Dong et al., 2009)</w:t>
      </w:r>
      <w:r>
        <w:rPr>
          <w:rFonts w:ascii="Arial" w:hAnsi="Arial" w:cs="Arial"/>
        </w:rPr>
        <w:fldChar w:fldCharType="end"/>
      </w:r>
      <w:r>
        <w:rPr>
          <w:rFonts w:ascii="Arial" w:hAnsi="Arial" w:cs="Arial"/>
        </w:rPr>
        <w:t>. The BASL signal located at the SLGC periphery can then serve as a marker for a subsequent satellite meristemoid formation (</w:t>
      </w:r>
      <w:r>
        <w:rPr>
          <w:rFonts w:ascii="Arial" w:hAnsi="Arial" w:cs="Arial"/>
          <w:b/>
        </w:rPr>
        <w:t>Fig. 5b</w:t>
      </w:r>
      <w:r>
        <w:rPr>
          <w:rFonts w:ascii="Arial" w:hAnsi="Arial" w:cs="Arial"/>
        </w:rPr>
        <w:t xml:space="preserve">). Once such lineage initiation has been instigated in the initially formed SLGC a polarity switch can occur which results in BASL localisation away from both the newly formed meristemoid and the meristemoid that initially formed </w:t>
      </w:r>
      <w:r>
        <w:rPr>
          <w:rFonts w:ascii="Arial" w:hAnsi="Arial" w:cs="Arial"/>
        </w:rPr>
        <w:fldChar w:fldCharType="begin"/>
      </w:r>
      <w:r>
        <w:rPr>
          <w:rFonts w:ascii="Arial" w:hAnsi="Arial" w:cs="Arial"/>
        </w:rPr>
        <w:instrText xml:space="preserve"> ADDIN EN.CITE &lt;EndNote&gt;&lt;Cite&gt;&lt;Author&gt;Dong&lt;/Author&gt;&lt;Year&gt;2009&lt;/Year&gt;&lt;IDText&gt;BASL Controls Asymmetric Cell Division in Arabidopsis&lt;/IDText&gt;&lt;DisplayText&gt;(Dong et al., 2009)&lt;/DisplayText&gt;&lt;record&gt;&lt;dates&gt;&lt;pub-dates&gt;&lt;date&gt;Jun&lt;/date&gt;&lt;/pub-dates&gt;&lt;year&gt;2009&lt;/year&gt;&lt;/dates&gt;&lt;keywords&gt;&lt;keyword&gt;stomatal development&lt;/keyword&gt;&lt;keyword&gt;transcription factor&lt;/keyword&gt;&lt;keyword&gt;auxin transport&lt;/keyword&gt;&lt;keyword&gt;plasma-membrane&lt;/keyword&gt;&lt;keyword&gt;mapkk kinase&lt;/keyword&gt;&lt;keyword&gt;differentiation&lt;/keyword&gt;&lt;keyword&gt;morphogenesis&lt;/keyword&gt;&lt;keyword&gt;cytoskeleton&lt;/keyword&gt;&lt;keyword&gt;polarity&lt;/keyword&gt;&lt;keyword&gt;elegans&lt;/keyword&gt;&lt;keyword&gt;Biochemistry &amp;amp; Molecular Biology&lt;/keyword&gt;&lt;keyword&gt;Cell Biology&lt;/keyword&gt;&lt;/keywords&gt;&lt;urls&gt;&lt;related-urls&gt;&lt;url&gt;&amp;lt;Go to ISI&amp;gt;://WOS:000267373400024&lt;/url&gt;&lt;/related-urls&gt;&lt;/urls&gt;&lt;isbn&gt;0092-8674&lt;/isbn&gt;&lt;work-type&gt;Article&lt;/work-type&gt;&lt;titles&gt;&lt;title&gt;BASL Controls Asymmetric Cell Division in Arabidopsis&lt;/title&gt;&lt;secondary-title&gt;Cell&lt;/secondary-title&gt;&lt;/titles&gt;&lt;pages&gt;1320-1330&lt;/pages&gt;&lt;number&gt;7&lt;/number&gt;&lt;contributors&gt;&lt;authors&gt;&lt;author&gt;Dong, J.&lt;/author&gt;&lt;author&gt;MacAlister, C. A.&lt;/author&gt;&lt;author&gt;Bergmann, D. C.&lt;/author&gt;&lt;/authors&gt;&lt;/contributors&gt;&lt;language&gt;English&lt;/language&gt;&lt;added-date format="utc"&gt;1445668707&lt;/added-date&gt;&lt;ref-type name="Journal Article"&gt;17&lt;/ref-type&gt;&lt;auth-address&gt;[Dong, Juan&amp;#xD;MacAlister, Cora A.&amp;#xD;Bergmann, Dominique C.] Stanford Univ, Dept Biol, Stanford, CA 94305 USA.&amp;#xD;Bergmann, DC (reprint author), Stanford Univ, Dept Biol, Stanford, CA 94305 USA.&amp;#xD;dbergmann@stanford.edu&lt;/auth-address&gt;&lt;rec-number&gt;185&lt;/rec-number&gt;&lt;last-updated-date format="utc"&gt;1445668707&lt;/last-updated-date&gt;&lt;accession-num&gt;WOS:000267373400024&lt;/accession-num&gt;&lt;electronic-resource-num&gt;10.1016/j.cell.2009.04.018&lt;/electronic-resource-num&gt;&lt;volume&gt;137&lt;/volume&gt;&lt;/record&gt;&lt;/Cite&gt;&lt;/EndNote&gt;</w:instrText>
      </w:r>
      <w:r>
        <w:rPr>
          <w:rFonts w:ascii="Arial" w:hAnsi="Arial" w:cs="Arial"/>
        </w:rPr>
        <w:fldChar w:fldCharType="separate"/>
      </w:r>
      <w:r>
        <w:rPr>
          <w:rFonts w:ascii="Arial" w:hAnsi="Arial" w:cs="Arial"/>
          <w:noProof/>
        </w:rPr>
        <w:t>(Dong et al., 2009)</w:t>
      </w:r>
      <w:r>
        <w:rPr>
          <w:rFonts w:ascii="Arial" w:hAnsi="Arial" w:cs="Arial"/>
        </w:rPr>
        <w:fldChar w:fldCharType="end"/>
      </w:r>
      <w:r>
        <w:rPr>
          <w:rFonts w:ascii="Arial" w:hAnsi="Arial" w:cs="Arial"/>
        </w:rPr>
        <w:t xml:space="preserve">. Such functioning appears to be decoupled from that of EPF1 and TMM as in </w:t>
      </w:r>
      <w:r>
        <w:rPr>
          <w:rFonts w:ascii="Arial" w:hAnsi="Arial" w:cs="Arial"/>
          <w:i/>
        </w:rPr>
        <w:t xml:space="preserve">epf1 </w:t>
      </w:r>
      <w:r>
        <w:rPr>
          <w:rFonts w:ascii="Arial" w:hAnsi="Arial" w:cs="Arial"/>
        </w:rPr>
        <w:t xml:space="preserve">and </w:t>
      </w:r>
      <w:r>
        <w:rPr>
          <w:rFonts w:ascii="Arial" w:hAnsi="Arial" w:cs="Arial"/>
          <w:i/>
        </w:rPr>
        <w:t xml:space="preserve">tmm </w:t>
      </w:r>
      <w:r>
        <w:rPr>
          <w:rFonts w:ascii="Arial" w:hAnsi="Arial" w:cs="Arial"/>
        </w:rPr>
        <w:t>mutants BASL localisation remains the same as wild-type.</w:t>
      </w:r>
    </w:p>
    <w:p w14:paraId="0F8E8344" w14:textId="77777777" w:rsidR="00311AE8" w:rsidRPr="000015EC" w:rsidRDefault="00311AE8" w:rsidP="00311AE8">
      <w:pPr>
        <w:tabs>
          <w:tab w:val="left" w:pos="1843"/>
        </w:tabs>
        <w:spacing w:after="160" w:line="360" w:lineRule="auto"/>
        <w:jc w:val="center"/>
        <w:rPr>
          <w:rFonts w:ascii="Arial" w:hAnsi="Arial" w:cs="Arial"/>
        </w:rPr>
      </w:pPr>
      <w:r>
        <w:rPr>
          <w:rFonts w:ascii="Arial" w:hAnsi="Arial" w:cs="Arial"/>
          <w:noProof/>
          <w:lang w:eastAsia="ja-JP"/>
        </w:rPr>
        <w:drawing>
          <wp:inline distT="0" distB="0" distL="0" distR="0" wp14:anchorId="45528113" wp14:editId="092E9D28">
            <wp:extent cx="3164440" cy="387678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ASL pictur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79214" cy="3894881"/>
                    </a:xfrm>
                    <a:prstGeom prst="rect">
                      <a:avLst/>
                    </a:prstGeom>
                  </pic:spPr>
                </pic:pic>
              </a:graphicData>
            </a:graphic>
          </wp:inline>
        </w:drawing>
      </w:r>
    </w:p>
    <w:p w14:paraId="694E6E97" w14:textId="77777777" w:rsidR="00311AE8" w:rsidRPr="00453710" w:rsidRDefault="00311AE8" w:rsidP="00311AE8">
      <w:pPr>
        <w:spacing w:after="160" w:line="360" w:lineRule="auto"/>
        <w:rPr>
          <w:rFonts w:ascii="Arial" w:hAnsi="Arial" w:cs="Arial"/>
        </w:rPr>
      </w:pPr>
      <w:r w:rsidRPr="00AB2CE5">
        <w:rPr>
          <w:rFonts w:ascii="Arial" w:hAnsi="Arial" w:cs="Arial"/>
          <w:b/>
        </w:rPr>
        <w:t xml:space="preserve">Figure 5. The functioning of BREAKING OF ASSYMETRY IN THE STOMATAL LINEAGE (BASL) in Arabidopsis </w:t>
      </w:r>
      <w:r>
        <w:rPr>
          <w:rFonts w:ascii="Arial" w:hAnsi="Arial" w:cs="Arial"/>
          <w:b/>
        </w:rPr>
        <w:t>adapted</w:t>
      </w:r>
      <w:r w:rsidRPr="00AB2CE5">
        <w:rPr>
          <w:rFonts w:ascii="Arial" w:hAnsi="Arial" w:cs="Arial"/>
          <w:b/>
        </w:rPr>
        <w:t xml:space="preserve"> from Han and Torii </w:t>
      </w:r>
      <w:r w:rsidRPr="00AB2CE5">
        <w:rPr>
          <w:rFonts w:ascii="Arial" w:hAnsi="Arial" w:cs="Arial"/>
          <w:b/>
        </w:rPr>
        <w:fldChar w:fldCharType="begin"/>
      </w:r>
      <w:r w:rsidRPr="00AB2CE5">
        <w:rPr>
          <w:rFonts w:ascii="Arial" w:hAnsi="Arial" w:cs="Arial"/>
          <w:b/>
        </w:rPr>
        <w:instrText xml:space="preserve"> ADDIN EN.CITE &lt;EndNote&gt;&lt;Cite ExcludeAuth="1"&gt;&lt;Author&gt;Han&lt;/Author&gt;&lt;Year&gt;2016&lt;/Year&gt;&lt;IDText&gt;Lineage-specific stem cells, signals and asymmetries during stomatal development&lt;/IDText&gt;&lt;DisplayText&gt;(2016)&lt;/DisplayText&gt;&lt;record&gt;&lt;dates&gt;&lt;pub-dates&gt;&lt;date&gt;2016 Apr&lt;/date&gt;&lt;/pub-dates&gt;&lt;year&gt;2016&lt;/year&gt;&lt;/dates&gt;&lt;keywords&gt;&lt;keyword&gt;Index Medicus&lt;/keyword&gt;&lt;keyword&gt;Asymmetric division&lt;/keyword&gt;&lt;keyword&gt;Epigenetic regulation of differentiation&lt;/keyword&gt;&lt;keyword&gt;Lineage-specific stem cells&lt;/keyword&gt;&lt;keyword&gt;Peptide signaling&lt;/keyword&gt;&lt;keyword&gt;Stomata&lt;/keyword&gt;&lt;keyword&gt;bHLH proteins&lt;/keyword&gt;&lt;/keywords&gt;&lt;urls&gt;&lt;related-urls&gt;&lt;url&gt;&amp;lt;Go to ISI&amp;gt;://MEDLINE:27095491&lt;/url&gt;&lt;/related-urls&gt;&lt;/urls&gt;&lt;isbn&gt;1477-9129&lt;/isbn&gt;&lt;work-type&gt;; Review&lt;/work-type&gt;&lt;titles&gt;&lt;title&gt;Lineage-specific stem cells, signals and asymmetries during stomatal development&lt;/title&gt;&lt;secondary-title&gt;Development (Cambridge, England)&lt;/secondary-title&gt;&lt;/titles&gt;&lt;pages&gt;1259-70&lt;/pages&gt;&lt;number&gt;8&lt;/number&gt;&lt;contributors&gt;&lt;authors&gt;&lt;author&gt;Han, Soon-Ki&lt;/author&gt;&lt;author&gt;Torii, Keiko U.&lt;/author&gt;&lt;/authors&gt;&lt;/contributors&gt;&lt;language&gt;English&lt;/language&gt;&lt;added-date format="utc"&gt;1465469705&lt;/added-date&gt;&lt;ref-type name="Journal Article"&gt;17&lt;/ref-type&gt;&lt;auth-address&gt;Howard Hughes Medical Institute, University of Washington, Seattle, WA 98195, USA Department of Biology, University of Washington, Seattle, WA 98195, USA.&lt;/auth-address&gt;&lt;rec-number&gt;1291&lt;/rec-number&gt;&lt;last-updated-date format="utc"&gt;1465469705&lt;/last-updated-date&gt;&lt;accession-num&gt;MEDLINE:27095491&lt;/accession-num&gt;&lt;electronic-resource-num&gt;10.1242/dev.127712&lt;/electronic-resource-num&gt;&lt;volume&gt;143&lt;/volume&gt;&lt;/record&gt;&lt;/Cite&gt;&lt;/EndNote&gt;</w:instrText>
      </w:r>
      <w:r w:rsidRPr="00AB2CE5">
        <w:rPr>
          <w:rFonts w:ascii="Arial" w:hAnsi="Arial" w:cs="Arial"/>
          <w:b/>
        </w:rPr>
        <w:fldChar w:fldCharType="separate"/>
      </w:r>
      <w:r w:rsidRPr="00AB2CE5">
        <w:rPr>
          <w:rFonts w:ascii="Arial" w:hAnsi="Arial" w:cs="Arial"/>
          <w:b/>
          <w:noProof/>
        </w:rPr>
        <w:t>(2016)</w:t>
      </w:r>
      <w:r w:rsidRPr="00AB2CE5">
        <w:rPr>
          <w:rFonts w:ascii="Arial" w:hAnsi="Arial" w:cs="Arial"/>
          <w:b/>
        </w:rPr>
        <w:fldChar w:fldCharType="end"/>
      </w:r>
      <w:r w:rsidRPr="00AB2CE5">
        <w:rPr>
          <w:rFonts w:ascii="Arial" w:hAnsi="Arial" w:cs="Arial"/>
          <w:b/>
        </w:rPr>
        <w:t>.</w:t>
      </w:r>
      <w:r>
        <w:rPr>
          <w:rFonts w:ascii="Arial" w:hAnsi="Arial" w:cs="Arial"/>
          <w:b/>
        </w:rPr>
        <w:t xml:space="preserve"> </w:t>
      </w:r>
      <w:r>
        <w:rPr>
          <w:rFonts w:ascii="Arial" w:hAnsi="Arial" w:cs="Arial"/>
        </w:rPr>
        <w:t>(</w:t>
      </w:r>
      <w:r>
        <w:rPr>
          <w:rFonts w:ascii="Arial" w:hAnsi="Arial" w:cs="Arial"/>
          <w:b/>
        </w:rPr>
        <w:t>a</w:t>
      </w:r>
      <w:r>
        <w:rPr>
          <w:rFonts w:ascii="Arial" w:hAnsi="Arial" w:cs="Arial"/>
        </w:rPr>
        <w:t xml:space="preserve">) </w:t>
      </w:r>
      <w:r w:rsidRPr="00453710">
        <w:rPr>
          <w:rFonts w:ascii="Arial" w:hAnsi="Arial" w:cs="Arial"/>
          <w:i/>
        </w:rPr>
        <w:t>BASL</w:t>
      </w:r>
      <w:r>
        <w:rPr>
          <w:rFonts w:ascii="Arial" w:hAnsi="Arial" w:cs="Arial"/>
        </w:rPr>
        <w:t xml:space="preserve"> is expressed in the wild-type during early stomatal lineage formation to regulate polarity and cell placement. Once translated it is present both in the nucleus at one pole and on the plasma membrane as an arc at the other pole of the expanding MMC. When the MMC asymmetrically divides the arc on the plasma membrane of the new formed stomatal lineage ground cell (SLGC) remains in position but does not also localise to the nucleus of the newly formed SLGC. The maintained arc can either mark the site of a subsequent satellite meristemoid via a spacing divisions or can dissipate and the SLGC will not undergo stomatal lineage entry. In the meristemoid produced from the initially asymmetric division BASL remains until the </w:t>
      </w:r>
      <w:r>
        <w:rPr>
          <w:rFonts w:ascii="Arial" w:hAnsi="Arial" w:cs="Arial"/>
        </w:rPr>
        <w:lastRenderedPageBreak/>
        <w:t xml:space="preserve">meristemoid advances further into the stomatal lineage at which point the signal dissipates. In </w:t>
      </w:r>
      <w:r>
        <w:rPr>
          <w:rFonts w:ascii="Arial" w:hAnsi="Arial" w:cs="Arial"/>
          <w:i/>
        </w:rPr>
        <w:t xml:space="preserve">basl </w:t>
      </w:r>
      <w:r>
        <w:rPr>
          <w:rFonts w:ascii="Arial" w:hAnsi="Arial" w:cs="Arial"/>
        </w:rPr>
        <w:t>mutants, polarity is lost which can lead to both cells derived from the division of an MMC becoming stomata. (</w:t>
      </w:r>
      <w:r>
        <w:rPr>
          <w:rFonts w:ascii="Arial" w:hAnsi="Arial" w:cs="Arial"/>
          <w:b/>
        </w:rPr>
        <w:t>b</w:t>
      </w:r>
      <w:r>
        <w:rPr>
          <w:rFonts w:ascii="Arial" w:hAnsi="Arial" w:cs="Arial"/>
        </w:rPr>
        <w:t xml:space="preserve">) Once the formation of a secondary satellite meristemoid arises a polarity switch is triggered which leads to BASL re-localising to the opposite pole of the SLGC. In </w:t>
      </w:r>
      <w:r>
        <w:rPr>
          <w:rFonts w:ascii="Arial" w:hAnsi="Arial" w:cs="Arial"/>
          <w:i/>
        </w:rPr>
        <w:t xml:space="preserve">epf1 </w:t>
      </w:r>
      <w:r>
        <w:rPr>
          <w:rFonts w:ascii="Arial" w:hAnsi="Arial" w:cs="Arial"/>
        </w:rPr>
        <w:t xml:space="preserve">or </w:t>
      </w:r>
      <w:r>
        <w:rPr>
          <w:rFonts w:ascii="Arial" w:hAnsi="Arial" w:cs="Arial"/>
          <w:i/>
        </w:rPr>
        <w:t xml:space="preserve">tmm </w:t>
      </w:r>
      <w:r>
        <w:rPr>
          <w:rFonts w:ascii="Arial" w:hAnsi="Arial" w:cs="Arial"/>
        </w:rPr>
        <w:t>mutants</w:t>
      </w:r>
      <w:r>
        <w:rPr>
          <w:rFonts w:ascii="Arial" w:hAnsi="Arial" w:cs="Arial"/>
          <w:i/>
        </w:rPr>
        <w:t xml:space="preserve"> </w:t>
      </w:r>
      <w:r>
        <w:rPr>
          <w:rFonts w:ascii="Arial" w:hAnsi="Arial" w:cs="Arial"/>
        </w:rPr>
        <w:t xml:space="preserve">the polarity switch does not redeploy to adjacent cells suggesting that BASL functioning is decoupled from </w:t>
      </w:r>
      <w:r w:rsidRPr="00C204C0">
        <w:rPr>
          <w:rFonts w:ascii="Arial" w:hAnsi="Arial" w:cs="Arial"/>
        </w:rPr>
        <w:t>EPF1</w:t>
      </w:r>
      <w:r>
        <w:rPr>
          <w:rFonts w:ascii="Arial" w:hAnsi="Arial" w:cs="Arial"/>
          <w:i/>
        </w:rPr>
        <w:t xml:space="preserve"> </w:t>
      </w:r>
      <w:r>
        <w:rPr>
          <w:rFonts w:ascii="Arial" w:hAnsi="Arial" w:cs="Arial"/>
        </w:rPr>
        <w:t xml:space="preserve">and </w:t>
      </w:r>
      <w:r w:rsidRPr="00C204C0">
        <w:rPr>
          <w:rFonts w:ascii="Arial" w:hAnsi="Arial" w:cs="Arial"/>
        </w:rPr>
        <w:t>TMM</w:t>
      </w:r>
      <w:r>
        <w:rPr>
          <w:rFonts w:ascii="Arial" w:hAnsi="Arial" w:cs="Arial"/>
        </w:rPr>
        <w:t xml:space="preserve"> functioning.</w:t>
      </w:r>
    </w:p>
    <w:p w14:paraId="00F57B1D" w14:textId="77777777" w:rsidR="00311AE8" w:rsidRPr="002B5B52" w:rsidRDefault="00311AE8" w:rsidP="00311AE8">
      <w:pPr>
        <w:spacing w:after="160" w:line="360" w:lineRule="auto"/>
        <w:rPr>
          <w:rFonts w:ascii="Arial" w:hAnsi="Arial" w:cs="Arial"/>
        </w:rPr>
      </w:pPr>
      <w:r>
        <w:rPr>
          <w:rFonts w:ascii="Arial" w:hAnsi="Arial" w:cs="Arial"/>
        </w:rPr>
        <w:t xml:space="preserve">The regulation of BASL is very important to stomatal patterning </w:t>
      </w:r>
      <w:commentRangeStart w:id="1"/>
      <w:r>
        <w:rPr>
          <w:rFonts w:ascii="Arial" w:hAnsi="Arial" w:cs="Arial"/>
        </w:rPr>
        <w:fldChar w:fldCharType="begin">
          <w:fldData xml:space="preserve">PEVuZE5vdGU+PENpdGU+PEF1dGhvcj5Eb25nPC9BdXRob3I+PFllYXI+MjAwOTwvWWVhcj48SURU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</w:fldData>
        </w:fldChar>
      </w:r>
      <w:r>
        <w:rPr>
          <w:rFonts w:ascii="Arial" w:hAnsi="Arial" w:cs="Arial"/>
        </w:rPr>
        <w:instrText xml:space="preserve"> ADDIN EN.CITE </w:instrText>
      </w:r>
      <w:r>
        <w:rPr>
          <w:rFonts w:ascii="Arial" w:hAnsi="Arial" w:cs="Arial"/>
        </w:rPr>
        <w:fldChar w:fldCharType="begin">
          <w:fldData xml:space="preserve">PEVuZE5vdGU+PENpdGU+PEF1dGhvcj5Eb25nPC9BdXRob3I+PFllYXI+MjAwOTwvWWVhcj48SURU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(Dong et al., 2009; Zhang et al., 2015)</w:t>
      </w:r>
      <w:r>
        <w:rPr>
          <w:rFonts w:ascii="Arial" w:hAnsi="Arial" w:cs="Arial"/>
        </w:rPr>
        <w:fldChar w:fldCharType="end"/>
      </w:r>
      <w:commentRangeEnd w:id="1"/>
      <w:r>
        <w:rPr>
          <w:rStyle w:val="CommentReference"/>
        </w:rPr>
        <w:commentReference w:id="1"/>
      </w:r>
      <w:r>
        <w:rPr>
          <w:rFonts w:ascii="Arial" w:hAnsi="Arial" w:cs="Arial"/>
        </w:rPr>
        <w:t xml:space="preserve">. Recently it has been shown that </w:t>
      </w:r>
      <w:r>
        <w:rPr>
          <w:rFonts w:ascii="Arial" w:hAnsi="Arial" w:cs="Arial"/>
          <w:i/>
        </w:rPr>
        <w:t>BASL</w:t>
      </w:r>
      <w:r>
        <w:rPr>
          <w:rFonts w:ascii="Arial" w:hAnsi="Arial" w:cs="Arial"/>
        </w:rPr>
        <w:t xml:space="preserve"> expression is upregulated by SPCH which, given BASL’s temporal and spatial functioning, offers insight into how SPCH orchestrates asymmetric divisions </w:t>
      </w:r>
      <w:r>
        <w:rPr>
          <w:rFonts w:ascii="Arial" w:hAnsi="Arial" w:cs="Arial"/>
        </w:rPr>
        <w:fldChar w:fldCharType="begin">
          <w:fldData xml:space="preserve">PEVuZE5vdGU+PENpdGU+PEF1dGhvcj5MYXU8L0F1dGhvcj48WWVhcj4yMDE0PC9ZZWFyPjxJRFRl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</w:fldData>
        </w:fldChar>
      </w:r>
      <w:r>
        <w:rPr>
          <w:rFonts w:ascii="Arial" w:hAnsi="Arial" w:cs="Arial"/>
        </w:rPr>
        <w:instrText xml:space="preserve"> ADDIN EN.CITE </w:instrText>
      </w:r>
      <w:r>
        <w:rPr>
          <w:rFonts w:ascii="Arial" w:hAnsi="Arial" w:cs="Arial"/>
        </w:rPr>
        <w:fldChar w:fldCharType="begin">
          <w:fldData xml:space="preserve">PEVuZE5vdGU+PENpdGU+PEF1dGhvcj5MYXU8L0F1dGhvcj48WWVhcj4yMDE0PC9ZZWFyPjxJRFRl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(Lau et al., 2014)</w:t>
      </w:r>
      <w:r>
        <w:rPr>
          <w:rFonts w:ascii="Arial" w:hAnsi="Arial" w:cs="Arial"/>
        </w:rPr>
        <w:fldChar w:fldCharType="end"/>
      </w:r>
      <w:r>
        <w:rPr>
          <w:rFonts w:ascii="Arial" w:hAnsi="Arial" w:cs="Arial"/>
        </w:rPr>
        <w:t xml:space="preserve">. Once translated, it has been shown that for BASL to be relocated to the distal periphery of enlarging MMC cells (see </w:t>
      </w:r>
      <w:r>
        <w:rPr>
          <w:rFonts w:ascii="Arial" w:hAnsi="Arial" w:cs="Arial"/>
          <w:b/>
        </w:rPr>
        <w:t>Fig. 5</w:t>
      </w:r>
      <w:r>
        <w:rPr>
          <w:rFonts w:ascii="Arial" w:hAnsi="Arial" w:cs="Arial"/>
        </w:rPr>
        <w:t>),</w:t>
      </w:r>
      <w:r>
        <w:rPr>
          <w:rFonts w:ascii="Arial" w:hAnsi="Arial" w:cs="Arial"/>
          <w:b/>
        </w:rPr>
        <w:t xml:space="preserve"> </w:t>
      </w:r>
      <w:r>
        <w:rPr>
          <w:rFonts w:ascii="Arial" w:hAnsi="Arial" w:cs="Arial"/>
        </w:rPr>
        <w:t xml:space="preserve">it must first be phosphorylated by MPK3/6 </w:t>
      </w:r>
      <w:r>
        <w:rPr>
          <w:rFonts w:ascii="Arial" w:hAnsi="Arial" w:cs="Arial"/>
        </w:rPr>
        <w:fldChar w:fldCharType="begin">
          <w:fldData xml:space="preserve">PEVuZE5vdGU+PENpdGU+PEF1dGhvcj5aaGFuZzwvQXV0aG9yPjxZZWFyPjIwMTU8L1llYXI+PElE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</w:fldData>
        </w:fldChar>
      </w:r>
      <w:r>
        <w:rPr>
          <w:rFonts w:ascii="Arial" w:hAnsi="Arial" w:cs="Arial"/>
        </w:rPr>
        <w:instrText xml:space="preserve"> ADDIN EN.CITE </w:instrText>
      </w:r>
      <w:r>
        <w:rPr>
          <w:rFonts w:ascii="Arial" w:hAnsi="Arial" w:cs="Arial"/>
        </w:rPr>
        <w:fldChar w:fldCharType="begin">
          <w:fldData xml:space="preserve">PEVuZE5vdGU+PENpdGU+PEF1dGhvcj5aaGFuZzwvQXV0aG9yPjxZZWFyPjIwMTU8L1llYXI+PElE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(Zhang et al., 2015)</w:t>
      </w:r>
      <w:r>
        <w:rPr>
          <w:rFonts w:ascii="Arial" w:hAnsi="Arial" w:cs="Arial"/>
        </w:rPr>
        <w:fldChar w:fldCharType="end"/>
      </w:r>
      <w:r>
        <w:rPr>
          <w:rFonts w:ascii="Arial" w:hAnsi="Arial" w:cs="Arial"/>
        </w:rPr>
        <w:t xml:space="preserve">. Activation via phosphorylation of BASL results in a positive feedback loop arising because, once at the distal periphery, BASL sequesters YODA and MPK3/6, leading to the migration of MPK3/6 back to the initial, smaller part of the cell where more BASL is targeted </w:t>
      </w:r>
      <w:r>
        <w:rPr>
          <w:rFonts w:ascii="Arial" w:hAnsi="Arial" w:cs="Arial"/>
        </w:rPr>
        <w:fldChar w:fldCharType="begin">
          <w:fldData xml:space="preserve">PEVuZE5vdGU+PENpdGU+PEF1dGhvcj5aaGFuZzwvQXV0aG9yPjxZZWFyPjIwMTU8L1llYXI+PElE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</w:fldData>
        </w:fldChar>
      </w:r>
      <w:r>
        <w:rPr>
          <w:rFonts w:ascii="Arial" w:hAnsi="Arial" w:cs="Arial"/>
        </w:rPr>
        <w:instrText xml:space="preserve"> ADDIN EN.CITE </w:instrText>
      </w:r>
      <w:r>
        <w:rPr>
          <w:rFonts w:ascii="Arial" w:hAnsi="Arial" w:cs="Arial"/>
        </w:rPr>
        <w:fldChar w:fldCharType="begin">
          <w:fldData xml:space="preserve">PEVuZE5vdGU+PENpdGU+PEF1dGhvcj5aaGFuZzwvQXV0aG9yPjxZZWFyPjIwMTU8L1llYXI+PElE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(Zhang et al., 2015)</w:t>
      </w:r>
      <w:r>
        <w:rPr>
          <w:rFonts w:ascii="Arial" w:hAnsi="Arial" w:cs="Arial"/>
        </w:rPr>
        <w:fldChar w:fldCharType="end"/>
      </w:r>
      <w:r>
        <w:rPr>
          <w:rFonts w:ascii="Arial" w:hAnsi="Arial" w:cs="Arial"/>
        </w:rPr>
        <w:t xml:space="preserve">. Like BASL, POLAR and POLAR-LIKE1 also appear to be important in regulating the orientation of asymmetric divisions early on in the stomatal lineage, with POLAR having been shown to function downstream of BASL </w:t>
      </w:r>
      <w:r>
        <w:rPr>
          <w:rFonts w:ascii="Arial" w:hAnsi="Arial" w:cs="Arial"/>
        </w:rPr>
        <w:fldChar w:fldCharType="begin">
          <w:fldData xml:space="preserve">PEVuZE5vdGU+PENpdGU+PEF1dGhvcj5QaWxsaXR0ZXJpPC9BdXRob3I+PFllYXI+MjAxMTwvWWVh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</w:fldData>
        </w:fldChar>
      </w:r>
      <w:r>
        <w:rPr>
          <w:rFonts w:ascii="Arial" w:hAnsi="Arial" w:cs="Arial"/>
        </w:rPr>
        <w:instrText xml:space="preserve"> ADDIN EN.CITE </w:instrText>
      </w:r>
      <w:r>
        <w:rPr>
          <w:rFonts w:ascii="Arial" w:hAnsi="Arial" w:cs="Arial"/>
        </w:rPr>
        <w:fldChar w:fldCharType="begin">
          <w:fldData xml:space="preserve">PEVuZE5vdGU+PENpdGU+PEF1dGhvcj5QaWxsaXR0ZXJpPC9BdXRob3I+PFllYXI+MjAxMTwvWWVh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(Adrian et al., 2015; Pillitteri et al., 2011)</w:t>
      </w:r>
      <w:r>
        <w:rPr>
          <w:rFonts w:ascii="Arial" w:hAnsi="Arial" w:cs="Arial"/>
        </w:rPr>
        <w:fldChar w:fldCharType="end"/>
      </w:r>
      <w:r>
        <w:rPr>
          <w:rFonts w:ascii="Arial" w:hAnsi="Arial" w:cs="Arial"/>
        </w:rPr>
        <w:t xml:space="preserve">. </w:t>
      </w:r>
    </w:p>
    <w:p w14:paraId="6480BC5C" w14:textId="77777777" w:rsidR="00311AE8" w:rsidRPr="006615C6" w:rsidRDefault="00311AE8" w:rsidP="00311AE8">
      <w:pPr>
        <w:spacing w:after="160" w:line="360" w:lineRule="auto"/>
        <w:rPr>
          <w:rFonts w:ascii="Arial" w:hAnsi="Arial" w:cs="Arial"/>
          <w:u w:val="single"/>
        </w:rPr>
      </w:pPr>
      <w:r>
        <w:rPr>
          <w:rFonts w:ascii="Arial" w:hAnsi="Arial" w:cs="Arial"/>
          <w:u w:val="single"/>
        </w:rPr>
        <w:t xml:space="preserve">1.6 </w:t>
      </w:r>
      <w:r w:rsidRPr="00FA7F73">
        <w:rPr>
          <w:rFonts w:ascii="Arial" w:hAnsi="Arial" w:cs="Arial"/>
          <w:u w:val="single"/>
        </w:rPr>
        <w:t xml:space="preserve">The model organism </w:t>
      </w:r>
      <w:r w:rsidRPr="00FA7F73">
        <w:rPr>
          <w:rFonts w:ascii="Arial" w:hAnsi="Arial" w:cs="Arial"/>
          <w:i/>
          <w:u w:val="single"/>
        </w:rPr>
        <w:t>Physcomtirella patens</w:t>
      </w:r>
    </w:p>
    <w:p w14:paraId="39C6F170" w14:textId="77777777" w:rsidR="00311AE8" w:rsidRDefault="00311AE8" w:rsidP="00311AE8">
      <w:pPr>
        <w:spacing w:after="160" w:line="360" w:lineRule="auto"/>
        <w:rPr>
          <w:rFonts w:ascii="Arial" w:hAnsi="Arial" w:cs="Arial"/>
        </w:rPr>
      </w:pPr>
      <w:r w:rsidRPr="00FA7F73">
        <w:rPr>
          <w:rFonts w:ascii="Arial" w:hAnsi="Arial" w:cs="Arial"/>
        </w:rPr>
        <w:t xml:space="preserve">The moss </w:t>
      </w:r>
      <w:r w:rsidRPr="00FC3CED">
        <w:rPr>
          <w:rFonts w:ascii="Arial" w:hAnsi="Arial" w:cs="Arial"/>
          <w:i/>
        </w:rPr>
        <w:t>P. patens</w:t>
      </w:r>
      <w:r w:rsidRPr="00FA7F73">
        <w:rPr>
          <w:rFonts w:ascii="Arial" w:hAnsi="Arial" w:cs="Arial"/>
          <w:i/>
        </w:rPr>
        <w:t xml:space="preserve"> </w:t>
      </w:r>
      <w:r>
        <w:rPr>
          <w:rFonts w:ascii="Arial" w:hAnsi="Arial" w:cs="Arial"/>
        </w:rPr>
        <w:t>(</w:t>
      </w:r>
      <w:r>
        <w:rPr>
          <w:rFonts w:ascii="Arial" w:hAnsi="Arial" w:cs="Arial"/>
          <w:b/>
        </w:rPr>
        <w:t>Fig. 6</w:t>
      </w:r>
      <w:r w:rsidRPr="00B0055A">
        <w:rPr>
          <w:rFonts w:ascii="Arial" w:hAnsi="Arial" w:cs="Arial"/>
        </w:rPr>
        <w:t>)</w:t>
      </w:r>
      <w:r>
        <w:rPr>
          <w:rFonts w:ascii="Arial" w:hAnsi="Arial" w:cs="Arial"/>
        </w:rPr>
        <w:t xml:space="preserve"> </w:t>
      </w:r>
      <w:r w:rsidRPr="00FA7F73">
        <w:rPr>
          <w:rFonts w:ascii="Arial" w:hAnsi="Arial" w:cs="Arial"/>
        </w:rPr>
        <w:t xml:space="preserve">represents a very significant species in relation to the study of non-vascular land plants. It is the first bryophyte species to have its genome sequenced and as such is often the first reference point for studies involving </w:t>
      </w:r>
      <w:r>
        <w:rPr>
          <w:rFonts w:ascii="Arial" w:hAnsi="Arial" w:cs="Arial"/>
        </w:rPr>
        <w:t xml:space="preserve">early land plant </w:t>
      </w:r>
      <w:r w:rsidRPr="00FA7F73">
        <w:rPr>
          <w:rFonts w:ascii="Arial" w:hAnsi="Arial" w:cs="Arial"/>
        </w:rPr>
        <w:t>evolution</w:t>
      </w:r>
      <w:r>
        <w:rPr>
          <w:rFonts w:ascii="Arial" w:hAnsi="Arial" w:cs="Arial"/>
        </w:rPr>
        <w:t xml:space="preserve"> </w:t>
      </w:r>
      <w:r>
        <w:rPr>
          <w:rFonts w:ascii="Arial" w:hAnsi="Arial" w:cs="Arial"/>
        </w:rPr>
        <w:fldChar w:fldCharType="begin">
          <w:fldData xml:space="preserve">PEVuZE5vdGU+PENpdGU+PEF1dGhvcj5SZW5zaW5nPC9BdXRob3I+PFllYXI+MjAwNzwvWWVhcj48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</w:fldData>
        </w:fldChar>
      </w:r>
      <w:r>
        <w:rPr>
          <w:rFonts w:ascii="Arial" w:hAnsi="Arial" w:cs="Arial"/>
        </w:rPr>
        <w:instrText xml:space="preserve"> ADDIN EN.CITE </w:instrText>
      </w:r>
      <w:r>
        <w:rPr>
          <w:rFonts w:ascii="Arial" w:hAnsi="Arial" w:cs="Arial"/>
        </w:rPr>
        <w:fldChar w:fldCharType="begin">
          <w:fldData xml:space="preserve">PEVuZE5vdGU+PENpdGU+PEF1dGhvcj5SZW5zaW5nPC9BdXRob3I+PFllYXI+MjAwNzwvWWVhcj48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(Chater et al., 2011; Horst et al., 2016; Rensing et al., 2007; Sakakibara et al., 2008)</w:t>
      </w:r>
      <w:r>
        <w:rPr>
          <w:rFonts w:ascii="Arial" w:hAnsi="Arial" w:cs="Arial"/>
        </w:rPr>
        <w:fldChar w:fldCharType="end"/>
      </w:r>
      <w:r w:rsidRPr="00FA7F73">
        <w:rPr>
          <w:rFonts w:ascii="Arial" w:hAnsi="Arial" w:cs="Arial"/>
        </w:rPr>
        <w:t>. As a model organism</w:t>
      </w:r>
      <w:r>
        <w:rPr>
          <w:rFonts w:ascii="Arial" w:hAnsi="Arial" w:cs="Arial"/>
        </w:rPr>
        <w:t>,</w:t>
      </w:r>
      <w:r w:rsidRPr="00FA7F73">
        <w:rPr>
          <w:rFonts w:ascii="Arial" w:hAnsi="Arial" w:cs="Arial"/>
        </w:rPr>
        <w:t xml:space="preserve"> </w:t>
      </w:r>
      <w:r w:rsidRPr="00FA7F73">
        <w:rPr>
          <w:rFonts w:ascii="Arial" w:hAnsi="Arial" w:cs="Arial"/>
          <w:i/>
        </w:rPr>
        <w:t xml:space="preserve">P. patens </w:t>
      </w:r>
      <w:r w:rsidRPr="00FA7F73">
        <w:rPr>
          <w:rFonts w:ascii="Arial" w:hAnsi="Arial" w:cs="Arial"/>
        </w:rPr>
        <w:t>has many appealing features</w:t>
      </w:r>
      <w:r>
        <w:rPr>
          <w:rFonts w:ascii="Arial" w:hAnsi="Arial" w:cs="Arial"/>
        </w:rPr>
        <w:t>,</w:t>
      </w:r>
      <w:r w:rsidRPr="00FA7F73">
        <w:rPr>
          <w:rFonts w:ascii="Arial" w:hAnsi="Arial" w:cs="Arial"/>
        </w:rPr>
        <w:t xml:space="preserve"> including: a quick ephemeral life-cycle, a small 500mb genome, a raft of available transcriptomic datasets relating to different life stages, a homologous recombination system for targeted transformations, a multitude of established culturing techniques and a physically small size that means it requires minimal space to grow</w:t>
      </w:r>
      <w:r>
        <w:rPr>
          <w:rFonts w:ascii="Arial" w:hAnsi="Arial" w:cs="Arial"/>
        </w:rPr>
        <w:t xml:space="preserve"> </w:t>
      </w:r>
      <w:r>
        <w:rPr>
          <w:rFonts w:ascii="Arial" w:hAnsi="Arial" w:cs="Arial"/>
        </w:rPr>
        <w:fldChar w:fldCharType="begin">
          <w:fldData xml:space="preserve">PEVuZE5vdGU+PENpdGU+PEF1dGhvcj5LbmlnaHQ8L0F1dGhvcj48WWVhcj4yMDAyPC9ZZWFyPjxJ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</w:fldData>
        </w:fldChar>
      </w:r>
      <w:r>
        <w:rPr>
          <w:rFonts w:ascii="Arial" w:hAnsi="Arial" w:cs="Arial"/>
        </w:rPr>
        <w:instrText xml:space="preserve"> ADDIN EN.CITE </w:instrText>
      </w:r>
      <w:r>
        <w:rPr>
          <w:rFonts w:ascii="Arial" w:hAnsi="Arial" w:cs="Arial"/>
        </w:rPr>
        <w:fldChar w:fldCharType="begin">
          <w:fldData xml:space="preserve">PEVuZE5vdGU+PENpdGU+PEF1dGhvcj5LbmlnaHQ8L0F1dGhvcj48WWVhcj4yMDAyPC9ZZWFyPjxJ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(Cove, 2000; Kamisugi et al., 2006; Knight et al., 2002; Ortiz-Ramírez et al., 2015; Winter et al., 2007)</w:t>
      </w:r>
      <w:r>
        <w:rPr>
          <w:rFonts w:ascii="Arial" w:hAnsi="Arial" w:cs="Arial"/>
        </w:rPr>
        <w:fldChar w:fldCharType="end"/>
      </w:r>
      <w:r w:rsidRPr="00FA7F73">
        <w:rPr>
          <w:rFonts w:ascii="Arial" w:hAnsi="Arial" w:cs="Arial"/>
        </w:rPr>
        <w:t xml:space="preserve">. </w:t>
      </w:r>
    </w:p>
    <w:p w14:paraId="202916BA" w14:textId="77777777" w:rsidR="00311AE8" w:rsidRPr="00292304" w:rsidRDefault="00311AE8" w:rsidP="00311AE8">
      <w:pPr>
        <w:spacing w:after="160" w:line="360" w:lineRule="auto"/>
        <w:rPr>
          <w:rFonts w:ascii="Arial" w:hAnsi="Arial" w:cs="Arial"/>
          <w:u w:val="single"/>
        </w:rPr>
      </w:pPr>
      <w:r w:rsidRPr="00B0055A">
        <w:rPr>
          <w:rFonts w:ascii="Arial" w:hAnsi="Arial" w:cs="Arial"/>
          <w:noProof/>
          <w:lang w:eastAsia="ja-JP"/>
        </w:rPr>
        <w:lastRenderedPageBreak/>
        <w:drawing>
          <wp:inline distT="0" distB="0" distL="0" distR="0" wp14:anchorId="5C4FC68B" wp14:editId="7B80B97B">
            <wp:extent cx="5171090" cy="43130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w physco fig.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76801" cy="4317819"/>
                    </a:xfrm>
                    <a:prstGeom prst="rect">
                      <a:avLst/>
                    </a:prstGeom>
                  </pic:spPr>
                </pic:pic>
              </a:graphicData>
            </a:graphic>
          </wp:inline>
        </w:drawing>
      </w:r>
    </w:p>
    <w:p w14:paraId="6359AA85" w14:textId="77777777" w:rsidR="00311AE8" w:rsidRPr="002B6B67" w:rsidRDefault="00311AE8" w:rsidP="00311AE8">
      <w:pPr>
        <w:spacing w:after="160" w:line="360" w:lineRule="auto"/>
        <w:rPr>
          <w:rFonts w:ascii="Arial" w:hAnsi="Arial" w:cs="Arial"/>
        </w:rPr>
      </w:pPr>
      <w:r w:rsidRPr="00AB2CE5">
        <w:rPr>
          <w:rFonts w:ascii="Arial" w:hAnsi="Arial" w:cs="Arial"/>
          <w:b/>
        </w:rPr>
        <w:t xml:space="preserve">Figure 6. The model organism </w:t>
      </w:r>
      <w:r>
        <w:rPr>
          <w:rFonts w:ascii="Arial" w:hAnsi="Arial" w:cs="Arial"/>
          <w:b/>
        </w:rPr>
        <w:t xml:space="preserve">and moss </w:t>
      </w:r>
      <w:r w:rsidRPr="00B0055A">
        <w:rPr>
          <w:rFonts w:ascii="Arial" w:hAnsi="Arial" w:cs="Arial"/>
          <w:b/>
          <w:i/>
        </w:rPr>
        <w:t>Physcomtirella patens</w:t>
      </w:r>
      <w:r w:rsidRPr="00AB2CE5">
        <w:rPr>
          <w:rFonts w:ascii="Arial" w:hAnsi="Arial" w:cs="Arial"/>
          <w:b/>
        </w:rPr>
        <w:t>.</w:t>
      </w:r>
      <w:r>
        <w:rPr>
          <w:rFonts w:ascii="Arial" w:hAnsi="Arial" w:cs="Arial"/>
          <w:b/>
        </w:rPr>
        <w:t xml:space="preserve"> </w:t>
      </w:r>
      <w:r>
        <w:rPr>
          <w:rFonts w:ascii="Arial" w:hAnsi="Arial" w:cs="Arial"/>
        </w:rPr>
        <w:t>(</w:t>
      </w:r>
      <w:r>
        <w:rPr>
          <w:rFonts w:ascii="Arial" w:hAnsi="Arial" w:cs="Arial"/>
          <w:b/>
        </w:rPr>
        <w:t>a</w:t>
      </w:r>
      <w:r>
        <w:rPr>
          <w:rFonts w:ascii="Arial" w:hAnsi="Arial" w:cs="Arial"/>
        </w:rPr>
        <w:t>). A close-up image of a moss colony with yellowing sporophytes growing atop the parent leafy gametophore (see white arrow for sporophyte example). (</w:t>
      </w:r>
      <w:r>
        <w:rPr>
          <w:rFonts w:ascii="Arial" w:hAnsi="Arial" w:cs="Arial"/>
          <w:b/>
        </w:rPr>
        <w:t>b</w:t>
      </w:r>
      <w:r>
        <w:rPr>
          <w:rFonts w:ascii="Arial" w:hAnsi="Arial" w:cs="Arial"/>
        </w:rPr>
        <w:t>) Close-up image of a mature brown sporophyte capsule with stomatal location depicted via white arrow. (</w:t>
      </w:r>
      <w:r>
        <w:rPr>
          <w:rFonts w:ascii="Arial" w:hAnsi="Arial" w:cs="Arial"/>
          <w:b/>
        </w:rPr>
        <w:t>c</w:t>
      </w:r>
      <w:r>
        <w:rPr>
          <w:rFonts w:ascii="Arial" w:hAnsi="Arial" w:cs="Arial"/>
        </w:rPr>
        <w:t>) Excised, cleared sporophyte capsule mounted upside illustrating a ring of stomata that circle around the central the region where the seta and capsule meet. (</w:t>
      </w:r>
      <w:r>
        <w:rPr>
          <w:rFonts w:ascii="Arial" w:hAnsi="Arial" w:cs="Arial"/>
          <w:b/>
        </w:rPr>
        <w:t>d</w:t>
      </w:r>
      <w:r>
        <w:rPr>
          <w:rFonts w:ascii="Arial" w:hAnsi="Arial" w:cs="Arial"/>
        </w:rPr>
        <w:t xml:space="preserve">) Cleared close-up image of the </w:t>
      </w:r>
      <w:r>
        <w:rPr>
          <w:rFonts w:ascii="Arial" w:hAnsi="Arial" w:cs="Arial"/>
          <w:i/>
        </w:rPr>
        <w:t xml:space="preserve">P. patens </w:t>
      </w:r>
      <w:r>
        <w:rPr>
          <w:rFonts w:ascii="Arial" w:hAnsi="Arial" w:cs="Arial"/>
        </w:rPr>
        <w:t>epidermis illustrating two mature stomates taken from a mature brown sporophyte capsule equivalent to (</w:t>
      </w:r>
      <w:r>
        <w:rPr>
          <w:rFonts w:ascii="Arial" w:hAnsi="Arial" w:cs="Arial"/>
          <w:b/>
        </w:rPr>
        <w:t>c</w:t>
      </w:r>
      <w:r>
        <w:rPr>
          <w:rFonts w:ascii="Arial" w:hAnsi="Arial" w:cs="Arial"/>
        </w:rPr>
        <w:t xml:space="preserve">). </w:t>
      </w:r>
      <w:r w:rsidRPr="00985CB5">
        <w:rPr>
          <w:rFonts w:ascii="Arial" w:hAnsi="Arial" w:cs="Arial"/>
        </w:rPr>
        <w:t>The</w:t>
      </w:r>
      <w:r w:rsidRPr="00FA7F73">
        <w:rPr>
          <w:rFonts w:ascii="Arial" w:hAnsi="Arial" w:cs="Arial"/>
        </w:rPr>
        <w:t xml:space="preserve"> scale bar in </w:t>
      </w:r>
      <w:r>
        <w:rPr>
          <w:rFonts w:ascii="Arial" w:hAnsi="Arial" w:cs="Arial"/>
        </w:rPr>
        <w:t>(</w:t>
      </w:r>
      <w:r>
        <w:rPr>
          <w:rFonts w:ascii="Arial" w:hAnsi="Arial" w:cs="Arial"/>
          <w:b/>
        </w:rPr>
        <w:t>a</w:t>
      </w:r>
      <w:r>
        <w:rPr>
          <w:rFonts w:ascii="Arial" w:hAnsi="Arial" w:cs="Arial"/>
        </w:rPr>
        <w:t>) equals 5m</w:t>
      </w:r>
      <w:r w:rsidRPr="00FA7F73">
        <w:rPr>
          <w:rFonts w:ascii="Arial" w:hAnsi="Arial" w:cs="Arial"/>
        </w:rPr>
        <w:t>m, in (</w:t>
      </w:r>
      <w:r>
        <w:rPr>
          <w:rFonts w:ascii="Arial" w:hAnsi="Arial" w:cs="Arial"/>
          <w:b/>
        </w:rPr>
        <w:t>b</w:t>
      </w:r>
      <w:r>
        <w:rPr>
          <w:rFonts w:ascii="Arial" w:hAnsi="Arial" w:cs="Arial"/>
        </w:rPr>
        <w:t>) 500µm, in (</w:t>
      </w:r>
      <w:r>
        <w:rPr>
          <w:rFonts w:ascii="Arial" w:hAnsi="Arial" w:cs="Arial"/>
          <w:b/>
        </w:rPr>
        <w:t>c</w:t>
      </w:r>
      <w:r>
        <w:rPr>
          <w:rFonts w:ascii="Arial" w:hAnsi="Arial" w:cs="Arial"/>
        </w:rPr>
        <w:t>) 100</w:t>
      </w:r>
      <w:r w:rsidRPr="00FA7F73">
        <w:rPr>
          <w:rFonts w:ascii="Arial" w:hAnsi="Arial" w:cs="Arial"/>
        </w:rPr>
        <w:t>µ</w:t>
      </w:r>
      <w:r>
        <w:rPr>
          <w:rFonts w:ascii="Arial" w:hAnsi="Arial" w:cs="Arial"/>
        </w:rPr>
        <w:t>m and in (</w:t>
      </w:r>
      <w:r>
        <w:rPr>
          <w:rFonts w:ascii="Arial" w:hAnsi="Arial" w:cs="Arial"/>
          <w:b/>
        </w:rPr>
        <w:t>d</w:t>
      </w:r>
      <w:r>
        <w:rPr>
          <w:rFonts w:ascii="Arial" w:hAnsi="Arial" w:cs="Arial"/>
        </w:rPr>
        <w:t>) 25</w:t>
      </w:r>
      <w:r w:rsidRPr="00FA7F73">
        <w:rPr>
          <w:rFonts w:ascii="Arial" w:hAnsi="Arial" w:cs="Arial"/>
        </w:rPr>
        <w:t>µ</w:t>
      </w:r>
      <w:r>
        <w:rPr>
          <w:rFonts w:ascii="Arial" w:hAnsi="Arial" w:cs="Arial"/>
        </w:rPr>
        <w:t>m.</w:t>
      </w:r>
    </w:p>
    <w:p w14:paraId="01EF9F11" w14:textId="77777777" w:rsidR="00311AE8" w:rsidRDefault="00311AE8" w:rsidP="00311AE8">
      <w:pPr>
        <w:spacing w:after="160" w:line="360" w:lineRule="auto"/>
        <w:rPr>
          <w:rFonts w:ascii="Arial" w:hAnsi="Arial" w:cs="Arial"/>
        </w:rPr>
      </w:pPr>
      <w:r>
        <w:rPr>
          <w:rFonts w:ascii="Arial" w:hAnsi="Arial" w:cs="Arial"/>
        </w:rPr>
        <w:t xml:space="preserve">The life cycle of </w:t>
      </w:r>
      <w:r>
        <w:rPr>
          <w:rFonts w:ascii="Arial" w:hAnsi="Arial" w:cs="Arial"/>
          <w:i/>
        </w:rPr>
        <w:t xml:space="preserve">P. patens </w:t>
      </w:r>
      <w:r>
        <w:rPr>
          <w:rFonts w:ascii="Arial" w:hAnsi="Arial" w:cs="Arial"/>
        </w:rPr>
        <w:t>begins when a spore germinates. This</w:t>
      </w:r>
      <w:r w:rsidRPr="00FA7F73">
        <w:rPr>
          <w:rFonts w:ascii="Arial" w:hAnsi="Arial" w:cs="Arial"/>
        </w:rPr>
        <w:t xml:space="preserve"> is followed by the growth of protonemal tissue which after around 2 weeks is followed by gametophore protrusion</w:t>
      </w:r>
      <w:r>
        <w:rPr>
          <w:rFonts w:ascii="Arial" w:hAnsi="Arial" w:cs="Arial"/>
        </w:rPr>
        <w:t>s</w:t>
      </w:r>
      <w:r w:rsidRPr="00FA7F73">
        <w:rPr>
          <w:rFonts w:ascii="Arial" w:hAnsi="Arial" w:cs="Arial"/>
        </w:rPr>
        <w:t xml:space="preserve"> from the main body of the colony. Ordinarily after a further 3 weeks most of the protruding gametophores are mature enough that they can be placed under induction conditions to produce sexual gametangia. Induction is achieved by moving the growing gametophyte tissue from warm long day</w:t>
      </w:r>
      <w:r>
        <w:rPr>
          <w:rFonts w:ascii="Arial" w:hAnsi="Arial" w:cs="Arial"/>
        </w:rPr>
        <w:t xml:space="preserve"> </w:t>
      </w:r>
      <w:r w:rsidRPr="00FA7F73">
        <w:rPr>
          <w:rFonts w:ascii="Arial" w:hAnsi="Arial" w:cs="Arial"/>
        </w:rPr>
        <w:t>conditions</w:t>
      </w:r>
      <w:r>
        <w:rPr>
          <w:rFonts w:ascii="Arial" w:hAnsi="Arial" w:cs="Arial"/>
        </w:rPr>
        <w:t xml:space="preserve"> (16hr day/8hr night, 25ºC continuous)</w:t>
      </w:r>
      <w:r w:rsidRPr="00FA7F73">
        <w:rPr>
          <w:rFonts w:ascii="Arial" w:hAnsi="Arial" w:cs="Arial"/>
        </w:rPr>
        <w:t xml:space="preserve"> to cool short day conditio</w:t>
      </w:r>
      <w:r>
        <w:rPr>
          <w:rFonts w:ascii="Arial" w:hAnsi="Arial" w:cs="Arial"/>
        </w:rPr>
        <w:t xml:space="preserve">ns (10hr day/14hr night, 18ºC/15ºC). After 3 to 4 weeks of short </w:t>
      </w:r>
      <w:r w:rsidRPr="00FA7F73">
        <w:rPr>
          <w:rFonts w:ascii="Arial" w:hAnsi="Arial" w:cs="Arial"/>
        </w:rPr>
        <w:t>day growth</w:t>
      </w:r>
      <w:r>
        <w:rPr>
          <w:rFonts w:ascii="Arial" w:hAnsi="Arial" w:cs="Arial"/>
        </w:rPr>
        <w:t>, gametangia form on the apices of</w:t>
      </w:r>
      <w:r w:rsidRPr="00FA7F73">
        <w:rPr>
          <w:rFonts w:ascii="Arial" w:hAnsi="Arial" w:cs="Arial"/>
        </w:rPr>
        <w:t xml:space="preserve"> mature </w:t>
      </w:r>
      <w:r>
        <w:rPr>
          <w:rFonts w:ascii="Arial" w:hAnsi="Arial" w:cs="Arial"/>
        </w:rPr>
        <w:t xml:space="preserve">gametophores which can be </w:t>
      </w:r>
      <w:r w:rsidRPr="00FA7F73">
        <w:rPr>
          <w:rFonts w:ascii="Arial" w:hAnsi="Arial" w:cs="Arial"/>
        </w:rPr>
        <w:t>fertilis</w:t>
      </w:r>
      <w:r>
        <w:rPr>
          <w:rFonts w:ascii="Arial" w:hAnsi="Arial" w:cs="Arial"/>
        </w:rPr>
        <w:t>ed via the application of water</w:t>
      </w:r>
      <w:r w:rsidRPr="00FA7F73">
        <w:rPr>
          <w:rFonts w:ascii="Arial" w:hAnsi="Arial" w:cs="Arial"/>
        </w:rPr>
        <w:t xml:space="preserve">. Sporophyte </w:t>
      </w:r>
      <w:r w:rsidRPr="00FA7F73">
        <w:rPr>
          <w:rFonts w:ascii="Arial" w:hAnsi="Arial" w:cs="Arial"/>
        </w:rPr>
        <w:lastRenderedPageBreak/>
        <w:t xml:space="preserve">development takes </w:t>
      </w:r>
      <w:r>
        <w:rPr>
          <w:rFonts w:ascii="Arial" w:hAnsi="Arial" w:cs="Arial"/>
        </w:rPr>
        <w:t>approximately</w:t>
      </w:r>
      <w:r w:rsidRPr="00FA7F73">
        <w:rPr>
          <w:rFonts w:ascii="Arial" w:hAnsi="Arial" w:cs="Arial"/>
        </w:rPr>
        <w:t xml:space="preserve"> 6 </w:t>
      </w:r>
      <w:r>
        <w:rPr>
          <w:rFonts w:ascii="Arial" w:hAnsi="Arial" w:cs="Arial"/>
        </w:rPr>
        <w:t xml:space="preserve">to 7 </w:t>
      </w:r>
      <w:r w:rsidRPr="00FA7F73">
        <w:rPr>
          <w:rFonts w:ascii="Arial" w:hAnsi="Arial" w:cs="Arial"/>
        </w:rPr>
        <w:t xml:space="preserve">weeks from fertilisation to the development of fully mature </w:t>
      </w:r>
      <w:r>
        <w:rPr>
          <w:rFonts w:ascii="Arial" w:hAnsi="Arial" w:cs="Arial"/>
        </w:rPr>
        <w:t xml:space="preserve">dehisced sporophyte </w:t>
      </w:r>
      <w:r w:rsidRPr="00FA7F73">
        <w:rPr>
          <w:rFonts w:ascii="Arial" w:hAnsi="Arial" w:cs="Arial"/>
        </w:rPr>
        <w:t>capsules</w:t>
      </w:r>
      <w:r>
        <w:rPr>
          <w:rFonts w:ascii="Arial" w:hAnsi="Arial" w:cs="Arial"/>
        </w:rPr>
        <w:t xml:space="preserve"> (</w:t>
      </w:r>
      <w:r>
        <w:rPr>
          <w:rFonts w:ascii="Arial" w:hAnsi="Arial" w:cs="Arial"/>
          <w:b/>
        </w:rPr>
        <w:t>Fig. 6b</w:t>
      </w:r>
      <w:r>
        <w:rPr>
          <w:rFonts w:ascii="Arial" w:hAnsi="Arial" w:cs="Arial"/>
        </w:rPr>
        <w:t xml:space="preserve">). </w:t>
      </w:r>
      <w:r>
        <w:rPr>
          <w:rFonts w:ascii="Arial" w:hAnsi="Arial" w:cs="Arial"/>
          <w:i/>
        </w:rPr>
        <w:t xml:space="preserve">P. patens </w:t>
      </w:r>
      <w:r>
        <w:rPr>
          <w:rFonts w:ascii="Arial" w:hAnsi="Arial" w:cs="Arial"/>
        </w:rPr>
        <w:t>stomata are irregularly spaced and</w:t>
      </w:r>
      <w:r>
        <w:rPr>
          <w:rFonts w:ascii="Arial" w:hAnsi="Arial" w:cs="Arial"/>
          <w:i/>
        </w:rPr>
        <w:t xml:space="preserve"> </w:t>
      </w:r>
      <w:r>
        <w:rPr>
          <w:rFonts w:ascii="Arial" w:hAnsi="Arial" w:cs="Arial"/>
        </w:rPr>
        <w:t xml:space="preserve">exist solely at the base of the sporophyte capsule in </w:t>
      </w:r>
      <w:r>
        <w:rPr>
          <w:rFonts w:ascii="Arial" w:hAnsi="Arial" w:cs="Arial"/>
          <w:i/>
        </w:rPr>
        <w:t xml:space="preserve">P. patens </w:t>
      </w:r>
      <w:r>
        <w:rPr>
          <w:rFonts w:ascii="Arial" w:hAnsi="Arial" w:cs="Arial"/>
        </w:rPr>
        <w:fldChar w:fldCharType="begin">
          <w:fldData xml:space="preserve">PEVuZE5vdGU+PENpdGU+PEF1dGhvcj5GaWVsZDwvQXV0aG9yPjxZZWFyPjIwMTU8L1llYXI+PElE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</w:fldData>
        </w:fldChar>
      </w:r>
      <w:r>
        <w:rPr>
          <w:rFonts w:ascii="Arial" w:hAnsi="Arial" w:cs="Arial"/>
        </w:rPr>
        <w:instrText xml:space="preserve"> ADDIN EN.CITE </w:instrText>
      </w:r>
      <w:r>
        <w:rPr>
          <w:rFonts w:ascii="Arial" w:hAnsi="Arial" w:cs="Arial"/>
        </w:rPr>
        <w:fldChar w:fldCharType="begin">
          <w:fldData xml:space="preserve">PEVuZE5vdGU+PENpdGU+PEF1dGhvcj5GaWVsZDwvQXV0aG9yPjxZZWFyPjIwMTU8L1llYXI+PElE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(Field et al., 2015)</w:t>
      </w:r>
      <w:r>
        <w:rPr>
          <w:rFonts w:ascii="Arial" w:hAnsi="Arial" w:cs="Arial"/>
        </w:rPr>
        <w:fldChar w:fldCharType="end"/>
      </w:r>
      <w:r>
        <w:rPr>
          <w:rFonts w:ascii="Arial" w:hAnsi="Arial" w:cs="Arial"/>
        </w:rPr>
        <w:t xml:space="preserve"> (</w:t>
      </w:r>
      <w:r>
        <w:rPr>
          <w:rFonts w:ascii="Arial" w:hAnsi="Arial" w:cs="Arial"/>
          <w:b/>
        </w:rPr>
        <w:t>Fig. 6b</w:t>
      </w:r>
      <w:r w:rsidRPr="00B0055A">
        <w:rPr>
          <w:rFonts w:ascii="Arial" w:hAnsi="Arial" w:cs="Arial"/>
        </w:rPr>
        <w:t>-</w:t>
      </w:r>
      <w:r>
        <w:rPr>
          <w:rFonts w:ascii="Arial" w:hAnsi="Arial" w:cs="Arial"/>
          <w:b/>
        </w:rPr>
        <w:t>d</w:t>
      </w:r>
      <w:r>
        <w:rPr>
          <w:rFonts w:ascii="Arial" w:hAnsi="Arial" w:cs="Arial"/>
        </w:rPr>
        <w:t xml:space="preserve">). The consensus view is that </w:t>
      </w:r>
      <w:r>
        <w:rPr>
          <w:rFonts w:ascii="Arial" w:hAnsi="Arial" w:cs="Arial"/>
          <w:i/>
        </w:rPr>
        <w:t xml:space="preserve">P. patens </w:t>
      </w:r>
      <w:r>
        <w:rPr>
          <w:rFonts w:ascii="Arial" w:hAnsi="Arial" w:cs="Arial"/>
        </w:rPr>
        <w:t xml:space="preserve">stomata develop directly from specified enlarged GMC cells and are therefore perigenous </w:t>
      </w:r>
      <w:r>
        <w:rPr>
          <w:rFonts w:ascii="Arial" w:hAnsi="Arial" w:cs="Arial"/>
        </w:rPr>
        <w:fldChar w:fldCharType="begin">
          <w:fldData xml:space="preserve">PEVuZE5vdGU+PENpdGU+PEF1dGhvcj5WYXRlbjwvQXV0aG9yPjxZZWFyPjIwMTI8L1llYXI+PElE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PEVuZE5vdGU+PENpdGU+PEF1dGhvcj5WYXRlbjwvQXV0aG9yPjxZZWFyPjIwMTI8L1llYXI+PElE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(Vaten and Bergmann, 2012)</w:t>
      </w:r>
      <w:r>
        <w:rPr>
          <w:rFonts w:ascii="Arial" w:hAnsi="Arial" w:cs="Arial"/>
        </w:rPr>
        <w:fldChar w:fldCharType="end"/>
      </w:r>
      <w:r>
        <w:rPr>
          <w:rFonts w:ascii="Arial" w:hAnsi="Arial" w:cs="Arial"/>
        </w:rPr>
        <w:t>.</w:t>
      </w:r>
    </w:p>
    <w:p w14:paraId="60B5EE1F" w14:textId="77777777" w:rsidR="00311AE8" w:rsidRPr="00FA7F73" w:rsidRDefault="00311AE8" w:rsidP="00311AE8">
      <w:pPr>
        <w:spacing w:after="160" w:line="360" w:lineRule="auto"/>
        <w:rPr>
          <w:rFonts w:ascii="Arial" w:hAnsi="Arial" w:cs="Arial"/>
          <w:u w:val="single"/>
        </w:rPr>
      </w:pPr>
      <w:r>
        <w:rPr>
          <w:rFonts w:ascii="Arial" w:hAnsi="Arial" w:cs="Arial"/>
          <w:u w:val="single"/>
        </w:rPr>
        <w:t xml:space="preserve">1.7 </w:t>
      </w:r>
      <w:r w:rsidRPr="00E5501E">
        <w:rPr>
          <w:rFonts w:ascii="Arial" w:hAnsi="Arial" w:cs="Arial"/>
          <w:u w:val="single"/>
        </w:rPr>
        <w:t xml:space="preserve">Stomatal developmental genes in </w:t>
      </w:r>
      <w:r w:rsidRPr="00E5501E">
        <w:rPr>
          <w:rFonts w:ascii="Arial" w:hAnsi="Arial" w:cs="Arial"/>
          <w:i/>
          <w:u w:val="single"/>
        </w:rPr>
        <w:t>P. patens</w:t>
      </w:r>
    </w:p>
    <w:p w14:paraId="3E7CF5C7" w14:textId="3CA48862" w:rsidR="00311AE8" w:rsidRDefault="00311AE8" w:rsidP="00311AE8">
      <w:pPr>
        <w:spacing w:before="120" w:after="160" w:line="360" w:lineRule="auto"/>
        <w:rPr>
          <w:rFonts w:ascii="Arial" w:hAnsi="Arial" w:cs="Arial"/>
        </w:rPr>
      </w:pPr>
      <w:r>
        <w:rPr>
          <w:rFonts w:ascii="Arial" w:hAnsi="Arial" w:cs="Arial"/>
        </w:rPr>
        <w:t xml:space="preserve">The genetic </w:t>
      </w:r>
      <w:r w:rsidRPr="00FA7F73">
        <w:rPr>
          <w:rFonts w:ascii="Arial" w:hAnsi="Arial" w:cs="Arial"/>
        </w:rPr>
        <w:t xml:space="preserve">mechanisms </w:t>
      </w:r>
      <w:r>
        <w:rPr>
          <w:rFonts w:ascii="Arial" w:hAnsi="Arial" w:cs="Arial"/>
        </w:rPr>
        <w:t xml:space="preserve">underpinning </w:t>
      </w:r>
      <w:r w:rsidRPr="00FA7F73">
        <w:rPr>
          <w:rFonts w:ascii="Arial" w:hAnsi="Arial" w:cs="Arial"/>
        </w:rPr>
        <w:t>stomatal development</w:t>
      </w:r>
      <w:r>
        <w:rPr>
          <w:rFonts w:ascii="Arial" w:hAnsi="Arial" w:cs="Arial"/>
        </w:rPr>
        <w:t xml:space="preserve"> and patterning that have</w:t>
      </w:r>
      <w:r w:rsidRPr="00FA7F73">
        <w:rPr>
          <w:rFonts w:ascii="Arial" w:hAnsi="Arial" w:cs="Arial"/>
        </w:rPr>
        <w:t xml:space="preserve"> </w:t>
      </w:r>
      <w:r>
        <w:rPr>
          <w:rFonts w:ascii="Arial" w:hAnsi="Arial" w:cs="Arial"/>
        </w:rPr>
        <w:t xml:space="preserve">so far been elucidated have primarily come from discoveries in model angiosperm plant species, in particular the eudicot </w:t>
      </w:r>
      <w:r w:rsidRPr="00FA7F73">
        <w:rPr>
          <w:rFonts w:ascii="Arial" w:hAnsi="Arial" w:cs="Arial"/>
          <w:i/>
        </w:rPr>
        <w:t>A</w:t>
      </w:r>
      <w:r>
        <w:rPr>
          <w:rFonts w:ascii="Arial" w:hAnsi="Arial" w:cs="Arial"/>
          <w:i/>
        </w:rPr>
        <w:t xml:space="preserve">. </w:t>
      </w:r>
      <w:r w:rsidRPr="00FA7F73">
        <w:rPr>
          <w:rFonts w:ascii="Arial" w:hAnsi="Arial" w:cs="Arial"/>
          <w:i/>
        </w:rPr>
        <w:t>thaliana</w:t>
      </w:r>
      <w:r>
        <w:rPr>
          <w:rFonts w:ascii="Arial" w:hAnsi="Arial" w:cs="Arial"/>
          <w:i/>
        </w:rPr>
        <w:t xml:space="preserve"> </w:t>
      </w:r>
      <w:r w:rsidRPr="00624671">
        <w:rPr>
          <w:rFonts w:ascii="Arial" w:hAnsi="Arial" w:cs="Arial"/>
        </w:rPr>
        <w:fldChar w:fldCharType="begin">
          <w:fldData xml:space="preserve">PEVuZE5vdGU+PENpdGU+PEF1dGhvcj5IYW48L0F1dGhvcj48WWVhcj4yMDE2PC9ZZWFyPjxJRFRl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</w:fldData>
        </w:fldChar>
      </w:r>
      <w:r w:rsidR="00417B1E">
        <w:rPr>
          <w:rFonts w:ascii="Arial" w:hAnsi="Arial" w:cs="Arial"/>
        </w:rPr>
        <w:instrText xml:space="preserve"> ADDIN EN.CITE </w:instrText>
      </w:r>
      <w:r w:rsidR="00417B1E">
        <w:rPr>
          <w:rFonts w:ascii="Arial" w:hAnsi="Arial" w:cs="Arial"/>
        </w:rPr>
        <w:fldChar w:fldCharType="begin">
          <w:fldData xml:space="preserve">PEVuZE5vdGU+PENpdGU+PEF1dGhvcj5IYW48L0F1dGhvcj48WWVhcj4yMDE2PC9ZZWFyPjxJRFRl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</w:fldData>
        </w:fldChar>
      </w:r>
      <w:r w:rsidR="00417B1E">
        <w:rPr>
          <w:rFonts w:ascii="Arial" w:hAnsi="Arial" w:cs="Arial"/>
        </w:rPr>
        <w:instrText xml:space="preserve"> ADDIN EN.CITE.DATA </w:instrText>
      </w:r>
      <w:r w:rsidR="00417B1E">
        <w:rPr>
          <w:rFonts w:ascii="Arial" w:hAnsi="Arial" w:cs="Arial"/>
        </w:rPr>
      </w:r>
      <w:r w:rsidR="00417B1E">
        <w:rPr>
          <w:rFonts w:ascii="Arial" w:hAnsi="Arial" w:cs="Arial"/>
        </w:rPr>
        <w:fldChar w:fldCharType="end"/>
      </w:r>
      <w:r w:rsidRPr="00624671">
        <w:rPr>
          <w:rFonts w:ascii="Arial" w:hAnsi="Arial" w:cs="Arial"/>
        </w:rPr>
      </w:r>
      <w:r w:rsidRPr="00624671">
        <w:rPr>
          <w:rFonts w:ascii="Arial" w:hAnsi="Arial" w:cs="Arial"/>
        </w:rPr>
        <w:fldChar w:fldCharType="separate"/>
      </w:r>
      <w:r w:rsidR="00417B1E">
        <w:rPr>
          <w:rFonts w:ascii="Arial" w:hAnsi="Arial" w:cs="Arial"/>
          <w:noProof/>
        </w:rPr>
        <w:t>(Han and Torii, 2016; Liu et al., 2009; Wang et al., 2016a)</w:t>
      </w:r>
      <w:r w:rsidRPr="00624671">
        <w:rPr>
          <w:rFonts w:ascii="Arial" w:hAnsi="Arial" w:cs="Arial"/>
        </w:rPr>
        <w:fldChar w:fldCharType="end"/>
      </w:r>
      <w:r w:rsidRPr="00FA7F73">
        <w:rPr>
          <w:rFonts w:ascii="Arial" w:hAnsi="Arial" w:cs="Arial"/>
        </w:rPr>
        <w:t xml:space="preserve">. </w:t>
      </w:r>
      <w:r>
        <w:rPr>
          <w:rFonts w:ascii="Arial" w:hAnsi="Arial" w:cs="Arial"/>
        </w:rPr>
        <w:t xml:space="preserve">Whist such advances are helpful in understanding the evolution of stomatal development in more latterly diverging land plant lineages, comparatively little is known about genes underpinning such processes in earlier diverging lineages, such as the mosses and hornworts (for land plant phylogeny </w:t>
      </w:r>
      <w:r w:rsidRPr="0034072E">
        <w:rPr>
          <w:rFonts w:ascii="Arial" w:hAnsi="Arial" w:cs="Arial"/>
        </w:rPr>
        <w:t>see</w:t>
      </w:r>
      <w:r>
        <w:rPr>
          <w:rFonts w:ascii="Arial" w:hAnsi="Arial" w:cs="Arial"/>
          <w:i/>
        </w:rPr>
        <w:t xml:space="preserve"> </w:t>
      </w:r>
      <w:r>
        <w:rPr>
          <w:rFonts w:ascii="Arial" w:hAnsi="Arial" w:cs="Arial"/>
          <w:b/>
        </w:rPr>
        <w:t>Fig. 1</w:t>
      </w:r>
      <w:r>
        <w:rPr>
          <w:rFonts w:ascii="Arial" w:hAnsi="Arial" w:cs="Arial"/>
        </w:rPr>
        <w:t xml:space="preserve">). </w:t>
      </w:r>
    </w:p>
    <w:p w14:paraId="5AEDADF4" w14:textId="77777777" w:rsidR="00311AE8" w:rsidRPr="006B662D" w:rsidRDefault="00311AE8" w:rsidP="00311AE8">
      <w:pPr>
        <w:spacing w:before="120" w:after="160" w:line="360" w:lineRule="auto"/>
        <w:rPr>
          <w:rFonts w:ascii="Arial" w:hAnsi="Arial" w:cs="Arial"/>
        </w:rPr>
      </w:pPr>
      <w:r>
        <w:rPr>
          <w:rFonts w:ascii="Arial" w:hAnsi="Arial" w:cs="Arial"/>
        </w:rPr>
        <w:t xml:space="preserve">Some recent studies have come to light which implicate genes involved in the overseeing of sporophyte initiation and development which also impact on stomatal development in </w:t>
      </w:r>
      <w:r>
        <w:rPr>
          <w:rFonts w:ascii="Arial" w:hAnsi="Arial" w:cs="Arial"/>
          <w:i/>
        </w:rPr>
        <w:t xml:space="preserve">P. patens </w:t>
      </w:r>
      <w:r>
        <w:rPr>
          <w:rFonts w:ascii="Arial" w:hAnsi="Arial" w:cs="Arial"/>
        </w:rPr>
        <w:fldChar w:fldCharType="begin">
          <w:fldData xml:space="preserve">PEVuZE5vdGU+PENpdGU+PEF1dGhvcj5TYWtha2liYXJhPC9BdXRob3I+PFllYXI+MjAwODwvWWVh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PEVuZE5vdGU+PENpdGU+PEF1dGhvcj5TYWtha2liYXJhPC9BdXRob3I+PFllYXI+MjAwODwvWWVh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(Horst et al., 2016; Sakakibara et al., 2008)</w:t>
      </w:r>
      <w:r>
        <w:rPr>
          <w:rFonts w:ascii="Arial" w:hAnsi="Arial" w:cs="Arial"/>
        </w:rPr>
        <w:fldChar w:fldCharType="end"/>
      </w:r>
      <w:r>
        <w:rPr>
          <w:rFonts w:ascii="Arial" w:hAnsi="Arial" w:cs="Arial"/>
        </w:rPr>
        <w:t xml:space="preserve">. These include studies involving various </w:t>
      </w:r>
      <w:r w:rsidRPr="006B662D">
        <w:rPr>
          <w:rFonts w:ascii="Arial" w:hAnsi="Arial" w:cs="Arial"/>
        </w:rPr>
        <w:t>KNOX</w:t>
      </w:r>
      <w:r>
        <w:rPr>
          <w:rFonts w:ascii="Arial" w:hAnsi="Arial" w:cs="Arial"/>
        </w:rPr>
        <w:t xml:space="preserve"> transcription factors, which are required for the formation of the indeterminate meristem during sporophyte development and </w:t>
      </w:r>
      <w:r w:rsidRPr="006B662D">
        <w:rPr>
          <w:rFonts w:ascii="Arial" w:hAnsi="Arial" w:cs="Arial"/>
        </w:rPr>
        <w:t>BELL1</w:t>
      </w:r>
      <w:r>
        <w:rPr>
          <w:rFonts w:ascii="Arial" w:hAnsi="Arial" w:cs="Arial"/>
          <w:i/>
        </w:rPr>
        <w:t>, which</w:t>
      </w:r>
      <w:r>
        <w:rPr>
          <w:rFonts w:ascii="Arial" w:hAnsi="Arial" w:cs="Arial"/>
        </w:rPr>
        <w:t xml:space="preserve"> is responsible for the transition to the sporophyte life stage. In the case of the </w:t>
      </w:r>
      <w:r w:rsidRPr="00C204C0">
        <w:rPr>
          <w:rFonts w:ascii="Arial" w:hAnsi="Arial" w:cs="Arial"/>
          <w:i/>
        </w:rPr>
        <w:t>KNOX</w:t>
      </w:r>
      <w:r>
        <w:rPr>
          <w:rFonts w:ascii="Arial" w:hAnsi="Arial" w:cs="Arial"/>
        </w:rPr>
        <w:t xml:space="preserve"> genes, it has been shown in the triple mutant: </w:t>
      </w:r>
      <w:r>
        <w:rPr>
          <w:rFonts w:ascii="Arial" w:hAnsi="Arial" w:cs="Arial"/>
          <w:i/>
        </w:rPr>
        <w:t xml:space="preserve">mkn2-mkn4-mkn5 </w:t>
      </w:r>
      <w:r>
        <w:rPr>
          <w:rFonts w:ascii="Arial" w:hAnsi="Arial" w:cs="Arial"/>
        </w:rPr>
        <w:t xml:space="preserve">that in addition to sporophyte growth defects, no stomata form implying that this gene is required for stomatal to form in </w:t>
      </w:r>
      <w:r>
        <w:rPr>
          <w:rFonts w:ascii="Arial" w:hAnsi="Arial" w:cs="Arial"/>
          <w:i/>
        </w:rPr>
        <w:t>P. patens</w:t>
      </w:r>
      <w:r>
        <w:rPr>
          <w:rFonts w:ascii="Arial" w:hAnsi="Arial" w:cs="Arial"/>
        </w:rPr>
        <w:t xml:space="preserve"> </w:t>
      </w:r>
      <w:r>
        <w:rPr>
          <w:rFonts w:ascii="Arial" w:hAnsi="Arial" w:cs="Arial"/>
        </w:rPr>
        <w:fldChar w:fldCharType="begin">
          <w:fldData xml:space="preserve">PEVuZE5vdGU+PENpdGU+PEF1dGhvcj5TYWtha2liYXJhPC9BdXRob3I+PFllYXI+MjAwODwvWWVh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</w:fldData>
        </w:fldChar>
      </w:r>
      <w:r>
        <w:rPr>
          <w:rFonts w:ascii="Arial" w:hAnsi="Arial" w:cs="Arial"/>
        </w:rPr>
        <w:instrText xml:space="preserve"> ADDIN EN.CITE </w:instrText>
      </w:r>
      <w:r>
        <w:rPr>
          <w:rFonts w:ascii="Arial" w:hAnsi="Arial" w:cs="Arial"/>
        </w:rPr>
        <w:fldChar w:fldCharType="begin">
          <w:fldData xml:space="preserve">PEVuZE5vdGU+PENpdGU+PEF1dGhvcj5TYWtha2liYXJhPC9BdXRob3I+PFllYXI+MjAwODwvWWVh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(Sakakibara et al., 2008)</w:t>
      </w:r>
      <w:r>
        <w:rPr>
          <w:rFonts w:ascii="Arial" w:hAnsi="Arial" w:cs="Arial"/>
        </w:rPr>
        <w:fldChar w:fldCharType="end"/>
      </w:r>
      <w:r>
        <w:rPr>
          <w:rFonts w:ascii="Arial" w:hAnsi="Arial" w:cs="Arial"/>
        </w:rPr>
        <w:t xml:space="preserve">. For </w:t>
      </w:r>
      <w:r w:rsidRPr="00C204C0">
        <w:rPr>
          <w:rFonts w:ascii="Arial" w:hAnsi="Arial" w:cs="Arial"/>
          <w:i/>
        </w:rPr>
        <w:t>BELL1</w:t>
      </w:r>
      <w:r>
        <w:rPr>
          <w:rFonts w:ascii="Arial" w:hAnsi="Arial" w:cs="Arial"/>
        </w:rPr>
        <w:t xml:space="preserve">, it appears that when this gene is over-expressed </w:t>
      </w:r>
      <w:r w:rsidRPr="00585668">
        <w:rPr>
          <w:rFonts w:ascii="Arial" w:hAnsi="Arial" w:cs="Arial"/>
        </w:rPr>
        <w:t xml:space="preserve">aberrant </w:t>
      </w:r>
      <w:r>
        <w:rPr>
          <w:rFonts w:ascii="Arial" w:hAnsi="Arial" w:cs="Arial"/>
        </w:rPr>
        <w:t xml:space="preserve">stomata form, although, this finding was not commented on by the authors </w:t>
      </w:r>
      <w:r>
        <w:rPr>
          <w:rFonts w:ascii="Arial" w:hAnsi="Arial" w:cs="Arial"/>
        </w:rPr>
        <w:fldChar w:fldCharType="begin"/>
      </w:r>
      <w:r>
        <w:rPr>
          <w:rFonts w:ascii="Arial" w:hAnsi="Arial" w:cs="Arial"/>
        </w:rPr>
        <w:instrText xml:space="preserve"> ADDIN EN.CITE &lt;EndNote&gt;&lt;Cite&gt;&lt;Author&gt;Horst&lt;/Author&gt;&lt;Year&gt;2016&lt;/Year&gt;&lt;IDText&gt;A single homeobox gene triggers phase transition, embryogenesis and asexual reproduction&lt;/IDText&gt;&lt;DisplayText&gt;(Horst et al., 2016)&lt;/DisplayText&gt;&lt;record&gt;&lt;dates&gt;&lt;pub-dates&gt;&lt;date&gt;01/18/online&lt;/date&gt;&lt;/pub-dates&gt;&lt;year&gt;2016&lt;/year&gt;&lt;/dates&gt;&lt;urls&gt;&lt;related-urls&gt;&lt;url&gt;http://dx.doi.org/10.1038/nplants.2015.209&lt;/url&gt;&lt;/related-urls&gt;&lt;/urls&gt;&lt;work-type&gt;Letter&lt;/work-type&gt;&lt;titles&gt;&lt;title&gt;A single homeobox gene triggers phase transition, embryogenesis and asexual reproduction&lt;/title&gt;&lt;secondary-title&gt;Nature Plants&lt;/secondary-title&gt;&lt;/titles&gt;&lt;pages&gt;15209&lt;/pages&gt;&lt;contributors&gt;&lt;authors&gt;&lt;author&gt;Horst, Nelly A.&lt;/author&gt;&lt;author&gt;Katz, Aviva&lt;/author&gt;&lt;author&gt;Pereman, Idan&lt;/author&gt;&lt;author&gt;Decker, Eva L.&lt;/author&gt;&lt;author&gt;Ohad, Nir&lt;/author&gt;&lt;author&gt;Reski, Ralf&lt;/author&gt;&lt;/authors&gt;&lt;/contributors&gt;&lt;added-date format="utc"&gt;1453789053&lt;/added-date&gt;&lt;ref-type name="Journal Article"&gt;17&lt;/ref-type&gt;&lt;rec-number&gt;449&lt;/rec-number&gt;&lt;publisher&gt;Macmillan Publishing Ltd&lt;/publisher&gt;&lt;last-updated-date format="utc"&gt;1453789053&lt;/last-updated-date&gt;&lt;electronic-resource-num&gt;10.1038/nplants.2015.209&amp;#xD;http://www.nature.com/articles/nplants2015209#supplementary-information&lt;/electronic-resource-num&gt;&lt;volume&gt;2&lt;/volume&gt;&lt;/record&gt;&lt;/Cite&gt;&lt;/EndNote&gt;</w:instrText>
      </w:r>
      <w:r>
        <w:rPr>
          <w:rFonts w:ascii="Arial" w:hAnsi="Arial" w:cs="Arial"/>
        </w:rPr>
        <w:fldChar w:fldCharType="separate"/>
      </w:r>
      <w:r>
        <w:rPr>
          <w:rFonts w:ascii="Arial" w:hAnsi="Arial" w:cs="Arial"/>
          <w:noProof/>
        </w:rPr>
        <w:t>(Horst et al., 2016)</w:t>
      </w:r>
      <w:r>
        <w:rPr>
          <w:rFonts w:ascii="Arial" w:hAnsi="Arial" w:cs="Arial"/>
        </w:rPr>
        <w:fldChar w:fldCharType="end"/>
      </w:r>
      <w:r>
        <w:rPr>
          <w:rFonts w:ascii="Arial" w:hAnsi="Arial" w:cs="Arial"/>
        </w:rPr>
        <w:t xml:space="preserve">. Whether </w:t>
      </w:r>
      <w:r>
        <w:rPr>
          <w:rFonts w:ascii="Arial" w:hAnsi="Arial" w:cs="Arial"/>
          <w:i/>
        </w:rPr>
        <w:t xml:space="preserve">BELL1 </w:t>
      </w:r>
      <w:r>
        <w:rPr>
          <w:rFonts w:ascii="Arial" w:hAnsi="Arial" w:cs="Arial"/>
        </w:rPr>
        <w:t xml:space="preserve">also contributes to stomatal development when expressed at wild-type levels is unclear however as KO </w:t>
      </w:r>
      <w:r>
        <w:rPr>
          <w:rFonts w:ascii="Arial" w:hAnsi="Arial" w:cs="Arial"/>
          <w:i/>
        </w:rPr>
        <w:t xml:space="preserve">bell1 </w:t>
      </w:r>
      <w:r>
        <w:rPr>
          <w:rFonts w:ascii="Arial" w:hAnsi="Arial" w:cs="Arial"/>
        </w:rPr>
        <w:t xml:space="preserve">mutants failed to produce sporophytes. Interestingly, KNOX proteins and BELL1 have also been shown to heterodimerise </w:t>
      </w:r>
      <w:r>
        <w:rPr>
          <w:rFonts w:ascii="Arial" w:hAnsi="Arial" w:cs="Arial"/>
          <w:i/>
        </w:rPr>
        <w:t xml:space="preserve">in-planta </w:t>
      </w:r>
      <w:r>
        <w:rPr>
          <w:rFonts w:ascii="Arial" w:hAnsi="Arial" w:cs="Arial"/>
        </w:rPr>
        <w:t xml:space="preserve">suggesting that these key regulators probably work together during sporophyte development in </w:t>
      </w:r>
      <w:r>
        <w:rPr>
          <w:rFonts w:ascii="Arial" w:hAnsi="Arial" w:cs="Arial"/>
          <w:i/>
        </w:rPr>
        <w:t>P. patens</w:t>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&lt;EndNote&gt;&lt;Cite&gt;&lt;Author&gt;Horst&lt;/Author&gt;&lt;Year&gt;2016&lt;/Year&gt;&lt;IDText&gt;A single homeobox gene triggers phase transition, embryogenesis and asexual reproduction&lt;/IDText&gt;&lt;DisplayText&gt;(Horst et al., 2016)&lt;/DisplayText&gt;&lt;record&gt;&lt;dates&gt;&lt;pub-dates&gt;&lt;date&gt;01/18/online&lt;/date&gt;&lt;/pub-dates&gt;&lt;year&gt;2016&lt;/year&gt;&lt;/dates&gt;&lt;urls&gt;&lt;related-urls&gt;&lt;url&gt;http://dx.doi.org/10.1038/nplants.2015.209&lt;/url&gt;&lt;/related-urls&gt;&lt;/urls&gt;&lt;work-type&gt;Letter&lt;/work-type&gt;&lt;titles&gt;&lt;title&gt;A single homeobox gene triggers phase transition, embryogenesis and asexual reproduction&lt;/title&gt;&lt;secondary-title&gt;Nature Plants&lt;/secondary-title&gt;&lt;/titles&gt;&lt;pages&gt;15209&lt;/pages&gt;&lt;contributors&gt;&lt;authors&gt;&lt;author&gt;Horst, Nelly A.&lt;/author&gt;&lt;author&gt;Katz, Aviva&lt;/author&gt;&lt;author&gt;Pereman, Idan&lt;/author&gt;&lt;author&gt;Decker, Eva L.&lt;/author&gt;&lt;author&gt;Ohad, Nir&lt;/author&gt;&lt;author&gt;Reski, Ralf&lt;/author&gt;&lt;/authors&gt;&lt;/contributors&gt;&lt;added-date format="utc"&gt;1453789053&lt;/added-date&gt;&lt;ref-type name="Journal Article"&gt;17&lt;/ref-type&gt;&lt;rec-number&gt;449&lt;/rec-number&gt;&lt;publisher&gt;Macmillan Publishing Ltd&lt;/publisher&gt;&lt;last-updated-date format="utc"&gt;1453789053&lt;/last-updated-date&gt;&lt;electronic-resource-num&gt;10.1038/nplants.2015.209&amp;#xD;http://www.nature.com/articles/nplants2015209#supplementary-information&lt;/electronic-resource-num&gt;&lt;volume&gt;2&lt;/volume&gt;&lt;/record&gt;&lt;/Cite&gt;&lt;/EndNote&gt;</w:instrText>
      </w:r>
      <w:r>
        <w:rPr>
          <w:rFonts w:ascii="Arial" w:hAnsi="Arial" w:cs="Arial"/>
        </w:rPr>
        <w:fldChar w:fldCharType="separate"/>
      </w:r>
      <w:r>
        <w:rPr>
          <w:rFonts w:ascii="Arial" w:hAnsi="Arial" w:cs="Arial"/>
          <w:noProof/>
        </w:rPr>
        <w:t>(Horst et al., 2016)</w:t>
      </w:r>
      <w:r>
        <w:rPr>
          <w:rFonts w:ascii="Arial" w:hAnsi="Arial" w:cs="Arial"/>
        </w:rPr>
        <w:fldChar w:fldCharType="end"/>
      </w:r>
      <w:r>
        <w:rPr>
          <w:rFonts w:ascii="Arial" w:hAnsi="Arial" w:cs="Arial"/>
        </w:rPr>
        <w:t>. Whether this extends to overseeing stomatal development is unclear.</w:t>
      </w:r>
    </w:p>
    <w:p w14:paraId="6B376199" w14:textId="77777777" w:rsidR="00311AE8" w:rsidRPr="00F518C2" w:rsidRDefault="00311AE8" w:rsidP="00311AE8">
      <w:pPr>
        <w:spacing w:before="120" w:after="160" w:line="360" w:lineRule="auto"/>
        <w:rPr>
          <w:rFonts w:ascii="Arial" w:hAnsi="Arial" w:cs="Arial"/>
        </w:rPr>
      </w:pPr>
      <w:r>
        <w:rPr>
          <w:rFonts w:ascii="Arial" w:hAnsi="Arial" w:cs="Arial"/>
        </w:rPr>
        <w:t xml:space="preserve">Whilst no specific studies have been conducted in </w:t>
      </w:r>
      <w:r>
        <w:rPr>
          <w:rFonts w:ascii="Arial" w:hAnsi="Arial" w:cs="Arial"/>
          <w:i/>
        </w:rPr>
        <w:t xml:space="preserve">P. patens </w:t>
      </w:r>
      <w:r>
        <w:rPr>
          <w:rFonts w:ascii="Arial" w:hAnsi="Arial" w:cs="Arial"/>
        </w:rPr>
        <w:t xml:space="preserve">to identify whether stomatal developmental genes have been conserved in the non-vascular land plant lineages, a series of complementation experiments have recently conducted which </w:t>
      </w:r>
      <w:r>
        <w:rPr>
          <w:rFonts w:ascii="Arial" w:hAnsi="Arial" w:cs="Arial"/>
        </w:rPr>
        <w:lastRenderedPageBreak/>
        <w:t xml:space="preserve">illustrate that </w:t>
      </w:r>
      <w:r>
        <w:rPr>
          <w:rFonts w:ascii="Arial" w:hAnsi="Arial" w:cs="Arial"/>
          <w:i/>
        </w:rPr>
        <w:t xml:space="preserve">P. patens </w:t>
      </w:r>
      <w:r>
        <w:rPr>
          <w:rFonts w:ascii="Arial" w:hAnsi="Arial" w:cs="Arial"/>
        </w:rPr>
        <w:t xml:space="preserve">genes identified via phylogenetic analysis can function during </w:t>
      </w:r>
      <w:r>
        <w:rPr>
          <w:rFonts w:ascii="Arial" w:hAnsi="Arial" w:cs="Arial"/>
          <w:i/>
        </w:rPr>
        <w:t xml:space="preserve">A. thaliana </w:t>
      </w:r>
      <w:r>
        <w:rPr>
          <w:rFonts w:ascii="Arial" w:hAnsi="Arial" w:cs="Arial"/>
        </w:rPr>
        <w:t xml:space="preserve">stomatal development </w:t>
      </w:r>
      <w:r w:rsidRPr="00BC0AAD">
        <w:rPr>
          <w:rFonts w:ascii="Arial" w:hAnsi="Arial" w:cs="Arial"/>
        </w:rPr>
        <w:fldChar w:fldCharType="begin"/>
      </w:r>
      <w:r>
        <w:rPr>
          <w:rFonts w:ascii="Arial" w:hAnsi="Arial" w:cs="Arial"/>
        </w:rPr>
        <w:instrText xml:space="preserve"> ADDIN EN.CITE &lt;EndNote&gt;&lt;Cite&gt;&lt;Author&gt;MacAlister&lt;/Author&gt;&lt;Year&gt;2011&lt;/Year&gt;&lt;IDText&gt;Sequence and function of basic helix-loop-helix proteins required for stomatal development in Arabidopsis are deeply conserved in land plants&lt;/IDText&gt;&lt;DisplayText&gt;(MacAlister and Bergmann, 2011)&lt;/DisplayText&gt;&lt;record&gt;&lt;dates&gt;&lt;pub-dates&gt;&lt;date&gt;Mar-Apr&lt;/date&gt;&lt;/pub-dates&gt;&lt;year&gt;2011&lt;/year&gt;&lt;/dates&gt;&lt;keywords&gt;&lt;keyword&gt;TRANSCRIPTION FACTOR FAMILY&lt;/keyword&gt;&lt;keyword&gt;MONOCOT-DICOT DIVERGENCE&lt;/keyword&gt;&lt;keyword&gt;EVOLUTION&lt;/keyword&gt;&lt;keyword&gt;DIVERSITY&lt;/keyword&gt;&lt;keyword&gt;GENES&lt;/keyword&gt;&lt;keyword&gt;DIFFERENTIATION&lt;/keyword&gt;&lt;keyword&gt;THALIANA&lt;/keyword&gt;&lt;keyword&gt;MUTANTS&lt;/keyword&gt;&lt;keyword&gt;GENOMES&lt;/keyword&gt;&lt;keyword&gt;CASCADE&lt;/keyword&gt;&lt;/keywords&gt;&lt;urls&gt;&lt;related-urls&gt;&lt;url&gt;&amp;lt;Go to ISI&amp;gt;://WOS:000288502600007&lt;/url&gt;&lt;/related-urls&gt;&lt;/urls&gt;&lt;isbn&gt;1520-541X&lt;/isbn&gt;&lt;work-type&gt;Article&lt;/work-type&gt;&lt;titles&gt;&lt;title&gt;Sequence and function of basic helix-loop-helix proteins required for stomatal development in Arabidopsis are deeply conserved in land plants&lt;/title&gt;&lt;secondary-title&gt;Evolution &amp;amp; Development&lt;/secondary-title&gt;&lt;alt-title&gt;Evol. Dev.&lt;/alt-title&gt;&lt;/titles&gt;&lt;pages&gt;182-192&lt;/pages&gt;&lt;number&gt;2&lt;/number&gt;&lt;contributors&gt;&lt;authors&gt;&lt;author&gt;MacAlister, C. A.&lt;/author&gt;&lt;author&gt;Bergmann, D. C.&lt;/author&gt;&lt;/authors&gt;&lt;/contributors&gt;&lt;language&gt;English&lt;/language&gt;&lt;added-date format="utc"&gt;1354083840&lt;/added-date&gt;&lt;ref-type name="Journal Article"&gt;17&lt;/ref-type&gt;&lt;auth-address&gt;[MacAlister, Cora A.&amp;#xD;Bergmann, Dominique C.] Stanford Univ, Dept Biol, Stanford, CA 94305 USA.&amp;#xD;MacAlister, CA (reprint author), Cold Spring Harbor Lab, POB 100, Cold Spring Harbor, NY 11724 USA.&amp;#xD;cmacalis@cshl.edu&lt;/auth-address&gt;&lt;rec-number&gt;61&lt;/rec-number&gt;&lt;last-updated-date format="utc"&gt;1354083840&lt;/last-updated-date&gt;&lt;accession-num&gt;WOS:000288502600007&lt;/accession-num&gt;&lt;electronic-resource-num&gt;10.1111/j.1525-142X.2011.00468.x&lt;/electronic-resource-num&gt;&lt;volume&gt;13&lt;/volume&gt;&lt;/record&gt;&lt;/Cite&gt;&lt;/EndNote&gt;</w:instrText>
      </w:r>
      <w:r w:rsidRPr="00BC0AAD">
        <w:rPr>
          <w:rFonts w:ascii="Arial" w:hAnsi="Arial" w:cs="Arial"/>
        </w:rPr>
        <w:fldChar w:fldCharType="separate"/>
      </w:r>
      <w:r w:rsidRPr="00BC0AAD">
        <w:rPr>
          <w:rFonts w:ascii="Arial" w:hAnsi="Arial" w:cs="Arial"/>
          <w:noProof/>
        </w:rPr>
        <w:t>(MacAlister and Bergmann, 2011)</w:t>
      </w:r>
      <w:r w:rsidRPr="00BC0AAD">
        <w:rPr>
          <w:rFonts w:ascii="Arial" w:hAnsi="Arial" w:cs="Arial"/>
        </w:rPr>
        <w:fldChar w:fldCharType="end"/>
      </w:r>
      <w:r>
        <w:rPr>
          <w:rFonts w:ascii="Arial" w:hAnsi="Arial" w:cs="Arial"/>
          <w:i/>
        </w:rPr>
        <w:t xml:space="preserve">. </w:t>
      </w:r>
      <w:r>
        <w:rPr>
          <w:rFonts w:ascii="Arial" w:hAnsi="Arial" w:cs="Arial"/>
        </w:rPr>
        <w:t xml:space="preserve">The genes concerned (bHLH transcription factors </w:t>
      </w:r>
      <w:r>
        <w:rPr>
          <w:rFonts w:ascii="Arial" w:hAnsi="Arial" w:cs="Arial"/>
          <w:i/>
        </w:rPr>
        <w:t xml:space="preserve">PpSMF1 </w:t>
      </w:r>
      <w:r>
        <w:rPr>
          <w:rFonts w:ascii="Arial" w:hAnsi="Arial" w:cs="Arial"/>
        </w:rPr>
        <w:t xml:space="preserve">and </w:t>
      </w:r>
      <w:r>
        <w:rPr>
          <w:rFonts w:ascii="Arial" w:hAnsi="Arial" w:cs="Arial"/>
          <w:i/>
        </w:rPr>
        <w:t xml:space="preserve">PpSMF2) </w:t>
      </w:r>
      <w:r>
        <w:rPr>
          <w:rFonts w:ascii="Arial" w:hAnsi="Arial" w:cs="Arial"/>
        </w:rPr>
        <w:t xml:space="preserve">were shown to partially rescue Arabidopsis bHLH </w:t>
      </w:r>
      <w:r>
        <w:rPr>
          <w:rFonts w:ascii="Arial" w:hAnsi="Arial" w:cs="Arial"/>
          <w:i/>
        </w:rPr>
        <w:t xml:space="preserve">mute </w:t>
      </w:r>
      <w:r>
        <w:rPr>
          <w:rFonts w:ascii="Arial" w:hAnsi="Arial" w:cs="Arial"/>
        </w:rPr>
        <w:t xml:space="preserve">and </w:t>
      </w:r>
      <w:r>
        <w:rPr>
          <w:rFonts w:ascii="Arial" w:hAnsi="Arial" w:cs="Arial"/>
          <w:i/>
        </w:rPr>
        <w:t xml:space="preserve">fama </w:t>
      </w:r>
      <w:r>
        <w:rPr>
          <w:rFonts w:ascii="Arial" w:hAnsi="Arial" w:cs="Arial"/>
        </w:rPr>
        <w:t xml:space="preserve">mutants, which strongly suggests that conservation of gene function may exist between these distantly diverging land plants. In addition to stomatal development gene conservation, other studies have also shown in </w:t>
      </w:r>
      <w:r>
        <w:rPr>
          <w:rFonts w:ascii="Arial" w:hAnsi="Arial" w:cs="Arial"/>
          <w:i/>
        </w:rPr>
        <w:t>P. patens</w:t>
      </w:r>
      <w:r>
        <w:rPr>
          <w:rFonts w:ascii="Arial" w:hAnsi="Arial" w:cs="Arial"/>
        </w:rPr>
        <w:t xml:space="preserve"> using complementation experiments that genes underpinning stomatal physiological function are conserved between </w:t>
      </w:r>
      <w:r>
        <w:rPr>
          <w:rFonts w:ascii="Arial" w:hAnsi="Arial" w:cs="Arial"/>
          <w:i/>
        </w:rPr>
        <w:t xml:space="preserve">P. patens </w:t>
      </w:r>
      <w:r>
        <w:rPr>
          <w:rFonts w:ascii="Arial" w:hAnsi="Arial" w:cs="Arial"/>
        </w:rPr>
        <w:t xml:space="preserve">and Arabidopsis. </w:t>
      </w:r>
      <w:r>
        <w:rPr>
          <w:rFonts w:ascii="Arial" w:hAnsi="Arial" w:cs="Arial"/>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bjwvSURUZXh0PjxEaXNwbGF5VGV4dD4oQ2hhdGVyIGV0IGFsLiwgMjAxMTsgTGluZCBldCBhbC4s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</w:fldData>
        </w:fldChar>
      </w:r>
      <w:r>
        <w:rPr>
          <w:rFonts w:ascii="Arial" w:hAnsi="Arial" w:cs="Arial"/>
        </w:rPr>
        <w:instrText xml:space="preserve"> ADDIN EN.CITE </w:instrText>
      </w:r>
      <w:r>
        <w:rPr>
          <w:rFonts w:ascii="Arial" w:hAnsi="Arial" w:cs="Arial"/>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bjwvSURUZXh0PjxEaXNwbGF5VGV4dD4oQ2hhdGVyIGV0IGFsLiwgMjAxMTsgTGluZCBldCBhbC4s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(Chater et al., 2011; Lind et al., 2015)</w:t>
      </w:r>
      <w:r>
        <w:rPr>
          <w:rFonts w:ascii="Arial" w:hAnsi="Arial" w:cs="Arial"/>
        </w:rPr>
        <w:fldChar w:fldCharType="end"/>
      </w:r>
      <w:r>
        <w:rPr>
          <w:rFonts w:ascii="Arial" w:hAnsi="Arial" w:cs="Arial"/>
        </w:rPr>
        <w:t xml:space="preserve">. Taken together with the </w:t>
      </w:r>
      <w:r>
        <w:rPr>
          <w:rFonts w:ascii="Arial" w:hAnsi="Arial" w:cs="Arial"/>
          <w:i/>
        </w:rPr>
        <w:t xml:space="preserve">PpSMF1/2 </w:t>
      </w:r>
      <w:r>
        <w:rPr>
          <w:rFonts w:ascii="Arial" w:hAnsi="Arial" w:cs="Arial"/>
        </w:rPr>
        <w:t xml:space="preserve">complementation data, these results strongly suggest that stomatal developmental genes are conserved between lineages separated by at least 425mya (see </w:t>
      </w:r>
      <w:r>
        <w:rPr>
          <w:rFonts w:ascii="Arial" w:hAnsi="Arial" w:cs="Arial"/>
          <w:b/>
        </w:rPr>
        <w:t>Fig. 1a</w:t>
      </w:r>
      <w:r>
        <w:rPr>
          <w:rFonts w:ascii="Arial" w:hAnsi="Arial" w:cs="Arial"/>
        </w:rPr>
        <w:t xml:space="preserve">) This thesis will attempt to address whether genes involved with stomatal development (chapter 3) and patterning (chapter 4) are indeed conserved in the non-vascular land plant and moss </w:t>
      </w:r>
      <w:r>
        <w:rPr>
          <w:rFonts w:ascii="Arial" w:hAnsi="Arial" w:cs="Arial"/>
          <w:i/>
        </w:rPr>
        <w:t>P. patens.</w:t>
      </w:r>
    </w:p>
    <w:p w14:paraId="46A8235E" w14:textId="77777777" w:rsidR="00311AE8" w:rsidRPr="00BC0AAD" w:rsidRDefault="00311AE8" w:rsidP="00311AE8">
      <w:pPr>
        <w:spacing w:before="120" w:after="160" w:line="360" w:lineRule="auto"/>
        <w:rPr>
          <w:rFonts w:ascii="Arial" w:hAnsi="Arial" w:cs="Arial"/>
          <w:u w:val="single"/>
        </w:rPr>
      </w:pPr>
      <w:r>
        <w:rPr>
          <w:rFonts w:ascii="Arial" w:hAnsi="Arial" w:cs="Arial"/>
          <w:u w:val="single"/>
        </w:rPr>
        <w:t xml:space="preserve">1.8 </w:t>
      </w:r>
      <w:r w:rsidRPr="00E5501E">
        <w:rPr>
          <w:rFonts w:ascii="Arial" w:hAnsi="Arial" w:cs="Arial"/>
          <w:u w:val="single"/>
        </w:rPr>
        <w:t xml:space="preserve">Blast searching of putative Arabidopsis stomatal development homologues in </w:t>
      </w:r>
      <w:r w:rsidRPr="00E5501E">
        <w:rPr>
          <w:rFonts w:ascii="Arial" w:hAnsi="Arial" w:cs="Arial"/>
          <w:i/>
          <w:u w:val="single"/>
        </w:rPr>
        <w:t>P. patens</w:t>
      </w:r>
      <w:r w:rsidRPr="00BC0AAD">
        <w:rPr>
          <w:rFonts w:ascii="Arial" w:hAnsi="Arial" w:cs="Arial"/>
          <w:u w:val="single"/>
        </w:rPr>
        <w:t xml:space="preserve"> </w:t>
      </w:r>
    </w:p>
    <w:p w14:paraId="3B619F7F" w14:textId="77777777" w:rsidR="00311AE8" w:rsidRPr="00475E06" w:rsidRDefault="00311AE8" w:rsidP="00311AE8">
      <w:pPr>
        <w:spacing w:before="120" w:after="160" w:line="360" w:lineRule="auto"/>
        <w:rPr>
          <w:rFonts w:ascii="Arial" w:hAnsi="Arial" w:cs="Arial"/>
        </w:rPr>
      </w:pPr>
      <w:r>
        <w:rPr>
          <w:rFonts w:ascii="Arial" w:hAnsi="Arial" w:cs="Arial"/>
        </w:rPr>
        <w:t xml:space="preserve">To verify the findings of others and to ascertain whether other genes involved with stomatal development are conserved in </w:t>
      </w:r>
      <w:r>
        <w:rPr>
          <w:rFonts w:ascii="Arial" w:hAnsi="Arial" w:cs="Arial"/>
          <w:i/>
        </w:rPr>
        <w:t>P. patens</w:t>
      </w:r>
      <w:r>
        <w:rPr>
          <w:rFonts w:ascii="Arial" w:hAnsi="Arial" w:cs="Arial"/>
        </w:rPr>
        <w:t>,</w:t>
      </w:r>
      <w:r>
        <w:rPr>
          <w:rFonts w:ascii="Arial" w:hAnsi="Arial" w:cs="Arial"/>
          <w:i/>
        </w:rPr>
        <w:t xml:space="preserve"> </w:t>
      </w:r>
      <w:r>
        <w:rPr>
          <w:rFonts w:ascii="Arial" w:hAnsi="Arial" w:cs="Arial"/>
        </w:rPr>
        <w:t xml:space="preserve">analysis of gene family members based on the latest genome annotation (v3.3) of </w:t>
      </w:r>
      <w:r>
        <w:rPr>
          <w:rFonts w:ascii="Arial" w:hAnsi="Arial" w:cs="Arial"/>
          <w:i/>
        </w:rPr>
        <w:t xml:space="preserve">P. patens </w:t>
      </w:r>
      <w:r>
        <w:rPr>
          <w:rFonts w:ascii="Arial" w:hAnsi="Arial" w:cs="Arial"/>
        </w:rPr>
        <w:t>were conducted (</w:t>
      </w:r>
      <w:r>
        <w:rPr>
          <w:rFonts w:ascii="Arial" w:hAnsi="Arial" w:cs="Arial"/>
          <w:b/>
        </w:rPr>
        <w:t>Table 1</w:t>
      </w:r>
      <w:r>
        <w:rPr>
          <w:rFonts w:ascii="Arial" w:hAnsi="Arial" w:cs="Arial"/>
        </w:rPr>
        <w:t xml:space="preserve">) </w:t>
      </w:r>
      <w:r>
        <w:rPr>
          <w:rFonts w:ascii="Arial" w:hAnsi="Arial" w:cs="Arial"/>
        </w:rPr>
        <w:fldChar w:fldCharType="begin">
          <w:fldData xml:space="preserve">PEVuZE5vdGU+PENpdGU+PEF1dGhvcj5QZXRlcnNvbjwvQXV0aG9yPjxZZWFyPjIwMTA8L1llYXI+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</w:fldData>
        </w:fldChar>
      </w:r>
      <w:r>
        <w:rPr>
          <w:rFonts w:ascii="Arial" w:hAnsi="Arial" w:cs="Arial"/>
        </w:rPr>
        <w:instrText xml:space="preserve"> ADDIN EN.CITE </w:instrText>
      </w:r>
      <w:r>
        <w:rPr>
          <w:rFonts w:ascii="Arial" w:hAnsi="Arial" w:cs="Arial"/>
        </w:rPr>
        <w:fldChar w:fldCharType="begin">
          <w:fldData xml:space="preserve">PEVuZE5vdGU+PENpdGU+PEF1dGhvcj5QZXRlcnNvbjwvQXV0aG9yPjxZZWFyPjIwMTA8L1llYXI+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(Chater et al., 2013; MacAlister and Bergmann, 2011; Peterson et al., 2010; Takata et al., 2013; Villagarcia et al., 2012)</w:t>
      </w:r>
      <w:r>
        <w:rPr>
          <w:rFonts w:ascii="Arial" w:hAnsi="Arial" w:cs="Arial"/>
        </w:rPr>
        <w:fldChar w:fldCharType="end"/>
      </w:r>
      <w:r>
        <w:rPr>
          <w:rFonts w:ascii="Arial" w:hAnsi="Arial" w:cs="Arial"/>
        </w:rPr>
        <w:t xml:space="preserve">. It was found, as has been previously described, that a whole toolbox of genes potentially exists within the genome of </w:t>
      </w:r>
      <w:r>
        <w:rPr>
          <w:rFonts w:ascii="Arial" w:hAnsi="Arial" w:cs="Arial"/>
          <w:i/>
        </w:rPr>
        <w:t xml:space="preserve">P. patens </w:t>
      </w:r>
      <w:r>
        <w:rPr>
          <w:rFonts w:ascii="Arial" w:hAnsi="Arial" w:cs="Arial"/>
        </w:rPr>
        <w:t xml:space="preserve">to permit stomatal development which putatively share homology with angiosperm equivalent genes </w:t>
      </w:r>
      <w:r>
        <w:rPr>
          <w:rFonts w:ascii="Arial" w:hAnsi="Arial" w:cs="Arial"/>
        </w:rPr>
        <w:fldChar w:fldCharType="begin"/>
      </w:r>
      <w:r>
        <w:rPr>
          <w:rFonts w:ascii="Arial" w:hAnsi="Arial" w:cs="Arial"/>
        </w:rPr>
        <w:instrText xml:space="preserve"> ADDIN EN.CITE &lt;EndNote&gt;&lt;Cite&gt;&lt;Author&gt;Chater&lt;/Author&gt;&lt;Year&gt;2013&lt;/Year&gt;&lt;IDText&gt;Early evolutionary acquisition of stomatal control and development gene signalling networks&lt;/IDText&gt;&lt;DisplayText&gt;(Chater et al., 2013)&lt;/DisplayText&gt;&lt;record&gt;&lt;dates&gt;&lt;pub-dates&gt;&lt;date&gt;Oct&lt;/date&gt;&lt;/pub-dates&gt;&lt;year&gt;2013&lt;/year&gt;&lt;/dates&gt;&lt;keywords&gt;&lt;keyword&gt;moss physcomitrella-patens&lt;/keyword&gt;&lt;keyword&gt;abscisic-acid&lt;/keyword&gt;&lt;keyword&gt;land plants&lt;/keyword&gt;&lt;keyword&gt;carbon-dioxide&lt;/keyword&gt;&lt;keyword&gt;guard-cells&lt;/keyword&gt;&lt;keyword&gt;mechanisms&lt;/keyword&gt;&lt;keyword&gt;drought&lt;/keyword&gt;&lt;keyword&gt;fern&lt;/keyword&gt;&lt;keyword&gt;co2&lt;/keyword&gt;&lt;keyword&gt;transduction&lt;/keyword&gt;&lt;keyword&gt;Plant Sciences&lt;/keyword&gt;&lt;/keywords&gt;&lt;urls&gt;&lt;related-urls&gt;&lt;url&gt;&amp;lt;Go to ISI&amp;gt;://WOS:000326432800014&lt;/url&gt;&lt;/related-urls&gt;&lt;/urls&gt;&lt;isbn&gt;1369-5266&lt;/isbn&gt;&lt;work-type&gt;Review&lt;/work-type&gt;&lt;titles&gt;&lt;title&gt;Early evolutionary acquisition of stomatal control and development gene signalling networks&lt;/title&gt;&lt;secondary-title&gt;Current Opinion in Plant Biology&lt;/secondary-title&gt;&lt;/titles&gt;&lt;pages&gt;638-646&lt;/pages&gt;&lt;number&gt;5&lt;/number&gt;&lt;contributors&gt;&lt;authors&gt;&lt;author&gt;Chater, C.&lt;/author&gt;&lt;author&gt;Gray, J. E.&lt;/author&gt;&lt;author&gt;Beerling, D. J.&lt;/author&gt;&lt;/authors&gt;&lt;/contributors&gt;&lt;language&gt;English&lt;/language&gt;&lt;added-date format="utc"&gt;1445462732&lt;/added-date&gt;&lt;ref-type name="Journal Article"&gt;17&lt;/ref-type&gt;&lt;auth-address&gt;[Chater, Caspar&amp;#xD;Gray, Julie E.] Univ Sheffield, Dept Mol Biol &amp;amp; Biotechnol, Sheffield S10 2TN, S Yorkshire, England. [Beerling, David J.] Univ Sheffield, Dept Anim &amp;amp; Plant Sci, Sheffield S10 2TN, S Yorkshire, England.&amp;#xD;Beerling, DJ (reprint author), Univ Sheffield, Dept Anim &amp;amp; Plant Sci, Sheffield S10 2TN, S Yorkshire, England.&amp;#xD;d.j.beerling@sheffield.ac.uk&lt;/auth-address&gt;&lt;rec-number&gt;180&lt;/rec-number&gt;&lt;last-updated-date format="utc"&gt;1445462732&lt;/last-updated-date&gt;&lt;accession-num&gt;WOS:000326432800014&lt;/accession-num&gt;&lt;electronic-resource-num&gt;10.1016/j.pbi.2013.06.013&lt;/electronic-resource-num&gt;&lt;volume&gt;16&lt;/volume&gt;&lt;/record&gt;&lt;/Cite&gt;&lt;/EndNote&gt;</w:instrText>
      </w:r>
      <w:r>
        <w:rPr>
          <w:rFonts w:ascii="Arial" w:hAnsi="Arial" w:cs="Arial"/>
        </w:rPr>
        <w:fldChar w:fldCharType="separate"/>
      </w:r>
      <w:r>
        <w:rPr>
          <w:rFonts w:ascii="Arial" w:hAnsi="Arial" w:cs="Arial"/>
          <w:noProof/>
        </w:rPr>
        <w:t>(Chater et al., 2013)</w:t>
      </w:r>
      <w:r>
        <w:rPr>
          <w:rFonts w:ascii="Arial" w:hAnsi="Arial" w:cs="Arial"/>
        </w:rPr>
        <w:fldChar w:fldCharType="end"/>
      </w:r>
      <w:r>
        <w:rPr>
          <w:rFonts w:ascii="Arial" w:hAnsi="Arial" w:cs="Arial"/>
        </w:rPr>
        <w:t xml:space="preserve">. Starting with genes encoding for extracellular peptides such as the </w:t>
      </w:r>
      <w:r w:rsidRPr="00475E06">
        <w:rPr>
          <w:rFonts w:ascii="Arial" w:hAnsi="Arial" w:cs="Arial"/>
          <w:i/>
        </w:rPr>
        <w:t>EPFs</w:t>
      </w:r>
      <w:r>
        <w:rPr>
          <w:rFonts w:ascii="Arial" w:hAnsi="Arial" w:cs="Arial"/>
        </w:rPr>
        <w:t xml:space="preserve">, to membrane receptors and proteins such as the </w:t>
      </w:r>
      <w:r w:rsidRPr="00475E06">
        <w:rPr>
          <w:rFonts w:ascii="Arial" w:hAnsi="Arial" w:cs="Arial"/>
          <w:i/>
        </w:rPr>
        <w:t>ERf</w:t>
      </w:r>
      <w:r>
        <w:rPr>
          <w:rFonts w:ascii="Arial" w:hAnsi="Arial" w:cs="Arial"/>
        </w:rPr>
        <w:t xml:space="preserve">, the </w:t>
      </w:r>
      <w:r>
        <w:rPr>
          <w:rFonts w:ascii="Arial" w:hAnsi="Arial" w:cs="Arial"/>
          <w:i/>
        </w:rPr>
        <w:t>SERKs</w:t>
      </w:r>
      <w:r>
        <w:rPr>
          <w:rFonts w:ascii="Arial" w:hAnsi="Arial" w:cs="Arial"/>
        </w:rPr>
        <w:t xml:space="preserve"> and </w:t>
      </w:r>
      <w:r w:rsidRPr="00475E06">
        <w:rPr>
          <w:rFonts w:ascii="Arial" w:hAnsi="Arial" w:cs="Arial"/>
          <w:i/>
        </w:rPr>
        <w:t>TMM</w:t>
      </w:r>
      <w:r>
        <w:rPr>
          <w:rFonts w:ascii="Arial" w:hAnsi="Arial" w:cs="Arial"/>
        </w:rPr>
        <w:t xml:space="preserve">, to intracellular protein kinases such as </w:t>
      </w:r>
      <w:r w:rsidRPr="00475E06">
        <w:rPr>
          <w:rFonts w:ascii="Arial" w:hAnsi="Arial" w:cs="Arial"/>
          <w:i/>
        </w:rPr>
        <w:t>YODA</w:t>
      </w:r>
      <w:r>
        <w:rPr>
          <w:rFonts w:ascii="Arial" w:hAnsi="Arial" w:cs="Arial"/>
        </w:rPr>
        <w:t xml:space="preserve">, </w:t>
      </w:r>
      <w:r w:rsidRPr="00475E06">
        <w:rPr>
          <w:rFonts w:ascii="Arial" w:hAnsi="Arial" w:cs="Arial"/>
          <w:i/>
        </w:rPr>
        <w:t>MKK4/5/7/9</w:t>
      </w:r>
      <w:r>
        <w:rPr>
          <w:rFonts w:ascii="Arial" w:hAnsi="Arial" w:cs="Arial"/>
        </w:rPr>
        <w:t xml:space="preserve"> and </w:t>
      </w:r>
      <w:r w:rsidRPr="00475E06">
        <w:rPr>
          <w:rFonts w:ascii="Arial" w:hAnsi="Arial" w:cs="Arial"/>
          <w:i/>
        </w:rPr>
        <w:t>MPK3/6</w:t>
      </w:r>
      <w:r>
        <w:rPr>
          <w:rFonts w:ascii="Arial" w:hAnsi="Arial" w:cs="Arial"/>
        </w:rPr>
        <w:t xml:space="preserve"> and finally to nuclear acting transcription factors such as </w:t>
      </w:r>
      <w:r w:rsidRPr="00475E06">
        <w:rPr>
          <w:rFonts w:ascii="Arial" w:hAnsi="Arial" w:cs="Arial"/>
          <w:i/>
        </w:rPr>
        <w:t>S</w:t>
      </w:r>
      <w:r>
        <w:rPr>
          <w:rFonts w:ascii="Arial" w:hAnsi="Arial" w:cs="Arial"/>
          <w:i/>
        </w:rPr>
        <w:t xml:space="preserve">PCH, MUTE, FAMA, ICE1/SCRM </w:t>
      </w:r>
      <w:r>
        <w:rPr>
          <w:rFonts w:ascii="Arial" w:hAnsi="Arial" w:cs="Arial"/>
        </w:rPr>
        <w:t xml:space="preserve">AND </w:t>
      </w:r>
      <w:r>
        <w:rPr>
          <w:rFonts w:ascii="Arial" w:hAnsi="Arial" w:cs="Arial"/>
          <w:i/>
        </w:rPr>
        <w:t xml:space="preserve">SCRM2, P. patens </w:t>
      </w:r>
      <w:r>
        <w:rPr>
          <w:rFonts w:ascii="Arial" w:hAnsi="Arial" w:cs="Arial"/>
        </w:rPr>
        <w:t xml:space="preserve">has putative orthologue equivalents. Note. For </w:t>
      </w:r>
      <w:r>
        <w:rPr>
          <w:rFonts w:ascii="Arial" w:hAnsi="Arial" w:cs="Arial"/>
          <w:i/>
        </w:rPr>
        <w:t xml:space="preserve">MUTE </w:t>
      </w:r>
      <w:r>
        <w:rPr>
          <w:rFonts w:ascii="Arial" w:hAnsi="Arial" w:cs="Arial"/>
        </w:rPr>
        <w:t xml:space="preserve">and </w:t>
      </w:r>
      <w:r>
        <w:rPr>
          <w:rFonts w:ascii="Arial" w:hAnsi="Arial" w:cs="Arial"/>
          <w:i/>
        </w:rPr>
        <w:t xml:space="preserve">FAMA </w:t>
      </w:r>
      <w:r>
        <w:rPr>
          <w:rFonts w:ascii="Arial" w:hAnsi="Arial" w:cs="Arial"/>
        </w:rPr>
        <w:t xml:space="preserve">no protein homologues in </w:t>
      </w:r>
      <w:r>
        <w:rPr>
          <w:rFonts w:ascii="Arial" w:hAnsi="Arial" w:cs="Arial"/>
          <w:i/>
        </w:rPr>
        <w:t xml:space="preserve">P. patens </w:t>
      </w:r>
      <w:r>
        <w:rPr>
          <w:rFonts w:ascii="Arial" w:hAnsi="Arial" w:cs="Arial"/>
        </w:rPr>
        <w:t xml:space="preserve">were detected using the blast tool. However the </w:t>
      </w:r>
      <w:r>
        <w:rPr>
          <w:rFonts w:ascii="Arial" w:hAnsi="Arial" w:cs="Arial"/>
          <w:i/>
        </w:rPr>
        <w:t xml:space="preserve">P. patens </w:t>
      </w:r>
      <w:r>
        <w:rPr>
          <w:rFonts w:ascii="Arial" w:hAnsi="Arial" w:cs="Arial"/>
        </w:rPr>
        <w:t xml:space="preserve">genes: </w:t>
      </w:r>
      <w:r>
        <w:rPr>
          <w:rFonts w:ascii="Arial" w:hAnsi="Arial" w:cs="Arial"/>
          <w:i/>
        </w:rPr>
        <w:t xml:space="preserve">PpSMF1 </w:t>
      </w:r>
      <w:r>
        <w:rPr>
          <w:rFonts w:ascii="Arial" w:hAnsi="Arial" w:cs="Arial"/>
        </w:rPr>
        <w:t xml:space="preserve">and </w:t>
      </w:r>
      <w:r>
        <w:rPr>
          <w:rFonts w:ascii="Arial" w:hAnsi="Arial" w:cs="Arial"/>
          <w:i/>
        </w:rPr>
        <w:t>PpSMF2</w:t>
      </w:r>
      <w:r>
        <w:rPr>
          <w:rFonts w:ascii="Arial" w:hAnsi="Arial" w:cs="Arial"/>
        </w:rPr>
        <w:t xml:space="preserve"> have been repeatedly shown to be closely related orthologues of </w:t>
      </w:r>
      <w:r>
        <w:rPr>
          <w:rFonts w:ascii="Arial" w:hAnsi="Arial" w:cs="Arial"/>
          <w:i/>
        </w:rPr>
        <w:t xml:space="preserve">MUTE </w:t>
      </w:r>
      <w:r>
        <w:rPr>
          <w:rFonts w:ascii="Arial" w:hAnsi="Arial" w:cs="Arial"/>
        </w:rPr>
        <w:t xml:space="preserve">and </w:t>
      </w:r>
      <w:r>
        <w:rPr>
          <w:rFonts w:ascii="Arial" w:hAnsi="Arial" w:cs="Arial"/>
          <w:i/>
        </w:rPr>
        <w:t xml:space="preserve">FAMA </w:t>
      </w:r>
      <w:r w:rsidRPr="00C204C0">
        <w:rPr>
          <w:rFonts w:ascii="Arial" w:hAnsi="Arial" w:cs="Arial"/>
        </w:rPr>
        <w:fldChar w:fldCharType="begin">
          <w:fldData xml:space="preserve">PEVuZE5vdGU+PENpdGU+PEF1dGhvcj5NYWNBbGlzdGVyPC9BdXRob3I+PFllYXI+MjAxMTwvWWVh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</w:fldData>
        </w:fldChar>
      </w:r>
      <w:r w:rsidRPr="00C204C0">
        <w:rPr>
          <w:rFonts w:ascii="Arial" w:hAnsi="Arial" w:cs="Arial"/>
        </w:rPr>
        <w:instrText xml:space="preserve"> ADDIN EN.CITE </w:instrText>
      </w:r>
      <w:r w:rsidRPr="00C204C0">
        <w:rPr>
          <w:rFonts w:ascii="Arial" w:hAnsi="Arial" w:cs="Arial"/>
        </w:rPr>
        <w:fldChar w:fldCharType="begin">
          <w:fldData xml:space="preserve">PEVuZE5vdGU+PENpdGU+PEF1dGhvcj5NYWNBbGlzdGVyPC9BdXRob3I+PFllYXI+MjAxMTwvWWVh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</w:fldData>
        </w:fldChar>
      </w:r>
      <w:r w:rsidRPr="00C204C0">
        <w:rPr>
          <w:rFonts w:ascii="Arial" w:hAnsi="Arial" w:cs="Arial"/>
        </w:rPr>
        <w:instrText xml:space="preserve"> ADDIN EN.CITE.DATA </w:instrText>
      </w:r>
      <w:r w:rsidRPr="00C204C0">
        <w:rPr>
          <w:rFonts w:ascii="Arial" w:hAnsi="Arial" w:cs="Arial"/>
        </w:rPr>
      </w:r>
      <w:r w:rsidRPr="00C204C0">
        <w:rPr>
          <w:rFonts w:ascii="Arial" w:hAnsi="Arial" w:cs="Arial"/>
        </w:rPr>
        <w:fldChar w:fldCharType="end"/>
      </w:r>
      <w:r w:rsidRPr="00C204C0">
        <w:rPr>
          <w:rFonts w:ascii="Arial" w:hAnsi="Arial" w:cs="Arial"/>
        </w:rPr>
      </w:r>
      <w:r w:rsidRPr="00C204C0">
        <w:rPr>
          <w:rFonts w:ascii="Arial" w:hAnsi="Arial" w:cs="Arial"/>
        </w:rPr>
        <w:fldChar w:fldCharType="separate"/>
      </w:r>
      <w:r w:rsidRPr="00C204C0">
        <w:rPr>
          <w:rFonts w:ascii="Arial" w:hAnsi="Arial" w:cs="Arial"/>
          <w:noProof/>
        </w:rPr>
        <w:t>(Chater et al., 2016; MacAlister and Bergmann, 2011; Ran et al., 2013)</w:t>
      </w:r>
      <w:r w:rsidRPr="00C204C0">
        <w:rPr>
          <w:rFonts w:ascii="Arial" w:hAnsi="Arial" w:cs="Arial"/>
        </w:rPr>
        <w:fldChar w:fldCharType="end"/>
      </w:r>
      <w:r w:rsidRPr="00CC0C3B">
        <w:rPr>
          <w:rFonts w:ascii="Arial" w:hAnsi="Arial" w:cs="Arial"/>
        </w:rPr>
        <w:t>.</w:t>
      </w:r>
    </w:p>
    <w:p w14:paraId="2B309684" w14:textId="24254E14" w:rsidR="00311AE8" w:rsidRPr="004C6EAD" w:rsidRDefault="00311AE8" w:rsidP="00311AE8">
      <w:pPr>
        <w:tabs>
          <w:tab w:val="left" w:pos="3686"/>
        </w:tabs>
        <w:spacing w:after="160" w:line="360" w:lineRule="auto"/>
        <w:rPr>
          <w:rFonts w:ascii="Arial" w:hAnsi="Arial" w:cs="Arial"/>
        </w:rPr>
      </w:pPr>
      <w:r w:rsidRPr="00FA7F73">
        <w:rPr>
          <w:rFonts w:ascii="Arial" w:hAnsi="Arial" w:cs="Arial"/>
          <w:b/>
        </w:rPr>
        <w:t xml:space="preserve">Table </w:t>
      </w:r>
      <w:r>
        <w:rPr>
          <w:rFonts w:ascii="Arial" w:hAnsi="Arial" w:cs="Arial"/>
          <w:b/>
        </w:rPr>
        <w:t>1</w:t>
      </w:r>
      <w:r>
        <w:rPr>
          <w:rFonts w:ascii="Arial" w:hAnsi="Arial" w:cs="Arial"/>
        </w:rPr>
        <w:t>.</w:t>
      </w:r>
      <w:r w:rsidRPr="004C6EAD">
        <w:rPr>
          <w:rFonts w:ascii="Arial" w:hAnsi="Arial" w:cs="Arial"/>
          <w:b/>
        </w:rPr>
        <w:t xml:space="preserve"> Putative </w:t>
      </w:r>
      <w:r w:rsidRPr="004C6EAD">
        <w:rPr>
          <w:rFonts w:ascii="Arial" w:hAnsi="Arial" w:cs="Arial"/>
          <w:b/>
          <w:i/>
        </w:rPr>
        <w:t xml:space="preserve">P. patens </w:t>
      </w:r>
      <w:r w:rsidRPr="004C6EAD">
        <w:rPr>
          <w:rFonts w:ascii="Arial" w:hAnsi="Arial" w:cs="Arial"/>
          <w:b/>
        </w:rPr>
        <w:t xml:space="preserve">Stomatal developmental gene homologues (genome annotation v3.3) acquired using the peptide sequences of Arabidopsis stomatal developmental genes on Phytozome v11 </w:t>
      </w:r>
      <w:r w:rsidRPr="004C6EAD">
        <w:rPr>
          <w:rFonts w:ascii="Arial" w:hAnsi="Arial" w:cs="Arial"/>
          <w:b/>
        </w:rPr>
        <w:fldChar w:fldCharType="begin"/>
      </w:r>
      <w:r w:rsidRPr="004C6EAD">
        <w:rPr>
          <w:rFonts w:ascii="Arial" w:hAnsi="Arial" w:cs="Arial"/>
          <w:b/>
        </w:rPr>
        <w:instrText xml:space="preserve"> ADDIN EN.CITE &lt;EndNote&gt;&lt;Cite&gt;&lt;Author&gt;Goodstein&lt;/Author&gt;&lt;Year&gt;2012&lt;/Year&gt;&lt;IDText&gt;Phytozome: a comparative platform for green plant genomics&lt;/IDText&gt;&lt;DisplayText&gt;(Goodstein et al., 2012)&lt;/DisplayText&gt;&lt;record&gt;&lt;dates&gt;&lt;pub-dates&gt;&lt;date&gt;2012//&lt;/date&gt;&lt;/pub-dates&gt;&lt;year&gt;2012&lt;/year&gt;&lt;/dates&gt;&lt;urls&gt;&lt;related-urls&gt;&lt;url&gt;http://dx.doi.org/10.1093/nar/gkr944&lt;/url&gt;&lt;/related-urls&gt;&lt;/urls&gt;&lt;titles&gt;&lt;title&gt;Phytozome: a comparative platform for green plant genomics&lt;/title&gt;&lt;secondary-title&gt;Nucleic Acids Res&lt;/secondary-title&gt;&lt;/titles&gt;&lt;contributors&gt;&lt;authors&gt;&lt;author&gt;Goodstein, D. M.&lt;/author&gt;&lt;author&gt;Shu, S.&lt;/author&gt;&lt;author&gt;Howson, R.&lt;/author&gt;&lt;author&gt;Neupane, R.&lt;/author&gt;&lt;author&gt;Hayes, R. D.&lt;/author&gt;&lt;author&gt;Fazo, J.&lt;/author&gt;&lt;author&gt;Mitros, T.&lt;/author&gt;&lt;author&gt;Dirks, W.&lt;/author&gt;&lt;author&gt;Hellsten, U.&lt;/author&gt;&lt;author&gt;Putnam, N.&lt;/author&gt;&lt;author&gt;Rokhsar, D. S.&lt;/author&gt;&lt;/authors&gt;&lt;/contributors&gt;&lt;added-date format="utc"&gt;1454072695&lt;/added-date&gt;&lt;ref-type name="Journal Article"&gt;17&lt;/ref-type&gt;&lt;rec-number&gt;496&lt;/rec-number&gt;&lt;last-updated-date format="utc"&gt;1454072695&lt;/last-updated-date&gt;&lt;electronic-resource-num&gt;10.1093/nar/gkr944&lt;/electronic-resource-num&gt;&lt;volume&gt;40&lt;/volume&gt;&lt;/record&gt;&lt;/Cite&gt;&lt;/EndNote&gt;</w:instrText>
      </w:r>
      <w:r w:rsidRPr="004C6EAD">
        <w:rPr>
          <w:rFonts w:ascii="Arial" w:hAnsi="Arial" w:cs="Arial"/>
          <w:b/>
        </w:rPr>
        <w:fldChar w:fldCharType="separate"/>
      </w:r>
      <w:r w:rsidRPr="004C6EAD">
        <w:rPr>
          <w:rFonts w:ascii="Arial" w:hAnsi="Arial" w:cs="Arial"/>
          <w:b/>
          <w:noProof/>
        </w:rPr>
        <w:t xml:space="preserve">(Goodstein et </w:t>
      </w:r>
      <w:r w:rsidRPr="004C6EAD">
        <w:rPr>
          <w:rFonts w:ascii="Arial" w:hAnsi="Arial" w:cs="Arial"/>
          <w:b/>
          <w:noProof/>
        </w:rPr>
        <w:lastRenderedPageBreak/>
        <w:t>al., 2012)</w:t>
      </w:r>
      <w:r w:rsidRPr="004C6EAD">
        <w:rPr>
          <w:rFonts w:ascii="Arial" w:hAnsi="Arial" w:cs="Arial"/>
          <w:b/>
        </w:rPr>
        <w:fldChar w:fldCharType="end"/>
      </w:r>
      <w:r w:rsidRPr="004C6EAD">
        <w:rPr>
          <w:rFonts w:ascii="Arial" w:hAnsi="Arial" w:cs="Arial"/>
          <w:b/>
        </w:rPr>
        <w:t>.</w:t>
      </w:r>
      <w:r w:rsidRPr="00FA7F73">
        <w:rPr>
          <w:rFonts w:ascii="Arial" w:hAnsi="Arial" w:cs="Arial"/>
        </w:rPr>
        <w:t xml:space="preserve"> </w:t>
      </w:r>
      <w:r>
        <w:rPr>
          <w:rFonts w:ascii="Arial" w:hAnsi="Arial" w:cs="Arial"/>
          <w:i/>
        </w:rPr>
        <w:t xml:space="preserve">P. patens </w:t>
      </w:r>
      <w:r w:rsidRPr="00FA7F73">
        <w:rPr>
          <w:rFonts w:ascii="Arial" w:hAnsi="Arial" w:cs="Arial"/>
        </w:rPr>
        <w:t>Blast % similarity is based on the percentage of identical amino acid residues and cover</w:t>
      </w:r>
      <w:r>
        <w:rPr>
          <w:rFonts w:ascii="Arial" w:hAnsi="Arial" w:cs="Arial"/>
        </w:rPr>
        <w:t>age similarity comparatively to the Arabidopsis input sequences</w:t>
      </w:r>
      <w:r w:rsidRPr="00FA7F73">
        <w:rPr>
          <w:rFonts w:ascii="Arial" w:hAnsi="Arial" w:cs="Arial"/>
          <w:i/>
        </w:rPr>
        <w:t>.</w:t>
      </w:r>
      <w:r>
        <w:rPr>
          <w:rFonts w:ascii="Arial" w:hAnsi="Arial" w:cs="Arial"/>
          <w:i/>
        </w:rPr>
        <w:t xml:space="preserve"> </w:t>
      </w:r>
      <w:r>
        <w:rPr>
          <w:rFonts w:ascii="Arial" w:hAnsi="Arial" w:cs="Arial"/>
        </w:rPr>
        <w:t xml:space="preserve">Phytozome </w:t>
      </w:r>
      <w:r>
        <w:rPr>
          <w:rFonts w:ascii="Arial" w:hAnsi="Arial" w:cs="Arial"/>
          <w:i/>
        </w:rPr>
        <w:t>P. patens</w:t>
      </w:r>
      <w:r>
        <w:rPr>
          <w:rFonts w:ascii="Arial" w:hAnsi="Arial" w:cs="Arial"/>
        </w:rPr>
        <w:t xml:space="preserve"> total protein homologues and Phytozome </w:t>
      </w:r>
      <w:r>
        <w:rPr>
          <w:rFonts w:ascii="Arial" w:hAnsi="Arial" w:cs="Arial"/>
          <w:i/>
        </w:rPr>
        <w:t>P. patens</w:t>
      </w:r>
      <w:r>
        <w:rPr>
          <w:rFonts w:ascii="Arial" w:hAnsi="Arial" w:cs="Arial"/>
        </w:rPr>
        <w:t xml:space="preserve"> gene family members were assigned automatically in Phytozome. For Arabidopsis </w:t>
      </w:r>
      <w:r w:rsidRPr="00256D50">
        <w:rPr>
          <w:rFonts w:ascii="Arial" w:hAnsi="Arial" w:cs="Arial"/>
          <w:i/>
        </w:rPr>
        <w:t>EPFL9</w:t>
      </w:r>
      <w:r>
        <w:rPr>
          <w:rFonts w:ascii="Arial" w:hAnsi="Arial" w:cs="Arial"/>
        </w:rPr>
        <w:t xml:space="preserve">, </w:t>
      </w:r>
      <w:r w:rsidRPr="00895226">
        <w:rPr>
          <w:rFonts w:ascii="Arial" w:hAnsi="Arial" w:cs="Arial"/>
          <w:i/>
        </w:rPr>
        <w:t>MUTE</w:t>
      </w:r>
      <w:r>
        <w:rPr>
          <w:rFonts w:ascii="Arial" w:hAnsi="Arial" w:cs="Arial"/>
        </w:rPr>
        <w:t xml:space="preserve">, </w:t>
      </w:r>
      <w:r>
        <w:rPr>
          <w:rFonts w:ascii="Arial" w:hAnsi="Arial" w:cs="Arial"/>
          <w:i/>
        </w:rPr>
        <w:t>FAMA</w:t>
      </w:r>
      <w:r>
        <w:rPr>
          <w:rFonts w:ascii="Arial" w:hAnsi="Arial" w:cs="Arial"/>
        </w:rPr>
        <w:t xml:space="preserve">, </w:t>
      </w:r>
      <w:r w:rsidRPr="00895226">
        <w:rPr>
          <w:rFonts w:ascii="Arial" w:hAnsi="Arial" w:cs="Arial"/>
        </w:rPr>
        <w:t>BASL</w:t>
      </w:r>
      <w:r>
        <w:rPr>
          <w:rFonts w:ascii="Arial" w:hAnsi="Arial" w:cs="Arial"/>
        </w:rPr>
        <w:t xml:space="preserve">, </w:t>
      </w:r>
      <w:r>
        <w:rPr>
          <w:rFonts w:ascii="Arial" w:hAnsi="Arial" w:cs="Arial"/>
          <w:i/>
        </w:rPr>
        <w:t>POLAR</w:t>
      </w:r>
      <w:r>
        <w:rPr>
          <w:rFonts w:ascii="Arial" w:hAnsi="Arial" w:cs="Arial"/>
        </w:rPr>
        <w:t xml:space="preserve"> and </w:t>
      </w:r>
      <w:r>
        <w:rPr>
          <w:rFonts w:ascii="Arial" w:hAnsi="Arial" w:cs="Arial"/>
          <w:i/>
        </w:rPr>
        <w:t>POLAR-LIKE1</w:t>
      </w:r>
      <w:r>
        <w:rPr>
          <w:rFonts w:ascii="Arial" w:hAnsi="Arial" w:cs="Arial"/>
        </w:rPr>
        <w:t xml:space="preserve"> no</w:t>
      </w:r>
      <w:r w:rsidRPr="00FA7F73">
        <w:rPr>
          <w:rFonts w:ascii="Arial" w:hAnsi="Arial" w:cs="Arial"/>
        </w:rPr>
        <w:t xml:space="preserve"> </w:t>
      </w:r>
      <w:r>
        <w:rPr>
          <w:rFonts w:ascii="Arial" w:hAnsi="Arial" w:cs="Arial"/>
          <w:i/>
        </w:rPr>
        <w:t xml:space="preserve">P. patens </w:t>
      </w:r>
      <w:r>
        <w:rPr>
          <w:rFonts w:ascii="Arial" w:hAnsi="Arial" w:cs="Arial"/>
        </w:rPr>
        <w:t>orthologous sequences</w:t>
      </w:r>
      <w:r w:rsidRPr="00FA7F73">
        <w:rPr>
          <w:rFonts w:ascii="Arial" w:hAnsi="Arial" w:cs="Arial"/>
        </w:rPr>
        <w:t xml:space="preserve"> </w:t>
      </w:r>
      <w:r>
        <w:rPr>
          <w:rFonts w:ascii="Arial" w:hAnsi="Arial" w:cs="Arial"/>
        </w:rPr>
        <w:t>were</w:t>
      </w:r>
      <w:r w:rsidRPr="00FA7F73">
        <w:rPr>
          <w:rFonts w:ascii="Arial" w:hAnsi="Arial" w:cs="Arial"/>
        </w:rPr>
        <w:t xml:space="preserve"> </w:t>
      </w:r>
      <w:r>
        <w:rPr>
          <w:rFonts w:ascii="Arial" w:hAnsi="Arial" w:cs="Arial"/>
        </w:rPr>
        <w:t xml:space="preserve">detected via phytozome but closely related putative sequences have previously been detected for </w:t>
      </w:r>
      <w:r>
        <w:rPr>
          <w:rFonts w:ascii="Arial" w:hAnsi="Arial" w:cs="Arial"/>
          <w:i/>
        </w:rPr>
        <w:t>EPFL9,</w:t>
      </w:r>
      <w:r>
        <w:rPr>
          <w:rFonts w:ascii="Arial" w:hAnsi="Arial" w:cs="Arial"/>
        </w:rPr>
        <w:t xml:space="preserve"> </w:t>
      </w:r>
      <w:r>
        <w:rPr>
          <w:rFonts w:ascii="Arial" w:hAnsi="Arial" w:cs="Arial"/>
          <w:i/>
        </w:rPr>
        <w:t xml:space="preserve">MUTE </w:t>
      </w:r>
      <w:r>
        <w:rPr>
          <w:rFonts w:ascii="Arial" w:hAnsi="Arial" w:cs="Arial"/>
        </w:rPr>
        <w:t xml:space="preserve">and </w:t>
      </w:r>
      <w:r>
        <w:rPr>
          <w:rFonts w:ascii="Arial" w:hAnsi="Arial" w:cs="Arial"/>
          <w:i/>
        </w:rPr>
        <w:t xml:space="preserve">FAMA </w:t>
      </w:r>
      <w:r>
        <w:rPr>
          <w:rFonts w:ascii="Arial" w:hAnsi="Arial" w:cs="Arial"/>
        </w:rPr>
        <w:t xml:space="preserve">in previous phylogenetic analyses </w:t>
      </w:r>
      <w:r>
        <w:rPr>
          <w:rFonts w:ascii="Arial" w:hAnsi="Arial" w:cs="Arial"/>
        </w:rPr>
        <w:fldChar w:fldCharType="begin">
          <w:fldData xml:space="preserve">PEVuZE5vdGU+PENpdGU+PEF1dGhvcj5UYWthdGE8L0F1dGhvcj48WWVhcj4yMDEzPC9ZZWFyPjxJ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</w:fldData>
        </w:fldChar>
      </w:r>
      <w:r>
        <w:rPr>
          <w:rFonts w:ascii="Arial" w:hAnsi="Arial" w:cs="Arial"/>
        </w:rPr>
        <w:instrText xml:space="preserve"> ADDIN EN.CITE </w:instrText>
      </w:r>
      <w:r>
        <w:rPr>
          <w:rFonts w:ascii="Arial" w:hAnsi="Arial" w:cs="Arial"/>
        </w:rPr>
        <w:fldChar w:fldCharType="begin">
          <w:fldData xml:space="preserve">PEVuZE5vdGU+PENpdGU+PEF1dGhvcj5UYWthdGE8L0F1dGhvcj48WWVhcj4yMDEzPC9ZZWFyPjxJ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(MacAlister and Bergmann, 2011; Takata et al., 2013)</w:t>
      </w:r>
      <w:r>
        <w:rPr>
          <w:rFonts w:ascii="Arial" w:hAnsi="Arial" w:cs="Arial"/>
        </w:rPr>
        <w:fldChar w:fldCharType="end"/>
      </w:r>
      <w:r>
        <w:rPr>
          <w:rFonts w:ascii="Arial" w:hAnsi="Arial" w:cs="Arial"/>
        </w:rPr>
        <w:t xml:space="preserve">. For an in-depth phylogenetic analyses relating to </w:t>
      </w:r>
      <w:r>
        <w:rPr>
          <w:rFonts w:ascii="Arial" w:hAnsi="Arial" w:cs="Arial"/>
          <w:i/>
        </w:rPr>
        <w:t xml:space="preserve">SPCH, MUTE </w:t>
      </w:r>
      <w:r>
        <w:rPr>
          <w:rFonts w:ascii="Arial" w:hAnsi="Arial" w:cs="Arial"/>
        </w:rPr>
        <w:t xml:space="preserve">and </w:t>
      </w:r>
      <w:r>
        <w:rPr>
          <w:rFonts w:ascii="Arial" w:hAnsi="Arial" w:cs="Arial"/>
          <w:i/>
        </w:rPr>
        <w:t xml:space="preserve">FAMA </w:t>
      </w:r>
      <w:r>
        <w:rPr>
          <w:rFonts w:ascii="Arial" w:hAnsi="Arial" w:cs="Arial"/>
        </w:rPr>
        <w:t xml:space="preserve">and </w:t>
      </w:r>
      <w:r>
        <w:rPr>
          <w:rFonts w:ascii="Arial" w:hAnsi="Arial" w:cs="Arial"/>
          <w:i/>
        </w:rPr>
        <w:t xml:space="preserve">ICE1/SCRM </w:t>
      </w:r>
      <w:r>
        <w:rPr>
          <w:rFonts w:ascii="Arial" w:hAnsi="Arial" w:cs="Arial"/>
        </w:rPr>
        <w:t xml:space="preserve">and </w:t>
      </w:r>
      <w:r>
        <w:rPr>
          <w:rFonts w:ascii="Arial" w:hAnsi="Arial" w:cs="Arial"/>
          <w:i/>
        </w:rPr>
        <w:t>SCRM2</w:t>
      </w:r>
      <w:r>
        <w:rPr>
          <w:rFonts w:ascii="Arial" w:hAnsi="Arial" w:cs="Arial"/>
        </w:rPr>
        <w:t xml:space="preserve"> see chapter 3, MacAlister and Bergmann </w:t>
      </w:r>
      <w:r>
        <w:rPr>
          <w:rFonts w:ascii="Arial" w:hAnsi="Arial" w:cs="Arial"/>
        </w:rPr>
        <w:fldChar w:fldCharType="begin"/>
      </w:r>
      <w:r>
        <w:rPr>
          <w:rFonts w:ascii="Arial" w:hAnsi="Arial" w:cs="Arial"/>
        </w:rPr>
        <w:instrText xml:space="preserve"> ADDIN EN.CITE &lt;EndNote&gt;&lt;Cite ExcludeAuth="1"&gt;&lt;Author&gt;MacAlister&lt;/Author&gt;&lt;Year&gt;2011&lt;/Year&gt;&lt;IDText&gt;Sequence and function of basic helix-loop-helix proteins required for stomatal development in Arabidopsis are deeply conserved in land plants&lt;/IDText&gt;&lt;DisplayText&gt;(2011)&lt;/DisplayText&gt;&lt;record&gt;&lt;dates&gt;&lt;pub-dates&gt;&lt;date&gt;Mar-Apr&lt;/date&gt;&lt;/pub-dates&gt;&lt;year&gt;2011&lt;/year&gt;&lt;/dates&gt;&lt;keywords&gt;&lt;keyword&gt;TRANSCRIPTION FACTOR FAMILY&lt;/keyword&gt;&lt;keyword&gt;MONOCOT-DICOT DIVERGENCE&lt;/keyword&gt;&lt;keyword&gt;EVOLUTION&lt;/keyword&gt;&lt;keyword&gt;DIVERSITY&lt;/keyword&gt;&lt;keyword&gt;GENES&lt;/keyword&gt;&lt;keyword&gt;DIFFERENTIATION&lt;/keyword&gt;&lt;keyword&gt;THALIANA&lt;/keyword&gt;&lt;keyword&gt;MUTANTS&lt;/keyword&gt;&lt;keyword&gt;GENOMES&lt;/keyword&gt;&lt;keyword&gt;CASCADE&lt;/keyword&gt;&lt;/keywords&gt;&lt;urls&gt;&lt;related-urls&gt;&lt;url&gt;&amp;lt;Go to ISI&amp;gt;://WOS:000288502600007&lt;/url&gt;&lt;/related-urls&gt;&lt;/urls&gt;&lt;isbn&gt;1520-541X&lt;/isbn&gt;&lt;work-type&gt;Article&lt;/work-type&gt;&lt;titles&gt;&lt;title&gt;Sequence and function of basic helix-loop-helix proteins required for stomatal development in Arabidopsis are deeply conserved in land plants&lt;/title&gt;&lt;secondary-title&gt;Evolution &amp;amp; Development&lt;/secondary-title&gt;&lt;alt-title&gt;Evol. Dev.&lt;/alt-title&gt;&lt;/titles&gt;&lt;pages&gt;182-192&lt;/pages&gt;&lt;number&gt;2&lt;/number&gt;&lt;contributors&gt;&lt;authors&gt;&lt;author&gt;MacAlister, C. A.&lt;/author&gt;&lt;author&gt;Bergmann, D. C.&lt;/author&gt;&lt;/authors&gt;&lt;/contributors&gt;&lt;language&gt;English&lt;/language&gt;&lt;added-date format="utc"&gt;1354083840&lt;/added-date&gt;&lt;ref-type name="Journal Article"&gt;17&lt;/ref-type&gt;&lt;auth-address&gt;[MacAlister, Cora A.&amp;#xD;Bergmann, Dominique C.] Stanford Univ, Dept Biol, Stanford, CA 94305 USA.&amp;#xD;MacAlister, CA (reprint author), Cold Spring Harbor Lab, POB 100, Cold Spring Harbor, NY 11724 USA.&amp;#xD;cmacalis@cshl.edu&lt;/auth-address&gt;&lt;rec-number&gt;61&lt;/rec-number&gt;&lt;last-updated-date format="utc"&gt;1354083840&lt;/last-updated-date&gt;&lt;accession-num&gt;WOS:000288502600007&lt;/accession-num&gt;&lt;electronic-resource-num&gt;10.1111/j.1525-142X.2011.00468.x&lt;/electronic-resource-num&gt;&lt;volume&gt;13&lt;/volume&gt;&lt;/record&gt;&lt;/Cite&gt;&lt;/EndNote&gt;</w:instrText>
      </w:r>
      <w:r>
        <w:rPr>
          <w:rFonts w:ascii="Arial" w:hAnsi="Arial" w:cs="Arial"/>
        </w:rPr>
        <w:fldChar w:fldCharType="separate"/>
      </w:r>
      <w:r>
        <w:rPr>
          <w:rFonts w:ascii="Arial" w:hAnsi="Arial" w:cs="Arial"/>
          <w:noProof/>
        </w:rPr>
        <w:t>(2011)</w:t>
      </w:r>
      <w:r>
        <w:rPr>
          <w:rFonts w:ascii="Arial" w:hAnsi="Arial" w:cs="Arial"/>
        </w:rPr>
        <w:fldChar w:fldCharType="end"/>
      </w:r>
      <w:r>
        <w:rPr>
          <w:rFonts w:ascii="Arial" w:hAnsi="Arial" w:cs="Arial"/>
        </w:rPr>
        <w:t xml:space="preserve"> and Chater et al. </w:t>
      </w:r>
      <w:r>
        <w:rPr>
          <w:rFonts w:ascii="Arial" w:hAnsi="Arial" w:cs="Arial"/>
        </w:rPr>
        <w:fldChar w:fldCharType="begin"/>
      </w:r>
      <w:r>
        <w:rPr>
          <w:rFonts w:ascii="Arial" w:hAnsi="Arial" w:cs="Arial"/>
        </w:rPr>
        <w:instrText xml:space="preserve"> ADDIN EN.CITE &lt;EndNote&gt;&lt;Cite ExcludeAuth="1"&gt;&lt;Author&gt;Chater&lt;/Author&gt;&lt;Year&gt;2016&lt;/Year&gt;&lt;IDText&gt;Origin and function of stomata in the moss Physcomitrella patens&lt;/IDText&gt;&lt;DisplayText&gt;(2016)&lt;/DisplayText&gt;&lt;record&gt;&lt;dates&gt;&lt;pub-dates&gt;&lt;date&gt;2016 Nov&lt;/date&gt;&lt;/pub-dates&gt;&lt;year&gt;2016&lt;/year&gt;&lt;/dates&gt;&lt;urls&gt;&lt;related-urls&gt;&lt;url&gt;&amp;lt;Go to ISI&amp;gt;://MEDLINE:27892923&lt;/url&gt;&lt;/related-urls&gt;&lt;/urls&gt;&lt;titles&gt;&lt;title&gt;Origin and function of stomata in the moss Physcomitrella patens&lt;/title&gt;&lt;secondary-title&gt;Nature plants&lt;/secondary-title&gt;&lt;/titles&gt;&lt;pages&gt;16179-16179&lt;/pages&gt;&lt;contributors&gt;&lt;authors&gt;&lt;author&gt;Chater, Caspar C.&lt;/author&gt;&lt;author&gt;Caine, Robert S.&lt;/author&gt;&lt;author&gt;Tomek, Marta&lt;/author&gt;&lt;author&gt;Wallace, Simon&lt;/author&gt;&lt;author&gt;Kamisugi, Yasuko&lt;/author&gt;&lt;author&gt;Cuming, Andrew C.&lt;/author&gt;&lt;author&gt;Lang, Daniel&lt;/author&gt;&lt;author&gt;MacAlister, Cora A.&lt;/author&gt;&lt;author&gt;Casson, Stuart&lt;/author&gt;&lt;author&gt;Bergmann, Dominique C.&lt;/author&gt;&lt;author&gt;Decker, Eva L.&lt;/author&gt;&lt;author&gt;Frank, Wolfgang&lt;/author&gt;&lt;author&gt;Gray, Julie E.&lt;/author&gt;&lt;author&gt;Fleming, Andrew&lt;/author&gt;&lt;author&gt;Reski, Ralf&lt;/author&gt;&lt;author&gt;Beerling, David J.&lt;/author&gt;&lt;/authors&gt;&lt;/contributors&gt;&lt;added-date format="utc"&gt;1485254994&lt;/added-date&gt;&lt;ref-type name="Journal Article"&gt;17&lt;/ref-type&gt;&lt;rec-number&gt;1346&lt;/rec-number&gt;&lt;last-updated-date format="utc"&gt;1485254994&lt;/last-updated-date&gt;&lt;accession-num&gt;MEDLINE:27892923&lt;/accession-num&gt;&lt;electronic-resource-num&gt;10.1038/nplants.2016.179&lt;/electronic-resource-num&gt;&lt;volume&gt;2&lt;/volume&gt;&lt;/record&gt;&lt;/Cite&gt;&lt;/EndNote&gt;</w:instrText>
      </w:r>
      <w:r>
        <w:rPr>
          <w:rFonts w:ascii="Arial" w:hAnsi="Arial" w:cs="Arial"/>
        </w:rPr>
        <w:fldChar w:fldCharType="separate"/>
      </w:r>
      <w:r>
        <w:rPr>
          <w:rFonts w:ascii="Arial" w:hAnsi="Arial" w:cs="Arial"/>
          <w:noProof/>
        </w:rPr>
        <w:t>(2016)</w:t>
      </w:r>
      <w:r>
        <w:rPr>
          <w:rFonts w:ascii="Arial" w:hAnsi="Arial" w:cs="Arial"/>
        </w:rPr>
        <w:fldChar w:fldCharType="end"/>
      </w:r>
      <w:r>
        <w:rPr>
          <w:rFonts w:ascii="Arial" w:hAnsi="Arial" w:cs="Arial"/>
        </w:rPr>
        <w:t xml:space="preserve">. For an in-depth phylogenetic analyses relating to members of the </w:t>
      </w:r>
      <w:r w:rsidRPr="00256D50">
        <w:rPr>
          <w:rFonts w:ascii="Arial" w:hAnsi="Arial" w:cs="Arial"/>
          <w:i/>
        </w:rPr>
        <w:t>ERECTA</w:t>
      </w:r>
      <w:r>
        <w:rPr>
          <w:rFonts w:ascii="Arial" w:hAnsi="Arial" w:cs="Arial"/>
        </w:rPr>
        <w:t>,</w:t>
      </w:r>
      <w:r>
        <w:rPr>
          <w:rFonts w:ascii="Arial" w:hAnsi="Arial" w:cs="Arial"/>
          <w:i/>
        </w:rPr>
        <w:t xml:space="preserve"> </w:t>
      </w:r>
      <w:r w:rsidRPr="00256D50">
        <w:rPr>
          <w:rFonts w:ascii="Arial" w:hAnsi="Arial" w:cs="Arial"/>
          <w:i/>
        </w:rPr>
        <w:t>TMM</w:t>
      </w:r>
      <w:r>
        <w:rPr>
          <w:rFonts w:ascii="Arial" w:hAnsi="Arial" w:cs="Arial"/>
          <w:i/>
        </w:rPr>
        <w:t xml:space="preserve"> </w:t>
      </w:r>
      <w:r w:rsidRPr="00256D50">
        <w:rPr>
          <w:rFonts w:ascii="Arial" w:hAnsi="Arial" w:cs="Arial"/>
        </w:rPr>
        <w:t>and</w:t>
      </w:r>
      <w:r>
        <w:rPr>
          <w:rFonts w:ascii="Arial" w:hAnsi="Arial" w:cs="Arial"/>
          <w:i/>
        </w:rPr>
        <w:t xml:space="preserve"> EPF/</w:t>
      </w:r>
      <w:r w:rsidRPr="00256D50">
        <w:rPr>
          <w:rFonts w:ascii="Arial" w:hAnsi="Arial" w:cs="Arial"/>
        </w:rPr>
        <w:t>L</w:t>
      </w:r>
      <w:r>
        <w:rPr>
          <w:rFonts w:ascii="Arial" w:hAnsi="Arial" w:cs="Arial"/>
        </w:rPr>
        <w:t xml:space="preserve"> gene families s</w:t>
      </w:r>
      <w:r w:rsidRPr="00256D50">
        <w:rPr>
          <w:rFonts w:ascii="Arial" w:hAnsi="Arial" w:cs="Arial"/>
        </w:rPr>
        <w:t>ee</w:t>
      </w:r>
      <w:r>
        <w:rPr>
          <w:rFonts w:ascii="Arial" w:hAnsi="Arial" w:cs="Arial"/>
        </w:rPr>
        <w:t xml:space="preserve"> chapter 4 and the following references: Villagarcia et al</w:t>
      </w:r>
      <w:r>
        <w:rPr>
          <w:rFonts w:ascii="Arial" w:hAnsi="Arial" w:cs="Arial"/>
        </w:rPr>
        <w:fldChar w:fldCharType="begin"/>
      </w:r>
      <w:r>
        <w:rPr>
          <w:rFonts w:ascii="Arial" w:hAnsi="Arial" w:cs="Arial"/>
        </w:rPr>
        <w:instrText xml:space="preserve"> ADDIN EN.CITE &lt;EndNote&gt;&lt;Cite ExcludeAuth="1"&gt;&lt;Author&gt;Villagarcia&lt;/Author&gt;&lt;Year&gt;2012&lt;/Year&gt;&lt;IDText&gt;Modification of tomato growth by expression of truncated ERECTA protein from Arabidopsis thaliana&lt;/IDText&gt;&lt;DisplayText&gt;(2012)&lt;/DisplayText&gt;&lt;record&gt;&lt;dates&gt;&lt;pub-dates&gt;&lt;date&gt;2012 Nov (Epub 2012 Oct&lt;/date&gt;&lt;/pub-dates&gt;&lt;year&gt;2012&lt;/year&gt;&lt;/dates&gt;&lt;keywords&gt;&lt;keyword&gt;Index Medicus&lt;/keyword&gt;&lt;/keywords&gt;&lt;urls&gt;&lt;related-urls&gt;&lt;url&gt;&amp;lt;Go to ISI&amp;gt;://MEDLINE:23096000&lt;/url&gt;&lt;/related-urls&gt;&lt;/urls&gt;&lt;isbn&gt;1460-2431&lt;/isbn&gt;&lt;titles&gt;&lt;title&gt;Modification of tomato growth by expression of truncated ERECTA protein from Arabidopsis thaliana&lt;/title&gt;&lt;secondary-title&gt;Journal of experimental botany&lt;/secondary-title&gt;&lt;/titles&gt;&lt;pages&gt;6493-504&lt;/pages&gt;&lt;number&gt;18&lt;/number&gt;&lt;contributors&gt;&lt;authors&gt;&lt;author&gt;Villagarcia, Hector&lt;/author&gt;&lt;author&gt;Morin, Anne-Claire&lt;/author&gt;&lt;author&gt;Shpak, Elena D.&lt;/author&gt;&lt;author&gt;Khodakovskaya, Mariya V.&lt;/author&gt;&lt;/authors&gt;&lt;/contributors&gt;&lt;language&gt;English&lt;/language&gt;&lt;added-date format="utc"&gt;1354703707&lt;/added-date&gt;&lt;ref-type name="Journal Article"&gt;17&lt;/ref-type&gt;&lt;auth-address&gt;Department of Applied Science, University of Arkansas at Little Rock, Little Rock, AR 72204, USA.&lt;/auth-address&gt;&lt;rec-number&gt;94&lt;/rec-number&gt;&lt;last-updated-date format="utc"&gt;1354703707&lt;/last-updated-date&gt;&lt;accession-num&gt;MEDLINE:23096000&lt;/accession-num&gt;&lt;electronic-resource-num&gt;10.1093/jxb/ers305&lt;/electronic-resource-num&gt;&lt;volume&gt;63&lt;/volume&gt;&lt;/record&gt;&lt;/Cite&gt;&lt;/EndNote&gt;</w:instrText>
      </w:r>
      <w:r>
        <w:rPr>
          <w:rFonts w:ascii="Arial" w:hAnsi="Arial" w:cs="Arial"/>
        </w:rPr>
        <w:fldChar w:fldCharType="separate"/>
      </w:r>
      <w:r>
        <w:rPr>
          <w:rFonts w:ascii="Arial" w:hAnsi="Arial" w:cs="Arial"/>
          <w:noProof/>
        </w:rPr>
        <w:t>(2012)</w:t>
      </w:r>
      <w:r>
        <w:rPr>
          <w:rFonts w:ascii="Arial" w:hAnsi="Arial" w:cs="Arial"/>
        </w:rPr>
        <w:fldChar w:fldCharType="end"/>
      </w:r>
      <w:r>
        <w:rPr>
          <w:rFonts w:ascii="Arial" w:hAnsi="Arial" w:cs="Arial"/>
        </w:rPr>
        <w:t xml:space="preserve">,  Peterson et al. </w:t>
      </w:r>
      <w:r>
        <w:rPr>
          <w:rFonts w:ascii="Arial" w:hAnsi="Arial" w:cs="Arial"/>
        </w:rPr>
        <w:fldChar w:fldCharType="begin"/>
      </w:r>
      <w:r>
        <w:rPr>
          <w:rFonts w:ascii="Arial" w:hAnsi="Arial" w:cs="Arial"/>
        </w:rPr>
        <w:instrText xml:space="preserve"> ADDIN EN.CITE &lt;EndNote&gt;&lt;Cite ExcludeAuth="1"&gt;&lt;Author&gt;Peterson&lt;/Author&gt;&lt;Year&gt;2010&lt;/Year&gt;&lt;IDText&gt;Out of the Mouths of Plants: The Molecular Basis of the Evolution and Diversity of Stomatal Development&lt;/IDText&gt;&lt;DisplayText&gt;(2010)&lt;/DisplayText&gt;&lt;record&gt;&lt;dates&gt;&lt;pub-dates&gt;&lt;date&gt;Feb&lt;/date&gt;&lt;/pub-dates&gt;&lt;year&gt;2010&lt;/year&gt;&lt;/dates&gt;&lt;keywords&gt;&lt;keyword&gt;ASYMMETRIC CELL-DIVISION&lt;/keyword&gt;&lt;keyword&gt;ACTIVATED PROTEIN-KINASES&lt;/keyword&gt;&lt;keyword&gt;RECEPTOR-LIKE&lt;/keyword&gt;&lt;keyword&gt;KINASES&lt;/keyword&gt;&lt;keyword&gt;EARLY LAND PLANTS&lt;/keyword&gt;&lt;keyword&gt;ARABIDOPSIS-THALIANA&lt;/keyword&gt;&lt;keyword&gt;MEDIATED REGULATION&lt;/keyword&gt;&lt;keyword&gt;SECRETORY PEPTIDE&lt;/keyword&gt;&lt;keyword&gt;MAPKK KINASE&lt;/keyword&gt;&lt;keyword&gt;DIFFERENTIATION&lt;/keyword&gt;&lt;keyword&gt;DENSITY&lt;/keyword&gt;&lt;/keywords&gt;&lt;urls&gt;&lt;related-urls&gt;&lt;url&gt;&amp;lt;Go to ISI&amp;gt;://WOS:000275926200004&lt;/url&gt;&lt;/related-urls&gt;&lt;/urls&gt;&lt;isbn&gt;1040-4651&lt;/isbn&gt;&lt;work-type&gt;Review&lt;/work-type&gt;&lt;titles&gt;&lt;title&gt;Out of the Mouths of Plants: The Molecular Basis of the Evolution and Diversity of Stomatal Development&lt;/title&gt;&lt;secondary-title&gt;Plant Cell&lt;/secondary-title&gt;&lt;alt-title&gt;Plant Cell&lt;/alt-title&gt;&lt;/titles&gt;&lt;pages&gt;296-306&lt;/pages&gt;&lt;number&gt;2&lt;/number&gt;&lt;contributors&gt;&lt;authors&gt;&lt;author&gt;Peterson, K. M.&lt;/author&gt;&lt;author&gt;Rychel, A. L.&lt;/author&gt;&lt;author&gt;Torii, K. U.&lt;/author&gt;&lt;/authors&gt;&lt;/contributors&gt;&lt;language&gt;English&lt;/language&gt;&lt;added-date format="utc"&gt;1354439861&lt;/added-date&gt;&lt;ref-type name="Journal Article"&gt;17&lt;/ref-type&gt;&lt;auth-address&gt;[Peterson, Kylee M.&amp;#xD;Rychel, Amanda L.&amp;#xD;Torii, Keiko U.] Univ Washington, Dept Biol, Seattle, WA 98195 USA. [Torii, Keiko U.] Japan Sci &amp;amp; Technol Agcy, PREST, Tokyo 1020075, Japan.&amp;#xD;Torii, KU (reprint author), Univ Washington, Dept Biol, Seattle, WA 98195 USA.&amp;#xD;ktorii@u.washington.edu&lt;/auth-address&gt;&lt;rec-number&gt;82&lt;/rec-number&gt;&lt;last-updated-date format="utc"&gt;1354439861&lt;/last-updated-date&gt;&lt;accession-num&gt;WOS:000275926200004&lt;/accession-num&gt;&lt;electronic-resource-num&gt;10.1105/tpc.109.072777&lt;/electronic-resource-num&gt;&lt;volume&gt;22&lt;/volume&gt;&lt;/record&gt;&lt;/Cite&gt;&lt;/EndNote&gt;</w:instrText>
      </w:r>
      <w:r>
        <w:rPr>
          <w:rFonts w:ascii="Arial" w:hAnsi="Arial" w:cs="Arial"/>
        </w:rPr>
        <w:fldChar w:fldCharType="separate"/>
      </w:r>
      <w:r>
        <w:rPr>
          <w:rFonts w:ascii="Arial" w:hAnsi="Arial" w:cs="Arial"/>
          <w:noProof/>
        </w:rPr>
        <w:t>(2010)</w:t>
      </w:r>
      <w:r>
        <w:rPr>
          <w:rFonts w:ascii="Arial" w:hAnsi="Arial" w:cs="Arial"/>
        </w:rPr>
        <w:fldChar w:fldCharType="end"/>
      </w:r>
      <w:r>
        <w:rPr>
          <w:rFonts w:ascii="Arial" w:hAnsi="Arial" w:cs="Arial"/>
        </w:rPr>
        <w:t xml:space="preserve"> Takata et al. </w:t>
      </w:r>
      <w:r>
        <w:rPr>
          <w:rFonts w:ascii="Arial" w:hAnsi="Arial" w:cs="Arial"/>
        </w:rPr>
        <w:fldChar w:fldCharType="begin"/>
      </w:r>
      <w:r>
        <w:rPr>
          <w:rFonts w:ascii="Arial" w:hAnsi="Arial" w:cs="Arial"/>
        </w:rPr>
        <w:instrText xml:space="preserve"> ADDIN EN.CITE &lt;EndNote&gt;&lt;Cite ExcludeAuth="1"&gt;&lt;Author&gt;Takata&lt;/Author&gt;&lt;Year&gt;2013&lt;/Year&gt;&lt;IDText&gt;Evolutionary Relationship and Structural Characterization of the EPF/EPFL Gene Family&lt;/IDText&gt;&lt;DisplayText&gt;(2013)&lt;/DisplayText&gt;&lt;record&gt;&lt;dates&gt;&lt;pub-dates&gt;&lt;date&gt;06/03&amp;#xD;12/28/received&amp;#xD;04/24/accepted&lt;/date&gt;&lt;/pub-dates&gt;&lt;year&gt;2013&lt;/year&gt;&lt;/dates&gt;&lt;urls&gt;&lt;related-urls&gt;&lt;url&gt;http://www.ncbi.nlm.nih.gov/pmc/articles/PMC3670920/&lt;/url&gt;&lt;/related-urls&gt;&lt;/urls&gt;&lt;isbn&gt;1932-6203&lt;/isbn&gt;&lt;titles&gt;&lt;title&gt;Evolutionary Relationship and Structural Characterization of the EPF/EPFL Gene Family&lt;/title&gt;&lt;secondary-title&gt;PLoS ONE&lt;/secondary-title&gt;&lt;/titles&gt;&lt;pages&gt;e65183&lt;/pages&gt;&lt;number&gt;6&lt;/number&gt;&lt;contributors&gt;&lt;authors&gt;&lt;author&gt;Takata, Naoki&lt;/author&gt;&lt;author&gt;Yokota, Kiyonobu&lt;/author&gt;&lt;author&gt;Ohki, Shinya&lt;/author&gt;&lt;author&gt;Mori, Masashi&lt;/author&gt;&lt;author&gt;Taniguchi, Toru&lt;/author&gt;&lt;author&gt;Kurita, Manabu&lt;/author&gt;&lt;/authors&gt;&lt;/contributors&gt;&lt;added-date format="utc"&gt;1451494706&lt;/added-date&gt;&lt;pub-location&gt;San Francisco, USA&lt;/pub-location&gt;&lt;ref-type name="Journal Article"&gt;17&lt;/ref-type&gt;&lt;rec-number&gt;217&lt;/rec-number&gt;&lt;publisher&gt;Public Library of Science&lt;/publisher&gt;&lt;last-updated-date format="utc"&gt;1451494706&lt;/last-updated-date&gt;&lt;accession-num&gt;PMC3670920&lt;/accession-num&gt;&lt;electronic-resource-num&gt;10.1371/journal.pone.0065183&lt;/electronic-resource-num&gt;&lt;volume&gt;8&lt;/volume&gt;&lt;remote-database-name&gt;PMC&lt;/remote-database-name&gt;&lt;/record&gt;&lt;/Cite&gt;&lt;/EndNote&gt;</w:instrText>
      </w:r>
      <w:r>
        <w:rPr>
          <w:rFonts w:ascii="Arial" w:hAnsi="Arial" w:cs="Arial"/>
        </w:rPr>
        <w:fldChar w:fldCharType="separate"/>
      </w:r>
      <w:r>
        <w:rPr>
          <w:rFonts w:ascii="Arial" w:hAnsi="Arial" w:cs="Arial"/>
          <w:noProof/>
        </w:rPr>
        <w:t>(2013)</w:t>
      </w:r>
      <w:r>
        <w:rPr>
          <w:rFonts w:ascii="Arial" w:hAnsi="Arial" w:cs="Arial"/>
        </w:rPr>
        <w:fldChar w:fldCharType="end"/>
      </w:r>
      <w:r>
        <w:rPr>
          <w:rFonts w:ascii="Arial" w:hAnsi="Arial" w:cs="Arial"/>
        </w:rPr>
        <w:t xml:space="preserve"> and Caine et al. </w:t>
      </w:r>
      <w:r>
        <w:rPr>
          <w:rFonts w:ascii="Arial" w:hAnsi="Arial" w:cs="Arial"/>
        </w:rPr>
        <w:fldChar w:fldCharType="begin"/>
      </w:r>
      <w:r w:rsidR="00DA38AC">
        <w:rPr>
          <w:rFonts w:ascii="Arial" w:hAnsi="Arial" w:cs="Arial"/>
        </w:rPr>
        <w:instrText xml:space="preserve"> ADDIN EN.CITE &lt;EndNote&gt;&lt;Cite ExcludeAuth="1"&gt;&lt;Author&gt;Caine&lt;/Author&gt;&lt;Year&gt;2016&lt;/Year&gt;&lt;IDText&gt;An ancestral stomatal patterning module revealed in the non-vascular land plant Physcomitrella patens&lt;/IDText&gt;&lt;DisplayText&gt;(2016)&lt;/DisplayText&gt;&lt;record&gt;&lt;urls&gt;&lt;related-urls&gt;&lt;url&gt;http://dev.biologists.org/content/early/2016/06/09/dev.135038.abstract&lt;/url&gt;&lt;/related-urls&gt;&lt;/urls&gt;&lt;work-type&gt;10.1242/dev.135038&lt;/work-type&gt;&lt;titles&gt;&lt;title&gt;An ancestral stomatal patterning module revealed in the non-vascular land plant Physcomitrella patens&lt;/title&gt;&lt;secondary-title&gt;Development&lt;/secondary-title&gt;&lt;/titles&gt;&lt;contributors&gt;&lt;authors&gt;&lt;author&gt;Caine, Robert&lt;/author&gt;&lt;author&gt;Chater, Caspar C.&lt;/author&gt;&lt;author&gt;Kamisugi, Yasuko&lt;/author&gt;&lt;author&gt;Cuming, Andrew C.&lt;/author&gt;&lt;author&gt;Beerling, David J.&lt;/author&gt;&lt;author&gt;Gray, Julie E.&lt;/author&gt;&lt;author&gt;Fleming, Andrew J.&lt;/author&gt;&lt;/authors&gt;&lt;/contributors&gt;&lt;added-date format="utc"&gt;1468852925&lt;/added-date&gt;&lt;ref-type name="Journal Article"&gt;17&lt;/ref-type&gt;&lt;dates&gt;&lt;year&gt;2016&lt;/year&gt;&lt;/dates&gt;&lt;rec-number&gt;1317&lt;/rec-number&gt;&lt;last-updated-date format="utc"&gt;1468852925&lt;/last-updated-date&gt;&lt;/record&gt;&lt;/Cite&gt;&lt;/EndNote&gt;</w:instrText>
      </w:r>
      <w:r>
        <w:rPr>
          <w:rFonts w:ascii="Arial" w:hAnsi="Arial" w:cs="Arial"/>
        </w:rPr>
        <w:fldChar w:fldCharType="separate"/>
      </w:r>
      <w:r w:rsidR="00DA38AC">
        <w:rPr>
          <w:rFonts w:ascii="Arial" w:hAnsi="Arial" w:cs="Arial"/>
          <w:noProof/>
        </w:rPr>
        <w:t>(2016)</w:t>
      </w:r>
      <w:r>
        <w:rPr>
          <w:rFonts w:ascii="Arial" w:hAnsi="Arial" w:cs="Arial"/>
        </w:rPr>
        <w:fldChar w:fldCharType="end"/>
      </w:r>
      <w:r>
        <w:rPr>
          <w:rFonts w:ascii="Arial" w:hAnsi="Arial" w:cs="Arial"/>
        </w:rPr>
        <w:t>.</w:t>
      </w:r>
    </w:p>
    <w:tbl>
      <w:tblPr>
        <w:tblStyle w:val="TableGrid"/>
        <w:tblpPr w:leftFromText="180" w:rightFromText="180" w:vertAnchor="text" w:horzAnchor="margin" w:tblpY="136"/>
        <w:tblW w:w="8075" w:type="dxa"/>
        <w:tblLayout w:type="fixed"/>
        <w:tblLook w:val="01A0" w:firstRow="1" w:lastRow="0" w:firstColumn="1" w:lastColumn="1" w:noHBand="0" w:noVBand="0"/>
      </w:tblPr>
      <w:tblGrid>
        <w:gridCol w:w="1271"/>
        <w:gridCol w:w="1276"/>
        <w:gridCol w:w="1276"/>
        <w:gridCol w:w="708"/>
        <w:gridCol w:w="993"/>
        <w:gridCol w:w="1275"/>
        <w:gridCol w:w="1276"/>
      </w:tblGrid>
      <w:tr w:rsidR="00311AE8" w:rsidRPr="00F331D2" w14:paraId="14E9B0EE" w14:textId="77777777" w:rsidTr="00D431D5">
        <w:trPr>
          <w:trHeight w:val="484"/>
        </w:trPr>
        <w:tc>
          <w:tcPr>
            <w:tcW w:w="1271" w:type="dxa"/>
          </w:tcPr>
          <w:p w14:paraId="020B1575" w14:textId="77777777" w:rsidR="00311AE8" w:rsidRPr="002B3CC2" w:rsidRDefault="00311AE8" w:rsidP="00D431D5">
            <w:pPr>
              <w:rPr>
                <w:rFonts w:eastAsia="Times New Roman" w:cs="Calibri"/>
                <w:b/>
                <w:bCs/>
                <w:color w:val="000000"/>
                <w:sz w:val="20"/>
                <w:szCs w:val="20"/>
                <w:lang w:eastAsia="ja-JP"/>
              </w:rPr>
            </w:pPr>
            <w:r w:rsidRPr="002B3CC2">
              <w:rPr>
                <w:rFonts w:eastAsia="Times New Roman" w:cs="Calibri"/>
                <w:b/>
                <w:bCs/>
                <w:color w:val="000000"/>
                <w:sz w:val="20"/>
                <w:szCs w:val="20"/>
                <w:lang w:eastAsia="ja-JP"/>
              </w:rPr>
              <w:t>Gene</w:t>
            </w:r>
          </w:p>
        </w:tc>
        <w:tc>
          <w:tcPr>
            <w:tcW w:w="1276" w:type="dxa"/>
          </w:tcPr>
          <w:p w14:paraId="7E42D243" w14:textId="77777777" w:rsidR="00311AE8" w:rsidRPr="00F331D2" w:rsidRDefault="00311AE8" w:rsidP="00D431D5">
            <w:pPr>
              <w:rPr>
                <w:rFonts w:eastAsia="Times New Roman" w:cs="Calibri"/>
                <w:b/>
                <w:bCs/>
                <w:color w:val="000000"/>
                <w:sz w:val="20"/>
                <w:szCs w:val="20"/>
                <w:lang w:eastAsia="ja-JP"/>
              </w:rPr>
            </w:pPr>
            <w:r>
              <w:rPr>
                <w:rFonts w:eastAsia="Times New Roman" w:cs="Calibri"/>
                <w:b/>
                <w:bCs/>
                <w:i/>
                <w:color w:val="000000"/>
                <w:sz w:val="20"/>
                <w:szCs w:val="20"/>
                <w:lang w:eastAsia="ja-JP"/>
              </w:rPr>
              <w:t>A. thaliana</w:t>
            </w:r>
            <w:r w:rsidRPr="00F331D2">
              <w:rPr>
                <w:rFonts w:eastAsia="Times New Roman" w:cs="Calibri"/>
                <w:b/>
                <w:bCs/>
                <w:color w:val="000000"/>
                <w:sz w:val="20"/>
                <w:szCs w:val="20"/>
                <w:lang w:eastAsia="ja-JP"/>
              </w:rPr>
              <w:t xml:space="preserve"> accession</w:t>
            </w:r>
          </w:p>
        </w:tc>
        <w:tc>
          <w:tcPr>
            <w:tcW w:w="1276" w:type="dxa"/>
          </w:tcPr>
          <w:p w14:paraId="64894D59" w14:textId="77777777" w:rsidR="00311AE8" w:rsidRPr="00F331D2" w:rsidRDefault="00311AE8" w:rsidP="00D431D5">
            <w:pPr>
              <w:rPr>
                <w:rFonts w:eastAsia="Times New Roman" w:cs="Calibri"/>
                <w:b/>
                <w:bCs/>
                <w:color w:val="000000"/>
                <w:sz w:val="20"/>
                <w:szCs w:val="20"/>
                <w:lang w:eastAsia="ja-JP"/>
              </w:rPr>
            </w:pPr>
            <w:r>
              <w:rPr>
                <w:rFonts w:eastAsia="Times New Roman" w:cs="Calibri"/>
                <w:b/>
                <w:bCs/>
                <w:iCs/>
                <w:color w:val="000000"/>
                <w:sz w:val="20"/>
                <w:szCs w:val="20"/>
                <w:lang w:eastAsia="ja-JP"/>
              </w:rPr>
              <w:t xml:space="preserve">Highest </w:t>
            </w:r>
            <w:r w:rsidRPr="00F331D2">
              <w:rPr>
                <w:rFonts w:eastAsia="Times New Roman" w:cs="Calibri"/>
                <w:b/>
                <w:bCs/>
                <w:i/>
                <w:iCs/>
                <w:color w:val="000000"/>
                <w:sz w:val="20"/>
                <w:szCs w:val="20"/>
                <w:lang w:eastAsia="ja-JP"/>
              </w:rPr>
              <w:t xml:space="preserve">P. patens </w:t>
            </w:r>
            <w:r>
              <w:rPr>
                <w:rFonts w:eastAsia="Times New Roman" w:cs="Calibri"/>
                <w:b/>
                <w:bCs/>
                <w:iCs/>
                <w:color w:val="000000"/>
                <w:sz w:val="20"/>
                <w:szCs w:val="20"/>
                <w:lang w:eastAsia="ja-JP"/>
              </w:rPr>
              <w:t xml:space="preserve">blast score </w:t>
            </w:r>
            <w:r w:rsidRPr="00F331D2">
              <w:rPr>
                <w:rFonts w:eastAsia="Times New Roman" w:cs="Calibri"/>
                <w:b/>
                <w:bCs/>
                <w:color w:val="000000"/>
                <w:sz w:val="20"/>
                <w:szCs w:val="20"/>
                <w:lang w:eastAsia="ja-JP"/>
              </w:rPr>
              <w:t>accession</w:t>
            </w:r>
            <w:r>
              <w:rPr>
                <w:rFonts w:eastAsia="Times New Roman" w:cs="Calibri"/>
                <w:b/>
                <w:bCs/>
                <w:color w:val="000000"/>
                <w:sz w:val="20"/>
                <w:szCs w:val="20"/>
                <w:lang w:eastAsia="ja-JP"/>
              </w:rPr>
              <w:t xml:space="preserve"> ID</w:t>
            </w:r>
          </w:p>
        </w:tc>
        <w:tc>
          <w:tcPr>
            <w:tcW w:w="708" w:type="dxa"/>
          </w:tcPr>
          <w:p w14:paraId="02694D97" w14:textId="77777777" w:rsidR="00311AE8" w:rsidRPr="00F331D2" w:rsidRDefault="00311AE8" w:rsidP="00D431D5">
            <w:pPr>
              <w:rPr>
                <w:rFonts w:eastAsia="Times New Roman" w:cs="Calibri"/>
                <w:b/>
                <w:bCs/>
                <w:color w:val="000000"/>
                <w:sz w:val="20"/>
                <w:szCs w:val="20"/>
                <w:lang w:eastAsia="ja-JP"/>
              </w:rPr>
            </w:pPr>
            <w:r w:rsidRPr="00F331D2">
              <w:rPr>
                <w:rFonts w:eastAsia="Times New Roman" w:cs="Calibri"/>
                <w:b/>
                <w:bCs/>
                <w:color w:val="000000"/>
                <w:sz w:val="20"/>
                <w:szCs w:val="20"/>
                <w:lang w:eastAsia="ja-JP"/>
              </w:rPr>
              <w:t>Blast score</w:t>
            </w:r>
          </w:p>
        </w:tc>
        <w:tc>
          <w:tcPr>
            <w:tcW w:w="993" w:type="dxa"/>
          </w:tcPr>
          <w:p w14:paraId="1CD24FCE" w14:textId="77777777" w:rsidR="00311AE8" w:rsidRPr="00F331D2" w:rsidRDefault="00311AE8" w:rsidP="00D431D5">
            <w:pPr>
              <w:rPr>
                <w:rFonts w:eastAsia="Times New Roman" w:cs="Calibri"/>
                <w:b/>
                <w:bCs/>
                <w:color w:val="000000"/>
                <w:sz w:val="20"/>
                <w:szCs w:val="20"/>
                <w:lang w:eastAsia="ja-JP"/>
              </w:rPr>
            </w:pPr>
            <w:r w:rsidRPr="00F331D2">
              <w:rPr>
                <w:rFonts w:eastAsia="Times New Roman" w:cs="Calibri"/>
                <w:b/>
                <w:bCs/>
                <w:color w:val="000000"/>
                <w:sz w:val="20"/>
                <w:szCs w:val="20"/>
                <w:lang w:eastAsia="ja-JP"/>
              </w:rPr>
              <w:t>Blast % similarity</w:t>
            </w:r>
          </w:p>
        </w:tc>
        <w:tc>
          <w:tcPr>
            <w:tcW w:w="1275" w:type="dxa"/>
          </w:tcPr>
          <w:p w14:paraId="4B4C6349" w14:textId="77777777" w:rsidR="00311AE8" w:rsidRDefault="00311AE8" w:rsidP="00D431D5">
            <w:pPr>
              <w:rPr>
                <w:rFonts w:eastAsia="Times New Roman" w:cs="Calibri"/>
                <w:b/>
                <w:bCs/>
                <w:color w:val="000000"/>
                <w:sz w:val="20"/>
                <w:szCs w:val="20"/>
                <w:lang w:eastAsia="ja-JP"/>
              </w:rPr>
            </w:pPr>
            <w:r>
              <w:rPr>
                <w:rFonts w:eastAsia="Times New Roman" w:cs="Calibri"/>
                <w:b/>
                <w:bCs/>
                <w:color w:val="000000"/>
                <w:sz w:val="20"/>
                <w:szCs w:val="20"/>
                <w:lang w:eastAsia="ja-JP"/>
              </w:rPr>
              <w:t>Phytozome</w:t>
            </w:r>
          </w:p>
          <w:p w14:paraId="4C89C302" w14:textId="77777777" w:rsidR="00311AE8" w:rsidRPr="002B3CC2" w:rsidRDefault="00311AE8" w:rsidP="00D431D5">
            <w:pPr>
              <w:rPr>
                <w:rFonts w:eastAsia="Times New Roman" w:cs="Calibri"/>
                <w:b/>
                <w:bCs/>
                <w:i/>
                <w:color w:val="000000"/>
                <w:sz w:val="20"/>
                <w:szCs w:val="20"/>
                <w:lang w:eastAsia="ja-JP"/>
              </w:rPr>
            </w:pPr>
            <w:r>
              <w:rPr>
                <w:rFonts w:eastAsia="Times New Roman" w:cs="Calibri"/>
                <w:b/>
                <w:bCs/>
                <w:i/>
                <w:color w:val="000000"/>
                <w:sz w:val="20"/>
                <w:szCs w:val="20"/>
                <w:lang w:eastAsia="ja-JP"/>
              </w:rPr>
              <w:t>P. patens</w:t>
            </w:r>
          </w:p>
          <w:p w14:paraId="5C0AF53F" w14:textId="77777777" w:rsidR="00311AE8" w:rsidRPr="002B3CC2" w:rsidRDefault="00311AE8" w:rsidP="00D431D5">
            <w:pPr>
              <w:rPr>
                <w:rFonts w:eastAsia="Times New Roman" w:cs="Calibri"/>
                <w:b/>
                <w:bCs/>
                <w:color w:val="000000"/>
                <w:sz w:val="20"/>
                <w:szCs w:val="20"/>
                <w:lang w:eastAsia="ja-JP"/>
              </w:rPr>
            </w:pPr>
            <w:r>
              <w:rPr>
                <w:rFonts w:eastAsia="Times New Roman" w:cs="Calibri"/>
                <w:b/>
                <w:bCs/>
                <w:color w:val="000000"/>
                <w:sz w:val="20"/>
                <w:szCs w:val="20"/>
                <w:lang w:eastAsia="ja-JP"/>
              </w:rPr>
              <w:t>protein homologous</w:t>
            </w:r>
          </w:p>
        </w:tc>
        <w:tc>
          <w:tcPr>
            <w:tcW w:w="1276" w:type="dxa"/>
          </w:tcPr>
          <w:p w14:paraId="2B6F63B4" w14:textId="77777777" w:rsidR="00311AE8" w:rsidRPr="002B3CC2" w:rsidRDefault="00311AE8" w:rsidP="00D431D5">
            <w:pPr>
              <w:rPr>
                <w:rFonts w:eastAsia="Times New Roman" w:cs="Calibri"/>
                <w:b/>
                <w:bCs/>
                <w:i/>
                <w:color w:val="000000"/>
                <w:sz w:val="20"/>
                <w:szCs w:val="20"/>
                <w:lang w:eastAsia="ja-JP"/>
              </w:rPr>
            </w:pPr>
            <w:r>
              <w:rPr>
                <w:rFonts w:eastAsia="Times New Roman" w:cs="Calibri"/>
                <w:b/>
                <w:bCs/>
                <w:color w:val="000000"/>
                <w:sz w:val="20"/>
                <w:szCs w:val="20"/>
                <w:lang w:eastAsia="ja-JP"/>
              </w:rPr>
              <w:t xml:space="preserve">Phytozome </w:t>
            </w:r>
            <w:r>
              <w:rPr>
                <w:rFonts w:eastAsia="Times New Roman" w:cs="Calibri"/>
                <w:b/>
                <w:bCs/>
                <w:i/>
                <w:color w:val="000000"/>
                <w:sz w:val="20"/>
                <w:szCs w:val="20"/>
                <w:lang w:eastAsia="ja-JP"/>
              </w:rPr>
              <w:t>P. patens</w:t>
            </w:r>
          </w:p>
          <w:p w14:paraId="6B50C6DB" w14:textId="77777777" w:rsidR="00311AE8" w:rsidRPr="00F331D2" w:rsidRDefault="00311AE8" w:rsidP="00D431D5">
            <w:pPr>
              <w:rPr>
                <w:rFonts w:eastAsia="Times New Roman" w:cs="Calibri"/>
                <w:b/>
                <w:bCs/>
                <w:color w:val="000000"/>
                <w:sz w:val="20"/>
                <w:szCs w:val="20"/>
                <w:lang w:eastAsia="ja-JP"/>
              </w:rPr>
            </w:pPr>
            <w:r w:rsidRPr="00F331D2">
              <w:rPr>
                <w:rFonts w:eastAsia="Times New Roman" w:cs="Calibri"/>
                <w:b/>
                <w:bCs/>
                <w:color w:val="000000"/>
                <w:sz w:val="20"/>
                <w:szCs w:val="20"/>
                <w:lang w:eastAsia="ja-JP"/>
              </w:rPr>
              <w:t>gene family members</w:t>
            </w:r>
          </w:p>
        </w:tc>
      </w:tr>
      <w:tr w:rsidR="00311AE8" w:rsidRPr="00F331D2" w14:paraId="13C6FE97" w14:textId="77777777" w:rsidTr="00D431D5">
        <w:trPr>
          <w:trHeight w:val="421"/>
        </w:trPr>
        <w:tc>
          <w:tcPr>
            <w:tcW w:w="1271" w:type="dxa"/>
          </w:tcPr>
          <w:p w14:paraId="64354731" w14:textId="77777777" w:rsidR="00311AE8" w:rsidRPr="002B3CC2" w:rsidRDefault="00311AE8" w:rsidP="00D431D5">
            <w:pPr>
              <w:rPr>
                <w:rFonts w:eastAsia="Times New Roman" w:cs="Calibri"/>
                <w:b/>
                <w:bCs/>
                <w:color w:val="000000"/>
                <w:sz w:val="20"/>
                <w:szCs w:val="20"/>
                <w:lang w:eastAsia="ja-JP"/>
              </w:rPr>
            </w:pPr>
            <w:r w:rsidRPr="002B3CC2">
              <w:rPr>
                <w:rFonts w:eastAsia="Times New Roman" w:cs="Calibri"/>
                <w:b/>
                <w:bCs/>
                <w:i/>
                <w:color w:val="000000"/>
                <w:sz w:val="20"/>
                <w:szCs w:val="20"/>
                <w:lang w:eastAsia="ja-JP"/>
              </w:rPr>
              <w:t>Epidermal patterning factors</w:t>
            </w:r>
          </w:p>
        </w:tc>
        <w:tc>
          <w:tcPr>
            <w:tcW w:w="1276" w:type="dxa"/>
          </w:tcPr>
          <w:p w14:paraId="6AF90D7F" w14:textId="77777777" w:rsidR="00311AE8" w:rsidRPr="00F331D2" w:rsidRDefault="00311AE8" w:rsidP="00D431D5">
            <w:pPr>
              <w:rPr>
                <w:rFonts w:eastAsia="Times New Roman" w:cs="Calibri"/>
                <w:b/>
                <w:bCs/>
                <w:color w:val="000000"/>
                <w:sz w:val="20"/>
                <w:szCs w:val="20"/>
                <w:lang w:eastAsia="ja-JP"/>
              </w:rPr>
            </w:pPr>
            <w:r w:rsidRPr="00F331D2">
              <w:rPr>
                <w:rFonts w:eastAsia="Times New Roman" w:cs="Calibri"/>
                <w:color w:val="000000"/>
                <w:sz w:val="20"/>
                <w:szCs w:val="20"/>
                <w:lang w:eastAsia="ja-JP"/>
              </w:rPr>
              <w:t> </w:t>
            </w:r>
          </w:p>
        </w:tc>
        <w:tc>
          <w:tcPr>
            <w:tcW w:w="1276" w:type="dxa"/>
          </w:tcPr>
          <w:p w14:paraId="6F87B426"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w:t>
            </w:r>
          </w:p>
        </w:tc>
        <w:tc>
          <w:tcPr>
            <w:tcW w:w="708" w:type="dxa"/>
          </w:tcPr>
          <w:p w14:paraId="44170F1D"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w:t>
            </w:r>
          </w:p>
        </w:tc>
        <w:tc>
          <w:tcPr>
            <w:tcW w:w="993" w:type="dxa"/>
          </w:tcPr>
          <w:p w14:paraId="43ABA85F"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w:t>
            </w:r>
          </w:p>
        </w:tc>
        <w:tc>
          <w:tcPr>
            <w:tcW w:w="1275" w:type="dxa"/>
          </w:tcPr>
          <w:p w14:paraId="2B672060" w14:textId="77777777" w:rsidR="00311AE8" w:rsidRPr="00F331D2" w:rsidRDefault="00311AE8" w:rsidP="00D431D5">
            <w:pPr>
              <w:rPr>
                <w:rFonts w:eastAsia="Times New Roman" w:cs="Calibri"/>
                <w:color w:val="000000"/>
                <w:sz w:val="20"/>
                <w:szCs w:val="20"/>
                <w:lang w:eastAsia="ja-JP"/>
              </w:rPr>
            </w:pPr>
          </w:p>
        </w:tc>
        <w:tc>
          <w:tcPr>
            <w:tcW w:w="1276" w:type="dxa"/>
          </w:tcPr>
          <w:p w14:paraId="2E51D0E0" w14:textId="77777777" w:rsidR="00311AE8" w:rsidRPr="00F331D2" w:rsidRDefault="00311AE8" w:rsidP="00D431D5">
            <w:pPr>
              <w:rPr>
                <w:rFonts w:eastAsia="Times New Roman" w:cs="Calibri"/>
                <w:color w:val="000000"/>
                <w:sz w:val="20"/>
                <w:szCs w:val="20"/>
                <w:lang w:eastAsia="ja-JP"/>
              </w:rPr>
            </w:pPr>
          </w:p>
        </w:tc>
      </w:tr>
      <w:tr w:rsidR="00311AE8" w:rsidRPr="00F331D2" w14:paraId="78EFC64A" w14:textId="77777777" w:rsidTr="00D431D5">
        <w:trPr>
          <w:trHeight w:val="271"/>
        </w:trPr>
        <w:tc>
          <w:tcPr>
            <w:tcW w:w="1271" w:type="dxa"/>
          </w:tcPr>
          <w:p w14:paraId="542198D5"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EPFL9/ STOMAGEN</w:t>
            </w:r>
          </w:p>
        </w:tc>
        <w:tc>
          <w:tcPr>
            <w:tcW w:w="1276" w:type="dxa"/>
          </w:tcPr>
          <w:p w14:paraId="27F10324"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At4g12970</w:t>
            </w:r>
          </w:p>
        </w:tc>
        <w:tc>
          <w:tcPr>
            <w:tcW w:w="1276" w:type="dxa"/>
          </w:tcPr>
          <w:p w14:paraId="641234CC"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No homologous sequences</w:t>
            </w:r>
          </w:p>
        </w:tc>
        <w:tc>
          <w:tcPr>
            <w:tcW w:w="708" w:type="dxa"/>
          </w:tcPr>
          <w:p w14:paraId="29806335"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w:t>
            </w:r>
          </w:p>
        </w:tc>
        <w:tc>
          <w:tcPr>
            <w:tcW w:w="993" w:type="dxa"/>
          </w:tcPr>
          <w:p w14:paraId="3D6AADB7"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w:t>
            </w:r>
          </w:p>
        </w:tc>
        <w:tc>
          <w:tcPr>
            <w:tcW w:w="1275" w:type="dxa"/>
          </w:tcPr>
          <w:p w14:paraId="40970791" w14:textId="77777777" w:rsidR="00311AE8" w:rsidRDefault="00311AE8" w:rsidP="00D431D5">
            <w:pPr>
              <w:rPr>
                <w:rFonts w:eastAsia="Times New Roman" w:cs="Calibri"/>
                <w:color w:val="000000"/>
                <w:sz w:val="20"/>
                <w:szCs w:val="20"/>
                <w:lang w:eastAsia="ja-JP"/>
              </w:rPr>
            </w:pPr>
          </w:p>
          <w:p w14:paraId="7D0A2774" w14:textId="77777777" w:rsidR="00311AE8" w:rsidRDefault="00311AE8" w:rsidP="00D431D5">
            <w:pPr>
              <w:rPr>
                <w:rFonts w:eastAsia="Times New Roman" w:cs="Calibri"/>
                <w:color w:val="000000"/>
                <w:sz w:val="20"/>
                <w:szCs w:val="20"/>
                <w:lang w:eastAsia="ja-JP"/>
              </w:rPr>
            </w:pPr>
          </w:p>
          <w:p w14:paraId="09988EEC"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0</w:t>
            </w:r>
          </w:p>
        </w:tc>
        <w:tc>
          <w:tcPr>
            <w:tcW w:w="1276" w:type="dxa"/>
          </w:tcPr>
          <w:p w14:paraId="3CAF97ED" w14:textId="77777777" w:rsidR="00311AE8" w:rsidRDefault="00311AE8" w:rsidP="00D431D5">
            <w:pPr>
              <w:rPr>
                <w:rFonts w:eastAsia="Times New Roman" w:cs="Calibri"/>
                <w:color w:val="000000"/>
                <w:sz w:val="20"/>
                <w:szCs w:val="20"/>
                <w:lang w:eastAsia="ja-JP"/>
              </w:rPr>
            </w:pPr>
          </w:p>
          <w:p w14:paraId="37642EAC" w14:textId="77777777" w:rsidR="00311AE8" w:rsidRDefault="00311AE8" w:rsidP="00D431D5">
            <w:pPr>
              <w:rPr>
                <w:rFonts w:eastAsia="Times New Roman" w:cs="Calibri"/>
                <w:color w:val="000000"/>
                <w:sz w:val="20"/>
                <w:szCs w:val="20"/>
                <w:lang w:eastAsia="ja-JP"/>
              </w:rPr>
            </w:pPr>
          </w:p>
          <w:p w14:paraId="195F5294"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0</w:t>
            </w:r>
          </w:p>
        </w:tc>
      </w:tr>
      <w:tr w:rsidR="00311AE8" w:rsidRPr="00F331D2" w14:paraId="17FDDA59" w14:textId="77777777" w:rsidTr="00D431D5">
        <w:trPr>
          <w:trHeight w:val="249"/>
        </w:trPr>
        <w:tc>
          <w:tcPr>
            <w:tcW w:w="1271" w:type="dxa"/>
          </w:tcPr>
          <w:p w14:paraId="2196EC83"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EPF2</w:t>
            </w:r>
          </w:p>
        </w:tc>
        <w:tc>
          <w:tcPr>
            <w:tcW w:w="1276" w:type="dxa"/>
          </w:tcPr>
          <w:p w14:paraId="35FC1929"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At1g34245</w:t>
            </w:r>
          </w:p>
        </w:tc>
        <w:tc>
          <w:tcPr>
            <w:tcW w:w="1276" w:type="dxa"/>
            <w:noWrap/>
          </w:tcPr>
          <w:p w14:paraId="235DFCE2" w14:textId="77777777" w:rsidR="00311AE8" w:rsidRPr="00E5501E" w:rsidRDefault="00311AE8" w:rsidP="00D431D5">
            <w:pPr>
              <w:rPr>
                <w:rFonts w:eastAsia="Times New Roman" w:cs="Calibri"/>
                <w:sz w:val="20"/>
                <w:szCs w:val="20"/>
                <w:lang w:eastAsia="ja-JP"/>
              </w:rPr>
            </w:pPr>
            <w:r w:rsidRPr="00F331D2">
              <w:rPr>
                <w:rFonts w:eastAsia="Times New Roman" w:cs="Calibri"/>
                <w:sz w:val="20"/>
                <w:szCs w:val="20"/>
                <w:lang w:eastAsia="ja-JP"/>
              </w:rPr>
              <w:t>Pp3c6_27020V3.1 (</w:t>
            </w:r>
            <w:r w:rsidRPr="002B3CC2">
              <w:rPr>
                <w:rFonts w:eastAsia="Times New Roman" w:cs="Calibri"/>
                <w:i/>
                <w:sz w:val="20"/>
                <w:szCs w:val="20"/>
                <w:lang w:eastAsia="ja-JP"/>
              </w:rPr>
              <w:t>PpEPF1</w:t>
            </w:r>
            <w:r w:rsidRPr="00F331D2">
              <w:rPr>
                <w:rFonts w:eastAsia="Times New Roman" w:cs="Calibri"/>
                <w:sz w:val="20"/>
                <w:szCs w:val="20"/>
                <w:lang w:eastAsia="ja-JP"/>
              </w:rPr>
              <w:t>)</w:t>
            </w:r>
          </w:p>
        </w:tc>
        <w:tc>
          <w:tcPr>
            <w:tcW w:w="708" w:type="dxa"/>
          </w:tcPr>
          <w:p w14:paraId="67BB2C69"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178</w:t>
            </w:r>
          </w:p>
        </w:tc>
        <w:tc>
          <w:tcPr>
            <w:tcW w:w="993" w:type="dxa"/>
          </w:tcPr>
          <w:p w14:paraId="12A3AED6"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29.2%</w:t>
            </w:r>
          </w:p>
        </w:tc>
        <w:tc>
          <w:tcPr>
            <w:tcW w:w="1275" w:type="dxa"/>
          </w:tcPr>
          <w:p w14:paraId="2C76F06E" w14:textId="77777777" w:rsidR="00311AE8" w:rsidRDefault="00311AE8" w:rsidP="00D431D5">
            <w:pPr>
              <w:rPr>
                <w:rFonts w:eastAsia="Times New Roman" w:cs="Calibri"/>
                <w:color w:val="000000"/>
                <w:sz w:val="20"/>
                <w:szCs w:val="20"/>
                <w:lang w:eastAsia="ja-JP"/>
              </w:rPr>
            </w:pPr>
          </w:p>
          <w:p w14:paraId="69F277A3" w14:textId="77777777" w:rsidR="00311AE8" w:rsidRDefault="00311AE8" w:rsidP="00D431D5">
            <w:pPr>
              <w:rPr>
                <w:rFonts w:eastAsia="Times New Roman" w:cs="Calibri"/>
                <w:color w:val="000000"/>
                <w:sz w:val="20"/>
                <w:szCs w:val="20"/>
                <w:lang w:eastAsia="ja-JP"/>
              </w:rPr>
            </w:pPr>
          </w:p>
          <w:p w14:paraId="15E49397"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2</w:t>
            </w:r>
          </w:p>
        </w:tc>
        <w:tc>
          <w:tcPr>
            <w:tcW w:w="1276" w:type="dxa"/>
          </w:tcPr>
          <w:p w14:paraId="7CFEC67E" w14:textId="77777777" w:rsidR="00311AE8" w:rsidRDefault="00311AE8" w:rsidP="00D431D5">
            <w:pPr>
              <w:rPr>
                <w:rFonts w:eastAsia="Times New Roman" w:cs="Calibri"/>
                <w:color w:val="000000"/>
                <w:sz w:val="20"/>
                <w:szCs w:val="20"/>
                <w:lang w:eastAsia="ja-JP"/>
              </w:rPr>
            </w:pPr>
          </w:p>
          <w:p w14:paraId="5511CA48" w14:textId="77777777" w:rsidR="00311AE8" w:rsidRDefault="00311AE8" w:rsidP="00D431D5">
            <w:pPr>
              <w:rPr>
                <w:rFonts w:eastAsia="Times New Roman" w:cs="Calibri"/>
                <w:color w:val="000000"/>
                <w:sz w:val="20"/>
                <w:szCs w:val="20"/>
                <w:lang w:eastAsia="ja-JP"/>
              </w:rPr>
            </w:pPr>
          </w:p>
          <w:p w14:paraId="268A0566"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10</w:t>
            </w:r>
          </w:p>
        </w:tc>
      </w:tr>
      <w:tr w:rsidR="00311AE8" w:rsidRPr="00F331D2" w14:paraId="661364EB" w14:textId="77777777" w:rsidTr="00D431D5">
        <w:trPr>
          <w:trHeight w:val="213"/>
        </w:trPr>
        <w:tc>
          <w:tcPr>
            <w:tcW w:w="1271" w:type="dxa"/>
          </w:tcPr>
          <w:p w14:paraId="00AE35F8"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EPF1</w:t>
            </w:r>
          </w:p>
        </w:tc>
        <w:tc>
          <w:tcPr>
            <w:tcW w:w="1276" w:type="dxa"/>
          </w:tcPr>
          <w:p w14:paraId="36590FF6"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At2g20875</w:t>
            </w:r>
          </w:p>
        </w:tc>
        <w:tc>
          <w:tcPr>
            <w:tcW w:w="1276" w:type="dxa"/>
          </w:tcPr>
          <w:p w14:paraId="11C611EF"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sz w:val="20"/>
                <w:szCs w:val="20"/>
                <w:lang w:eastAsia="ja-JP"/>
              </w:rPr>
              <w:t>Pp3c6_27020V3.1 (</w:t>
            </w:r>
            <w:r w:rsidRPr="002B3CC2">
              <w:rPr>
                <w:rFonts w:eastAsia="Times New Roman" w:cs="Calibri"/>
                <w:i/>
                <w:sz w:val="20"/>
                <w:szCs w:val="20"/>
                <w:lang w:eastAsia="ja-JP"/>
              </w:rPr>
              <w:t>PpEPF1</w:t>
            </w:r>
            <w:r w:rsidRPr="00F331D2">
              <w:rPr>
                <w:rFonts w:eastAsia="Times New Roman" w:cs="Calibri"/>
                <w:sz w:val="20"/>
                <w:szCs w:val="20"/>
                <w:lang w:eastAsia="ja-JP"/>
              </w:rPr>
              <w:t>)</w:t>
            </w:r>
          </w:p>
        </w:tc>
        <w:tc>
          <w:tcPr>
            <w:tcW w:w="708" w:type="dxa"/>
          </w:tcPr>
          <w:p w14:paraId="76AABA4A"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203</w:t>
            </w:r>
          </w:p>
        </w:tc>
        <w:tc>
          <w:tcPr>
            <w:tcW w:w="993" w:type="dxa"/>
          </w:tcPr>
          <w:p w14:paraId="0EB99921"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34.6%</w:t>
            </w:r>
          </w:p>
        </w:tc>
        <w:tc>
          <w:tcPr>
            <w:tcW w:w="1275" w:type="dxa"/>
          </w:tcPr>
          <w:p w14:paraId="01343E5D" w14:textId="77777777" w:rsidR="00311AE8" w:rsidRDefault="00311AE8" w:rsidP="00D431D5">
            <w:pPr>
              <w:rPr>
                <w:rFonts w:eastAsia="Times New Roman" w:cs="Calibri"/>
                <w:color w:val="000000"/>
                <w:sz w:val="20"/>
                <w:szCs w:val="20"/>
                <w:lang w:eastAsia="ja-JP"/>
              </w:rPr>
            </w:pPr>
          </w:p>
          <w:p w14:paraId="4C49322D" w14:textId="77777777" w:rsidR="00311AE8" w:rsidRDefault="00311AE8" w:rsidP="00D431D5">
            <w:pPr>
              <w:rPr>
                <w:rFonts w:eastAsia="Times New Roman" w:cs="Calibri"/>
                <w:color w:val="000000"/>
                <w:sz w:val="20"/>
                <w:szCs w:val="20"/>
                <w:lang w:eastAsia="ja-JP"/>
              </w:rPr>
            </w:pPr>
          </w:p>
          <w:p w14:paraId="2F16D1A0"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3</w:t>
            </w:r>
          </w:p>
        </w:tc>
        <w:tc>
          <w:tcPr>
            <w:tcW w:w="1276" w:type="dxa"/>
          </w:tcPr>
          <w:p w14:paraId="1974ADEF" w14:textId="77777777" w:rsidR="00311AE8" w:rsidRDefault="00311AE8" w:rsidP="00D431D5">
            <w:pPr>
              <w:rPr>
                <w:rFonts w:eastAsia="Times New Roman" w:cs="Calibri"/>
                <w:color w:val="000000"/>
                <w:sz w:val="20"/>
                <w:szCs w:val="20"/>
                <w:lang w:eastAsia="ja-JP"/>
              </w:rPr>
            </w:pPr>
          </w:p>
          <w:p w14:paraId="2C417641" w14:textId="77777777" w:rsidR="00311AE8" w:rsidRDefault="00311AE8" w:rsidP="00D431D5">
            <w:pPr>
              <w:rPr>
                <w:rFonts w:eastAsia="Times New Roman" w:cs="Calibri"/>
                <w:color w:val="000000"/>
                <w:sz w:val="20"/>
                <w:szCs w:val="20"/>
                <w:lang w:eastAsia="ja-JP"/>
              </w:rPr>
            </w:pPr>
          </w:p>
          <w:p w14:paraId="66625994"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10</w:t>
            </w:r>
          </w:p>
        </w:tc>
      </w:tr>
      <w:tr w:rsidR="00311AE8" w:rsidRPr="00F331D2" w14:paraId="77C55044" w14:textId="77777777" w:rsidTr="00D431D5">
        <w:trPr>
          <w:trHeight w:val="205"/>
        </w:trPr>
        <w:tc>
          <w:tcPr>
            <w:tcW w:w="1271" w:type="dxa"/>
          </w:tcPr>
          <w:p w14:paraId="111389A1"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EPFL6/ CHAL</w:t>
            </w:r>
          </w:p>
        </w:tc>
        <w:tc>
          <w:tcPr>
            <w:tcW w:w="1276" w:type="dxa"/>
          </w:tcPr>
          <w:p w14:paraId="35939B70"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xml:space="preserve">At2g30370 </w:t>
            </w:r>
          </w:p>
        </w:tc>
        <w:tc>
          <w:tcPr>
            <w:tcW w:w="1276" w:type="dxa"/>
          </w:tcPr>
          <w:p w14:paraId="7ABEE922" w14:textId="77777777" w:rsidR="00311AE8" w:rsidRPr="00F331D2" w:rsidRDefault="00311AE8" w:rsidP="00D431D5">
            <w:pPr>
              <w:rPr>
                <w:rFonts w:eastAsia="Times New Roman" w:cs="Calibri"/>
                <w:color w:val="000000"/>
                <w:sz w:val="20"/>
                <w:szCs w:val="20"/>
                <w:lang w:eastAsia="ja-JP"/>
              </w:rPr>
            </w:pPr>
            <w:r w:rsidRPr="00F331D2">
              <w:rPr>
                <w:sz w:val="20"/>
                <w:szCs w:val="20"/>
              </w:rPr>
              <w:t>Pp3c20_17040V3.2</w:t>
            </w:r>
          </w:p>
        </w:tc>
        <w:tc>
          <w:tcPr>
            <w:tcW w:w="708" w:type="dxa"/>
          </w:tcPr>
          <w:p w14:paraId="0902A834"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229</w:t>
            </w:r>
          </w:p>
        </w:tc>
        <w:tc>
          <w:tcPr>
            <w:tcW w:w="993" w:type="dxa"/>
          </w:tcPr>
          <w:p w14:paraId="45FB8744"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20.4%</w:t>
            </w:r>
          </w:p>
        </w:tc>
        <w:tc>
          <w:tcPr>
            <w:tcW w:w="1275" w:type="dxa"/>
          </w:tcPr>
          <w:p w14:paraId="5D811444" w14:textId="77777777" w:rsidR="00311AE8" w:rsidRDefault="00311AE8" w:rsidP="00D431D5">
            <w:pPr>
              <w:rPr>
                <w:rFonts w:eastAsia="Times New Roman" w:cs="Calibri"/>
                <w:color w:val="000000"/>
                <w:sz w:val="20"/>
                <w:szCs w:val="20"/>
                <w:lang w:eastAsia="ja-JP"/>
              </w:rPr>
            </w:pPr>
          </w:p>
          <w:p w14:paraId="3BF3695E" w14:textId="77777777" w:rsidR="00311AE8" w:rsidRDefault="00311AE8" w:rsidP="00D431D5">
            <w:pPr>
              <w:rPr>
                <w:rFonts w:eastAsia="Times New Roman" w:cs="Calibri"/>
                <w:color w:val="000000"/>
                <w:sz w:val="20"/>
                <w:szCs w:val="20"/>
                <w:lang w:eastAsia="ja-JP"/>
              </w:rPr>
            </w:pPr>
          </w:p>
          <w:p w14:paraId="041E0DE0"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9</w:t>
            </w:r>
          </w:p>
        </w:tc>
        <w:tc>
          <w:tcPr>
            <w:tcW w:w="1276" w:type="dxa"/>
          </w:tcPr>
          <w:p w14:paraId="1006EBDF" w14:textId="77777777" w:rsidR="00311AE8" w:rsidRDefault="00311AE8" w:rsidP="00D431D5">
            <w:pPr>
              <w:rPr>
                <w:rFonts w:eastAsia="Times New Roman" w:cs="Calibri"/>
                <w:color w:val="000000"/>
                <w:sz w:val="20"/>
                <w:szCs w:val="20"/>
                <w:lang w:eastAsia="ja-JP"/>
              </w:rPr>
            </w:pPr>
          </w:p>
          <w:p w14:paraId="749384E7" w14:textId="77777777" w:rsidR="00311AE8" w:rsidRDefault="00311AE8" w:rsidP="00D431D5">
            <w:pPr>
              <w:rPr>
                <w:rFonts w:eastAsia="Times New Roman" w:cs="Calibri"/>
                <w:color w:val="000000"/>
                <w:sz w:val="20"/>
                <w:szCs w:val="20"/>
                <w:lang w:eastAsia="ja-JP"/>
              </w:rPr>
            </w:pPr>
          </w:p>
          <w:p w14:paraId="5A5E8947"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10</w:t>
            </w:r>
          </w:p>
        </w:tc>
      </w:tr>
      <w:tr w:rsidR="00311AE8" w:rsidRPr="00F331D2" w14:paraId="4930CC46" w14:textId="77777777" w:rsidTr="00D431D5">
        <w:trPr>
          <w:trHeight w:val="269"/>
        </w:trPr>
        <w:tc>
          <w:tcPr>
            <w:tcW w:w="1271" w:type="dxa"/>
          </w:tcPr>
          <w:p w14:paraId="67A53AFC"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EPFL4</w:t>
            </w:r>
          </w:p>
        </w:tc>
        <w:tc>
          <w:tcPr>
            <w:tcW w:w="1276" w:type="dxa"/>
          </w:tcPr>
          <w:p w14:paraId="48D4C02B"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At4g14723</w:t>
            </w:r>
          </w:p>
        </w:tc>
        <w:tc>
          <w:tcPr>
            <w:tcW w:w="1276" w:type="dxa"/>
          </w:tcPr>
          <w:p w14:paraId="24DD1DAB"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Pp3c20_17040V3.2</w:t>
            </w:r>
          </w:p>
        </w:tc>
        <w:tc>
          <w:tcPr>
            <w:tcW w:w="708" w:type="dxa"/>
          </w:tcPr>
          <w:p w14:paraId="51C8001D"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259</w:t>
            </w:r>
          </w:p>
        </w:tc>
        <w:tc>
          <w:tcPr>
            <w:tcW w:w="993" w:type="dxa"/>
          </w:tcPr>
          <w:p w14:paraId="00B92DF5"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38.5%</w:t>
            </w:r>
          </w:p>
        </w:tc>
        <w:tc>
          <w:tcPr>
            <w:tcW w:w="1275" w:type="dxa"/>
          </w:tcPr>
          <w:p w14:paraId="5B24C62D" w14:textId="77777777" w:rsidR="00311AE8" w:rsidRDefault="00311AE8" w:rsidP="00D431D5">
            <w:pPr>
              <w:rPr>
                <w:rFonts w:eastAsia="Times New Roman" w:cs="Calibri"/>
                <w:color w:val="000000"/>
                <w:sz w:val="20"/>
                <w:szCs w:val="20"/>
                <w:lang w:eastAsia="ja-JP"/>
              </w:rPr>
            </w:pPr>
          </w:p>
          <w:p w14:paraId="2CD392B4" w14:textId="77777777" w:rsidR="00311AE8" w:rsidRDefault="00311AE8" w:rsidP="00D431D5">
            <w:pPr>
              <w:rPr>
                <w:rFonts w:eastAsia="Times New Roman" w:cs="Calibri"/>
                <w:color w:val="000000"/>
                <w:sz w:val="20"/>
                <w:szCs w:val="20"/>
                <w:lang w:eastAsia="ja-JP"/>
              </w:rPr>
            </w:pPr>
          </w:p>
          <w:p w14:paraId="4BAFC6FA"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9</w:t>
            </w:r>
          </w:p>
        </w:tc>
        <w:tc>
          <w:tcPr>
            <w:tcW w:w="1276" w:type="dxa"/>
          </w:tcPr>
          <w:p w14:paraId="31713884" w14:textId="77777777" w:rsidR="00311AE8" w:rsidRDefault="00311AE8" w:rsidP="00D431D5">
            <w:pPr>
              <w:rPr>
                <w:rFonts w:eastAsia="Times New Roman" w:cs="Calibri"/>
                <w:color w:val="000000"/>
                <w:sz w:val="20"/>
                <w:szCs w:val="20"/>
                <w:lang w:eastAsia="ja-JP"/>
              </w:rPr>
            </w:pPr>
          </w:p>
          <w:p w14:paraId="5F91F5AB" w14:textId="77777777" w:rsidR="00311AE8" w:rsidRDefault="00311AE8" w:rsidP="00D431D5">
            <w:pPr>
              <w:rPr>
                <w:rFonts w:eastAsia="Times New Roman" w:cs="Calibri"/>
                <w:color w:val="000000"/>
                <w:sz w:val="20"/>
                <w:szCs w:val="20"/>
                <w:lang w:eastAsia="ja-JP"/>
              </w:rPr>
            </w:pPr>
          </w:p>
          <w:p w14:paraId="7D8A9987"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10</w:t>
            </w:r>
          </w:p>
        </w:tc>
      </w:tr>
      <w:tr w:rsidR="00311AE8" w:rsidRPr="00F331D2" w14:paraId="6A886A4B" w14:textId="77777777" w:rsidTr="00D431D5">
        <w:trPr>
          <w:trHeight w:val="600"/>
        </w:trPr>
        <w:tc>
          <w:tcPr>
            <w:tcW w:w="1271" w:type="dxa"/>
          </w:tcPr>
          <w:p w14:paraId="7019798F" w14:textId="77777777" w:rsidR="00311AE8" w:rsidRPr="002B3CC2" w:rsidRDefault="00311AE8" w:rsidP="00D431D5">
            <w:pPr>
              <w:rPr>
                <w:rFonts w:eastAsia="Times New Roman" w:cs="Calibri"/>
                <w:b/>
                <w:bCs/>
                <w:i/>
                <w:color w:val="000000"/>
                <w:sz w:val="20"/>
                <w:szCs w:val="20"/>
                <w:lang w:eastAsia="ja-JP"/>
              </w:rPr>
            </w:pPr>
            <w:r w:rsidRPr="002B3CC2">
              <w:rPr>
                <w:rFonts w:eastAsia="Times New Roman" w:cs="Calibri"/>
                <w:i/>
                <w:color w:val="000000"/>
                <w:sz w:val="20"/>
                <w:szCs w:val="20"/>
                <w:lang w:eastAsia="ja-JP"/>
              </w:rPr>
              <w:t>EPFL5</w:t>
            </w:r>
          </w:p>
        </w:tc>
        <w:tc>
          <w:tcPr>
            <w:tcW w:w="1276" w:type="dxa"/>
            <w:noWrap/>
          </w:tcPr>
          <w:p w14:paraId="1C5964E1"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At3g22820</w:t>
            </w:r>
          </w:p>
        </w:tc>
        <w:tc>
          <w:tcPr>
            <w:tcW w:w="1276" w:type="dxa"/>
          </w:tcPr>
          <w:p w14:paraId="2C7FBE04"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sz w:val="20"/>
                <w:szCs w:val="20"/>
                <w:lang w:eastAsia="ja-JP"/>
              </w:rPr>
              <w:t>Pp3c20_17040V3.2</w:t>
            </w:r>
          </w:p>
        </w:tc>
        <w:tc>
          <w:tcPr>
            <w:tcW w:w="708" w:type="dxa"/>
          </w:tcPr>
          <w:p w14:paraId="3BA974B9"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254</w:t>
            </w:r>
          </w:p>
        </w:tc>
        <w:tc>
          <w:tcPr>
            <w:tcW w:w="993" w:type="dxa"/>
          </w:tcPr>
          <w:p w14:paraId="6EEFABCE"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38.3%</w:t>
            </w:r>
          </w:p>
        </w:tc>
        <w:tc>
          <w:tcPr>
            <w:tcW w:w="1275" w:type="dxa"/>
          </w:tcPr>
          <w:p w14:paraId="7B9EEC6D" w14:textId="77777777" w:rsidR="00311AE8" w:rsidRDefault="00311AE8" w:rsidP="00D431D5">
            <w:pPr>
              <w:rPr>
                <w:rFonts w:eastAsia="Times New Roman" w:cs="Calibri"/>
                <w:color w:val="000000"/>
                <w:sz w:val="20"/>
                <w:szCs w:val="20"/>
                <w:lang w:eastAsia="ja-JP"/>
              </w:rPr>
            </w:pPr>
          </w:p>
          <w:p w14:paraId="1AE115B3" w14:textId="77777777" w:rsidR="00311AE8" w:rsidRDefault="00311AE8" w:rsidP="00D431D5">
            <w:pPr>
              <w:rPr>
                <w:rFonts w:eastAsia="Times New Roman" w:cs="Calibri"/>
                <w:color w:val="000000"/>
                <w:sz w:val="20"/>
                <w:szCs w:val="20"/>
                <w:lang w:eastAsia="ja-JP"/>
              </w:rPr>
            </w:pPr>
          </w:p>
          <w:p w14:paraId="480A307F"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9</w:t>
            </w:r>
          </w:p>
        </w:tc>
        <w:tc>
          <w:tcPr>
            <w:tcW w:w="1276" w:type="dxa"/>
          </w:tcPr>
          <w:p w14:paraId="49F34204" w14:textId="77777777" w:rsidR="00311AE8" w:rsidRDefault="00311AE8" w:rsidP="00D431D5">
            <w:pPr>
              <w:rPr>
                <w:rFonts w:eastAsia="Times New Roman" w:cs="Calibri"/>
                <w:color w:val="000000"/>
                <w:sz w:val="20"/>
                <w:szCs w:val="20"/>
                <w:lang w:eastAsia="ja-JP"/>
              </w:rPr>
            </w:pPr>
          </w:p>
          <w:p w14:paraId="1438710B" w14:textId="77777777" w:rsidR="00311AE8" w:rsidRDefault="00311AE8" w:rsidP="00D431D5">
            <w:pPr>
              <w:rPr>
                <w:rFonts w:eastAsia="Times New Roman" w:cs="Calibri"/>
                <w:color w:val="000000"/>
                <w:sz w:val="20"/>
                <w:szCs w:val="20"/>
                <w:lang w:eastAsia="ja-JP"/>
              </w:rPr>
            </w:pPr>
          </w:p>
          <w:p w14:paraId="54556173"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10</w:t>
            </w:r>
          </w:p>
        </w:tc>
      </w:tr>
      <w:tr w:rsidR="00311AE8" w:rsidRPr="00F331D2" w14:paraId="6462021B" w14:textId="77777777" w:rsidTr="00D431D5">
        <w:trPr>
          <w:trHeight w:val="285"/>
        </w:trPr>
        <w:tc>
          <w:tcPr>
            <w:tcW w:w="1271" w:type="dxa"/>
          </w:tcPr>
          <w:p w14:paraId="0E62A035"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b/>
                <w:bCs/>
                <w:i/>
                <w:color w:val="000000"/>
                <w:sz w:val="20"/>
                <w:szCs w:val="20"/>
                <w:lang w:eastAsia="ja-JP"/>
              </w:rPr>
              <w:t>Membrane receptors</w:t>
            </w:r>
          </w:p>
        </w:tc>
        <w:tc>
          <w:tcPr>
            <w:tcW w:w="1276" w:type="dxa"/>
          </w:tcPr>
          <w:p w14:paraId="78A8C660"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w:t>
            </w:r>
          </w:p>
        </w:tc>
        <w:tc>
          <w:tcPr>
            <w:tcW w:w="1276" w:type="dxa"/>
          </w:tcPr>
          <w:p w14:paraId="7DCF48C2"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w:t>
            </w:r>
          </w:p>
        </w:tc>
        <w:tc>
          <w:tcPr>
            <w:tcW w:w="708" w:type="dxa"/>
          </w:tcPr>
          <w:p w14:paraId="14272C4C"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w:t>
            </w:r>
          </w:p>
        </w:tc>
        <w:tc>
          <w:tcPr>
            <w:tcW w:w="993" w:type="dxa"/>
          </w:tcPr>
          <w:p w14:paraId="3DDB0FCA"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w:t>
            </w:r>
          </w:p>
        </w:tc>
        <w:tc>
          <w:tcPr>
            <w:tcW w:w="1275" w:type="dxa"/>
          </w:tcPr>
          <w:p w14:paraId="17F98A5B" w14:textId="77777777" w:rsidR="00311AE8" w:rsidRPr="00F331D2" w:rsidRDefault="00311AE8" w:rsidP="00D431D5">
            <w:pPr>
              <w:rPr>
                <w:rFonts w:eastAsia="Times New Roman" w:cs="Calibri"/>
                <w:color w:val="000000"/>
                <w:sz w:val="20"/>
                <w:szCs w:val="20"/>
                <w:lang w:eastAsia="ja-JP"/>
              </w:rPr>
            </w:pPr>
          </w:p>
        </w:tc>
        <w:tc>
          <w:tcPr>
            <w:tcW w:w="1276" w:type="dxa"/>
          </w:tcPr>
          <w:p w14:paraId="5B3D93F5" w14:textId="77777777" w:rsidR="00311AE8" w:rsidRPr="00F331D2" w:rsidRDefault="00311AE8" w:rsidP="00D431D5">
            <w:pPr>
              <w:rPr>
                <w:rFonts w:eastAsia="Times New Roman" w:cs="Calibri"/>
                <w:color w:val="000000"/>
                <w:sz w:val="20"/>
                <w:szCs w:val="20"/>
                <w:lang w:eastAsia="ja-JP"/>
              </w:rPr>
            </w:pPr>
          </w:p>
        </w:tc>
      </w:tr>
      <w:tr w:rsidR="00311AE8" w:rsidRPr="00F331D2" w14:paraId="27C11CCA" w14:textId="77777777" w:rsidTr="00D431D5">
        <w:trPr>
          <w:trHeight w:val="844"/>
        </w:trPr>
        <w:tc>
          <w:tcPr>
            <w:tcW w:w="1271" w:type="dxa"/>
          </w:tcPr>
          <w:p w14:paraId="1EF7B96D"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ERECTA</w:t>
            </w:r>
          </w:p>
        </w:tc>
        <w:tc>
          <w:tcPr>
            <w:tcW w:w="1276" w:type="dxa"/>
          </w:tcPr>
          <w:p w14:paraId="2091487E"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At2g26330</w:t>
            </w:r>
          </w:p>
        </w:tc>
        <w:tc>
          <w:tcPr>
            <w:tcW w:w="1276" w:type="dxa"/>
          </w:tcPr>
          <w:p w14:paraId="0096BE9A"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Pp3c21_9500V3.1</w:t>
            </w:r>
          </w:p>
          <w:p w14:paraId="321ACF98"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w:t>
            </w:r>
            <w:r w:rsidRPr="002B3CC2">
              <w:rPr>
                <w:rFonts w:eastAsia="Times New Roman" w:cs="Calibri"/>
                <w:i/>
                <w:color w:val="000000"/>
                <w:sz w:val="20"/>
                <w:szCs w:val="20"/>
                <w:lang w:eastAsia="ja-JP"/>
              </w:rPr>
              <w:t>PpERECTA3</w:t>
            </w:r>
            <w:r w:rsidRPr="00F331D2">
              <w:rPr>
                <w:rFonts w:eastAsia="Times New Roman" w:cs="Calibri"/>
                <w:color w:val="000000"/>
                <w:sz w:val="20"/>
                <w:szCs w:val="20"/>
                <w:lang w:eastAsia="ja-JP"/>
              </w:rPr>
              <w:t>)</w:t>
            </w:r>
          </w:p>
        </w:tc>
        <w:tc>
          <w:tcPr>
            <w:tcW w:w="708" w:type="dxa"/>
          </w:tcPr>
          <w:p w14:paraId="499AD628"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2681</w:t>
            </w:r>
          </w:p>
        </w:tc>
        <w:tc>
          <w:tcPr>
            <w:tcW w:w="993" w:type="dxa"/>
          </w:tcPr>
          <w:p w14:paraId="54169D00"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67.8%</w:t>
            </w:r>
          </w:p>
        </w:tc>
        <w:tc>
          <w:tcPr>
            <w:tcW w:w="1275" w:type="dxa"/>
          </w:tcPr>
          <w:p w14:paraId="0291F0B4" w14:textId="77777777" w:rsidR="00311AE8" w:rsidRDefault="00311AE8" w:rsidP="00D431D5">
            <w:pPr>
              <w:rPr>
                <w:rFonts w:eastAsia="Times New Roman" w:cs="Calibri"/>
                <w:color w:val="000000"/>
                <w:sz w:val="20"/>
                <w:szCs w:val="20"/>
                <w:lang w:eastAsia="ja-JP"/>
              </w:rPr>
            </w:pPr>
          </w:p>
          <w:p w14:paraId="33CBEBDA"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15</w:t>
            </w:r>
          </w:p>
        </w:tc>
        <w:tc>
          <w:tcPr>
            <w:tcW w:w="1276" w:type="dxa"/>
          </w:tcPr>
          <w:p w14:paraId="3123E875" w14:textId="77777777" w:rsidR="00311AE8" w:rsidRDefault="00311AE8" w:rsidP="00D431D5">
            <w:pPr>
              <w:rPr>
                <w:rFonts w:eastAsia="Times New Roman" w:cs="Calibri"/>
                <w:color w:val="000000"/>
                <w:sz w:val="20"/>
                <w:szCs w:val="20"/>
                <w:lang w:eastAsia="ja-JP"/>
              </w:rPr>
            </w:pPr>
          </w:p>
          <w:p w14:paraId="4999AE50"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16</w:t>
            </w:r>
          </w:p>
        </w:tc>
      </w:tr>
      <w:tr w:rsidR="00311AE8" w:rsidRPr="00F331D2" w14:paraId="7C6F42CF" w14:textId="77777777" w:rsidTr="00D431D5">
        <w:trPr>
          <w:trHeight w:val="516"/>
        </w:trPr>
        <w:tc>
          <w:tcPr>
            <w:tcW w:w="1271" w:type="dxa"/>
          </w:tcPr>
          <w:p w14:paraId="367A302C"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ERECTA-LIKE 1</w:t>
            </w:r>
          </w:p>
        </w:tc>
        <w:tc>
          <w:tcPr>
            <w:tcW w:w="1276" w:type="dxa"/>
          </w:tcPr>
          <w:p w14:paraId="0896EA12"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At5g62230</w:t>
            </w:r>
          </w:p>
        </w:tc>
        <w:tc>
          <w:tcPr>
            <w:tcW w:w="1276" w:type="dxa"/>
          </w:tcPr>
          <w:p w14:paraId="209E5F1A"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Pp3c18_10870V3.2</w:t>
            </w:r>
          </w:p>
          <w:p w14:paraId="76B32283"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w:t>
            </w:r>
            <w:r w:rsidRPr="002B3CC2">
              <w:rPr>
                <w:rFonts w:eastAsia="Times New Roman" w:cs="Calibri"/>
                <w:i/>
                <w:color w:val="000000"/>
                <w:sz w:val="20"/>
                <w:szCs w:val="20"/>
                <w:lang w:eastAsia="ja-JP"/>
              </w:rPr>
              <w:t>PpERECTA4</w:t>
            </w:r>
            <w:r w:rsidRPr="00F331D2">
              <w:rPr>
                <w:rFonts w:eastAsia="Times New Roman" w:cs="Calibri"/>
                <w:color w:val="000000"/>
                <w:sz w:val="20"/>
                <w:szCs w:val="20"/>
                <w:lang w:eastAsia="ja-JP"/>
              </w:rPr>
              <w:t>)</w:t>
            </w:r>
          </w:p>
        </w:tc>
        <w:tc>
          <w:tcPr>
            <w:tcW w:w="708" w:type="dxa"/>
          </w:tcPr>
          <w:p w14:paraId="513FF306"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2725</w:t>
            </w:r>
          </w:p>
        </w:tc>
        <w:tc>
          <w:tcPr>
            <w:tcW w:w="993" w:type="dxa"/>
          </w:tcPr>
          <w:p w14:paraId="1D5B1BB4"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63.5%</w:t>
            </w:r>
          </w:p>
        </w:tc>
        <w:tc>
          <w:tcPr>
            <w:tcW w:w="1275" w:type="dxa"/>
          </w:tcPr>
          <w:p w14:paraId="4B4278CB" w14:textId="77777777" w:rsidR="00311AE8" w:rsidRPr="00F331D2" w:rsidRDefault="00311AE8" w:rsidP="00D431D5">
            <w:pPr>
              <w:rPr>
                <w:rFonts w:eastAsia="Times New Roman" w:cs="Calibri"/>
                <w:color w:val="000000"/>
                <w:sz w:val="20"/>
                <w:szCs w:val="20"/>
                <w:lang w:eastAsia="ja-JP"/>
              </w:rPr>
            </w:pPr>
          </w:p>
          <w:p w14:paraId="5020EA9F"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15</w:t>
            </w:r>
          </w:p>
        </w:tc>
        <w:tc>
          <w:tcPr>
            <w:tcW w:w="1276" w:type="dxa"/>
          </w:tcPr>
          <w:p w14:paraId="19D5BEAA" w14:textId="77777777" w:rsidR="00311AE8" w:rsidRDefault="00311AE8" w:rsidP="00D431D5">
            <w:pPr>
              <w:rPr>
                <w:rFonts w:eastAsia="Times New Roman" w:cs="Calibri"/>
                <w:color w:val="000000"/>
                <w:sz w:val="20"/>
                <w:szCs w:val="20"/>
                <w:lang w:eastAsia="ja-JP"/>
              </w:rPr>
            </w:pPr>
          </w:p>
          <w:p w14:paraId="38003EA0"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16</w:t>
            </w:r>
          </w:p>
        </w:tc>
      </w:tr>
      <w:tr w:rsidR="00311AE8" w:rsidRPr="00F331D2" w14:paraId="206C5AC5" w14:textId="77777777" w:rsidTr="00D431D5">
        <w:trPr>
          <w:trHeight w:val="508"/>
        </w:trPr>
        <w:tc>
          <w:tcPr>
            <w:tcW w:w="1271" w:type="dxa"/>
          </w:tcPr>
          <w:p w14:paraId="5362F25D" w14:textId="77777777" w:rsidR="00311AE8" w:rsidRPr="002B3CC2" w:rsidRDefault="00311AE8" w:rsidP="00D431D5">
            <w:pPr>
              <w:rPr>
                <w:rFonts w:eastAsia="Times New Roman" w:cs="Calibri"/>
                <w:b/>
                <w:bCs/>
                <w:i/>
                <w:color w:val="000000"/>
                <w:sz w:val="20"/>
                <w:szCs w:val="20"/>
                <w:lang w:eastAsia="ja-JP"/>
              </w:rPr>
            </w:pPr>
            <w:r w:rsidRPr="002B3CC2">
              <w:rPr>
                <w:rFonts w:eastAsia="Times New Roman" w:cs="Calibri"/>
                <w:i/>
                <w:color w:val="000000"/>
                <w:sz w:val="20"/>
                <w:szCs w:val="20"/>
                <w:lang w:eastAsia="ja-JP"/>
              </w:rPr>
              <w:lastRenderedPageBreak/>
              <w:t>ERECTA-LIKE 2</w:t>
            </w:r>
          </w:p>
        </w:tc>
        <w:tc>
          <w:tcPr>
            <w:tcW w:w="1276" w:type="dxa"/>
            <w:noWrap/>
          </w:tcPr>
          <w:p w14:paraId="15F8BAAC"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At5g07180</w:t>
            </w:r>
          </w:p>
        </w:tc>
        <w:tc>
          <w:tcPr>
            <w:tcW w:w="1276" w:type="dxa"/>
          </w:tcPr>
          <w:p w14:paraId="021E06A5"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Pp3c18_10870V3.2</w:t>
            </w:r>
          </w:p>
          <w:p w14:paraId="54F19738"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w:t>
            </w:r>
            <w:r w:rsidRPr="002B3CC2">
              <w:rPr>
                <w:rFonts w:eastAsia="Times New Roman" w:cs="Calibri"/>
                <w:i/>
                <w:color w:val="000000"/>
                <w:sz w:val="20"/>
                <w:szCs w:val="20"/>
                <w:lang w:eastAsia="ja-JP"/>
              </w:rPr>
              <w:t>PpERECTA4</w:t>
            </w:r>
            <w:r w:rsidRPr="00F331D2">
              <w:rPr>
                <w:rFonts w:eastAsia="Times New Roman" w:cs="Calibri"/>
                <w:color w:val="000000"/>
                <w:sz w:val="20"/>
                <w:szCs w:val="20"/>
                <w:lang w:eastAsia="ja-JP"/>
              </w:rPr>
              <w:t>)</w:t>
            </w:r>
          </w:p>
        </w:tc>
        <w:tc>
          <w:tcPr>
            <w:tcW w:w="708" w:type="dxa"/>
          </w:tcPr>
          <w:p w14:paraId="534330C9"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2687</w:t>
            </w:r>
          </w:p>
        </w:tc>
        <w:tc>
          <w:tcPr>
            <w:tcW w:w="993" w:type="dxa"/>
          </w:tcPr>
          <w:p w14:paraId="53B38003"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63.4%</w:t>
            </w:r>
          </w:p>
        </w:tc>
        <w:tc>
          <w:tcPr>
            <w:tcW w:w="1275" w:type="dxa"/>
          </w:tcPr>
          <w:p w14:paraId="2842C9A2" w14:textId="77777777" w:rsidR="00311AE8" w:rsidRPr="00F331D2" w:rsidRDefault="00311AE8" w:rsidP="00D431D5">
            <w:pPr>
              <w:rPr>
                <w:rFonts w:eastAsia="Times New Roman" w:cs="Calibri"/>
                <w:color w:val="000000"/>
                <w:sz w:val="20"/>
                <w:szCs w:val="20"/>
                <w:lang w:eastAsia="ja-JP"/>
              </w:rPr>
            </w:pPr>
          </w:p>
          <w:p w14:paraId="253E1DD3"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17</w:t>
            </w:r>
          </w:p>
        </w:tc>
        <w:tc>
          <w:tcPr>
            <w:tcW w:w="1276" w:type="dxa"/>
          </w:tcPr>
          <w:p w14:paraId="5B0AF68D" w14:textId="77777777" w:rsidR="00311AE8" w:rsidRDefault="00311AE8" w:rsidP="00D431D5">
            <w:pPr>
              <w:rPr>
                <w:rFonts w:eastAsia="Times New Roman" w:cs="Calibri"/>
                <w:color w:val="000000"/>
                <w:sz w:val="20"/>
                <w:szCs w:val="20"/>
                <w:lang w:eastAsia="ja-JP"/>
              </w:rPr>
            </w:pPr>
          </w:p>
          <w:p w14:paraId="4EA16354"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16</w:t>
            </w:r>
          </w:p>
        </w:tc>
      </w:tr>
      <w:tr w:rsidR="00311AE8" w:rsidRPr="00F331D2" w14:paraId="76C56B6A" w14:textId="77777777" w:rsidTr="00D431D5">
        <w:trPr>
          <w:trHeight w:val="255"/>
        </w:trPr>
        <w:tc>
          <w:tcPr>
            <w:tcW w:w="1271" w:type="dxa"/>
          </w:tcPr>
          <w:p w14:paraId="77E2F574"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SERK1</w:t>
            </w:r>
          </w:p>
        </w:tc>
        <w:tc>
          <w:tcPr>
            <w:tcW w:w="1276" w:type="dxa"/>
          </w:tcPr>
          <w:p w14:paraId="58EF64B1"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AT1G71830</w:t>
            </w:r>
          </w:p>
        </w:tc>
        <w:tc>
          <w:tcPr>
            <w:tcW w:w="1276" w:type="dxa"/>
          </w:tcPr>
          <w:p w14:paraId="72F6B663" w14:textId="77777777" w:rsidR="00311AE8" w:rsidRPr="00F331D2" w:rsidRDefault="00311AE8" w:rsidP="00D431D5">
            <w:pPr>
              <w:rPr>
                <w:rFonts w:eastAsia="Times New Roman" w:cs="Calibri"/>
                <w:color w:val="000000"/>
                <w:sz w:val="20"/>
                <w:szCs w:val="20"/>
                <w:lang w:eastAsia="ja-JP"/>
              </w:rPr>
            </w:pPr>
            <w:r w:rsidRPr="00730BF3">
              <w:rPr>
                <w:rFonts w:eastAsia="Times New Roman" w:cs="Calibri"/>
                <w:color w:val="000000"/>
                <w:sz w:val="20"/>
                <w:szCs w:val="20"/>
                <w:lang w:eastAsia="ja-JP"/>
              </w:rPr>
              <w:t>Pp3c8_3330V3.1</w:t>
            </w:r>
          </w:p>
        </w:tc>
        <w:tc>
          <w:tcPr>
            <w:tcW w:w="708" w:type="dxa"/>
          </w:tcPr>
          <w:p w14:paraId="7DBFD6DE"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2685</w:t>
            </w:r>
          </w:p>
        </w:tc>
        <w:tc>
          <w:tcPr>
            <w:tcW w:w="993" w:type="dxa"/>
          </w:tcPr>
          <w:p w14:paraId="43A2F9DC"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83.7%</w:t>
            </w:r>
          </w:p>
        </w:tc>
        <w:tc>
          <w:tcPr>
            <w:tcW w:w="1275" w:type="dxa"/>
          </w:tcPr>
          <w:p w14:paraId="5E584676"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8</w:t>
            </w:r>
          </w:p>
        </w:tc>
        <w:tc>
          <w:tcPr>
            <w:tcW w:w="1276" w:type="dxa"/>
          </w:tcPr>
          <w:p w14:paraId="7B93F907"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4</w:t>
            </w:r>
          </w:p>
        </w:tc>
      </w:tr>
      <w:tr w:rsidR="00311AE8" w:rsidRPr="00F331D2" w14:paraId="6F6EC312" w14:textId="77777777" w:rsidTr="00D431D5">
        <w:trPr>
          <w:trHeight w:val="281"/>
        </w:trPr>
        <w:tc>
          <w:tcPr>
            <w:tcW w:w="1271" w:type="dxa"/>
          </w:tcPr>
          <w:p w14:paraId="0EB6B4AD"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SERK2</w:t>
            </w:r>
          </w:p>
        </w:tc>
        <w:tc>
          <w:tcPr>
            <w:tcW w:w="1276" w:type="dxa"/>
          </w:tcPr>
          <w:p w14:paraId="123E0B5F"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AT1G34210</w:t>
            </w:r>
          </w:p>
        </w:tc>
        <w:tc>
          <w:tcPr>
            <w:tcW w:w="1276" w:type="dxa"/>
          </w:tcPr>
          <w:p w14:paraId="7146E9AA" w14:textId="77777777" w:rsidR="00311AE8" w:rsidRPr="00F331D2" w:rsidRDefault="00311AE8" w:rsidP="00D431D5">
            <w:pPr>
              <w:rPr>
                <w:rFonts w:eastAsia="Times New Roman" w:cs="Calibri"/>
                <w:color w:val="000000"/>
                <w:sz w:val="20"/>
                <w:szCs w:val="20"/>
                <w:lang w:eastAsia="ja-JP"/>
              </w:rPr>
            </w:pPr>
            <w:r w:rsidRPr="00730BF3">
              <w:rPr>
                <w:rFonts w:eastAsia="Times New Roman" w:cs="Calibri"/>
                <w:color w:val="000000"/>
                <w:sz w:val="20"/>
                <w:szCs w:val="20"/>
                <w:lang w:eastAsia="ja-JP"/>
              </w:rPr>
              <w:t>Pp3c3_36680V3.1</w:t>
            </w:r>
          </w:p>
        </w:tc>
        <w:tc>
          <w:tcPr>
            <w:tcW w:w="708" w:type="dxa"/>
          </w:tcPr>
          <w:p w14:paraId="487F1AC4"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2669</w:t>
            </w:r>
          </w:p>
        </w:tc>
        <w:tc>
          <w:tcPr>
            <w:tcW w:w="993" w:type="dxa"/>
          </w:tcPr>
          <w:p w14:paraId="4F329C5B"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84.2%</w:t>
            </w:r>
          </w:p>
        </w:tc>
        <w:tc>
          <w:tcPr>
            <w:tcW w:w="1275" w:type="dxa"/>
          </w:tcPr>
          <w:p w14:paraId="63A53004"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8</w:t>
            </w:r>
          </w:p>
        </w:tc>
        <w:tc>
          <w:tcPr>
            <w:tcW w:w="1276" w:type="dxa"/>
          </w:tcPr>
          <w:p w14:paraId="532FE4F1"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4</w:t>
            </w:r>
          </w:p>
        </w:tc>
      </w:tr>
      <w:tr w:rsidR="00311AE8" w:rsidRPr="00F331D2" w14:paraId="67402D3E" w14:textId="77777777" w:rsidTr="00D431D5">
        <w:trPr>
          <w:trHeight w:val="270"/>
        </w:trPr>
        <w:tc>
          <w:tcPr>
            <w:tcW w:w="1271" w:type="dxa"/>
          </w:tcPr>
          <w:p w14:paraId="073E7B5C"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BAK1/ SERK3</w:t>
            </w:r>
          </w:p>
        </w:tc>
        <w:tc>
          <w:tcPr>
            <w:tcW w:w="1276" w:type="dxa"/>
          </w:tcPr>
          <w:p w14:paraId="030F289B"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AT4G33430</w:t>
            </w:r>
          </w:p>
        </w:tc>
        <w:tc>
          <w:tcPr>
            <w:tcW w:w="1276" w:type="dxa"/>
          </w:tcPr>
          <w:p w14:paraId="77956DEA" w14:textId="77777777" w:rsidR="00311AE8" w:rsidRPr="00F331D2" w:rsidRDefault="00311AE8" w:rsidP="00D431D5">
            <w:pPr>
              <w:rPr>
                <w:rFonts w:eastAsia="Times New Roman" w:cs="Calibri"/>
                <w:color w:val="000000"/>
                <w:sz w:val="20"/>
                <w:szCs w:val="20"/>
                <w:lang w:eastAsia="ja-JP"/>
              </w:rPr>
            </w:pPr>
            <w:r w:rsidRPr="00730BF3">
              <w:rPr>
                <w:rFonts w:eastAsia="Times New Roman" w:cs="Calibri"/>
                <w:color w:val="000000"/>
                <w:sz w:val="20"/>
                <w:szCs w:val="20"/>
                <w:lang w:eastAsia="ja-JP"/>
              </w:rPr>
              <w:t>Pp3c3_36680V3.1</w:t>
            </w:r>
          </w:p>
        </w:tc>
        <w:tc>
          <w:tcPr>
            <w:tcW w:w="708" w:type="dxa"/>
          </w:tcPr>
          <w:p w14:paraId="3AA69F46"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2349</w:t>
            </w:r>
          </w:p>
        </w:tc>
        <w:tc>
          <w:tcPr>
            <w:tcW w:w="993" w:type="dxa"/>
          </w:tcPr>
          <w:p w14:paraId="2539152D"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76.4%</w:t>
            </w:r>
          </w:p>
        </w:tc>
        <w:tc>
          <w:tcPr>
            <w:tcW w:w="1275" w:type="dxa"/>
          </w:tcPr>
          <w:p w14:paraId="19EE2389" w14:textId="77777777" w:rsidR="00311AE8" w:rsidRDefault="00311AE8" w:rsidP="00D431D5">
            <w:pPr>
              <w:rPr>
                <w:rFonts w:eastAsia="Times New Roman" w:cs="Calibri"/>
                <w:color w:val="000000"/>
                <w:sz w:val="20"/>
                <w:szCs w:val="20"/>
                <w:lang w:eastAsia="ja-JP"/>
              </w:rPr>
            </w:pPr>
          </w:p>
          <w:p w14:paraId="5FD5FD7C"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8</w:t>
            </w:r>
          </w:p>
        </w:tc>
        <w:tc>
          <w:tcPr>
            <w:tcW w:w="1276" w:type="dxa"/>
          </w:tcPr>
          <w:p w14:paraId="2F6A5929" w14:textId="77777777" w:rsidR="00311AE8" w:rsidRDefault="00311AE8" w:rsidP="00D431D5">
            <w:pPr>
              <w:rPr>
                <w:rFonts w:eastAsia="Times New Roman" w:cs="Calibri"/>
                <w:color w:val="000000"/>
                <w:sz w:val="20"/>
                <w:szCs w:val="20"/>
                <w:lang w:eastAsia="ja-JP"/>
              </w:rPr>
            </w:pPr>
          </w:p>
          <w:p w14:paraId="1DEB4EF1"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4</w:t>
            </w:r>
          </w:p>
        </w:tc>
      </w:tr>
      <w:tr w:rsidR="00311AE8" w:rsidRPr="00F331D2" w14:paraId="3D2522F0" w14:textId="77777777" w:rsidTr="00D431D5">
        <w:trPr>
          <w:trHeight w:val="270"/>
        </w:trPr>
        <w:tc>
          <w:tcPr>
            <w:tcW w:w="1271" w:type="dxa"/>
          </w:tcPr>
          <w:p w14:paraId="24149E7C"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SERK4</w:t>
            </w:r>
          </w:p>
        </w:tc>
        <w:tc>
          <w:tcPr>
            <w:tcW w:w="1276" w:type="dxa"/>
          </w:tcPr>
          <w:p w14:paraId="4610B14B"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AT2G13790</w:t>
            </w:r>
          </w:p>
        </w:tc>
        <w:tc>
          <w:tcPr>
            <w:tcW w:w="1276" w:type="dxa"/>
          </w:tcPr>
          <w:p w14:paraId="096E7792" w14:textId="77777777" w:rsidR="00311AE8" w:rsidRPr="00F331D2" w:rsidRDefault="00311AE8" w:rsidP="00D431D5">
            <w:pPr>
              <w:rPr>
                <w:rFonts w:eastAsia="Times New Roman" w:cs="Calibri"/>
                <w:color w:val="000000"/>
                <w:sz w:val="20"/>
                <w:szCs w:val="20"/>
                <w:lang w:eastAsia="ja-JP"/>
              </w:rPr>
            </w:pPr>
            <w:r w:rsidRPr="00730BF3">
              <w:rPr>
                <w:rFonts w:eastAsia="Times New Roman" w:cs="Calibri"/>
                <w:color w:val="000000"/>
                <w:sz w:val="20"/>
                <w:szCs w:val="20"/>
                <w:lang w:eastAsia="ja-JP"/>
              </w:rPr>
              <w:t>Pp3c8_3330V3.1</w:t>
            </w:r>
          </w:p>
        </w:tc>
        <w:tc>
          <w:tcPr>
            <w:tcW w:w="708" w:type="dxa"/>
          </w:tcPr>
          <w:p w14:paraId="6DEDD009"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2237</w:t>
            </w:r>
          </w:p>
        </w:tc>
        <w:tc>
          <w:tcPr>
            <w:tcW w:w="993" w:type="dxa"/>
          </w:tcPr>
          <w:p w14:paraId="5752EBB8"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76.6%</w:t>
            </w:r>
          </w:p>
        </w:tc>
        <w:tc>
          <w:tcPr>
            <w:tcW w:w="1275" w:type="dxa"/>
          </w:tcPr>
          <w:p w14:paraId="2329D4D3"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7</w:t>
            </w:r>
          </w:p>
        </w:tc>
        <w:tc>
          <w:tcPr>
            <w:tcW w:w="1276" w:type="dxa"/>
          </w:tcPr>
          <w:p w14:paraId="16D67A79"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4</w:t>
            </w:r>
          </w:p>
        </w:tc>
      </w:tr>
      <w:tr w:rsidR="00311AE8" w:rsidRPr="00F331D2" w14:paraId="00122EAA" w14:textId="77777777" w:rsidTr="00D431D5">
        <w:trPr>
          <w:trHeight w:val="270"/>
        </w:trPr>
        <w:tc>
          <w:tcPr>
            <w:tcW w:w="1271" w:type="dxa"/>
          </w:tcPr>
          <w:p w14:paraId="54BA26C1"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TOO MANY MOUTHS</w:t>
            </w:r>
          </w:p>
        </w:tc>
        <w:tc>
          <w:tcPr>
            <w:tcW w:w="1276" w:type="dxa"/>
          </w:tcPr>
          <w:p w14:paraId="046DA497"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At1g80080</w:t>
            </w:r>
          </w:p>
        </w:tc>
        <w:tc>
          <w:tcPr>
            <w:tcW w:w="1276" w:type="dxa"/>
          </w:tcPr>
          <w:p w14:paraId="7D4FEC99"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Pp3c3_3780V3.1</w:t>
            </w:r>
          </w:p>
          <w:p w14:paraId="7E34AF2D"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w:t>
            </w:r>
            <w:r w:rsidRPr="002B3CC2">
              <w:rPr>
                <w:rFonts w:eastAsia="Times New Roman" w:cs="Calibri"/>
                <w:i/>
                <w:color w:val="000000"/>
                <w:sz w:val="20"/>
                <w:szCs w:val="20"/>
                <w:lang w:eastAsia="ja-JP"/>
              </w:rPr>
              <w:t>PpTMM</w:t>
            </w:r>
            <w:r w:rsidRPr="00F331D2">
              <w:rPr>
                <w:rFonts w:eastAsia="Times New Roman" w:cs="Calibri"/>
                <w:color w:val="000000"/>
                <w:sz w:val="20"/>
                <w:szCs w:val="20"/>
                <w:lang w:eastAsia="ja-JP"/>
              </w:rPr>
              <w:t>)</w:t>
            </w:r>
          </w:p>
        </w:tc>
        <w:tc>
          <w:tcPr>
            <w:tcW w:w="708" w:type="dxa"/>
          </w:tcPr>
          <w:p w14:paraId="46314C74"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941</w:t>
            </w:r>
          </w:p>
        </w:tc>
        <w:tc>
          <w:tcPr>
            <w:tcW w:w="993" w:type="dxa"/>
          </w:tcPr>
          <w:p w14:paraId="6C4EE8C3"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48.8%</w:t>
            </w:r>
          </w:p>
        </w:tc>
        <w:tc>
          <w:tcPr>
            <w:tcW w:w="1275" w:type="dxa"/>
          </w:tcPr>
          <w:p w14:paraId="2A446CE3" w14:textId="77777777" w:rsidR="00311AE8" w:rsidRDefault="00311AE8" w:rsidP="00D431D5">
            <w:pPr>
              <w:rPr>
                <w:rFonts w:eastAsia="Times New Roman" w:cs="Calibri"/>
                <w:color w:val="000000"/>
                <w:sz w:val="20"/>
                <w:szCs w:val="20"/>
                <w:lang w:eastAsia="ja-JP"/>
              </w:rPr>
            </w:pPr>
          </w:p>
          <w:p w14:paraId="1E12179C" w14:textId="77777777" w:rsidR="00311AE8" w:rsidRDefault="00311AE8" w:rsidP="00D431D5">
            <w:pPr>
              <w:rPr>
                <w:rFonts w:eastAsia="Times New Roman" w:cs="Calibri"/>
                <w:color w:val="000000"/>
                <w:sz w:val="20"/>
                <w:szCs w:val="20"/>
                <w:lang w:eastAsia="ja-JP"/>
              </w:rPr>
            </w:pPr>
          </w:p>
          <w:p w14:paraId="372078AA"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8</w:t>
            </w:r>
          </w:p>
        </w:tc>
        <w:tc>
          <w:tcPr>
            <w:tcW w:w="1276" w:type="dxa"/>
          </w:tcPr>
          <w:p w14:paraId="73C1E60D" w14:textId="77777777" w:rsidR="00311AE8" w:rsidRDefault="00311AE8" w:rsidP="00D431D5">
            <w:pPr>
              <w:rPr>
                <w:rFonts w:eastAsia="Times New Roman" w:cs="Calibri"/>
                <w:color w:val="000000"/>
                <w:sz w:val="20"/>
                <w:szCs w:val="20"/>
                <w:lang w:eastAsia="ja-JP"/>
              </w:rPr>
            </w:pPr>
          </w:p>
          <w:p w14:paraId="70A367D2" w14:textId="77777777" w:rsidR="00311AE8" w:rsidRDefault="00311AE8" w:rsidP="00D431D5">
            <w:pPr>
              <w:rPr>
                <w:rFonts w:eastAsia="Times New Roman" w:cs="Calibri"/>
                <w:color w:val="000000"/>
                <w:sz w:val="20"/>
                <w:szCs w:val="20"/>
                <w:lang w:eastAsia="ja-JP"/>
              </w:rPr>
            </w:pPr>
          </w:p>
          <w:p w14:paraId="47D2E118"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4</w:t>
            </w:r>
          </w:p>
        </w:tc>
      </w:tr>
      <w:tr w:rsidR="00311AE8" w:rsidRPr="00F331D2" w14:paraId="0CEFAF5E" w14:textId="77777777" w:rsidTr="00D431D5">
        <w:trPr>
          <w:trHeight w:val="270"/>
        </w:trPr>
        <w:tc>
          <w:tcPr>
            <w:tcW w:w="1271" w:type="dxa"/>
          </w:tcPr>
          <w:p w14:paraId="5494D42C"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b/>
                <w:bCs/>
                <w:i/>
                <w:color w:val="000000"/>
                <w:sz w:val="20"/>
                <w:szCs w:val="20"/>
                <w:lang w:eastAsia="ja-JP"/>
              </w:rPr>
              <w:t>Signalling pathway</w:t>
            </w:r>
          </w:p>
        </w:tc>
        <w:tc>
          <w:tcPr>
            <w:tcW w:w="1276" w:type="dxa"/>
          </w:tcPr>
          <w:p w14:paraId="6C9C8076"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w:t>
            </w:r>
          </w:p>
        </w:tc>
        <w:tc>
          <w:tcPr>
            <w:tcW w:w="1276" w:type="dxa"/>
          </w:tcPr>
          <w:p w14:paraId="4AF92C99"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w:t>
            </w:r>
          </w:p>
        </w:tc>
        <w:tc>
          <w:tcPr>
            <w:tcW w:w="708" w:type="dxa"/>
          </w:tcPr>
          <w:p w14:paraId="5430BBA1"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w:t>
            </w:r>
          </w:p>
        </w:tc>
        <w:tc>
          <w:tcPr>
            <w:tcW w:w="993" w:type="dxa"/>
          </w:tcPr>
          <w:p w14:paraId="6C9AE55B"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w:t>
            </w:r>
          </w:p>
        </w:tc>
        <w:tc>
          <w:tcPr>
            <w:tcW w:w="1275" w:type="dxa"/>
          </w:tcPr>
          <w:p w14:paraId="0D5DB40C" w14:textId="77777777" w:rsidR="00311AE8" w:rsidRPr="00F331D2" w:rsidRDefault="00311AE8" w:rsidP="00D431D5">
            <w:pPr>
              <w:rPr>
                <w:rFonts w:eastAsia="Times New Roman" w:cs="Calibri"/>
                <w:color w:val="000000"/>
                <w:sz w:val="20"/>
                <w:szCs w:val="20"/>
                <w:lang w:eastAsia="ja-JP"/>
              </w:rPr>
            </w:pPr>
          </w:p>
        </w:tc>
        <w:tc>
          <w:tcPr>
            <w:tcW w:w="1276" w:type="dxa"/>
          </w:tcPr>
          <w:p w14:paraId="5ED0D7B2" w14:textId="77777777" w:rsidR="00311AE8" w:rsidRPr="00F331D2" w:rsidRDefault="00311AE8" w:rsidP="00D431D5">
            <w:pPr>
              <w:rPr>
                <w:rFonts w:eastAsia="Times New Roman" w:cs="Calibri"/>
                <w:color w:val="000000"/>
                <w:sz w:val="20"/>
                <w:szCs w:val="20"/>
                <w:lang w:eastAsia="ja-JP"/>
              </w:rPr>
            </w:pPr>
          </w:p>
        </w:tc>
      </w:tr>
      <w:tr w:rsidR="00311AE8" w:rsidRPr="00F331D2" w14:paraId="0F45A90C" w14:textId="77777777" w:rsidTr="00D431D5">
        <w:trPr>
          <w:trHeight w:val="270"/>
        </w:trPr>
        <w:tc>
          <w:tcPr>
            <w:tcW w:w="1271" w:type="dxa"/>
          </w:tcPr>
          <w:p w14:paraId="62276B9C"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YODA</w:t>
            </w:r>
          </w:p>
        </w:tc>
        <w:tc>
          <w:tcPr>
            <w:tcW w:w="1276" w:type="dxa"/>
          </w:tcPr>
          <w:p w14:paraId="1D581DEF"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At1g63700</w:t>
            </w:r>
          </w:p>
        </w:tc>
        <w:tc>
          <w:tcPr>
            <w:tcW w:w="1276" w:type="dxa"/>
          </w:tcPr>
          <w:p w14:paraId="588120A1"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Pp3c20_16130V3.1</w:t>
            </w:r>
          </w:p>
        </w:tc>
        <w:tc>
          <w:tcPr>
            <w:tcW w:w="708" w:type="dxa"/>
          </w:tcPr>
          <w:p w14:paraId="6CCDB347"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1333</w:t>
            </w:r>
          </w:p>
        </w:tc>
        <w:tc>
          <w:tcPr>
            <w:tcW w:w="993" w:type="dxa"/>
          </w:tcPr>
          <w:p w14:paraId="2A638F20"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31.9%</w:t>
            </w:r>
          </w:p>
        </w:tc>
        <w:tc>
          <w:tcPr>
            <w:tcW w:w="1275" w:type="dxa"/>
          </w:tcPr>
          <w:p w14:paraId="48767A7E"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14</w:t>
            </w:r>
          </w:p>
        </w:tc>
        <w:tc>
          <w:tcPr>
            <w:tcW w:w="1276" w:type="dxa"/>
          </w:tcPr>
          <w:p w14:paraId="044612A3"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9</w:t>
            </w:r>
          </w:p>
        </w:tc>
      </w:tr>
      <w:tr w:rsidR="00311AE8" w:rsidRPr="00F331D2" w14:paraId="2C2D70F8" w14:textId="77777777" w:rsidTr="00D431D5">
        <w:trPr>
          <w:trHeight w:val="403"/>
        </w:trPr>
        <w:tc>
          <w:tcPr>
            <w:tcW w:w="1271" w:type="dxa"/>
          </w:tcPr>
          <w:p w14:paraId="7E72DCD0"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MKK4/</w:t>
            </w:r>
          </w:p>
          <w:p w14:paraId="178E2541"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MKK5/</w:t>
            </w:r>
          </w:p>
          <w:p w14:paraId="4337F4AC"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MKK7/</w:t>
            </w:r>
          </w:p>
          <w:p w14:paraId="54B23DF4"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MKK9</w:t>
            </w:r>
          </w:p>
        </w:tc>
        <w:tc>
          <w:tcPr>
            <w:tcW w:w="1276" w:type="dxa"/>
          </w:tcPr>
          <w:p w14:paraId="54FFA0D1"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At1g51660 At3g21220 At1g18350 At1g73500</w:t>
            </w:r>
          </w:p>
        </w:tc>
        <w:tc>
          <w:tcPr>
            <w:tcW w:w="1276" w:type="dxa"/>
          </w:tcPr>
          <w:p w14:paraId="6DC95055"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Pp3c24_12310V3.1 Pp3c8_16240V3.1 Pp3c24_12310V3.1 Pp3c24_12310V3.2</w:t>
            </w:r>
          </w:p>
        </w:tc>
        <w:tc>
          <w:tcPr>
            <w:tcW w:w="708" w:type="dxa"/>
          </w:tcPr>
          <w:p w14:paraId="5F1BC7FC"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812 819 849 905</w:t>
            </w:r>
          </w:p>
        </w:tc>
        <w:tc>
          <w:tcPr>
            <w:tcW w:w="993" w:type="dxa"/>
          </w:tcPr>
          <w:p w14:paraId="47D3F92B"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xml:space="preserve">48.9%   52%   59.3% 63.5% </w:t>
            </w:r>
          </w:p>
        </w:tc>
        <w:tc>
          <w:tcPr>
            <w:tcW w:w="1275" w:type="dxa"/>
          </w:tcPr>
          <w:p w14:paraId="2A0AD2AB" w14:textId="77777777" w:rsidR="00311AE8" w:rsidRPr="00F331D2" w:rsidRDefault="00311AE8" w:rsidP="00D431D5">
            <w:pPr>
              <w:rPr>
                <w:rFonts w:eastAsia="Times New Roman" w:cs="Calibri"/>
                <w:color w:val="000000"/>
                <w:sz w:val="20"/>
                <w:szCs w:val="20"/>
                <w:lang w:eastAsia="ja-JP"/>
              </w:rPr>
            </w:pPr>
          </w:p>
          <w:p w14:paraId="7C40C11C"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15</w:t>
            </w:r>
          </w:p>
          <w:p w14:paraId="5B3D4AF4"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14</w:t>
            </w:r>
          </w:p>
          <w:p w14:paraId="59714F2D"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9</w:t>
            </w:r>
          </w:p>
          <w:p w14:paraId="6AF757B3"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14</w:t>
            </w:r>
          </w:p>
        </w:tc>
        <w:tc>
          <w:tcPr>
            <w:tcW w:w="1276" w:type="dxa"/>
          </w:tcPr>
          <w:p w14:paraId="2DEC4C83" w14:textId="77777777" w:rsidR="00311AE8" w:rsidRDefault="00311AE8" w:rsidP="00D431D5">
            <w:pPr>
              <w:rPr>
                <w:rFonts w:eastAsia="Times New Roman" w:cs="Calibri"/>
                <w:color w:val="000000"/>
                <w:sz w:val="20"/>
                <w:szCs w:val="20"/>
                <w:lang w:eastAsia="ja-JP"/>
              </w:rPr>
            </w:pPr>
          </w:p>
          <w:p w14:paraId="5D401960" w14:textId="77777777" w:rsidR="00311AE8"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2</w:t>
            </w:r>
          </w:p>
          <w:p w14:paraId="7F1A6544" w14:textId="77777777" w:rsidR="00311AE8"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2</w:t>
            </w:r>
          </w:p>
          <w:p w14:paraId="32ABE966" w14:textId="77777777" w:rsidR="00311AE8"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2</w:t>
            </w:r>
          </w:p>
          <w:p w14:paraId="0825C619"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2</w:t>
            </w:r>
          </w:p>
        </w:tc>
      </w:tr>
      <w:tr w:rsidR="00311AE8" w:rsidRPr="00F331D2" w14:paraId="75DA8950" w14:textId="77777777" w:rsidTr="00D431D5">
        <w:trPr>
          <w:trHeight w:val="629"/>
        </w:trPr>
        <w:tc>
          <w:tcPr>
            <w:tcW w:w="1271" w:type="dxa"/>
          </w:tcPr>
          <w:p w14:paraId="6653A34C"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MAPK3/</w:t>
            </w:r>
          </w:p>
          <w:p w14:paraId="31AC8635" w14:textId="77777777" w:rsidR="00311AE8" w:rsidRPr="002B3CC2" w:rsidRDefault="00311AE8" w:rsidP="00D431D5">
            <w:pPr>
              <w:rPr>
                <w:rFonts w:eastAsia="Times New Roman" w:cs="Calibri"/>
                <w:b/>
                <w:bCs/>
                <w:i/>
                <w:color w:val="000000"/>
                <w:sz w:val="20"/>
                <w:szCs w:val="20"/>
                <w:lang w:eastAsia="ja-JP"/>
              </w:rPr>
            </w:pPr>
            <w:r w:rsidRPr="002B3CC2">
              <w:rPr>
                <w:rFonts w:eastAsia="Times New Roman" w:cs="Calibri"/>
                <w:i/>
                <w:color w:val="000000"/>
                <w:sz w:val="20"/>
                <w:szCs w:val="20"/>
                <w:lang w:eastAsia="ja-JP"/>
              </w:rPr>
              <w:t>MAPK6</w:t>
            </w:r>
          </w:p>
        </w:tc>
        <w:tc>
          <w:tcPr>
            <w:tcW w:w="1276" w:type="dxa"/>
            <w:noWrap/>
          </w:tcPr>
          <w:p w14:paraId="42A572CD"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At3g45640 At2g43790</w:t>
            </w:r>
          </w:p>
        </w:tc>
        <w:tc>
          <w:tcPr>
            <w:tcW w:w="1276" w:type="dxa"/>
          </w:tcPr>
          <w:p w14:paraId="6031EA41"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Pp3c1_22480V3.1 Pp3c1_22480V3.1</w:t>
            </w:r>
          </w:p>
        </w:tc>
        <w:tc>
          <w:tcPr>
            <w:tcW w:w="708" w:type="dxa"/>
          </w:tcPr>
          <w:p w14:paraId="75F499E6"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1741 1776</w:t>
            </w:r>
          </w:p>
        </w:tc>
        <w:tc>
          <w:tcPr>
            <w:tcW w:w="993" w:type="dxa"/>
          </w:tcPr>
          <w:p w14:paraId="43C10809"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83%   78.5%</w:t>
            </w:r>
          </w:p>
        </w:tc>
        <w:tc>
          <w:tcPr>
            <w:tcW w:w="1275" w:type="dxa"/>
          </w:tcPr>
          <w:p w14:paraId="5F5E284B" w14:textId="77777777" w:rsidR="00311AE8" w:rsidRPr="00F331D2" w:rsidRDefault="00311AE8" w:rsidP="00D431D5">
            <w:pPr>
              <w:rPr>
                <w:rFonts w:eastAsia="Times New Roman" w:cs="Calibri"/>
                <w:color w:val="000000"/>
                <w:sz w:val="20"/>
                <w:szCs w:val="20"/>
                <w:lang w:eastAsia="ja-JP"/>
              </w:rPr>
            </w:pPr>
          </w:p>
          <w:p w14:paraId="3A3CBC15"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8</w:t>
            </w:r>
          </w:p>
          <w:p w14:paraId="47084E9D"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8</w:t>
            </w:r>
          </w:p>
        </w:tc>
        <w:tc>
          <w:tcPr>
            <w:tcW w:w="1276" w:type="dxa"/>
          </w:tcPr>
          <w:p w14:paraId="24BCC6D6" w14:textId="77777777" w:rsidR="00311AE8" w:rsidRDefault="00311AE8" w:rsidP="00D431D5">
            <w:pPr>
              <w:rPr>
                <w:rFonts w:eastAsia="Times New Roman" w:cs="Calibri"/>
                <w:color w:val="000000"/>
                <w:sz w:val="20"/>
                <w:szCs w:val="20"/>
                <w:lang w:eastAsia="ja-JP"/>
              </w:rPr>
            </w:pPr>
          </w:p>
          <w:p w14:paraId="7924C57F" w14:textId="77777777" w:rsidR="00311AE8"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6</w:t>
            </w:r>
          </w:p>
          <w:p w14:paraId="12B99D77"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6</w:t>
            </w:r>
          </w:p>
        </w:tc>
      </w:tr>
      <w:tr w:rsidR="00311AE8" w:rsidRPr="00F331D2" w14:paraId="57E31635" w14:textId="77777777" w:rsidTr="00D431D5">
        <w:trPr>
          <w:trHeight w:val="600"/>
        </w:trPr>
        <w:tc>
          <w:tcPr>
            <w:tcW w:w="1271" w:type="dxa"/>
          </w:tcPr>
          <w:p w14:paraId="5BD2ACE9" w14:textId="77777777" w:rsidR="00311AE8" w:rsidRPr="00895226" w:rsidRDefault="00311AE8" w:rsidP="00D431D5">
            <w:pPr>
              <w:rPr>
                <w:rFonts w:eastAsia="Times New Roman" w:cs="Calibri"/>
                <w:color w:val="000000"/>
                <w:sz w:val="20"/>
                <w:szCs w:val="20"/>
                <w:lang w:eastAsia="ja-JP"/>
              </w:rPr>
            </w:pPr>
            <w:r w:rsidRPr="00895226">
              <w:rPr>
                <w:rFonts w:eastAsia="Times New Roman" w:cs="Calibri"/>
                <w:b/>
                <w:bCs/>
                <w:i/>
                <w:color w:val="000000"/>
                <w:sz w:val="20"/>
                <w:szCs w:val="20"/>
                <w:lang w:eastAsia="ja-JP"/>
              </w:rPr>
              <w:t>bHLH</w:t>
            </w:r>
            <w:r>
              <w:rPr>
                <w:rFonts w:eastAsia="Times New Roman" w:cs="Calibri"/>
                <w:b/>
                <w:bCs/>
                <w:i/>
                <w:color w:val="000000"/>
                <w:sz w:val="20"/>
                <w:szCs w:val="20"/>
                <w:lang w:eastAsia="ja-JP"/>
              </w:rPr>
              <w:t xml:space="preserve"> </w:t>
            </w:r>
            <w:r>
              <w:rPr>
                <w:rFonts w:eastAsia="Times New Roman" w:cs="Calibri"/>
                <w:b/>
                <w:bCs/>
                <w:color w:val="000000"/>
                <w:sz w:val="20"/>
                <w:szCs w:val="20"/>
                <w:lang w:eastAsia="ja-JP"/>
              </w:rPr>
              <w:t>transcription factors</w:t>
            </w:r>
          </w:p>
        </w:tc>
        <w:tc>
          <w:tcPr>
            <w:tcW w:w="1276" w:type="dxa"/>
          </w:tcPr>
          <w:p w14:paraId="3C404162"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b/>
                <w:bCs/>
                <w:color w:val="000000"/>
                <w:sz w:val="20"/>
                <w:szCs w:val="20"/>
                <w:lang w:eastAsia="ja-JP"/>
              </w:rPr>
              <w:t> </w:t>
            </w:r>
          </w:p>
        </w:tc>
        <w:tc>
          <w:tcPr>
            <w:tcW w:w="1276" w:type="dxa"/>
          </w:tcPr>
          <w:p w14:paraId="0819252C"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w:t>
            </w:r>
          </w:p>
        </w:tc>
        <w:tc>
          <w:tcPr>
            <w:tcW w:w="708" w:type="dxa"/>
          </w:tcPr>
          <w:p w14:paraId="47B3B0EC"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w:t>
            </w:r>
          </w:p>
        </w:tc>
        <w:tc>
          <w:tcPr>
            <w:tcW w:w="993" w:type="dxa"/>
          </w:tcPr>
          <w:p w14:paraId="53972074"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 </w:t>
            </w:r>
          </w:p>
        </w:tc>
        <w:tc>
          <w:tcPr>
            <w:tcW w:w="1275" w:type="dxa"/>
          </w:tcPr>
          <w:p w14:paraId="67C4F05C" w14:textId="77777777" w:rsidR="00311AE8" w:rsidRPr="00F331D2" w:rsidRDefault="00311AE8" w:rsidP="00D431D5">
            <w:pPr>
              <w:rPr>
                <w:rFonts w:eastAsia="Times New Roman" w:cs="Calibri"/>
                <w:color w:val="000000"/>
                <w:sz w:val="20"/>
                <w:szCs w:val="20"/>
                <w:lang w:eastAsia="ja-JP"/>
              </w:rPr>
            </w:pPr>
          </w:p>
        </w:tc>
        <w:tc>
          <w:tcPr>
            <w:tcW w:w="1276" w:type="dxa"/>
          </w:tcPr>
          <w:p w14:paraId="0945DAAF" w14:textId="77777777" w:rsidR="00311AE8" w:rsidRPr="00F331D2" w:rsidRDefault="00311AE8" w:rsidP="00D431D5">
            <w:pPr>
              <w:rPr>
                <w:rFonts w:eastAsia="Times New Roman" w:cs="Calibri"/>
                <w:color w:val="000000"/>
                <w:sz w:val="20"/>
                <w:szCs w:val="20"/>
                <w:lang w:eastAsia="ja-JP"/>
              </w:rPr>
            </w:pPr>
          </w:p>
        </w:tc>
      </w:tr>
      <w:tr w:rsidR="00311AE8" w:rsidRPr="00F331D2" w14:paraId="79C75774" w14:textId="77777777" w:rsidTr="00D431D5">
        <w:trPr>
          <w:trHeight w:val="600"/>
        </w:trPr>
        <w:tc>
          <w:tcPr>
            <w:tcW w:w="1271" w:type="dxa"/>
          </w:tcPr>
          <w:p w14:paraId="3DD7D6A8"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SPCH</w:t>
            </w:r>
          </w:p>
        </w:tc>
        <w:tc>
          <w:tcPr>
            <w:tcW w:w="1276" w:type="dxa"/>
          </w:tcPr>
          <w:p w14:paraId="1C52B7FC"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At5g53210</w:t>
            </w:r>
          </w:p>
        </w:tc>
        <w:tc>
          <w:tcPr>
            <w:tcW w:w="1276" w:type="dxa"/>
            <w:noWrap/>
          </w:tcPr>
          <w:p w14:paraId="2C6906EE" w14:textId="77777777" w:rsidR="00311AE8" w:rsidRPr="00F331D2" w:rsidRDefault="00311AE8" w:rsidP="00D431D5">
            <w:pPr>
              <w:rPr>
                <w:rFonts w:eastAsia="Times New Roman" w:cs="Calibri"/>
                <w:sz w:val="20"/>
                <w:szCs w:val="20"/>
                <w:lang w:eastAsia="ja-JP"/>
              </w:rPr>
            </w:pPr>
            <w:r w:rsidRPr="00F331D2">
              <w:rPr>
                <w:rFonts w:eastAsia="Times New Roman" w:cs="Calibri"/>
                <w:color w:val="000000"/>
                <w:sz w:val="20"/>
                <w:szCs w:val="20"/>
                <w:lang w:eastAsia="ja-JP"/>
              </w:rPr>
              <w:t>Pp3c22_14220V3.1 (</w:t>
            </w:r>
            <w:r w:rsidRPr="002B3CC2">
              <w:rPr>
                <w:rFonts w:eastAsia="Times New Roman" w:cs="Calibri"/>
                <w:i/>
                <w:color w:val="000000"/>
                <w:sz w:val="20"/>
                <w:szCs w:val="20"/>
                <w:lang w:eastAsia="ja-JP"/>
              </w:rPr>
              <w:t>PpSMF1</w:t>
            </w:r>
            <w:r w:rsidRPr="00F331D2">
              <w:rPr>
                <w:rFonts w:eastAsia="Times New Roman" w:cs="Calibri"/>
                <w:color w:val="000000"/>
                <w:sz w:val="20"/>
                <w:szCs w:val="20"/>
                <w:lang w:eastAsia="ja-JP"/>
              </w:rPr>
              <w:t>)</w:t>
            </w:r>
          </w:p>
        </w:tc>
        <w:tc>
          <w:tcPr>
            <w:tcW w:w="708" w:type="dxa"/>
          </w:tcPr>
          <w:p w14:paraId="543B9DC5"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376</w:t>
            </w:r>
          </w:p>
        </w:tc>
        <w:tc>
          <w:tcPr>
            <w:tcW w:w="993" w:type="dxa"/>
          </w:tcPr>
          <w:p w14:paraId="0E206915"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46.7%</w:t>
            </w:r>
          </w:p>
        </w:tc>
        <w:tc>
          <w:tcPr>
            <w:tcW w:w="1275" w:type="dxa"/>
          </w:tcPr>
          <w:p w14:paraId="0C6C0E4B"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12</w:t>
            </w:r>
          </w:p>
        </w:tc>
        <w:tc>
          <w:tcPr>
            <w:tcW w:w="1276" w:type="dxa"/>
          </w:tcPr>
          <w:p w14:paraId="286D078C"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1</w:t>
            </w:r>
          </w:p>
        </w:tc>
      </w:tr>
      <w:tr w:rsidR="00311AE8" w:rsidRPr="00F331D2" w14:paraId="0355F972" w14:textId="77777777" w:rsidTr="00D431D5">
        <w:trPr>
          <w:trHeight w:val="600"/>
        </w:trPr>
        <w:tc>
          <w:tcPr>
            <w:tcW w:w="1271" w:type="dxa"/>
          </w:tcPr>
          <w:p w14:paraId="6F72F5EC"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MUTE</w:t>
            </w:r>
          </w:p>
        </w:tc>
        <w:tc>
          <w:tcPr>
            <w:tcW w:w="1276" w:type="dxa"/>
          </w:tcPr>
          <w:p w14:paraId="28515772"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At3g06120</w:t>
            </w:r>
          </w:p>
        </w:tc>
        <w:tc>
          <w:tcPr>
            <w:tcW w:w="1276" w:type="dxa"/>
          </w:tcPr>
          <w:p w14:paraId="53947BDE"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Pp3c22_14220V3.1 (</w:t>
            </w:r>
            <w:r w:rsidRPr="002B3CC2">
              <w:rPr>
                <w:rFonts w:eastAsia="Times New Roman" w:cs="Calibri"/>
                <w:i/>
                <w:color w:val="000000"/>
                <w:sz w:val="20"/>
                <w:szCs w:val="20"/>
                <w:lang w:eastAsia="ja-JP"/>
              </w:rPr>
              <w:t>PpSMF1</w:t>
            </w:r>
            <w:r w:rsidRPr="00F331D2">
              <w:rPr>
                <w:rFonts w:eastAsia="Times New Roman" w:cs="Calibri"/>
                <w:color w:val="000000"/>
                <w:sz w:val="20"/>
                <w:szCs w:val="20"/>
                <w:lang w:eastAsia="ja-JP"/>
              </w:rPr>
              <w:t>)</w:t>
            </w:r>
          </w:p>
        </w:tc>
        <w:tc>
          <w:tcPr>
            <w:tcW w:w="708" w:type="dxa"/>
          </w:tcPr>
          <w:p w14:paraId="0260CA1F"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374</w:t>
            </w:r>
          </w:p>
        </w:tc>
        <w:tc>
          <w:tcPr>
            <w:tcW w:w="993" w:type="dxa"/>
          </w:tcPr>
          <w:p w14:paraId="5636ABE7"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64.4%</w:t>
            </w:r>
          </w:p>
        </w:tc>
        <w:tc>
          <w:tcPr>
            <w:tcW w:w="1275" w:type="dxa"/>
          </w:tcPr>
          <w:p w14:paraId="0A6D8FF2"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15</w:t>
            </w:r>
          </w:p>
        </w:tc>
        <w:tc>
          <w:tcPr>
            <w:tcW w:w="1276" w:type="dxa"/>
          </w:tcPr>
          <w:p w14:paraId="2837E4EC"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0</w:t>
            </w:r>
          </w:p>
        </w:tc>
      </w:tr>
      <w:tr w:rsidR="00311AE8" w:rsidRPr="00F331D2" w14:paraId="6F822900" w14:textId="77777777" w:rsidTr="00D431D5">
        <w:trPr>
          <w:trHeight w:val="600"/>
        </w:trPr>
        <w:tc>
          <w:tcPr>
            <w:tcW w:w="1271" w:type="dxa"/>
          </w:tcPr>
          <w:p w14:paraId="144F3760"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FAMA</w:t>
            </w:r>
          </w:p>
        </w:tc>
        <w:tc>
          <w:tcPr>
            <w:tcW w:w="1276" w:type="dxa"/>
          </w:tcPr>
          <w:p w14:paraId="3E0C10C0"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At3g24140</w:t>
            </w:r>
          </w:p>
        </w:tc>
        <w:tc>
          <w:tcPr>
            <w:tcW w:w="1276" w:type="dxa"/>
            <w:noWrap/>
          </w:tcPr>
          <w:p w14:paraId="6FEB7C66" w14:textId="77777777" w:rsidR="00311AE8" w:rsidRPr="00F331D2" w:rsidRDefault="00311AE8" w:rsidP="00D431D5">
            <w:pPr>
              <w:rPr>
                <w:rFonts w:eastAsia="Times New Roman" w:cs="Calibri"/>
                <w:sz w:val="20"/>
                <w:szCs w:val="20"/>
                <w:lang w:eastAsia="ja-JP"/>
              </w:rPr>
            </w:pPr>
            <w:r w:rsidRPr="00F331D2">
              <w:rPr>
                <w:rFonts w:eastAsia="Times New Roman" w:cs="Calibri"/>
                <w:color w:val="000000"/>
                <w:sz w:val="20"/>
                <w:szCs w:val="20"/>
                <w:lang w:eastAsia="ja-JP"/>
              </w:rPr>
              <w:t>Pp3c22_14220V3.1 (</w:t>
            </w:r>
            <w:r w:rsidRPr="002B3CC2">
              <w:rPr>
                <w:rFonts w:eastAsia="Times New Roman" w:cs="Calibri"/>
                <w:i/>
                <w:color w:val="000000"/>
                <w:sz w:val="20"/>
                <w:szCs w:val="20"/>
                <w:lang w:eastAsia="ja-JP"/>
              </w:rPr>
              <w:t>PpSMF1</w:t>
            </w:r>
            <w:r w:rsidRPr="00F331D2">
              <w:rPr>
                <w:rFonts w:eastAsia="Times New Roman" w:cs="Calibri"/>
                <w:color w:val="000000"/>
                <w:sz w:val="20"/>
                <w:szCs w:val="20"/>
                <w:lang w:eastAsia="ja-JP"/>
              </w:rPr>
              <w:t>)</w:t>
            </w:r>
          </w:p>
        </w:tc>
        <w:tc>
          <w:tcPr>
            <w:tcW w:w="708" w:type="dxa"/>
          </w:tcPr>
          <w:p w14:paraId="38104F6A"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447</w:t>
            </w:r>
          </w:p>
        </w:tc>
        <w:tc>
          <w:tcPr>
            <w:tcW w:w="993" w:type="dxa"/>
          </w:tcPr>
          <w:p w14:paraId="64C360CF"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30.9%</w:t>
            </w:r>
          </w:p>
        </w:tc>
        <w:tc>
          <w:tcPr>
            <w:tcW w:w="1275" w:type="dxa"/>
          </w:tcPr>
          <w:p w14:paraId="3665D418"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14</w:t>
            </w:r>
          </w:p>
        </w:tc>
        <w:tc>
          <w:tcPr>
            <w:tcW w:w="1276" w:type="dxa"/>
          </w:tcPr>
          <w:p w14:paraId="7B866FF6"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0</w:t>
            </w:r>
          </w:p>
        </w:tc>
      </w:tr>
      <w:tr w:rsidR="00311AE8" w:rsidRPr="00F331D2" w14:paraId="1C599203" w14:textId="77777777" w:rsidTr="00D431D5">
        <w:trPr>
          <w:trHeight w:val="600"/>
        </w:trPr>
        <w:tc>
          <w:tcPr>
            <w:tcW w:w="1271" w:type="dxa"/>
          </w:tcPr>
          <w:p w14:paraId="6F6BCFEC"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ICE1/ SCRM</w:t>
            </w:r>
          </w:p>
        </w:tc>
        <w:tc>
          <w:tcPr>
            <w:tcW w:w="1276" w:type="dxa"/>
          </w:tcPr>
          <w:p w14:paraId="1614725E"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At3g26744</w:t>
            </w:r>
          </w:p>
        </w:tc>
        <w:tc>
          <w:tcPr>
            <w:tcW w:w="1276" w:type="dxa"/>
          </w:tcPr>
          <w:p w14:paraId="29744DB3"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Pp3c10_4280V3.1</w:t>
            </w:r>
          </w:p>
          <w:p w14:paraId="6DD5A5CA"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w:t>
            </w:r>
            <w:r w:rsidRPr="002B3CC2">
              <w:rPr>
                <w:rFonts w:eastAsia="Times New Roman" w:cs="Calibri"/>
                <w:i/>
                <w:color w:val="000000"/>
                <w:sz w:val="20"/>
                <w:szCs w:val="20"/>
                <w:lang w:eastAsia="ja-JP"/>
              </w:rPr>
              <w:t>PpSCRM1</w:t>
            </w:r>
            <w:r w:rsidRPr="00F331D2">
              <w:rPr>
                <w:rFonts w:eastAsia="Times New Roman" w:cs="Calibri"/>
                <w:color w:val="000000"/>
                <w:sz w:val="20"/>
                <w:szCs w:val="20"/>
                <w:lang w:eastAsia="ja-JP"/>
              </w:rPr>
              <w:t>)</w:t>
            </w:r>
          </w:p>
        </w:tc>
        <w:tc>
          <w:tcPr>
            <w:tcW w:w="708" w:type="dxa"/>
          </w:tcPr>
          <w:p w14:paraId="38462773"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686</w:t>
            </w:r>
          </w:p>
        </w:tc>
        <w:tc>
          <w:tcPr>
            <w:tcW w:w="993" w:type="dxa"/>
          </w:tcPr>
          <w:p w14:paraId="7664445C"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30.2%</w:t>
            </w:r>
          </w:p>
        </w:tc>
        <w:tc>
          <w:tcPr>
            <w:tcW w:w="1275" w:type="dxa"/>
          </w:tcPr>
          <w:p w14:paraId="7F9F789A"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18</w:t>
            </w:r>
          </w:p>
          <w:p w14:paraId="23E29D77" w14:textId="77777777" w:rsidR="00311AE8" w:rsidRPr="00F331D2" w:rsidRDefault="00311AE8" w:rsidP="00D431D5">
            <w:pPr>
              <w:rPr>
                <w:rFonts w:eastAsia="Times New Roman" w:cs="Calibri"/>
                <w:color w:val="000000"/>
                <w:sz w:val="20"/>
                <w:szCs w:val="20"/>
                <w:lang w:eastAsia="ja-JP"/>
              </w:rPr>
            </w:pPr>
          </w:p>
        </w:tc>
        <w:tc>
          <w:tcPr>
            <w:tcW w:w="1276" w:type="dxa"/>
          </w:tcPr>
          <w:p w14:paraId="47BF98E6"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3</w:t>
            </w:r>
          </w:p>
        </w:tc>
      </w:tr>
      <w:tr w:rsidR="00311AE8" w:rsidRPr="00F331D2" w14:paraId="3F1F9FB2" w14:textId="77777777" w:rsidTr="00D431D5">
        <w:trPr>
          <w:trHeight w:val="600"/>
        </w:trPr>
        <w:tc>
          <w:tcPr>
            <w:tcW w:w="1271" w:type="dxa"/>
          </w:tcPr>
          <w:p w14:paraId="33434A7E"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SCRM2</w:t>
            </w:r>
          </w:p>
        </w:tc>
        <w:tc>
          <w:tcPr>
            <w:tcW w:w="1276" w:type="dxa"/>
          </w:tcPr>
          <w:p w14:paraId="378D8F9A"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At1g12860</w:t>
            </w:r>
          </w:p>
        </w:tc>
        <w:tc>
          <w:tcPr>
            <w:tcW w:w="1276" w:type="dxa"/>
            <w:noWrap/>
          </w:tcPr>
          <w:p w14:paraId="4CCAD9E4" w14:textId="77777777" w:rsidR="00311AE8" w:rsidRPr="00F331D2" w:rsidRDefault="00311AE8" w:rsidP="00D431D5">
            <w:pPr>
              <w:rPr>
                <w:rFonts w:eastAsia="Times New Roman" w:cs="Calibri"/>
                <w:sz w:val="20"/>
                <w:szCs w:val="20"/>
                <w:lang w:eastAsia="ja-JP"/>
              </w:rPr>
            </w:pPr>
            <w:r w:rsidRPr="00F331D2">
              <w:rPr>
                <w:rFonts w:eastAsia="Times New Roman" w:cs="Calibri"/>
                <w:color w:val="000000"/>
                <w:sz w:val="20"/>
                <w:szCs w:val="20"/>
                <w:lang w:eastAsia="ja-JP"/>
              </w:rPr>
              <w:t>Pp3c1_20960V3.1</w:t>
            </w:r>
          </w:p>
        </w:tc>
        <w:tc>
          <w:tcPr>
            <w:tcW w:w="708" w:type="dxa"/>
          </w:tcPr>
          <w:p w14:paraId="1D15DC98"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634</w:t>
            </w:r>
          </w:p>
        </w:tc>
        <w:tc>
          <w:tcPr>
            <w:tcW w:w="993" w:type="dxa"/>
          </w:tcPr>
          <w:p w14:paraId="6ABC61BF"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31.8%</w:t>
            </w:r>
          </w:p>
        </w:tc>
        <w:tc>
          <w:tcPr>
            <w:tcW w:w="1275" w:type="dxa"/>
          </w:tcPr>
          <w:p w14:paraId="57FED4DF"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19</w:t>
            </w:r>
          </w:p>
        </w:tc>
        <w:tc>
          <w:tcPr>
            <w:tcW w:w="1276" w:type="dxa"/>
          </w:tcPr>
          <w:p w14:paraId="66394BD9"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0</w:t>
            </w:r>
          </w:p>
        </w:tc>
      </w:tr>
      <w:tr w:rsidR="00311AE8" w:rsidRPr="00F331D2" w14:paraId="048E4A37" w14:textId="77777777" w:rsidTr="00D431D5">
        <w:trPr>
          <w:trHeight w:val="600"/>
        </w:trPr>
        <w:tc>
          <w:tcPr>
            <w:tcW w:w="1271" w:type="dxa"/>
          </w:tcPr>
          <w:p w14:paraId="3B3E3DAA" w14:textId="77777777" w:rsidR="00311AE8" w:rsidRPr="00895226"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Polarity regulators</w:t>
            </w:r>
          </w:p>
        </w:tc>
        <w:tc>
          <w:tcPr>
            <w:tcW w:w="1276" w:type="dxa"/>
          </w:tcPr>
          <w:p w14:paraId="5DD07FF8" w14:textId="77777777" w:rsidR="00311AE8" w:rsidRDefault="00311AE8" w:rsidP="00D431D5">
            <w:pPr>
              <w:rPr>
                <w:rFonts w:eastAsia="Times New Roman" w:cs="Calibri"/>
                <w:color w:val="000000"/>
                <w:sz w:val="20"/>
                <w:szCs w:val="20"/>
                <w:lang w:eastAsia="ja-JP"/>
              </w:rPr>
            </w:pPr>
          </w:p>
        </w:tc>
        <w:tc>
          <w:tcPr>
            <w:tcW w:w="1276" w:type="dxa"/>
            <w:noWrap/>
          </w:tcPr>
          <w:p w14:paraId="22CA2570" w14:textId="77777777" w:rsidR="00311AE8" w:rsidRPr="00F331D2" w:rsidRDefault="00311AE8" w:rsidP="00D431D5">
            <w:pPr>
              <w:rPr>
                <w:rFonts w:eastAsia="Times New Roman" w:cs="Calibri"/>
                <w:color w:val="000000"/>
                <w:sz w:val="20"/>
                <w:szCs w:val="20"/>
                <w:lang w:eastAsia="ja-JP"/>
              </w:rPr>
            </w:pPr>
          </w:p>
        </w:tc>
        <w:tc>
          <w:tcPr>
            <w:tcW w:w="708" w:type="dxa"/>
          </w:tcPr>
          <w:p w14:paraId="400AF315" w14:textId="77777777" w:rsidR="00311AE8" w:rsidRPr="00F331D2" w:rsidRDefault="00311AE8" w:rsidP="00D431D5">
            <w:pPr>
              <w:rPr>
                <w:rFonts w:eastAsia="Times New Roman" w:cs="Calibri"/>
                <w:color w:val="000000"/>
                <w:sz w:val="20"/>
                <w:szCs w:val="20"/>
                <w:lang w:eastAsia="ja-JP"/>
              </w:rPr>
            </w:pPr>
          </w:p>
        </w:tc>
        <w:tc>
          <w:tcPr>
            <w:tcW w:w="993" w:type="dxa"/>
          </w:tcPr>
          <w:p w14:paraId="7F1C4BB6" w14:textId="77777777" w:rsidR="00311AE8" w:rsidRPr="00F331D2" w:rsidRDefault="00311AE8" w:rsidP="00D431D5">
            <w:pPr>
              <w:rPr>
                <w:rFonts w:eastAsia="Times New Roman" w:cs="Calibri"/>
                <w:color w:val="000000"/>
                <w:sz w:val="20"/>
                <w:szCs w:val="20"/>
                <w:lang w:eastAsia="ja-JP"/>
              </w:rPr>
            </w:pPr>
          </w:p>
        </w:tc>
        <w:tc>
          <w:tcPr>
            <w:tcW w:w="1275" w:type="dxa"/>
          </w:tcPr>
          <w:p w14:paraId="7B917236" w14:textId="77777777" w:rsidR="00311AE8" w:rsidRDefault="00311AE8" w:rsidP="00D431D5">
            <w:pPr>
              <w:rPr>
                <w:rFonts w:eastAsia="Times New Roman" w:cs="Calibri"/>
                <w:color w:val="000000"/>
                <w:sz w:val="20"/>
                <w:szCs w:val="20"/>
                <w:lang w:eastAsia="ja-JP"/>
              </w:rPr>
            </w:pPr>
          </w:p>
        </w:tc>
        <w:tc>
          <w:tcPr>
            <w:tcW w:w="1276" w:type="dxa"/>
          </w:tcPr>
          <w:p w14:paraId="15D76D71" w14:textId="77777777" w:rsidR="00311AE8" w:rsidRDefault="00311AE8" w:rsidP="00D431D5">
            <w:pPr>
              <w:rPr>
                <w:rFonts w:eastAsia="Times New Roman" w:cs="Calibri"/>
                <w:color w:val="000000"/>
                <w:sz w:val="20"/>
                <w:szCs w:val="20"/>
                <w:lang w:eastAsia="ja-JP"/>
              </w:rPr>
            </w:pPr>
          </w:p>
        </w:tc>
      </w:tr>
      <w:tr w:rsidR="00311AE8" w:rsidRPr="00F331D2" w14:paraId="0685D534" w14:textId="77777777" w:rsidTr="00D431D5">
        <w:trPr>
          <w:trHeight w:val="600"/>
        </w:trPr>
        <w:tc>
          <w:tcPr>
            <w:tcW w:w="1271" w:type="dxa"/>
          </w:tcPr>
          <w:p w14:paraId="61C1E25D"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BASL</w:t>
            </w:r>
          </w:p>
        </w:tc>
        <w:tc>
          <w:tcPr>
            <w:tcW w:w="1276" w:type="dxa"/>
          </w:tcPr>
          <w:p w14:paraId="66160770" w14:textId="77777777" w:rsidR="00311AE8" w:rsidRPr="00F331D2"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AT5G60880</w:t>
            </w:r>
          </w:p>
        </w:tc>
        <w:tc>
          <w:tcPr>
            <w:tcW w:w="1276" w:type="dxa"/>
            <w:noWrap/>
          </w:tcPr>
          <w:p w14:paraId="762844FA" w14:textId="77777777" w:rsidR="00311AE8" w:rsidRPr="00F331D2" w:rsidRDefault="00311AE8" w:rsidP="00D431D5">
            <w:pPr>
              <w:rPr>
                <w:rFonts w:eastAsia="Times New Roman" w:cs="Calibri"/>
                <w:sz w:val="20"/>
                <w:szCs w:val="20"/>
                <w:lang w:eastAsia="ja-JP"/>
              </w:rPr>
            </w:pPr>
            <w:r w:rsidRPr="00F331D2">
              <w:rPr>
                <w:rFonts w:eastAsia="Times New Roman" w:cs="Calibri"/>
                <w:color w:val="000000"/>
                <w:sz w:val="20"/>
                <w:szCs w:val="20"/>
                <w:lang w:eastAsia="ja-JP"/>
              </w:rPr>
              <w:t>No homologous sequences</w:t>
            </w:r>
          </w:p>
        </w:tc>
        <w:tc>
          <w:tcPr>
            <w:tcW w:w="708" w:type="dxa"/>
          </w:tcPr>
          <w:p w14:paraId="01EB1D3D" w14:textId="77777777" w:rsidR="00311AE8" w:rsidRPr="00F331D2" w:rsidRDefault="00311AE8" w:rsidP="00D431D5">
            <w:pPr>
              <w:rPr>
                <w:rFonts w:eastAsia="Times New Roman" w:cs="Calibri"/>
                <w:color w:val="000000"/>
                <w:sz w:val="20"/>
                <w:szCs w:val="20"/>
                <w:lang w:eastAsia="ja-JP"/>
              </w:rPr>
            </w:pPr>
          </w:p>
        </w:tc>
        <w:tc>
          <w:tcPr>
            <w:tcW w:w="993" w:type="dxa"/>
          </w:tcPr>
          <w:p w14:paraId="33CD6EB9" w14:textId="77777777" w:rsidR="00311AE8" w:rsidRPr="00F331D2" w:rsidRDefault="00311AE8" w:rsidP="00D431D5">
            <w:pPr>
              <w:rPr>
                <w:rFonts w:eastAsia="Times New Roman" w:cs="Calibri"/>
                <w:color w:val="000000"/>
                <w:sz w:val="20"/>
                <w:szCs w:val="20"/>
                <w:lang w:eastAsia="ja-JP"/>
              </w:rPr>
            </w:pPr>
          </w:p>
        </w:tc>
        <w:tc>
          <w:tcPr>
            <w:tcW w:w="1275" w:type="dxa"/>
          </w:tcPr>
          <w:p w14:paraId="6B1D8693" w14:textId="77777777" w:rsidR="00311AE8"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0</w:t>
            </w:r>
          </w:p>
        </w:tc>
        <w:tc>
          <w:tcPr>
            <w:tcW w:w="1276" w:type="dxa"/>
          </w:tcPr>
          <w:p w14:paraId="66C09E4D" w14:textId="77777777" w:rsidR="00311AE8"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0</w:t>
            </w:r>
          </w:p>
        </w:tc>
      </w:tr>
      <w:tr w:rsidR="00311AE8" w:rsidRPr="00F331D2" w14:paraId="3AEEA182" w14:textId="77777777" w:rsidTr="00D431D5">
        <w:trPr>
          <w:trHeight w:val="600"/>
        </w:trPr>
        <w:tc>
          <w:tcPr>
            <w:tcW w:w="1271" w:type="dxa"/>
          </w:tcPr>
          <w:p w14:paraId="5750EE93" w14:textId="77777777" w:rsidR="00311AE8" w:rsidRPr="002B3CC2" w:rsidRDefault="00311AE8" w:rsidP="00D431D5">
            <w:pPr>
              <w:rPr>
                <w:rFonts w:eastAsia="Times New Roman" w:cs="Calibri"/>
                <w:i/>
                <w:color w:val="000000"/>
                <w:sz w:val="20"/>
                <w:szCs w:val="20"/>
                <w:lang w:eastAsia="ja-JP"/>
              </w:rPr>
            </w:pPr>
            <w:r w:rsidRPr="002B3CC2">
              <w:rPr>
                <w:rFonts w:eastAsia="Times New Roman" w:cs="Calibri"/>
                <w:i/>
                <w:color w:val="000000"/>
                <w:sz w:val="20"/>
                <w:szCs w:val="20"/>
                <w:lang w:eastAsia="ja-JP"/>
              </w:rPr>
              <w:t>POLAR</w:t>
            </w:r>
          </w:p>
        </w:tc>
        <w:tc>
          <w:tcPr>
            <w:tcW w:w="1276" w:type="dxa"/>
          </w:tcPr>
          <w:p w14:paraId="56DD7091" w14:textId="77777777" w:rsidR="00311AE8" w:rsidRDefault="00311AE8" w:rsidP="00D431D5">
            <w:pPr>
              <w:rPr>
                <w:rFonts w:eastAsia="Times New Roman" w:cs="Calibri"/>
                <w:color w:val="000000"/>
                <w:sz w:val="20"/>
                <w:szCs w:val="20"/>
                <w:lang w:eastAsia="ja-JP"/>
              </w:rPr>
            </w:pPr>
            <w:r w:rsidRPr="002B3CC2">
              <w:rPr>
                <w:rFonts w:eastAsia="Times New Roman" w:cs="Calibri"/>
                <w:color w:val="000000"/>
                <w:sz w:val="20"/>
                <w:szCs w:val="20"/>
                <w:lang w:eastAsia="ja-JP"/>
              </w:rPr>
              <w:t>AT4G31805</w:t>
            </w:r>
          </w:p>
        </w:tc>
        <w:tc>
          <w:tcPr>
            <w:tcW w:w="1276" w:type="dxa"/>
            <w:noWrap/>
          </w:tcPr>
          <w:p w14:paraId="08344B7D"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No homologous sequences</w:t>
            </w:r>
          </w:p>
        </w:tc>
        <w:tc>
          <w:tcPr>
            <w:tcW w:w="708" w:type="dxa"/>
          </w:tcPr>
          <w:p w14:paraId="5940A199" w14:textId="77777777" w:rsidR="00311AE8" w:rsidRPr="00F331D2" w:rsidRDefault="00311AE8" w:rsidP="00D431D5">
            <w:pPr>
              <w:rPr>
                <w:rFonts w:eastAsia="Times New Roman" w:cs="Calibri"/>
                <w:color w:val="000000"/>
                <w:sz w:val="20"/>
                <w:szCs w:val="20"/>
                <w:lang w:eastAsia="ja-JP"/>
              </w:rPr>
            </w:pPr>
          </w:p>
        </w:tc>
        <w:tc>
          <w:tcPr>
            <w:tcW w:w="993" w:type="dxa"/>
          </w:tcPr>
          <w:p w14:paraId="1F844459" w14:textId="77777777" w:rsidR="00311AE8" w:rsidRPr="00F331D2" w:rsidRDefault="00311AE8" w:rsidP="00D431D5">
            <w:pPr>
              <w:rPr>
                <w:rFonts w:eastAsia="Times New Roman" w:cs="Calibri"/>
                <w:color w:val="000000"/>
                <w:sz w:val="20"/>
                <w:szCs w:val="20"/>
                <w:lang w:eastAsia="ja-JP"/>
              </w:rPr>
            </w:pPr>
          </w:p>
        </w:tc>
        <w:tc>
          <w:tcPr>
            <w:tcW w:w="1275" w:type="dxa"/>
          </w:tcPr>
          <w:p w14:paraId="303ED509" w14:textId="77777777" w:rsidR="00311AE8"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0</w:t>
            </w:r>
          </w:p>
        </w:tc>
        <w:tc>
          <w:tcPr>
            <w:tcW w:w="1276" w:type="dxa"/>
          </w:tcPr>
          <w:p w14:paraId="757F97C7" w14:textId="77777777" w:rsidR="00311AE8"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0</w:t>
            </w:r>
          </w:p>
        </w:tc>
      </w:tr>
      <w:tr w:rsidR="00311AE8" w:rsidRPr="00F331D2" w14:paraId="22C31D46" w14:textId="77777777" w:rsidTr="00D431D5">
        <w:trPr>
          <w:trHeight w:val="600"/>
        </w:trPr>
        <w:tc>
          <w:tcPr>
            <w:tcW w:w="1271" w:type="dxa"/>
          </w:tcPr>
          <w:p w14:paraId="6FB6C793" w14:textId="77777777" w:rsidR="00311AE8" w:rsidRPr="002B3CC2" w:rsidRDefault="00311AE8" w:rsidP="00D431D5">
            <w:pPr>
              <w:rPr>
                <w:rFonts w:eastAsia="Times New Roman" w:cs="Calibri"/>
                <w:i/>
                <w:color w:val="000000"/>
                <w:sz w:val="20"/>
                <w:szCs w:val="20"/>
                <w:lang w:eastAsia="ja-JP"/>
              </w:rPr>
            </w:pPr>
            <w:r>
              <w:rPr>
                <w:rFonts w:eastAsia="Times New Roman" w:cs="Calibri"/>
                <w:i/>
                <w:color w:val="000000"/>
                <w:sz w:val="20"/>
                <w:szCs w:val="20"/>
                <w:lang w:eastAsia="ja-JP"/>
              </w:rPr>
              <w:lastRenderedPageBreak/>
              <w:t>POLAR-LIKE1</w:t>
            </w:r>
          </w:p>
        </w:tc>
        <w:tc>
          <w:tcPr>
            <w:tcW w:w="1276" w:type="dxa"/>
          </w:tcPr>
          <w:p w14:paraId="521339F4" w14:textId="77777777" w:rsidR="00311AE8" w:rsidRPr="002B3CC2" w:rsidRDefault="00311AE8" w:rsidP="00D431D5">
            <w:pPr>
              <w:rPr>
                <w:rFonts w:eastAsia="Times New Roman" w:cs="Calibri"/>
                <w:color w:val="000000"/>
                <w:sz w:val="20"/>
                <w:szCs w:val="20"/>
                <w:lang w:eastAsia="ja-JP"/>
              </w:rPr>
            </w:pPr>
            <w:r w:rsidRPr="00256D50">
              <w:rPr>
                <w:rFonts w:eastAsia="Times New Roman" w:cs="Calibri"/>
                <w:color w:val="000000"/>
                <w:sz w:val="20"/>
                <w:szCs w:val="20"/>
                <w:lang w:eastAsia="ja-JP"/>
              </w:rPr>
              <w:t>AT5G10890</w:t>
            </w:r>
          </w:p>
        </w:tc>
        <w:tc>
          <w:tcPr>
            <w:tcW w:w="1276" w:type="dxa"/>
            <w:noWrap/>
          </w:tcPr>
          <w:p w14:paraId="46A320AE" w14:textId="77777777" w:rsidR="00311AE8" w:rsidRPr="00F331D2" w:rsidRDefault="00311AE8" w:rsidP="00D431D5">
            <w:pPr>
              <w:rPr>
                <w:rFonts w:eastAsia="Times New Roman" w:cs="Calibri"/>
                <w:color w:val="000000"/>
                <w:sz w:val="20"/>
                <w:szCs w:val="20"/>
                <w:lang w:eastAsia="ja-JP"/>
              </w:rPr>
            </w:pPr>
            <w:r w:rsidRPr="00F331D2">
              <w:rPr>
                <w:rFonts w:eastAsia="Times New Roman" w:cs="Calibri"/>
                <w:color w:val="000000"/>
                <w:sz w:val="20"/>
                <w:szCs w:val="20"/>
                <w:lang w:eastAsia="ja-JP"/>
              </w:rPr>
              <w:t>No homologous sequences</w:t>
            </w:r>
          </w:p>
        </w:tc>
        <w:tc>
          <w:tcPr>
            <w:tcW w:w="708" w:type="dxa"/>
          </w:tcPr>
          <w:p w14:paraId="7B298148" w14:textId="77777777" w:rsidR="00311AE8" w:rsidRPr="00F331D2" w:rsidRDefault="00311AE8" w:rsidP="00D431D5">
            <w:pPr>
              <w:rPr>
                <w:rFonts w:eastAsia="Times New Roman" w:cs="Calibri"/>
                <w:color w:val="000000"/>
                <w:sz w:val="20"/>
                <w:szCs w:val="20"/>
                <w:lang w:eastAsia="ja-JP"/>
              </w:rPr>
            </w:pPr>
          </w:p>
        </w:tc>
        <w:tc>
          <w:tcPr>
            <w:tcW w:w="993" w:type="dxa"/>
          </w:tcPr>
          <w:p w14:paraId="0251B1B4" w14:textId="77777777" w:rsidR="00311AE8" w:rsidRPr="00F331D2" w:rsidRDefault="00311AE8" w:rsidP="00D431D5">
            <w:pPr>
              <w:rPr>
                <w:rFonts w:eastAsia="Times New Roman" w:cs="Calibri"/>
                <w:color w:val="000000"/>
                <w:sz w:val="20"/>
                <w:szCs w:val="20"/>
                <w:lang w:eastAsia="ja-JP"/>
              </w:rPr>
            </w:pPr>
          </w:p>
        </w:tc>
        <w:tc>
          <w:tcPr>
            <w:tcW w:w="1275" w:type="dxa"/>
          </w:tcPr>
          <w:p w14:paraId="131AF453" w14:textId="77777777" w:rsidR="00311AE8"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0</w:t>
            </w:r>
          </w:p>
        </w:tc>
        <w:tc>
          <w:tcPr>
            <w:tcW w:w="1276" w:type="dxa"/>
          </w:tcPr>
          <w:p w14:paraId="0C1BD4E5" w14:textId="77777777" w:rsidR="00311AE8" w:rsidRDefault="00311AE8" w:rsidP="00D431D5">
            <w:pPr>
              <w:rPr>
                <w:rFonts w:eastAsia="Times New Roman" w:cs="Calibri"/>
                <w:color w:val="000000"/>
                <w:sz w:val="20"/>
                <w:szCs w:val="20"/>
                <w:lang w:eastAsia="ja-JP"/>
              </w:rPr>
            </w:pPr>
            <w:r>
              <w:rPr>
                <w:rFonts w:eastAsia="Times New Roman" w:cs="Calibri"/>
                <w:color w:val="000000"/>
                <w:sz w:val="20"/>
                <w:szCs w:val="20"/>
                <w:lang w:eastAsia="ja-JP"/>
              </w:rPr>
              <w:t>0</w:t>
            </w:r>
          </w:p>
        </w:tc>
      </w:tr>
    </w:tbl>
    <w:p w14:paraId="3246D63B" w14:textId="77777777" w:rsidR="00311AE8" w:rsidRDefault="00311AE8" w:rsidP="00311AE8">
      <w:pPr>
        <w:spacing w:after="160" w:line="360" w:lineRule="auto"/>
        <w:rPr>
          <w:rFonts w:ascii="Arial" w:hAnsi="Arial" w:cs="Arial"/>
        </w:rPr>
      </w:pPr>
    </w:p>
    <w:p w14:paraId="62955A11" w14:textId="7B391EC8" w:rsidR="00311AE8" w:rsidRDefault="00311AE8" w:rsidP="00311AE8">
      <w:pPr>
        <w:spacing w:after="160" w:line="360" w:lineRule="auto"/>
        <w:rPr>
          <w:rFonts w:ascii="Arial" w:hAnsi="Arial" w:cs="Arial"/>
        </w:rPr>
      </w:pPr>
      <w:r>
        <w:rPr>
          <w:rFonts w:ascii="Arial" w:hAnsi="Arial" w:cs="Arial"/>
        </w:rPr>
        <w:t xml:space="preserve">Interestingly, despite a number of potential orthologues being present within the </w:t>
      </w:r>
      <w:r>
        <w:rPr>
          <w:rFonts w:ascii="Arial" w:hAnsi="Arial" w:cs="Arial"/>
          <w:i/>
        </w:rPr>
        <w:t>P. patens</w:t>
      </w:r>
      <w:r>
        <w:rPr>
          <w:rFonts w:ascii="Arial" w:hAnsi="Arial" w:cs="Arial"/>
        </w:rPr>
        <w:t xml:space="preserve"> genome, a number of other stomatal developmental genes found in Arabidopsis that act early on in stomatal development such as, </w:t>
      </w:r>
      <w:r>
        <w:rPr>
          <w:rFonts w:ascii="Arial" w:hAnsi="Arial" w:cs="Arial"/>
          <w:i/>
        </w:rPr>
        <w:t>EPFL9, MUTE</w:t>
      </w:r>
      <w:r>
        <w:rPr>
          <w:rFonts w:ascii="Arial" w:hAnsi="Arial" w:cs="Arial"/>
        </w:rPr>
        <w:t xml:space="preserve">, </w:t>
      </w:r>
      <w:r>
        <w:rPr>
          <w:rFonts w:ascii="Arial" w:hAnsi="Arial" w:cs="Arial"/>
          <w:i/>
        </w:rPr>
        <w:t>FAMA</w:t>
      </w:r>
      <w:r>
        <w:rPr>
          <w:rFonts w:ascii="Arial" w:hAnsi="Arial" w:cs="Arial"/>
        </w:rPr>
        <w:t>,</w:t>
      </w:r>
      <w:r>
        <w:rPr>
          <w:rFonts w:ascii="Arial" w:hAnsi="Arial" w:cs="Arial"/>
          <w:i/>
        </w:rPr>
        <w:t xml:space="preserve"> BASL</w:t>
      </w:r>
      <w:r>
        <w:rPr>
          <w:rFonts w:ascii="Arial" w:hAnsi="Arial" w:cs="Arial"/>
        </w:rPr>
        <w:t xml:space="preserve">, </w:t>
      </w:r>
      <w:r>
        <w:rPr>
          <w:rFonts w:ascii="Arial" w:hAnsi="Arial" w:cs="Arial"/>
          <w:i/>
        </w:rPr>
        <w:t xml:space="preserve">POLAR </w:t>
      </w:r>
      <w:r>
        <w:rPr>
          <w:rFonts w:ascii="Arial" w:hAnsi="Arial" w:cs="Arial"/>
        </w:rPr>
        <w:t xml:space="preserve">and </w:t>
      </w:r>
      <w:r>
        <w:rPr>
          <w:rFonts w:ascii="Arial" w:hAnsi="Arial" w:cs="Arial"/>
          <w:i/>
        </w:rPr>
        <w:t>POLAR</w:t>
      </w:r>
      <w:r>
        <w:rPr>
          <w:rFonts w:ascii="Arial" w:hAnsi="Arial" w:cs="Arial"/>
        </w:rPr>
        <w:t>-</w:t>
      </w:r>
      <w:r>
        <w:rPr>
          <w:rFonts w:ascii="Arial" w:hAnsi="Arial" w:cs="Arial"/>
          <w:i/>
        </w:rPr>
        <w:t xml:space="preserve">LIKE1 </w:t>
      </w:r>
      <w:r>
        <w:rPr>
          <w:rFonts w:ascii="Arial" w:hAnsi="Arial" w:cs="Arial"/>
        </w:rPr>
        <w:t xml:space="preserve">do not appear to share orthology with any genes in </w:t>
      </w:r>
      <w:r>
        <w:rPr>
          <w:rFonts w:ascii="Arial" w:hAnsi="Arial" w:cs="Arial"/>
          <w:i/>
        </w:rPr>
        <w:t xml:space="preserve">P. patens </w:t>
      </w:r>
      <w:r>
        <w:rPr>
          <w:rFonts w:ascii="Arial" w:hAnsi="Arial" w:cs="Arial"/>
        </w:rPr>
        <w:t>using Phytozome gene family predictions (</w:t>
      </w:r>
      <w:r>
        <w:rPr>
          <w:rFonts w:ascii="Arial" w:hAnsi="Arial" w:cs="Arial"/>
          <w:b/>
        </w:rPr>
        <w:t>Table. 1</w:t>
      </w:r>
      <w:r>
        <w:rPr>
          <w:rFonts w:ascii="Arial" w:hAnsi="Arial" w:cs="Arial"/>
        </w:rPr>
        <w:t xml:space="preserve">). For </w:t>
      </w:r>
      <w:r>
        <w:rPr>
          <w:rFonts w:ascii="Arial" w:hAnsi="Arial" w:cs="Arial"/>
          <w:i/>
        </w:rPr>
        <w:t>EPFL9</w:t>
      </w:r>
      <w:r>
        <w:rPr>
          <w:rFonts w:ascii="Arial" w:hAnsi="Arial" w:cs="Arial"/>
        </w:rPr>
        <w:t>,</w:t>
      </w:r>
      <w:r>
        <w:rPr>
          <w:rFonts w:ascii="Arial" w:hAnsi="Arial" w:cs="Arial"/>
          <w:i/>
        </w:rPr>
        <w:t xml:space="preserve"> </w:t>
      </w:r>
      <w:r>
        <w:rPr>
          <w:rFonts w:ascii="Arial" w:hAnsi="Arial" w:cs="Arial"/>
        </w:rPr>
        <w:t>which functions to primarily encourage asymmetric entry divisions in Arabidopsis,</w:t>
      </w:r>
      <w:r>
        <w:rPr>
          <w:rFonts w:ascii="Arial" w:hAnsi="Arial" w:cs="Arial"/>
          <w:i/>
        </w:rPr>
        <w:t xml:space="preserve"> </w:t>
      </w:r>
      <w:r>
        <w:rPr>
          <w:rFonts w:ascii="Arial" w:hAnsi="Arial" w:cs="Arial"/>
        </w:rPr>
        <w:t xml:space="preserve">it should be noted that gene homologues are found in lycophyte </w:t>
      </w:r>
      <w:r>
        <w:rPr>
          <w:rFonts w:ascii="Arial" w:hAnsi="Arial" w:cs="Arial"/>
          <w:i/>
        </w:rPr>
        <w:t xml:space="preserve">Selaginella moellendorffii </w:t>
      </w:r>
      <w:r>
        <w:rPr>
          <w:rFonts w:ascii="Arial" w:hAnsi="Arial" w:cs="Arial"/>
        </w:rPr>
        <w:t xml:space="preserve">and in more latterly diverging land plant lineages but not in </w:t>
      </w:r>
      <w:r>
        <w:rPr>
          <w:rFonts w:ascii="Arial" w:hAnsi="Arial" w:cs="Arial"/>
          <w:i/>
        </w:rPr>
        <w:t xml:space="preserve">P. patens </w:t>
      </w:r>
      <w:r w:rsidRPr="00F518C2">
        <w:rPr>
          <w:rFonts w:ascii="Arial" w:hAnsi="Arial" w:cs="Arial"/>
        </w:rPr>
        <w:fldChar w:fldCharType="begin">
          <w:fldData xml:space="preserve">PEVuZE5vdGU+PENpdGU+PEF1dGhvcj5CYW5rczwvQXV0aG9yPjxZZWFyPjIwMTE8L1llYXI+PElE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</w:fldData>
        </w:fldChar>
      </w:r>
      <w:r w:rsidR="00DA38AC">
        <w:rPr>
          <w:rFonts w:ascii="Arial" w:hAnsi="Arial" w:cs="Arial"/>
        </w:rPr>
        <w:instrText xml:space="preserve"> ADDIN EN.CITE </w:instrText>
      </w:r>
      <w:r w:rsidR="00DA38AC">
        <w:rPr>
          <w:rFonts w:ascii="Arial" w:hAnsi="Arial" w:cs="Arial"/>
        </w:rPr>
        <w:fldChar w:fldCharType="begin">
          <w:fldData xml:space="preserve">PEVuZE5vdGU+PENpdGU+PEF1dGhvcj5CYW5rczwvQXV0aG9yPjxZZWFyPjIwMTE8L1llYXI+PElE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</w:fldData>
        </w:fldChar>
      </w:r>
      <w:r w:rsidR="00DA38AC">
        <w:rPr>
          <w:rFonts w:ascii="Arial" w:hAnsi="Arial" w:cs="Arial"/>
        </w:rPr>
        <w:instrText xml:space="preserve"> ADDIN EN.CITE.DATA </w:instrText>
      </w:r>
      <w:r w:rsidR="00DA38AC">
        <w:rPr>
          <w:rFonts w:ascii="Arial" w:hAnsi="Arial" w:cs="Arial"/>
        </w:rPr>
      </w:r>
      <w:r w:rsidR="00DA38AC">
        <w:rPr>
          <w:rFonts w:ascii="Arial" w:hAnsi="Arial" w:cs="Arial"/>
        </w:rPr>
        <w:fldChar w:fldCharType="end"/>
      </w:r>
      <w:r w:rsidRPr="00F518C2">
        <w:rPr>
          <w:rFonts w:ascii="Arial" w:hAnsi="Arial" w:cs="Arial"/>
        </w:rPr>
      </w:r>
      <w:r w:rsidRPr="00F518C2">
        <w:rPr>
          <w:rFonts w:ascii="Arial" w:hAnsi="Arial" w:cs="Arial"/>
        </w:rPr>
        <w:fldChar w:fldCharType="separate"/>
      </w:r>
      <w:r w:rsidR="00DA38AC">
        <w:rPr>
          <w:rFonts w:ascii="Arial" w:hAnsi="Arial" w:cs="Arial"/>
          <w:noProof/>
        </w:rPr>
        <w:t>(Banks et al., 2011; Caine et al., 2016; Goodstein et al., 2012; Hunt et al., 2010; Sugano et al., 2010)</w:t>
      </w:r>
      <w:r w:rsidRPr="00F518C2">
        <w:rPr>
          <w:rFonts w:ascii="Arial" w:hAnsi="Arial" w:cs="Arial"/>
        </w:rPr>
        <w:fldChar w:fldCharType="end"/>
      </w:r>
      <w:r>
        <w:rPr>
          <w:rFonts w:ascii="Arial" w:hAnsi="Arial" w:cs="Arial"/>
        </w:rPr>
        <w:t>.</w:t>
      </w:r>
      <w:r>
        <w:rPr>
          <w:rFonts w:ascii="Arial" w:hAnsi="Arial" w:cs="Arial"/>
          <w:i/>
        </w:rPr>
        <w:t xml:space="preserve"> </w:t>
      </w:r>
      <w:r>
        <w:rPr>
          <w:rFonts w:ascii="Arial" w:hAnsi="Arial" w:cs="Arial"/>
        </w:rPr>
        <w:t>The evolutionary history of such a gene is intriguing owing to its capability to signal from the mesophyll to induce stomata in Arabidopsis.</w:t>
      </w:r>
    </w:p>
    <w:p w14:paraId="16AD26B4" w14:textId="77777777" w:rsidR="00311AE8" w:rsidRPr="00F518C2" w:rsidRDefault="00311AE8" w:rsidP="00311AE8">
      <w:pPr>
        <w:spacing w:after="160" w:line="360" w:lineRule="auto"/>
        <w:rPr>
          <w:rFonts w:ascii="Arial" w:hAnsi="Arial" w:cs="Arial"/>
        </w:rPr>
      </w:pPr>
      <w:r>
        <w:rPr>
          <w:rFonts w:ascii="Arial" w:hAnsi="Arial" w:cs="Arial"/>
        </w:rPr>
        <w:t xml:space="preserve">The absence of an orthologue to </w:t>
      </w:r>
      <w:r>
        <w:rPr>
          <w:rFonts w:ascii="Arial" w:hAnsi="Arial" w:cs="Arial"/>
          <w:i/>
        </w:rPr>
        <w:t xml:space="preserve">FAMA </w:t>
      </w:r>
      <w:r>
        <w:rPr>
          <w:rFonts w:ascii="Arial" w:hAnsi="Arial" w:cs="Arial"/>
        </w:rPr>
        <w:t xml:space="preserve">and </w:t>
      </w:r>
      <w:r>
        <w:rPr>
          <w:rFonts w:ascii="Arial" w:hAnsi="Arial" w:cs="Arial"/>
          <w:i/>
        </w:rPr>
        <w:t xml:space="preserve">MUTE </w:t>
      </w:r>
      <w:r>
        <w:rPr>
          <w:rFonts w:ascii="Arial" w:hAnsi="Arial" w:cs="Arial"/>
        </w:rPr>
        <w:t xml:space="preserve">in </w:t>
      </w:r>
      <w:r>
        <w:rPr>
          <w:rFonts w:ascii="Arial" w:hAnsi="Arial" w:cs="Arial"/>
          <w:i/>
        </w:rPr>
        <w:t xml:space="preserve">P. patens </w:t>
      </w:r>
      <w:r>
        <w:rPr>
          <w:rFonts w:ascii="Arial" w:hAnsi="Arial" w:cs="Arial"/>
        </w:rPr>
        <w:t xml:space="preserve">based on gene family predictions was more surprising and almost certainly due to an error with the assortment of genes into families on phytozome. This last statement is supported by evidence from MacAlister and Bergmann </w:t>
      </w:r>
      <w:r>
        <w:rPr>
          <w:rFonts w:ascii="Arial" w:hAnsi="Arial" w:cs="Arial"/>
        </w:rPr>
        <w:fldChar w:fldCharType="begin"/>
      </w:r>
      <w:r>
        <w:rPr>
          <w:rFonts w:ascii="Arial" w:hAnsi="Arial" w:cs="Arial"/>
        </w:rPr>
        <w:instrText xml:space="preserve"> ADDIN EN.CITE &lt;EndNote&gt;&lt;Cite ExcludeAuth="1"&gt;&lt;Author&gt;MacAlister&lt;/Author&gt;&lt;Year&gt;2011&lt;/Year&gt;&lt;IDText&gt;Sequence and function of basic helix-loop-helix proteins required for stomatal development in Arabidopsis are deeply conserved in land plants&lt;/IDText&gt;&lt;DisplayText&gt;(2011)&lt;/DisplayText&gt;&lt;record&gt;&lt;dates&gt;&lt;pub-dates&gt;&lt;date&gt;Mar-Apr&lt;/date&gt;&lt;/pub-dates&gt;&lt;year&gt;2011&lt;/year&gt;&lt;/dates&gt;&lt;keywords&gt;&lt;keyword&gt;TRANSCRIPTION FACTOR FAMILY&lt;/keyword&gt;&lt;keyword&gt;MONOCOT-DICOT DIVERGENCE&lt;/keyword&gt;&lt;keyword&gt;EVOLUTION&lt;/keyword&gt;&lt;keyword&gt;DIVERSITY&lt;/keyword&gt;&lt;keyword&gt;GENES&lt;/keyword&gt;&lt;keyword&gt;DIFFERENTIATION&lt;/keyword&gt;&lt;keyword&gt;THALIANA&lt;/keyword&gt;&lt;keyword&gt;MUTANTS&lt;/keyword&gt;&lt;keyword&gt;GENOMES&lt;/keyword&gt;&lt;keyword&gt;CASCADE&lt;/keyword&gt;&lt;/keywords&gt;&lt;urls&gt;&lt;related-urls&gt;&lt;url&gt;&amp;lt;Go to ISI&amp;gt;://WOS:000288502600007&lt;/url&gt;&lt;/related-urls&gt;&lt;/urls&gt;&lt;isbn&gt;1520-541X&lt;/isbn&gt;&lt;work-type&gt;Article&lt;/work-type&gt;&lt;titles&gt;&lt;title&gt;Sequence and function of basic helix-loop-helix proteins required for stomatal development in Arabidopsis are deeply conserved in land plants&lt;/title&gt;&lt;secondary-title&gt;Evolution &amp;amp; Development&lt;/secondary-title&gt;&lt;alt-title&gt;Evol. Dev.&lt;/alt-title&gt;&lt;/titles&gt;&lt;pages&gt;182-192&lt;/pages&gt;&lt;number&gt;2&lt;/number&gt;&lt;contributors&gt;&lt;authors&gt;&lt;author&gt;MacAlister, C. A.&lt;/author&gt;&lt;author&gt;Bergmann, D. C.&lt;/author&gt;&lt;/authors&gt;&lt;/contributors&gt;&lt;language&gt;English&lt;/language&gt;&lt;added-date format="utc"&gt;1354083840&lt;/added-date&gt;&lt;ref-type name="Journal Article"&gt;17&lt;/ref-type&gt;&lt;auth-address&gt;[MacAlister, Cora A.&amp;#xD;Bergmann, Dominique C.] Stanford Univ, Dept Biol, Stanford, CA 94305 USA.&amp;#xD;MacAlister, CA (reprint author), Cold Spring Harbor Lab, POB 100, Cold Spring Harbor, NY 11724 USA.&amp;#xD;cmacalis@cshl.edu&lt;/auth-address&gt;&lt;rec-number&gt;61&lt;/rec-number&gt;&lt;last-updated-date format="utc"&gt;1354083840&lt;/last-updated-date&gt;&lt;accession-num&gt;WOS:000288502600007&lt;/accession-num&gt;&lt;electronic-resource-num&gt;10.1111/j.1525-142X.2011.00468.x&lt;/electronic-resource-num&gt;&lt;volume&gt;13&lt;/volume&gt;&lt;/record&gt;&lt;/Cite&gt;&lt;/EndNote&gt;</w:instrText>
      </w:r>
      <w:r>
        <w:rPr>
          <w:rFonts w:ascii="Arial" w:hAnsi="Arial" w:cs="Arial"/>
        </w:rPr>
        <w:fldChar w:fldCharType="separate"/>
      </w:r>
      <w:r>
        <w:rPr>
          <w:rFonts w:ascii="Arial" w:hAnsi="Arial" w:cs="Arial"/>
          <w:noProof/>
        </w:rPr>
        <w:t>(2011)</w:t>
      </w:r>
      <w:r>
        <w:rPr>
          <w:rFonts w:ascii="Arial" w:hAnsi="Arial" w:cs="Arial"/>
        </w:rPr>
        <w:fldChar w:fldCharType="end"/>
      </w:r>
      <w:r>
        <w:rPr>
          <w:rFonts w:ascii="Arial" w:hAnsi="Arial" w:cs="Arial"/>
        </w:rPr>
        <w:t xml:space="preserve"> which shows that not only does </w:t>
      </w:r>
      <w:r>
        <w:rPr>
          <w:rFonts w:ascii="Arial" w:hAnsi="Arial" w:cs="Arial"/>
          <w:i/>
        </w:rPr>
        <w:t xml:space="preserve">P. patens </w:t>
      </w:r>
      <w:r>
        <w:rPr>
          <w:rFonts w:ascii="Arial" w:hAnsi="Arial" w:cs="Arial"/>
        </w:rPr>
        <w:t>probably</w:t>
      </w:r>
      <w:r>
        <w:rPr>
          <w:rFonts w:ascii="Arial" w:hAnsi="Arial" w:cs="Arial"/>
          <w:i/>
        </w:rPr>
        <w:t xml:space="preserve"> </w:t>
      </w:r>
      <w:r>
        <w:rPr>
          <w:rFonts w:ascii="Arial" w:hAnsi="Arial" w:cs="Arial"/>
        </w:rPr>
        <w:t xml:space="preserve">have orthologous genes to </w:t>
      </w:r>
      <w:r>
        <w:rPr>
          <w:rFonts w:ascii="Arial" w:hAnsi="Arial" w:cs="Arial"/>
          <w:i/>
        </w:rPr>
        <w:t xml:space="preserve">SPCH, MUTE </w:t>
      </w:r>
      <w:r>
        <w:rPr>
          <w:rFonts w:ascii="Arial" w:hAnsi="Arial" w:cs="Arial"/>
        </w:rPr>
        <w:t xml:space="preserve">and </w:t>
      </w:r>
      <w:r>
        <w:rPr>
          <w:rFonts w:ascii="Arial" w:hAnsi="Arial" w:cs="Arial"/>
          <w:i/>
        </w:rPr>
        <w:t xml:space="preserve">FAMA </w:t>
      </w:r>
      <w:r>
        <w:rPr>
          <w:rFonts w:ascii="Arial" w:hAnsi="Arial" w:cs="Arial"/>
        </w:rPr>
        <w:t>(</w:t>
      </w:r>
      <w:r>
        <w:rPr>
          <w:rFonts w:ascii="Arial" w:hAnsi="Arial" w:cs="Arial"/>
          <w:i/>
        </w:rPr>
        <w:t xml:space="preserve">PpSMF1 </w:t>
      </w:r>
      <w:r>
        <w:rPr>
          <w:rFonts w:ascii="Arial" w:hAnsi="Arial" w:cs="Arial"/>
        </w:rPr>
        <w:t xml:space="preserve">and </w:t>
      </w:r>
      <w:r>
        <w:rPr>
          <w:rFonts w:ascii="Arial" w:hAnsi="Arial" w:cs="Arial"/>
          <w:i/>
        </w:rPr>
        <w:t>PpSMF2</w:t>
      </w:r>
      <w:r>
        <w:rPr>
          <w:rFonts w:ascii="Arial" w:hAnsi="Arial" w:cs="Arial"/>
        </w:rPr>
        <w:t xml:space="preserve">), but also shows that </w:t>
      </w:r>
      <w:r>
        <w:rPr>
          <w:rFonts w:ascii="Arial" w:hAnsi="Arial" w:cs="Arial"/>
          <w:i/>
        </w:rPr>
        <w:t xml:space="preserve">PpSMFs </w:t>
      </w:r>
      <w:r>
        <w:rPr>
          <w:rFonts w:ascii="Arial" w:hAnsi="Arial" w:cs="Arial"/>
        </w:rPr>
        <w:t xml:space="preserve">can partially rescue the phenotypes of </w:t>
      </w:r>
      <w:r>
        <w:rPr>
          <w:rFonts w:ascii="Arial" w:hAnsi="Arial" w:cs="Arial"/>
          <w:i/>
        </w:rPr>
        <w:t xml:space="preserve">mute </w:t>
      </w:r>
      <w:r>
        <w:rPr>
          <w:rFonts w:ascii="Arial" w:hAnsi="Arial" w:cs="Arial"/>
        </w:rPr>
        <w:t>(</w:t>
      </w:r>
      <w:r>
        <w:rPr>
          <w:rFonts w:ascii="Arial" w:hAnsi="Arial" w:cs="Arial"/>
          <w:i/>
        </w:rPr>
        <w:t>PpSMF1</w:t>
      </w:r>
      <w:r w:rsidRPr="00C204C0">
        <w:rPr>
          <w:rFonts w:ascii="Arial" w:hAnsi="Arial" w:cs="Arial"/>
        </w:rPr>
        <w:t>)</w:t>
      </w:r>
      <w:r>
        <w:rPr>
          <w:rFonts w:ascii="Arial" w:hAnsi="Arial" w:cs="Arial"/>
          <w:i/>
        </w:rPr>
        <w:t xml:space="preserve"> </w:t>
      </w:r>
      <w:r>
        <w:rPr>
          <w:rFonts w:ascii="Arial" w:hAnsi="Arial" w:cs="Arial"/>
        </w:rPr>
        <w:t xml:space="preserve">and </w:t>
      </w:r>
      <w:r>
        <w:rPr>
          <w:rFonts w:ascii="Arial" w:hAnsi="Arial" w:cs="Arial"/>
          <w:i/>
        </w:rPr>
        <w:t xml:space="preserve">fama </w:t>
      </w:r>
      <w:r>
        <w:rPr>
          <w:rFonts w:ascii="Arial" w:hAnsi="Arial" w:cs="Arial"/>
        </w:rPr>
        <w:t>(</w:t>
      </w:r>
      <w:r>
        <w:rPr>
          <w:rFonts w:ascii="Arial" w:hAnsi="Arial" w:cs="Arial"/>
          <w:i/>
        </w:rPr>
        <w:t>PpSMF1 and 2</w:t>
      </w:r>
      <w:r>
        <w:rPr>
          <w:rFonts w:ascii="Arial" w:hAnsi="Arial" w:cs="Arial"/>
        </w:rPr>
        <w:t xml:space="preserve">) mutants, but not </w:t>
      </w:r>
      <w:r>
        <w:rPr>
          <w:rFonts w:ascii="Arial" w:hAnsi="Arial" w:cs="Arial"/>
          <w:i/>
        </w:rPr>
        <w:t xml:space="preserve">spch </w:t>
      </w:r>
      <w:r>
        <w:rPr>
          <w:rFonts w:ascii="Arial" w:hAnsi="Arial" w:cs="Arial"/>
        </w:rPr>
        <w:t>mutants.</w:t>
      </w:r>
      <w:r>
        <w:rPr>
          <w:rFonts w:ascii="Arial" w:hAnsi="Arial" w:cs="Arial"/>
          <w:i/>
        </w:rPr>
        <w:t xml:space="preserve"> </w:t>
      </w:r>
      <w:r>
        <w:rPr>
          <w:rFonts w:ascii="Arial" w:hAnsi="Arial" w:cs="Arial"/>
        </w:rPr>
        <w:t xml:space="preserve">Based on these studies, it appears that the </w:t>
      </w:r>
      <w:r w:rsidRPr="00C204C0">
        <w:rPr>
          <w:rFonts w:ascii="Arial" w:hAnsi="Arial" w:cs="Arial"/>
        </w:rPr>
        <w:t>PpSMFs</w:t>
      </w:r>
      <w:r>
        <w:rPr>
          <w:rFonts w:ascii="Arial" w:hAnsi="Arial" w:cs="Arial"/>
        </w:rPr>
        <w:t xml:space="preserve"> </w:t>
      </w:r>
      <w:r w:rsidRPr="00CC0C3B">
        <w:rPr>
          <w:rFonts w:ascii="Arial" w:hAnsi="Arial" w:cs="Arial"/>
        </w:rPr>
        <w:t>are</w:t>
      </w:r>
      <w:r>
        <w:rPr>
          <w:rFonts w:ascii="Arial" w:hAnsi="Arial" w:cs="Arial"/>
        </w:rPr>
        <w:t xml:space="preserve"> not able to initiate the stomatal lineage in Arabidopsis, instead, once stomatal development has been initiated they function by </w:t>
      </w:r>
      <w:r w:rsidRPr="00CC0C3B">
        <w:rPr>
          <w:rFonts w:ascii="Arial" w:hAnsi="Arial" w:cs="Arial"/>
        </w:rPr>
        <w:t>encouraging</w:t>
      </w:r>
      <w:r>
        <w:rPr>
          <w:rFonts w:ascii="Arial" w:hAnsi="Arial" w:cs="Arial"/>
        </w:rPr>
        <w:t xml:space="preserve"> stomatal lineage advancement </w:t>
      </w:r>
      <w:r>
        <w:rPr>
          <w:rFonts w:ascii="Arial" w:hAnsi="Arial" w:cs="Arial"/>
        </w:rPr>
        <w:fldChar w:fldCharType="begin"/>
      </w:r>
      <w:r>
        <w:rPr>
          <w:rFonts w:ascii="Arial" w:hAnsi="Arial" w:cs="Arial"/>
        </w:rPr>
        <w:instrText xml:space="preserve"> ADDIN EN.CITE &lt;EndNote&gt;&lt;Cite&gt;&lt;Author&gt;MacAlister&lt;/Author&gt;&lt;Year&gt;2011&lt;/Year&gt;&lt;IDText&gt;Sequence and function of basic helix-loop-helix proteins required for stomatal development in Arabidopsis are deeply conserved in land plants&lt;/IDText&gt;&lt;DisplayText&gt;(MacAlister and Bergmann, 2011)&lt;/DisplayText&gt;&lt;record&gt;&lt;dates&gt;&lt;pub-dates&gt;&lt;date&gt;Mar-Apr&lt;/date&gt;&lt;/pub-dates&gt;&lt;year&gt;2011&lt;/year&gt;&lt;/dates&gt;&lt;keywords&gt;&lt;keyword&gt;TRANSCRIPTION FACTOR FAMILY&lt;/keyword&gt;&lt;keyword&gt;MONOCOT-DICOT DIVERGENCE&lt;/keyword&gt;&lt;keyword&gt;EVOLUTION&lt;/keyword&gt;&lt;keyword&gt;DIVERSITY&lt;/keyword&gt;&lt;keyword&gt;GENES&lt;/keyword&gt;&lt;keyword&gt;DIFFERENTIATION&lt;/keyword&gt;&lt;keyword&gt;THALIANA&lt;/keyword&gt;&lt;keyword&gt;MUTANTS&lt;/keyword&gt;&lt;keyword&gt;GENOMES&lt;/keyword&gt;&lt;keyword&gt;CASCADE&lt;/keyword&gt;&lt;/keywords&gt;&lt;urls&gt;&lt;related-urls&gt;&lt;url&gt;&amp;lt;Go to ISI&amp;gt;://WOS:000288502600007&lt;/url&gt;&lt;/related-urls&gt;&lt;/urls&gt;&lt;isbn&gt;1520-541X&lt;/isbn&gt;&lt;work-type&gt;Article&lt;/work-type&gt;&lt;titles&gt;&lt;title&gt;Sequence and function of basic helix-loop-helix proteins required for stomatal development in Arabidopsis are deeply conserved in land plants&lt;/title&gt;&lt;secondary-title&gt;Evolution &amp;amp; Development&lt;/secondary-title&gt;&lt;alt-title&gt;Evol. Dev.&lt;/alt-title&gt;&lt;/titles&gt;&lt;pages&gt;182-192&lt;/pages&gt;&lt;number&gt;2&lt;/number&gt;&lt;contributors&gt;&lt;authors&gt;&lt;author&gt;MacAlister, C. A.&lt;/author&gt;&lt;author&gt;Bergmann, D. C.&lt;/author&gt;&lt;/authors&gt;&lt;/contributors&gt;&lt;language&gt;English&lt;/language&gt;&lt;added-date format="utc"&gt;1354083840&lt;/added-date&gt;&lt;ref-type name="Journal Article"&gt;17&lt;/ref-type&gt;&lt;auth-address&gt;[MacAlister, Cora A.&amp;#xD;Bergmann, Dominique C.] Stanford Univ, Dept Biol, Stanford, CA 94305 USA.&amp;#xD;MacAlister, CA (reprint author), Cold Spring Harbor Lab, POB 100, Cold Spring Harbor, NY 11724 USA.&amp;#xD;cmacalis@cshl.edu&lt;/auth-address&gt;&lt;rec-number&gt;61&lt;/rec-number&gt;&lt;last-updated-date format="utc"&gt;1354083840&lt;/last-updated-date&gt;&lt;accession-num&gt;WOS:000288502600007&lt;/accession-num&gt;&lt;electronic-resource-num&gt;10.1111/j.1525-142X.2011.00468.x&lt;/electronic-resource-num&gt;&lt;volume&gt;13&lt;/volume&gt;&lt;/record&gt;&lt;/Cite&gt;&lt;/EndNote&gt;</w:instrText>
      </w:r>
      <w:r>
        <w:rPr>
          <w:rFonts w:ascii="Arial" w:hAnsi="Arial" w:cs="Arial"/>
        </w:rPr>
        <w:fldChar w:fldCharType="separate"/>
      </w:r>
      <w:r>
        <w:rPr>
          <w:rFonts w:ascii="Arial" w:hAnsi="Arial" w:cs="Arial"/>
          <w:noProof/>
        </w:rPr>
        <w:t>(MacAlister and Bergmann, 2011)</w:t>
      </w:r>
      <w:r>
        <w:rPr>
          <w:rFonts w:ascii="Arial" w:hAnsi="Arial" w:cs="Arial"/>
        </w:rPr>
        <w:fldChar w:fldCharType="end"/>
      </w:r>
      <w:r>
        <w:rPr>
          <w:rFonts w:ascii="Arial" w:hAnsi="Arial" w:cs="Arial"/>
        </w:rPr>
        <w:t xml:space="preserve">. Despite being a complementation study in Arabidopsis, such observed functioning of the </w:t>
      </w:r>
      <w:r>
        <w:rPr>
          <w:rFonts w:ascii="Arial" w:hAnsi="Arial" w:cs="Arial"/>
          <w:i/>
        </w:rPr>
        <w:t xml:space="preserve">PpSMFs </w:t>
      </w:r>
      <w:r>
        <w:rPr>
          <w:rFonts w:ascii="Arial" w:hAnsi="Arial" w:cs="Arial"/>
        </w:rPr>
        <w:t xml:space="preserve">(particularly PpSMF1) is evidence against </w:t>
      </w:r>
      <w:r>
        <w:rPr>
          <w:rFonts w:ascii="Arial" w:hAnsi="Arial" w:cs="Arial"/>
          <w:i/>
        </w:rPr>
        <w:t xml:space="preserve">P. patens </w:t>
      </w:r>
      <w:r>
        <w:rPr>
          <w:rFonts w:ascii="Arial" w:hAnsi="Arial" w:cs="Arial"/>
        </w:rPr>
        <w:t xml:space="preserve">undergoing early asymmetric divisions prior the formation of a GMC. Indeed further evidence against such a mechanisms comes from the lack of </w:t>
      </w:r>
      <w:r>
        <w:rPr>
          <w:rFonts w:ascii="Arial" w:hAnsi="Arial" w:cs="Arial"/>
          <w:i/>
        </w:rPr>
        <w:t>BASL</w:t>
      </w:r>
      <w:r>
        <w:rPr>
          <w:rFonts w:ascii="Arial" w:hAnsi="Arial" w:cs="Arial"/>
        </w:rPr>
        <w:t xml:space="preserve">, </w:t>
      </w:r>
      <w:r>
        <w:rPr>
          <w:rFonts w:ascii="Arial" w:hAnsi="Arial" w:cs="Arial"/>
          <w:i/>
        </w:rPr>
        <w:t xml:space="preserve">POLAR </w:t>
      </w:r>
      <w:r>
        <w:rPr>
          <w:rFonts w:ascii="Arial" w:hAnsi="Arial" w:cs="Arial"/>
        </w:rPr>
        <w:t xml:space="preserve">and </w:t>
      </w:r>
      <w:r>
        <w:rPr>
          <w:rFonts w:ascii="Arial" w:hAnsi="Arial" w:cs="Arial"/>
          <w:i/>
        </w:rPr>
        <w:t>POLAR</w:t>
      </w:r>
      <w:r>
        <w:rPr>
          <w:rFonts w:ascii="Arial" w:hAnsi="Arial" w:cs="Arial"/>
        </w:rPr>
        <w:t xml:space="preserve">-like1 in </w:t>
      </w:r>
      <w:r>
        <w:rPr>
          <w:rFonts w:ascii="Arial" w:hAnsi="Arial" w:cs="Arial"/>
          <w:i/>
        </w:rPr>
        <w:t xml:space="preserve">P. patens </w:t>
      </w:r>
      <w:r>
        <w:rPr>
          <w:rFonts w:ascii="Arial" w:hAnsi="Arial" w:cs="Arial"/>
        </w:rPr>
        <w:t xml:space="preserve">that are important for such process in Arabidopsis </w:t>
      </w:r>
      <w:r>
        <w:rPr>
          <w:rFonts w:ascii="Arial" w:hAnsi="Arial" w:cs="Arial"/>
        </w:rPr>
        <w:fldChar w:fldCharType="begin">
          <w:fldData xml:space="preserve">PEVuZE5vdGU+PENpdGU+PEF1dGhvcj5Eb25nPC9BdXRob3I+PFllYXI+MjAwOTwvWWVhcj48SURU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</w:fldData>
        </w:fldChar>
      </w:r>
      <w:r>
        <w:rPr>
          <w:rFonts w:ascii="Arial" w:hAnsi="Arial" w:cs="Arial"/>
        </w:rPr>
        <w:instrText xml:space="preserve"> ADDIN EN.CITE </w:instrText>
      </w:r>
      <w:r>
        <w:rPr>
          <w:rFonts w:ascii="Arial" w:hAnsi="Arial" w:cs="Arial"/>
        </w:rPr>
        <w:fldChar w:fldCharType="begin">
          <w:fldData xml:space="preserve">PEVuZE5vdGU+PENpdGU+PEF1dGhvcj5Eb25nPC9BdXRob3I+PFllYXI+MjAwOTwvWWVhcj48SURU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(Adrian et al., 2015; Dong et al., 2009; Pillitteri et al., 2011; Zhang et al., 2015)</w:t>
      </w:r>
      <w:r>
        <w:rPr>
          <w:rFonts w:ascii="Arial" w:hAnsi="Arial" w:cs="Arial"/>
        </w:rPr>
        <w:fldChar w:fldCharType="end"/>
      </w:r>
      <w:r>
        <w:rPr>
          <w:rFonts w:ascii="Arial" w:hAnsi="Arial" w:cs="Arial"/>
        </w:rPr>
        <w:t xml:space="preserve">. </w:t>
      </w:r>
    </w:p>
    <w:p w14:paraId="0BB289C8" w14:textId="77777777" w:rsidR="00311AE8" w:rsidRPr="002011D3" w:rsidRDefault="00311AE8" w:rsidP="00311AE8">
      <w:pPr>
        <w:spacing w:after="160" w:line="360" w:lineRule="auto"/>
        <w:rPr>
          <w:rFonts w:ascii="Arial" w:hAnsi="Arial" w:cs="Arial"/>
          <w:u w:val="single"/>
        </w:rPr>
      </w:pPr>
      <w:r>
        <w:rPr>
          <w:rFonts w:ascii="Arial" w:hAnsi="Arial" w:cs="Arial"/>
          <w:u w:val="single"/>
        </w:rPr>
        <w:t xml:space="preserve">1.9 </w:t>
      </w:r>
      <w:r w:rsidRPr="00E5501E">
        <w:rPr>
          <w:rFonts w:ascii="Arial" w:hAnsi="Arial" w:cs="Arial"/>
          <w:u w:val="single"/>
        </w:rPr>
        <w:t>Stomatal size and density responses to growth under different CO</w:t>
      </w:r>
      <w:r w:rsidRPr="00E5501E">
        <w:rPr>
          <w:rFonts w:ascii="Arial" w:hAnsi="Arial" w:cs="Arial"/>
          <w:u w:val="single"/>
          <w:vertAlign w:val="subscript"/>
        </w:rPr>
        <w:t xml:space="preserve">2 </w:t>
      </w:r>
      <w:r w:rsidRPr="00E5501E">
        <w:rPr>
          <w:rFonts w:ascii="Arial" w:hAnsi="Arial" w:cs="Arial"/>
          <w:u w:val="single"/>
        </w:rPr>
        <w:t>concentrations: an ancient response mechanism to space stomata</w:t>
      </w:r>
    </w:p>
    <w:p w14:paraId="5B5C6E95" w14:textId="77777777" w:rsidR="00311AE8" w:rsidRDefault="00311AE8" w:rsidP="00311AE8">
      <w:pPr>
        <w:spacing w:after="160" w:line="360" w:lineRule="auto"/>
        <w:rPr>
          <w:rFonts w:ascii="Arial" w:hAnsi="Arial" w:cs="Arial"/>
        </w:rPr>
      </w:pPr>
      <w:r>
        <w:rPr>
          <w:rFonts w:ascii="Arial" w:hAnsi="Arial" w:cs="Arial"/>
        </w:rPr>
        <w:t>It has long since been established that stomata of land plants can serve as proxies for past climates, particularly in relation to past atmospheric CO</w:t>
      </w:r>
      <w:r>
        <w:rPr>
          <w:rFonts w:ascii="Arial" w:hAnsi="Arial" w:cs="Arial"/>
          <w:vertAlign w:val="subscript"/>
        </w:rPr>
        <w:t>2</w:t>
      </w:r>
      <w:r>
        <w:rPr>
          <w:rFonts w:ascii="Arial" w:hAnsi="Arial" w:cs="Arial"/>
        </w:rPr>
        <w:t xml:space="preserve"> concentrations </w:t>
      </w:r>
      <w:r>
        <w:rPr>
          <w:rFonts w:ascii="Arial" w:hAnsi="Arial" w:cs="Arial"/>
        </w:rPr>
        <w:fldChar w:fldCharType="begin">
          <w:fldData xml:space="preserve">PEVuZE5vdGU+PENpdGU+PEF1dGhvcj5Xb29kd2FyZDwvQXV0aG9yPjxZZWFyPjE5ODc8L1llYXI+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PEVuZE5vdGU+PENpdGU+PEF1dGhvcj5Xb29kd2FyZDwvQXV0aG9yPjxZZWFyPjE5ODc8L1llYXI+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 xml:space="preserve">(Beerling, 2007; Beerling and Royer, 2002; McElwain and Chaloner, 1995; </w:t>
      </w:r>
      <w:r>
        <w:rPr>
          <w:rFonts w:ascii="Arial" w:hAnsi="Arial" w:cs="Arial"/>
          <w:noProof/>
        </w:rPr>
        <w:lastRenderedPageBreak/>
        <w:t>Woodward, 1987)</w:t>
      </w:r>
      <w:r>
        <w:rPr>
          <w:rFonts w:ascii="Arial" w:hAnsi="Arial" w:cs="Arial"/>
        </w:rPr>
        <w:fldChar w:fldCharType="end"/>
      </w:r>
      <w:r>
        <w:rPr>
          <w:rFonts w:ascii="Arial" w:hAnsi="Arial" w:cs="Arial"/>
        </w:rPr>
        <w:t>. When atmospheric CO</w:t>
      </w:r>
      <w:r>
        <w:rPr>
          <w:rFonts w:ascii="Arial" w:hAnsi="Arial" w:cs="Arial"/>
          <w:vertAlign w:val="subscript"/>
        </w:rPr>
        <w:t>2</w:t>
      </w:r>
      <w:r>
        <w:rPr>
          <w:rFonts w:ascii="Arial" w:hAnsi="Arial" w:cs="Arial"/>
        </w:rPr>
        <w:t xml:space="preserve"> concentrations were low plants have been shown to respond by reducing stomatal size (S) and increasing stomatal density (D, number of stomata per mm</w:t>
      </w:r>
      <w:r>
        <w:rPr>
          <w:rFonts w:ascii="Arial" w:hAnsi="Arial" w:cs="Arial"/>
          <w:vertAlign w:val="superscript"/>
        </w:rPr>
        <w:t>2</w:t>
      </w:r>
      <w:r>
        <w:rPr>
          <w:rFonts w:ascii="Arial" w:hAnsi="Arial" w:cs="Arial"/>
        </w:rPr>
        <w:t xml:space="preserve">) </w:t>
      </w:r>
      <w:r w:rsidRPr="00FA7F73">
        <w:rPr>
          <w:rFonts w:ascii="Arial" w:hAnsi="Arial" w:cs="Arial"/>
        </w:rPr>
        <w:fldChar w:fldCharType="begin">
          <w:fldData xml:space="preserve">PEVuZE5vdGU+PENpdGU+PEF1dGhvcj5GcmFua3M8L0F1dGhvcj48WWVhcj4yMDA5PC9ZZWFyPjxJ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</w:fldData>
        </w:fldChar>
      </w:r>
      <w:r>
        <w:rPr>
          <w:rFonts w:ascii="Arial" w:hAnsi="Arial" w:cs="Arial"/>
        </w:rPr>
        <w:instrText xml:space="preserve"> ADDIN EN.CITE </w:instrText>
      </w:r>
      <w:r>
        <w:rPr>
          <w:rFonts w:ascii="Arial" w:hAnsi="Arial" w:cs="Arial"/>
        </w:rPr>
        <w:fldChar w:fldCharType="begin">
          <w:fldData xml:space="preserve">PEVuZE5vdGU+PENpdGU+PEF1dGhvcj5GcmFua3M8L0F1dGhvcj48WWVhcj4yMDA5PC9ZZWFyPjxJ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sidRPr="00FA7F73">
        <w:rPr>
          <w:rFonts w:ascii="Arial" w:hAnsi="Arial" w:cs="Arial"/>
          <w:noProof/>
        </w:rPr>
        <w:t>(Franks and Beerling, 2009)</w:t>
      </w:r>
      <w:r w:rsidRPr="00FA7F73">
        <w:rPr>
          <w:rFonts w:ascii="Arial" w:hAnsi="Arial" w:cs="Arial"/>
        </w:rPr>
        <w:fldChar w:fldCharType="end"/>
      </w:r>
      <w:r w:rsidRPr="00FA7F73">
        <w:rPr>
          <w:rFonts w:ascii="Arial" w:hAnsi="Arial" w:cs="Arial"/>
        </w:rPr>
        <w:t xml:space="preserve">. </w:t>
      </w:r>
      <w:r>
        <w:rPr>
          <w:rFonts w:ascii="Arial" w:hAnsi="Arial" w:cs="Arial"/>
        </w:rPr>
        <w:t xml:space="preserve">Conversely, when </w:t>
      </w:r>
      <w:r w:rsidRPr="00FA7F73">
        <w:rPr>
          <w:rFonts w:ascii="Arial" w:hAnsi="Arial" w:cs="Arial"/>
        </w:rPr>
        <w:t>atmospheric CO</w:t>
      </w:r>
      <w:r w:rsidRPr="00FA7F73">
        <w:rPr>
          <w:rFonts w:ascii="Arial" w:hAnsi="Arial" w:cs="Arial"/>
          <w:vertAlign w:val="subscript"/>
        </w:rPr>
        <w:t>2</w:t>
      </w:r>
      <w:r w:rsidRPr="00FA7F73">
        <w:rPr>
          <w:rFonts w:ascii="Arial" w:hAnsi="Arial" w:cs="Arial"/>
        </w:rPr>
        <w:t xml:space="preserve"> levels </w:t>
      </w:r>
      <w:r>
        <w:rPr>
          <w:rFonts w:ascii="Arial" w:hAnsi="Arial" w:cs="Arial"/>
        </w:rPr>
        <w:t xml:space="preserve">rose, plants reversed such trends by increasing </w:t>
      </w:r>
      <w:r w:rsidRPr="00FA7F73">
        <w:rPr>
          <w:rFonts w:ascii="Arial" w:hAnsi="Arial" w:cs="Arial"/>
        </w:rPr>
        <w:t xml:space="preserve">S </w:t>
      </w:r>
      <w:r>
        <w:rPr>
          <w:rFonts w:ascii="Arial" w:hAnsi="Arial" w:cs="Arial"/>
        </w:rPr>
        <w:t>and reducing D. It has been suggested that, particularly at low atmospheric CO</w:t>
      </w:r>
      <w:r>
        <w:rPr>
          <w:rFonts w:ascii="Arial" w:hAnsi="Arial" w:cs="Arial"/>
          <w:vertAlign w:val="subscript"/>
        </w:rPr>
        <w:t>2</w:t>
      </w:r>
      <w:r>
        <w:rPr>
          <w:rFonts w:ascii="Arial" w:hAnsi="Arial" w:cs="Arial"/>
        </w:rPr>
        <w:t xml:space="preserve"> concentrations, such responses would have permitted improved overall stomatal conductance, thereby enabling plants to maximise carbon uptake when CO</w:t>
      </w:r>
      <w:r>
        <w:rPr>
          <w:rFonts w:ascii="Arial" w:hAnsi="Arial" w:cs="Arial"/>
          <w:vertAlign w:val="subscript"/>
        </w:rPr>
        <w:t>2</w:t>
      </w:r>
      <w:r>
        <w:rPr>
          <w:rFonts w:ascii="Arial" w:hAnsi="Arial" w:cs="Arial"/>
        </w:rPr>
        <w:t xml:space="preserve"> was scarce in the surrounding environment </w:t>
      </w:r>
      <w:r>
        <w:rPr>
          <w:rFonts w:ascii="Arial" w:hAnsi="Arial" w:cs="Arial"/>
        </w:rPr>
        <w:fldChar w:fldCharType="begin">
          <w:fldData xml:space="preserve">PEVuZE5vdGU+PENpdGU+PEF1dGhvcj5GcmFua3M8L0F1dGhvcj48WWVhcj4yMDA5PC9ZZWFyPjxJ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</w:fldData>
        </w:fldChar>
      </w:r>
      <w:r>
        <w:rPr>
          <w:rFonts w:ascii="Arial" w:hAnsi="Arial" w:cs="Arial"/>
        </w:rPr>
        <w:instrText xml:space="preserve"> ADDIN EN.CITE </w:instrText>
      </w:r>
      <w:r>
        <w:rPr>
          <w:rFonts w:ascii="Arial" w:hAnsi="Arial" w:cs="Arial"/>
        </w:rPr>
        <w:fldChar w:fldCharType="begin">
          <w:fldData xml:space="preserve">PEVuZE5vdGU+PENpdGU+PEF1dGhvcj5GcmFua3M8L0F1dGhvcj48WWVhcj4yMDA5PC9ZZWFyPjxJ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(Franks and Beerling, 2009)</w:t>
      </w:r>
      <w:r>
        <w:rPr>
          <w:rFonts w:ascii="Arial" w:hAnsi="Arial" w:cs="Arial"/>
        </w:rPr>
        <w:fldChar w:fldCharType="end"/>
      </w:r>
      <w:r>
        <w:rPr>
          <w:rFonts w:ascii="Arial" w:hAnsi="Arial" w:cs="Arial"/>
        </w:rPr>
        <w:t xml:space="preserve">. </w:t>
      </w:r>
    </w:p>
    <w:p w14:paraId="040B3B6D" w14:textId="77777777" w:rsidR="00311AE8" w:rsidRPr="00F518C2" w:rsidRDefault="00311AE8" w:rsidP="00311AE8">
      <w:pPr>
        <w:spacing w:after="160" w:line="360" w:lineRule="auto"/>
        <w:rPr>
          <w:rFonts w:ascii="Arial" w:hAnsi="Arial" w:cs="Arial"/>
        </w:rPr>
      </w:pPr>
      <w:r>
        <w:rPr>
          <w:rFonts w:ascii="Arial" w:hAnsi="Arial" w:cs="Arial"/>
        </w:rPr>
        <w:t>Recent experiments on extant land plants have shown that S and D responses to growth at different CO</w:t>
      </w:r>
      <w:r>
        <w:rPr>
          <w:rFonts w:ascii="Arial" w:hAnsi="Arial" w:cs="Arial"/>
          <w:vertAlign w:val="subscript"/>
        </w:rPr>
        <w:t>2</w:t>
      </w:r>
      <w:r>
        <w:rPr>
          <w:rFonts w:ascii="Arial" w:hAnsi="Arial" w:cs="Arial"/>
        </w:rPr>
        <w:t xml:space="preserve"> concentrations have indeed been maintained in a number of different extant land plant lineages </w:t>
      </w:r>
      <w:r w:rsidRPr="00FA7F73">
        <w:rPr>
          <w:rFonts w:ascii="Arial" w:hAnsi="Arial" w:cs="Arial"/>
        </w:rPr>
        <w:fldChar w:fldCharType="begin">
          <w:fldData xml:space="preserve">PEVuZE5vdGU+PENpdGU+PEF1dGhvcj5GcmFua3M8L0F1dGhvcj48WWVhcj4yMDEyPC9ZZWFyPjxJ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PEVuZE5vdGU+PENpdGU+PEF1dGhvcj5GcmFua3M8L0F1dGhvcj48WWVhcj4yMDEyPC9ZZWFyPjxJ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FA7F73">
        <w:rPr>
          <w:rFonts w:ascii="Arial" w:hAnsi="Arial" w:cs="Arial"/>
        </w:rPr>
      </w:r>
      <w:r w:rsidRPr="00FA7F73">
        <w:rPr>
          <w:rFonts w:ascii="Arial" w:hAnsi="Arial" w:cs="Arial"/>
        </w:rPr>
        <w:fldChar w:fldCharType="separate"/>
      </w:r>
      <w:r>
        <w:rPr>
          <w:rFonts w:ascii="Arial" w:hAnsi="Arial" w:cs="Arial"/>
          <w:noProof/>
        </w:rPr>
        <w:t>(Doheny-Adams et al., 2012; Franks et al., 2012)</w:t>
      </w:r>
      <w:r w:rsidRPr="00FA7F73">
        <w:rPr>
          <w:rFonts w:ascii="Arial" w:hAnsi="Arial" w:cs="Arial"/>
        </w:rPr>
        <w:fldChar w:fldCharType="end"/>
      </w:r>
      <w:r w:rsidRPr="00FA7F73">
        <w:rPr>
          <w:rFonts w:ascii="Arial" w:hAnsi="Arial" w:cs="Arial"/>
        </w:rPr>
        <w:t>.</w:t>
      </w:r>
      <w:r>
        <w:rPr>
          <w:rFonts w:ascii="Arial" w:hAnsi="Arial" w:cs="Arial"/>
        </w:rPr>
        <w:t xml:space="preserve"> Whilst such responses are common amongst extant land plants it appears that there are species which do not exhibit such responses </w:t>
      </w:r>
      <w:r>
        <w:rPr>
          <w:rFonts w:ascii="Arial" w:hAnsi="Arial" w:cs="Arial"/>
        </w:rPr>
        <w:fldChar w:fldCharType="begin">
          <w:fldData xml:space="preserve">PEVuZE5vdGU+PENpdGU+PEF1dGhvcj5NYWxvbmU8L0F1dGhvcj48WWVhcj4xOTkzPC9ZZWFyPjxJ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</w:fldData>
        </w:fldChar>
      </w:r>
      <w:r>
        <w:rPr>
          <w:rFonts w:ascii="Arial" w:hAnsi="Arial" w:cs="Arial"/>
        </w:rPr>
        <w:instrText xml:space="preserve"> ADDIN EN.CITE </w:instrText>
      </w:r>
      <w:r>
        <w:rPr>
          <w:rFonts w:ascii="Arial" w:hAnsi="Arial" w:cs="Arial"/>
        </w:rPr>
        <w:fldChar w:fldCharType="begin">
          <w:fldData xml:space="preserve">PEVuZE5vdGU+PENpdGU+PEF1dGhvcj5NYWxvbmU8L0F1dGhvcj48WWVhcj4xOTkzPC9ZZWFyPjxJ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(Haworth et al., 2013; Malone et al., 1993; Ogaya et al., 2011)</w:t>
      </w:r>
      <w:r>
        <w:rPr>
          <w:rFonts w:ascii="Arial" w:hAnsi="Arial" w:cs="Arial"/>
        </w:rPr>
        <w:fldChar w:fldCharType="end"/>
      </w:r>
      <w:r>
        <w:rPr>
          <w:rFonts w:ascii="Arial" w:hAnsi="Arial" w:cs="Arial"/>
        </w:rPr>
        <w:t>. To verify whether the S and D responses to growth at elevated CO</w:t>
      </w:r>
      <w:r>
        <w:rPr>
          <w:rFonts w:ascii="Arial" w:hAnsi="Arial" w:cs="Arial"/>
          <w:vertAlign w:val="subscript"/>
        </w:rPr>
        <w:t>2</w:t>
      </w:r>
      <w:r>
        <w:rPr>
          <w:rFonts w:ascii="Arial" w:hAnsi="Arial" w:cs="Arial"/>
        </w:rPr>
        <w:t xml:space="preserve"> (1000ppm) is conserved in earlier diverging land plant lineages, such as in the mosses and hornworts, Field and colleagues </w:t>
      </w:r>
      <w:r>
        <w:rPr>
          <w:rFonts w:ascii="Arial" w:hAnsi="Arial" w:cs="Arial"/>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(2015)</w:t>
      </w:r>
      <w:r>
        <w:rPr>
          <w:rFonts w:ascii="Arial" w:hAnsi="Arial" w:cs="Arial"/>
        </w:rPr>
        <w:fldChar w:fldCharType="end"/>
      </w:r>
      <w:r>
        <w:rPr>
          <w:rFonts w:ascii="Arial" w:hAnsi="Arial" w:cs="Arial"/>
        </w:rPr>
        <w:t xml:space="preserve"> have recently assayed a number of representative species. It was found that, under the conditions used, no clear differences were detected between sporophytes grown at ambient or elevated CO</w:t>
      </w:r>
      <w:r>
        <w:rPr>
          <w:rFonts w:ascii="Arial" w:hAnsi="Arial" w:cs="Arial"/>
          <w:vertAlign w:val="subscript"/>
        </w:rPr>
        <w:t>2</w:t>
      </w:r>
      <w:r>
        <w:rPr>
          <w:rFonts w:ascii="Arial" w:hAnsi="Arial" w:cs="Arial"/>
        </w:rPr>
        <w:t xml:space="preserve"> in relation to either stomatal guard cell length (similar to S), aperture or D. Baars and Edwards </w:t>
      </w:r>
      <w:r>
        <w:rPr>
          <w:rFonts w:ascii="Arial" w:hAnsi="Arial" w:cs="Arial"/>
        </w:rPr>
        <w:fldChar w:fldCharType="begin"/>
      </w:r>
      <w:r>
        <w:rPr>
          <w:rFonts w:ascii="Arial" w:hAnsi="Arial" w:cs="Arial"/>
        </w:rPr>
        <w:instrText xml:space="preserve"> ADDIN EN.CITE &lt;EndNote&gt;&lt;Cite ExcludeAuth="1"&gt;&lt;Author&gt;Baars&lt;/Author&gt;&lt;Year&gt;2008&lt;/Year&gt;&lt;IDText&gt;Effects of elevated atmospheric CO2 on spore capsules of the moss Leptobryum pyriforme&lt;/IDText&gt;&lt;DisplayText&gt;(2008)&lt;/DisplayText&gt;&lt;record&gt;&lt;keywords&gt;&lt;keyword&gt;Leptobryum pyriforme&lt;/keyword&gt;&lt;keyword&gt;bryophytes&lt;/keyword&gt;&lt;keyword&gt;stomata&lt;/keyword&gt;&lt;keyword&gt;atmospheric CO2&lt;/keyword&gt;&lt;keyword&gt;capsule&lt;/keyword&gt;&lt;keyword&gt;size&lt;/keyword&gt;&lt;keyword&gt;sporophyte&lt;/keyword&gt;&lt;keyword&gt;STOMATAL DENSITY&lt;/keyword&gt;&lt;keyword&gt;POPLAR POPULUS&lt;/keyword&gt;&lt;keyword&gt;PLANTS&lt;/keyword&gt;&lt;keyword&gt;ENRICHMENT&lt;/keyword&gt;&lt;keyword&gt;RESPONSES&lt;/keyword&gt;&lt;keyword&gt;TEMPERATURE&lt;/keyword&gt;&lt;keyword&gt;INDICATORS&lt;/keyword&gt;&lt;keyword&gt;MECHANISMS&lt;/keyword&gt;&lt;keyword&gt;GROWTH&lt;/keyword&gt;&lt;keyword&gt;INDEX&lt;/keyword&gt;&lt;/keywords&gt;&lt;urls&gt;&lt;related-urls&gt;&lt;url&gt;&amp;lt;Go to ISI&amp;gt;://WOS:000257312100004&lt;/url&gt;&lt;/related-urls&gt;&lt;/urls&gt;&lt;isbn&gt;0373-6687&lt;/isbn&gt;&lt;work-type&gt;Article&lt;/work-type&gt;&lt;titles&gt;&lt;title&gt;Effects of elevated atmospheric CO2 on spore capsules of the moss Leptobryum pyriforme&lt;/title&gt;&lt;secondary-title&gt;Journal of Bryology&lt;/secondary-title&gt;&lt;alt-title&gt;J. Bryol.&lt;/alt-title&gt;&lt;/titles&gt;&lt;pages&gt;36-40&lt;/pages&gt;&lt;contributors&gt;&lt;authors&gt;&lt;author&gt;Baars, C.&lt;/author&gt;&lt;author&gt;Edwards, D.&lt;/author&gt;&lt;/authors&gt;&lt;/contributors&gt;&lt;language&gt;English&lt;/language&gt;&lt;added-date format="utc"&gt;1353145478&lt;/added-date&gt;&lt;ref-type name="Journal Article"&gt;17&lt;/ref-type&gt;&lt;auth-address&gt;[Baars, Christian&amp;#xD;Edwards, Dianne] Cardiff Univ, Sch Earth Ocean &amp;amp; Planetary Sci, Cardiff CF10 3YE, S Glam, Wales. [Baars, Christian] Natl Museum Wales, Dept Geol, Cardiff CF10 3NP, England.&amp;#xD;Baars, C (reprint author), Cardiff Univ, Sch Earth Ocean &amp;amp; Planetary Sci, Cardiff CF10 3YE, S Glam, Wales.&amp;#xD;christian.baars@museumwales.ac.uk&lt;/auth-address&gt;&lt;dates&gt;&lt;year&gt;2008&lt;/year&gt;&lt;/dates&gt;&lt;rec-number&gt;32&lt;/rec-number&gt;&lt;last-updated-date format="utc"&gt;1353145478&lt;/last-updated-date&gt;&lt;accession-num&gt;WOS:000257312100004&lt;/accession-num&gt;&lt;electronic-resource-num&gt;10.1179/174328208x282094&lt;/electronic-resource-num&gt;&lt;volume&gt;30&lt;/volume&gt;&lt;/record&gt;&lt;/Cite&gt;&lt;/EndNote&gt;</w:instrText>
      </w:r>
      <w:r>
        <w:rPr>
          <w:rFonts w:ascii="Arial" w:hAnsi="Arial" w:cs="Arial"/>
        </w:rPr>
        <w:fldChar w:fldCharType="separate"/>
      </w:r>
      <w:r>
        <w:rPr>
          <w:rFonts w:ascii="Arial" w:hAnsi="Arial" w:cs="Arial"/>
          <w:noProof/>
        </w:rPr>
        <w:t>(2008)</w:t>
      </w:r>
      <w:r>
        <w:rPr>
          <w:rFonts w:ascii="Arial" w:hAnsi="Arial" w:cs="Arial"/>
        </w:rPr>
        <w:fldChar w:fldCharType="end"/>
      </w:r>
      <w:r>
        <w:rPr>
          <w:rFonts w:ascii="Arial" w:hAnsi="Arial" w:cs="Arial"/>
        </w:rPr>
        <w:t xml:space="preserve"> working with the moss </w:t>
      </w:r>
      <w:r>
        <w:rPr>
          <w:rFonts w:ascii="Arial" w:hAnsi="Arial" w:cs="Arial"/>
          <w:i/>
        </w:rPr>
        <w:t xml:space="preserve">Leptobryum pyriforme </w:t>
      </w:r>
      <w:r>
        <w:rPr>
          <w:rFonts w:ascii="Arial" w:hAnsi="Arial" w:cs="Arial"/>
        </w:rPr>
        <w:t>found that at highly elevated CO</w:t>
      </w:r>
      <w:r>
        <w:rPr>
          <w:rFonts w:ascii="Arial" w:hAnsi="Arial" w:cs="Arial"/>
          <w:vertAlign w:val="subscript"/>
        </w:rPr>
        <w:t>2</w:t>
      </w:r>
      <w:r>
        <w:rPr>
          <w:rFonts w:ascii="Arial" w:hAnsi="Arial" w:cs="Arial"/>
        </w:rPr>
        <w:t xml:space="preserve"> (3500ppm) stomatal S and D were both reduced, which contrasts with the findings of Field and colleagues </w:t>
      </w:r>
      <w:r>
        <w:rPr>
          <w:rFonts w:ascii="Arial" w:hAnsi="Arial" w:cs="Arial"/>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(2015)</w:t>
      </w:r>
      <w:r>
        <w:rPr>
          <w:rFonts w:ascii="Arial" w:hAnsi="Arial" w:cs="Arial"/>
        </w:rPr>
        <w:fldChar w:fldCharType="end"/>
      </w:r>
      <w:r>
        <w:rPr>
          <w:rFonts w:ascii="Arial" w:hAnsi="Arial" w:cs="Arial"/>
        </w:rPr>
        <w:t>. Evidently in extant land plant lineages there appears to be considerable variation in relation to responses of S and D when plants are grown at either sub-ambient or elevated CO</w:t>
      </w:r>
      <w:r>
        <w:rPr>
          <w:rFonts w:ascii="Arial" w:hAnsi="Arial" w:cs="Arial"/>
          <w:vertAlign w:val="subscript"/>
        </w:rPr>
        <w:t>2</w:t>
      </w:r>
      <w:r>
        <w:rPr>
          <w:rFonts w:ascii="Arial" w:hAnsi="Arial" w:cs="Arial"/>
        </w:rPr>
        <w:t xml:space="preserve">. It is currently unknown whether </w:t>
      </w:r>
      <w:r>
        <w:rPr>
          <w:rFonts w:ascii="Arial" w:hAnsi="Arial" w:cs="Arial"/>
          <w:i/>
        </w:rPr>
        <w:t xml:space="preserve">Physcomitrella patens </w:t>
      </w:r>
      <w:r>
        <w:rPr>
          <w:rFonts w:ascii="Arial" w:hAnsi="Arial" w:cs="Arial"/>
        </w:rPr>
        <w:t>responds to CO</w:t>
      </w:r>
      <w:r>
        <w:rPr>
          <w:rFonts w:ascii="Arial" w:hAnsi="Arial" w:cs="Arial"/>
          <w:vertAlign w:val="subscript"/>
        </w:rPr>
        <w:t>2</w:t>
      </w:r>
      <w:r>
        <w:rPr>
          <w:rFonts w:ascii="Arial" w:hAnsi="Arial" w:cs="Arial"/>
        </w:rPr>
        <w:t xml:space="preserve"> when grown at sub-ambient or elevated CO</w:t>
      </w:r>
      <w:r>
        <w:rPr>
          <w:rFonts w:ascii="Arial" w:hAnsi="Arial" w:cs="Arial"/>
          <w:vertAlign w:val="subscript"/>
        </w:rPr>
        <w:t>2</w:t>
      </w:r>
      <w:r>
        <w:rPr>
          <w:rFonts w:ascii="Arial" w:hAnsi="Arial" w:cs="Arial"/>
        </w:rPr>
        <w:t xml:space="preserve"> concentrations. </w:t>
      </w:r>
    </w:p>
    <w:p w14:paraId="3DF36A49" w14:textId="77777777" w:rsidR="00311AE8" w:rsidRDefault="00311AE8" w:rsidP="00311AE8">
      <w:pPr>
        <w:spacing w:after="160" w:line="360" w:lineRule="auto"/>
        <w:rPr>
          <w:rFonts w:ascii="Arial" w:hAnsi="Arial" w:cs="Arial"/>
          <w:u w:val="single"/>
        </w:rPr>
      </w:pPr>
      <w:r>
        <w:rPr>
          <w:rFonts w:ascii="Arial" w:hAnsi="Arial" w:cs="Arial"/>
        </w:rPr>
        <w:t>Particularly in relation to the response of D to sub-ambient or elevated CO</w:t>
      </w:r>
      <w:r>
        <w:rPr>
          <w:rFonts w:ascii="Arial" w:hAnsi="Arial" w:cs="Arial"/>
          <w:vertAlign w:val="subscript"/>
        </w:rPr>
        <w:t>2</w:t>
      </w:r>
      <w:r>
        <w:rPr>
          <w:rFonts w:ascii="Arial" w:hAnsi="Arial" w:cs="Arial"/>
        </w:rPr>
        <w:t xml:space="preserve">, a number of recent studies have been conducted which have focussed on isolating the genetics mechanisms that underpin such mechanisms in Arabidopsis </w:t>
      </w:r>
      <w:r>
        <w:rPr>
          <w:rFonts w:ascii="Arial" w:hAnsi="Arial" w:cs="Arial"/>
        </w:rPr>
        <w:fldChar w:fldCharType="begin">
          <w:fldData xml:space="preserve">PEVuZE5vdGU+PENpdGU+PEF1dGhvcj5Eb2hlbnktQWRhbXM8L0F1dGhvcj48WWVhcj4yMDEyPC9Z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</w:fldData>
        </w:fldChar>
      </w:r>
      <w:r>
        <w:rPr>
          <w:rFonts w:ascii="Arial" w:hAnsi="Arial" w:cs="Arial"/>
        </w:rPr>
        <w:instrText xml:space="preserve"> ADDIN EN.CITE </w:instrText>
      </w:r>
      <w:r>
        <w:rPr>
          <w:rFonts w:ascii="Arial" w:hAnsi="Arial" w:cs="Arial"/>
        </w:rPr>
        <w:fldChar w:fldCharType="begin">
          <w:fldData xml:space="preserve">PEVuZE5vdGU+PENpdGU+PEF1dGhvcj5Eb2hlbnktQWRhbXM8L0F1dGhvcj48WWVhcj4yMDEyPC9Z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(Chater et al., 2015; Doheny-Adams et al., 2012; Engineer et al., 2014)</w:t>
      </w:r>
      <w:r>
        <w:rPr>
          <w:rFonts w:ascii="Arial" w:hAnsi="Arial" w:cs="Arial"/>
        </w:rPr>
        <w:fldChar w:fldCharType="end"/>
      </w:r>
      <w:r>
        <w:rPr>
          <w:rFonts w:ascii="Arial" w:hAnsi="Arial" w:cs="Arial"/>
        </w:rPr>
        <w:t>. Using stomatal index (100x (stomata/ (stomata + epidermal pavement cells))) as a measure of D for responses of plants grown at different CO</w:t>
      </w:r>
      <w:r>
        <w:rPr>
          <w:rFonts w:ascii="Arial" w:hAnsi="Arial" w:cs="Arial"/>
          <w:vertAlign w:val="subscript"/>
        </w:rPr>
        <w:t>2</w:t>
      </w:r>
      <w:r>
        <w:rPr>
          <w:rFonts w:ascii="Arial" w:hAnsi="Arial" w:cs="Arial"/>
        </w:rPr>
        <w:t xml:space="preserve"> concentrations, Engineer and colleagues </w:t>
      </w:r>
      <w:r>
        <w:rPr>
          <w:rFonts w:ascii="Arial" w:hAnsi="Arial" w:cs="Arial"/>
        </w:rPr>
        <w:fldChar w:fldCharType="begin">
          <w:fldData xml:space="preserve">PEVuZE5vdGU+PENpdGUgRXhjbHVkZUF1dGg9IjEiPjxBdXRob3I+RW5naW5lZXI8L0F1dGhvcj48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</w:fldData>
        </w:fldChar>
      </w:r>
      <w:r>
        <w:rPr>
          <w:rFonts w:ascii="Arial" w:hAnsi="Arial" w:cs="Arial"/>
        </w:rPr>
        <w:instrText xml:space="preserve"> ADDIN EN.CITE </w:instrText>
      </w:r>
      <w:r>
        <w:rPr>
          <w:rFonts w:ascii="Arial" w:hAnsi="Arial" w:cs="Arial"/>
        </w:rPr>
        <w:fldChar w:fldCharType="begin">
          <w:fldData xml:space="preserve">PEVuZE5vdGU+PENpdGUgRXhjbHVkZUF1dGg9IjEiPjxBdXRob3I+RW5naW5lZXI8L0F1dGhvcj48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(2014)</w:t>
      </w:r>
      <w:r>
        <w:rPr>
          <w:rFonts w:ascii="Arial" w:hAnsi="Arial" w:cs="Arial"/>
        </w:rPr>
        <w:fldChar w:fldCharType="end"/>
      </w:r>
      <w:r>
        <w:rPr>
          <w:rFonts w:ascii="Arial" w:hAnsi="Arial" w:cs="Arial"/>
        </w:rPr>
        <w:t xml:space="preserve"> have shown that for Arabidopsis to respond to CO</w:t>
      </w:r>
      <w:r>
        <w:rPr>
          <w:rFonts w:ascii="Arial" w:hAnsi="Arial" w:cs="Arial"/>
          <w:vertAlign w:val="subscript"/>
        </w:rPr>
        <w:t>2</w:t>
      </w:r>
      <w:r>
        <w:rPr>
          <w:rFonts w:ascii="Arial" w:hAnsi="Arial" w:cs="Arial"/>
        </w:rPr>
        <w:t xml:space="preserve"> effectively a pair of carbonic anhydrases, CA1 and CA4, as well as CO</w:t>
      </w:r>
      <w:r>
        <w:rPr>
          <w:rFonts w:ascii="Arial" w:hAnsi="Arial" w:cs="Arial"/>
          <w:vertAlign w:val="subscript"/>
        </w:rPr>
        <w:t>2</w:t>
      </w:r>
      <w:r>
        <w:rPr>
          <w:rFonts w:ascii="Arial" w:hAnsi="Arial" w:cs="Arial"/>
        </w:rPr>
        <w:t xml:space="preserve"> RESPONSE SECRETED PROTEASE (CRSP) and EPF2 are required. Essentially, in the absence of functioning CA1 and CA4 or CRSP in the apoplast, the extracellular EPF2 pro-</w:t>
      </w:r>
      <w:r>
        <w:rPr>
          <w:rFonts w:ascii="Arial" w:hAnsi="Arial" w:cs="Arial"/>
        </w:rPr>
        <w:lastRenderedPageBreak/>
        <w:t>peptide cannot be cleaved and so the repression of stomatal development is not correctly regulated when plants are grown at different CO</w:t>
      </w:r>
      <w:r>
        <w:rPr>
          <w:rFonts w:ascii="Arial" w:hAnsi="Arial" w:cs="Arial"/>
          <w:vertAlign w:val="subscript"/>
        </w:rPr>
        <w:t>2</w:t>
      </w:r>
      <w:r>
        <w:rPr>
          <w:rFonts w:ascii="Arial" w:hAnsi="Arial" w:cs="Arial"/>
        </w:rPr>
        <w:t xml:space="preserve"> concentrations. Whether such mechanisms represent an ancestral response mechanism to CO</w:t>
      </w:r>
      <w:r>
        <w:rPr>
          <w:rFonts w:ascii="Arial" w:hAnsi="Arial" w:cs="Arial"/>
          <w:vertAlign w:val="subscript"/>
        </w:rPr>
        <w:t>2,</w:t>
      </w:r>
      <w:r>
        <w:rPr>
          <w:rFonts w:ascii="Arial" w:hAnsi="Arial" w:cs="Arial"/>
        </w:rPr>
        <w:t xml:space="preserve"> especially in relation to the EPF peptide and CRSP, awaits further study and is one of the subjects covered in this thesis (chapter 5).</w:t>
      </w:r>
    </w:p>
    <w:p w14:paraId="3E415A5F" w14:textId="77777777" w:rsidR="00311AE8" w:rsidRPr="00A27772" w:rsidRDefault="00311AE8" w:rsidP="00311AE8">
      <w:pPr>
        <w:spacing w:after="160" w:line="360" w:lineRule="auto"/>
        <w:rPr>
          <w:rFonts w:ascii="Arial" w:hAnsi="Arial" w:cs="Arial"/>
          <w:u w:val="single"/>
        </w:rPr>
      </w:pPr>
      <w:r>
        <w:rPr>
          <w:rFonts w:ascii="Arial" w:hAnsi="Arial" w:cs="Arial"/>
          <w:u w:val="single"/>
        </w:rPr>
        <w:t xml:space="preserve">1.10 </w:t>
      </w:r>
      <w:r w:rsidRPr="00E5501E">
        <w:rPr>
          <w:rFonts w:ascii="Arial" w:hAnsi="Arial" w:cs="Arial"/>
          <w:u w:val="single"/>
        </w:rPr>
        <w:t>Thesis aims</w:t>
      </w:r>
    </w:p>
    <w:p w14:paraId="6C34BEE8" w14:textId="77777777" w:rsidR="00311AE8" w:rsidRPr="00FA7F73" w:rsidRDefault="00311AE8" w:rsidP="00311AE8">
      <w:pPr>
        <w:pStyle w:val="ListParagraph"/>
        <w:numPr>
          <w:ilvl w:val="0"/>
          <w:numId w:val="6"/>
        </w:numPr>
        <w:spacing w:after="160" w:line="360" w:lineRule="auto"/>
        <w:rPr>
          <w:rFonts w:ascii="Arial" w:hAnsi="Arial" w:cs="Arial"/>
        </w:rPr>
      </w:pPr>
      <w:r w:rsidRPr="00FA7F73">
        <w:rPr>
          <w:rFonts w:ascii="Arial" w:hAnsi="Arial" w:cs="Arial"/>
        </w:rPr>
        <w:t>Stomat</w:t>
      </w:r>
      <w:r>
        <w:rPr>
          <w:rFonts w:ascii="Arial" w:hAnsi="Arial" w:cs="Arial"/>
        </w:rPr>
        <w:t>a have been present on the surfaces of land plants for over 418</w:t>
      </w:r>
      <w:r w:rsidRPr="00FA7F73">
        <w:rPr>
          <w:rFonts w:ascii="Arial" w:hAnsi="Arial" w:cs="Arial"/>
        </w:rPr>
        <w:t xml:space="preserve"> million years and are</w:t>
      </w:r>
      <w:r>
        <w:rPr>
          <w:rFonts w:ascii="Arial" w:hAnsi="Arial" w:cs="Arial"/>
        </w:rPr>
        <w:t xml:space="preserve"> now</w:t>
      </w:r>
      <w:r w:rsidRPr="00FA7F73">
        <w:rPr>
          <w:rFonts w:ascii="Arial" w:hAnsi="Arial" w:cs="Arial"/>
        </w:rPr>
        <w:t xml:space="preserve"> widespread in many groups of land plants</w:t>
      </w:r>
      <w:r>
        <w:rPr>
          <w:rFonts w:ascii="Arial" w:hAnsi="Arial" w:cs="Arial"/>
        </w:rPr>
        <w:t xml:space="preserve"> </w:t>
      </w:r>
      <w:r>
        <w:rPr>
          <w:rFonts w:ascii="Arial" w:hAnsi="Arial" w:cs="Arial"/>
        </w:rPr>
        <w:fldChar w:fldCharType="begin">
          <w:fldData xml:space="preserve">PEVuZE5vdGU+PENpdGU+PEF1dGhvcj5DaGF0ZXI8L0F1dGhvcj48WWVhcj4yMDEzPC9ZZWFyPjxJ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</w:fldData>
        </w:fldChar>
      </w:r>
      <w:r>
        <w:rPr>
          <w:rFonts w:ascii="Arial" w:hAnsi="Arial" w:cs="Arial"/>
        </w:rPr>
        <w:instrText xml:space="preserve"> ADDIN EN.CITE </w:instrText>
      </w:r>
      <w:r>
        <w:rPr>
          <w:rFonts w:ascii="Arial" w:hAnsi="Arial" w:cs="Arial"/>
        </w:rPr>
        <w:fldChar w:fldCharType="begin">
          <w:fldData xml:space="preserve">PEVuZE5vdGU+PENpdGU+PEF1dGhvcj5DaGF0ZXI8L0F1dGhvcj48WWVhcj4yMDEzPC9ZZWFyPjxJ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(Chater et al., 2013; Rudall et al., 2013)</w:t>
      </w:r>
      <w:r>
        <w:rPr>
          <w:rFonts w:ascii="Arial" w:hAnsi="Arial" w:cs="Arial"/>
        </w:rPr>
        <w:fldChar w:fldCharType="end"/>
      </w:r>
      <w:r w:rsidRPr="00FA7F73">
        <w:rPr>
          <w:rFonts w:ascii="Arial" w:hAnsi="Arial" w:cs="Arial"/>
        </w:rPr>
        <w:t xml:space="preserve">. Whether </w:t>
      </w:r>
      <w:r>
        <w:rPr>
          <w:rFonts w:ascii="Arial" w:hAnsi="Arial" w:cs="Arial"/>
        </w:rPr>
        <w:t xml:space="preserve">all </w:t>
      </w:r>
      <w:r w:rsidRPr="00FA7F73">
        <w:rPr>
          <w:rFonts w:ascii="Arial" w:hAnsi="Arial" w:cs="Arial"/>
        </w:rPr>
        <w:t xml:space="preserve">these groups share a </w:t>
      </w:r>
      <w:r>
        <w:rPr>
          <w:rFonts w:ascii="Arial" w:hAnsi="Arial" w:cs="Arial"/>
        </w:rPr>
        <w:t xml:space="preserve">core </w:t>
      </w:r>
      <w:r w:rsidRPr="00FA7F73">
        <w:rPr>
          <w:rFonts w:ascii="Arial" w:hAnsi="Arial" w:cs="Arial"/>
        </w:rPr>
        <w:t xml:space="preserve">molecular toolkit for the correct </w:t>
      </w:r>
      <w:r>
        <w:rPr>
          <w:rFonts w:ascii="Arial" w:hAnsi="Arial" w:cs="Arial"/>
        </w:rPr>
        <w:t xml:space="preserve">development </w:t>
      </w:r>
      <w:r w:rsidRPr="00FA7F73">
        <w:rPr>
          <w:rFonts w:ascii="Arial" w:hAnsi="Arial" w:cs="Arial"/>
        </w:rPr>
        <w:t xml:space="preserve">and patterning of stomata </w:t>
      </w:r>
      <w:r>
        <w:rPr>
          <w:rFonts w:ascii="Arial" w:hAnsi="Arial" w:cs="Arial"/>
        </w:rPr>
        <w:t xml:space="preserve">has yet to be definitively determined and the origins of stomata in general are still disputed </w:t>
      </w:r>
      <w:r>
        <w:rPr>
          <w:rFonts w:ascii="Arial" w:hAnsi="Arial" w:cs="Arial"/>
        </w:rPr>
        <w:fldChar w:fldCharType="begin">
          <w:fldData xml:space="preserve">PEVuZE5vdGU+PENpdGU+PEF1dGhvcj5QcmVzc2VsPC9BdXRob3I+PFllYXI+MjAxNDwvWWVhcj48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=
</w:fldData>
        </w:fldChar>
      </w:r>
      <w:r>
        <w:rPr>
          <w:rFonts w:ascii="Arial" w:hAnsi="Arial" w:cs="Arial"/>
        </w:rPr>
        <w:instrText xml:space="preserve"> ADDIN EN.CITE </w:instrText>
      </w:r>
      <w:r>
        <w:rPr>
          <w:rFonts w:ascii="Arial" w:hAnsi="Arial" w:cs="Arial"/>
        </w:rPr>
        <w:fldChar w:fldCharType="begin">
          <w:fldData xml:space="preserve">PEVuZE5vdGU+PENpdGU+PEF1dGhvcj5QcmVzc2VsPC9BdXRob3I+PFllYXI+MjAxNDwvWWVhcj48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=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(Chater et al., 2013; Pressel et al., 2014)</w:t>
      </w:r>
      <w:r>
        <w:rPr>
          <w:rFonts w:ascii="Arial" w:hAnsi="Arial" w:cs="Arial"/>
        </w:rPr>
        <w:fldChar w:fldCharType="end"/>
      </w:r>
      <w:r w:rsidRPr="00FA7F73">
        <w:rPr>
          <w:rFonts w:ascii="Arial" w:hAnsi="Arial" w:cs="Arial"/>
        </w:rPr>
        <w:t xml:space="preserve">. The initial aim of this thesis is to use the model organism and non-vascular land plant </w:t>
      </w:r>
      <w:r w:rsidRPr="00FC3CED">
        <w:rPr>
          <w:rFonts w:ascii="Arial" w:hAnsi="Arial" w:cs="Arial"/>
          <w:i/>
        </w:rPr>
        <w:t>P. patens</w:t>
      </w:r>
      <w:r w:rsidRPr="00FA7F73">
        <w:rPr>
          <w:rFonts w:ascii="Arial" w:hAnsi="Arial" w:cs="Arial"/>
        </w:rPr>
        <w:t xml:space="preserve"> to ascertain whether a toolkit </w:t>
      </w:r>
      <w:r>
        <w:rPr>
          <w:rFonts w:ascii="Arial" w:hAnsi="Arial" w:cs="Arial"/>
        </w:rPr>
        <w:t xml:space="preserve">of genes required for stomatal development and patterning of stomata has been conserved between </w:t>
      </w:r>
      <w:r w:rsidRPr="00FA7F73">
        <w:rPr>
          <w:rFonts w:ascii="Arial" w:hAnsi="Arial" w:cs="Arial"/>
        </w:rPr>
        <w:t>non-vascular plant</w:t>
      </w:r>
      <w:r>
        <w:rPr>
          <w:rFonts w:ascii="Arial" w:hAnsi="Arial" w:cs="Arial"/>
        </w:rPr>
        <w:t xml:space="preserve">s </w:t>
      </w:r>
      <w:r w:rsidRPr="00FA7F73">
        <w:rPr>
          <w:rFonts w:ascii="Arial" w:hAnsi="Arial" w:cs="Arial"/>
        </w:rPr>
        <w:t>and vascular land pl</w:t>
      </w:r>
      <w:r>
        <w:rPr>
          <w:rFonts w:ascii="Arial" w:hAnsi="Arial" w:cs="Arial"/>
        </w:rPr>
        <w:t>ants since they last shared a common ancestor some time before 425 million years ago.</w:t>
      </w:r>
    </w:p>
    <w:p w14:paraId="3E8CC6AA" w14:textId="77777777" w:rsidR="00311AE8" w:rsidRPr="00292304" w:rsidRDefault="00311AE8" w:rsidP="00311AE8">
      <w:pPr>
        <w:pStyle w:val="ListParagraph"/>
        <w:numPr>
          <w:ilvl w:val="0"/>
          <w:numId w:val="6"/>
        </w:numPr>
        <w:spacing w:after="160" w:line="360" w:lineRule="auto"/>
      </w:pPr>
      <w:r>
        <w:rPr>
          <w:rFonts w:ascii="Arial" w:hAnsi="Arial" w:cs="Arial"/>
        </w:rPr>
        <w:t>F</w:t>
      </w:r>
      <w:r w:rsidRPr="0044646D">
        <w:rPr>
          <w:rFonts w:ascii="Arial" w:hAnsi="Arial" w:cs="Arial"/>
        </w:rPr>
        <w:t>ossil</w:t>
      </w:r>
      <w:r>
        <w:rPr>
          <w:rFonts w:ascii="Arial" w:hAnsi="Arial" w:cs="Arial"/>
        </w:rPr>
        <w:t>ised plant remains</w:t>
      </w:r>
      <w:r w:rsidRPr="0044646D">
        <w:rPr>
          <w:rFonts w:ascii="Arial" w:hAnsi="Arial" w:cs="Arial"/>
        </w:rPr>
        <w:t xml:space="preserve"> have been shown to have striking differences in relation to stomatal size (S) and density (D) depending on </w:t>
      </w:r>
      <w:r>
        <w:rPr>
          <w:rFonts w:ascii="Arial" w:hAnsi="Arial" w:cs="Arial"/>
        </w:rPr>
        <w:t>the</w:t>
      </w:r>
      <w:r w:rsidRPr="0044646D">
        <w:rPr>
          <w:rFonts w:ascii="Arial" w:hAnsi="Arial" w:cs="Arial"/>
        </w:rPr>
        <w:t xml:space="preserve"> geological time period the corresponding </w:t>
      </w:r>
      <w:r>
        <w:rPr>
          <w:rFonts w:ascii="Arial" w:hAnsi="Arial" w:cs="Arial"/>
        </w:rPr>
        <w:t xml:space="preserve">plants lived </w:t>
      </w:r>
      <w:r w:rsidRPr="0044646D">
        <w:rPr>
          <w:rFonts w:ascii="Arial" w:hAnsi="Arial" w:cs="Arial"/>
        </w:rPr>
        <w:t>in</w:t>
      </w:r>
      <w:r>
        <w:rPr>
          <w:rFonts w:ascii="Arial" w:hAnsi="Arial" w:cs="Arial"/>
        </w:rPr>
        <w:t xml:space="preserve"> </w:t>
      </w:r>
      <w:r>
        <w:rPr>
          <w:rFonts w:ascii="Arial" w:hAnsi="Arial" w:cs="Arial"/>
        </w:rPr>
        <w:fldChar w:fldCharType="begin">
          <w:fldData xml:space="preserve">PEVuZE5vdGU+PENpdGU+PEF1dGhvcj5GcmFua3M8L0F1dGhvcj48WWVhcj4yMDA5PC9ZZWFyPjxJ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</w:fldData>
        </w:fldChar>
      </w:r>
      <w:r>
        <w:rPr>
          <w:rFonts w:ascii="Arial" w:hAnsi="Arial" w:cs="Arial"/>
        </w:rPr>
        <w:instrText xml:space="preserve"> ADDIN EN.CITE </w:instrText>
      </w:r>
      <w:r>
        <w:rPr>
          <w:rFonts w:ascii="Arial" w:hAnsi="Arial" w:cs="Arial"/>
        </w:rPr>
        <w:fldChar w:fldCharType="begin">
          <w:fldData xml:space="preserve">PEVuZE5vdGU+PENpdGU+PEF1dGhvcj5GcmFua3M8L0F1dGhvcj48WWVhcj4yMDA5PC9ZZWFyPjxJ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(Franks and Beerling, 2009)</w:t>
      </w:r>
      <w:r>
        <w:rPr>
          <w:rFonts w:ascii="Arial" w:hAnsi="Arial" w:cs="Arial"/>
        </w:rPr>
        <w:fldChar w:fldCharType="end"/>
      </w:r>
      <w:r w:rsidRPr="0044646D">
        <w:rPr>
          <w:rFonts w:ascii="Arial" w:hAnsi="Arial" w:cs="Arial"/>
        </w:rPr>
        <w:t xml:space="preserve">. </w:t>
      </w:r>
      <w:r>
        <w:rPr>
          <w:rFonts w:ascii="Arial" w:hAnsi="Arial" w:cs="Arial"/>
        </w:rPr>
        <w:t>In times when atmospheric CO</w:t>
      </w:r>
      <w:r>
        <w:rPr>
          <w:rFonts w:ascii="Arial" w:hAnsi="Arial" w:cs="Arial"/>
          <w:vertAlign w:val="subscript"/>
        </w:rPr>
        <w:t>2</w:t>
      </w:r>
      <w:r>
        <w:rPr>
          <w:rFonts w:ascii="Arial" w:hAnsi="Arial" w:cs="Arial"/>
        </w:rPr>
        <w:t xml:space="preserve"> concentrations were low stomata responded by reducing S but increasing D. When atmospheric CO</w:t>
      </w:r>
      <w:r>
        <w:rPr>
          <w:rFonts w:ascii="Arial" w:hAnsi="Arial" w:cs="Arial"/>
          <w:vertAlign w:val="subscript"/>
        </w:rPr>
        <w:t>2</w:t>
      </w:r>
      <w:r>
        <w:rPr>
          <w:rFonts w:ascii="Arial" w:hAnsi="Arial" w:cs="Arial"/>
        </w:rPr>
        <w:t xml:space="preserve"> increased stomatal S increased and D decreased. </w:t>
      </w:r>
      <w:r w:rsidRPr="0044646D">
        <w:rPr>
          <w:rFonts w:ascii="Arial" w:hAnsi="Arial" w:cs="Arial"/>
        </w:rPr>
        <w:t>Another core aim of this thesis is to ascertain whether the S and D</w:t>
      </w:r>
      <w:r>
        <w:rPr>
          <w:rFonts w:ascii="Arial" w:hAnsi="Arial" w:cs="Arial"/>
        </w:rPr>
        <w:t xml:space="preserve"> responses observed in fossils is present in </w:t>
      </w:r>
      <w:r w:rsidRPr="0044646D">
        <w:rPr>
          <w:rFonts w:ascii="Arial" w:hAnsi="Arial" w:cs="Arial"/>
        </w:rPr>
        <w:t xml:space="preserve">non-vascular land plants </w:t>
      </w:r>
      <w:r>
        <w:rPr>
          <w:rFonts w:ascii="Arial" w:hAnsi="Arial" w:cs="Arial"/>
        </w:rPr>
        <w:t>such as extant mosses when grown at either sub-ambient or elevated CO</w:t>
      </w:r>
      <w:r>
        <w:rPr>
          <w:rFonts w:ascii="Arial" w:hAnsi="Arial" w:cs="Arial"/>
          <w:vertAlign w:val="subscript"/>
        </w:rPr>
        <w:t>2</w:t>
      </w:r>
      <w:r>
        <w:rPr>
          <w:rFonts w:ascii="Arial" w:hAnsi="Arial" w:cs="Arial"/>
        </w:rPr>
        <w:t xml:space="preserve"> comparatively to ambient CO</w:t>
      </w:r>
      <w:r>
        <w:rPr>
          <w:rFonts w:ascii="Arial" w:hAnsi="Arial" w:cs="Arial"/>
          <w:vertAlign w:val="subscript"/>
        </w:rPr>
        <w:t>2</w:t>
      </w:r>
      <w:r>
        <w:rPr>
          <w:rFonts w:ascii="Arial" w:hAnsi="Arial" w:cs="Arial"/>
        </w:rPr>
        <w:t>. It will further be studied whether some of the genes involved in the stomatal CO</w:t>
      </w:r>
      <w:r>
        <w:rPr>
          <w:rFonts w:ascii="Arial" w:hAnsi="Arial" w:cs="Arial"/>
          <w:vertAlign w:val="subscript"/>
        </w:rPr>
        <w:t>2</w:t>
      </w:r>
      <w:r>
        <w:rPr>
          <w:rFonts w:ascii="Arial" w:hAnsi="Arial" w:cs="Arial"/>
        </w:rPr>
        <w:t xml:space="preserve"> response in Arabidopsis </w:t>
      </w:r>
      <w:r>
        <w:rPr>
          <w:rFonts w:ascii="Arial" w:hAnsi="Arial" w:cs="Arial"/>
        </w:rPr>
        <w:fldChar w:fldCharType="begin">
          <w:fldData xml:space="preserve">PEVuZE5vdGU+PENpdGU+PEF1dGhvcj5FbmdpbmVlcjwvQXV0aG9yPjxZZWFyPjIwMTQ8L1llYXI+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</w:fldData>
        </w:fldChar>
      </w:r>
      <w:r>
        <w:rPr>
          <w:rFonts w:ascii="Arial" w:hAnsi="Arial" w:cs="Arial"/>
        </w:rPr>
        <w:instrText xml:space="preserve"> ADDIN EN.CITE </w:instrText>
      </w:r>
      <w:r>
        <w:rPr>
          <w:rFonts w:ascii="Arial" w:hAnsi="Arial" w:cs="Arial"/>
        </w:rPr>
        <w:fldChar w:fldCharType="begin">
          <w:fldData xml:space="preserve">PEVuZE5vdGU+PENpdGU+PEF1dGhvcj5FbmdpbmVlcjwvQXV0aG9yPjxZZWFyPjIwMTQ8L1llYXI+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(Engineer et al., 2014)</w:t>
      </w:r>
      <w:r>
        <w:rPr>
          <w:rFonts w:ascii="Arial" w:hAnsi="Arial" w:cs="Arial"/>
        </w:rPr>
        <w:fldChar w:fldCharType="end"/>
      </w:r>
      <w:r>
        <w:rPr>
          <w:rFonts w:ascii="Arial" w:hAnsi="Arial" w:cs="Arial"/>
        </w:rPr>
        <w:t xml:space="preserve"> function to alter stomatal development at different CO</w:t>
      </w:r>
      <w:r>
        <w:rPr>
          <w:rFonts w:ascii="Arial" w:hAnsi="Arial" w:cs="Arial"/>
          <w:vertAlign w:val="subscript"/>
        </w:rPr>
        <w:t>2</w:t>
      </w:r>
      <w:r>
        <w:rPr>
          <w:rFonts w:ascii="Arial" w:hAnsi="Arial" w:cs="Arial"/>
        </w:rPr>
        <w:t xml:space="preserve"> concentrations in </w:t>
      </w:r>
      <w:r>
        <w:rPr>
          <w:rFonts w:ascii="Arial" w:hAnsi="Arial" w:cs="Arial"/>
          <w:i/>
        </w:rPr>
        <w:t>P. patens</w:t>
      </w:r>
      <w:r>
        <w:rPr>
          <w:rFonts w:ascii="Arial" w:hAnsi="Arial" w:cs="Arial"/>
        </w:rPr>
        <w:t>.</w:t>
      </w:r>
    </w:p>
    <w:p w14:paraId="39AE2F51" w14:textId="77777777" w:rsidR="003A48AB" w:rsidRDefault="003A48AB" w:rsidP="003A48AB">
      <w:pPr>
        <w:rPr>
          <w:rFonts w:ascii="Arial" w:hAnsi="Arial" w:cs="Arial"/>
          <w:u w:val="single"/>
        </w:rPr>
      </w:pPr>
      <w:r>
        <w:rPr>
          <w:rFonts w:ascii="Arial" w:hAnsi="Arial" w:cs="Arial"/>
          <w:u w:val="single"/>
        </w:rPr>
        <w:br w:type="page"/>
      </w:r>
    </w:p>
    <w:p w14:paraId="6A59FBCF" w14:textId="77777777" w:rsidR="003A48AB" w:rsidRDefault="003A48AB" w:rsidP="003A48AB">
      <w:pPr>
        <w:tabs>
          <w:tab w:val="left" w:pos="6663"/>
        </w:tabs>
        <w:spacing w:after="160" w:line="360" w:lineRule="auto"/>
        <w:rPr>
          <w:rFonts w:ascii="Arial" w:eastAsia="Times New Roman" w:hAnsi="Arial" w:cs="Arial"/>
          <w:color w:val="000000"/>
          <w:sz w:val="56"/>
          <w:szCs w:val="56"/>
          <w:u w:val="single"/>
          <w:lang w:eastAsia="ja-JP"/>
        </w:rPr>
      </w:pPr>
    </w:p>
    <w:p w14:paraId="191E15AF" w14:textId="77777777" w:rsidR="00F71E9F" w:rsidRPr="003A48AB" w:rsidRDefault="00F71E9F" w:rsidP="003A48AB">
      <w:pPr>
        <w:tabs>
          <w:tab w:val="left" w:pos="6663"/>
        </w:tabs>
        <w:spacing w:after="160" w:line="360" w:lineRule="auto"/>
        <w:rPr>
          <w:rFonts w:ascii="Arial" w:eastAsia="Times New Roman" w:hAnsi="Arial" w:cs="Arial"/>
          <w:color w:val="000000"/>
          <w:sz w:val="56"/>
          <w:szCs w:val="56"/>
          <w:u w:val="single"/>
          <w:lang w:eastAsia="ja-JP"/>
        </w:rPr>
      </w:pPr>
    </w:p>
    <w:p w14:paraId="32329A1D" w14:textId="77777777" w:rsidR="003A48AB" w:rsidRPr="003A48AB" w:rsidRDefault="003A48AB" w:rsidP="003A48AB">
      <w:pPr>
        <w:tabs>
          <w:tab w:val="left" w:pos="6663"/>
        </w:tabs>
        <w:spacing w:after="160" w:line="360" w:lineRule="auto"/>
        <w:rPr>
          <w:rFonts w:ascii="Arial" w:eastAsia="Times New Roman" w:hAnsi="Arial" w:cs="Arial"/>
          <w:color w:val="000000"/>
          <w:sz w:val="56"/>
          <w:szCs w:val="56"/>
          <w:u w:val="single"/>
          <w:lang w:eastAsia="ja-JP"/>
        </w:rPr>
      </w:pPr>
    </w:p>
    <w:p w14:paraId="5A4F2592" w14:textId="77777777" w:rsidR="003A48AB" w:rsidRPr="003A48AB" w:rsidRDefault="003A48AB" w:rsidP="003A48AB">
      <w:pPr>
        <w:tabs>
          <w:tab w:val="left" w:pos="6663"/>
        </w:tabs>
        <w:spacing w:after="160" w:line="360" w:lineRule="auto"/>
        <w:rPr>
          <w:rFonts w:ascii="Arial" w:eastAsia="Times New Roman" w:hAnsi="Arial" w:cs="Arial"/>
          <w:color w:val="000000"/>
          <w:sz w:val="56"/>
          <w:szCs w:val="56"/>
          <w:u w:val="single"/>
          <w:lang w:eastAsia="ja-JP"/>
        </w:rPr>
      </w:pPr>
    </w:p>
    <w:p w14:paraId="2961467B" w14:textId="77777777" w:rsidR="003A48AB" w:rsidRPr="003A48AB" w:rsidRDefault="003A48AB" w:rsidP="003A48AB">
      <w:pPr>
        <w:tabs>
          <w:tab w:val="left" w:pos="6663"/>
        </w:tabs>
        <w:spacing w:after="160" w:line="360" w:lineRule="auto"/>
        <w:rPr>
          <w:rFonts w:ascii="Arial" w:eastAsia="Times New Roman" w:hAnsi="Arial" w:cs="Arial"/>
          <w:color w:val="000000"/>
          <w:sz w:val="56"/>
          <w:szCs w:val="56"/>
          <w:u w:val="single"/>
          <w:lang w:eastAsia="ja-JP"/>
        </w:rPr>
      </w:pPr>
      <w:r w:rsidRPr="003A48AB">
        <w:rPr>
          <w:rFonts w:ascii="Arial" w:eastAsia="Times New Roman" w:hAnsi="Arial" w:cs="Arial"/>
          <w:color w:val="000000"/>
          <w:sz w:val="56"/>
          <w:szCs w:val="56"/>
          <w:u w:val="single"/>
          <w:lang w:eastAsia="ja-JP"/>
        </w:rPr>
        <w:t>Chapter 2:</w:t>
      </w:r>
    </w:p>
    <w:p w14:paraId="13D99A81" w14:textId="77777777" w:rsidR="003A48AB" w:rsidRPr="003A48AB" w:rsidRDefault="003A48AB" w:rsidP="003A48AB">
      <w:pPr>
        <w:spacing w:after="160" w:line="360" w:lineRule="auto"/>
        <w:rPr>
          <w:rFonts w:ascii="Arial" w:eastAsia="MS Mincho" w:hAnsi="Arial" w:cs="Arial"/>
          <w:i/>
          <w:sz w:val="56"/>
          <w:u w:val="single"/>
          <w:lang w:eastAsia="ja-JP"/>
        </w:rPr>
      </w:pPr>
      <w:r w:rsidRPr="003A48AB">
        <w:rPr>
          <w:rFonts w:ascii="Arial" w:eastAsia="MS Mincho" w:hAnsi="Arial" w:cs="Arial"/>
          <w:sz w:val="56"/>
          <w:u w:val="single"/>
          <w:lang w:eastAsia="ja-JP"/>
        </w:rPr>
        <w:t>Methods</w:t>
      </w:r>
    </w:p>
    <w:p w14:paraId="1E08F4B9" w14:textId="77777777" w:rsidR="003A48AB" w:rsidRPr="003A48AB" w:rsidRDefault="003A48AB" w:rsidP="003A48AB">
      <w:pPr>
        <w:spacing w:after="160" w:line="259" w:lineRule="auto"/>
        <w:rPr>
          <w:rFonts w:ascii="Arial" w:eastAsia="MS Mincho" w:hAnsi="Arial" w:cs="Arial"/>
          <w:u w:val="single"/>
          <w:lang w:eastAsia="ja-JP"/>
        </w:rPr>
      </w:pPr>
      <w:r w:rsidRPr="003A48AB">
        <w:rPr>
          <w:rFonts w:ascii="Arial" w:eastAsia="MS Mincho" w:hAnsi="Arial" w:cs="Arial"/>
          <w:u w:val="single"/>
          <w:lang w:eastAsia="ja-JP"/>
        </w:rPr>
        <w:br w:type="page"/>
      </w:r>
    </w:p>
    <w:p w14:paraId="58A116FA" w14:textId="77777777" w:rsidR="003A48AB" w:rsidRPr="003A48AB" w:rsidRDefault="003A48AB" w:rsidP="003A48AB">
      <w:pPr>
        <w:spacing w:after="160" w:line="259" w:lineRule="auto"/>
        <w:rPr>
          <w:rFonts w:ascii="Arial" w:eastAsia="MS Gothic" w:hAnsi="Arial" w:cs="Arial"/>
          <w:bCs/>
          <w:iCs/>
          <w:u w:val="single"/>
          <w:lang w:eastAsia="en-US"/>
        </w:rPr>
      </w:pPr>
      <w:r w:rsidRPr="003A48AB">
        <w:rPr>
          <w:rFonts w:ascii="Arial" w:eastAsia="MS Mincho" w:hAnsi="Arial" w:cs="Arial"/>
          <w:u w:val="single"/>
          <w:lang w:eastAsia="ja-JP"/>
        </w:rPr>
        <w:lastRenderedPageBreak/>
        <w:t>2.1 P. patens growth materials and handling procedures</w:t>
      </w:r>
    </w:p>
    <w:p w14:paraId="36FB5062" w14:textId="07E338DB" w:rsidR="003A48AB" w:rsidRPr="00DF79C2" w:rsidRDefault="003A48AB" w:rsidP="003A48AB">
      <w:pPr>
        <w:spacing w:after="160" w:line="360" w:lineRule="auto"/>
        <w:textAlignment w:val="baseline"/>
        <w:rPr>
          <w:rFonts w:ascii="Arial" w:eastAsia="Times New Roman" w:hAnsi="Arial" w:cs="Arial"/>
        </w:rPr>
      </w:pPr>
      <w:r w:rsidRPr="003A48AB">
        <w:rPr>
          <w:rFonts w:ascii="Arial" w:eastAsia="Times New Roman" w:hAnsi="Arial" w:cs="Arial"/>
          <w:i/>
          <w:iCs/>
          <w:bdr w:val="none" w:sz="0" w:space="0" w:color="auto" w:frame="1"/>
        </w:rPr>
        <w:t>Physcomitrella patens</w:t>
      </w:r>
      <w:r w:rsidRPr="003A48AB">
        <w:rPr>
          <w:rFonts w:ascii="Arial" w:eastAsia="Times New Roman" w:hAnsi="Arial" w:cs="Arial"/>
        </w:rPr>
        <w:t> subspecies </w:t>
      </w:r>
      <w:r w:rsidRPr="003A48AB">
        <w:rPr>
          <w:rFonts w:ascii="Arial" w:eastAsia="Times New Roman" w:hAnsi="Arial" w:cs="Arial"/>
          <w:i/>
          <w:iCs/>
          <w:bdr w:val="none" w:sz="0" w:space="0" w:color="auto" w:frame="1"/>
        </w:rPr>
        <w:t>patens</w:t>
      </w:r>
      <w:r w:rsidRPr="003A48AB">
        <w:rPr>
          <w:rFonts w:ascii="Arial" w:eastAsia="Times New Roman" w:hAnsi="Arial" w:cs="Arial"/>
        </w:rPr>
        <w:t> (Hedwig) ecotypes: Villersexel K3, Gransden 2004 and Gransden D12 was used for genotypic and phenotypic analysis.</w:t>
      </w:r>
      <w:r w:rsidRPr="003A48AB">
        <w:rPr>
          <w:rFonts w:ascii="Arial" w:eastAsia="Times New Roman" w:hAnsi="Arial" w:cs="Arial"/>
          <w:iCs/>
          <w:bdr w:val="none" w:sz="0" w:space="0" w:color="auto" w:frame="1"/>
        </w:rPr>
        <w:t xml:space="preserve"> All stages of moss handling were performed under sterile conditions except during the collection of sporophytes. </w:t>
      </w:r>
      <w:r w:rsidRPr="003A48AB">
        <w:rPr>
          <w:rFonts w:ascii="Arial" w:eastAsia="Times New Roman" w:hAnsi="Arial" w:cs="Arial"/>
        </w:rPr>
        <w:t xml:space="preserve">To obtain ‘well grown’ 6-7 day old </w:t>
      </w:r>
      <w:r w:rsidR="005B2645">
        <w:rPr>
          <w:rFonts w:ascii="Arial" w:eastAsia="Times New Roman" w:hAnsi="Arial" w:cs="Arial"/>
        </w:rPr>
        <w:t>protonemal tissue suitable for se</w:t>
      </w:r>
      <w:r w:rsidRPr="003A48AB">
        <w:rPr>
          <w:rFonts w:ascii="Arial" w:eastAsia="Times New Roman" w:hAnsi="Arial" w:cs="Arial"/>
        </w:rPr>
        <w:t xml:space="preserve">eding peat pellets and for other genotyping applications it was first necessary to sub-culture protonemal tissue 2 to 3 times from immature 3-6 week old gametophore tissue (approx. 1cm diameter). Initially, the isolated gametophore tissue was </w:t>
      </w:r>
      <w:r w:rsidRPr="003A48AB">
        <w:rPr>
          <w:rFonts w:ascii="Arial" w:eastAsia="Times New Roman" w:hAnsi="Arial" w:cs="Arial"/>
          <w:iCs/>
          <w:bdr w:val="none" w:sz="0" w:space="0" w:color="auto" w:frame="1"/>
        </w:rPr>
        <w:t>placed in 15ml DH</w:t>
      </w:r>
      <w:r w:rsidRPr="003A48AB">
        <w:rPr>
          <w:rFonts w:ascii="Arial" w:eastAsia="Times New Roman" w:hAnsi="Arial" w:cs="Arial"/>
          <w:iCs/>
          <w:bdr w:val="none" w:sz="0" w:space="0" w:color="auto" w:frame="1"/>
          <w:vertAlign w:val="subscript"/>
        </w:rPr>
        <w:t>2</w:t>
      </w:r>
      <w:r w:rsidRPr="003A48AB">
        <w:rPr>
          <w:rFonts w:ascii="Arial" w:eastAsia="Times New Roman" w:hAnsi="Arial" w:cs="Arial"/>
          <w:iCs/>
          <w:bdr w:val="none" w:sz="0" w:space="0" w:color="auto" w:frame="1"/>
        </w:rPr>
        <w:t xml:space="preserve">O and homogenised using a sterilised metal blade attached to a Polytron PT1200 (KINEMATICA AG, Luzern, Switzerland). From the resulting homogenate, 3ml was pipetted equally over a </w:t>
      </w:r>
      <w:r w:rsidRPr="003A48AB">
        <w:rPr>
          <w:rFonts w:ascii="Arial" w:eastAsia="Times New Roman" w:hAnsi="Arial" w:cs="Arial"/>
        </w:rPr>
        <w:t>cellophane disc pl</w:t>
      </w:r>
      <w:r w:rsidR="00DF79C2">
        <w:rPr>
          <w:rFonts w:ascii="Arial" w:eastAsia="Times New Roman" w:hAnsi="Arial" w:cs="Arial"/>
        </w:rPr>
        <w:t>aced atop 9cm BCDAT petri dish</w:t>
      </w:r>
      <w:r w:rsidRPr="003A48AB">
        <w:rPr>
          <w:rFonts w:ascii="Arial" w:eastAsia="Times New Roman" w:hAnsi="Arial" w:cs="Arial"/>
        </w:rPr>
        <w:t xml:space="preserve"> </w:t>
      </w:r>
      <w:r w:rsidRPr="003A48AB">
        <w:rPr>
          <w:rFonts w:ascii="Arial" w:eastAsia="Times New Roman" w:hAnsi="Arial" w:cs="Arial"/>
          <w:iCs/>
          <w:bdr w:val="none" w:sz="0" w:space="0" w:color="auto" w:frame="1"/>
        </w:rPr>
        <w:fldChar w:fldCharType="begin"/>
      </w:r>
      <w:r w:rsidRPr="003A48AB">
        <w:rPr>
          <w:rFonts w:ascii="Arial" w:eastAsia="Times New Roman" w:hAnsi="Arial" w:cs="Arial"/>
          <w:iCs/>
          <w:bdr w:val="none" w:sz="0" w:space="0" w:color="auto" w:frame="1"/>
        </w:rPr>
        <w:instrText xml:space="preserve"> ADDIN EN.CITE &lt;EndNote&gt;&lt;Cite&gt;&lt;Author&gt;Knight&lt;/Author&gt;&lt;Year&gt;2002&lt;/Year&gt;&lt;IDText&gt;Molecular plant biology : a practical approach&lt;/IDText&gt;&lt;DisplayText&gt;(Knight et al., 2002)&lt;/DisplayText&gt;&lt;record&gt;&lt;contributors&gt;&lt;tertiary-authors&gt;&lt;author&gt;Gilmartin, P. M.&lt;/author&gt;&lt;author&gt;Bowler, C.&lt;/author&gt;&lt;/tertiary-authors&gt;&lt;/contributors&gt;&lt;keywords&gt;&lt;keyword&gt;Plant molecular biology.&lt;/keyword&gt;&lt;/keywords&gt;&lt;isbn&gt;0199638764 v.1&amp;#xD;0199638756 v.1 (pbk.)&amp;#xD;0199638195 v.2&amp;#xD;0199638756 v.2 (pbk.)&lt;/isbn&gt;&lt;titles&gt;&lt;title&gt;Molecular plant biology : a practical approach&lt;/title&gt;&lt;/titles&gt;&lt;call-num&gt;RSLBL 02.E02276&amp;#xD;RSLBL 02.E02538&amp;#xD;RSLBL 02.E03424&amp;#xD;RSLBL 02.E03832&amp;#xD;RSLBL 02.E04814&amp;#xD;RSLBL 02.E04815&amp;#xD;RSLBL QK728 MOL 2002&amp;#xD;SOMCL 682 GIL 1&amp;#xD;Radcliffe Science Library QK728 MOL 2002&amp;#xD;Radcliffe Science Library 02.E03424 (Box B000001063738)&amp;#xD;Radcliffe Science Library 02.E03832 (Box B000001063764)&amp;#xD;Radcliffe Science Library 02.E04815&amp;#xD;Radcliffe Science Library 02.E02538 (Box B000001063683)&amp;#xD;Radcliffe Science Library 02.E02276 (Box B000001063667)&amp;#xD;Radcliffe Science Library 02.E04814 (Box B000001063828)&amp;#xD;Somerville College Library 682 GIL 1&lt;/call-num&gt;&lt;contributors&gt;&lt;authors&gt;&lt;author&gt;Knight, C. D.&lt;/author&gt;&lt;author&gt;Cove, D. J.&lt;/author&gt;&lt;author&gt;Cuming, A. C.&lt;/author&gt;&lt;author&gt;Quatrano R. S.&lt;/author&gt;&lt;/authors&gt;&lt;/contributors&gt;&lt;section&gt;285-299&lt;/section&gt;&lt;added-date format="utc"&gt;1452769278&lt;/added-date&gt;&lt;pub-location&gt;Oxford&lt;/pub-location&gt;&lt;ref-type name="Book"&gt;6&lt;/ref-type&gt;&lt;dates&gt;&lt;year&gt;2002&lt;/year&gt;&lt;/dates&gt;&lt;rec-number&gt;425&lt;/rec-number&gt;&lt;publisher&gt;Oxford University Press&lt;/publisher&gt;&lt;last-updated-date format="utc"&gt;1452770505&lt;/last-updated-date&gt;&lt;accession-num&gt;015319228&lt;/accession-num&gt;&lt;num-vols&gt;2&lt;/num-vols&gt;&lt;/record&gt;&lt;/Cite&gt;&lt;/EndNote&gt;</w:instrText>
      </w:r>
      <w:r w:rsidRPr="003A48AB">
        <w:rPr>
          <w:rFonts w:ascii="Arial" w:eastAsia="Times New Roman" w:hAnsi="Arial" w:cs="Arial"/>
          <w:iCs/>
          <w:bdr w:val="none" w:sz="0" w:space="0" w:color="auto" w:frame="1"/>
        </w:rPr>
        <w:fldChar w:fldCharType="separate"/>
      </w:r>
      <w:r w:rsidRPr="003A48AB">
        <w:rPr>
          <w:rFonts w:ascii="Arial" w:eastAsia="Times New Roman" w:hAnsi="Arial" w:cs="Arial"/>
          <w:iCs/>
          <w:noProof/>
          <w:bdr w:val="none" w:sz="0" w:space="0" w:color="auto" w:frame="1"/>
        </w:rPr>
        <w:t>(Knight et al., 2002)</w:t>
      </w:r>
      <w:r w:rsidRPr="003A48AB">
        <w:rPr>
          <w:rFonts w:ascii="Arial" w:eastAsia="Times New Roman" w:hAnsi="Arial" w:cs="Arial"/>
          <w:iCs/>
          <w:bdr w:val="none" w:sz="0" w:space="0" w:color="auto" w:frame="1"/>
        </w:rPr>
        <w:fldChar w:fldCharType="end"/>
      </w:r>
      <w:r w:rsidRPr="003A48AB">
        <w:rPr>
          <w:rFonts w:ascii="Arial" w:eastAsia="Times New Roman" w:hAnsi="Arial" w:cs="Arial"/>
        </w:rPr>
        <w:t>. After 7 to 8 days, a plastic sterile spreader was used to collect the tissue which w</w:t>
      </w:r>
      <w:r w:rsidR="005B2645">
        <w:rPr>
          <w:rFonts w:ascii="Arial" w:eastAsia="Times New Roman" w:hAnsi="Arial" w:cs="Arial"/>
        </w:rPr>
        <w:t>as then placed into a fresh vial</w:t>
      </w:r>
      <w:r w:rsidRPr="003A48AB">
        <w:rPr>
          <w:rFonts w:ascii="Arial" w:eastAsia="Times New Roman" w:hAnsi="Arial" w:cs="Arial"/>
        </w:rPr>
        <w:t xml:space="preserve"> of 15ml DH</w:t>
      </w:r>
      <w:r w:rsidRPr="003A48AB">
        <w:rPr>
          <w:rFonts w:ascii="Arial" w:eastAsia="Times New Roman" w:hAnsi="Arial" w:cs="Arial"/>
          <w:vertAlign w:val="subscript"/>
        </w:rPr>
        <w:t>2</w:t>
      </w:r>
      <w:r w:rsidRPr="003A48AB">
        <w:rPr>
          <w:rFonts w:ascii="Arial" w:eastAsia="Times New Roman" w:hAnsi="Arial" w:cs="Arial"/>
        </w:rPr>
        <w:t>O, homogenised and 3ml pipetted onto a new cellophane disc p</w:t>
      </w:r>
      <w:r w:rsidR="00DF79C2">
        <w:rPr>
          <w:rFonts w:ascii="Arial" w:eastAsia="Times New Roman" w:hAnsi="Arial" w:cs="Arial"/>
        </w:rPr>
        <w:t>laced atop a new 9cm BCDAT plate</w:t>
      </w:r>
      <w:r w:rsidRPr="003A48AB">
        <w:rPr>
          <w:rFonts w:ascii="Arial" w:eastAsia="Times New Roman" w:hAnsi="Arial" w:cs="Arial"/>
          <w:iCs/>
          <w:bdr w:val="none" w:sz="0" w:space="0" w:color="auto" w:frame="1"/>
        </w:rPr>
        <w:t>. The homogenisation of tissue was repeated a further 1-2 times until protonemal tissue was growing uniformly across the entirety of the cellophane place atop the BCDAT plates after 6-7 days of growth.</w:t>
      </w:r>
    </w:p>
    <w:p w14:paraId="62479817" w14:textId="77777777" w:rsidR="003A48AB" w:rsidRPr="003A48AB" w:rsidRDefault="003A48AB" w:rsidP="003A48AB">
      <w:pPr>
        <w:spacing w:after="160" w:line="360" w:lineRule="auto"/>
        <w:textAlignment w:val="baseline"/>
        <w:rPr>
          <w:rFonts w:ascii="Arial" w:eastAsia="Times New Roman" w:hAnsi="Arial" w:cs="Arial"/>
          <w:iCs/>
          <w:bdr w:val="none" w:sz="0" w:space="0" w:color="auto" w:frame="1"/>
        </w:rPr>
      </w:pPr>
      <w:r w:rsidRPr="003A48AB">
        <w:rPr>
          <w:rFonts w:ascii="Arial" w:eastAsia="Times New Roman" w:hAnsi="Arial" w:cs="Arial"/>
          <w:iCs/>
          <w:bdr w:val="none" w:sz="0" w:space="0" w:color="auto" w:frame="1"/>
        </w:rPr>
        <w:t xml:space="preserve">To produce sporophytes, samples were grown on </w:t>
      </w:r>
      <w:r w:rsidRPr="003A48AB">
        <w:rPr>
          <w:rFonts w:ascii="Arial" w:eastAsia="Times New Roman" w:hAnsi="Arial" w:cs="Arial"/>
        </w:rPr>
        <w:t xml:space="preserve">42 mm Jiffy 7 peat pellets (Amazon, London). Peat pellets </w:t>
      </w:r>
      <w:r w:rsidRPr="003A48AB">
        <w:rPr>
          <w:rFonts w:ascii="Arial" w:eastAsia="Times New Roman" w:hAnsi="Arial" w:cs="Arial"/>
          <w:iCs/>
          <w:bdr w:val="none" w:sz="0" w:space="0" w:color="auto" w:frame="1"/>
        </w:rPr>
        <w:t xml:space="preserve">were placed into </w:t>
      </w:r>
      <w:r w:rsidRPr="003A48AB">
        <w:rPr>
          <w:rFonts w:ascii="Arial" w:eastAsia="Times New Roman" w:hAnsi="Arial" w:cs="Arial"/>
        </w:rPr>
        <w:t>Magenta GA-7 culture vessels (Sigma-Aldrich, UK) and rehydrated using 40-50ml of DH</w:t>
      </w:r>
      <w:r w:rsidRPr="003A48AB">
        <w:rPr>
          <w:rFonts w:ascii="Arial" w:eastAsia="Times New Roman" w:hAnsi="Arial" w:cs="Arial"/>
          <w:vertAlign w:val="subscript"/>
        </w:rPr>
        <w:t>2</w:t>
      </w:r>
      <w:r w:rsidRPr="003A48AB">
        <w:rPr>
          <w:rFonts w:ascii="Arial" w:eastAsia="Times New Roman" w:hAnsi="Arial" w:cs="Arial"/>
        </w:rPr>
        <w:t xml:space="preserve">O. Magenta lids were placed atop and sealed to the Magenta GA-7 pot using Micropore tape (3M, Maplewood, Minnesota, USA) </w:t>
      </w:r>
      <w:r w:rsidRPr="003A48AB">
        <w:rPr>
          <w:rFonts w:ascii="Arial" w:eastAsia="Times New Roman" w:hAnsi="Arial" w:cs="Arial"/>
          <w:iCs/>
          <w:bdr w:val="none" w:sz="0" w:space="0" w:color="auto" w:frame="1"/>
        </w:rPr>
        <w:t>and autoclaved to sterilise</w:t>
      </w:r>
      <w:r w:rsidRPr="003A48AB">
        <w:rPr>
          <w:rFonts w:ascii="Arial" w:eastAsia="Times New Roman" w:hAnsi="Arial" w:cs="Arial"/>
        </w:rPr>
        <w:t>. Note, to prevent implosion of GA-7 magenta vessels during autoclaving, the attached lids were not fully pressed down despite being sealed with 3M tape. Post sterilisation, 70ml of sterile DH</w:t>
      </w:r>
      <w:r w:rsidRPr="003A48AB">
        <w:rPr>
          <w:rFonts w:ascii="Arial" w:eastAsia="Times New Roman" w:hAnsi="Arial" w:cs="Arial"/>
          <w:vertAlign w:val="subscript"/>
        </w:rPr>
        <w:t>2</w:t>
      </w:r>
      <w:r w:rsidRPr="003A48AB">
        <w:rPr>
          <w:rFonts w:ascii="Arial" w:eastAsia="Times New Roman" w:hAnsi="Arial" w:cs="Arial"/>
        </w:rPr>
        <w:t>O was added around the base of the fully hydrated peat pellet to provide enough water to sustain growth during the gametophyte stage of development.</w:t>
      </w:r>
      <w:r w:rsidRPr="003A48AB">
        <w:rPr>
          <w:rFonts w:ascii="Arial" w:eastAsia="Times New Roman" w:hAnsi="Arial" w:cs="Arial"/>
          <w:iCs/>
          <w:bdr w:val="none" w:sz="0" w:space="0" w:color="auto" w:frame="1"/>
        </w:rPr>
        <w:t xml:space="preserve"> Peat pellets were inoculated with 1.5ml of 6-7 day old ‘well grown’ protonemal homogenate and then resealed with 3M tape. </w:t>
      </w:r>
    </w:p>
    <w:p w14:paraId="6FA2980C" w14:textId="77777777" w:rsidR="003A48AB" w:rsidRPr="003A48AB" w:rsidRDefault="003A48AB" w:rsidP="003A48AB">
      <w:pPr>
        <w:spacing w:after="160" w:line="360" w:lineRule="auto"/>
        <w:textAlignment w:val="baseline"/>
        <w:rPr>
          <w:rFonts w:ascii="Arial" w:eastAsia="Times New Roman" w:hAnsi="Arial" w:cs="Arial"/>
          <w:i/>
          <w:u w:val="single"/>
        </w:rPr>
      </w:pPr>
      <w:r w:rsidRPr="003A48AB">
        <w:rPr>
          <w:rFonts w:ascii="Arial" w:eastAsia="Times New Roman" w:hAnsi="Arial" w:cs="Arial"/>
          <w:u w:val="single"/>
        </w:rPr>
        <w:t xml:space="preserve">2.2 </w:t>
      </w:r>
      <w:r w:rsidRPr="003A48AB">
        <w:rPr>
          <w:rFonts w:ascii="Arial" w:eastAsia="Times New Roman" w:hAnsi="Arial" w:cs="Arial"/>
          <w:i/>
          <w:u w:val="single"/>
        </w:rPr>
        <w:t>P. patens</w:t>
      </w:r>
      <w:r w:rsidRPr="003A48AB">
        <w:rPr>
          <w:rFonts w:ascii="Arial" w:eastAsia="Times New Roman" w:hAnsi="Arial" w:cs="Arial"/>
          <w:u w:val="single"/>
        </w:rPr>
        <w:t xml:space="preserve"> growth conditions</w:t>
      </w:r>
    </w:p>
    <w:p w14:paraId="4BB00190" w14:textId="77777777" w:rsidR="003A48AB" w:rsidRPr="003A48AB" w:rsidRDefault="003A48AB" w:rsidP="003A48AB">
      <w:pPr>
        <w:tabs>
          <w:tab w:val="left" w:pos="7513"/>
        </w:tabs>
        <w:spacing w:after="160" w:line="360" w:lineRule="auto"/>
        <w:textAlignment w:val="baseline"/>
        <w:rPr>
          <w:rFonts w:ascii="Arial" w:eastAsia="Times New Roman" w:hAnsi="Arial" w:cs="Arial"/>
          <w:bdr w:val="none" w:sz="0" w:space="0" w:color="auto" w:frame="1"/>
        </w:rPr>
      </w:pPr>
      <w:r w:rsidRPr="003A48AB">
        <w:rPr>
          <w:rFonts w:ascii="Arial" w:eastAsia="Times New Roman" w:hAnsi="Arial" w:cs="Arial"/>
          <w:bdr w:val="none" w:sz="0" w:space="0" w:color="auto" w:frame="1"/>
        </w:rPr>
        <w:t xml:space="preserve">During the transformation process, subsequent genotyping and for propagation of protonemal tissue and gametophores plants </w:t>
      </w:r>
      <w:r w:rsidRPr="003A48AB">
        <w:rPr>
          <w:rFonts w:ascii="Arial" w:eastAsia="Times New Roman" w:hAnsi="Arial" w:cs="Arial"/>
          <w:iCs/>
          <w:bdr w:val="none" w:sz="0" w:space="0" w:color="auto" w:frame="1"/>
        </w:rPr>
        <w:t xml:space="preserve">were grown </w:t>
      </w:r>
      <w:r w:rsidRPr="003A48AB">
        <w:rPr>
          <w:rFonts w:ascii="Arial" w:eastAsia="Times New Roman" w:hAnsi="Arial" w:cs="Arial"/>
        </w:rPr>
        <w:t xml:space="preserve">at 25°C </w:t>
      </w:r>
      <w:r w:rsidRPr="003A48AB">
        <w:rPr>
          <w:rFonts w:ascii="Arial" w:eastAsia="Times New Roman" w:hAnsi="Arial" w:cs="Arial"/>
          <w:bdr w:val="none" w:sz="0" w:space="0" w:color="auto" w:frame="1"/>
        </w:rPr>
        <w:t>continuous light (</w:t>
      </w:r>
      <w:r w:rsidRPr="003A48AB">
        <w:rPr>
          <w:rFonts w:ascii="Arial" w:eastAsia="Times New Roman" w:hAnsi="Arial" w:cs="Arial"/>
        </w:rPr>
        <w:t>PAR 140 μmol m</w:t>
      </w:r>
      <w:r w:rsidRPr="003A48AB">
        <w:rPr>
          <w:rFonts w:ascii="Arial" w:eastAsia="Times New Roman" w:hAnsi="Arial" w:cs="Arial"/>
          <w:bdr w:val="none" w:sz="0" w:space="0" w:color="auto" w:frame="1"/>
          <w:vertAlign w:val="superscript"/>
        </w:rPr>
        <w:t>−2</w:t>
      </w:r>
      <w:r w:rsidRPr="003A48AB">
        <w:rPr>
          <w:rFonts w:ascii="Arial" w:eastAsia="Times New Roman" w:hAnsi="Arial" w:cs="Arial"/>
        </w:rPr>
        <w:t> s</w:t>
      </w:r>
      <w:r w:rsidRPr="003A48AB">
        <w:rPr>
          <w:rFonts w:ascii="Arial" w:eastAsia="Times New Roman" w:hAnsi="Arial" w:cs="Arial"/>
          <w:bdr w:val="none" w:sz="0" w:space="0" w:color="auto" w:frame="1"/>
          <w:vertAlign w:val="superscript"/>
        </w:rPr>
        <w:t>−1</w:t>
      </w:r>
      <w:r w:rsidRPr="003A48AB">
        <w:rPr>
          <w:rFonts w:ascii="Arial" w:eastAsia="Times New Roman" w:hAnsi="Arial" w:cs="Arial"/>
          <w:bdr w:val="none" w:sz="0" w:space="0" w:color="auto" w:frame="1"/>
        </w:rPr>
        <w:t xml:space="preserve">) </w:t>
      </w:r>
      <w:r w:rsidRPr="003A48AB">
        <w:rPr>
          <w:rFonts w:ascii="Arial" w:eastAsia="Times New Roman" w:hAnsi="Arial" w:cs="Arial"/>
        </w:rPr>
        <w:t xml:space="preserve">in a Sanyo MLR-350 Versatile Environmental Test Chamber (Osaka, Japan). </w:t>
      </w:r>
      <w:r w:rsidRPr="003A48AB">
        <w:rPr>
          <w:rFonts w:ascii="Arial" w:eastAsia="Times New Roman" w:hAnsi="Arial" w:cs="Arial"/>
          <w:iCs/>
          <w:bdr w:val="none" w:sz="0" w:space="0" w:color="auto" w:frame="1"/>
        </w:rPr>
        <w:t xml:space="preserve">Inoculated peat pellets were also grown </w:t>
      </w:r>
      <w:r w:rsidRPr="003A48AB">
        <w:rPr>
          <w:rFonts w:ascii="Arial" w:eastAsia="Times New Roman" w:hAnsi="Arial" w:cs="Arial"/>
        </w:rPr>
        <w:t xml:space="preserve">under the same conditions for 8-12 weeks to produce large gametophores prior to the induction of </w:t>
      </w:r>
      <w:r w:rsidRPr="003A48AB">
        <w:rPr>
          <w:rFonts w:ascii="Arial" w:eastAsia="Times New Roman" w:hAnsi="Arial" w:cs="Arial"/>
        </w:rPr>
        <w:lastRenderedPageBreak/>
        <w:t xml:space="preserve">gametangia to produce sporophytes. For induction of gametangia, vessels were moved to </w:t>
      </w:r>
      <w:r w:rsidRPr="003A48AB">
        <w:rPr>
          <w:rFonts w:ascii="Arial" w:eastAsia="Times New Roman" w:hAnsi="Arial" w:cs="Arial"/>
          <w:bdr w:val="none" w:sz="0" w:space="0" w:color="auto" w:frame="1"/>
        </w:rPr>
        <w:t>a Sanyo Medicool MPR-161D(H) (Osaka, Japan) cabinet fitted with Phillips Master TL-D 90 De Luxe 18W/965 fluorescent lamps (Amsterdam, Netherlands) set to approximately 18ºC, 10 hr light (</w:t>
      </w:r>
      <w:r w:rsidRPr="003A48AB">
        <w:rPr>
          <w:rFonts w:ascii="Arial" w:eastAsia="Times New Roman" w:hAnsi="Arial" w:cs="Arial"/>
        </w:rPr>
        <w:t>100 μmol m</w:t>
      </w:r>
      <w:r w:rsidRPr="003A48AB">
        <w:rPr>
          <w:rFonts w:ascii="Arial" w:eastAsia="Times New Roman" w:hAnsi="Arial" w:cs="Arial"/>
          <w:bdr w:val="none" w:sz="0" w:space="0" w:color="auto" w:frame="1"/>
          <w:vertAlign w:val="superscript"/>
        </w:rPr>
        <w:t>−2</w:t>
      </w:r>
      <w:r w:rsidRPr="003A48AB">
        <w:rPr>
          <w:rFonts w:ascii="Arial" w:eastAsia="Times New Roman" w:hAnsi="Arial" w:cs="Arial"/>
        </w:rPr>
        <w:t> s</w:t>
      </w:r>
      <w:r w:rsidRPr="003A48AB">
        <w:rPr>
          <w:rFonts w:ascii="Arial" w:eastAsia="Times New Roman" w:hAnsi="Arial" w:cs="Arial"/>
          <w:bdr w:val="none" w:sz="0" w:space="0" w:color="auto" w:frame="1"/>
          <w:vertAlign w:val="superscript"/>
        </w:rPr>
        <w:t>−1</w:t>
      </w:r>
      <w:r w:rsidRPr="003A48AB">
        <w:rPr>
          <w:rFonts w:ascii="Arial" w:eastAsia="Times New Roman" w:hAnsi="Arial" w:cs="Arial"/>
          <w:bdr w:val="none" w:sz="0" w:space="0" w:color="auto" w:frame="1"/>
        </w:rPr>
        <w:t xml:space="preserve"> irradiance) and 15ºC, 14 hr dark. After 2-3 weeks, 40-50 ml of sterile DH</w:t>
      </w:r>
      <w:r w:rsidRPr="003A48AB">
        <w:rPr>
          <w:rFonts w:ascii="Arial" w:eastAsia="Times New Roman" w:hAnsi="Arial" w:cs="Arial"/>
          <w:bdr w:val="none" w:sz="0" w:space="0" w:color="auto" w:frame="1"/>
          <w:vertAlign w:val="subscript"/>
        </w:rPr>
        <w:t>2</w:t>
      </w:r>
      <w:r w:rsidRPr="003A48AB">
        <w:rPr>
          <w:rFonts w:ascii="Arial" w:eastAsia="Times New Roman" w:hAnsi="Arial" w:cs="Arial"/>
          <w:bdr w:val="none" w:sz="0" w:space="0" w:color="auto" w:frame="1"/>
        </w:rPr>
        <w:t>O was poured over the entirety of moss colonies to fertilise gametangia and the magenta vessels were resealed with 3M tape. For stomatal counts, orange to brown spore capsules were collected between 6 to 7 weeks after DH</w:t>
      </w:r>
      <w:r w:rsidRPr="003A48AB">
        <w:rPr>
          <w:rFonts w:ascii="Arial" w:eastAsia="Times New Roman" w:hAnsi="Arial" w:cs="Arial"/>
          <w:bdr w:val="none" w:sz="0" w:space="0" w:color="auto" w:frame="1"/>
          <w:vertAlign w:val="subscript"/>
        </w:rPr>
        <w:t>2</w:t>
      </w:r>
      <w:r w:rsidRPr="003A48AB">
        <w:rPr>
          <w:rFonts w:ascii="Arial" w:eastAsia="Times New Roman" w:hAnsi="Arial" w:cs="Arial"/>
          <w:bdr w:val="none" w:sz="0" w:space="0" w:color="auto" w:frame="1"/>
        </w:rPr>
        <w:t xml:space="preserve">O application and fixed in modified Carnoy’s solution (2:1 Ethanol: Glacial acetic acid) for at least 1 week prior to dissection and imaging. </w:t>
      </w:r>
    </w:p>
    <w:p w14:paraId="3A38DF3C" w14:textId="77777777" w:rsidR="003A48AB" w:rsidRPr="003A48AB" w:rsidRDefault="003A48AB" w:rsidP="003A48AB">
      <w:pPr>
        <w:spacing w:after="160" w:line="360" w:lineRule="auto"/>
        <w:textAlignment w:val="baseline"/>
        <w:rPr>
          <w:rFonts w:ascii="Arial" w:eastAsia="Times New Roman" w:hAnsi="Arial" w:cs="Arial"/>
          <w:u w:val="single"/>
          <w:bdr w:val="none" w:sz="0" w:space="0" w:color="auto" w:frame="1"/>
        </w:rPr>
      </w:pPr>
      <w:r w:rsidRPr="003A48AB">
        <w:rPr>
          <w:rFonts w:ascii="Arial" w:eastAsia="Times New Roman" w:hAnsi="Arial" w:cs="Arial"/>
          <w:u w:val="single"/>
          <w:bdr w:val="none" w:sz="0" w:space="0" w:color="auto" w:frame="1"/>
        </w:rPr>
        <w:t xml:space="preserve">2.3 </w:t>
      </w:r>
      <w:r w:rsidRPr="003A48AB">
        <w:rPr>
          <w:rFonts w:ascii="Arial" w:eastAsia="Times New Roman" w:hAnsi="Arial" w:cs="Arial"/>
          <w:i/>
          <w:u w:val="single"/>
          <w:bdr w:val="none" w:sz="0" w:space="0" w:color="auto" w:frame="1"/>
        </w:rPr>
        <w:t xml:space="preserve">P. patens </w:t>
      </w:r>
      <w:r w:rsidRPr="003A48AB">
        <w:rPr>
          <w:rFonts w:ascii="Arial" w:eastAsia="Times New Roman" w:hAnsi="Arial" w:cs="Arial"/>
          <w:u w:val="single"/>
          <w:bdr w:val="none" w:sz="0" w:space="0" w:color="auto" w:frame="1"/>
        </w:rPr>
        <w:t>sample preparation, microscopy and image processing</w:t>
      </w:r>
    </w:p>
    <w:p w14:paraId="32D8C62E" w14:textId="77777777" w:rsidR="003A48AB" w:rsidRPr="003A48AB" w:rsidRDefault="003A48AB" w:rsidP="003A48AB">
      <w:pPr>
        <w:spacing w:after="160" w:line="360" w:lineRule="auto"/>
        <w:textAlignment w:val="baseline"/>
        <w:rPr>
          <w:rFonts w:ascii="Arial" w:eastAsia="Times New Roman" w:hAnsi="Arial" w:cs="Arial"/>
          <w:bdr w:val="none" w:sz="0" w:space="0" w:color="auto" w:frame="1"/>
        </w:rPr>
      </w:pPr>
      <w:r w:rsidRPr="003A48AB">
        <w:rPr>
          <w:rFonts w:ascii="Arial" w:eastAsia="Times New Roman" w:hAnsi="Arial" w:cs="Arial"/>
          <w:bdr w:val="none" w:sz="0" w:space="0" w:color="auto" w:frame="1"/>
        </w:rPr>
        <w:t xml:space="preserve">For </w:t>
      </w:r>
      <w:r w:rsidRPr="003A48AB">
        <w:rPr>
          <w:rFonts w:ascii="Arial" w:eastAsia="Times New Roman" w:hAnsi="Arial" w:cs="Arial"/>
          <w:i/>
          <w:bdr w:val="none" w:sz="0" w:space="0" w:color="auto" w:frame="1"/>
        </w:rPr>
        <w:t xml:space="preserve">P. patens, </w:t>
      </w:r>
      <w:r w:rsidRPr="003A48AB">
        <w:rPr>
          <w:rFonts w:ascii="Arial" w:eastAsia="Times New Roman" w:hAnsi="Arial" w:cs="Arial"/>
          <w:bdr w:val="none" w:sz="0" w:space="0" w:color="auto" w:frame="1"/>
        </w:rPr>
        <w:t>imaging was performed using a range of different sized fresh capsules of differing developmental stages or mature orange-to-brown capsules fixed in a modified Carnoy’s solution (2:1 Ethanol: Glacial acetic acid). Typically, unexpanded and slightly expanded capsules were collected 2-3 weeks after the application of water to mature gametophores. For larger fully expanded green capsules, collection occurred between 4-7 weeks after water application. Prior to visualisation, capsules were dissected and attempts were made to remove all underlying spores and accompanying spore sac. Samples were positioned as desired in a pool of DH</w:t>
      </w:r>
      <w:r w:rsidRPr="003A48AB">
        <w:rPr>
          <w:rFonts w:ascii="Arial" w:eastAsia="Times New Roman" w:hAnsi="Arial" w:cs="Arial"/>
          <w:bdr w:val="none" w:sz="0" w:space="0" w:color="auto" w:frame="1"/>
          <w:vertAlign w:val="subscript"/>
        </w:rPr>
        <w:t>2</w:t>
      </w:r>
      <w:r w:rsidRPr="003A48AB">
        <w:rPr>
          <w:rFonts w:ascii="Arial" w:eastAsia="Times New Roman" w:hAnsi="Arial" w:cs="Arial"/>
          <w:bdr w:val="none" w:sz="0" w:space="0" w:color="auto" w:frame="1"/>
        </w:rPr>
        <w:t xml:space="preserve">O beneath a bridge of moist cover slides. Unless otherwise specified within each experiment, stomatal phenotypes were compared using capsules of a similar size. Imaging was performed on Olympus BX-51 microscopes fitted with Olympus DP71 cameras (Tokyo, Japan). For fluorescence imaging, an Olympus U-RFL-T-200 UV lamp (Tokyo, Japan) equipped with a LP 400nm emission filter was used. To produce stacked images, multiple fields of view of a subject were obtained which were stacked using ImageJ, flattened using the Z project function and colour corrected. Either the Min Intensity (bright-field capsules) or Max Intensity (fluorescence capsules) settings were used to compile flattened images. </w:t>
      </w:r>
    </w:p>
    <w:p w14:paraId="4137B431" w14:textId="77777777" w:rsidR="003A48AB" w:rsidRPr="003A48AB" w:rsidRDefault="003A48AB" w:rsidP="003A48AB">
      <w:pPr>
        <w:spacing w:after="160" w:line="360" w:lineRule="auto"/>
        <w:textAlignment w:val="baseline"/>
        <w:rPr>
          <w:rFonts w:ascii="Arial" w:eastAsia="Times New Roman" w:hAnsi="Arial" w:cs="Arial"/>
          <w:u w:val="single"/>
          <w:bdr w:val="none" w:sz="0" w:space="0" w:color="auto" w:frame="1"/>
        </w:rPr>
      </w:pPr>
      <w:r w:rsidRPr="003A48AB">
        <w:rPr>
          <w:rFonts w:ascii="Arial" w:eastAsia="Times New Roman" w:hAnsi="Arial" w:cs="Arial"/>
          <w:u w:val="single"/>
          <w:bdr w:val="none" w:sz="0" w:space="0" w:color="auto" w:frame="1"/>
        </w:rPr>
        <w:t>2.4 Technovit embedding and sectioning</w:t>
      </w:r>
    </w:p>
    <w:p w14:paraId="1108A1B5" w14:textId="1465E345" w:rsidR="003A48AB" w:rsidRPr="003A48AB" w:rsidRDefault="003A48AB" w:rsidP="003A48AB">
      <w:pPr>
        <w:spacing w:after="160" w:line="360" w:lineRule="auto"/>
        <w:textAlignment w:val="baseline"/>
        <w:rPr>
          <w:rFonts w:ascii="Arial" w:eastAsia="Times New Roman" w:hAnsi="Arial" w:cs="Arial"/>
        </w:rPr>
      </w:pPr>
      <w:r w:rsidRPr="003A48AB">
        <w:rPr>
          <w:rFonts w:ascii="Arial" w:eastAsia="Times New Roman" w:hAnsi="Arial" w:cs="Arial"/>
          <w:bdr w:val="none" w:sz="0" w:space="0" w:color="auto" w:frame="1"/>
        </w:rPr>
        <w:t>Mature orange to brown 6-7 week old sporophyte capsules were collected and cleared using an ethanol dehydration</w:t>
      </w:r>
      <w:r w:rsidR="005B2645">
        <w:rPr>
          <w:rFonts w:ascii="Arial" w:eastAsia="Times New Roman" w:hAnsi="Arial" w:cs="Arial"/>
          <w:bdr w:val="none" w:sz="0" w:space="0" w:color="auto" w:frame="1"/>
        </w:rPr>
        <w:t xml:space="preserve"> series. Cleared capsules were e</w:t>
      </w:r>
      <w:r w:rsidRPr="003A48AB">
        <w:rPr>
          <w:rFonts w:ascii="Arial" w:eastAsia="Times New Roman" w:hAnsi="Arial" w:cs="Arial"/>
          <w:bdr w:val="none" w:sz="0" w:space="0" w:color="auto" w:frame="1"/>
        </w:rPr>
        <w:t>mbedded using Technovit 7100 ® (</w:t>
      </w:r>
      <w:r w:rsidRPr="003A48AB">
        <w:rPr>
          <w:rFonts w:ascii="Arial" w:eastAsia="Times New Roman" w:hAnsi="Arial" w:cs="Arial"/>
        </w:rPr>
        <w:t xml:space="preserve">TAAB, </w:t>
      </w:r>
      <w:hyperlink r:id="rId18" w:history="1">
        <w:r w:rsidRPr="003A48AB">
          <w:rPr>
            <w:rFonts w:ascii="Arial" w:eastAsia="Times New Roman" w:hAnsi="Arial" w:cs="Arial"/>
            <w:color w:val="0563C1"/>
            <w:u w:val="single"/>
          </w:rPr>
          <w:t>www.taab.co.uk</w:t>
        </w:r>
      </w:hyperlink>
      <w:r w:rsidRPr="003A48AB">
        <w:rPr>
          <w:rFonts w:ascii="Arial" w:eastAsia="Times New Roman" w:hAnsi="Arial" w:cs="Arial"/>
        </w:rPr>
        <w:t xml:space="preserve">) </w:t>
      </w:r>
      <w:r w:rsidRPr="003A48AB">
        <w:rPr>
          <w:rFonts w:ascii="Arial" w:eastAsia="Times New Roman" w:hAnsi="Arial" w:cs="Arial"/>
          <w:bdr w:val="none" w:sz="0" w:space="0" w:color="auto" w:frame="1"/>
        </w:rPr>
        <w:t>and mounted using Technovit 3040 ® (</w:t>
      </w:r>
      <w:r w:rsidRPr="003A48AB">
        <w:rPr>
          <w:rFonts w:ascii="Arial" w:eastAsia="Times New Roman" w:hAnsi="Arial" w:cs="Arial"/>
        </w:rPr>
        <w:t xml:space="preserve">TAAB, </w:t>
      </w:r>
      <w:hyperlink r:id="rId19" w:history="1">
        <w:r w:rsidRPr="003A48AB">
          <w:rPr>
            <w:rFonts w:ascii="Arial" w:eastAsia="Times New Roman" w:hAnsi="Arial" w:cs="Arial"/>
            <w:color w:val="0563C1"/>
            <w:u w:val="single"/>
          </w:rPr>
          <w:t>www.taab.co.uk</w:t>
        </w:r>
      </w:hyperlink>
      <w:r w:rsidRPr="003A48AB">
        <w:rPr>
          <w:rFonts w:ascii="Arial" w:eastAsia="Times New Roman" w:hAnsi="Arial" w:cs="Arial"/>
        </w:rPr>
        <w:t xml:space="preserve">). Sample sections of 5-10µm were acquired using a Lecia RMZ145 microtome (‘Wetzlar, Germany) and subsequently stained using </w:t>
      </w:r>
      <w:r w:rsidRPr="003A48AB">
        <w:rPr>
          <w:rFonts w:ascii="Arial" w:eastAsia="Times New Roman" w:hAnsi="Arial" w:cs="Arial"/>
        </w:rPr>
        <w:lastRenderedPageBreak/>
        <w:t>Toluidine blue for approximately 30 seconds and mounted in Eukitt® quick-hardening mounting medium (Sigma-Aldrich, UK).</w:t>
      </w:r>
    </w:p>
    <w:p w14:paraId="1330516E" w14:textId="77777777" w:rsidR="003A48AB" w:rsidRPr="003A48AB" w:rsidRDefault="003A48AB" w:rsidP="003A48AB">
      <w:pPr>
        <w:spacing w:before="100" w:beforeAutospacing="1" w:after="160" w:line="360" w:lineRule="auto"/>
        <w:textAlignment w:val="baseline"/>
        <w:rPr>
          <w:rFonts w:ascii="Arial" w:eastAsia="Times New Roman" w:hAnsi="Arial" w:cs="Arial"/>
          <w:u w:val="single"/>
          <w:bdr w:val="none" w:sz="0" w:space="0" w:color="auto" w:frame="1"/>
        </w:rPr>
      </w:pPr>
      <w:r w:rsidRPr="003A48AB">
        <w:rPr>
          <w:rFonts w:ascii="Arial" w:eastAsia="Times New Roman" w:hAnsi="Arial" w:cs="Arial"/>
          <w:u w:val="single"/>
          <w:bdr w:val="none" w:sz="0" w:space="0" w:color="auto" w:frame="1"/>
        </w:rPr>
        <w:t>2.5 Scanning Electron Microscopy (SEM)</w:t>
      </w:r>
    </w:p>
    <w:p w14:paraId="3FB0B709" w14:textId="099498B1" w:rsidR="003A48AB" w:rsidRPr="003A48AB" w:rsidRDefault="003A48AB" w:rsidP="003A48AB">
      <w:pPr>
        <w:spacing w:before="100" w:beforeAutospacing="1" w:after="160" w:line="360" w:lineRule="auto"/>
        <w:textAlignment w:val="baseline"/>
        <w:rPr>
          <w:rFonts w:ascii="Arial" w:eastAsia="Times New Roman" w:hAnsi="Arial" w:cs="Arial"/>
          <w:u w:val="single"/>
          <w:bdr w:val="none" w:sz="0" w:space="0" w:color="auto" w:frame="1"/>
        </w:rPr>
      </w:pPr>
      <w:r w:rsidRPr="003A48AB">
        <w:rPr>
          <w:rFonts w:ascii="Arial" w:eastAsia="Times New Roman" w:hAnsi="Arial" w:cs="Arial"/>
          <w:bdr w:val="none" w:sz="0" w:space="0" w:color="auto" w:frame="1"/>
        </w:rPr>
        <w:t>Mature orange to brown sporophyte capsules were collected and fixed in 2.5% glutaraldehyde, 0.1 M Phosphate buffer for no longer than 7 days. Samples were washed three times for 20 minutes in a 0.1 M phosphate buffer (</w:t>
      </w:r>
      <w:r w:rsidRPr="003A48AB">
        <w:rPr>
          <w:rFonts w:ascii="Arial" w:eastAsia="Times New Roman" w:hAnsi="Arial" w:cs="Arial"/>
          <w:color w:val="000000"/>
        </w:rPr>
        <w:t>PO4</w:t>
      </w:r>
      <w:r w:rsidRPr="003A48AB">
        <w:rPr>
          <w:rFonts w:ascii="Arial" w:eastAsia="Times New Roman" w:hAnsi="Arial" w:cs="Arial"/>
          <w:color w:val="000000"/>
          <w:vertAlign w:val="superscript"/>
        </w:rPr>
        <w:t>3-</w:t>
      </w:r>
      <w:r w:rsidRPr="003A48AB">
        <w:rPr>
          <w:rFonts w:ascii="Arial" w:eastAsia="Times New Roman" w:hAnsi="Arial" w:cs="Arial"/>
          <w:color w:val="000000"/>
        </w:rPr>
        <w:t>)</w:t>
      </w:r>
      <w:r w:rsidRPr="003A48AB">
        <w:rPr>
          <w:rFonts w:ascii="Arial" w:eastAsia="Times New Roman" w:hAnsi="Arial" w:cs="Arial"/>
          <w:bdr w:val="none" w:sz="0" w:space="0" w:color="auto" w:frame="1"/>
        </w:rPr>
        <w:t xml:space="preserve"> solution. The washed samples were placed into an aqueous 2% Osmium tetroxide (OsO</w:t>
      </w:r>
      <w:r w:rsidRPr="003A48AB">
        <w:rPr>
          <w:rFonts w:ascii="Arial" w:eastAsia="Times New Roman" w:hAnsi="Arial" w:cs="Arial"/>
          <w:bdr w:val="none" w:sz="0" w:space="0" w:color="auto" w:frame="1"/>
          <w:vertAlign w:val="subscript"/>
        </w:rPr>
        <w:t>4</w:t>
      </w:r>
      <w:r w:rsidRPr="003A48AB">
        <w:rPr>
          <w:rFonts w:ascii="Arial" w:eastAsia="Times New Roman" w:hAnsi="Arial" w:cs="Arial"/>
          <w:bdr w:val="none" w:sz="0" w:space="0" w:color="auto" w:frame="1"/>
        </w:rPr>
        <w:t>) solution for 1 hour. This was followed by a quick wash in phosphate buffer (</w:t>
      </w:r>
      <w:r w:rsidRPr="003A48AB">
        <w:rPr>
          <w:rFonts w:ascii="Arial" w:eastAsia="Times New Roman" w:hAnsi="Arial" w:cs="Arial"/>
          <w:color w:val="000000"/>
        </w:rPr>
        <w:t>PO4</w:t>
      </w:r>
      <w:r w:rsidRPr="003A48AB">
        <w:rPr>
          <w:rFonts w:ascii="Arial" w:eastAsia="Times New Roman" w:hAnsi="Arial" w:cs="Arial"/>
          <w:color w:val="000000"/>
          <w:vertAlign w:val="superscript"/>
        </w:rPr>
        <w:t>3-</w:t>
      </w:r>
      <w:r w:rsidRPr="003A48AB">
        <w:rPr>
          <w:rFonts w:ascii="Arial" w:eastAsia="Times New Roman" w:hAnsi="Arial" w:cs="Arial"/>
          <w:color w:val="000000"/>
        </w:rPr>
        <w:t>)</w:t>
      </w:r>
      <w:r w:rsidRPr="003A48AB">
        <w:rPr>
          <w:rFonts w:ascii="Arial" w:eastAsia="Times New Roman" w:hAnsi="Arial" w:cs="Arial"/>
          <w:bdr w:val="none" w:sz="0" w:space="0" w:color="auto" w:frame="1"/>
        </w:rPr>
        <w:t xml:space="preserve"> then a further wash for 30 minutes. To dehydrate samples an alcohol dehydration series was performed. Samples were washed for 20 minute periods at the following ethanol concentr</w:t>
      </w:r>
      <w:r w:rsidR="00DF79C2">
        <w:rPr>
          <w:rFonts w:ascii="Arial" w:eastAsia="Times New Roman" w:hAnsi="Arial" w:cs="Arial"/>
          <w:bdr w:val="none" w:sz="0" w:space="0" w:color="auto" w:frame="1"/>
        </w:rPr>
        <w:t xml:space="preserve">ations 25%, 35%, 50%, 75%, 95% and </w:t>
      </w:r>
      <w:r w:rsidRPr="003A48AB">
        <w:rPr>
          <w:rFonts w:ascii="Arial" w:eastAsia="Times New Roman" w:hAnsi="Arial" w:cs="Arial"/>
          <w:bdr w:val="none" w:sz="0" w:space="0" w:color="auto" w:frame="1"/>
        </w:rPr>
        <w:t xml:space="preserve">2 times </w:t>
      </w:r>
      <w:r w:rsidR="00DF79C2">
        <w:rPr>
          <w:rFonts w:ascii="Arial" w:eastAsia="Times New Roman" w:hAnsi="Arial" w:cs="Arial"/>
          <w:bdr w:val="none" w:sz="0" w:space="0" w:color="auto" w:frame="1"/>
        </w:rPr>
        <w:t xml:space="preserve">at </w:t>
      </w:r>
      <w:r w:rsidRPr="003A48AB">
        <w:rPr>
          <w:rFonts w:ascii="Arial" w:eastAsia="Times New Roman" w:hAnsi="Arial" w:cs="Arial"/>
          <w:bdr w:val="none" w:sz="0" w:space="0" w:color="auto" w:frame="1"/>
        </w:rPr>
        <w:t>100%. A final wash using 100% ethanol over anhydrous copper (</w:t>
      </w:r>
      <w:r w:rsidRPr="003A48AB">
        <w:rPr>
          <w:rFonts w:ascii="Arial" w:eastAsia="Times New Roman" w:hAnsi="Arial" w:cs="Arial"/>
          <w:shd w:val="clear" w:color="auto" w:fill="FFFFFF"/>
        </w:rPr>
        <w:t>CuSO</w:t>
      </w:r>
      <w:r w:rsidRPr="003A48AB">
        <w:rPr>
          <w:rFonts w:ascii="Arial" w:eastAsia="Times New Roman" w:hAnsi="Arial" w:cs="Arial"/>
          <w:shd w:val="clear" w:color="auto" w:fill="FFFFFF"/>
          <w:vertAlign w:val="subscript"/>
        </w:rPr>
        <w:t>4</w:t>
      </w:r>
      <w:r w:rsidRPr="003A48AB">
        <w:rPr>
          <w:rFonts w:ascii="Arial" w:eastAsia="Times New Roman" w:hAnsi="Arial" w:cs="Arial"/>
          <w:shd w:val="clear" w:color="auto" w:fill="FFFFFF"/>
        </w:rPr>
        <w:t>)</w:t>
      </w:r>
      <w:r w:rsidRPr="003A48AB">
        <w:rPr>
          <w:rFonts w:ascii="Arial" w:eastAsia="Times New Roman" w:hAnsi="Arial" w:cs="Arial"/>
          <w:bdr w:val="none" w:sz="0" w:space="0" w:color="auto" w:frame="1"/>
        </w:rPr>
        <w:t xml:space="preserve"> was then performed for 20 minutes. The dehydrated samples were then immersed in a new aliquot of 100% ethanol over anhydrous copper (</w:t>
      </w:r>
      <w:r w:rsidRPr="003A48AB">
        <w:rPr>
          <w:rFonts w:ascii="Arial" w:eastAsia="Times New Roman" w:hAnsi="Arial" w:cs="Arial"/>
          <w:shd w:val="clear" w:color="auto" w:fill="FFFFFF"/>
        </w:rPr>
        <w:t>CuSO</w:t>
      </w:r>
      <w:r w:rsidRPr="003A48AB">
        <w:rPr>
          <w:rFonts w:ascii="Arial" w:eastAsia="Times New Roman" w:hAnsi="Arial" w:cs="Arial"/>
          <w:shd w:val="clear" w:color="auto" w:fill="FFFFFF"/>
          <w:vertAlign w:val="subscript"/>
        </w:rPr>
        <w:t>4</w:t>
      </w:r>
      <w:r w:rsidRPr="003A48AB">
        <w:rPr>
          <w:rFonts w:ascii="Arial" w:eastAsia="Times New Roman" w:hAnsi="Arial" w:cs="Arial"/>
          <w:shd w:val="clear" w:color="auto" w:fill="FFFFFF"/>
        </w:rPr>
        <w:t>)</w:t>
      </w:r>
      <w:r w:rsidRPr="003A48AB">
        <w:rPr>
          <w:rFonts w:ascii="Arial" w:eastAsia="Times New Roman" w:hAnsi="Arial" w:cs="Arial"/>
          <w:bdr w:val="none" w:sz="0" w:space="0" w:color="auto" w:frame="1"/>
        </w:rPr>
        <w:t xml:space="preserve"> and dried for 10 minutes at high pressure using a critical point drier. The removed samples were then splutter coated in gold particles prior to analysis on a Philips XL-20 Scanning electron microscope (Amsterdam, Netherlands).</w:t>
      </w:r>
    </w:p>
    <w:p w14:paraId="796AB872" w14:textId="77777777" w:rsidR="003A48AB" w:rsidRPr="003A48AB" w:rsidRDefault="003A48AB" w:rsidP="003A48AB">
      <w:pPr>
        <w:spacing w:after="160" w:line="360" w:lineRule="auto"/>
        <w:rPr>
          <w:rFonts w:ascii="Arial" w:eastAsia="MS Mincho" w:hAnsi="Arial" w:cs="Arial"/>
          <w:u w:val="single"/>
          <w:lang w:eastAsia="ja-JP"/>
        </w:rPr>
      </w:pPr>
      <w:r w:rsidRPr="003A48AB">
        <w:rPr>
          <w:rFonts w:ascii="Arial" w:eastAsia="MS Mincho" w:hAnsi="Arial" w:cs="Arial"/>
          <w:u w:val="single"/>
          <w:lang w:eastAsia="ja-JP"/>
        </w:rPr>
        <w:t xml:space="preserve">2.6 Extraction of high quality </w:t>
      </w:r>
      <w:r w:rsidRPr="003A48AB">
        <w:rPr>
          <w:rFonts w:ascii="Arial" w:eastAsia="MS Mincho" w:hAnsi="Arial" w:cs="Arial"/>
          <w:i/>
          <w:u w:val="single"/>
          <w:lang w:eastAsia="ja-JP"/>
        </w:rPr>
        <w:t>P. patens</w:t>
      </w:r>
      <w:r w:rsidRPr="003A48AB">
        <w:rPr>
          <w:rFonts w:ascii="Arial" w:eastAsia="MS Mincho" w:hAnsi="Arial" w:cs="Arial"/>
          <w:u w:val="single"/>
          <w:lang w:eastAsia="ja-JP"/>
        </w:rPr>
        <w:t xml:space="preserve"> DNA for genotyping and other applications such as Southern blotting</w:t>
      </w:r>
    </w:p>
    <w:p w14:paraId="0E32E800" w14:textId="77777777" w:rsidR="003A48AB" w:rsidRPr="003A48AB" w:rsidRDefault="003A48AB" w:rsidP="003A48AB">
      <w:pPr>
        <w:spacing w:after="160" w:line="360" w:lineRule="auto"/>
        <w:rPr>
          <w:rFonts w:ascii="Arial" w:eastAsia="MS Mincho" w:hAnsi="Arial" w:cs="Arial"/>
          <w:lang w:eastAsia="ja-JP"/>
        </w:rPr>
      </w:pPr>
      <w:r w:rsidRPr="003A48AB">
        <w:rPr>
          <w:rFonts w:ascii="Arial" w:eastAsia="MS Mincho" w:hAnsi="Arial" w:cs="Arial"/>
          <w:lang w:eastAsia="ja-JP"/>
        </w:rPr>
        <w:t>For an individual DNA extraction, 2 plates of ‘well grown’ 6 or 7 day old protonemal tissue were used (see section 2.1). Upon collection, protonemal tissue was scrapped from petri dishes using plastic spreaders and residual water was squeezed from the samples 2-3 times by squashing the protonemal tissue mass between a number of sheets of absorbent filter paper to remove excess moisture. The compressed protonemal tissue was then pl</w:t>
      </w:r>
      <w:r w:rsidR="008A2B4A">
        <w:rPr>
          <w:rFonts w:ascii="Arial" w:eastAsia="MS Mincho" w:hAnsi="Arial" w:cs="Arial"/>
          <w:lang w:eastAsia="ja-JP"/>
        </w:rPr>
        <w:t>aced in a</w:t>
      </w:r>
      <w:r w:rsidRPr="003A48AB">
        <w:rPr>
          <w:rFonts w:ascii="Arial" w:eastAsia="MS Mincho" w:hAnsi="Arial" w:cs="Arial"/>
          <w:lang w:eastAsia="ja-JP"/>
        </w:rPr>
        <w:t xml:space="preserve"> Falcon™ 50mL Conical Centrifuge Tubes (Fisher Scientific, UK), flash frozen using liquid nitrogen and stored at -80°C prior to an extraction. The below described protocol has been modified from </w:t>
      </w:r>
      <w:r w:rsidRPr="003A48AB">
        <w:rPr>
          <w:rFonts w:ascii="Arial" w:eastAsia="MS Mincho" w:hAnsi="Arial" w:cs="Arial"/>
          <w:lang w:eastAsia="ja-JP"/>
        </w:rPr>
        <w:fldChar w:fldCharType="begin"/>
      </w:r>
      <w:r w:rsidRPr="003A48AB">
        <w:rPr>
          <w:rFonts w:ascii="Arial" w:eastAsia="MS Mincho" w:hAnsi="Arial" w:cs="Arial"/>
          <w:lang w:eastAsia="ja-JP"/>
        </w:rPr>
        <w:instrText xml:space="preserve"> ADDIN EN.CITE &lt;EndNote&gt;&lt;Cite&gt;&lt;Author&gt;Knight&lt;/Author&gt;&lt;Year&gt;2002&lt;/Year&gt;&lt;IDText&gt;Molecular plant biology : a practical approach&lt;/IDText&gt;&lt;DisplayText&gt;(Knight et al., 2002)&lt;/DisplayText&gt;&lt;record&gt;&lt;contributors&gt;&lt;tertiary-authors&gt;&lt;author&gt;Gilmartin, P. M.&lt;/author&gt;&lt;author&gt;Bowler, C.&lt;/author&gt;&lt;/tertiary-authors&gt;&lt;/contributors&gt;&lt;keywords&gt;&lt;keyword&gt;Plant molecular biology.&lt;/keyword&gt;&lt;/keywords&gt;&lt;isbn&gt;0199638764 v.1&amp;#xD;0199638756 v.1 (pbk.)&amp;#xD;0199638195 v.2&amp;#xD;0199638756 v.2 (pbk.)&lt;/isbn&gt;&lt;titles&gt;&lt;title&gt;Molecular plant biology : a practical approach&lt;/title&gt;&lt;/titles&gt;&lt;call-num&gt;RSLBL 02.E02276&amp;#xD;RSLBL 02.E02538&amp;#xD;RSLBL 02.E03424&amp;#xD;RSLBL 02.E03832&amp;#xD;RSLBL 02.E04814&amp;#xD;RSLBL 02.E04815&amp;#xD;RSLBL QK728 MOL 2002&amp;#xD;SOMCL 682 GIL 1&amp;#xD;Radcliffe Science Library QK728 MOL 2002&amp;#xD;Radcliffe Science Library 02.E03424 (Box B000001063738)&amp;#xD;Radcliffe Science Library 02.E03832 (Box B000001063764)&amp;#xD;Radcliffe Science Library 02.E04815&amp;#xD;Radcliffe Science Library 02.E02538 (Box B000001063683)&amp;#xD;Radcliffe Science Library 02.E02276 (Box B000001063667)&amp;#xD;Radcliffe Science Library 02.E04814 (Box B000001063828)&amp;#xD;Somerville College Library 682 GIL 1&lt;/call-num&gt;&lt;contributors&gt;&lt;authors&gt;&lt;author&gt;Knight, C. D.&lt;/author&gt;&lt;author&gt;Cove, D. J.&lt;/author&gt;&lt;author&gt;Cuming, A. C.&lt;/author&gt;&lt;author&gt;Quatrano R. S.&lt;/author&gt;&lt;/authors&gt;&lt;/contributors&gt;&lt;section&gt;285-299&lt;/section&gt;&lt;added-date format="utc"&gt;1452769278&lt;/added-date&gt;&lt;pub-location&gt;Oxford&lt;/pub-location&gt;&lt;ref-type name="Book"&gt;6&lt;/ref-type&gt;&lt;dates&gt;&lt;year&gt;2002&lt;/year&gt;&lt;/dates&gt;&lt;rec-number&gt;425&lt;/rec-number&gt;&lt;publisher&gt;Oxford University Press&lt;/publisher&gt;&lt;last-updated-date format="utc"&gt;1452770505&lt;/last-updated-date&gt;&lt;accession-num&gt;015319228&lt;/accession-num&gt;&lt;num-vols&gt;2&lt;/num-vols&gt;&lt;/record&gt;&lt;/Cite&gt;&lt;/EndNote&gt;</w:instrText>
      </w:r>
      <w:r w:rsidRPr="003A48AB">
        <w:rPr>
          <w:rFonts w:ascii="Arial" w:eastAsia="MS Mincho" w:hAnsi="Arial" w:cs="Arial"/>
          <w:lang w:eastAsia="ja-JP"/>
        </w:rPr>
        <w:fldChar w:fldCharType="separate"/>
      </w:r>
      <w:r w:rsidRPr="003A48AB">
        <w:rPr>
          <w:rFonts w:ascii="Arial" w:eastAsia="MS Mincho" w:hAnsi="Arial" w:cs="Arial"/>
          <w:noProof/>
          <w:lang w:eastAsia="ja-JP"/>
        </w:rPr>
        <w:t>(Knight et al., 2002)</w:t>
      </w:r>
      <w:r w:rsidRPr="003A48AB">
        <w:rPr>
          <w:rFonts w:ascii="Arial" w:eastAsia="MS Mincho" w:hAnsi="Arial" w:cs="Arial"/>
          <w:lang w:eastAsia="ja-JP"/>
        </w:rPr>
        <w:fldChar w:fldCharType="end"/>
      </w:r>
      <w:r w:rsidRPr="003A48AB">
        <w:rPr>
          <w:rFonts w:ascii="Arial" w:eastAsia="MS Mincho" w:hAnsi="Arial" w:cs="Arial"/>
          <w:lang w:eastAsia="ja-JP"/>
        </w:rPr>
        <w:t xml:space="preserve"> to enable extractions via table-top centrifugation. Using this modified method, extraction buffer was initially placed into four tubes which during the course of the extraction process was condensed into 2 tubes and then finally into a single tube at the elution stage. Note. Extractions performed on a large angled rotor in larger volumes resulted in slippage leading to poor quality DNA extractions. A CTAB extraction buffer containing: 0.1 M Tris-Cl (pH 8.0), 1.42 M </w:t>
      </w:r>
      <w:r w:rsidRPr="003A48AB">
        <w:rPr>
          <w:rFonts w:ascii="Arial" w:eastAsia="MS Mincho" w:hAnsi="Arial" w:cs="Arial"/>
          <w:lang w:eastAsia="ja-JP"/>
        </w:rPr>
        <w:lastRenderedPageBreak/>
        <w:t>NaCl, 2.0% CTAB, 20 mM Na</w:t>
      </w:r>
      <w:r w:rsidRPr="003A48AB">
        <w:rPr>
          <w:rFonts w:ascii="Arial" w:eastAsia="MS Mincho" w:hAnsi="Arial" w:cs="Arial"/>
          <w:vertAlign w:val="subscript"/>
          <w:lang w:eastAsia="ja-JP"/>
        </w:rPr>
        <w:t>2</w:t>
      </w:r>
      <w:r w:rsidRPr="003A48AB">
        <w:rPr>
          <w:rFonts w:ascii="Arial" w:eastAsia="MS Mincho" w:hAnsi="Arial" w:cs="Arial"/>
          <w:lang w:eastAsia="ja-JP"/>
        </w:rPr>
        <w:t>EDTA, 2% PVP-40 was made prior to extractions that was subsequently stored at room temperature prior to extractions of DNA.</w:t>
      </w:r>
    </w:p>
    <w:p w14:paraId="51FB01C5" w14:textId="77777777" w:rsidR="003A48AB" w:rsidRPr="003A48AB" w:rsidRDefault="003A48AB" w:rsidP="003A48AB">
      <w:pPr>
        <w:spacing w:after="160" w:line="360" w:lineRule="auto"/>
        <w:rPr>
          <w:rFonts w:ascii="Arial" w:eastAsia="MS Mincho" w:hAnsi="Arial" w:cs="Arial"/>
          <w:lang w:eastAsia="ja-JP"/>
        </w:rPr>
      </w:pPr>
      <w:r w:rsidRPr="003A48AB">
        <w:rPr>
          <w:rFonts w:ascii="Arial" w:eastAsia="MS Mincho" w:hAnsi="Arial" w:cs="Arial"/>
          <w:lang w:eastAsia="ja-JP"/>
        </w:rPr>
        <w:t>Prior to beginning the extraction process,10ml CTAB extraction buffer was aliquoted to a 50ml falcon tube to which 7µl β-mercaptoethanol and 10mg ascorbic acid were added, mixed and placed at 65°C. Mortar and pestles were pre-chilled using liquid nitrogen immediately prior to tissue disruption. Tissue was quickly removed from -80 storage and ground to a fine powder with the pre-chilled mortar and pestle. Before tissue had thawed and whilst continuing to grind, 1ml of pre-warmed 65°C fresh extraction buffer was added to the solution and mixed to a smooth paste. Another 1ml of pre-warmed extraction buffer was subsequently added and the homogenate was mixed further. Next, 30µl of Ribonuclease A from bovine pancreas (Sigma-Aldrich, UK) was added and mixed. The homogenate was then divided evenly between four individual 1.5ml Eppendorf tubes (</w:t>
      </w:r>
      <w:r w:rsidRPr="003A48AB">
        <w:rPr>
          <w:rFonts w:ascii="Arial" w:eastAsia="MS Mincho" w:hAnsi="Arial" w:cs="Arial"/>
          <w:color w:val="000000"/>
          <w:shd w:val="clear" w:color="auto" w:fill="FFFFFF"/>
          <w:lang w:eastAsia="ja-JP"/>
        </w:rPr>
        <w:t>≈</w:t>
      </w:r>
      <w:r w:rsidRPr="003A48AB">
        <w:rPr>
          <w:rFonts w:ascii="Arial" w:eastAsia="MS Mincho" w:hAnsi="Arial" w:cs="Arial"/>
          <w:lang w:eastAsia="ja-JP"/>
        </w:rPr>
        <w:t>550µl each). All four tubes were briefly vortexed and then heated to 65°C for 10 minutes. An equal volume of Chloroform-isoamyl alcohol (24:1) (</w:t>
      </w:r>
      <w:r w:rsidRPr="003A48AB">
        <w:rPr>
          <w:rFonts w:ascii="Arial" w:eastAsia="MS Mincho" w:hAnsi="Arial" w:cs="Arial"/>
          <w:color w:val="000000"/>
          <w:shd w:val="clear" w:color="auto" w:fill="FFFFFF"/>
          <w:lang w:eastAsia="ja-JP"/>
        </w:rPr>
        <w:t>≈</w:t>
      </w:r>
      <w:r w:rsidRPr="003A48AB">
        <w:rPr>
          <w:rFonts w:ascii="Arial" w:eastAsia="MS Mincho" w:hAnsi="Arial" w:cs="Arial"/>
          <w:lang w:eastAsia="ja-JP"/>
        </w:rPr>
        <w:t xml:space="preserve">550µl) was added to each of the tubes and vortexed to emulsify. The solutions were then span at 16100g for 2 minutes at room temperature. The tubes were carefully removed and using wide-bored 1ml tips the individual aqueous phases of the 4 tubes were condensed into two new 2ml tubes. Again using wide-bored tips, 0.7 volumes of isopropanol were added to each of the tube which was then gently pipetted to mix (5-6 times) and spun at full speed for 5 minutes. The resulting supernatant was very gently poured off and the pellets washed with 1 ml of 70% ethanol by vortexing which dislodged the pellet. Tubes were then spun again for 5 minutes at full speed to re-pellet the DNA. Samples were carefully removed from the centrifuge and the supernatant was very carefully poured off. The two tubes were air dried in a fume cupboard for approximately 15 minutes so that no residual fluid remained, leaving just dry but not desiccated pellets. The first tube was then eluted with 100µl of TE buffer by carefully running the buffer over the pellet area and round the base of the tube multiple times and was then transferred to the second tube. A second elution of 100µl was performed to remove residual DNA from the first tube and this was then transferred to the second tube. The second tube pellet was then re-suspended using the 200µl TE buffer transferred from the first tube so that two plates worth of DNA were eluted into one tube. </w:t>
      </w:r>
    </w:p>
    <w:p w14:paraId="257FBE21" w14:textId="77777777" w:rsidR="003A48AB" w:rsidRPr="003A48AB" w:rsidRDefault="003A48AB" w:rsidP="003A48AB">
      <w:pPr>
        <w:spacing w:after="160" w:line="360" w:lineRule="auto"/>
        <w:rPr>
          <w:rFonts w:ascii="Arial" w:eastAsia="MS Mincho" w:hAnsi="Arial" w:cs="Arial"/>
          <w:lang w:eastAsia="ja-JP"/>
        </w:rPr>
      </w:pPr>
      <w:r w:rsidRPr="003A48AB">
        <w:rPr>
          <w:rFonts w:ascii="Arial" w:eastAsia="MS Mincho" w:hAnsi="Arial" w:cs="Arial"/>
          <w:lang w:eastAsia="ja-JP"/>
        </w:rPr>
        <w:t xml:space="preserve">The quality of the DNA was checked via a NanoDrop™ 8000 Spectrophotometer (Thermo Scientific, UK), the integrity and quantity was checked via a 1% gel using gel electrophoresis with HindIII digested Lambda DNA (Sigma-Aldrich, UK). DNA </w:t>
      </w:r>
      <w:r w:rsidRPr="003A48AB">
        <w:rPr>
          <w:rFonts w:ascii="Arial" w:eastAsia="MS Mincho" w:hAnsi="Arial" w:cs="Arial"/>
          <w:lang w:eastAsia="ja-JP"/>
        </w:rPr>
        <w:lastRenderedPageBreak/>
        <w:t>was stored short term at -20°C or long term at -80°C. Typically, for genotyping 1µl of 10-100ng/µl template was used.</w:t>
      </w:r>
    </w:p>
    <w:p w14:paraId="30ADD07B" w14:textId="77777777" w:rsidR="003A48AB" w:rsidRPr="003A48AB" w:rsidRDefault="003A48AB" w:rsidP="003A48AB">
      <w:pPr>
        <w:spacing w:after="160" w:line="360" w:lineRule="auto"/>
        <w:rPr>
          <w:rFonts w:ascii="Arial" w:eastAsia="MS Mincho" w:hAnsi="Arial" w:cs="Arial"/>
          <w:u w:val="single"/>
          <w:lang w:eastAsia="ja-JP"/>
        </w:rPr>
      </w:pPr>
      <w:r w:rsidRPr="003A48AB">
        <w:rPr>
          <w:rFonts w:ascii="Arial" w:eastAsia="MS Mincho" w:hAnsi="Arial" w:cs="Arial"/>
          <w:u w:val="single"/>
          <w:lang w:eastAsia="ja-JP"/>
        </w:rPr>
        <w:t>2.7 DNA Amplification using KOD Hot Start DNA Polymerase (Toyobo, Japan)</w:t>
      </w:r>
    </w:p>
    <w:p w14:paraId="1723C605" w14:textId="77777777" w:rsidR="003A48AB" w:rsidRPr="003A48AB" w:rsidRDefault="003A48AB" w:rsidP="003A48AB">
      <w:pPr>
        <w:tabs>
          <w:tab w:val="left" w:pos="3765"/>
          <w:tab w:val="center" w:pos="4513"/>
        </w:tabs>
        <w:spacing w:after="160" w:line="360" w:lineRule="auto"/>
        <w:rPr>
          <w:rFonts w:ascii="Arial" w:eastAsia="MS Mincho" w:hAnsi="Arial" w:cs="Arial"/>
          <w:lang w:eastAsia="ja-JP"/>
        </w:rPr>
      </w:pPr>
      <w:r w:rsidRPr="003A48AB">
        <w:rPr>
          <w:rFonts w:ascii="Arial" w:eastAsia="MS Mincho" w:hAnsi="Arial" w:cs="Arial"/>
          <w:lang w:eastAsia="ja-JP"/>
        </w:rPr>
        <w:t xml:space="preserve">For difficult to amplify DNA templates, long templates or for cloning experiments KOD Hot Start DNA Polymerase was often used. When targets were difficult to amplify up to 42 cycles of PCR were used to amplify the template. For longer templates amplification was generally performed as per the manufacturers protocol. All PCR reactions were conducted using TECHNE </w:t>
      </w:r>
      <w:r w:rsidRPr="003A48AB">
        <w:rPr>
          <w:rFonts w:ascii="Arial" w:eastAsia="MS Mincho" w:hAnsi="Arial" w:cs="Arial"/>
          <w:i/>
          <w:lang w:eastAsia="ja-JP"/>
        </w:rPr>
        <w:t>touchgene gradient</w:t>
      </w:r>
      <w:r w:rsidRPr="003A48AB">
        <w:rPr>
          <w:rFonts w:ascii="Arial" w:eastAsia="MS Mincho" w:hAnsi="Arial" w:cs="Arial"/>
          <w:lang w:eastAsia="ja-JP"/>
        </w:rPr>
        <w:t xml:space="preserve"> or TECHNE TC-412 (Bibby Scientific Limited, Staffordshire UK) thermocyclers. </w:t>
      </w:r>
    </w:p>
    <w:p w14:paraId="52705E4B" w14:textId="77777777" w:rsidR="003A48AB" w:rsidRPr="003A48AB" w:rsidRDefault="003A48AB" w:rsidP="003A48AB">
      <w:pPr>
        <w:spacing w:after="160" w:line="360" w:lineRule="auto"/>
        <w:rPr>
          <w:rFonts w:ascii="Arial" w:eastAsia="MS Mincho" w:hAnsi="Arial" w:cs="Arial"/>
          <w:lang w:eastAsia="ja-JP"/>
        </w:rPr>
      </w:pPr>
      <w:r w:rsidRPr="003A48AB">
        <w:rPr>
          <w:rFonts w:ascii="Arial" w:eastAsia="MS Mincho" w:hAnsi="Arial" w:cs="Arial"/>
          <w:lang w:eastAsia="ja-JP"/>
        </w:rPr>
        <w:t>The PCR thermocycler settings for a typical reaction amplifying a 1kb fragment a</w:t>
      </w:r>
      <w:r w:rsidR="006C76ED">
        <w:rPr>
          <w:rFonts w:ascii="Arial" w:eastAsia="MS Mincho" w:hAnsi="Arial" w:cs="Arial"/>
          <w:lang w:eastAsia="ja-JP"/>
        </w:rPr>
        <w:t>re provided in the table below:</w:t>
      </w:r>
    </w:p>
    <w:tbl>
      <w:tblPr>
        <w:tblStyle w:val="TableGrid1"/>
        <w:tblW w:w="0" w:type="auto"/>
        <w:tblLook w:val="04A0" w:firstRow="1" w:lastRow="0" w:firstColumn="1" w:lastColumn="0" w:noHBand="0" w:noVBand="1"/>
      </w:tblPr>
      <w:tblGrid>
        <w:gridCol w:w="4009"/>
        <w:gridCol w:w="2126"/>
        <w:gridCol w:w="2053"/>
      </w:tblGrid>
      <w:tr w:rsidR="003A48AB" w:rsidRPr="003A48AB" w14:paraId="6F4631F4" w14:textId="77777777" w:rsidTr="0091388F">
        <w:tc>
          <w:tcPr>
            <w:tcW w:w="4508" w:type="dxa"/>
          </w:tcPr>
          <w:p w14:paraId="3BDE5117" w14:textId="77777777" w:rsidR="003A48AB" w:rsidRPr="003A48AB" w:rsidRDefault="003A48AB" w:rsidP="003A48AB">
            <w:pPr>
              <w:rPr>
                <w:rFonts w:ascii="Arial" w:eastAsia="MS Mincho" w:hAnsi="Arial" w:cs="Arial"/>
              </w:rPr>
            </w:pPr>
            <w:r w:rsidRPr="003A48AB">
              <w:rPr>
                <w:rFonts w:ascii="Arial" w:eastAsia="MS Mincho" w:hAnsi="Arial" w:cs="Arial"/>
              </w:rPr>
              <w:t>Initial Denaturation</w:t>
            </w:r>
          </w:p>
        </w:tc>
        <w:tc>
          <w:tcPr>
            <w:tcW w:w="4508" w:type="dxa"/>
            <w:gridSpan w:val="2"/>
          </w:tcPr>
          <w:p w14:paraId="5AD9C422" w14:textId="77777777" w:rsidR="003A48AB" w:rsidRPr="003A48AB" w:rsidRDefault="003A48AB" w:rsidP="003A48AB">
            <w:pPr>
              <w:jc w:val="center"/>
              <w:rPr>
                <w:rFonts w:ascii="Arial" w:eastAsia="MS Mincho" w:hAnsi="Arial" w:cs="Arial"/>
              </w:rPr>
            </w:pPr>
            <w:r w:rsidRPr="003A48AB">
              <w:rPr>
                <w:rFonts w:ascii="Arial" w:eastAsia="MS Mincho" w:hAnsi="Arial" w:cs="Arial"/>
              </w:rPr>
              <w:t>2 minutes at 95°C</w:t>
            </w:r>
          </w:p>
        </w:tc>
      </w:tr>
      <w:tr w:rsidR="003A48AB" w:rsidRPr="003A48AB" w14:paraId="23F10EC6" w14:textId="77777777" w:rsidTr="0091388F">
        <w:tc>
          <w:tcPr>
            <w:tcW w:w="4508" w:type="dxa"/>
            <w:vMerge w:val="restart"/>
          </w:tcPr>
          <w:p w14:paraId="72F7432A" w14:textId="77777777" w:rsidR="003A48AB" w:rsidRPr="003A48AB" w:rsidRDefault="003A48AB" w:rsidP="003A48AB">
            <w:pPr>
              <w:rPr>
                <w:rFonts w:ascii="Arial" w:eastAsia="MS Mincho" w:hAnsi="Arial" w:cs="Arial"/>
              </w:rPr>
            </w:pPr>
          </w:p>
          <w:p w14:paraId="12D8A742" w14:textId="77777777" w:rsidR="003A48AB" w:rsidRPr="003A48AB" w:rsidRDefault="003A48AB" w:rsidP="003A48AB">
            <w:pPr>
              <w:rPr>
                <w:rFonts w:ascii="Arial" w:eastAsia="MS Mincho" w:hAnsi="Arial" w:cs="Arial"/>
              </w:rPr>
            </w:pPr>
            <w:r w:rsidRPr="003A48AB">
              <w:rPr>
                <w:rFonts w:ascii="Arial" w:eastAsia="MS Mincho" w:hAnsi="Arial" w:cs="Arial"/>
              </w:rPr>
              <w:t xml:space="preserve">30-35 cycles             </w:t>
            </w:r>
          </w:p>
        </w:tc>
        <w:tc>
          <w:tcPr>
            <w:tcW w:w="2254" w:type="dxa"/>
          </w:tcPr>
          <w:p w14:paraId="1C955257" w14:textId="77777777" w:rsidR="003A48AB" w:rsidRPr="003A48AB" w:rsidRDefault="003A48AB" w:rsidP="003A48AB">
            <w:pPr>
              <w:rPr>
                <w:rFonts w:ascii="Arial" w:eastAsia="MS Mincho" w:hAnsi="Arial" w:cs="Arial"/>
              </w:rPr>
            </w:pPr>
            <w:r w:rsidRPr="003A48AB">
              <w:rPr>
                <w:rFonts w:ascii="Arial" w:eastAsia="MS Mincho" w:hAnsi="Arial" w:cs="Arial"/>
              </w:rPr>
              <w:t>Denaturation</w:t>
            </w:r>
          </w:p>
        </w:tc>
        <w:tc>
          <w:tcPr>
            <w:tcW w:w="2254" w:type="dxa"/>
          </w:tcPr>
          <w:p w14:paraId="27849266" w14:textId="77777777" w:rsidR="003A48AB" w:rsidRPr="003A48AB" w:rsidRDefault="003A48AB" w:rsidP="003A48AB">
            <w:pPr>
              <w:rPr>
                <w:rFonts w:ascii="Arial" w:eastAsia="MS Mincho" w:hAnsi="Arial" w:cs="Arial"/>
              </w:rPr>
            </w:pPr>
            <w:r w:rsidRPr="003A48AB">
              <w:rPr>
                <w:rFonts w:ascii="Arial" w:eastAsia="MS Mincho" w:hAnsi="Arial" w:cs="Arial"/>
              </w:rPr>
              <w:t>20 seconds at 95°C</w:t>
            </w:r>
          </w:p>
        </w:tc>
      </w:tr>
      <w:tr w:rsidR="003A48AB" w:rsidRPr="003A48AB" w14:paraId="1FDAC631" w14:textId="77777777" w:rsidTr="0091388F">
        <w:tc>
          <w:tcPr>
            <w:tcW w:w="4508" w:type="dxa"/>
            <w:vMerge/>
          </w:tcPr>
          <w:p w14:paraId="71D092D9" w14:textId="77777777" w:rsidR="003A48AB" w:rsidRPr="003A48AB" w:rsidRDefault="003A48AB" w:rsidP="003A48AB">
            <w:pPr>
              <w:rPr>
                <w:rFonts w:ascii="Arial" w:eastAsia="MS Mincho" w:hAnsi="Arial" w:cs="Arial"/>
              </w:rPr>
            </w:pPr>
          </w:p>
        </w:tc>
        <w:tc>
          <w:tcPr>
            <w:tcW w:w="2254" w:type="dxa"/>
          </w:tcPr>
          <w:p w14:paraId="699E95A0" w14:textId="77777777" w:rsidR="003A48AB" w:rsidRPr="003A48AB" w:rsidRDefault="003A48AB" w:rsidP="003A48AB">
            <w:pPr>
              <w:rPr>
                <w:rFonts w:ascii="Arial" w:eastAsia="MS Mincho" w:hAnsi="Arial" w:cs="Arial"/>
              </w:rPr>
            </w:pPr>
            <w:r w:rsidRPr="003A48AB">
              <w:rPr>
                <w:rFonts w:ascii="Arial" w:eastAsia="MS Mincho" w:hAnsi="Arial" w:cs="Arial"/>
              </w:rPr>
              <w:t>Annealing</w:t>
            </w:r>
          </w:p>
        </w:tc>
        <w:tc>
          <w:tcPr>
            <w:tcW w:w="2254" w:type="dxa"/>
          </w:tcPr>
          <w:p w14:paraId="03DF12A4" w14:textId="77777777" w:rsidR="003A48AB" w:rsidRPr="003A48AB" w:rsidRDefault="003A48AB" w:rsidP="003A48AB">
            <w:pPr>
              <w:rPr>
                <w:rFonts w:ascii="Arial" w:eastAsia="MS Mincho" w:hAnsi="Arial" w:cs="Arial"/>
              </w:rPr>
            </w:pPr>
            <w:r w:rsidRPr="003A48AB">
              <w:rPr>
                <w:rFonts w:ascii="Arial" w:eastAsia="MS Mincho" w:hAnsi="Arial" w:cs="Arial"/>
              </w:rPr>
              <w:t>10 seconds at 60 °C</w:t>
            </w:r>
          </w:p>
        </w:tc>
      </w:tr>
      <w:tr w:rsidR="003A48AB" w:rsidRPr="003A48AB" w14:paraId="63BBA09F" w14:textId="77777777" w:rsidTr="0091388F">
        <w:tc>
          <w:tcPr>
            <w:tcW w:w="4508" w:type="dxa"/>
            <w:vMerge/>
          </w:tcPr>
          <w:p w14:paraId="26F20A83" w14:textId="77777777" w:rsidR="003A48AB" w:rsidRPr="003A48AB" w:rsidRDefault="003A48AB" w:rsidP="003A48AB">
            <w:pPr>
              <w:rPr>
                <w:rFonts w:ascii="Arial" w:eastAsia="MS Mincho" w:hAnsi="Arial" w:cs="Arial"/>
              </w:rPr>
            </w:pPr>
          </w:p>
        </w:tc>
        <w:tc>
          <w:tcPr>
            <w:tcW w:w="2254" w:type="dxa"/>
          </w:tcPr>
          <w:p w14:paraId="2E8A0CB9" w14:textId="77777777" w:rsidR="003A48AB" w:rsidRPr="003A48AB" w:rsidRDefault="003A48AB" w:rsidP="003A48AB">
            <w:pPr>
              <w:rPr>
                <w:rFonts w:ascii="Arial" w:eastAsia="MS Mincho" w:hAnsi="Arial" w:cs="Arial"/>
              </w:rPr>
            </w:pPr>
            <w:r w:rsidRPr="003A48AB">
              <w:rPr>
                <w:rFonts w:ascii="Arial" w:eastAsia="MS Mincho" w:hAnsi="Arial" w:cs="Arial"/>
              </w:rPr>
              <w:t>Extension</w:t>
            </w:r>
          </w:p>
        </w:tc>
        <w:tc>
          <w:tcPr>
            <w:tcW w:w="2254" w:type="dxa"/>
          </w:tcPr>
          <w:p w14:paraId="0116D37A" w14:textId="77777777" w:rsidR="003A48AB" w:rsidRPr="003A48AB" w:rsidRDefault="003A48AB" w:rsidP="003A48AB">
            <w:pPr>
              <w:rPr>
                <w:rFonts w:ascii="Arial" w:eastAsia="MS Mincho" w:hAnsi="Arial" w:cs="Arial"/>
              </w:rPr>
            </w:pPr>
            <w:r w:rsidRPr="003A48AB">
              <w:rPr>
                <w:rFonts w:ascii="Arial" w:eastAsia="MS Mincho" w:hAnsi="Arial" w:cs="Arial"/>
              </w:rPr>
              <w:t>15 seconds at 70°C</w:t>
            </w:r>
          </w:p>
        </w:tc>
      </w:tr>
    </w:tbl>
    <w:p w14:paraId="300DE189" w14:textId="77777777" w:rsidR="003A48AB" w:rsidRPr="003A48AB" w:rsidRDefault="003A48AB" w:rsidP="003A48AB">
      <w:pPr>
        <w:spacing w:after="160" w:line="240" w:lineRule="auto"/>
        <w:rPr>
          <w:rFonts w:ascii="Arial" w:eastAsia="MS Mincho" w:hAnsi="Arial" w:cs="Arial"/>
          <w:lang w:eastAsia="ja-JP"/>
        </w:rPr>
      </w:pPr>
    </w:p>
    <w:p w14:paraId="1F9207AF" w14:textId="77777777" w:rsidR="003A48AB" w:rsidRPr="003A48AB" w:rsidRDefault="003A48AB" w:rsidP="003A48AB">
      <w:pPr>
        <w:spacing w:after="160" w:line="240" w:lineRule="auto"/>
        <w:rPr>
          <w:rFonts w:ascii="Arial" w:eastAsia="MS Mincho" w:hAnsi="Arial" w:cs="Arial"/>
          <w:lang w:eastAsia="ja-JP"/>
        </w:rPr>
      </w:pPr>
      <w:r w:rsidRPr="003A48AB">
        <w:rPr>
          <w:rFonts w:ascii="Arial" w:eastAsia="MS Mincho" w:hAnsi="Arial" w:cs="Arial"/>
          <w:lang w:eastAsia="ja-JP"/>
        </w:rPr>
        <w:t>The contents of a typical KOD PCR reaction were as follows;</w:t>
      </w:r>
    </w:p>
    <w:tbl>
      <w:tblPr>
        <w:tblStyle w:val="TableGrid1"/>
        <w:tblW w:w="0" w:type="auto"/>
        <w:tblLook w:val="04A0" w:firstRow="1" w:lastRow="0" w:firstColumn="1" w:lastColumn="0" w:noHBand="0" w:noVBand="1"/>
      </w:tblPr>
      <w:tblGrid>
        <w:gridCol w:w="5778"/>
        <w:gridCol w:w="2410"/>
      </w:tblGrid>
      <w:tr w:rsidR="003A48AB" w:rsidRPr="003A48AB" w14:paraId="354DD69A" w14:textId="77777777" w:rsidTr="0091388F">
        <w:tc>
          <w:tcPr>
            <w:tcW w:w="6374" w:type="dxa"/>
          </w:tcPr>
          <w:p w14:paraId="403D7FEB" w14:textId="77777777" w:rsidR="003A48AB" w:rsidRPr="003A48AB" w:rsidRDefault="003A48AB" w:rsidP="003A48AB">
            <w:pPr>
              <w:rPr>
                <w:rFonts w:ascii="Arial" w:eastAsia="MS Mincho" w:hAnsi="Arial" w:cs="Arial"/>
              </w:rPr>
            </w:pPr>
            <w:r w:rsidRPr="003A48AB">
              <w:rPr>
                <w:rFonts w:ascii="Arial" w:eastAsia="MS Mincho" w:hAnsi="Arial" w:cs="Arial"/>
              </w:rPr>
              <w:t>10X Buffer for KOD Hot Start polymerase</w:t>
            </w:r>
          </w:p>
        </w:tc>
        <w:tc>
          <w:tcPr>
            <w:tcW w:w="2642" w:type="dxa"/>
          </w:tcPr>
          <w:p w14:paraId="12612ED2" w14:textId="77777777" w:rsidR="003A48AB" w:rsidRPr="003A48AB" w:rsidRDefault="003A48AB" w:rsidP="003A48AB">
            <w:pPr>
              <w:rPr>
                <w:rFonts w:ascii="Arial" w:eastAsia="MS Mincho" w:hAnsi="Arial" w:cs="Arial"/>
              </w:rPr>
            </w:pPr>
            <w:r w:rsidRPr="003A48AB">
              <w:rPr>
                <w:rFonts w:ascii="Arial" w:eastAsia="MS Mincho" w:hAnsi="Arial" w:cs="Arial"/>
              </w:rPr>
              <w:t>5µl</w:t>
            </w:r>
          </w:p>
        </w:tc>
      </w:tr>
      <w:tr w:rsidR="003A48AB" w:rsidRPr="003A48AB" w14:paraId="12351638" w14:textId="77777777" w:rsidTr="0091388F">
        <w:tc>
          <w:tcPr>
            <w:tcW w:w="6374" w:type="dxa"/>
          </w:tcPr>
          <w:p w14:paraId="062EA126" w14:textId="77777777" w:rsidR="003A48AB" w:rsidRPr="003A48AB" w:rsidRDefault="003A48AB" w:rsidP="003A48AB">
            <w:pPr>
              <w:rPr>
                <w:rFonts w:ascii="Arial" w:eastAsia="MS Mincho" w:hAnsi="Arial" w:cs="Arial"/>
              </w:rPr>
            </w:pPr>
            <w:r w:rsidRPr="003A48AB">
              <w:rPr>
                <w:rFonts w:ascii="Arial" w:eastAsia="MS Mincho" w:hAnsi="Arial" w:cs="Arial"/>
              </w:rPr>
              <w:t>25mM MgSO</w:t>
            </w:r>
            <w:r w:rsidRPr="003A48AB">
              <w:rPr>
                <w:rFonts w:ascii="Arial" w:eastAsia="MS Mincho" w:hAnsi="Arial" w:cs="Arial"/>
                <w:vertAlign w:val="subscript"/>
              </w:rPr>
              <w:t>4</w:t>
            </w:r>
          </w:p>
        </w:tc>
        <w:tc>
          <w:tcPr>
            <w:tcW w:w="2642" w:type="dxa"/>
          </w:tcPr>
          <w:p w14:paraId="45E8E20E" w14:textId="77777777" w:rsidR="003A48AB" w:rsidRPr="003A48AB" w:rsidRDefault="003A48AB" w:rsidP="003A48AB">
            <w:pPr>
              <w:rPr>
                <w:rFonts w:ascii="Arial" w:eastAsia="MS Mincho" w:hAnsi="Arial" w:cs="Arial"/>
              </w:rPr>
            </w:pPr>
            <w:r w:rsidRPr="003A48AB">
              <w:rPr>
                <w:rFonts w:ascii="Arial" w:eastAsia="MS Mincho" w:hAnsi="Arial" w:cs="Arial"/>
              </w:rPr>
              <w:t>3µl</w:t>
            </w:r>
          </w:p>
        </w:tc>
      </w:tr>
      <w:tr w:rsidR="003A48AB" w:rsidRPr="003A48AB" w14:paraId="7F9D7D5E" w14:textId="77777777" w:rsidTr="0091388F">
        <w:tc>
          <w:tcPr>
            <w:tcW w:w="6374" w:type="dxa"/>
          </w:tcPr>
          <w:p w14:paraId="19A221BC" w14:textId="77777777" w:rsidR="003A48AB" w:rsidRPr="003A48AB" w:rsidRDefault="003A48AB" w:rsidP="003A48AB">
            <w:pPr>
              <w:rPr>
                <w:rFonts w:ascii="Arial" w:eastAsia="MS Mincho" w:hAnsi="Arial" w:cs="Arial"/>
              </w:rPr>
            </w:pPr>
            <w:r w:rsidRPr="003A48AB">
              <w:rPr>
                <w:rFonts w:ascii="Arial" w:eastAsia="MS Mincho" w:hAnsi="Arial" w:cs="Arial"/>
              </w:rPr>
              <w:t>dNTPs (2mM each)</w:t>
            </w:r>
          </w:p>
        </w:tc>
        <w:tc>
          <w:tcPr>
            <w:tcW w:w="2642" w:type="dxa"/>
          </w:tcPr>
          <w:p w14:paraId="7BF4F665" w14:textId="77777777" w:rsidR="003A48AB" w:rsidRPr="003A48AB" w:rsidRDefault="003A48AB" w:rsidP="003A48AB">
            <w:pPr>
              <w:rPr>
                <w:rFonts w:ascii="Arial" w:eastAsia="MS Mincho" w:hAnsi="Arial" w:cs="Arial"/>
              </w:rPr>
            </w:pPr>
            <w:r w:rsidRPr="003A48AB">
              <w:rPr>
                <w:rFonts w:ascii="Arial" w:eastAsia="MS Mincho" w:hAnsi="Arial" w:cs="Arial"/>
              </w:rPr>
              <w:t>5µl</w:t>
            </w:r>
          </w:p>
        </w:tc>
      </w:tr>
      <w:tr w:rsidR="003A48AB" w:rsidRPr="003A48AB" w14:paraId="3EB2CE6A" w14:textId="77777777" w:rsidTr="0091388F">
        <w:tc>
          <w:tcPr>
            <w:tcW w:w="6374" w:type="dxa"/>
          </w:tcPr>
          <w:p w14:paraId="57DF88F1" w14:textId="77777777" w:rsidR="003A48AB" w:rsidRPr="003A48AB" w:rsidRDefault="003A48AB" w:rsidP="003A48AB">
            <w:pPr>
              <w:rPr>
                <w:rFonts w:ascii="Arial" w:eastAsia="MS Mincho" w:hAnsi="Arial" w:cs="Arial"/>
              </w:rPr>
            </w:pPr>
            <w:r w:rsidRPr="003A48AB">
              <w:rPr>
                <w:rFonts w:ascii="Arial" w:eastAsia="MS Mincho" w:hAnsi="Arial" w:cs="Arial"/>
              </w:rPr>
              <w:t>Forward primer 10µM</w:t>
            </w:r>
          </w:p>
        </w:tc>
        <w:tc>
          <w:tcPr>
            <w:tcW w:w="2642" w:type="dxa"/>
          </w:tcPr>
          <w:p w14:paraId="359560E4" w14:textId="77777777" w:rsidR="003A48AB" w:rsidRPr="003A48AB" w:rsidRDefault="003A48AB" w:rsidP="003A48AB">
            <w:pPr>
              <w:rPr>
                <w:rFonts w:ascii="Arial" w:eastAsia="MS Mincho" w:hAnsi="Arial" w:cs="Arial"/>
              </w:rPr>
            </w:pPr>
            <w:r w:rsidRPr="003A48AB">
              <w:rPr>
                <w:rFonts w:ascii="Arial" w:eastAsia="MS Mincho" w:hAnsi="Arial" w:cs="Arial"/>
              </w:rPr>
              <w:t>1.5µl</w:t>
            </w:r>
          </w:p>
        </w:tc>
      </w:tr>
      <w:tr w:rsidR="003A48AB" w:rsidRPr="003A48AB" w14:paraId="7BB93EB7" w14:textId="77777777" w:rsidTr="0091388F">
        <w:tc>
          <w:tcPr>
            <w:tcW w:w="6374" w:type="dxa"/>
          </w:tcPr>
          <w:p w14:paraId="6CA58C33" w14:textId="77777777" w:rsidR="003A48AB" w:rsidRPr="003A48AB" w:rsidRDefault="003A48AB" w:rsidP="003A48AB">
            <w:pPr>
              <w:rPr>
                <w:rFonts w:ascii="Arial" w:eastAsia="MS Mincho" w:hAnsi="Arial" w:cs="Arial"/>
              </w:rPr>
            </w:pPr>
            <w:r w:rsidRPr="003A48AB">
              <w:rPr>
                <w:rFonts w:ascii="Arial" w:eastAsia="MS Mincho" w:hAnsi="Arial" w:cs="Arial"/>
              </w:rPr>
              <w:t>Reverse primer 10µM</w:t>
            </w:r>
          </w:p>
        </w:tc>
        <w:tc>
          <w:tcPr>
            <w:tcW w:w="2642" w:type="dxa"/>
          </w:tcPr>
          <w:p w14:paraId="26007C9C" w14:textId="77777777" w:rsidR="003A48AB" w:rsidRPr="003A48AB" w:rsidRDefault="003A48AB" w:rsidP="003A48AB">
            <w:pPr>
              <w:rPr>
                <w:rFonts w:ascii="Arial" w:eastAsia="MS Mincho" w:hAnsi="Arial" w:cs="Arial"/>
              </w:rPr>
            </w:pPr>
            <w:r w:rsidRPr="003A48AB">
              <w:rPr>
                <w:rFonts w:ascii="Arial" w:eastAsia="MS Mincho" w:hAnsi="Arial" w:cs="Arial"/>
              </w:rPr>
              <w:t>1.5µl</w:t>
            </w:r>
          </w:p>
        </w:tc>
      </w:tr>
      <w:tr w:rsidR="003A48AB" w:rsidRPr="003A48AB" w14:paraId="6AE01ECF" w14:textId="77777777" w:rsidTr="0091388F">
        <w:tc>
          <w:tcPr>
            <w:tcW w:w="6374" w:type="dxa"/>
          </w:tcPr>
          <w:p w14:paraId="0CA7EEB7" w14:textId="77777777" w:rsidR="003A48AB" w:rsidRPr="003A48AB" w:rsidRDefault="003A48AB" w:rsidP="003A48AB">
            <w:pPr>
              <w:rPr>
                <w:rFonts w:ascii="Arial" w:eastAsia="MS Mincho" w:hAnsi="Arial" w:cs="Arial"/>
              </w:rPr>
            </w:pPr>
            <w:r w:rsidRPr="003A48AB">
              <w:rPr>
                <w:rFonts w:ascii="Arial" w:eastAsia="MS Mincho" w:hAnsi="Arial" w:cs="Arial"/>
              </w:rPr>
              <w:t>DNA Template</w:t>
            </w:r>
          </w:p>
        </w:tc>
        <w:tc>
          <w:tcPr>
            <w:tcW w:w="2642" w:type="dxa"/>
          </w:tcPr>
          <w:p w14:paraId="217D9C41" w14:textId="77777777" w:rsidR="003A48AB" w:rsidRPr="003A48AB" w:rsidRDefault="003A48AB" w:rsidP="003A48AB">
            <w:pPr>
              <w:rPr>
                <w:rFonts w:ascii="Arial" w:eastAsia="MS Mincho" w:hAnsi="Arial" w:cs="Arial"/>
              </w:rPr>
            </w:pPr>
            <w:r w:rsidRPr="003A48AB">
              <w:rPr>
                <w:rFonts w:ascii="Arial" w:eastAsia="MS Mincho" w:hAnsi="Arial" w:cs="Arial"/>
              </w:rPr>
              <w:t>0.5-2µl</w:t>
            </w:r>
          </w:p>
        </w:tc>
      </w:tr>
      <w:tr w:rsidR="003A48AB" w:rsidRPr="003A48AB" w14:paraId="5D1AD995" w14:textId="77777777" w:rsidTr="0091388F">
        <w:tc>
          <w:tcPr>
            <w:tcW w:w="6374" w:type="dxa"/>
          </w:tcPr>
          <w:p w14:paraId="330AEA0E" w14:textId="77777777" w:rsidR="003A48AB" w:rsidRPr="003A48AB" w:rsidRDefault="003A48AB" w:rsidP="003A48AB">
            <w:pPr>
              <w:rPr>
                <w:rFonts w:ascii="Arial" w:eastAsia="MS Mincho" w:hAnsi="Arial" w:cs="Arial"/>
              </w:rPr>
            </w:pPr>
            <w:r w:rsidRPr="003A48AB">
              <w:rPr>
                <w:rFonts w:ascii="Arial" w:eastAsia="MS Mincho" w:hAnsi="Arial" w:cs="Arial"/>
              </w:rPr>
              <w:t>Kod Hot Start Polymerase</w:t>
            </w:r>
          </w:p>
        </w:tc>
        <w:tc>
          <w:tcPr>
            <w:tcW w:w="2642" w:type="dxa"/>
          </w:tcPr>
          <w:p w14:paraId="44C1E27E" w14:textId="77777777" w:rsidR="003A48AB" w:rsidRPr="003A48AB" w:rsidRDefault="003A48AB" w:rsidP="003A48AB">
            <w:pPr>
              <w:rPr>
                <w:rFonts w:ascii="Arial" w:eastAsia="MS Mincho" w:hAnsi="Arial" w:cs="Arial"/>
              </w:rPr>
            </w:pPr>
            <w:r w:rsidRPr="003A48AB">
              <w:rPr>
                <w:rFonts w:ascii="Arial" w:eastAsia="MS Mincho" w:hAnsi="Arial" w:cs="Arial"/>
              </w:rPr>
              <w:t>1µl</w:t>
            </w:r>
          </w:p>
        </w:tc>
      </w:tr>
      <w:tr w:rsidR="003A48AB" w:rsidRPr="003A48AB" w14:paraId="39C9AA6A" w14:textId="77777777" w:rsidTr="0091388F">
        <w:tc>
          <w:tcPr>
            <w:tcW w:w="6374" w:type="dxa"/>
          </w:tcPr>
          <w:p w14:paraId="6A1A12DA" w14:textId="77777777" w:rsidR="003A48AB" w:rsidRPr="003A48AB" w:rsidRDefault="003A48AB" w:rsidP="003A48AB">
            <w:pPr>
              <w:rPr>
                <w:rFonts w:ascii="Arial" w:eastAsia="MS Mincho" w:hAnsi="Arial" w:cs="Arial"/>
              </w:rPr>
            </w:pPr>
            <w:r w:rsidRPr="003A48AB">
              <w:rPr>
                <w:rFonts w:ascii="Arial" w:eastAsia="Times New Roman" w:hAnsi="Arial" w:cs="Arial"/>
                <w:color w:val="2F2F2F"/>
                <w:kern w:val="36"/>
              </w:rPr>
              <w:t>Nuclease-Free Water (not DEPC-Treated)</w:t>
            </w:r>
          </w:p>
        </w:tc>
        <w:tc>
          <w:tcPr>
            <w:tcW w:w="2642" w:type="dxa"/>
          </w:tcPr>
          <w:p w14:paraId="05521A5A" w14:textId="77777777" w:rsidR="003A48AB" w:rsidRPr="003A48AB" w:rsidRDefault="003A48AB" w:rsidP="003A48AB">
            <w:pPr>
              <w:rPr>
                <w:rFonts w:ascii="Arial" w:eastAsia="MS Mincho" w:hAnsi="Arial" w:cs="Arial"/>
              </w:rPr>
            </w:pPr>
            <w:r w:rsidRPr="003A48AB">
              <w:rPr>
                <w:rFonts w:ascii="Arial" w:eastAsia="MS Mincho" w:hAnsi="Arial" w:cs="Arial"/>
              </w:rPr>
              <w:t>Upto 50µl</w:t>
            </w:r>
          </w:p>
        </w:tc>
      </w:tr>
    </w:tbl>
    <w:p w14:paraId="089B756F" w14:textId="77777777" w:rsidR="003A48AB" w:rsidRPr="003A48AB" w:rsidRDefault="003A48AB" w:rsidP="003A48AB">
      <w:pPr>
        <w:tabs>
          <w:tab w:val="left" w:pos="2977"/>
        </w:tabs>
        <w:spacing w:before="100" w:beforeAutospacing="1" w:after="160" w:line="360" w:lineRule="auto"/>
        <w:textAlignment w:val="baseline"/>
        <w:rPr>
          <w:rFonts w:ascii="Arial" w:eastAsia="Times New Roman" w:hAnsi="Arial" w:cs="Arial"/>
          <w:i/>
          <w:bdr w:val="none" w:sz="0" w:space="0" w:color="auto" w:frame="1"/>
        </w:rPr>
      </w:pPr>
      <w:r w:rsidRPr="003A48AB">
        <w:rPr>
          <w:rFonts w:ascii="Arial" w:eastAsia="Times New Roman" w:hAnsi="Arial" w:cs="Arial"/>
          <w:u w:val="single"/>
          <w:bdr w:val="none" w:sz="0" w:space="0" w:color="auto" w:frame="1"/>
        </w:rPr>
        <w:t xml:space="preserve">2.8 Construction of plasmids for downstream genetic studies in </w:t>
      </w:r>
      <w:r w:rsidRPr="003A48AB">
        <w:rPr>
          <w:rFonts w:ascii="Arial" w:eastAsia="Times New Roman" w:hAnsi="Arial" w:cs="Arial"/>
          <w:i/>
          <w:u w:val="single"/>
          <w:bdr w:val="none" w:sz="0" w:space="0" w:color="auto" w:frame="1"/>
        </w:rPr>
        <w:t xml:space="preserve">P. patens </w:t>
      </w:r>
      <w:r w:rsidRPr="003A48AB">
        <w:rPr>
          <w:rFonts w:ascii="Arial" w:eastAsia="Times New Roman" w:hAnsi="Arial" w:cs="Arial"/>
          <w:u w:val="single"/>
          <w:bdr w:val="none" w:sz="0" w:space="0" w:color="auto" w:frame="1"/>
        </w:rPr>
        <w:t xml:space="preserve">and </w:t>
      </w:r>
      <w:r w:rsidRPr="003A48AB">
        <w:rPr>
          <w:rFonts w:ascii="Arial" w:eastAsia="Times New Roman" w:hAnsi="Arial" w:cs="Arial"/>
          <w:i/>
          <w:u w:val="single"/>
          <w:bdr w:val="none" w:sz="0" w:space="0" w:color="auto" w:frame="1"/>
        </w:rPr>
        <w:t>A. thaliana</w:t>
      </w:r>
    </w:p>
    <w:p w14:paraId="4EF4DD65" w14:textId="77777777" w:rsidR="003A48AB" w:rsidRPr="003A48AB" w:rsidRDefault="003A48AB" w:rsidP="003A48AB">
      <w:pPr>
        <w:spacing w:after="160" w:line="360" w:lineRule="auto"/>
        <w:rPr>
          <w:rFonts w:ascii="Arial" w:eastAsia="Times New Roman" w:hAnsi="Arial" w:cs="Arial"/>
          <w:kern w:val="36"/>
          <w:lang w:eastAsia="ja-JP"/>
        </w:rPr>
      </w:pPr>
      <w:r w:rsidRPr="003A48AB">
        <w:rPr>
          <w:rFonts w:ascii="Arial" w:eastAsia="MS Mincho" w:hAnsi="Arial" w:cs="Arial"/>
          <w:bdr w:val="none" w:sz="0" w:space="0" w:color="auto" w:frame="1"/>
          <w:lang w:eastAsia="ja-JP"/>
        </w:rPr>
        <w:t xml:space="preserve">Plasmids were engineered using a combination of the Gateway Cloning System (Invitrogen, UK) and conventional cloning techniques typically with NEB (Hitchin, UK), Qiagen (North Manchester, UK), or Bioline (London, UK) reagents. Such techniques involved the ligation of blunt and or sticky ended inserts into plasmid backbones. Ligated products were transformed into either Bioline bronze Alpha-Select Bronze Efficiency or NEB® 10-beta Competent E. coli (High Efficiency) using the manufacturers protocols. Post-transformation and regeneration, colonies were grown on standard LB medium supplemented with antibiotic selection medium to </w:t>
      </w:r>
      <w:r w:rsidRPr="003A48AB">
        <w:rPr>
          <w:rFonts w:ascii="Arial" w:eastAsia="MS Mincho" w:hAnsi="Arial" w:cs="Arial"/>
          <w:bdr w:val="none" w:sz="0" w:space="0" w:color="auto" w:frame="1"/>
          <w:lang w:eastAsia="ja-JP"/>
        </w:rPr>
        <w:lastRenderedPageBreak/>
        <w:t>identify positive transformants. Transformed</w:t>
      </w:r>
      <w:r w:rsidRPr="003A48AB">
        <w:rPr>
          <w:rFonts w:ascii="Arial" w:eastAsia="MS Mincho" w:hAnsi="Arial" w:cs="Arial"/>
          <w:i/>
          <w:bdr w:val="none" w:sz="0" w:space="0" w:color="auto" w:frame="1"/>
          <w:lang w:eastAsia="ja-JP"/>
        </w:rPr>
        <w:t xml:space="preserve"> </w:t>
      </w:r>
      <w:r w:rsidRPr="003A48AB">
        <w:rPr>
          <w:rFonts w:ascii="Arial" w:eastAsia="MS Mincho" w:hAnsi="Arial" w:cs="Arial"/>
          <w:bdr w:val="none" w:sz="0" w:space="0" w:color="auto" w:frame="1"/>
          <w:lang w:eastAsia="ja-JP"/>
        </w:rPr>
        <w:t xml:space="preserve">colonies were then verified via colony PCR and plasmid amplification was subsequently performed on identified transformants using a Qiagen QIAprep Spin Miniprep Kit following the manufacturers protocol. The resulting isolated plasmids were then checked again via PCR and subsequently via sequencing to verify the correct cloning event. </w:t>
      </w:r>
      <w:r w:rsidRPr="003A48AB">
        <w:rPr>
          <w:rFonts w:ascii="Arial" w:eastAsia="Times New Roman" w:hAnsi="Arial" w:cs="Arial"/>
          <w:kern w:val="36"/>
          <w:lang w:eastAsia="ja-JP"/>
        </w:rPr>
        <w:t xml:space="preserve">Glyercol stocks were made from the remaining amplified </w:t>
      </w:r>
      <w:r w:rsidRPr="003A48AB">
        <w:rPr>
          <w:rFonts w:ascii="Arial" w:eastAsia="Times New Roman" w:hAnsi="Arial" w:cs="Arial"/>
          <w:i/>
          <w:kern w:val="36"/>
          <w:lang w:eastAsia="ja-JP"/>
        </w:rPr>
        <w:t>E. coli</w:t>
      </w:r>
      <w:r w:rsidRPr="003A48AB">
        <w:rPr>
          <w:rFonts w:ascii="Arial" w:eastAsia="Times New Roman" w:hAnsi="Arial" w:cs="Arial"/>
          <w:kern w:val="36"/>
          <w:lang w:eastAsia="ja-JP"/>
        </w:rPr>
        <w:t xml:space="preserve"> for long term storage at -80°C. </w:t>
      </w:r>
    </w:p>
    <w:p w14:paraId="22DE3CC4" w14:textId="77777777" w:rsidR="003A48AB" w:rsidRPr="003A48AB" w:rsidRDefault="003A48AB" w:rsidP="003A48AB">
      <w:pPr>
        <w:spacing w:after="160" w:line="360" w:lineRule="auto"/>
        <w:rPr>
          <w:rFonts w:ascii="Arial" w:eastAsia="Times New Roman" w:hAnsi="Arial" w:cs="Arial"/>
          <w:kern w:val="36"/>
          <w:lang w:eastAsia="ja-JP"/>
        </w:rPr>
      </w:pPr>
      <w:r w:rsidRPr="003A48AB">
        <w:rPr>
          <w:rFonts w:ascii="Arial" w:eastAsia="MS Mincho" w:hAnsi="Arial" w:cs="Arial"/>
          <w:u w:val="single"/>
          <w:bdr w:val="none" w:sz="0" w:space="0" w:color="auto" w:frame="1"/>
          <w:lang w:eastAsia="ja-JP"/>
        </w:rPr>
        <w:t xml:space="preserve">2.8.1 PCR Amplification of engineered plasmids to generate DNA for </w:t>
      </w:r>
      <w:r w:rsidRPr="003A48AB">
        <w:rPr>
          <w:rFonts w:ascii="Arial" w:eastAsia="MS Mincho" w:hAnsi="Arial" w:cs="Arial"/>
          <w:i/>
          <w:u w:val="single"/>
          <w:bdr w:val="none" w:sz="0" w:space="0" w:color="auto" w:frame="1"/>
          <w:lang w:eastAsia="ja-JP"/>
        </w:rPr>
        <w:t xml:space="preserve">P. patens </w:t>
      </w:r>
      <w:r w:rsidRPr="003A48AB">
        <w:rPr>
          <w:rFonts w:ascii="Arial" w:eastAsia="MS Mincho" w:hAnsi="Arial" w:cs="Arial"/>
          <w:u w:val="single"/>
          <w:bdr w:val="none" w:sz="0" w:space="0" w:color="auto" w:frame="1"/>
          <w:lang w:eastAsia="ja-JP"/>
        </w:rPr>
        <w:t>transformations</w:t>
      </w:r>
    </w:p>
    <w:p w14:paraId="42CDF336" w14:textId="4EA15379" w:rsidR="003A48AB" w:rsidRPr="003A48AB" w:rsidRDefault="003A48AB" w:rsidP="003A48AB">
      <w:pPr>
        <w:spacing w:after="160" w:line="360" w:lineRule="auto"/>
        <w:rPr>
          <w:rFonts w:ascii="Arial" w:eastAsia="Times New Roman" w:hAnsi="Arial" w:cs="Arial"/>
          <w:kern w:val="36"/>
          <w:lang w:eastAsia="ja-JP"/>
        </w:rPr>
      </w:pPr>
      <w:r w:rsidRPr="003A48AB">
        <w:rPr>
          <w:rFonts w:ascii="Arial" w:eastAsia="Times New Roman" w:hAnsi="Arial" w:cs="Arial"/>
          <w:kern w:val="36"/>
          <w:lang w:eastAsia="ja-JP"/>
        </w:rPr>
        <w:t xml:space="preserve">To obtain enough DNA for the transformation of moss </w:t>
      </w:r>
      <w:r w:rsidRPr="003A48AB">
        <w:rPr>
          <w:rFonts w:ascii="Arial" w:eastAsia="Times New Roman" w:hAnsi="Arial" w:cs="Arial"/>
          <w:kern w:val="36"/>
          <w:lang w:eastAsia="ja-JP"/>
        </w:rPr>
        <w:fldChar w:fldCharType="begin">
          <w:fldData xml:space="preserve">PEVuZE5vdGU+PENpdGU+PEF1dGhvcj5LYW1pc3VnaTwvQXV0aG9yPjxZZWFyPjIwMDY8L1llYXI+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</w:fldData>
        </w:fldChar>
      </w:r>
      <w:r w:rsidR="00417B1E">
        <w:rPr>
          <w:rFonts w:ascii="Arial" w:eastAsia="Times New Roman" w:hAnsi="Arial" w:cs="Arial"/>
          <w:kern w:val="36"/>
          <w:lang w:eastAsia="ja-JP"/>
        </w:rPr>
        <w:instrText xml:space="preserve"> ADDIN EN.CITE </w:instrText>
      </w:r>
      <w:r w:rsidR="00417B1E">
        <w:rPr>
          <w:rFonts w:ascii="Arial" w:eastAsia="Times New Roman" w:hAnsi="Arial" w:cs="Arial"/>
          <w:kern w:val="36"/>
          <w:lang w:eastAsia="ja-JP"/>
        </w:rPr>
        <w:fldChar w:fldCharType="begin">
          <w:fldData xml:space="preserve">PEVuZE5vdGU+PENpdGU+PEF1dGhvcj5LYW1pc3VnaTwvQXV0aG9yPjxZZWFyPjIwMDY8L1llYXI+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</w:fldData>
        </w:fldChar>
      </w:r>
      <w:r w:rsidR="00417B1E">
        <w:rPr>
          <w:rFonts w:ascii="Arial" w:eastAsia="Times New Roman" w:hAnsi="Arial" w:cs="Arial"/>
          <w:kern w:val="36"/>
          <w:lang w:eastAsia="ja-JP"/>
        </w:rPr>
        <w:instrText xml:space="preserve"> ADDIN EN.CITE.DATA </w:instrText>
      </w:r>
      <w:r w:rsidR="00417B1E">
        <w:rPr>
          <w:rFonts w:ascii="Arial" w:eastAsia="Times New Roman" w:hAnsi="Arial" w:cs="Arial"/>
          <w:kern w:val="36"/>
          <w:lang w:eastAsia="ja-JP"/>
        </w:rPr>
      </w:r>
      <w:r w:rsidR="00417B1E">
        <w:rPr>
          <w:rFonts w:ascii="Arial" w:eastAsia="Times New Roman" w:hAnsi="Arial" w:cs="Arial"/>
          <w:kern w:val="36"/>
          <w:lang w:eastAsia="ja-JP"/>
        </w:rPr>
        <w:fldChar w:fldCharType="end"/>
      </w:r>
      <w:r w:rsidRPr="003A48AB">
        <w:rPr>
          <w:rFonts w:ascii="Arial" w:eastAsia="Times New Roman" w:hAnsi="Arial" w:cs="Arial"/>
          <w:kern w:val="36"/>
          <w:lang w:eastAsia="ja-JP"/>
        </w:rPr>
      </w:r>
      <w:r w:rsidRPr="003A48AB">
        <w:rPr>
          <w:rFonts w:ascii="Arial" w:eastAsia="Times New Roman" w:hAnsi="Arial" w:cs="Arial"/>
          <w:kern w:val="36"/>
          <w:lang w:eastAsia="ja-JP"/>
        </w:rPr>
        <w:fldChar w:fldCharType="separate"/>
      </w:r>
      <w:r w:rsidRPr="003A48AB">
        <w:rPr>
          <w:rFonts w:ascii="Arial" w:eastAsia="Times New Roman" w:hAnsi="Arial" w:cs="Arial"/>
          <w:noProof/>
          <w:kern w:val="36"/>
          <w:lang w:eastAsia="ja-JP"/>
        </w:rPr>
        <w:t>(Kamisugi et al., 2006)</w:t>
      </w:r>
      <w:r w:rsidRPr="003A48AB">
        <w:rPr>
          <w:rFonts w:ascii="Arial" w:eastAsia="Times New Roman" w:hAnsi="Arial" w:cs="Arial"/>
          <w:kern w:val="36"/>
          <w:lang w:eastAsia="ja-JP"/>
        </w:rPr>
        <w:fldChar w:fldCharType="end"/>
      </w:r>
      <w:r w:rsidRPr="003A48AB">
        <w:rPr>
          <w:rFonts w:ascii="Arial" w:eastAsia="Times New Roman" w:hAnsi="Arial" w:cs="Arial"/>
          <w:kern w:val="36"/>
          <w:lang w:eastAsia="ja-JP"/>
        </w:rPr>
        <w:t xml:space="preserve">, genetically engineered plasmids (see sections 2.8.1, 2.8.3-8) were used as templates for PCR. To obtain high yields of DNA a number of primers pairs were first PCR tested on the engineered plasmid. For the test reactions the entire 50µl of the PCR reaction was loaded onto the gel to assess amplification efficiency of the targeted template and the presence of any secondary amplification. Typically, for one transformation, eight to ten PCR reactions using 32-37 PCR cycles were conducted with either Toyobo </w:t>
      </w:r>
      <w:r w:rsidRPr="003A48AB">
        <w:rPr>
          <w:rFonts w:ascii="Arial" w:eastAsia="MS Mincho" w:hAnsi="Arial" w:cs="Arial"/>
          <w:lang w:eastAsia="ja-JP"/>
        </w:rPr>
        <w:t>KOD Hot Start DNA Polymerase</w:t>
      </w:r>
      <w:r w:rsidRPr="003A48AB">
        <w:rPr>
          <w:rFonts w:ascii="Arial" w:eastAsia="MS Mincho" w:hAnsi="Arial" w:cs="Arial"/>
          <w:b/>
          <w:lang w:eastAsia="ja-JP"/>
        </w:rPr>
        <w:t xml:space="preserve"> </w:t>
      </w:r>
      <w:r w:rsidRPr="003A48AB">
        <w:rPr>
          <w:rFonts w:ascii="Arial" w:eastAsia="Times New Roman" w:hAnsi="Arial" w:cs="Arial"/>
          <w:kern w:val="36"/>
          <w:lang w:eastAsia="ja-JP"/>
        </w:rPr>
        <w:t xml:space="preserve">or </w:t>
      </w:r>
      <w:r w:rsidRPr="003A48AB">
        <w:rPr>
          <w:rFonts w:ascii="Arial" w:eastAsia="MS Mincho" w:hAnsi="Arial" w:cs="Arial"/>
          <w:lang w:eastAsia="ja-JP"/>
        </w:rPr>
        <w:t>OneTaq® Quick-Load® 2X Master Mix with Standard Buffer</w:t>
      </w:r>
      <w:r w:rsidRPr="003A48AB">
        <w:rPr>
          <w:rFonts w:ascii="Arial" w:eastAsia="Times New Roman" w:hAnsi="Arial" w:cs="Arial"/>
          <w:kern w:val="36"/>
          <w:lang w:eastAsia="ja-JP"/>
        </w:rPr>
        <w:t>. Each PCR reaction was then individually cleaned using Qiagen QIAquick PCR Purification Kit and eluted into 30µl elution buffer following the manufacturers recommended protocol. The elutions from the PCR reactions were then pooled and ethanol precipitated into a final volume of 30µl which was suspended in PCR grade DH</w:t>
      </w:r>
      <w:r w:rsidRPr="003A48AB">
        <w:rPr>
          <w:rFonts w:ascii="Arial" w:eastAsia="Times New Roman" w:hAnsi="Arial" w:cs="Arial"/>
          <w:kern w:val="36"/>
          <w:vertAlign w:val="subscript"/>
          <w:lang w:eastAsia="ja-JP"/>
        </w:rPr>
        <w:t>2</w:t>
      </w:r>
      <w:r w:rsidRPr="003A48AB">
        <w:rPr>
          <w:rFonts w:ascii="Arial" w:eastAsia="Times New Roman" w:hAnsi="Arial" w:cs="Arial"/>
          <w:kern w:val="36"/>
          <w:lang w:eastAsia="ja-JP"/>
        </w:rPr>
        <w:t>O. For each transformation event, 10-15µg of gel quantified high quality DNA suspended in 30µl PCR grade DH</w:t>
      </w:r>
      <w:r w:rsidRPr="003A48AB">
        <w:rPr>
          <w:rFonts w:ascii="Arial" w:eastAsia="Times New Roman" w:hAnsi="Arial" w:cs="Arial"/>
          <w:kern w:val="36"/>
          <w:vertAlign w:val="subscript"/>
          <w:lang w:eastAsia="ja-JP"/>
        </w:rPr>
        <w:t>2</w:t>
      </w:r>
      <w:r w:rsidRPr="003A48AB">
        <w:rPr>
          <w:rFonts w:ascii="Arial" w:eastAsia="Times New Roman" w:hAnsi="Arial" w:cs="Arial"/>
          <w:kern w:val="36"/>
          <w:lang w:eastAsia="ja-JP"/>
        </w:rPr>
        <w:t>O was used.</w:t>
      </w:r>
    </w:p>
    <w:p w14:paraId="71F82772" w14:textId="77777777" w:rsidR="003A48AB" w:rsidRPr="003A48AB" w:rsidRDefault="003A48AB" w:rsidP="003A48AB">
      <w:pPr>
        <w:tabs>
          <w:tab w:val="left" w:pos="2977"/>
        </w:tabs>
        <w:spacing w:after="160" w:line="360" w:lineRule="auto"/>
        <w:textAlignment w:val="baseline"/>
        <w:rPr>
          <w:rFonts w:ascii="Arial" w:eastAsia="Times New Roman" w:hAnsi="Arial" w:cs="Arial"/>
          <w:u w:val="single"/>
          <w:bdr w:val="none" w:sz="0" w:space="0" w:color="auto" w:frame="1"/>
        </w:rPr>
      </w:pPr>
      <w:r w:rsidRPr="003A48AB">
        <w:rPr>
          <w:rFonts w:ascii="Arial" w:eastAsia="Times New Roman" w:hAnsi="Arial" w:cs="Arial"/>
          <w:u w:val="single"/>
          <w:bdr w:val="none" w:sz="0" w:space="0" w:color="auto" w:frame="1"/>
        </w:rPr>
        <w:t>2.8.2 PpSMF1 and PpSMF2 cloning strategy</w:t>
      </w:r>
    </w:p>
    <w:p w14:paraId="580E2F88" w14:textId="2B54FF8C" w:rsidR="003A48AB" w:rsidRPr="003A48AB" w:rsidRDefault="003A48AB" w:rsidP="003A48AB">
      <w:pPr>
        <w:tabs>
          <w:tab w:val="left" w:pos="2977"/>
        </w:tabs>
        <w:spacing w:before="100" w:beforeAutospacing="1" w:after="160" w:line="360" w:lineRule="auto"/>
        <w:textAlignment w:val="baseline"/>
        <w:rPr>
          <w:rFonts w:ascii="Arial" w:eastAsia="Times New Roman" w:hAnsi="Arial" w:cs="Arial"/>
          <w:bdr w:val="none" w:sz="0" w:space="0" w:color="auto" w:frame="1"/>
        </w:rPr>
      </w:pPr>
      <w:r w:rsidRPr="003A48AB">
        <w:rPr>
          <w:rFonts w:ascii="Arial" w:eastAsia="Times New Roman" w:hAnsi="Arial" w:cs="Arial"/>
          <w:bdr w:val="none" w:sz="0" w:space="0" w:color="auto" w:frame="1"/>
        </w:rPr>
        <w:t xml:space="preserve">The following steps for the generation of </w:t>
      </w:r>
      <w:r w:rsidRPr="003A48AB">
        <w:rPr>
          <w:rFonts w:ascii="Arial" w:eastAsia="Times New Roman" w:hAnsi="Arial" w:cs="Arial"/>
          <w:i/>
          <w:bdr w:val="none" w:sz="0" w:space="0" w:color="auto" w:frame="1"/>
        </w:rPr>
        <w:t>PpSMF1</w:t>
      </w:r>
      <w:r w:rsidRPr="003A48AB">
        <w:rPr>
          <w:rFonts w:ascii="Arial" w:eastAsia="Times New Roman" w:hAnsi="Arial" w:cs="Arial"/>
          <w:bdr w:val="none" w:sz="0" w:space="0" w:color="auto" w:frame="1"/>
        </w:rPr>
        <w:t xml:space="preserve"> and </w:t>
      </w:r>
      <w:r w:rsidRPr="003A48AB">
        <w:rPr>
          <w:rFonts w:ascii="Arial" w:eastAsia="Times New Roman" w:hAnsi="Arial" w:cs="Arial"/>
          <w:i/>
          <w:bdr w:val="none" w:sz="0" w:space="0" w:color="auto" w:frame="1"/>
        </w:rPr>
        <w:t>PpSMF2</w:t>
      </w:r>
      <w:r w:rsidRPr="003A48AB">
        <w:rPr>
          <w:rFonts w:ascii="Arial" w:eastAsia="Times New Roman" w:hAnsi="Arial" w:cs="Arial"/>
          <w:bdr w:val="none" w:sz="0" w:space="0" w:color="auto" w:frame="1"/>
        </w:rPr>
        <w:t xml:space="preserve"> knock-out (KO) constructs were conducted by Dr Caspar Chater at the University of Sheffield and Dr Yasuko Kamisugi at the University of Leeds. To create the </w:t>
      </w:r>
      <w:r w:rsidRPr="003A48AB">
        <w:rPr>
          <w:rFonts w:ascii="Arial" w:eastAsia="Times New Roman" w:hAnsi="Arial" w:cs="Arial"/>
          <w:i/>
          <w:bdr w:val="none" w:sz="0" w:space="0" w:color="auto" w:frame="1"/>
        </w:rPr>
        <w:t>PpSMF1</w:t>
      </w:r>
      <w:r w:rsidRPr="003A48AB">
        <w:rPr>
          <w:rFonts w:ascii="Arial" w:eastAsia="Times New Roman" w:hAnsi="Arial" w:cs="Arial"/>
          <w:bdr w:val="none" w:sz="0" w:space="0" w:color="auto" w:frame="1"/>
        </w:rPr>
        <w:t xml:space="preserve"> and </w:t>
      </w:r>
      <w:r w:rsidRPr="003A48AB">
        <w:rPr>
          <w:rFonts w:ascii="Arial" w:eastAsia="Times New Roman" w:hAnsi="Arial" w:cs="Arial"/>
          <w:i/>
          <w:bdr w:val="none" w:sz="0" w:space="0" w:color="auto" w:frame="1"/>
        </w:rPr>
        <w:t>PpSMF2</w:t>
      </w:r>
      <w:r w:rsidRPr="003A48AB">
        <w:rPr>
          <w:rFonts w:ascii="Arial" w:eastAsia="Times New Roman" w:hAnsi="Arial" w:cs="Arial"/>
          <w:bdr w:val="none" w:sz="0" w:space="0" w:color="auto" w:frame="1"/>
        </w:rPr>
        <w:t xml:space="preserve"> KO constructs for gene targeting, sequences flanking the 5′ and 3′ ends of the </w:t>
      </w:r>
      <w:r w:rsidRPr="003A48AB">
        <w:rPr>
          <w:rFonts w:ascii="Arial" w:eastAsia="Times New Roman" w:hAnsi="Arial" w:cs="Arial"/>
          <w:i/>
          <w:bdr w:val="none" w:sz="0" w:space="0" w:color="auto" w:frame="1"/>
        </w:rPr>
        <w:t>PpSMF1</w:t>
      </w:r>
      <w:r w:rsidRPr="003A48AB">
        <w:rPr>
          <w:rFonts w:ascii="Arial" w:eastAsia="Times New Roman" w:hAnsi="Arial" w:cs="Arial"/>
          <w:bdr w:val="none" w:sz="0" w:space="0" w:color="auto" w:frame="1"/>
        </w:rPr>
        <w:t xml:space="preserve"> and </w:t>
      </w:r>
      <w:r w:rsidRPr="003A48AB">
        <w:rPr>
          <w:rFonts w:ascii="Arial" w:eastAsia="Times New Roman" w:hAnsi="Arial" w:cs="Arial"/>
          <w:i/>
          <w:bdr w:val="none" w:sz="0" w:space="0" w:color="auto" w:frame="1"/>
        </w:rPr>
        <w:t>PpSMF2</w:t>
      </w:r>
      <w:r w:rsidRPr="003A48AB">
        <w:rPr>
          <w:rFonts w:ascii="Arial" w:eastAsia="Times New Roman" w:hAnsi="Arial" w:cs="Arial"/>
          <w:bdr w:val="none" w:sz="0" w:space="0" w:color="auto" w:frame="1"/>
        </w:rPr>
        <w:t xml:space="preserve"> CDS were amplified by PCR from genomic DNA (see section 2.6) using the primers in Primer table1. The 3’ fragments were cloned into pENTR/D-TOPO (Invitrogen). The left borders </w:t>
      </w:r>
      <w:r w:rsidR="00DF79C2">
        <w:rPr>
          <w:rFonts w:ascii="Arial" w:eastAsia="Times New Roman" w:hAnsi="Arial" w:cs="Arial"/>
          <w:bdr w:val="none" w:sz="0" w:space="0" w:color="auto" w:frame="1"/>
        </w:rPr>
        <w:t xml:space="preserve">(5’ end fragment) was </w:t>
      </w:r>
      <w:r w:rsidRPr="003A48AB">
        <w:rPr>
          <w:rFonts w:ascii="Arial" w:eastAsia="Times New Roman" w:hAnsi="Arial" w:cs="Arial"/>
          <w:bdr w:val="none" w:sz="0" w:space="0" w:color="auto" w:frame="1"/>
        </w:rPr>
        <w:t xml:space="preserve">inserted into a NotI site immediately preceding the corresponding right borders. The left and right border cassettes were transferred into an AscI site in the pARLAK vector and a HygR selection cassette taken from pMBLH9a vector was then inserted into the NotI </w:t>
      </w:r>
      <w:r w:rsidRPr="003A48AB">
        <w:rPr>
          <w:rFonts w:ascii="Arial" w:eastAsia="Times New Roman" w:hAnsi="Arial" w:cs="Arial"/>
          <w:bdr w:val="none" w:sz="0" w:space="0" w:color="auto" w:frame="1"/>
        </w:rPr>
        <w:lastRenderedPageBreak/>
        <w:t xml:space="preserve">site of pARLAK between the left and right border. The knock-out construct was then amplified by PCR and used to transform </w:t>
      </w:r>
      <w:r w:rsidRPr="003A48AB">
        <w:rPr>
          <w:rFonts w:ascii="Arial" w:eastAsia="Times New Roman" w:hAnsi="Arial" w:cs="Arial"/>
          <w:i/>
          <w:bdr w:val="none" w:sz="0" w:space="0" w:color="auto" w:frame="1"/>
        </w:rPr>
        <w:t>P. patens</w:t>
      </w:r>
      <w:r w:rsidRPr="003A48AB">
        <w:rPr>
          <w:rFonts w:ascii="Arial" w:eastAsia="Times New Roman" w:hAnsi="Arial" w:cs="Arial"/>
          <w:bdr w:val="none" w:sz="0" w:space="0" w:color="auto" w:frame="1"/>
        </w:rPr>
        <w:t xml:space="preserve"> (see section 2.8.1).</w:t>
      </w:r>
    </w:p>
    <w:p w14:paraId="33425CA2" w14:textId="77777777" w:rsidR="003A48AB" w:rsidRPr="003A48AB" w:rsidRDefault="003A48AB" w:rsidP="003A48AB">
      <w:pPr>
        <w:tabs>
          <w:tab w:val="left" w:pos="2977"/>
        </w:tabs>
        <w:spacing w:after="160" w:line="360" w:lineRule="auto"/>
        <w:textAlignment w:val="baseline"/>
        <w:rPr>
          <w:rFonts w:ascii="Arial" w:eastAsia="Times New Roman" w:hAnsi="Arial" w:cs="Arial"/>
          <w:u w:val="single"/>
          <w:bdr w:val="none" w:sz="0" w:space="0" w:color="auto" w:frame="1"/>
        </w:rPr>
      </w:pPr>
      <w:r w:rsidRPr="003A48AB">
        <w:rPr>
          <w:rFonts w:ascii="Arial" w:eastAsia="Times New Roman" w:hAnsi="Arial" w:cs="Arial"/>
          <w:u w:val="single"/>
          <w:bdr w:val="none" w:sz="0" w:space="0" w:color="auto" w:frame="1"/>
        </w:rPr>
        <w:t>2.8.3 PpSCRM1 cloning strategy</w:t>
      </w:r>
    </w:p>
    <w:p w14:paraId="13E87FBB" w14:textId="77777777" w:rsidR="003A48AB" w:rsidRPr="003A48AB" w:rsidRDefault="003A48AB" w:rsidP="003A48AB">
      <w:pPr>
        <w:tabs>
          <w:tab w:val="left" w:pos="2977"/>
        </w:tabs>
        <w:spacing w:before="100" w:beforeAutospacing="1" w:after="160" w:line="360" w:lineRule="auto"/>
        <w:textAlignment w:val="baseline"/>
        <w:rPr>
          <w:rFonts w:ascii="Arial" w:eastAsia="Times New Roman" w:hAnsi="Arial" w:cs="Arial"/>
          <w:bdr w:val="none" w:sz="0" w:space="0" w:color="auto" w:frame="1"/>
        </w:rPr>
      </w:pPr>
      <w:r w:rsidRPr="003A48AB">
        <w:rPr>
          <w:rFonts w:ascii="Arial" w:eastAsia="Times New Roman" w:hAnsi="Arial" w:cs="Arial"/>
          <w:bdr w:val="none" w:sz="0" w:space="0" w:color="auto" w:frame="1"/>
        </w:rPr>
        <w:t xml:space="preserve">The following steps for the generation of the </w:t>
      </w:r>
      <w:r w:rsidRPr="003A48AB">
        <w:rPr>
          <w:rFonts w:ascii="Arial" w:eastAsia="Times New Roman" w:hAnsi="Arial" w:cs="Arial"/>
          <w:i/>
          <w:bdr w:val="none" w:sz="0" w:space="0" w:color="auto" w:frame="1"/>
        </w:rPr>
        <w:t>PpSCRM1</w:t>
      </w:r>
      <w:r w:rsidRPr="003A48AB">
        <w:rPr>
          <w:rFonts w:ascii="Arial" w:eastAsia="Times New Roman" w:hAnsi="Arial" w:cs="Arial"/>
          <w:bdr w:val="none" w:sz="0" w:space="0" w:color="auto" w:frame="1"/>
        </w:rPr>
        <w:t xml:space="preserve"> KO construct were performed by Dr Marta Tomek at the University of Freiburg. Initially, a 1,365 bp fragment of the </w:t>
      </w:r>
      <w:r w:rsidRPr="003A48AB">
        <w:rPr>
          <w:rFonts w:ascii="Arial" w:eastAsia="Times New Roman" w:hAnsi="Arial" w:cs="Arial"/>
          <w:i/>
          <w:bdr w:val="none" w:sz="0" w:space="0" w:color="auto" w:frame="1"/>
        </w:rPr>
        <w:t>PpSCRM1</w:t>
      </w:r>
      <w:r w:rsidRPr="003A48AB">
        <w:rPr>
          <w:rFonts w:ascii="Arial" w:eastAsia="Times New Roman" w:hAnsi="Arial" w:cs="Arial"/>
          <w:bdr w:val="none" w:sz="0" w:space="0" w:color="auto" w:frame="1"/>
        </w:rPr>
        <w:t xml:space="preserve"> gene was PCR-amplified using genomic DNA with primers that introduced EcoRI sites to the ends of the PCR product listed in Primer table 1. The PCR fragment was cloned into the plasmid pJet1.2 (Thermo Fisher, UK) and then an nptII selection cassette was inserted via unique restriction sites for HincII and BcuI, respectively. Before moss transformation the KO construct was released from the vector backbone via EcoRI digest. The knock-out construct was then amplified by PCR and used to transform </w:t>
      </w:r>
      <w:r w:rsidRPr="003A48AB">
        <w:rPr>
          <w:rFonts w:ascii="Arial" w:eastAsia="Times New Roman" w:hAnsi="Arial" w:cs="Arial"/>
          <w:i/>
          <w:bdr w:val="none" w:sz="0" w:space="0" w:color="auto" w:frame="1"/>
        </w:rPr>
        <w:t>P. patens</w:t>
      </w:r>
      <w:r w:rsidRPr="003A48AB">
        <w:rPr>
          <w:rFonts w:ascii="Arial" w:eastAsia="Times New Roman" w:hAnsi="Arial" w:cs="Arial"/>
          <w:bdr w:val="none" w:sz="0" w:space="0" w:color="auto" w:frame="1"/>
        </w:rPr>
        <w:t>.</w:t>
      </w:r>
    </w:p>
    <w:p w14:paraId="5978EA58" w14:textId="77777777" w:rsidR="003A48AB" w:rsidRPr="003A48AB" w:rsidRDefault="003A48AB" w:rsidP="003A48AB">
      <w:pPr>
        <w:tabs>
          <w:tab w:val="left" w:pos="2977"/>
        </w:tabs>
        <w:spacing w:after="160" w:line="360" w:lineRule="auto"/>
        <w:textAlignment w:val="baseline"/>
        <w:rPr>
          <w:rFonts w:ascii="Arial" w:eastAsia="Times New Roman" w:hAnsi="Arial" w:cs="Arial"/>
          <w:u w:val="single"/>
          <w:bdr w:val="none" w:sz="0" w:space="0" w:color="auto" w:frame="1"/>
        </w:rPr>
      </w:pPr>
      <w:r w:rsidRPr="003A48AB">
        <w:rPr>
          <w:rFonts w:ascii="Arial" w:eastAsia="Times New Roman" w:hAnsi="Arial" w:cs="Arial"/>
          <w:u w:val="single"/>
          <w:bdr w:val="none" w:sz="0" w:space="0" w:color="auto" w:frame="1"/>
        </w:rPr>
        <w:t>2.8.4 PpEPF1 cloning strategy</w:t>
      </w:r>
    </w:p>
    <w:p w14:paraId="0EC321C4" w14:textId="77777777" w:rsidR="003A48AB" w:rsidRPr="003A48AB" w:rsidRDefault="003A48AB" w:rsidP="003A48AB">
      <w:pPr>
        <w:tabs>
          <w:tab w:val="left" w:pos="2977"/>
        </w:tabs>
        <w:spacing w:after="160" w:line="360" w:lineRule="auto"/>
        <w:textAlignment w:val="baseline"/>
        <w:rPr>
          <w:rFonts w:ascii="Arial" w:eastAsia="Times New Roman" w:hAnsi="Arial" w:cs="Arial"/>
          <w:b/>
          <w:u w:val="single"/>
          <w:bdr w:val="none" w:sz="0" w:space="0" w:color="auto" w:frame="1"/>
        </w:rPr>
      </w:pPr>
      <w:r w:rsidRPr="003A48AB">
        <w:rPr>
          <w:rFonts w:ascii="Arial" w:eastAsia="Times New Roman" w:hAnsi="Arial" w:cs="Arial"/>
          <w:bdr w:val="none" w:sz="0" w:space="0" w:color="auto" w:frame="1"/>
        </w:rPr>
        <w:t xml:space="preserve">The following steps for the generation of </w:t>
      </w:r>
      <w:r w:rsidRPr="003A48AB">
        <w:rPr>
          <w:rFonts w:ascii="Arial" w:eastAsia="Times New Roman" w:hAnsi="Arial" w:cs="Arial"/>
          <w:i/>
          <w:bdr w:val="none" w:sz="0" w:space="0" w:color="auto" w:frame="1"/>
        </w:rPr>
        <w:t>PpEPF1</w:t>
      </w:r>
      <w:r w:rsidRPr="003A48AB">
        <w:rPr>
          <w:rFonts w:ascii="Arial" w:eastAsia="Times New Roman" w:hAnsi="Arial" w:cs="Arial"/>
          <w:bdr w:val="none" w:sz="0" w:space="0" w:color="auto" w:frame="1"/>
        </w:rPr>
        <w:t xml:space="preserve"> KO construct were conducted by Dr Caspar Chater based at the University of Sheffield. To produce targeted insertions at the</w:t>
      </w:r>
      <w:r w:rsidRPr="003A48AB">
        <w:rPr>
          <w:rFonts w:ascii="Arial" w:eastAsia="Times New Roman" w:hAnsi="Arial" w:cs="Arial"/>
          <w:i/>
          <w:bdr w:val="none" w:sz="0" w:space="0" w:color="auto" w:frame="1"/>
        </w:rPr>
        <w:t xml:space="preserve"> PpEPF1</w:t>
      </w:r>
      <w:r w:rsidRPr="003A48AB">
        <w:rPr>
          <w:rFonts w:ascii="Arial" w:eastAsia="Times New Roman" w:hAnsi="Arial" w:cs="Arial"/>
          <w:bdr w:val="none" w:sz="0" w:space="0" w:color="auto" w:frame="1"/>
        </w:rPr>
        <w:t xml:space="preserve"> locus in </w:t>
      </w:r>
      <w:r w:rsidRPr="003A48AB">
        <w:rPr>
          <w:rFonts w:ascii="Arial" w:eastAsia="Times New Roman" w:hAnsi="Arial" w:cs="Arial"/>
          <w:i/>
          <w:bdr w:val="none" w:sz="0" w:space="0" w:color="auto" w:frame="1"/>
        </w:rPr>
        <w:t>P. patens</w:t>
      </w:r>
      <w:r w:rsidRPr="003A48AB">
        <w:rPr>
          <w:rFonts w:ascii="Arial" w:eastAsia="Times New Roman" w:hAnsi="Arial" w:cs="Arial"/>
          <w:bdr w:val="none" w:sz="0" w:space="0" w:color="auto" w:frame="1"/>
        </w:rPr>
        <w:t xml:space="preserve">, the </w:t>
      </w:r>
      <w:r w:rsidRPr="003A48AB">
        <w:rPr>
          <w:rFonts w:ascii="Arial" w:eastAsia="Times New Roman" w:hAnsi="Arial" w:cs="Arial"/>
          <w:i/>
          <w:bdr w:val="none" w:sz="0" w:space="0" w:color="auto" w:frame="1"/>
        </w:rPr>
        <w:t xml:space="preserve">PpEPF1 </w:t>
      </w:r>
      <w:r w:rsidRPr="003A48AB">
        <w:rPr>
          <w:rFonts w:ascii="Arial" w:eastAsia="Times New Roman" w:hAnsi="Arial" w:cs="Arial"/>
          <w:bdr w:val="none" w:sz="0" w:space="0" w:color="auto" w:frame="1"/>
        </w:rPr>
        <w:t xml:space="preserve">locus together with 5’ and 3’ flanking regions was first amplified with Genomic DNA (see section 2.6) using primers in Primer table 1. The pKS Eco plasmid (a pBluescript derivative) was then digested using ECORV and the amplified </w:t>
      </w:r>
      <w:r w:rsidRPr="003A48AB">
        <w:rPr>
          <w:rFonts w:ascii="Arial" w:eastAsia="Times New Roman" w:hAnsi="Arial" w:cs="Arial"/>
          <w:i/>
          <w:bdr w:val="none" w:sz="0" w:space="0" w:color="auto" w:frame="1"/>
        </w:rPr>
        <w:t xml:space="preserve">PpEPF1 </w:t>
      </w:r>
      <w:r w:rsidRPr="003A48AB">
        <w:rPr>
          <w:rFonts w:ascii="Arial" w:eastAsia="Times New Roman" w:hAnsi="Arial" w:cs="Arial"/>
          <w:bdr w:val="none" w:sz="0" w:space="0" w:color="auto" w:frame="1"/>
        </w:rPr>
        <w:t xml:space="preserve">sequence together with flanking regions was blunt-end ligated in using DNA ligase. The pKS Eco::PpEPF1 plasmid was then digested with BsoBI and treated with DNA Polymerase I to produce blunt ends. A hygromycin selection cassette was obtained by cutting the pMBLH6bI vector (produced at the University of Leeds) with ECORV, which was then ligated between the </w:t>
      </w:r>
      <w:r w:rsidRPr="003A48AB">
        <w:rPr>
          <w:rFonts w:ascii="Arial" w:eastAsia="Times New Roman" w:hAnsi="Arial" w:cs="Arial"/>
          <w:i/>
          <w:bdr w:val="none" w:sz="0" w:space="0" w:color="auto" w:frame="1"/>
        </w:rPr>
        <w:t>PpEPF1</w:t>
      </w:r>
      <w:r w:rsidRPr="003A48AB">
        <w:rPr>
          <w:rFonts w:ascii="Arial" w:eastAsia="Times New Roman" w:hAnsi="Arial" w:cs="Arial"/>
          <w:bdr w:val="none" w:sz="0" w:space="0" w:color="auto" w:frame="1"/>
        </w:rPr>
        <w:t xml:space="preserve"> 5’ and 3’ flanking regions of the linearised pKS eco::PpEPF1 plasmid to produce a pKS ECO::PpEPF::HPH. The plasmid template was then used to generate the knock-out construct template via PCR (see section 2.8.1) using the primers set out in Table 1. </w:t>
      </w:r>
    </w:p>
    <w:p w14:paraId="6EF30FFA" w14:textId="77777777" w:rsidR="003A48AB" w:rsidRPr="003A48AB" w:rsidRDefault="003A48AB" w:rsidP="003A48AB">
      <w:pPr>
        <w:tabs>
          <w:tab w:val="left" w:pos="2977"/>
        </w:tabs>
        <w:spacing w:after="160" w:line="360" w:lineRule="auto"/>
        <w:textAlignment w:val="baseline"/>
        <w:rPr>
          <w:rFonts w:ascii="Arial" w:eastAsia="Times New Roman" w:hAnsi="Arial" w:cs="Arial"/>
          <w:u w:val="single"/>
          <w:bdr w:val="none" w:sz="0" w:space="0" w:color="auto" w:frame="1"/>
        </w:rPr>
      </w:pPr>
      <w:r w:rsidRPr="003A48AB">
        <w:rPr>
          <w:rFonts w:ascii="Arial" w:eastAsia="Times New Roman" w:hAnsi="Arial" w:cs="Arial"/>
          <w:u w:val="single"/>
          <w:bdr w:val="none" w:sz="0" w:space="0" w:color="auto" w:frame="1"/>
        </w:rPr>
        <w:t>2.8.5 PpTMM and PpERECTA1 cloning strategies</w:t>
      </w:r>
    </w:p>
    <w:p w14:paraId="7DB8D75D" w14:textId="77777777" w:rsidR="003A48AB" w:rsidRPr="003A48AB" w:rsidRDefault="003A48AB" w:rsidP="003A48AB">
      <w:pPr>
        <w:tabs>
          <w:tab w:val="left" w:pos="2977"/>
        </w:tabs>
        <w:spacing w:after="160" w:line="360" w:lineRule="auto"/>
        <w:textAlignment w:val="baseline"/>
        <w:rPr>
          <w:rFonts w:ascii="Arial" w:eastAsia="Times New Roman" w:hAnsi="Arial" w:cs="Arial"/>
          <w:bdr w:val="none" w:sz="0" w:space="0" w:color="auto" w:frame="1"/>
        </w:rPr>
      </w:pPr>
      <w:r w:rsidRPr="003A48AB">
        <w:rPr>
          <w:rFonts w:ascii="Arial" w:eastAsia="Times New Roman" w:hAnsi="Arial" w:cs="Arial"/>
          <w:bdr w:val="none" w:sz="0" w:space="0" w:color="auto" w:frame="1"/>
        </w:rPr>
        <w:t xml:space="preserve">The </w:t>
      </w:r>
      <w:r w:rsidRPr="003A48AB">
        <w:rPr>
          <w:rFonts w:ascii="Arial" w:eastAsia="Times New Roman" w:hAnsi="Arial" w:cs="Arial"/>
          <w:i/>
          <w:bdr w:val="none" w:sz="0" w:space="0" w:color="auto" w:frame="1"/>
        </w:rPr>
        <w:t>PpTMM</w:t>
      </w:r>
      <w:r w:rsidRPr="003A48AB">
        <w:rPr>
          <w:rFonts w:ascii="Arial" w:eastAsia="Times New Roman" w:hAnsi="Arial" w:cs="Arial"/>
          <w:bdr w:val="none" w:sz="0" w:space="0" w:color="auto" w:frame="1"/>
        </w:rPr>
        <w:t xml:space="preserve"> KO construct</w:t>
      </w:r>
      <w:r w:rsidRPr="003A48AB">
        <w:rPr>
          <w:rFonts w:ascii="Arial" w:eastAsia="Times New Roman" w:hAnsi="Arial" w:cs="Arial"/>
          <w:i/>
          <w:bdr w:val="none" w:sz="0" w:space="0" w:color="auto" w:frame="1"/>
        </w:rPr>
        <w:t xml:space="preserve"> </w:t>
      </w:r>
      <w:r w:rsidRPr="003A48AB">
        <w:rPr>
          <w:rFonts w:ascii="Arial" w:eastAsia="Times New Roman" w:hAnsi="Arial" w:cs="Arial"/>
          <w:bdr w:val="none" w:sz="0" w:space="0" w:color="auto" w:frame="1"/>
        </w:rPr>
        <w:t xml:space="preserve">was produced by Dr Yasuko Kamisugi at the University of Leeds following the below described methods. The </w:t>
      </w:r>
      <w:r w:rsidRPr="003A48AB">
        <w:rPr>
          <w:rFonts w:ascii="Arial" w:eastAsia="Times New Roman" w:hAnsi="Arial" w:cs="Arial"/>
          <w:i/>
          <w:bdr w:val="none" w:sz="0" w:space="0" w:color="auto" w:frame="1"/>
        </w:rPr>
        <w:t>PpERECTA1</w:t>
      </w:r>
      <w:r w:rsidRPr="003A48AB">
        <w:rPr>
          <w:rFonts w:ascii="Arial" w:eastAsia="Times New Roman" w:hAnsi="Arial" w:cs="Arial"/>
          <w:bdr w:val="none" w:sz="0" w:space="0" w:color="auto" w:frame="1"/>
        </w:rPr>
        <w:t xml:space="preserve"> KO construct was produced by myself at the University of Sheffield. The cloning procedure for both KO constructs was the same. Firstly, genomic DNA sequences flanking the genes at both the 5’ and 3’ were first amplified using primers set out in Primer table 1. A pMBL5DLdelSN vector (a pMBL5 derivative produced at the University of </w:t>
      </w:r>
      <w:r w:rsidRPr="003A48AB">
        <w:rPr>
          <w:rFonts w:ascii="Arial" w:eastAsia="Times New Roman" w:hAnsi="Arial" w:cs="Arial"/>
          <w:bdr w:val="none" w:sz="0" w:space="0" w:color="auto" w:frame="1"/>
        </w:rPr>
        <w:lastRenderedPageBreak/>
        <w:t xml:space="preserve">Leeds) was digested using Ecl136II and the 5’ flanking DNA sequences of above specified genes were blunt end ligated into individual vector backbones. The resulting plasmids were then digested with EcoRV and the 3’ flanking sequences of the genes were blunt end ligated into the corresponding 5’ integrated plasmid. The knock-out construct templates of </w:t>
      </w:r>
      <w:r w:rsidRPr="003A48AB">
        <w:rPr>
          <w:rFonts w:ascii="Arial" w:eastAsia="Times New Roman" w:hAnsi="Arial" w:cs="Arial"/>
          <w:i/>
          <w:bdr w:val="none" w:sz="0" w:space="0" w:color="auto" w:frame="1"/>
        </w:rPr>
        <w:t xml:space="preserve">PpTMM </w:t>
      </w:r>
      <w:r w:rsidRPr="003A48AB">
        <w:rPr>
          <w:rFonts w:ascii="Arial" w:eastAsia="Times New Roman" w:hAnsi="Arial" w:cs="Arial"/>
          <w:bdr w:val="none" w:sz="0" w:space="0" w:color="auto" w:frame="1"/>
        </w:rPr>
        <w:t xml:space="preserve">and </w:t>
      </w:r>
      <w:r w:rsidRPr="003A48AB">
        <w:rPr>
          <w:rFonts w:ascii="Arial" w:eastAsia="Times New Roman" w:hAnsi="Arial" w:cs="Arial"/>
          <w:i/>
          <w:bdr w:val="none" w:sz="0" w:space="0" w:color="auto" w:frame="1"/>
        </w:rPr>
        <w:t>PpERECTA</w:t>
      </w:r>
      <w:r w:rsidRPr="003A48AB">
        <w:rPr>
          <w:rFonts w:ascii="Arial" w:eastAsia="Times New Roman" w:hAnsi="Arial" w:cs="Arial"/>
          <w:bdr w:val="none" w:sz="0" w:space="0" w:color="auto" w:frame="1"/>
        </w:rPr>
        <w:t xml:space="preserve"> were then amplified via PCR (see section 2.8.1) using the primers set out in Table 1.</w:t>
      </w:r>
    </w:p>
    <w:p w14:paraId="372AFA34" w14:textId="77777777" w:rsidR="003A48AB" w:rsidRPr="003A48AB" w:rsidRDefault="003A48AB" w:rsidP="003A48AB">
      <w:pPr>
        <w:tabs>
          <w:tab w:val="left" w:pos="2977"/>
        </w:tabs>
        <w:spacing w:after="160" w:line="360" w:lineRule="auto"/>
        <w:textAlignment w:val="baseline"/>
        <w:rPr>
          <w:rFonts w:ascii="Arial" w:eastAsia="Times New Roman" w:hAnsi="Arial" w:cs="Arial"/>
          <w:u w:val="single"/>
          <w:bdr w:val="none" w:sz="0" w:space="0" w:color="auto" w:frame="1"/>
        </w:rPr>
      </w:pPr>
      <w:r w:rsidRPr="003A48AB">
        <w:rPr>
          <w:rFonts w:ascii="Arial" w:eastAsia="Times New Roman" w:hAnsi="Arial" w:cs="Arial"/>
          <w:u w:val="single"/>
          <w:bdr w:val="none" w:sz="0" w:space="0" w:color="auto" w:frame="1"/>
        </w:rPr>
        <w:t>2.8.6 Production of double KO lines</w:t>
      </w:r>
    </w:p>
    <w:p w14:paraId="06CD7AA1" w14:textId="77777777" w:rsidR="003A48AB" w:rsidRPr="003A48AB" w:rsidRDefault="003A48AB" w:rsidP="003A48AB">
      <w:pPr>
        <w:tabs>
          <w:tab w:val="left" w:pos="2977"/>
        </w:tabs>
        <w:spacing w:after="160" w:line="360" w:lineRule="auto"/>
        <w:textAlignment w:val="baseline"/>
        <w:rPr>
          <w:rFonts w:ascii="Arial" w:eastAsia="Times New Roman" w:hAnsi="Arial" w:cs="Arial"/>
          <w:bdr w:val="none" w:sz="0" w:space="0" w:color="auto" w:frame="1"/>
        </w:rPr>
      </w:pPr>
      <w:r w:rsidRPr="003A48AB">
        <w:rPr>
          <w:rFonts w:ascii="Arial" w:eastAsia="Times New Roman" w:hAnsi="Arial" w:cs="Arial"/>
          <w:bdr w:val="none" w:sz="0" w:space="0" w:color="auto" w:frame="1"/>
        </w:rPr>
        <w:t xml:space="preserve">To generate double mutants in the </w:t>
      </w:r>
      <w:r w:rsidRPr="003A48AB">
        <w:rPr>
          <w:rFonts w:ascii="Arial" w:eastAsia="Times New Roman" w:hAnsi="Arial" w:cs="Arial"/>
          <w:i/>
          <w:bdr w:val="none" w:sz="0" w:space="0" w:color="auto" w:frame="1"/>
        </w:rPr>
        <w:t xml:space="preserve">pptmm-1 </w:t>
      </w:r>
      <w:r w:rsidRPr="003A48AB">
        <w:rPr>
          <w:rFonts w:ascii="Arial" w:eastAsia="Times New Roman" w:hAnsi="Arial" w:cs="Arial"/>
          <w:bdr w:val="none" w:sz="0" w:space="0" w:color="auto" w:frame="1"/>
        </w:rPr>
        <w:t xml:space="preserve">background two strategies were used. For the interruption of the </w:t>
      </w:r>
      <w:r w:rsidRPr="003A48AB">
        <w:rPr>
          <w:rFonts w:ascii="Arial" w:eastAsia="Times New Roman" w:hAnsi="Arial" w:cs="Arial"/>
          <w:i/>
          <w:bdr w:val="none" w:sz="0" w:space="0" w:color="auto" w:frame="1"/>
        </w:rPr>
        <w:t xml:space="preserve">PpEPF1 </w:t>
      </w:r>
      <w:r w:rsidRPr="003A48AB">
        <w:rPr>
          <w:rFonts w:ascii="Arial" w:eastAsia="Times New Roman" w:hAnsi="Arial" w:cs="Arial"/>
          <w:bdr w:val="none" w:sz="0" w:space="0" w:color="auto" w:frame="1"/>
        </w:rPr>
        <w:t xml:space="preserve">locus, the pKS ECO::PpEPF::HPH template (see section 2.8.4) was used to amplify the knockout construct using primers the PpEPF1 KO CONSTRUCT F and R primers set out in Table 1. For targeting to the </w:t>
      </w:r>
      <w:r w:rsidRPr="003A48AB">
        <w:rPr>
          <w:rFonts w:ascii="Arial" w:eastAsia="Times New Roman" w:hAnsi="Arial" w:cs="Arial"/>
          <w:i/>
          <w:bdr w:val="none" w:sz="0" w:space="0" w:color="auto" w:frame="1"/>
        </w:rPr>
        <w:t xml:space="preserve">PpERECTA1 </w:t>
      </w:r>
      <w:r w:rsidRPr="003A48AB">
        <w:rPr>
          <w:rFonts w:ascii="Arial" w:eastAsia="Times New Roman" w:hAnsi="Arial" w:cs="Arial"/>
          <w:bdr w:val="none" w:sz="0" w:space="0" w:color="auto" w:frame="1"/>
        </w:rPr>
        <w:t xml:space="preserve">locus in </w:t>
      </w:r>
      <w:r w:rsidRPr="003A48AB">
        <w:rPr>
          <w:rFonts w:ascii="Arial" w:eastAsia="Times New Roman" w:hAnsi="Arial" w:cs="Arial"/>
          <w:i/>
          <w:bdr w:val="none" w:sz="0" w:space="0" w:color="auto" w:frame="1"/>
        </w:rPr>
        <w:t>pptmm-1</w:t>
      </w:r>
      <w:r w:rsidRPr="003A48AB">
        <w:rPr>
          <w:rFonts w:ascii="Arial" w:eastAsia="Times New Roman" w:hAnsi="Arial" w:cs="Arial"/>
          <w:bdr w:val="none" w:sz="0" w:space="0" w:color="auto" w:frame="1"/>
        </w:rPr>
        <w:t xml:space="preserve">, the NPTII resistance cassette was removed from the pMBL5DLdelSN::PpERECTA1::NPTII construct (see section 2.8.6) and replaced with a HPH cassette so that antibiotic selection could be undertaken on </w:t>
      </w:r>
      <w:r w:rsidRPr="003A48AB">
        <w:rPr>
          <w:rFonts w:ascii="Arial" w:eastAsia="Times New Roman" w:hAnsi="Arial" w:cs="Arial"/>
          <w:i/>
          <w:bdr w:val="none" w:sz="0" w:space="0" w:color="auto" w:frame="1"/>
        </w:rPr>
        <w:t xml:space="preserve">pptmm-1-erecta1 </w:t>
      </w:r>
      <w:r w:rsidRPr="003A48AB">
        <w:rPr>
          <w:rFonts w:ascii="Arial" w:eastAsia="Times New Roman" w:hAnsi="Arial" w:cs="Arial"/>
          <w:bdr w:val="none" w:sz="0" w:space="0" w:color="auto" w:frame="1"/>
        </w:rPr>
        <w:t xml:space="preserve">putative double KO mutants. To remove the NPTII cassette, the pMBL5DLdelSN::PpERECTA1::NPTII plasmid was first digested with KpnI and NsiI and the backbone was subsequently recovered via gel extraction using the Qiagen  QIAquick Gel Extraction Kit following the manufacturers protocol. The pKS ECO::PpEPF::HPH vector was then digested with the same enzymes and subsequently recovered using the same gel extraction technique. The recovered backbone and plasmid were then ligated to produce the pMBL5DLdelSN::PpERECTA1::HPH vector. Using the PpERECTA1 KO CONSTRUCT F and R primers (Primer table 1) this newly constructed vector was used to produce the </w:t>
      </w:r>
      <w:r w:rsidRPr="003A48AB">
        <w:rPr>
          <w:rFonts w:ascii="Arial" w:eastAsia="Times New Roman" w:hAnsi="Arial" w:cs="Arial"/>
          <w:i/>
          <w:bdr w:val="none" w:sz="0" w:space="0" w:color="auto" w:frame="1"/>
        </w:rPr>
        <w:t xml:space="preserve">PpERECTA1 </w:t>
      </w:r>
      <w:r w:rsidRPr="003A48AB">
        <w:rPr>
          <w:rFonts w:ascii="Arial" w:eastAsia="Times New Roman" w:hAnsi="Arial" w:cs="Arial"/>
          <w:bdr w:val="none" w:sz="0" w:space="0" w:color="auto" w:frame="1"/>
        </w:rPr>
        <w:t xml:space="preserve">KO construct for the </w:t>
      </w:r>
      <w:r w:rsidRPr="003A48AB">
        <w:rPr>
          <w:rFonts w:ascii="Arial" w:eastAsia="Times New Roman" w:hAnsi="Arial" w:cs="Arial"/>
          <w:i/>
          <w:bdr w:val="none" w:sz="0" w:space="0" w:color="auto" w:frame="1"/>
        </w:rPr>
        <w:t xml:space="preserve">pptmm-1 </w:t>
      </w:r>
      <w:r w:rsidRPr="003A48AB">
        <w:rPr>
          <w:rFonts w:ascii="Arial" w:eastAsia="Times New Roman" w:hAnsi="Arial" w:cs="Arial"/>
          <w:bdr w:val="none" w:sz="0" w:space="0" w:color="auto" w:frame="1"/>
        </w:rPr>
        <w:t xml:space="preserve">background. </w:t>
      </w:r>
    </w:p>
    <w:p w14:paraId="13E62EE2" w14:textId="77777777" w:rsidR="003A48AB" w:rsidRPr="003A48AB" w:rsidRDefault="003A48AB" w:rsidP="003A48AB">
      <w:pPr>
        <w:tabs>
          <w:tab w:val="left" w:pos="2977"/>
        </w:tabs>
        <w:spacing w:after="160" w:line="360" w:lineRule="auto"/>
        <w:textAlignment w:val="baseline"/>
        <w:rPr>
          <w:rFonts w:ascii="Arial" w:eastAsia="Times New Roman" w:hAnsi="Arial" w:cs="Arial"/>
          <w:bdr w:val="none" w:sz="0" w:space="0" w:color="auto" w:frame="1"/>
        </w:rPr>
      </w:pPr>
      <w:r w:rsidRPr="003A48AB">
        <w:rPr>
          <w:rFonts w:ascii="Arial" w:eastAsia="Times New Roman" w:hAnsi="Arial" w:cs="Arial"/>
          <w:bdr w:val="none" w:sz="0" w:space="0" w:color="auto" w:frame="1"/>
        </w:rPr>
        <w:t xml:space="preserve">To produce double </w:t>
      </w:r>
      <w:r w:rsidRPr="003A48AB">
        <w:rPr>
          <w:rFonts w:ascii="Arial" w:eastAsia="Times New Roman" w:hAnsi="Arial" w:cs="Arial"/>
          <w:i/>
          <w:bdr w:val="none" w:sz="0" w:space="0" w:color="auto" w:frame="1"/>
        </w:rPr>
        <w:t xml:space="preserve">ppepf1-erecta1 </w:t>
      </w:r>
      <w:r w:rsidRPr="003A48AB">
        <w:rPr>
          <w:rFonts w:ascii="Arial" w:eastAsia="Times New Roman" w:hAnsi="Arial" w:cs="Arial"/>
          <w:bdr w:val="none" w:sz="0" w:space="0" w:color="auto" w:frame="1"/>
        </w:rPr>
        <w:t xml:space="preserve">mutants in </w:t>
      </w:r>
      <w:r w:rsidRPr="003A48AB">
        <w:rPr>
          <w:rFonts w:ascii="Arial" w:eastAsia="Times New Roman" w:hAnsi="Arial" w:cs="Arial"/>
          <w:i/>
          <w:bdr w:val="none" w:sz="0" w:space="0" w:color="auto" w:frame="1"/>
        </w:rPr>
        <w:t>ppefp1-1,</w:t>
      </w:r>
      <w:r w:rsidRPr="003A48AB">
        <w:rPr>
          <w:rFonts w:ascii="Arial" w:eastAsia="Times New Roman" w:hAnsi="Arial" w:cs="Arial"/>
          <w:bdr w:val="none" w:sz="0" w:space="0" w:color="auto" w:frame="1"/>
        </w:rPr>
        <w:t xml:space="preserve"> the pMBL5DLdelSN::PpERECTA1::NPTII plasmid was used a template to make the KO construct using PpERECTA1 KO CONSTRUCT F and R primers (Primer table 1).</w:t>
      </w:r>
      <w:r w:rsidRPr="003A48AB">
        <w:rPr>
          <w:rFonts w:ascii="Arial" w:eastAsia="Times New Roman" w:hAnsi="Arial" w:cs="Arial"/>
          <w:i/>
          <w:bdr w:val="none" w:sz="0" w:space="0" w:color="auto" w:frame="1"/>
        </w:rPr>
        <w:t xml:space="preserve"> </w:t>
      </w:r>
      <w:r w:rsidRPr="003A48AB">
        <w:rPr>
          <w:rFonts w:ascii="Arial" w:eastAsia="Times New Roman" w:hAnsi="Arial" w:cs="Arial"/>
          <w:bdr w:val="none" w:sz="0" w:space="0" w:color="auto" w:frame="1"/>
        </w:rPr>
        <w:t xml:space="preserve"> </w:t>
      </w:r>
    </w:p>
    <w:p w14:paraId="00A15704" w14:textId="77777777" w:rsidR="003A48AB" w:rsidRPr="003A48AB" w:rsidRDefault="003A48AB" w:rsidP="003A48AB">
      <w:pPr>
        <w:spacing w:after="160" w:line="360" w:lineRule="auto"/>
        <w:rPr>
          <w:rFonts w:ascii="Arial" w:eastAsia="MS Mincho" w:hAnsi="Arial" w:cs="Arial"/>
          <w:u w:val="single"/>
          <w:lang w:eastAsia="ja-JP"/>
        </w:rPr>
      </w:pPr>
      <w:r w:rsidRPr="003A48AB">
        <w:rPr>
          <w:rFonts w:ascii="Arial" w:eastAsia="MS Mincho" w:hAnsi="Arial" w:cs="Arial"/>
          <w:u w:val="single"/>
          <w:lang w:eastAsia="ja-JP"/>
        </w:rPr>
        <w:t>2.8.7 Physcomitrella over-expression construct design and manufacture</w:t>
      </w:r>
    </w:p>
    <w:p w14:paraId="4893EFCC" w14:textId="7402AA68" w:rsidR="003A48AB" w:rsidRPr="003A48AB" w:rsidRDefault="003A48AB" w:rsidP="003A48AB">
      <w:pPr>
        <w:shd w:val="clear" w:color="auto" w:fill="FFFFFF"/>
        <w:spacing w:after="160" w:line="360" w:lineRule="auto"/>
        <w:rPr>
          <w:rFonts w:ascii="Arial" w:eastAsia="MS Mincho" w:hAnsi="Arial" w:cs="Arial"/>
          <w:kern w:val="36"/>
          <w:u w:val="single"/>
          <w:lang w:eastAsia="ja-JP"/>
        </w:rPr>
      </w:pPr>
      <w:r w:rsidRPr="003A48AB">
        <w:rPr>
          <w:rFonts w:ascii="Arial" w:eastAsia="MS Mincho" w:hAnsi="Arial" w:cs="Arial"/>
          <w:lang w:eastAsia="ja-JP"/>
        </w:rPr>
        <w:t xml:space="preserve">The pACT-nos1 vector (Produced at the University of Leeds) containing the rice Actin-1 promoter and adjoining 5’ UTR </w:t>
      </w:r>
      <w:r w:rsidRPr="003A48AB">
        <w:rPr>
          <w:rFonts w:ascii="Arial" w:eastAsia="MS Mincho" w:hAnsi="Arial" w:cs="Arial"/>
          <w:lang w:eastAsia="ja-JP"/>
        </w:rPr>
        <w:fldChar w:fldCharType="begin">
          <w:fldData xml:space="preserve">PEVuZE5vdGU+PENpdGU+PEF1dGhvcj5NY0Vscm95PC9BdXRob3I+PFllYXI+MTk5MDwvWWVhcj48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</w:fldData>
        </w:fldChar>
      </w:r>
      <w:r w:rsidRPr="003A48AB">
        <w:rPr>
          <w:rFonts w:ascii="Arial" w:eastAsia="MS Mincho" w:hAnsi="Arial" w:cs="Arial"/>
          <w:lang w:eastAsia="ja-JP"/>
        </w:rPr>
        <w:instrText xml:space="preserve"> ADDIN EN.CITE </w:instrText>
      </w:r>
      <w:r w:rsidRPr="003A48AB">
        <w:rPr>
          <w:rFonts w:ascii="Arial" w:eastAsia="MS Mincho" w:hAnsi="Arial" w:cs="Arial"/>
          <w:lang w:eastAsia="ja-JP"/>
        </w:rPr>
        <w:fldChar w:fldCharType="begin">
          <w:fldData xml:space="preserve">PEVuZE5vdGU+PENpdGU+PEF1dGhvcj5NY0Vscm95PC9BdXRob3I+PFllYXI+MTk5MDwvWWVhcj48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</w:fldData>
        </w:fldChar>
      </w:r>
      <w:r w:rsidRPr="003A48AB">
        <w:rPr>
          <w:rFonts w:ascii="Arial" w:eastAsia="MS Mincho" w:hAnsi="Arial" w:cs="Arial"/>
          <w:lang w:eastAsia="ja-JP"/>
        </w:rPr>
        <w:instrText xml:space="preserve"> ADDIN EN.CITE.DATA </w:instrText>
      </w:r>
      <w:r w:rsidRPr="003A48AB">
        <w:rPr>
          <w:rFonts w:ascii="Arial" w:eastAsia="MS Mincho" w:hAnsi="Arial" w:cs="Arial"/>
          <w:lang w:eastAsia="ja-JP"/>
        </w:rPr>
      </w:r>
      <w:r w:rsidRPr="003A48AB">
        <w:rPr>
          <w:rFonts w:ascii="Arial" w:eastAsia="MS Mincho" w:hAnsi="Arial" w:cs="Arial"/>
          <w:lang w:eastAsia="ja-JP"/>
        </w:rPr>
        <w:fldChar w:fldCharType="end"/>
      </w:r>
      <w:r w:rsidRPr="003A48AB">
        <w:rPr>
          <w:rFonts w:ascii="Arial" w:eastAsia="MS Mincho" w:hAnsi="Arial" w:cs="Arial"/>
          <w:lang w:eastAsia="ja-JP"/>
        </w:rPr>
      </w:r>
      <w:r w:rsidRPr="003A48AB">
        <w:rPr>
          <w:rFonts w:ascii="Arial" w:eastAsia="MS Mincho" w:hAnsi="Arial" w:cs="Arial"/>
          <w:lang w:eastAsia="ja-JP"/>
        </w:rPr>
        <w:fldChar w:fldCharType="separate"/>
      </w:r>
      <w:r w:rsidRPr="003A48AB">
        <w:rPr>
          <w:rFonts w:ascii="Arial" w:eastAsia="MS Mincho" w:hAnsi="Arial" w:cs="Arial"/>
          <w:noProof/>
          <w:lang w:eastAsia="ja-JP"/>
        </w:rPr>
        <w:t>(Horstmann et al., 2004; McElroy et al., 1990)</w:t>
      </w:r>
      <w:r w:rsidRPr="003A48AB">
        <w:rPr>
          <w:rFonts w:ascii="Arial" w:eastAsia="MS Mincho" w:hAnsi="Arial" w:cs="Arial"/>
          <w:lang w:eastAsia="ja-JP"/>
        </w:rPr>
        <w:fldChar w:fldCharType="end"/>
      </w:r>
      <w:r w:rsidRPr="003A48AB">
        <w:rPr>
          <w:rFonts w:ascii="Arial" w:eastAsia="MS Mincho" w:hAnsi="Arial" w:cs="Arial"/>
          <w:lang w:eastAsia="ja-JP"/>
        </w:rPr>
        <w:t xml:space="preserve"> </w:t>
      </w:r>
      <w:r w:rsidRPr="003A48AB">
        <w:rPr>
          <w:rFonts w:ascii="Arial" w:eastAsia="Times New Roman" w:hAnsi="Arial" w:cs="Arial"/>
          <w:kern w:val="36"/>
          <w:lang w:eastAsia="ja-JP"/>
        </w:rPr>
        <w:t>was first</w:t>
      </w:r>
      <w:r w:rsidRPr="003A48AB">
        <w:rPr>
          <w:rFonts w:ascii="Arial" w:eastAsia="MS Mincho" w:hAnsi="Arial" w:cs="Arial"/>
          <w:lang w:eastAsia="ja-JP"/>
        </w:rPr>
        <w:t xml:space="preserve"> digested with NCO1 and blunt ended using DNA polymerase I. </w:t>
      </w:r>
      <w:r w:rsidRPr="003A48AB">
        <w:rPr>
          <w:rFonts w:ascii="Arial" w:eastAsia="Times New Roman" w:hAnsi="Arial" w:cs="Arial"/>
          <w:kern w:val="36"/>
          <w:lang w:eastAsia="ja-JP"/>
        </w:rPr>
        <w:t xml:space="preserve">Coding sequences of the genes to be overexpressed minus the ATG codon were amplified from </w:t>
      </w:r>
      <w:r w:rsidRPr="003A48AB">
        <w:rPr>
          <w:rFonts w:ascii="Arial" w:eastAsia="Times New Roman" w:hAnsi="Arial" w:cs="Arial"/>
          <w:i/>
          <w:kern w:val="36"/>
          <w:lang w:eastAsia="ja-JP"/>
        </w:rPr>
        <w:t xml:space="preserve">P. patens </w:t>
      </w:r>
      <w:r w:rsidRPr="003A48AB">
        <w:rPr>
          <w:rFonts w:ascii="Arial" w:eastAsia="Times New Roman" w:hAnsi="Arial" w:cs="Arial"/>
          <w:kern w:val="36"/>
          <w:lang w:eastAsia="ja-JP"/>
        </w:rPr>
        <w:t>cDNA (</w:t>
      </w:r>
      <w:r w:rsidRPr="003A48AB">
        <w:rPr>
          <w:rFonts w:ascii="Arial" w:eastAsia="Times New Roman" w:hAnsi="Arial" w:cs="Arial"/>
          <w:i/>
          <w:kern w:val="36"/>
          <w:lang w:eastAsia="ja-JP"/>
        </w:rPr>
        <w:t>PpEPF1</w:t>
      </w:r>
      <w:r w:rsidRPr="003A48AB">
        <w:rPr>
          <w:rFonts w:ascii="Arial" w:eastAsia="Times New Roman" w:hAnsi="Arial" w:cs="Arial"/>
          <w:kern w:val="36"/>
          <w:lang w:eastAsia="ja-JP"/>
        </w:rPr>
        <w:t>), or genomic DNA (</w:t>
      </w:r>
      <w:r w:rsidRPr="003A48AB">
        <w:rPr>
          <w:rFonts w:ascii="Arial" w:eastAsia="Times New Roman" w:hAnsi="Arial" w:cs="Arial"/>
          <w:i/>
          <w:kern w:val="36"/>
          <w:lang w:eastAsia="ja-JP"/>
        </w:rPr>
        <w:t>PpTMM</w:t>
      </w:r>
      <w:r w:rsidRPr="003A48AB">
        <w:rPr>
          <w:rFonts w:ascii="Arial" w:eastAsia="Times New Roman" w:hAnsi="Arial" w:cs="Arial"/>
          <w:kern w:val="36"/>
          <w:lang w:eastAsia="ja-JP"/>
        </w:rPr>
        <w:t xml:space="preserve">) using primers set out in Table 1. The isolated coding sequences were then blunt-end ligated into separate pACT-nos1 cut backbones. The insertion was verified, and then using M13 </w:t>
      </w:r>
      <w:r w:rsidRPr="003A48AB">
        <w:rPr>
          <w:rFonts w:ascii="Arial" w:eastAsia="Times New Roman" w:hAnsi="Arial" w:cs="Arial"/>
          <w:kern w:val="36"/>
          <w:lang w:eastAsia="ja-JP"/>
        </w:rPr>
        <w:lastRenderedPageBreak/>
        <w:t xml:space="preserve">primers the pACT1-nos-fused genes were amplified via PCR and subsequently digested to create a sticky-end using KPN1. The pMBL5DL108 vector </w:t>
      </w:r>
      <w:r w:rsidRPr="003A48AB">
        <w:rPr>
          <w:rFonts w:ascii="Arial" w:eastAsia="Times New Roman" w:hAnsi="Arial" w:cs="Arial"/>
          <w:kern w:val="36"/>
          <w:lang w:eastAsia="ja-JP"/>
        </w:rPr>
        <w:fldChar w:fldCharType="begin">
          <w:fldData xml:space="preserve">PEVuZE5vdGU+PENpdGU+PEF1dGhvcj5XYWxsYWNlPC9BdXRob3I+PFllYXI+MjAxNTwvWWVhcj48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</w:fldData>
        </w:fldChar>
      </w:r>
      <w:r w:rsidR="00417B1E">
        <w:rPr>
          <w:rFonts w:ascii="Arial" w:eastAsia="Times New Roman" w:hAnsi="Arial" w:cs="Arial"/>
          <w:kern w:val="36"/>
          <w:lang w:eastAsia="ja-JP"/>
        </w:rPr>
        <w:instrText xml:space="preserve"> ADDIN EN.CITE </w:instrText>
      </w:r>
      <w:r w:rsidR="00417B1E">
        <w:rPr>
          <w:rFonts w:ascii="Arial" w:eastAsia="Times New Roman" w:hAnsi="Arial" w:cs="Arial"/>
          <w:kern w:val="36"/>
          <w:lang w:eastAsia="ja-JP"/>
        </w:rPr>
        <w:fldChar w:fldCharType="begin">
          <w:fldData xml:space="preserve">PEVuZE5vdGU+PENpdGU+PEF1dGhvcj5XYWxsYWNlPC9BdXRob3I+PFllYXI+MjAxNTwvWWVhcj48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</w:fldData>
        </w:fldChar>
      </w:r>
      <w:r w:rsidR="00417B1E">
        <w:rPr>
          <w:rFonts w:ascii="Arial" w:eastAsia="Times New Roman" w:hAnsi="Arial" w:cs="Arial"/>
          <w:kern w:val="36"/>
          <w:lang w:eastAsia="ja-JP"/>
        </w:rPr>
        <w:instrText xml:space="preserve"> ADDIN EN.CITE.DATA </w:instrText>
      </w:r>
      <w:r w:rsidR="00417B1E">
        <w:rPr>
          <w:rFonts w:ascii="Arial" w:eastAsia="Times New Roman" w:hAnsi="Arial" w:cs="Arial"/>
          <w:kern w:val="36"/>
          <w:lang w:eastAsia="ja-JP"/>
        </w:rPr>
      </w:r>
      <w:r w:rsidR="00417B1E">
        <w:rPr>
          <w:rFonts w:ascii="Arial" w:eastAsia="Times New Roman" w:hAnsi="Arial" w:cs="Arial"/>
          <w:kern w:val="36"/>
          <w:lang w:eastAsia="ja-JP"/>
        </w:rPr>
        <w:fldChar w:fldCharType="end"/>
      </w:r>
      <w:r w:rsidRPr="003A48AB">
        <w:rPr>
          <w:rFonts w:ascii="Arial" w:eastAsia="Times New Roman" w:hAnsi="Arial" w:cs="Arial"/>
          <w:kern w:val="36"/>
          <w:lang w:eastAsia="ja-JP"/>
        </w:rPr>
      </w:r>
      <w:r w:rsidRPr="003A48AB">
        <w:rPr>
          <w:rFonts w:ascii="Arial" w:eastAsia="Times New Roman" w:hAnsi="Arial" w:cs="Arial"/>
          <w:kern w:val="36"/>
          <w:lang w:eastAsia="ja-JP"/>
        </w:rPr>
        <w:fldChar w:fldCharType="separate"/>
      </w:r>
      <w:r w:rsidRPr="003A48AB">
        <w:rPr>
          <w:rFonts w:ascii="Arial" w:eastAsia="Times New Roman" w:hAnsi="Arial" w:cs="Arial"/>
          <w:noProof/>
          <w:kern w:val="36"/>
          <w:lang w:eastAsia="ja-JP"/>
        </w:rPr>
        <w:t>(Wallace et al., 2015)</w:t>
      </w:r>
      <w:r w:rsidRPr="003A48AB">
        <w:rPr>
          <w:rFonts w:ascii="Arial" w:eastAsia="Times New Roman" w:hAnsi="Arial" w:cs="Arial"/>
          <w:kern w:val="36"/>
          <w:lang w:eastAsia="ja-JP"/>
        </w:rPr>
        <w:fldChar w:fldCharType="end"/>
      </w:r>
      <w:r w:rsidRPr="003A48AB">
        <w:rPr>
          <w:rFonts w:ascii="Arial" w:eastAsia="Times New Roman" w:hAnsi="Arial" w:cs="Arial"/>
          <w:kern w:val="36"/>
          <w:lang w:eastAsia="ja-JP"/>
        </w:rPr>
        <w:t xml:space="preserve"> was then digested using KPN1 and SMA1, and the promoter fused genes which had a KPN1 end were then directionally ligated into the pMBL5DL108 backbone. The overexpression constructs of </w:t>
      </w:r>
      <w:r w:rsidRPr="003A48AB">
        <w:rPr>
          <w:rFonts w:ascii="Arial" w:eastAsia="Times New Roman" w:hAnsi="Arial" w:cs="Arial"/>
          <w:i/>
          <w:kern w:val="36"/>
          <w:lang w:eastAsia="ja-JP"/>
        </w:rPr>
        <w:t xml:space="preserve">PpEPF1 </w:t>
      </w:r>
      <w:r w:rsidRPr="003A48AB">
        <w:rPr>
          <w:rFonts w:ascii="Arial" w:eastAsia="Times New Roman" w:hAnsi="Arial" w:cs="Arial"/>
          <w:kern w:val="36"/>
          <w:lang w:eastAsia="ja-JP"/>
        </w:rPr>
        <w:t>and</w:t>
      </w:r>
      <w:r w:rsidRPr="003A48AB">
        <w:rPr>
          <w:rFonts w:ascii="Arial" w:eastAsia="Times New Roman" w:hAnsi="Arial" w:cs="Arial"/>
          <w:i/>
          <w:kern w:val="36"/>
          <w:lang w:eastAsia="ja-JP"/>
        </w:rPr>
        <w:t xml:space="preserve"> PpTMM </w:t>
      </w:r>
      <w:r w:rsidRPr="003A48AB">
        <w:rPr>
          <w:rFonts w:ascii="Arial" w:eastAsia="Times New Roman" w:hAnsi="Arial" w:cs="Arial"/>
          <w:kern w:val="36"/>
          <w:lang w:eastAsia="ja-JP"/>
        </w:rPr>
        <w:t>were targeted to the neutral 108 locus were then individually amplified (see section 2.8.2) using the primers set out in Table 1.</w:t>
      </w:r>
    </w:p>
    <w:p w14:paraId="6E63398D" w14:textId="77777777" w:rsidR="003A48AB" w:rsidRPr="003A48AB" w:rsidRDefault="003A48AB" w:rsidP="003A48AB">
      <w:pPr>
        <w:shd w:val="clear" w:color="auto" w:fill="FFFFFF"/>
        <w:spacing w:after="160" w:line="360" w:lineRule="auto"/>
        <w:rPr>
          <w:rFonts w:ascii="Arial" w:eastAsia="MS Mincho" w:hAnsi="Arial" w:cs="Arial"/>
          <w:kern w:val="36"/>
          <w:u w:val="single"/>
          <w:lang w:eastAsia="ja-JP"/>
        </w:rPr>
      </w:pPr>
      <w:r w:rsidRPr="003A48AB">
        <w:rPr>
          <w:rFonts w:ascii="Arial" w:eastAsia="Times New Roman" w:hAnsi="Arial" w:cs="Arial"/>
          <w:kern w:val="36"/>
          <w:u w:val="single"/>
          <w:lang w:eastAsia="ja-JP"/>
        </w:rPr>
        <w:t xml:space="preserve">2.9 Transformation and genotyping of putative </w:t>
      </w:r>
      <w:r w:rsidRPr="003A48AB">
        <w:rPr>
          <w:rFonts w:ascii="Arial" w:eastAsia="Times New Roman" w:hAnsi="Arial" w:cs="Arial"/>
          <w:i/>
          <w:kern w:val="36"/>
          <w:u w:val="single"/>
          <w:lang w:eastAsia="ja-JP"/>
        </w:rPr>
        <w:t>P. patens</w:t>
      </w:r>
      <w:r w:rsidRPr="003A48AB">
        <w:rPr>
          <w:rFonts w:ascii="Arial" w:eastAsia="Times New Roman" w:hAnsi="Arial" w:cs="Arial"/>
          <w:kern w:val="36"/>
          <w:u w:val="single"/>
          <w:lang w:eastAsia="ja-JP"/>
        </w:rPr>
        <w:t xml:space="preserve"> mutant lines</w:t>
      </w:r>
    </w:p>
    <w:p w14:paraId="6FA3D6B9" w14:textId="2B4E996F" w:rsidR="003A48AB" w:rsidRPr="003A48AB" w:rsidRDefault="003A48AB" w:rsidP="003A48AB">
      <w:pPr>
        <w:spacing w:after="160" w:line="360" w:lineRule="auto"/>
        <w:rPr>
          <w:rFonts w:ascii="Arial" w:eastAsia="MS Mincho" w:hAnsi="Arial" w:cs="Arial"/>
          <w:lang w:eastAsia="ja-JP"/>
        </w:rPr>
      </w:pPr>
      <w:r w:rsidRPr="003A48AB">
        <w:rPr>
          <w:rFonts w:ascii="Arial" w:eastAsia="MS Mincho" w:hAnsi="Arial" w:cs="Arial"/>
          <w:lang w:eastAsia="ja-JP"/>
        </w:rPr>
        <w:t xml:space="preserve">Gene targeting and polyethylene glycol-mediated protoplast transformation of </w:t>
      </w:r>
      <w:r w:rsidRPr="003A48AB">
        <w:rPr>
          <w:rFonts w:ascii="Arial" w:eastAsia="MS Mincho" w:hAnsi="Arial" w:cs="Arial"/>
          <w:i/>
          <w:lang w:eastAsia="ja-JP"/>
        </w:rPr>
        <w:t>P. patens</w:t>
      </w:r>
      <w:r w:rsidRPr="003A48AB">
        <w:rPr>
          <w:rFonts w:ascii="Arial" w:eastAsia="MS Mincho" w:hAnsi="Arial" w:cs="Arial"/>
          <w:lang w:eastAsia="ja-JP"/>
        </w:rPr>
        <w:t xml:space="preserve"> was performed as described previously using PCR derived KO templates </w:t>
      </w:r>
      <w:r w:rsidRPr="003A48AB">
        <w:rPr>
          <w:rFonts w:ascii="Arial" w:eastAsia="MS Mincho" w:hAnsi="Arial" w:cs="Arial"/>
          <w:lang w:eastAsia="ja-JP"/>
        </w:rPr>
        <w:fldChar w:fldCharType="begin">
          <w:fldData xml:space="preserve">PEVuZE5vdGU+PENpdGU+PEF1dGhvcj5LYW1pc3VnaTwvQXV0aG9yPjxZZWFyPjIwMDU8L1llYXI+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</w:fldData>
        </w:fldChar>
      </w:r>
      <w:r w:rsidR="00417B1E">
        <w:rPr>
          <w:rFonts w:ascii="Arial" w:eastAsia="MS Mincho" w:hAnsi="Arial" w:cs="Arial"/>
          <w:lang w:eastAsia="ja-JP"/>
        </w:rPr>
        <w:instrText xml:space="preserve"> ADDIN EN.CITE </w:instrText>
      </w:r>
      <w:r w:rsidR="00417B1E">
        <w:rPr>
          <w:rFonts w:ascii="Arial" w:eastAsia="MS Mincho" w:hAnsi="Arial" w:cs="Arial"/>
          <w:lang w:eastAsia="ja-JP"/>
        </w:rPr>
        <w:fldChar w:fldCharType="begin">
          <w:fldData xml:space="preserve">PEVuZE5vdGU+PENpdGU+PEF1dGhvcj5LYW1pc3VnaTwvQXV0aG9yPjxZZWFyPjIwMDU8L1llYXI+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</w:fldData>
        </w:fldChar>
      </w:r>
      <w:r w:rsidR="00417B1E">
        <w:rPr>
          <w:rFonts w:ascii="Arial" w:eastAsia="MS Mincho" w:hAnsi="Arial" w:cs="Arial"/>
          <w:lang w:eastAsia="ja-JP"/>
        </w:rPr>
        <w:instrText xml:space="preserve"> ADDIN EN.CITE.DATA </w:instrText>
      </w:r>
      <w:r w:rsidR="00417B1E">
        <w:rPr>
          <w:rFonts w:ascii="Arial" w:eastAsia="MS Mincho" w:hAnsi="Arial" w:cs="Arial"/>
          <w:lang w:eastAsia="ja-JP"/>
        </w:rPr>
      </w:r>
      <w:r w:rsidR="00417B1E">
        <w:rPr>
          <w:rFonts w:ascii="Arial" w:eastAsia="MS Mincho" w:hAnsi="Arial" w:cs="Arial"/>
          <w:lang w:eastAsia="ja-JP"/>
        </w:rPr>
        <w:fldChar w:fldCharType="end"/>
      </w:r>
      <w:r w:rsidRPr="003A48AB">
        <w:rPr>
          <w:rFonts w:ascii="Arial" w:eastAsia="MS Mincho" w:hAnsi="Arial" w:cs="Arial"/>
          <w:lang w:eastAsia="ja-JP"/>
        </w:rPr>
      </w:r>
      <w:r w:rsidRPr="003A48AB">
        <w:rPr>
          <w:rFonts w:ascii="Arial" w:eastAsia="MS Mincho" w:hAnsi="Arial" w:cs="Arial"/>
          <w:lang w:eastAsia="ja-JP"/>
        </w:rPr>
        <w:fldChar w:fldCharType="separate"/>
      </w:r>
      <w:r w:rsidRPr="003A48AB">
        <w:rPr>
          <w:rFonts w:ascii="Arial" w:eastAsia="MS Mincho" w:hAnsi="Arial" w:cs="Arial"/>
          <w:noProof/>
          <w:lang w:eastAsia="ja-JP"/>
        </w:rPr>
        <w:t>(Kamisugi et al., 2005; Schaefer et al., 1991)</w:t>
      </w:r>
      <w:r w:rsidRPr="003A48AB">
        <w:rPr>
          <w:rFonts w:ascii="Arial" w:eastAsia="MS Mincho" w:hAnsi="Arial" w:cs="Arial"/>
          <w:lang w:eastAsia="ja-JP"/>
        </w:rPr>
        <w:fldChar w:fldCharType="end"/>
      </w:r>
      <w:r w:rsidRPr="003A48AB">
        <w:rPr>
          <w:rFonts w:ascii="Arial" w:eastAsia="MS Mincho" w:hAnsi="Arial" w:cs="Arial"/>
          <w:lang w:eastAsia="ja-JP"/>
        </w:rPr>
        <w:t xml:space="preserve">. The transformations for </w:t>
      </w:r>
      <w:r w:rsidRPr="003A48AB">
        <w:rPr>
          <w:rFonts w:ascii="Arial" w:eastAsia="MS Mincho" w:hAnsi="Arial" w:cs="Arial"/>
          <w:i/>
          <w:lang w:eastAsia="ja-JP"/>
        </w:rPr>
        <w:t xml:space="preserve">PpSMF1 </w:t>
      </w:r>
      <w:r w:rsidRPr="003A48AB">
        <w:rPr>
          <w:rFonts w:ascii="Arial" w:eastAsia="MS Mincho" w:hAnsi="Arial" w:cs="Arial"/>
          <w:lang w:eastAsia="ja-JP"/>
        </w:rPr>
        <w:t>KOs</w:t>
      </w:r>
      <w:r w:rsidRPr="003A48AB">
        <w:rPr>
          <w:rFonts w:ascii="Arial" w:eastAsia="MS Mincho" w:hAnsi="Arial" w:cs="Arial"/>
          <w:i/>
          <w:lang w:eastAsia="ja-JP"/>
        </w:rPr>
        <w:t xml:space="preserve"> </w:t>
      </w:r>
      <w:r w:rsidRPr="003A48AB">
        <w:rPr>
          <w:rFonts w:ascii="Arial" w:eastAsia="MS Mincho" w:hAnsi="Arial" w:cs="Arial"/>
          <w:lang w:eastAsia="ja-JP"/>
        </w:rPr>
        <w:t xml:space="preserve">were carried out by Dr Caspar Chater at the University of Sheffield. The transformations for </w:t>
      </w:r>
      <w:r w:rsidRPr="003A48AB">
        <w:rPr>
          <w:rFonts w:ascii="Arial" w:eastAsia="MS Mincho" w:hAnsi="Arial" w:cs="Arial"/>
          <w:i/>
          <w:lang w:eastAsia="ja-JP"/>
        </w:rPr>
        <w:t>PpSMF2</w:t>
      </w:r>
      <w:r w:rsidRPr="003A48AB">
        <w:rPr>
          <w:rFonts w:ascii="Arial" w:eastAsia="MS Mincho" w:hAnsi="Arial" w:cs="Arial"/>
          <w:lang w:eastAsia="ja-JP"/>
        </w:rPr>
        <w:t xml:space="preserve">, </w:t>
      </w:r>
      <w:r w:rsidRPr="003A48AB">
        <w:rPr>
          <w:rFonts w:ascii="Arial" w:eastAsia="MS Mincho" w:hAnsi="Arial" w:cs="Arial"/>
          <w:i/>
          <w:lang w:eastAsia="ja-JP"/>
        </w:rPr>
        <w:t xml:space="preserve">PpEPF1 </w:t>
      </w:r>
      <w:r w:rsidRPr="003A48AB">
        <w:rPr>
          <w:rFonts w:ascii="Arial" w:eastAsia="MS Mincho" w:hAnsi="Arial" w:cs="Arial"/>
          <w:lang w:eastAsia="ja-JP"/>
        </w:rPr>
        <w:t xml:space="preserve">and </w:t>
      </w:r>
      <w:r w:rsidRPr="003A48AB">
        <w:rPr>
          <w:rFonts w:ascii="Arial" w:eastAsia="MS Mincho" w:hAnsi="Arial" w:cs="Arial"/>
          <w:i/>
          <w:lang w:eastAsia="ja-JP"/>
        </w:rPr>
        <w:t xml:space="preserve">PpTMM </w:t>
      </w:r>
      <w:r w:rsidRPr="003A48AB">
        <w:rPr>
          <w:rFonts w:ascii="Arial" w:eastAsia="MS Mincho" w:hAnsi="Arial" w:cs="Arial"/>
          <w:lang w:eastAsia="ja-JP"/>
        </w:rPr>
        <w:t xml:space="preserve">KOs were performed by Dr Yasuko Kamisugi at the University of Leeds. The transformations of </w:t>
      </w:r>
      <w:r w:rsidRPr="003A48AB">
        <w:rPr>
          <w:rFonts w:ascii="Arial" w:eastAsia="MS Mincho" w:hAnsi="Arial" w:cs="Arial"/>
          <w:i/>
          <w:lang w:eastAsia="ja-JP"/>
        </w:rPr>
        <w:t xml:space="preserve">PpSCRM1 </w:t>
      </w:r>
      <w:r w:rsidRPr="003A48AB">
        <w:rPr>
          <w:rFonts w:ascii="Arial" w:eastAsia="MS Mincho" w:hAnsi="Arial" w:cs="Arial"/>
          <w:lang w:eastAsia="ja-JP"/>
        </w:rPr>
        <w:t xml:space="preserve">KO were carried out by Dr Marta Tomek. All other transformations were conducted either solely on my own or in conjunction with Dr Caspar Chater at the University of Sheffield. Putative transformants were genotyped using DNA obtained via a modified CTAB extraction method (see section 2.6) or via direct disruption of 3 to 5 week old gametophores grown on BCDAT via the ‘Green PCR’ method (see also section 2.10). </w:t>
      </w:r>
    </w:p>
    <w:p w14:paraId="7B7164D3" w14:textId="77777777" w:rsidR="003A48AB" w:rsidRPr="003A48AB" w:rsidRDefault="003A48AB" w:rsidP="003A48AB">
      <w:pPr>
        <w:tabs>
          <w:tab w:val="left" w:pos="2977"/>
        </w:tabs>
        <w:spacing w:before="100" w:beforeAutospacing="1" w:after="160" w:line="360" w:lineRule="auto"/>
        <w:textAlignment w:val="baseline"/>
        <w:rPr>
          <w:rFonts w:ascii="Arial" w:eastAsia="Times New Roman" w:hAnsi="Arial" w:cs="Arial"/>
          <w:u w:val="single"/>
          <w:bdr w:val="none" w:sz="0" w:space="0" w:color="auto" w:frame="1"/>
        </w:rPr>
      </w:pPr>
      <w:r w:rsidRPr="003A48AB">
        <w:rPr>
          <w:rFonts w:ascii="Arial" w:eastAsia="Times New Roman" w:hAnsi="Arial" w:cs="Arial"/>
          <w:u w:val="single"/>
          <w:bdr w:val="none" w:sz="0" w:space="0" w:color="auto" w:frame="1"/>
        </w:rPr>
        <w:t>2.10 Rapid DNA extraction using Green PCR genotyping</w:t>
      </w:r>
    </w:p>
    <w:p w14:paraId="4835E8F7" w14:textId="77777777" w:rsidR="003A48AB" w:rsidRPr="003A48AB" w:rsidRDefault="003A48AB" w:rsidP="003A48AB">
      <w:pPr>
        <w:spacing w:after="160" w:line="360" w:lineRule="auto"/>
        <w:rPr>
          <w:rFonts w:ascii="Arial" w:eastAsia="MS Mincho" w:hAnsi="Arial" w:cs="Arial"/>
          <w:lang w:eastAsia="ja-JP"/>
        </w:rPr>
      </w:pPr>
      <w:r w:rsidRPr="003A48AB">
        <w:rPr>
          <w:rFonts w:ascii="Arial" w:eastAsia="MS Mincho" w:hAnsi="Arial" w:cs="Arial"/>
          <w:lang w:eastAsia="ja-JP"/>
        </w:rPr>
        <w:t>Green PCR was performed using OneTaq® Quick-Load® 2X Master Mix with Standard Buffer (NEB, Hitchin, UK) or Biomix Red (Bioline, London, UK). The procedure performed was as follows; Putative 6 weeks old transformants were sub-cultured onto new BCDA plates and allowed to grow for 2-6 weeks until colonies were big enough to collect a sample of 0.5-1cm</w:t>
      </w:r>
      <w:r w:rsidRPr="003A48AB">
        <w:rPr>
          <w:rFonts w:ascii="Arial" w:eastAsia="MS Mincho" w:hAnsi="Arial" w:cs="Arial"/>
          <w:vertAlign w:val="superscript"/>
          <w:lang w:eastAsia="ja-JP"/>
        </w:rPr>
        <w:t>2</w:t>
      </w:r>
      <w:r w:rsidRPr="003A48AB">
        <w:rPr>
          <w:rFonts w:ascii="Arial" w:eastAsia="MS Mincho" w:hAnsi="Arial" w:cs="Arial"/>
          <w:lang w:eastAsia="ja-JP"/>
        </w:rPr>
        <w:t xml:space="preserve"> in size (see section 2.2 for growth conditions). Appropriate sized colonies were collected under sterile conditions and transferred to between 50-70ml of NH</w:t>
      </w:r>
      <w:r w:rsidRPr="003A48AB">
        <w:rPr>
          <w:rFonts w:ascii="Arial" w:eastAsia="MS Mincho" w:hAnsi="Arial" w:cs="Arial"/>
          <w:vertAlign w:val="subscript"/>
          <w:lang w:eastAsia="ja-JP"/>
        </w:rPr>
        <w:t>4</w:t>
      </w:r>
      <w:r w:rsidRPr="003A48AB">
        <w:rPr>
          <w:rFonts w:ascii="Arial" w:eastAsia="MS Mincho" w:hAnsi="Arial" w:cs="Arial"/>
          <w:lang w:eastAsia="ja-JP"/>
        </w:rPr>
        <w:t xml:space="preserve"> buffer on ice. The transferred colonies were then ground with tooth picks on ice for approximately 1 minute until the solutions had turned green and the tissue was thoroughly disrupted. The solution was then heated at 68°C for 10 minutes to lyse cells. Samples were then spun at 5000g for 5 minutes on a table top centrifuge pre-cooled to 4°C. The solutions were stored at 4°C for up to 1 week whilst PCR genotyping was carried out. Typically, PCR reactions were in a 20µl volume with 1µl template used. The reagents for each reaction were scaled to the manufacturers recommendations. An extended initial </w:t>
      </w:r>
      <w:r w:rsidRPr="003A48AB">
        <w:rPr>
          <w:rFonts w:ascii="Arial" w:eastAsia="MS Mincho" w:hAnsi="Arial" w:cs="Arial"/>
          <w:lang w:eastAsia="ja-JP"/>
        </w:rPr>
        <w:lastRenderedPageBreak/>
        <w:t xml:space="preserve">denaturation of 5 minutes was used to lyse cells with up to 40 cycles necessary to amplify intended targets. Denaturation, initiation and elongation times were as per the manufacturers recommendations. To check disruption of the targeted loci had occurred in putative lines, two PCR reactions were performed. One reaction targeted integration of the engineered construct at the 5’ end of the locus and the other reaction targeted integration at the 3’ end of the locus. For </w:t>
      </w:r>
      <w:r w:rsidRPr="003A48AB">
        <w:rPr>
          <w:rFonts w:ascii="Arial" w:eastAsia="MS Mincho" w:hAnsi="Arial" w:cs="Arial"/>
          <w:i/>
          <w:lang w:eastAsia="ja-JP"/>
        </w:rPr>
        <w:t>PpTMMOE-1</w:t>
      </w:r>
      <w:r w:rsidRPr="003A48AB">
        <w:rPr>
          <w:rFonts w:ascii="Arial" w:eastAsia="MS Mincho" w:hAnsi="Arial" w:cs="Arial"/>
          <w:lang w:eastAsia="ja-JP"/>
        </w:rPr>
        <w:t xml:space="preserve"> it was not possible to determine where in the genome the insertion had occurred.</w:t>
      </w:r>
    </w:p>
    <w:p w14:paraId="57371E60" w14:textId="77777777" w:rsidR="003A48AB" w:rsidRPr="003A48AB" w:rsidRDefault="003A48AB" w:rsidP="003A48AB">
      <w:pPr>
        <w:tabs>
          <w:tab w:val="left" w:pos="2977"/>
        </w:tabs>
        <w:spacing w:before="100" w:beforeAutospacing="1" w:after="160" w:line="360" w:lineRule="auto"/>
        <w:textAlignment w:val="baseline"/>
        <w:rPr>
          <w:rFonts w:ascii="Arial" w:eastAsia="Times New Roman" w:hAnsi="Arial" w:cs="Arial"/>
          <w:u w:val="single"/>
          <w:bdr w:val="none" w:sz="0" w:space="0" w:color="auto" w:frame="1"/>
        </w:rPr>
      </w:pPr>
      <w:r w:rsidRPr="003A48AB">
        <w:rPr>
          <w:rFonts w:ascii="Arial" w:eastAsia="Times New Roman" w:hAnsi="Arial" w:cs="Arial"/>
          <w:u w:val="single"/>
          <w:bdr w:val="none" w:sz="0" w:space="0" w:color="auto" w:frame="1"/>
        </w:rPr>
        <w:t xml:space="preserve">2.11 RNA extraction for expression analysis of KO and over-expressing lines in </w:t>
      </w:r>
      <w:r w:rsidRPr="003A48AB">
        <w:rPr>
          <w:rFonts w:ascii="Arial" w:eastAsia="Times New Roman" w:hAnsi="Arial" w:cs="Arial"/>
          <w:i/>
          <w:u w:val="single"/>
          <w:bdr w:val="none" w:sz="0" w:space="0" w:color="auto" w:frame="1"/>
        </w:rPr>
        <w:t xml:space="preserve">P. patens </w:t>
      </w:r>
    </w:p>
    <w:p w14:paraId="78953020" w14:textId="77777777" w:rsidR="003A48AB" w:rsidRPr="003A48AB" w:rsidRDefault="003A48AB" w:rsidP="003A48AB">
      <w:pPr>
        <w:tabs>
          <w:tab w:val="left" w:pos="2977"/>
        </w:tabs>
        <w:spacing w:before="100" w:beforeAutospacing="1" w:after="160" w:line="360" w:lineRule="auto"/>
        <w:textAlignment w:val="baseline"/>
        <w:rPr>
          <w:rFonts w:ascii="Arial" w:eastAsia="Times New Roman" w:hAnsi="Arial" w:cs="Arial"/>
        </w:rPr>
      </w:pPr>
      <w:r w:rsidRPr="003A48AB">
        <w:rPr>
          <w:rFonts w:ascii="Arial" w:eastAsia="Times New Roman" w:hAnsi="Arial" w:cs="Arial"/>
        </w:rPr>
        <w:t xml:space="preserve">To check for the absence of expression in identified putative mutant lines mRNA was extracted from either expanding spore capsules (approximately 120 per line) or a mix of gametophore/ sporophyte mix tissue consisting of approximately 25 gametophores with 15 accompanying expanding sporophytes. For protonemal tissue, one plate of well grown 6 to 7 day old tissue was used (see sections 2.1 and 2.2 for growth material and conditions) For all </w:t>
      </w:r>
      <w:r w:rsidRPr="003A48AB">
        <w:rPr>
          <w:rFonts w:ascii="Arial" w:eastAsia="Times New Roman" w:hAnsi="Arial" w:cs="Arial"/>
          <w:i/>
        </w:rPr>
        <w:t xml:space="preserve">P. patens </w:t>
      </w:r>
      <w:r w:rsidRPr="003A48AB">
        <w:rPr>
          <w:rFonts w:ascii="Arial" w:eastAsia="Times New Roman" w:hAnsi="Arial" w:cs="Arial"/>
        </w:rPr>
        <w:t xml:space="preserve">extractions, liquid nitrogen cooled stone mortars and pestles were used to maximise RNA yield. Extractions were perfumed using Spectrum Plant Total RNA Kit (Sigma-Aldrich, UK) following the manufacturer's protocol. RNA concentrations were determined using a NanoDrop ND-8000 UV-Vis spectrophotometer. For downstream RT-PCR, RNA was DNase-treated with Ambion DNA-free™ DNA Removal Kit (Fisher Scientific, Loughborough, UK) and then used as a template for first-strand cDNA synthesis using M-MLV Reverse Transcriptase (Fisher Scientific, UK) as per the manufacturer’s protocol. The single stranded cDNA was then used for PCR with between 30-42 cycles used to amplify templates (see also section 2.7). NEB OneTaq® Quick-Load® 2X Master Mix was often also used for amplification. Wild-type, rubisco and </w:t>
      </w:r>
      <w:r w:rsidRPr="003A48AB">
        <w:rPr>
          <w:rFonts w:ascii="Arial" w:eastAsia="Times New Roman" w:hAnsi="Arial" w:cs="Arial"/>
          <w:bdr w:val="none" w:sz="0" w:space="0" w:color="auto" w:frame="1"/>
        </w:rPr>
        <w:t>DH</w:t>
      </w:r>
      <w:r w:rsidRPr="003A48AB">
        <w:rPr>
          <w:rFonts w:ascii="Arial" w:eastAsia="Times New Roman" w:hAnsi="Arial" w:cs="Arial"/>
          <w:bdr w:val="none" w:sz="0" w:space="0" w:color="auto" w:frame="1"/>
          <w:vertAlign w:val="subscript"/>
        </w:rPr>
        <w:t>2</w:t>
      </w:r>
      <w:r w:rsidRPr="003A48AB">
        <w:rPr>
          <w:rFonts w:ascii="Arial" w:eastAsia="Times New Roman" w:hAnsi="Arial" w:cs="Arial"/>
          <w:bdr w:val="none" w:sz="0" w:space="0" w:color="auto" w:frame="1"/>
        </w:rPr>
        <w:t>O</w:t>
      </w:r>
      <w:r w:rsidRPr="003A48AB">
        <w:rPr>
          <w:rFonts w:ascii="Arial" w:eastAsia="Times New Roman" w:hAnsi="Arial" w:cs="Arial"/>
        </w:rPr>
        <w:t xml:space="preserve"> controls were run alongside samples to confirm presence/ absence of a gene or overexpression and to illustrate the integrity of all samples being assayed (See Primer table 1 for primers).</w:t>
      </w:r>
    </w:p>
    <w:p w14:paraId="0E642102" w14:textId="77777777" w:rsidR="003A48AB" w:rsidRPr="003A48AB" w:rsidRDefault="003A48AB" w:rsidP="003A48AB">
      <w:pPr>
        <w:tabs>
          <w:tab w:val="left" w:pos="2977"/>
        </w:tabs>
        <w:spacing w:before="100" w:beforeAutospacing="1" w:after="160" w:line="360" w:lineRule="auto"/>
        <w:textAlignment w:val="baseline"/>
        <w:rPr>
          <w:rFonts w:ascii="Arial" w:eastAsia="Times New Roman" w:hAnsi="Arial" w:cs="Arial"/>
          <w:bdr w:val="none" w:sz="0" w:space="0" w:color="auto" w:frame="1"/>
        </w:rPr>
      </w:pPr>
      <w:r w:rsidRPr="003A48AB">
        <w:rPr>
          <w:rFonts w:ascii="Arial" w:eastAsia="Times New Roman" w:hAnsi="Arial" w:cs="Arial"/>
          <w:u w:val="single"/>
        </w:rPr>
        <w:t>2.12 Assessment of sporophyte maturation and dehiscence</w:t>
      </w:r>
    </w:p>
    <w:p w14:paraId="3252F410" w14:textId="69661B4F" w:rsidR="003A48AB" w:rsidRPr="003A48AB" w:rsidRDefault="003A48AB" w:rsidP="003A48AB">
      <w:pPr>
        <w:spacing w:after="160" w:line="360" w:lineRule="auto"/>
        <w:textAlignment w:val="baseline"/>
        <w:rPr>
          <w:rFonts w:ascii="Arial" w:eastAsia="Times New Roman" w:hAnsi="Arial" w:cs="Arial"/>
        </w:rPr>
      </w:pPr>
      <w:r w:rsidRPr="003A48AB">
        <w:rPr>
          <w:rFonts w:ascii="Arial" w:eastAsia="Times New Roman" w:hAnsi="Arial" w:cs="Arial"/>
        </w:rPr>
        <w:t xml:space="preserve">Gametophores were initially cultivated from spores for 2 weeks grown on agar plates with Knop medium including microelements </w:t>
      </w:r>
      <w:r w:rsidRPr="003A48AB">
        <w:rPr>
          <w:rFonts w:ascii="Arial" w:eastAsia="Times New Roman" w:hAnsi="Arial" w:cs="Arial"/>
        </w:rPr>
        <w:fldChar w:fldCharType="begin"/>
      </w:r>
      <w:r w:rsidRPr="003A48AB">
        <w:rPr>
          <w:rFonts w:ascii="Arial" w:eastAsia="Times New Roman" w:hAnsi="Arial" w:cs="Arial"/>
        </w:rPr>
        <w:instrText xml:space="preserve"> ADDIN EN.CITE &lt;EndNote&gt;&lt;Cite&gt;&lt;Author&gt;Reski&lt;/Author&gt;&lt;Year&gt;1985&lt;/Year&gt;&lt;IDText&gt;Induction of budding on choloronemata and caulonemata of the moss, Physcomitrella patens, using isopentenyladenine&lt;/IDText&gt;&lt;DisplayText&gt;(Reski and Abel, 1985)&lt;/DisplayText&gt;&lt;record&gt;&lt;keywords&gt;&lt;keyword&gt;Plant Sciences&lt;/keyword&gt;&lt;/keywords&gt;&lt;urls&gt;&lt;related-urls&gt;&lt;url&gt;&amp;lt;Go to ISI&amp;gt;://WOS:A1985APQ5900008&lt;/url&gt;&lt;/related-urls&gt;&lt;/urls&gt;&lt;isbn&gt;0032-0935&lt;/isbn&gt;&lt;work-type&gt;Article&lt;/work-type&gt;&lt;titles&gt;&lt;title&gt;&lt;style font="default" size="100%"&gt;Induction of budding on choloronemata and caulonemata of the moss, P&lt;/style&gt;&lt;style face="italic" font="default" size="100%"&gt;hyscomitrella patens,&lt;/style&gt;&lt;style font="default" size="100%"&gt; using isopentenyladenine&lt;/style&gt;&lt;/title&gt;&lt;secondary-title&gt;Planta&lt;/secondary-title&gt;&lt;/titles&gt;&lt;pages&gt;354-358&lt;/pages&gt;&lt;number&gt;3&lt;/number&gt;&lt;contributors&gt;&lt;authors&gt;&lt;author&gt;Reski, R.&lt;/author&gt;&lt;author&gt;Abel, W. O.&lt;/author&gt;&lt;/authors&gt;&lt;/contributors&gt;&lt;language&gt;English&lt;/language&gt;&lt;added-date format="utc"&gt;1455814313&lt;/added-date&gt;&lt;ref-type name="Journal Article"&gt;17&lt;/ref-type&gt;&lt;auth-address&gt;RESKI, R (reprint author), INST ALLGEMEINE BOT,OHNHORSTSTR 18,D-2000 HAMBURG 52,FED REP GER.&lt;/auth-address&gt;&lt;dates&gt;&lt;year&gt;1985&lt;/year&gt;&lt;/dates&gt;&lt;rec-number&gt;886&lt;/rec-number&gt;&lt;last-updated-date format="utc"&gt;1455814313&lt;/last-updated-date&gt;&lt;accession-num&gt;WOS:A1985APQ5900008&lt;/accession-num&gt;&lt;electronic-resource-num&gt;10.1007/bf00392232&lt;/electronic-resource-num&gt;&lt;volume&gt;165&lt;/volume&gt;&lt;/record&gt;&lt;/Cite&gt;&lt;/EndNote&gt;</w:instrText>
      </w:r>
      <w:r w:rsidRPr="003A48AB">
        <w:rPr>
          <w:rFonts w:ascii="Arial" w:eastAsia="Times New Roman" w:hAnsi="Arial" w:cs="Arial"/>
        </w:rPr>
        <w:fldChar w:fldCharType="separate"/>
      </w:r>
      <w:r w:rsidRPr="003A48AB">
        <w:rPr>
          <w:rFonts w:ascii="Arial" w:eastAsia="Times New Roman" w:hAnsi="Arial" w:cs="Arial"/>
          <w:noProof/>
        </w:rPr>
        <w:t>(Reski and Abel, 1985)</w:t>
      </w:r>
      <w:r w:rsidRPr="003A48AB">
        <w:rPr>
          <w:rFonts w:ascii="Arial" w:eastAsia="Times New Roman" w:hAnsi="Arial" w:cs="Arial"/>
        </w:rPr>
        <w:fldChar w:fldCharType="end"/>
      </w:r>
      <w:r w:rsidRPr="003A48AB">
        <w:rPr>
          <w:rFonts w:ascii="Arial" w:eastAsia="Times New Roman" w:hAnsi="Arial" w:cs="Arial"/>
        </w:rPr>
        <w:t>. Individual colonies were identified and transferred to Knop plates. Between 8 to 10 plants were isolated per plate and generating at least five plates pe</w:t>
      </w:r>
      <w:r w:rsidR="005B2645">
        <w:rPr>
          <w:rFonts w:ascii="Arial" w:eastAsia="Times New Roman" w:hAnsi="Arial" w:cs="Arial"/>
        </w:rPr>
        <w:t>r line. Plates were sealed with</w:t>
      </w:r>
      <w:r w:rsidRPr="003A48AB">
        <w:rPr>
          <w:rFonts w:ascii="Arial" w:eastAsia="Times New Roman" w:hAnsi="Arial" w:cs="Arial"/>
        </w:rPr>
        <w:t xml:space="preserve"> Parafilm and 3M micropore tape and grown under long day </w:t>
      </w:r>
      <w:r w:rsidRPr="003A48AB">
        <w:rPr>
          <w:rFonts w:ascii="Arial" w:eastAsia="Times New Roman" w:hAnsi="Arial" w:cs="Arial"/>
        </w:rPr>
        <w:lastRenderedPageBreak/>
        <w:t xml:space="preserve">conditions at 25°C (See section 2.2). After five weeks, plates were transferred to short day conditions also as per section 2.2, sealed with Parafilm and grown for four to five weeks until formation of gametangia could be observed. To initialize fertilization of mature gametophores, plates were soaked with sterilised </w:t>
      </w:r>
      <w:r w:rsidRPr="003A48AB">
        <w:rPr>
          <w:rFonts w:ascii="Arial" w:eastAsia="Times New Roman" w:hAnsi="Arial" w:cs="Arial"/>
          <w:bdr w:val="none" w:sz="0" w:space="0" w:color="auto" w:frame="1"/>
        </w:rPr>
        <w:t>DH</w:t>
      </w:r>
      <w:r w:rsidRPr="003A48AB">
        <w:rPr>
          <w:rFonts w:ascii="Arial" w:eastAsia="Times New Roman" w:hAnsi="Arial" w:cs="Arial"/>
          <w:bdr w:val="none" w:sz="0" w:space="0" w:color="auto" w:frame="1"/>
          <w:vertAlign w:val="subscript"/>
        </w:rPr>
        <w:t>2</w:t>
      </w:r>
      <w:r w:rsidRPr="003A48AB">
        <w:rPr>
          <w:rFonts w:ascii="Arial" w:eastAsia="Times New Roman" w:hAnsi="Arial" w:cs="Arial"/>
          <w:bdr w:val="none" w:sz="0" w:space="0" w:color="auto" w:frame="1"/>
        </w:rPr>
        <w:t xml:space="preserve">O </w:t>
      </w:r>
      <w:r w:rsidRPr="003A48AB">
        <w:rPr>
          <w:rFonts w:ascii="Arial" w:eastAsia="Times New Roman" w:hAnsi="Arial" w:cs="Arial"/>
        </w:rPr>
        <w:t xml:space="preserve">and resealed with Parafilm, reopened after five days to remove </w:t>
      </w:r>
      <w:r w:rsidRPr="003A48AB">
        <w:rPr>
          <w:rFonts w:ascii="Arial" w:eastAsia="Times New Roman" w:hAnsi="Arial" w:cs="Arial"/>
          <w:bdr w:val="none" w:sz="0" w:space="0" w:color="auto" w:frame="1"/>
        </w:rPr>
        <w:t>DH</w:t>
      </w:r>
      <w:r w:rsidRPr="003A48AB">
        <w:rPr>
          <w:rFonts w:ascii="Arial" w:eastAsia="Times New Roman" w:hAnsi="Arial" w:cs="Arial"/>
          <w:bdr w:val="none" w:sz="0" w:space="0" w:color="auto" w:frame="1"/>
          <w:vertAlign w:val="subscript"/>
        </w:rPr>
        <w:t>2</w:t>
      </w:r>
      <w:r w:rsidRPr="003A48AB">
        <w:rPr>
          <w:rFonts w:ascii="Arial" w:eastAsia="Times New Roman" w:hAnsi="Arial" w:cs="Arial"/>
          <w:bdr w:val="none" w:sz="0" w:space="0" w:color="auto" w:frame="1"/>
        </w:rPr>
        <w:t>O</w:t>
      </w:r>
      <w:r w:rsidRPr="003A48AB">
        <w:rPr>
          <w:rFonts w:ascii="Arial" w:eastAsia="Times New Roman" w:hAnsi="Arial" w:cs="Arial"/>
        </w:rPr>
        <w:t xml:space="preserve"> and resealed with 3M Micropore tape and grown until the formation and lysing of capsules. Developing sporophyte capsules were recorded and traced by marking and numbering them on the plate lids as they appeared. </w:t>
      </w:r>
    </w:p>
    <w:p w14:paraId="3369D557" w14:textId="77777777" w:rsidR="003A48AB" w:rsidRPr="003A48AB" w:rsidRDefault="003A48AB" w:rsidP="003A48AB">
      <w:pPr>
        <w:spacing w:after="160" w:line="360" w:lineRule="auto"/>
        <w:textAlignment w:val="baseline"/>
        <w:rPr>
          <w:rFonts w:ascii="Arial" w:eastAsia="Times New Roman" w:hAnsi="Arial" w:cs="Arial"/>
          <w:u w:val="single"/>
        </w:rPr>
      </w:pPr>
      <w:r w:rsidRPr="003A48AB">
        <w:rPr>
          <w:rFonts w:ascii="Arial" w:eastAsia="Times New Roman" w:hAnsi="Arial" w:cs="Arial"/>
          <w:u w:val="single"/>
        </w:rPr>
        <w:t>2.13 Arabidopsis propagation and growth conditions</w:t>
      </w:r>
    </w:p>
    <w:p w14:paraId="7E2A480A" w14:textId="158FB99A" w:rsidR="003A48AB" w:rsidRPr="003A48AB" w:rsidRDefault="003A48AB" w:rsidP="003A48AB">
      <w:pPr>
        <w:spacing w:after="160" w:line="360" w:lineRule="auto"/>
        <w:jc w:val="both"/>
        <w:textAlignment w:val="baseline"/>
        <w:rPr>
          <w:rFonts w:ascii="Arial" w:eastAsia="Times New Roman" w:hAnsi="Arial" w:cs="Arial"/>
          <w:bdr w:val="none" w:sz="0" w:space="0" w:color="auto" w:frame="1"/>
        </w:rPr>
      </w:pPr>
      <w:r w:rsidRPr="003A48AB">
        <w:rPr>
          <w:rFonts w:ascii="Arial" w:eastAsia="Times New Roman" w:hAnsi="Arial" w:cs="Arial"/>
          <w:i/>
          <w:bdr w:val="none" w:sz="0" w:space="0" w:color="auto" w:frame="1"/>
        </w:rPr>
        <w:t xml:space="preserve">Arabidopsis thaliana </w:t>
      </w:r>
      <w:r w:rsidRPr="003A48AB">
        <w:rPr>
          <w:rFonts w:ascii="Arial" w:eastAsia="Times New Roman" w:hAnsi="Arial" w:cs="Arial"/>
          <w:bdr w:val="none" w:sz="0" w:space="0" w:color="auto" w:frame="1"/>
        </w:rPr>
        <w:t>seeds were surface sterilised with 20% bleach for 15 minutes, rinsed in DH</w:t>
      </w:r>
      <w:r w:rsidRPr="003A48AB">
        <w:rPr>
          <w:rFonts w:ascii="Arial" w:eastAsia="Times New Roman" w:hAnsi="Arial" w:cs="Arial"/>
          <w:bdr w:val="none" w:sz="0" w:space="0" w:color="auto" w:frame="1"/>
          <w:vertAlign w:val="subscript"/>
        </w:rPr>
        <w:t>2</w:t>
      </w:r>
      <w:r w:rsidRPr="003A48AB">
        <w:rPr>
          <w:rFonts w:ascii="Arial" w:eastAsia="Times New Roman" w:hAnsi="Arial" w:cs="Arial"/>
          <w:bdr w:val="none" w:sz="0" w:space="0" w:color="auto" w:frame="1"/>
        </w:rPr>
        <w:t>O three times then re-suspended in 300µl of DH</w:t>
      </w:r>
      <w:r w:rsidRPr="003A48AB">
        <w:rPr>
          <w:rFonts w:ascii="Arial" w:eastAsia="Times New Roman" w:hAnsi="Arial" w:cs="Arial"/>
          <w:bdr w:val="none" w:sz="0" w:space="0" w:color="auto" w:frame="1"/>
          <w:vertAlign w:val="subscript"/>
        </w:rPr>
        <w:t>2</w:t>
      </w:r>
      <w:r w:rsidRPr="003A48AB">
        <w:rPr>
          <w:rFonts w:ascii="Arial" w:eastAsia="Times New Roman" w:hAnsi="Arial" w:cs="Arial"/>
          <w:bdr w:val="none" w:sz="0" w:space="0" w:color="auto" w:frame="1"/>
        </w:rPr>
        <w:t xml:space="preserve">O and stratified for 4 to 5 days at 4ºC. Seeds for growth analysis were initially sown in groups onto M3 Levington compost (LoveTheGarden.com, Surrey, UK) and </w:t>
      </w:r>
      <w:r w:rsidRPr="003A48AB">
        <w:rPr>
          <w:rFonts w:ascii="Arial" w:eastAsia="Times New Roman" w:hAnsi="Arial" w:cs="Arial"/>
        </w:rPr>
        <w:t>transferred to Conviron growth cabinets typically set to 22°C (day)/ 16°C (night) temperature cycle; 10/14hr light/dark cycle; 70% relative humidity, PAR 120 µmol m</w:t>
      </w:r>
      <w:r w:rsidRPr="003A48AB">
        <w:rPr>
          <w:rFonts w:ascii="Arial" w:eastAsia="Times New Roman" w:hAnsi="Arial" w:cs="Arial"/>
          <w:vertAlign w:val="superscript"/>
        </w:rPr>
        <w:t>-2</w:t>
      </w:r>
      <w:r w:rsidRPr="003A48AB">
        <w:rPr>
          <w:rFonts w:ascii="Arial" w:eastAsia="Times New Roman" w:hAnsi="Arial" w:cs="Arial"/>
        </w:rPr>
        <w:t>s</w:t>
      </w:r>
      <w:r w:rsidRPr="003A48AB">
        <w:rPr>
          <w:rFonts w:ascii="Arial" w:eastAsia="Times New Roman" w:hAnsi="Arial" w:cs="Arial"/>
          <w:vertAlign w:val="superscript"/>
        </w:rPr>
        <w:t>-1</w:t>
      </w:r>
      <w:r w:rsidRPr="003A48AB">
        <w:rPr>
          <w:rFonts w:ascii="Arial" w:eastAsia="Times New Roman" w:hAnsi="Arial" w:cs="Arial"/>
        </w:rPr>
        <w:t>, at ambient CO2 (approx. 400-450ppm). For native promoter complementation analysis, plants were grown at PAR 200 µmol m</w:t>
      </w:r>
      <w:r w:rsidRPr="003A48AB">
        <w:rPr>
          <w:rFonts w:ascii="Arial" w:eastAsia="Times New Roman" w:hAnsi="Arial" w:cs="Arial"/>
          <w:vertAlign w:val="superscript"/>
        </w:rPr>
        <w:t>-2</w:t>
      </w:r>
      <w:r w:rsidRPr="003A48AB">
        <w:rPr>
          <w:rFonts w:ascii="Arial" w:eastAsia="Times New Roman" w:hAnsi="Arial" w:cs="Arial"/>
        </w:rPr>
        <w:t>s</w:t>
      </w:r>
      <w:r w:rsidRPr="003A48AB">
        <w:rPr>
          <w:rFonts w:ascii="Arial" w:eastAsia="Times New Roman" w:hAnsi="Arial" w:cs="Arial"/>
          <w:vertAlign w:val="superscript"/>
        </w:rPr>
        <w:t>-1</w:t>
      </w:r>
      <w:r w:rsidRPr="003A48AB">
        <w:rPr>
          <w:rFonts w:ascii="Arial" w:eastAsia="Times New Roman" w:hAnsi="Arial" w:cs="Arial"/>
        </w:rPr>
        <w:t>.  Fully expanded leaves were collected from plants between 7 to 8 weeks after germination. For flower pedicle analysis plants wer</w:t>
      </w:r>
      <w:r w:rsidR="00DF79C2">
        <w:rPr>
          <w:rFonts w:ascii="Arial" w:eastAsia="Times New Roman" w:hAnsi="Arial" w:cs="Arial"/>
        </w:rPr>
        <w:t xml:space="preserve">e transferred from PAR 200 </w:t>
      </w:r>
      <w:r w:rsidRPr="003A48AB">
        <w:rPr>
          <w:rFonts w:ascii="Arial" w:eastAsia="Times New Roman" w:hAnsi="Arial" w:cs="Arial"/>
        </w:rPr>
        <w:t>µmol m</w:t>
      </w:r>
      <w:r w:rsidRPr="003A48AB">
        <w:rPr>
          <w:rFonts w:ascii="Arial" w:eastAsia="Times New Roman" w:hAnsi="Arial" w:cs="Arial"/>
          <w:vertAlign w:val="superscript"/>
        </w:rPr>
        <w:t>-2</w:t>
      </w:r>
      <w:r w:rsidRPr="003A48AB">
        <w:rPr>
          <w:rFonts w:ascii="Arial" w:eastAsia="Times New Roman" w:hAnsi="Arial" w:cs="Arial"/>
        </w:rPr>
        <w:t>s</w:t>
      </w:r>
      <w:r w:rsidRPr="003A48AB">
        <w:rPr>
          <w:rFonts w:ascii="Arial" w:eastAsia="Times New Roman" w:hAnsi="Arial" w:cs="Arial"/>
          <w:vertAlign w:val="superscript"/>
        </w:rPr>
        <w:t xml:space="preserve">-1 </w:t>
      </w:r>
      <w:r w:rsidR="00DF79C2">
        <w:rPr>
          <w:rFonts w:ascii="Arial" w:eastAsia="Times New Roman" w:hAnsi="Arial" w:cs="Arial"/>
        </w:rPr>
        <w:t>light to PAR 120</w:t>
      </w:r>
      <w:r w:rsidRPr="003A48AB">
        <w:rPr>
          <w:rFonts w:ascii="Arial" w:eastAsia="Times New Roman" w:hAnsi="Arial" w:cs="Arial"/>
        </w:rPr>
        <w:t xml:space="preserve"> µmol m</w:t>
      </w:r>
      <w:r w:rsidRPr="003A48AB">
        <w:rPr>
          <w:rFonts w:ascii="Arial" w:eastAsia="Times New Roman" w:hAnsi="Arial" w:cs="Arial"/>
          <w:vertAlign w:val="superscript"/>
        </w:rPr>
        <w:t>-2</w:t>
      </w:r>
      <w:r w:rsidRPr="003A48AB">
        <w:rPr>
          <w:rFonts w:ascii="Arial" w:eastAsia="Times New Roman" w:hAnsi="Arial" w:cs="Arial"/>
        </w:rPr>
        <w:t>s</w:t>
      </w:r>
      <w:r w:rsidRPr="003A48AB">
        <w:rPr>
          <w:rFonts w:ascii="Arial" w:eastAsia="Times New Roman" w:hAnsi="Arial" w:cs="Arial"/>
          <w:vertAlign w:val="superscript"/>
        </w:rPr>
        <w:t>-1</w:t>
      </w:r>
      <w:r w:rsidRPr="003A48AB">
        <w:rPr>
          <w:rFonts w:ascii="Arial" w:eastAsia="Times New Roman" w:hAnsi="Arial" w:cs="Arial"/>
        </w:rPr>
        <w:t xml:space="preserve"> to provide enough space for flowers to develop after 8 weeks. After a further 6 weeks, flower stalks were collected and placed into a modified </w:t>
      </w:r>
      <w:r w:rsidRPr="003A48AB">
        <w:rPr>
          <w:rFonts w:ascii="Arial" w:eastAsia="Times New Roman" w:hAnsi="Arial" w:cs="Arial"/>
          <w:bdr w:val="none" w:sz="0" w:space="0" w:color="auto" w:frame="1"/>
        </w:rPr>
        <w:t xml:space="preserve">Carnoy’s solution (2:1 Ethanol: Glacial acetic acid). </w:t>
      </w:r>
    </w:p>
    <w:p w14:paraId="371A94E1" w14:textId="7429CC64" w:rsidR="003A48AB" w:rsidRPr="003A48AB" w:rsidRDefault="003A48AB" w:rsidP="003A48AB">
      <w:pPr>
        <w:spacing w:after="160" w:line="360" w:lineRule="auto"/>
        <w:jc w:val="both"/>
        <w:textAlignment w:val="baseline"/>
        <w:rPr>
          <w:rFonts w:ascii="Arial" w:eastAsia="Times New Roman" w:hAnsi="Arial" w:cs="Arial"/>
        </w:rPr>
      </w:pPr>
      <w:r w:rsidRPr="003A48AB">
        <w:rPr>
          <w:rFonts w:ascii="Arial" w:eastAsia="Times New Roman" w:hAnsi="Arial" w:cs="Arial"/>
        </w:rPr>
        <w:t xml:space="preserve">For selection of </w:t>
      </w:r>
      <w:r w:rsidR="005B2645">
        <w:rPr>
          <w:rFonts w:ascii="Arial" w:eastAsia="Times New Roman" w:hAnsi="Arial" w:cs="Arial"/>
        </w:rPr>
        <w:t>transgenic plants, seeds were so</w:t>
      </w:r>
      <w:r w:rsidRPr="003A48AB">
        <w:rPr>
          <w:rFonts w:ascii="Arial" w:eastAsia="Times New Roman" w:hAnsi="Arial" w:cs="Arial"/>
        </w:rPr>
        <w:t>wn onto selection plates and placed into in a Snijders Scientific ECD01E growth cabinet (Tilburg, Netherlands) set to 22°C; 16/8 hr light/dark cycle; PAR 100 µmol µmol m</w:t>
      </w:r>
      <w:r w:rsidRPr="003A48AB">
        <w:rPr>
          <w:rFonts w:ascii="Arial" w:eastAsia="Times New Roman" w:hAnsi="Arial" w:cs="Arial"/>
          <w:vertAlign w:val="superscript"/>
        </w:rPr>
        <w:t>-2</w:t>
      </w:r>
      <w:r w:rsidRPr="003A48AB">
        <w:rPr>
          <w:rFonts w:ascii="Arial" w:eastAsia="Times New Roman" w:hAnsi="Arial" w:cs="Arial"/>
        </w:rPr>
        <w:t>s</w:t>
      </w:r>
      <w:r w:rsidRPr="003A48AB">
        <w:rPr>
          <w:rFonts w:ascii="Arial" w:eastAsia="Times New Roman" w:hAnsi="Arial" w:cs="Arial"/>
          <w:vertAlign w:val="superscript"/>
        </w:rPr>
        <w:t>-1</w:t>
      </w:r>
      <w:r w:rsidRPr="003A48AB">
        <w:rPr>
          <w:rFonts w:ascii="Arial" w:eastAsia="Times New Roman" w:hAnsi="Arial" w:cs="Arial"/>
        </w:rPr>
        <w:t>, at ambient CO2 (approx. 400-450ppm). After 10 days, selected plants were transplanted to Levington M3 soil and grown under either short or long day conditions to produce seed for subsequent generations.</w:t>
      </w:r>
    </w:p>
    <w:p w14:paraId="11CE4F49" w14:textId="77777777" w:rsidR="003A48AB" w:rsidRPr="003A48AB" w:rsidRDefault="003A48AB" w:rsidP="003A48AB">
      <w:pPr>
        <w:spacing w:after="160" w:line="360" w:lineRule="auto"/>
        <w:textAlignment w:val="baseline"/>
        <w:rPr>
          <w:rFonts w:ascii="Arial" w:eastAsia="Times New Roman" w:hAnsi="Arial" w:cs="Arial"/>
          <w:u w:val="single"/>
          <w:bdr w:val="none" w:sz="0" w:space="0" w:color="auto" w:frame="1"/>
        </w:rPr>
      </w:pPr>
      <w:r w:rsidRPr="003A48AB">
        <w:rPr>
          <w:rFonts w:ascii="Arial" w:eastAsia="Times New Roman" w:hAnsi="Arial" w:cs="Arial"/>
          <w:u w:val="single"/>
          <w:bdr w:val="none" w:sz="0" w:space="0" w:color="auto" w:frame="1"/>
        </w:rPr>
        <w:t>2.14 Arabidopsis sample preparation, microscopy and image processing</w:t>
      </w:r>
    </w:p>
    <w:p w14:paraId="32C46B4D" w14:textId="77777777" w:rsidR="003A48AB" w:rsidRPr="003A48AB" w:rsidRDefault="003A48AB" w:rsidP="003A48AB">
      <w:pPr>
        <w:spacing w:after="160" w:line="360" w:lineRule="auto"/>
        <w:textAlignment w:val="baseline"/>
        <w:rPr>
          <w:rFonts w:ascii="Arial" w:eastAsia="Times New Roman" w:hAnsi="Arial" w:cs="Arial"/>
          <w:b/>
          <w:u w:val="single"/>
          <w:bdr w:val="none" w:sz="0" w:space="0" w:color="auto" w:frame="1"/>
        </w:rPr>
      </w:pPr>
      <w:r w:rsidRPr="003A48AB">
        <w:rPr>
          <w:rFonts w:ascii="Arial" w:eastAsia="Times New Roman" w:hAnsi="Arial" w:cs="Arial"/>
          <w:bdr w:val="none" w:sz="0" w:space="0" w:color="auto" w:frame="1"/>
        </w:rPr>
        <w:t xml:space="preserve">Fully expanded </w:t>
      </w:r>
      <w:r w:rsidRPr="003A48AB">
        <w:rPr>
          <w:rFonts w:ascii="Arial" w:eastAsia="Times New Roman" w:hAnsi="Arial" w:cs="Arial"/>
          <w:i/>
          <w:bdr w:val="none" w:sz="0" w:space="0" w:color="auto" w:frame="1"/>
        </w:rPr>
        <w:t>Arabidopsis</w:t>
      </w:r>
      <w:r w:rsidRPr="003A48AB">
        <w:rPr>
          <w:rFonts w:ascii="Arial" w:eastAsia="Times New Roman" w:hAnsi="Arial" w:cs="Arial"/>
          <w:bdr w:val="none" w:sz="0" w:space="0" w:color="auto" w:frame="1"/>
        </w:rPr>
        <w:t xml:space="preserve"> leaves were excised and impressions made using President Plus regular body dental putty (Coletene/ Whaledent, Ohio, USA). Nail varnish impressions were produced from the impressions and mounted on glass slides. In each experiment 1 leaf per sample was analysed with either 2 or 3 fields of view counted for stomatal phenotyping. Imaging was performed on an Olympus BX-51 microscope (Olympus, Japan). Excised flower stalks were cleared in a modified Carnoy’s solution (2:1 Ethanol: Glacial acetic acid). After 5 days, old </w:t>
      </w:r>
      <w:r w:rsidRPr="003A48AB">
        <w:rPr>
          <w:rFonts w:ascii="Arial" w:eastAsia="Times New Roman" w:hAnsi="Arial" w:cs="Arial"/>
          <w:bdr w:val="none" w:sz="0" w:space="0" w:color="auto" w:frame="1"/>
        </w:rPr>
        <w:lastRenderedPageBreak/>
        <w:t>Carnoy’s solution was removed and replaced as to properly clear samples. Imaging was performed 3 to 4 days later. Stalks were dissected longitudinally and placed in a Diphenylboric acid-2-aminoethyl ester (DPBA) solution (0.5% DPBA</w:t>
      </w:r>
      <w:r w:rsidRPr="003A48AB">
        <w:rPr>
          <w:rFonts w:ascii="Arial" w:eastAsia="Times New Roman" w:hAnsi="Arial" w:cs="Arial"/>
        </w:rPr>
        <w:t xml:space="preserve"> (Sigma-Aldrich, UK)</w:t>
      </w:r>
      <w:r w:rsidRPr="003A48AB">
        <w:rPr>
          <w:rFonts w:ascii="Arial" w:eastAsia="Times New Roman" w:hAnsi="Arial" w:cs="Arial"/>
          <w:bdr w:val="none" w:sz="0" w:space="0" w:color="auto" w:frame="1"/>
        </w:rPr>
        <w:t>, 0.1% Triton X-100 (v/v)) for 30 seconds. Samples were then mounted in water beneath a bridge of cover slides in DH</w:t>
      </w:r>
      <w:r w:rsidRPr="003A48AB">
        <w:rPr>
          <w:rFonts w:ascii="Arial" w:eastAsia="Times New Roman" w:hAnsi="Arial" w:cs="Arial"/>
          <w:bdr w:val="none" w:sz="0" w:space="0" w:color="auto" w:frame="1"/>
          <w:vertAlign w:val="subscript"/>
        </w:rPr>
        <w:t>2</w:t>
      </w:r>
      <w:r w:rsidRPr="003A48AB">
        <w:rPr>
          <w:rFonts w:ascii="Arial" w:eastAsia="Times New Roman" w:hAnsi="Arial" w:cs="Arial"/>
          <w:bdr w:val="none" w:sz="0" w:space="0" w:color="auto" w:frame="1"/>
        </w:rPr>
        <w:t>O. Imaging was performed on an Olympus BX-51 microscope with accompanying 400nm wavelength fluorescence produced by pE-2 UV Fluorescence Light Source (CoolLED, Andover, UK). A 455nm emission filter was used to capture fluorescence. To capture topographical detail several images were taken of each stalk area and stacked using ImageJ. An area of 180.26 x 262.56µm was counted for flower stalk bases approximately 300µm from where the stalk was excised from the main stem. For middle regions, a 180.26 x 262.56µm area from the middle of the stem was counted. For apical regions, counts were performed on a 250.26 x 262.56µm area that was approximate 150µm from the absolute apex of the stalk, counts were then multiplied to provide values per mm</w:t>
      </w:r>
      <w:r w:rsidRPr="003A48AB">
        <w:rPr>
          <w:rFonts w:ascii="Arial" w:eastAsia="Times New Roman" w:hAnsi="Arial" w:cs="Arial"/>
          <w:bdr w:val="none" w:sz="0" w:space="0" w:color="auto" w:frame="1"/>
          <w:vertAlign w:val="superscript"/>
        </w:rPr>
        <w:t>2</w:t>
      </w:r>
      <w:r w:rsidRPr="003A48AB">
        <w:rPr>
          <w:rFonts w:ascii="Arial" w:eastAsia="Times New Roman" w:hAnsi="Arial" w:cs="Arial"/>
          <w:bdr w:val="none" w:sz="0" w:space="0" w:color="auto" w:frame="1"/>
        </w:rPr>
        <w:t xml:space="preserve">. </w:t>
      </w:r>
    </w:p>
    <w:p w14:paraId="34554343" w14:textId="77777777" w:rsidR="003A48AB" w:rsidRPr="003A48AB" w:rsidRDefault="003A48AB" w:rsidP="003A48AB">
      <w:pPr>
        <w:spacing w:after="160" w:line="360" w:lineRule="auto"/>
        <w:rPr>
          <w:rFonts w:ascii="Arial" w:eastAsia="MS Mincho" w:hAnsi="Arial" w:cs="Arial"/>
          <w:lang w:eastAsia="ja-JP"/>
        </w:rPr>
      </w:pPr>
      <w:r w:rsidRPr="003A48AB">
        <w:rPr>
          <w:rFonts w:ascii="Arial" w:eastAsia="Times New Roman" w:hAnsi="Arial" w:cs="Arial"/>
          <w:kern w:val="36"/>
          <w:u w:val="single"/>
          <w:lang w:eastAsia="ja-JP"/>
        </w:rPr>
        <w:t>2.15 Arabidopsis</w:t>
      </w:r>
      <w:r w:rsidRPr="003A48AB">
        <w:rPr>
          <w:rFonts w:ascii="Arial" w:eastAsia="Times New Roman" w:hAnsi="Arial" w:cs="Arial"/>
          <w:i/>
          <w:kern w:val="36"/>
          <w:u w:val="single"/>
          <w:lang w:eastAsia="ja-JP"/>
        </w:rPr>
        <w:t xml:space="preserve"> </w:t>
      </w:r>
      <w:r w:rsidRPr="003A48AB">
        <w:rPr>
          <w:rFonts w:ascii="Arial" w:eastAsia="Times New Roman" w:hAnsi="Arial" w:cs="Arial"/>
          <w:kern w:val="36"/>
          <w:u w:val="single"/>
          <w:lang w:eastAsia="ja-JP"/>
        </w:rPr>
        <w:t>complementation construct design and manufacture</w:t>
      </w:r>
      <w:r w:rsidRPr="003A48AB">
        <w:rPr>
          <w:rFonts w:ascii="Arial" w:eastAsia="Times New Roman" w:hAnsi="Arial" w:cs="Arial"/>
          <w:i/>
          <w:kern w:val="36"/>
          <w:u w:val="single"/>
          <w:lang w:eastAsia="ja-JP"/>
        </w:rPr>
        <w:t xml:space="preserve">  </w:t>
      </w:r>
    </w:p>
    <w:p w14:paraId="46023675" w14:textId="7C972706" w:rsidR="003A48AB" w:rsidRPr="003A48AB" w:rsidRDefault="003A48AB" w:rsidP="003A48AB">
      <w:pPr>
        <w:shd w:val="clear" w:color="auto" w:fill="FFFFFF"/>
        <w:spacing w:after="160" w:line="360" w:lineRule="auto"/>
        <w:rPr>
          <w:rFonts w:ascii="Arial" w:eastAsia="MS Mincho" w:hAnsi="Arial" w:cs="Arial"/>
          <w:kern w:val="36"/>
          <w:lang w:eastAsia="ja-JP"/>
        </w:rPr>
      </w:pPr>
      <w:r w:rsidRPr="003A48AB">
        <w:rPr>
          <w:rFonts w:ascii="Arial" w:eastAsia="MS Mincho" w:hAnsi="Arial" w:cs="Arial"/>
          <w:bdr w:val="none" w:sz="0" w:space="0" w:color="auto" w:frame="1"/>
          <w:lang w:eastAsia="ja-JP"/>
        </w:rPr>
        <w:t xml:space="preserve">Like with </w:t>
      </w:r>
      <w:r w:rsidRPr="003A48AB">
        <w:rPr>
          <w:rFonts w:ascii="Arial" w:eastAsia="MS Mincho" w:hAnsi="Arial" w:cs="Arial"/>
          <w:i/>
          <w:bdr w:val="none" w:sz="0" w:space="0" w:color="auto" w:frame="1"/>
          <w:lang w:eastAsia="ja-JP"/>
        </w:rPr>
        <w:t xml:space="preserve">P. patens </w:t>
      </w:r>
      <w:r w:rsidRPr="003A48AB">
        <w:rPr>
          <w:rFonts w:ascii="Arial" w:eastAsia="MS Mincho" w:hAnsi="Arial" w:cs="Arial"/>
          <w:bdr w:val="none" w:sz="0" w:space="0" w:color="auto" w:frame="1"/>
          <w:lang w:eastAsia="ja-JP"/>
        </w:rPr>
        <w:t xml:space="preserve">cloning (see also section 2.8), plasmids were engineered using a combination of Gateway Cloning System (Invitrogen) and conventional cloning techniques. </w:t>
      </w:r>
      <w:r w:rsidRPr="003A48AB">
        <w:rPr>
          <w:rFonts w:ascii="Arial" w:eastAsia="Times New Roman" w:hAnsi="Arial" w:cs="Arial"/>
          <w:kern w:val="36"/>
          <w:lang w:eastAsia="ja-JP"/>
        </w:rPr>
        <w:t xml:space="preserve">For the production of </w:t>
      </w:r>
      <w:r w:rsidRPr="003A48AB">
        <w:rPr>
          <w:rFonts w:ascii="Arial" w:eastAsia="Times New Roman" w:hAnsi="Arial" w:cs="Arial"/>
          <w:i/>
          <w:kern w:val="36"/>
          <w:lang w:eastAsia="ja-JP"/>
        </w:rPr>
        <w:t xml:space="preserve">PpEPF1 </w:t>
      </w:r>
      <w:r w:rsidRPr="003A48AB">
        <w:rPr>
          <w:rFonts w:ascii="Arial" w:eastAsia="Times New Roman" w:hAnsi="Arial" w:cs="Arial"/>
          <w:kern w:val="36"/>
          <w:lang w:eastAsia="ja-JP"/>
        </w:rPr>
        <w:t xml:space="preserve">coding sequence promoter fusions to either the </w:t>
      </w:r>
      <w:r w:rsidRPr="003A48AB">
        <w:rPr>
          <w:rFonts w:ascii="Arial" w:eastAsia="Times New Roman" w:hAnsi="Arial" w:cs="Arial"/>
          <w:i/>
          <w:kern w:val="36"/>
          <w:lang w:eastAsia="ja-JP"/>
        </w:rPr>
        <w:t xml:space="preserve">AtEPF2 </w:t>
      </w:r>
      <w:r w:rsidRPr="003A48AB">
        <w:rPr>
          <w:rFonts w:ascii="Arial" w:eastAsia="Times New Roman" w:hAnsi="Arial" w:cs="Arial"/>
          <w:kern w:val="36"/>
          <w:lang w:eastAsia="ja-JP"/>
        </w:rPr>
        <w:t xml:space="preserve">or </w:t>
      </w:r>
      <w:r w:rsidRPr="003A48AB">
        <w:rPr>
          <w:rFonts w:ascii="Arial" w:eastAsia="Times New Roman" w:hAnsi="Arial" w:cs="Arial"/>
          <w:i/>
          <w:kern w:val="36"/>
          <w:lang w:eastAsia="ja-JP"/>
        </w:rPr>
        <w:t xml:space="preserve">AtEPF1 </w:t>
      </w:r>
      <w:r w:rsidRPr="003A48AB">
        <w:rPr>
          <w:rFonts w:ascii="Arial" w:eastAsia="Times New Roman" w:hAnsi="Arial" w:cs="Arial"/>
          <w:kern w:val="36"/>
          <w:lang w:eastAsia="ja-JP"/>
        </w:rPr>
        <w:t xml:space="preserve">promoter the pMDC99 </w:t>
      </w:r>
      <w:r w:rsidRPr="003A48AB">
        <w:rPr>
          <w:rFonts w:ascii="Arial" w:eastAsia="Times New Roman" w:hAnsi="Arial" w:cs="Arial"/>
          <w:kern w:val="36"/>
          <w:lang w:eastAsia="ja-JP"/>
        </w:rPr>
        <w:fldChar w:fldCharType="begin"/>
      </w:r>
      <w:r w:rsidRPr="003A48AB">
        <w:rPr>
          <w:rFonts w:ascii="Arial" w:eastAsia="Times New Roman" w:hAnsi="Arial" w:cs="Arial"/>
          <w:kern w:val="36"/>
          <w:lang w:eastAsia="ja-JP"/>
        </w:rPr>
        <w:instrText xml:space="preserve"> ADDIN EN.CITE &lt;EndNote&gt;&lt;Cite&gt;&lt;Author&gt;Curtis&lt;/Author&gt;&lt;Year&gt;2003&lt;/Year&gt;&lt;IDText&gt;A Gateway Cloning Vector Set for High-Throughput Functional Analysis of Genes in Planta&lt;/IDText&gt;&lt;DisplayText&gt;(Curtis and Grossniklaus, 2003)&lt;/DisplayText&gt;&lt;record&gt;&lt;dates&gt;&lt;pub-dates&gt;&lt;date&gt;06/02/received&amp;#xD;06/17/revised&amp;#xD;06/25/accepted&lt;/date&gt;&lt;/pub-dates&gt;&lt;year&gt;2003&lt;/year&gt;&lt;/dates&gt;&lt;urls&gt;&lt;related-urls&gt;&lt;url&gt;http://www.ncbi.nlm.nih.gov/pmc/articles/PMC523872/&lt;/url&gt;&lt;/related-urls&gt;&lt;/urls&gt;&lt;isbn&gt;0032-0889&amp;#xD;1532-2548&lt;/isbn&gt;&lt;titles&gt;&lt;title&gt;A Gateway Cloning Vector Set for High-Throughput Functional Analysis of Genes in Planta&lt;/title&gt;&lt;secondary-title&gt;Plant Physiology&lt;/secondary-title&gt;&lt;/titles&gt;&lt;pages&gt;462-469&lt;/pages&gt;&lt;number&gt;2&lt;/number&gt;&lt;contributors&gt;&lt;authors&gt;&lt;author&gt;Curtis, Mark D.&lt;/author&gt;&lt;author&gt;Grossniklaus, Ueli&lt;/author&gt;&lt;/authors&gt;&lt;/contributors&gt;&lt;added-date format="utc"&gt;1452772487&lt;/added-date&gt;&lt;ref-type name="Journal Article"&gt;17&lt;/ref-type&gt;&lt;rec-number&gt;426&lt;/rec-number&gt;&lt;publisher&gt;The American Society for Plant Biologists&lt;/publisher&gt;&lt;last-updated-date format="utc"&gt;1452772487&lt;/last-updated-date&gt;&lt;accession-num&gt;PMC523872&lt;/accession-num&gt;&lt;electronic-resource-num&gt;10.1104/pp.103.027979&lt;/electronic-resource-num&gt;&lt;volume&gt;133&lt;/volume&gt;&lt;remote-database-name&gt;PMC&lt;/remote-database-name&gt;&lt;/record&gt;&lt;/Cite&gt;&lt;/EndNote&gt;</w:instrText>
      </w:r>
      <w:r w:rsidRPr="003A48AB">
        <w:rPr>
          <w:rFonts w:ascii="Arial" w:eastAsia="Times New Roman" w:hAnsi="Arial" w:cs="Arial"/>
          <w:kern w:val="36"/>
          <w:lang w:eastAsia="ja-JP"/>
        </w:rPr>
        <w:fldChar w:fldCharType="separate"/>
      </w:r>
      <w:r w:rsidRPr="003A48AB">
        <w:rPr>
          <w:rFonts w:ascii="Arial" w:eastAsia="Times New Roman" w:hAnsi="Arial" w:cs="Arial"/>
          <w:noProof/>
          <w:kern w:val="36"/>
          <w:lang w:eastAsia="ja-JP"/>
        </w:rPr>
        <w:t>(Curtis and Grossniklaus, 2003)</w:t>
      </w:r>
      <w:r w:rsidRPr="003A48AB">
        <w:rPr>
          <w:rFonts w:ascii="Arial" w:eastAsia="Times New Roman" w:hAnsi="Arial" w:cs="Arial"/>
          <w:kern w:val="36"/>
          <w:lang w:eastAsia="ja-JP"/>
        </w:rPr>
        <w:fldChar w:fldCharType="end"/>
      </w:r>
      <w:r w:rsidRPr="003A48AB">
        <w:rPr>
          <w:rFonts w:ascii="Arial" w:eastAsia="Times New Roman" w:hAnsi="Arial" w:cs="Arial"/>
          <w:kern w:val="36"/>
          <w:lang w:eastAsia="ja-JP"/>
        </w:rPr>
        <w:t xml:space="preserve"> vector was used. Promoters sequences identified by Lee Hunt </w:t>
      </w:r>
      <w:r w:rsidRPr="003A48AB">
        <w:rPr>
          <w:rFonts w:ascii="Arial" w:eastAsia="Times New Roman" w:hAnsi="Arial" w:cs="Arial"/>
          <w:kern w:val="36"/>
          <w:lang w:eastAsia="ja-JP"/>
        </w:rPr>
        <w:fldChar w:fldCharType="begin"/>
      </w:r>
      <w:r w:rsidR="00417B1E">
        <w:rPr>
          <w:rFonts w:ascii="Arial" w:eastAsia="Times New Roman" w:hAnsi="Arial" w:cs="Arial"/>
          <w:kern w:val="36"/>
          <w:lang w:eastAsia="ja-JP"/>
        </w:rPr>
        <w:instrText xml:space="preserve"> ADDIN EN.CITE &lt;EndNote&gt;&lt;Cite&gt;&lt;Author&gt;Hunt&lt;/Author&gt;&lt;Year&gt;2009&lt;/Year&gt;&lt;IDText&gt;The Signaling Peptide EPF2 Controls Asymmetric Cell Divisions during Stomatal Development&lt;/IDText&gt;&lt;DisplayText&gt;(Hunt and Gray, 2009)&lt;/DisplayText&gt;&lt;record&gt;&lt;dates&gt;&lt;pub-dates&gt;&lt;date&gt;May&lt;/date&gt;&lt;/pub-dates&gt;&lt;year&gt;2009&lt;/year&gt;&lt;/dates&gt;&lt;keywords&gt;&lt;keyword&gt;ARABIDOPSIS-THALIANA&lt;/keyword&gt;&lt;keyword&gt;MEDIATED REGULATION&lt;/keyword&gt;&lt;keyword&gt;DIFFERENTIATION&lt;/keyword&gt;&lt;keyword&gt;TRANSFORMATION&lt;/keyword&gt;&lt;keyword&gt;KINASES&lt;/keyword&gt;&lt;keyword&gt;PLANTS&lt;/keyword&gt;&lt;keyword&gt;TAG&lt;/keyword&gt;&lt;/keywords&gt;&lt;urls&gt;&lt;related-urls&gt;&lt;url&gt;&amp;lt;Go to ISI&amp;gt;://WOS:000266469800029&lt;/url&gt;&lt;/related-urls&gt;&lt;/urls&gt;&lt;isbn&gt;0960-9822&lt;/isbn&gt;&lt;work-type&gt;Article&lt;/work-type&gt;&lt;titles&gt;&lt;title&gt;The Signaling Peptide EPF2 Controls Asymmetric Cell Divisions during Stomatal Development&lt;/title&gt;&lt;secondary-title&gt;Current Biology&lt;/secondary-title&gt;&lt;alt-title&gt;Curr. Biol.&lt;/alt-title&gt;&lt;/titles&gt;&lt;pages&gt;864-869&lt;/pages&gt;&lt;number&gt;10&lt;/number&gt;&lt;contributors&gt;&lt;authors&gt;&lt;author&gt;Hunt, L.&lt;/author&gt;&lt;author&gt;Gray, J. E.&lt;/author&gt;&lt;/authors&gt;&lt;/contributors&gt;&lt;language&gt;English&lt;/language&gt;&lt;added-date format="utc"&gt;1351502294&lt;/added-date&gt;&lt;ref-type name="Journal Article"&gt;17&lt;/ref-type&gt;&lt;auth-address&gt;[Hunt, Lee&amp;#xD;Gray, Julie E.] Univ Sheffield, Dept Mol Biol &amp;amp; Biotechnol, Western Bank, Sheffield S10 2TN, S Yorkshire, England.&amp;#xD;Gray, JE (reprint author), Univ Sheffield, Dept Mol Biol &amp;amp; Biotechnol, Western Bank, Sheffield S10 2TN, S Yorkshire, England.&amp;#xD;j.e.gray@sheffield.ac.uk&lt;/auth-address&gt;&lt;rec-number&gt;11&lt;/rec-number&gt;&lt;last-updated-date format="utc"&gt;1351502294&lt;/last-updated-date&gt;&lt;accession-num&gt;WOS:000266469800029&lt;/accession-num&gt;&lt;electronic-resource-num&gt;10.1016/j.cub.2009.03.069&lt;/electronic-resource-num&gt;&lt;volume&gt;19&lt;/volume&gt;&lt;/record&gt;&lt;/Cite&gt;&lt;/EndNote&gt;</w:instrText>
      </w:r>
      <w:r w:rsidRPr="003A48AB">
        <w:rPr>
          <w:rFonts w:ascii="Arial" w:eastAsia="Times New Roman" w:hAnsi="Arial" w:cs="Arial"/>
          <w:kern w:val="36"/>
          <w:lang w:eastAsia="ja-JP"/>
        </w:rPr>
        <w:fldChar w:fldCharType="separate"/>
      </w:r>
      <w:r w:rsidRPr="003A48AB">
        <w:rPr>
          <w:rFonts w:ascii="Arial" w:eastAsia="Times New Roman" w:hAnsi="Arial" w:cs="Arial"/>
          <w:noProof/>
          <w:kern w:val="36"/>
          <w:lang w:eastAsia="ja-JP"/>
        </w:rPr>
        <w:t>(Hunt and Gray, 2009)</w:t>
      </w:r>
      <w:r w:rsidRPr="003A48AB">
        <w:rPr>
          <w:rFonts w:ascii="Arial" w:eastAsia="Times New Roman" w:hAnsi="Arial" w:cs="Arial"/>
          <w:kern w:val="36"/>
          <w:lang w:eastAsia="ja-JP"/>
        </w:rPr>
        <w:fldChar w:fldCharType="end"/>
      </w:r>
      <w:r w:rsidRPr="003A48AB">
        <w:rPr>
          <w:rFonts w:ascii="Arial" w:eastAsia="Times New Roman" w:hAnsi="Arial" w:cs="Arial"/>
          <w:kern w:val="36"/>
          <w:lang w:eastAsia="ja-JP"/>
        </w:rPr>
        <w:t xml:space="preserve"> (see Primer table 1) were amplified from either genomic DNA (</w:t>
      </w:r>
      <w:r w:rsidRPr="003A48AB">
        <w:rPr>
          <w:rFonts w:ascii="Arial" w:eastAsia="Times New Roman" w:hAnsi="Arial" w:cs="Arial"/>
          <w:i/>
          <w:kern w:val="36"/>
          <w:lang w:eastAsia="ja-JP"/>
        </w:rPr>
        <w:t xml:space="preserve">AtEPF1) </w:t>
      </w:r>
      <w:r w:rsidRPr="003A48AB">
        <w:rPr>
          <w:rFonts w:ascii="Arial" w:eastAsia="Times New Roman" w:hAnsi="Arial" w:cs="Arial"/>
          <w:kern w:val="36"/>
          <w:lang w:eastAsia="ja-JP"/>
        </w:rPr>
        <w:t>or from a pMDC99 vector (</w:t>
      </w:r>
      <w:r w:rsidRPr="003A48AB">
        <w:rPr>
          <w:rFonts w:ascii="Arial" w:eastAsia="Times New Roman" w:hAnsi="Arial" w:cs="Arial"/>
          <w:i/>
          <w:kern w:val="36"/>
          <w:lang w:eastAsia="ja-JP"/>
        </w:rPr>
        <w:t>AtEPF2</w:t>
      </w:r>
      <w:r w:rsidRPr="003A48AB">
        <w:rPr>
          <w:rFonts w:ascii="Arial" w:eastAsia="Times New Roman" w:hAnsi="Arial" w:cs="Arial"/>
          <w:kern w:val="36"/>
          <w:lang w:eastAsia="ja-JP"/>
        </w:rPr>
        <w:t>)</w:t>
      </w:r>
      <w:r w:rsidRPr="003A48AB">
        <w:rPr>
          <w:rFonts w:ascii="Arial" w:eastAsia="Times New Roman" w:hAnsi="Arial" w:cs="Arial"/>
          <w:i/>
          <w:kern w:val="36"/>
          <w:lang w:eastAsia="ja-JP"/>
        </w:rPr>
        <w:t xml:space="preserve"> </w:t>
      </w:r>
      <w:r w:rsidRPr="003A48AB">
        <w:rPr>
          <w:rFonts w:ascii="Arial" w:eastAsia="Times New Roman" w:hAnsi="Arial" w:cs="Arial"/>
          <w:kern w:val="36"/>
          <w:lang w:eastAsia="ja-JP"/>
        </w:rPr>
        <w:t xml:space="preserve">kindly supplied by Dr Lee Hunt. The pMCD99 vector was digested with KPNI and then treated with DNA Polymerase I to produce blunt ends. The </w:t>
      </w:r>
      <w:r w:rsidRPr="003A48AB">
        <w:rPr>
          <w:rFonts w:ascii="Arial" w:eastAsia="Times New Roman" w:hAnsi="Arial" w:cs="Arial"/>
          <w:i/>
          <w:kern w:val="36"/>
          <w:lang w:eastAsia="ja-JP"/>
        </w:rPr>
        <w:t xml:space="preserve">AtEPF1 </w:t>
      </w:r>
      <w:r w:rsidRPr="003A48AB">
        <w:rPr>
          <w:rFonts w:ascii="Arial" w:eastAsia="Times New Roman" w:hAnsi="Arial" w:cs="Arial"/>
          <w:kern w:val="36"/>
          <w:lang w:eastAsia="ja-JP"/>
        </w:rPr>
        <w:t xml:space="preserve">and </w:t>
      </w:r>
      <w:r w:rsidRPr="003A48AB">
        <w:rPr>
          <w:rFonts w:ascii="Arial" w:eastAsia="Times New Roman" w:hAnsi="Arial" w:cs="Arial"/>
          <w:i/>
          <w:kern w:val="36"/>
          <w:lang w:eastAsia="ja-JP"/>
        </w:rPr>
        <w:t xml:space="preserve">AtEPF2 </w:t>
      </w:r>
      <w:r w:rsidRPr="003A48AB">
        <w:rPr>
          <w:rFonts w:ascii="Arial" w:eastAsia="Times New Roman" w:hAnsi="Arial" w:cs="Arial"/>
          <w:kern w:val="36"/>
          <w:lang w:eastAsia="ja-JP"/>
        </w:rPr>
        <w:t xml:space="preserve">were then ligated into separate pMDC99 vectors using DNA ligase. The pMDC99::pATEPF1 plasmid was cut with ASC1, blunt ended using DNA polymerase I and ligated to a </w:t>
      </w:r>
      <w:r w:rsidRPr="003A48AB">
        <w:rPr>
          <w:rFonts w:ascii="Arial" w:eastAsia="Times New Roman" w:hAnsi="Arial" w:cs="Arial"/>
          <w:i/>
          <w:kern w:val="36"/>
          <w:lang w:eastAsia="ja-JP"/>
        </w:rPr>
        <w:t>PpEPF1</w:t>
      </w:r>
      <w:r w:rsidRPr="003A48AB">
        <w:rPr>
          <w:rFonts w:ascii="Arial" w:eastAsia="Times New Roman" w:hAnsi="Arial" w:cs="Arial"/>
          <w:kern w:val="36"/>
          <w:lang w:eastAsia="ja-JP"/>
        </w:rPr>
        <w:t xml:space="preserve"> transcript obtained from full length wild-type </w:t>
      </w:r>
      <w:r w:rsidRPr="003A48AB">
        <w:rPr>
          <w:rFonts w:ascii="Arial" w:eastAsia="Times New Roman" w:hAnsi="Arial" w:cs="Arial"/>
          <w:i/>
          <w:kern w:val="36"/>
          <w:lang w:eastAsia="ja-JP"/>
        </w:rPr>
        <w:t xml:space="preserve">P. patens </w:t>
      </w:r>
      <w:r w:rsidRPr="003A48AB">
        <w:rPr>
          <w:rFonts w:ascii="Arial" w:eastAsia="Times New Roman" w:hAnsi="Arial" w:cs="Arial"/>
          <w:kern w:val="36"/>
          <w:lang w:eastAsia="ja-JP"/>
        </w:rPr>
        <w:t xml:space="preserve">cDNA (see Table 1). The pMDC99::AtEPF1::PpEPF1 vector was then used as template to amplify PpEPF1 with ASCI and PACI sites incorporated at the ends (see Table 1). The pMDC99::AtEPF2 vector was then digested with ASC1 and PACI and the PpEPF1 transcript with complimentary ends ligated adjacent to </w:t>
      </w:r>
      <w:r w:rsidRPr="003A48AB">
        <w:rPr>
          <w:rFonts w:ascii="Arial" w:eastAsia="Times New Roman" w:hAnsi="Arial" w:cs="Arial"/>
          <w:i/>
          <w:kern w:val="36"/>
          <w:lang w:eastAsia="ja-JP"/>
        </w:rPr>
        <w:t>AtEPF2</w:t>
      </w:r>
      <w:r w:rsidRPr="003A48AB">
        <w:rPr>
          <w:rFonts w:ascii="Arial" w:eastAsia="Times New Roman" w:hAnsi="Arial" w:cs="Arial"/>
          <w:kern w:val="36"/>
          <w:lang w:eastAsia="ja-JP"/>
        </w:rPr>
        <w:t xml:space="preserve"> promoter.</w:t>
      </w:r>
    </w:p>
    <w:p w14:paraId="5DF00D87" w14:textId="77777777" w:rsidR="003A48AB" w:rsidRPr="003A48AB" w:rsidRDefault="003A48AB" w:rsidP="003A48AB">
      <w:pPr>
        <w:shd w:val="clear" w:color="auto" w:fill="FFFFFF"/>
        <w:spacing w:after="160" w:line="360" w:lineRule="auto"/>
        <w:rPr>
          <w:rFonts w:ascii="Arial" w:eastAsia="MS Mincho" w:hAnsi="Arial" w:cs="Arial"/>
          <w:kern w:val="36"/>
          <w:lang w:eastAsia="ja-JP"/>
        </w:rPr>
      </w:pPr>
      <w:r w:rsidRPr="003A48AB">
        <w:rPr>
          <w:rFonts w:ascii="Arial" w:eastAsia="Times New Roman" w:hAnsi="Arial" w:cs="Arial"/>
          <w:kern w:val="36"/>
          <w:lang w:eastAsia="ja-JP"/>
        </w:rPr>
        <w:t xml:space="preserve">The production of </w:t>
      </w:r>
      <w:r w:rsidRPr="003A48AB">
        <w:rPr>
          <w:rFonts w:ascii="Arial" w:eastAsia="Times New Roman" w:hAnsi="Arial" w:cs="Arial"/>
          <w:i/>
          <w:kern w:val="36"/>
          <w:lang w:eastAsia="ja-JP"/>
        </w:rPr>
        <w:t xml:space="preserve">PpTMM </w:t>
      </w:r>
      <w:r w:rsidRPr="003A48AB">
        <w:rPr>
          <w:rFonts w:ascii="Arial" w:eastAsia="Times New Roman" w:hAnsi="Arial" w:cs="Arial"/>
          <w:kern w:val="36"/>
          <w:lang w:eastAsia="ja-JP"/>
        </w:rPr>
        <w:t xml:space="preserve">coding sequence promoter fusions was performed by Dr Caspar Chater at the University of Sheffield. The </w:t>
      </w:r>
      <w:r w:rsidRPr="003A48AB">
        <w:rPr>
          <w:rFonts w:ascii="Arial" w:eastAsia="Times New Roman" w:hAnsi="Arial" w:cs="Arial"/>
          <w:i/>
          <w:kern w:val="36"/>
          <w:lang w:eastAsia="ja-JP"/>
        </w:rPr>
        <w:t>TMM</w:t>
      </w:r>
      <w:r w:rsidRPr="003A48AB">
        <w:rPr>
          <w:rFonts w:ascii="Arial" w:eastAsia="Times New Roman" w:hAnsi="Arial" w:cs="Arial"/>
          <w:kern w:val="36"/>
          <w:lang w:eastAsia="ja-JP"/>
        </w:rPr>
        <w:t xml:space="preserve"> </w:t>
      </w:r>
      <w:r w:rsidRPr="003A48AB">
        <w:rPr>
          <w:rFonts w:ascii="Arial" w:eastAsia="Times New Roman" w:hAnsi="Arial" w:cs="Arial"/>
          <w:i/>
          <w:kern w:val="36"/>
          <w:lang w:eastAsia="ja-JP"/>
        </w:rPr>
        <w:t xml:space="preserve">Arabidopsis </w:t>
      </w:r>
      <w:r w:rsidRPr="003A48AB">
        <w:rPr>
          <w:rFonts w:ascii="Arial" w:eastAsia="Times New Roman" w:hAnsi="Arial" w:cs="Arial"/>
          <w:kern w:val="36"/>
          <w:lang w:eastAsia="ja-JP"/>
        </w:rPr>
        <w:t xml:space="preserve">promoter was kindly supplied by Dr Lee Hunt in the pENTR/D-TOPO vector (For primers see </w:t>
      </w:r>
      <w:r w:rsidRPr="003A48AB">
        <w:rPr>
          <w:rFonts w:ascii="Arial" w:eastAsia="Times New Roman" w:hAnsi="Arial" w:cs="Arial"/>
          <w:kern w:val="36"/>
          <w:lang w:eastAsia="ja-JP"/>
        </w:rPr>
        <w:lastRenderedPageBreak/>
        <w:t xml:space="preserve">primer table 1). Firstly, genomic DNA from </w:t>
      </w:r>
      <w:r w:rsidRPr="003A48AB">
        <w:rPr>
          <w:rFonts w:ascii="Arial" w:eastAsia="Times New Roman" w:hAnsi="Arial" w:cs="Arial"/>
          <w:i/>
          <w:kern w:val="36"/>
          <w:lang w:eastAsia="ja-JP"/>
        </w:rPr>
        <w:t xml:space="preserve">P. patens </w:t>
      </w:r>
      <w:r w:rsidRPr="003A48AB">
        <w:rPr>
          <w:rFonts w:ascii="Arial" w:eastAsia="Times New Roman" w:hAnsi="Arial" w:cs="Arial"/>
          <w:kern w:val="36"/>
          <w:lang w:eastAsia="ja-JP"/>
        </w:rPr>
        <w:t xml:space="preserve">(see section 2.6 </w:t>
      </w:r>
      <w:r w:rsidRPr="003A48AB">
        <w:rPr>
          <w:rFonts w:ascii="Arial" w:eastAsia="Times New Roman" w:hAnsi="Arial" w:cs="Arial"/>
          <w:kern w:val="36"/>
          <w:lang w:eastAsia="ja-JP"/>
        </w:rPr>
        <w:fldChar w:fldCharType="begin"/>
      </w:r>
      <w:r w:rsidRPr="003A48AB">
        <w:rPr>
          <w:rFonts w:ascii="Arial" w:eastAsia="Times New Roman" w:hAnsi="Arial" w:cs="Arial"/>
          <w:kern w:val="36"/>
          <w:lang w:eastAsia="ja-JP"/>
        </w:rPr>
        <w:instrText xml:space="preserve"> ADDIN EN.CITE &lt;EndNote&gt;&lt;Cite&gt;&lt;Author&gt;Knight&lt;/Author&gt;&lt;Year&gt;2002&lt;/Year&gt;&lt;IDText&gt;Molecular plant biology : a practical approach&lt;/IDText&gt;&lt;DisplayText&gt;(Knight et al., 2002)&lt;/DisplayText&gt;&lt;record&gt;&lt;contributors&gt;&lt;tertiary-authors&gt;&lt;author&gt;Gilmartin, P. M.&lt;/author&gt;&lt;author&gt;Bowler, C.&lt;/author&gt;&lt;/tertiary-authors&gt;&lt;/contributors&gt;&lt;keywords&gt;&lt;keyword&gt;Plant molecular biology.&lt;/keyword&gt;&lt;/keywords&gt;&lt;isbn&gt;0199638764 v.1&amp;#xD;0199638756 v.1 (pbk.)&amp;#xD;0199638195 v.2&amp;#xD;0199638756 v.2 (pbk.)&lt;/isbn&gt;&lt;titles&gt;&lt;title&gt;Molecular plant biology : a practical approach&lt;/title&gt;&lt;/titles&gt;&lt;call-num&gt;RSLBL 02.E02276&amp;#xD;RSLBL 02.E02538&amp;#xD;RSLBL 02.E03424&amp;#xD;RSLBL 02.E03832&amp;#xD;RSLBL 02.E04814&amp;#xD;RSLBL 02.E04815&amp;#xD;RSLBL QK728 MOL 2002&amp;#xD;SOMCL 682 GIL 1&amp;#xD;Radcliffe Science Library QK728 MOL 2002&amp;#xD;Radcliffe Science Library 02.E03424 (Box B000001063738)&amp;#xD;Radcliffe Science Library 02.E03832 (Box B000001063764)&amp;#xD;Radcliffe Science Library 02.E04815&amp;#xD;Radcliffe Science Library 02.E02538 (Box B000001063683)&amp;#xD;Radcliffe Science Library 02.E02276 (Box B000001063667)&amp;#xD;Radcliffe Science Library 02.E04814 (Box B000001063828)&amp;#xD;Somerville College Library 682 GIL 1&lt;/call-num&gt;&lt;contributors&gt;&lt;authors&gt;&lt;author&gt;Knight, C. D.&lt;/author&gt;&lt;author&gt;Cove, D. J.&lt;/author&gt;&lt;author&gt;Cuming, A. C.&lt;/author&gt;&lt;author&gt;Quatrano R. S.&lt;/author&gt;&lt;/authors&gt;&lt;/contributors&gt;&lt;section&gt;285-299&lt;/section&gt;&lt;added-date format="utc"&gt;1452769278&lt;/added-date&gt;&lt;pub-location&gt;Oxford&lt;/pub-location&gt;&lt;ref-type name="Book"&gt;6&lt;/ref-type&gt;&lt;dates&gt;&lt;year&gt;2002&lt;/year&gt;&lt;/dates&gt;&lt;rec-number&gt;425&lt;/rec-number&gt;&lt;publisher&gt;Oxford University Press&lt;/publisher&gt;&lt;last-updated-date format="utc"&gt;1452770505&lt;/last-updated-date&gt;&lt;accession-num&gt;015319228&lt;/accession-num&gt;&lt;num-vols&gt;2&lt;/num-vols&gt;&lt;/record&gt;&lt;/Cite&gt;&lt;/EndNote&gt;</w:instrText>
      </w:r>
      <w:r w:rsidRPr="003A48AB">
        <w:rPr>
          <w:rFonts w:ascii="Arial" w:eastAsia="Times New Roman" w:hAnsi="Arial" w:cs="Arial"/>
          <w:kern w:val="36"/>
          <w:lang w:eastAsia="ja-JP"/>
        </w:rPr>
        <w:fldChar w:fldCharType="separate"/>
      </w:r>
      <w:r w:rsidRPr="003A48AB">
        <w:rPr>
          <w:rFonts w:ascii="Arial" w:eastAsia="Times New Roman" w:hAnsi="Arial" w:cs="Arial"/>
          <w:noProof/>
          <w:kern w:val="36"/>
          <w:lang w:eastAsia="ja-JP"/>
        </w:rPr>
        <w:t>(Knight et al., 2002)</w:t>
      </w:r>
      <w:r w:rsidRPr="003A48AB">
        <w:rPr>
          <w:rFonts w:ascii="Arial" w:eastAsia="Times New Roman" w:hAnsi="Arial" w:cs="Arial"/>
          <w:kern w:val="36"/>
          <w:lang w:eastAsia="ja-JP"/>
        </w:rPr>
        <w:fldChar w:fldCharType="end"/>
      </w:r>
      <w:r w:rsidRPr="003A48AB">
        <w:rPr>
          <w:rFonts w:ascii="Arial" w:eastAsia="Times New Roman" w:hAnsi="Arial" w:cs="Arial"/>
          <w:kern w:val="36"/>
          <w:lang w:eastAsia="ja-JP"/>
        </w:rPr>
        <w:t xml:space="preserve">) was used to clone PpTMM into a separate pENTR/D-TOPO vector (see Primer table 1) The ligated vector containing PpTMM was then digested with ASCI, and the PpTMM containing segment was recovered via gel extraction. The pENTR/D-TOPO vector containing the Arabidopsis </w:t>
      </w:r>
      <w:r w:rsidRPr="003A48AB">
        <w:rPr>
          <w:rFonts w:ascii="Arial" w:eastAsia="Times New Roman" w:hAnsi="Arial" w:cs="Arial"/>
          <w:i/>
          <w:kern w:val="36"/>
          <w:lang w:eastAsia="ja-JP"/>
        </w:rPr>
        <w:t xml:space="preserve">TMM </w:t>
      </w:r>
      <w:r w:rsidRPr="003A48AB">
        <w:rPr>
          <w:rFonts w:ascii="Arial" w:eastAsia="Times New Roman" w:hAnsi="Arial" w:cs="Arial"/>
          <w:kern w:val="36"/>
          <w:lang w:eastAsia="ja-JP"/>
        </w:rPr>
        <w:t xml:space="preserve">promoter was also digested with ASCI and the promoter containing region was recovered via gel extraction. The PpTMM recovered fragment was then ligated downstream of the </w:t>
      </w:r>
      <w:r w:rsidRPr="003A48AB">
        <w:rPr>
          <w:rFonts w:ascii="Arial" w:eastAsia="Times New Roman" w:hAnsi="Arial" w:cs="Arial"/>
          <w:i/>
          <w:kern w:val="36"/>
          <w:lang w:eastAsia="ja-JP"/>
        </w:rPr>
        <w:t xml:space="preserve">Arabidopsis TMM </w:t>
      </w:r>
      <w:r w:rsidRPr="003A48AB">
        <w:rPr>
          <w:rFonts w:ascii="Arial" w:eastAsia="Times New Roman" w:hAnsi="Arial" w:cs="Arial"/>
          <w:kern w:val="36"/>
          <w:lang w:eastAsia="ja-JP"/>
        </w:rPr>
        <w:t xml:space="preserve">promoter to produce pENTR/D-TOPO::pAtTMM::PpTMM. An LR clonase reaction was then performed to transfer the promoter-gene fusion into the HGW destination vector </w:t>
      </w:r>
      <w:r w:rsidRPr="003A48AB">
        <w:rPr>
          <w:rFonts w:ascii="Arial" w:eastAsia="Times New Roman" w:hAnsi="Arial" w:cs="Arial"/>
          <w:kern w:val="36"/>
          <w:lang w:eastAsia="ja-JP"/>
        </w:rPr>
        <w:fldChar w:fldCharType="begin"/>
      </w:r>
      <w:r w:rsidRPr="003A48AB">
        <w:rPr>
          <w:rFonts w:ascii="Arial" w:eastAsia="Times New Roman" w:hAnsi="Arial" w:cs="Arial"/>
          <w:kern w:val="36"/>
          <w:lang w:eastAsia="ja-JP"/>
        </w:rPr>
        <w:instrText xml:space="preserve"> ADDIN EN.CITE &lt;EndNote&gt;&lt;Cite&gt;&lt;Author&gt;Karimi&lt;/Author&gt;&lt;Year&gt;2002&lt;/Year&gt;&lt;IDText&gt;GATEWAY vectors for Agrobacterium-mediated plant transformation&lt;/IDText&gt;&lt;DisplayText&gt;(Karimi et al., 2002)&lt;/DisplayText&gt;&lt;record&gt;&lt;dates&gt;&lt;pub-dates&gt;&lt;date&gt;May&lt;/date&gt;&lt;/pub-dates&gt;&lt;year&gt;2002&lt;/year&gt;&lt;/dates&gt;&lt;keywords&gt;&lt;keyword&gt;Agrobacterium tumefaciens/*genetics&lt;/keyword&gt;&lt;keyword&gt;DNA, Bacterial/genetics&lt;/keyword&gt;&lt;keyword&gt;Escherichia coli/genetics&lt;/keyword&gt;&lt;keyword&gt;Genetic Vectors/*genetics&lt;/keyword&gt;&lt;keyword&gt;Plants, Genetically Modified/*genetics&lt;/keyword&gt;&lt;keyword&gt;Plasmids/genetics&lt;/keyword&gt;&lt;/keywords&gt;&lt;isbn&gt;1360-1385 (Print)&amp;#xD;1360-1385&lt;/isbn&gt;&lt;titles&gt;&lt;title&gt;GATEWAY vectors for Agrobacterium-mediated plant transformation&lt;/title&gt;&lt;secondary-title&gt;Trends Plant Sci&lt;/secondary-title&gt;&lt;alt-title&gt;Trends in plant science&lt;/alt-title&gt;&lt;/titles&gt;&lt;pages&gt;193-5&lt;/pages&gt;&lt;number&gt;5&lt;/number&gt;&lt;contributors&gt;&lt;authors&gt;&lt;author&gt;Karimi, M.&lt;/author&gt;&lt;author&gt;Inze, D.&lt;/author&gt;&lt;author&gt;Depicker, A.&lt;/author&gt;&lt;/authors&gt;&lt;/contributors&gt;&lt;edition&gt;2002/05/07&lt;/edition&gt;&lt;language&gt;eng&lt;/language&gt;&lt;added-date format="utc"&gt;1452780144&lt;/added-date&gt;&lt;ref-type name="Journal Article"&gt;17&lt;/ref-type&gt;&lt;auth-address&gt;Dept of Plant Systems Biology, Flanders Interuniversity Institute for Biotechnology (VIB), Ghent University, K.L. Ledeganckstraat 35, B-9000, Gent, Belgium.&lt;/auth-address&gt;&lt;remote-database-provider&gt;NLM&lt;/remote-database-provider&gt;&lt;rec-number&gt;428&lt;/rec-number&gt;&lt;last-updated-date format="utc"&gt;1452780144&lt;/last-updated-date&gt;&lt;accession-num&gt;11992820&lt;/accession-num&gt;&lt;volume&gt;7&lt;/volume&gt;&lt;/record&gt;&lt;/Cite&gt;&lt;/EndNote&gt;</w:instrText>
      </w:r>
      <w:r w:rsidRPr="003A48AB">
        <w:rPr>
          <w:rFonts w:ascii="Arial" w:eastAsia="Times New Roman" w:hAnsi="Arial" w:cs="Arial"/>
          <w:kern w:val="36"/>
          <w:lang w:eastAsia="ja-JP"/>
        </w:rPr>
        <w:fldChar w:fldCharType="separate"/>
      </w:r>
      <w:r w:rsidRPr="003A48AB">
        <w:rPr>
          <w:rFonts w:ascii="Arial" w:eastAsia="Times New Roman" w:hAnsi="Arial" w:cs="Arial"/>
          <w:noProof/>
          <w:kern w:val="36"/>
          <w:lang w:eastAsia="ja-JP"/>
        </w:rPr>
        <w:t>(Karimi et al., 2002)</w:t>
      </w:r>
      <w:r w:rsidRPr="003A48AB">
        <w:rPr>
          <w:rFonts w:ascii="Arial" w:eastAsia="Times New Roman" w:hAnsi="Arial" w:cs="Arial"/>
          <w:kern w:val="36"/>
          <w:lang w:eastAsia="ja-JP"/>
        </w:rPr>
        <w:fldChar w:fldCharType="end"/>
      </w:r>
      <w:r w:rsidRPr="003A48AB">
        <w:rPr>
          <w:rFonts w:ascii="Arial" w:eastAsia="Times New Roman" w:hAnsi="Arial" w:cs="Arial"/>
          <w:kern w:val="36"/>
          <w:lang w:eastAsia="ja-JP"/>
        </w:rPr>
        <w:t xml:space="preserve"> also kindly supplied by Lee Hunt.</w:t>
      </w:r>
    </w:p>
    <w:p w14:paraId="5D43EAE1" w14:textId="5CA6643A" w:rsidR="003A48AB" w:rsidRPr="003A48AB" w:rsidRDefault="003A48AB" w:rsidP="003A48AB">
      <w:pPr>
        <w:shd w:val="clear" w:color="auto" w:fill="FFFFFF"/>
        <w:spacing w:after="160" w:line="360" w:lineRule="auto"/>
        <w:contextualSpacing/>
        <w:rPr>
          <w:rFonts w:ascii="Arial" w:eastAsia="Times New Roman" w:hAnsi="Arial" w:cs="Arial"/>
          <w:kern w:val="36"/>
          <w:lang w:eastAsia="ja-JP"/>
        </w:rPr>
      </w:pPr>
      <w:r w:rsidRPr="003A48AB">
        <w:rPr>
          <w:rFonts w:ascii="Arial" w:eastAsia="Times New Roman" w:hAnsi="Arial" w:cs="Arial"/>
          <w:kern w:val="36"/>
          <w:lang w:eastAsia="ja-JP"/>
        </w:rPr>
        <w:t xml:space="preserve">The production of vector to overexpress </w:t>
      </w:r>
      <w:r w:rsidRPr="003A48AB">
        <w:rPr>
          <w:rFonts w:ascii="Arial" w:eastAsia="Times New Roman" w:hAnsi="Arial" w:cs="Arial"/>
          <w:i/>
          <w:kern w:val="36"/>
          <w:lang w:eastAsia="ja-JP"/>
        </w:rPr>
        <w:t xml:space="preserve">PpEPF1 </w:t>
      </w:r>
      <w:r w:rsidRPr="003A48AB">
        <w:rPr>
          <w:rFonts w:ascii="Arial" w:eastAsia="Times New Roman" w:hAnsi="Arial" w:cs="Arial"/>
          <w:kern w:val="36"/>
          <w:lang w:eastAsia="ja-JP"/>
        </w:rPr>
        <w:t xml:space="preserve">in </w:t>
      </w:r>
      <w:r w:rsidRPr="003A48AB">
        <w:rPr>
          <w:rFonts w:ascii="Arial" w:eastAsia="Times New Roman" w:hAnsi="Arial" w:cs="Arial"/>
          <w:i/>
          <w:kern w:val="36"/>
          <w:lang w:eastAsia="ja-JP"/>
        </w:rPr>
        <w:t>Arabidopsis</w:t>
      </w:r>
      <w:r w:rsidRPr="003A48AB">
        <w:rPr>
          <w:rFonts w:ascii="Arial" w:eastAsia="Times New Roman" w:hAnsi="Arial" w:cs="Arial"/>
          <w:kern w:val="36"/>
          <w:lang w:eastAsia="ja-JP"/>
        </w:rPr>
        <w:t xml:space="preserve"> was performed by Dr Caspar Chater.</w:t>
      </w:r>
      <w:r w:rsidRPr="003A48AB">
        <w:rPr>
          <w:rFonts w:ascii="Arial" w:eastAsia="Times New Roman" w:hAnsi="Arial" w:cs="Arial"/>
          <w:i/>
          <w:kern w:val="36"/>
          <w:lang w:eastAsia="ja-JP"/>
        </w:rPr>
        <w:t xml:space="preserve"> </w:t>
      </w:r>
      <w:r w:rsidRPr="003A48AB">
        <w:rPr>
          <w:rFonts w:ascii="Arial" w:eastAsia="Times New Roman" w:hAnsi="Arial" w:cs="Arial"/>
          <w:kern w:val="36"/>
          <w:lang w:eastAsia="ja-JP"/>
        </w:rPr>
        <w:t xml:space="preserve">Firstly, the </w:t>
      </w:r>
      <w:r w:rsidRPr="003A48AB">
        <w:rPr>
          <w:rFonts w:ascii="Arial" w:eastAsia="Times New Roman" w:hAnsi="Arial" w:cs="Arial"/>
          <w:i/>
          <w:kern w:val="36"/>
          <w:lang w:eastAsia="ja-JP"/>
        </w:rPr>
        <w:t>PpEPF1</w:t>
      </w:r>
      <w:r w:rsidRPr="003A48AB">
        <w:rPr>
          <w:rFonts w:ascii="Arial" w:eastAsia="Times New Roman" w:hAnsi="Arial" w:cs="Arial"/>
          <w:kern w:val="36"/>
          <w:lang w:eastAsia="ja-JP"/>
        </w:rPr>
        <w:t xml:space="preserve"> coding sequence was amplified from wild-type </w:t>
      </w:r>
      <w:r w:rsidRPr="003A48AB">
        <w:rPr>
          <w:rFonts w:ascii="Arial" w:eastAsia="Times New Roman" w:hAnsi="Arial" w:cs="Arial"/>
          <w:i/>
          <w:kern w:val="36"/>
          <w:lang w:eastAsia="ja-JP"/>
        </w:rPr>
        <w:t xml:space="preserve">P. patens </w:t>
      </w:r>
      <w:r w:rsidRPr="003A48AB">
        <w:rPr>
          <w:rFonts w:ascii="Arial" w:eastAsia="Times New Roman" w:hAnsi="Arial" w:cs="Arial"/>
          <w:kern w:val="36"/>
          <w:lang w:eastAsia="ja-JP"/>
        </w:rPr>
        <w:t xml:space="preserve">cDNA (see section 2.11) using the </w:t>
      </w:r>
      <w:r w:rsidRPr="003A48AB">
        <w:rPr>
          <w:rFonts w:ascii="Arial" w:eastAsia="MS Mincho" w:hAnsi="Arial" w:cs="Arial"/>
          <w:bdr w:val="none" w:sz="0" w:space="0" w:color="auto" w:frame="1"/>
          <w:lang w:eastAsia="ja-JP"/>
        </w:rPr>
        <w:t>PpEPF1 comp AtEPF1 F and R primers set out in Primer table 1.</w:t>
      </w:r>
      <w:r w:rsidRPr="003A48AB">
        <w:rPr>
          <w:rFonts w:ascii="Arial" w:eastAsia="Times New Roman" w:hAnsi="Arial" w:cs="Arial"/>
          <w:kern w:val="36"/>
          <w:lang w:eastAsia="ja-JP"/>
        </w:rPr>
        <w:t xml:space="preserve"> The amplified product was then cloned into pENTR/D-TOPO. An LR Clonase reaction was performed to move </w:t>
      </w:r>
      <w:r w:rsidRPr="003A48AB">
        <w:rPr>
          <w:rFonts w:ascii="Arial" w:eastAsia="Times New Roman" w:hAnsi="Arial" w:cs="Arial"/>
          <w:i/>
          <w:kern w:val="36"/>
          <w:lang w:eastAsia="ja-JP"/>
        </w:rPr>
        <w:t xml:space="preserve">PpEPF1 </w:t>
      </w:r>
      <w:r w:rsidRPr="003A48AB">
        <w:rPr>
          <w:rFonts w:ascii="Arial" w:eastAsia="Times New Roman" w:hAnsi="Arial" w:cs="Arial"/>
          <w:kern w:val="36"/>
          <w:lang w:eastAsia="ja-JP"/>
        </w:rPr>
        <w:t xml:space="preserve">into the cTAPi vector (kindly supplied by Dr Lee Hunt, </w:t>
      </w:r>
      <w:r w:rsidRPr="003A48AB">
        <w:rPr>
          <w:rFonts w:ascii="Arial" w:eastAsia="Times New Roman" w:hAnsi="Arial" w:cs="Arial"/>
          <w:kern w:val="36"/>
          <w:lang w:eastAsia="ja-JP"/>
        </w:rPr>
        <w:fldChar w:fldCharType="begin">
          <w:fldData xml:space="preserve">PEVuZE5vdGU+PENpdGU+PEF1dGhvcj5Sb2hpbGE8L0F1dGhvcj48WWVhcj4yMDA0PC9ZZWFyPjxJ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==
</w:fldData>
        </w:fldChar>
      </w:r>
      <w:r w:rsidRPr="003A48AB">
        <w:rPr>
          <w:rFonts w:ascii="Arial" w:eastAsia="Times New Roman" w:hAnsi="Arial" w:cs="Arial"/>
          <w:kern w:val="36"/>
          <w:lang w:eastAsia="ja-JP"/>
        </w:rPr>
        <w:instrText xml:space="preserve"> ADDIN EN.CITE </w:instrText>
      </w:r>
      <w:r w:rsidRPr="003A48AB">
        <w:rPr>
          <w:rFonts w:ascii="Arial" w:eastAsia="Times New Roman" w:hAnsi="Arial" w:cs="Arial"/>
          <w:kern w:val="36"/>
          <w:lang w:eastAsia="ja-JP"/>
        </w:rPr>
        <w:fldChar w:fldCharType="begin">
          <w:fldData xml:space="preserve">PEVuZE5vdGU+PENpdGU+PEF1dGhvcj5Sb2hpbGE8L0F1dGhvcj48WWVhcj4yMDA0PC9ZZWFyPjxJ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==
</w:fldData>
        </w:fldChar>
      </w:r>
      <w:r w:rsidRPr="003A48AB">
        <w:rPr>
          <w:rFonts w:ascii="Arial" w:eastAsia="Times New Roman" w:hAnsi="Arial" w:cs="Arial"/>
          <w:kern w:val="36"/>
          <w:lang w:eastAsia="ja-JP"/>
        </w:rPr>
        <w:instrText xml:space="preserve"> ADDIN EN.CITE.DATA </w:instrText>
      </w:r>
      <w:r w:rsidRPr="003A48AB">
        <w:rPr>
          <w:rFonts w:ascii="Arial" w:eastAsia="Times New Roman" w:hAnsi="Arial" w:cs="Arial"/>
          <w:kern w:val="36"/>
          <w:lang w:eastAsia="ja-JP"/>
        </w:rPr>
      </w:r>
      <w:r w:rsidRPr="003A48AB">
        <w:rPr>
          <w:rFonts w:ascii="Arial" w:eastAsia="Times New Roman" w:hAnsi="Arial" w:cs="Arial"/>
          <w:kern w:val="36"/>
          <w:lang w:eastAsia="ja-JP"/>
        </w:rPr>
        <w:fldChar w:fldCharType="end"/>
      </w:r>
      <w:r w:rsidRPr="003A48AB">
        <w:rPr>
          <w:rFonts w:ascii="Arial" w:eastAsia="Times New Roman" w:hAnsi="Arial" w:cs="Arial"/>
          <w:kern w:val="36"/>
          <w:lang w:eastAsia="ja-JP"/>
        </w:rPr>
      </w:r>
      <w:r w:rsidRPr="003A48AB">
        <w:rPr>
          <w:rFonts w:ascii="Arial" w:eastAsia="Times New Roman" w:hAnsi="Arial" w:cs="Arial"/>
          <w:kern w:val="36"/>
          <w:lang w:eastAsia="ja-JP"/>
        </w:rPr>
        <w:fldChar w:fldCharType="separate"/>
      </w:r>
      <w:r w:rsidRPr="003A48AB">
        <w:rPr>
          <w:rFonts w:ascii="Arial" w:eastAsia="Times New Roman" w:hAnsi="Arial" w:cs="Arial"/>
          <w:noProof/>
          <w:kern w:val="36"/>
          <w:lang w:eastAsia="ja-JP"/>
        </w:rPr>
        <w:t>(Rohila et al., 2004)</w:t>
      </w:r>
      <w:r w:rsidRPr="003A48AB">
        <w:rPr>
          <w:rFonts w:ascii="Arial" w:eastAsia="Times New Roman" w:hAnsi="Arial" w:cs="Arial"/>
          <w:kern w:val="36"/>
          <w:lang w:eastAsia="ja-JP"/>
        </w:rPr>
        <w:fldChar w:fldCharType="end"/>
      </w:r>
      <w:r w:rsidRPr="003A48AB">
        <w:rPr>
          <w:rFonts w:ascii="Arial" w:eastAsia="Times New Roman" w:hAnsi="Arial" w:cs="Arial"/>
          <w:kern w:val="36"/>
          <w:lang w:eastAsia="ja-JP"/>
        </w:rPr>
        <w:t xml:space="preserve">), downstream of the </w:t>
      </w:r>
      <w:r w:rsidRPr="003A48AB">
        <w:rPr>
          <w:rFonts w:ascii="Arial" w:eastAsia="Times New Roman" w:hAnsi="Arial" w:cs="Arial"/>
          <w:i/>
          <w:kern w:val="36"/>
          <w:lang w:eastAsia="ja-JP"/>
        </w:rPr>
        <w:t>35S</w:t>
      </w:r>
      <w:r w:rsidRPr="003A48AB">
        <w:rPr>
          <w:rFonts w:ascii="Arial" w:eastAsia="Times New Roman" w:hAnsi="Arial" w:cs="Arial"/>
          <w:kern w:val="36"/>
          <w:lang w:eastAsia="ja-JP"/>
        </w:rPr>
        <w:t xml:space="preserve"> promoter. The </w:t>
      </w:r>
      <w:r w:rsidRPr="003A48AB">
        <w:rPr>
          <w:rFonts w:ascii="Arial" w:eastAsia="Times New Roman" w:hAnsi="Arial" w:cs="Arial"/>
          <w:i/>
          <w:kern w:val="36"/>
          <w:lang w:eastAsia="ja-JP"/>
        </w:rPr>
        <w:t xml:space="preserve">Arabidopsis </w:t>
      </w:r>
      <w:r w:rsidRPr="003A48AB">
        <w:rPr>
          <w:rFonts w:ascii="Arial" w:eastAsia="Times New Roman" w:hAnsi="Arial" w:cs="Arial"/>
          <w:kern w:val="36"/>
          <w:lang w:eastAsia="ja-JP"/>
        </w:rPr>
        <w:t>mutant backgrounds (</w:t>
      </w:r>
      <w:r w:rsidRPr="003A48AB">
        <w:rPr>
          <w:rFonts w:ascii="Arial" w:eastAsia="Times New Roman" w:hAnsi="Arial" w:cs="Arial"/>
          <w:i/>
          <w:kern w:val="36"/>
          <w:lang w:eastAsia="ja-JP"/>
        </w:rPr>
        <w:t>epf1-1</w:t>
      </w:r>
      <w:r w:rsidRPr="003A48AB">
        <w:rPr>
          <w:rFonts w:ascii="Arial" w:eastAsia="Times New Roman" w:hAnsi="Arial" w:cs="Arial"/>
          <w:kern w:val="36"/>
          <w:lang w:eastAsia="ja-JP"/>
        </w:rPr>
        <w:t xml:space="preserve">, </w:t>
      </w:r>
      <w:r w:rsidRPr="003A48AB">
        <w:rPr>
          <w:rFonts w:ascii="Arial" w:eastAsia="Times New Roman" w:hAnsi="Arial" w:cs="Arial"/>
          <w:i/>
          <w:kern w:val="36"/>
          <w:lang w:eastAsia="ja-JP"/>
        </w:rPr>
        <w:t xml:space="preserve">epf2-2, </w:t>
      </w:r>
      <w:r w:rsidRPr="003A48AB">
        <w:rPr>
          <w:rFonts w:ascii="Arial" w:eastAsia="Times New Roman" w:hAnsi="Arial" w:cs="Arial"/>
          <w:kern w:val="36"/>
          <w:lang w:eastAsia="ja-JP"/>
        </w:rPr>
        <w:t xml:space="preserve">and </w:t>
      </w:r>
      <w:r w:rsidRPr="003A48AB">
        <w:rPr>
          <w:rFonts w:ascii="Arial" w:eastAsia="Times New Roman" w:hAnsi="Arial" w:cs="Arial"/>
          <w:i/>
          <w:kern w:val="36"/>
          <w:lang w:eastAsia="ja-JP"/>
        </w:rPr>
        <w:t>tmm-1</w:t>
      </w:r>
      <w:r w:rsidRPr="003A48AB">
        <w:rPr>
          <w:rFonts w:ascii="Arial" w:eastAsia="Times New Roman" w:hAnsi="Arial" w:cs="Arial"/>
          <w:kern w:val="36"/>
          <w:lang w:eastAsia="ja-JP"/>
        </w:rPr>
        <w:t xml:space="preserve">) which were used in this study (all of which are in the Col-0 background) were also kindly provided by Dr Lee Hunt </w:t>
      </w:r>
      <w:r w:rsidRPr="003A48AB">
        <w:rPr>
          <w:rFonts w:ascii="Arial" w:eastAsia="Times New Roman" w:hAnsi="Arial" w:cs="Arial"/>
          <w:kern w:val="36"/>
          <w:lang w:eastAsia="ja-JP"/>
        </w:rPr>
        <w:fldChar w:fldCharType="begin">
          <w:fldData xml:space="preserve">PEVuZE5vdGU+PENpdGU+PEF1dGhvcj5IdW50PC9BdXRob3I+PFllYXI+MjAxMDwvWWVhcj48SURU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</w:fldData>
        </w:fldChar>
      </w:r>
      <w:r w:rsidR="00417B1E">
        <w:rPr>
          <w:rFonts w:ascii="Arial" w:eastAsia="Times New Roman" w:hAnsi="Arial" w:cs="Arial"/>
          <w:kern w:val="36"/>
          <w:lang w:eastAsia="ja-JP"/>
        </w:rPr>
        <w:instrText xml:space="preserve"> ADDIN EN.CITE </w:instrText>
      </w:r>
      <w:r w:rsidR="00417B1E">
        <w:rPr>
          <w:rFonts w:ascii="Arial" w:eastAsia="Times New Roman" w:hAnsi="Arial" w:cs="Arial"/>
          <w:kern w:val="36"/>
          <w:lang w:eastAsia="ja-JP"/>
        </w:rPr>
        <w:fldChar w:fldCharType="begin">
          <w:fldData xml:space="preserve">PEVuZE5vdGU+PENpdGU+PEF1dGhvcj5IdW50PC9BdXRob3I+PFllYXI+MjAxMDwvWWVhcj48SURU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</w:fldData>
        </w:fldChar>
      </w:r>
      <w:r w:rsidR="00417B1E">
        <w:rPr>
          <w:rFonts w:ascii="Arial" w:eastAsia="Times New Roman" w:hAnsi="Arial" w:cs="Arial"/>
          <w:kern w:val="36"/>
          <w:lang w:eastAsia="ja-JP"/>
        </w:rPr>
        <w:instrText xml:space="preserve"> ADDIN EN.CITE.DATA </w:instrText>
      </w:r>
      <w:r w:rsidR="00417B1E">
        <w:rPr>
          <w:rFonts w:ascii="Arial" w:eastAsia="Times New Roman" w:hAnsi="Arial" w:cs="Arial"/>
          <w:kern w:val="36"/>
          <w:lang w:eastAsia="ja-JP"/>
        </w:rPr>
      </w:r>
      <w:r w:rsidR="00417B1E">
        <w:rPr>
          <w:rFonts w:ascii="Arial" w:eastAsia="Times New Roman" w:hAnsi="Arial" w:cs="Arial"/>
          <w:kern w:val="36"/>
          <w:lang w:eastAsia="ja-JP"/>
        </w:rPr>
        <w:fldChar w:fldCharType="end"/>
      </w:r>
      <w:r w:rsidRPr="003A48AB">
        <w:rPr>
          <w:rFonts w:ascii="Arial" w:eastAsia="Times New Roman" w:hAnsi="Arial" w:cs="Arial"/>
          <w:kern w:val="36"/>
          <w:lang w:eastAsia="ja-JP"/>
        </w:rPr>
      </w:r>
      <w:r w:rsidRPr="003A48AB">
        <w:rPr>
          <w:rFonts w:ascii="Arial" w:eastAsia="Times New Roman" w:hAnsi="Arial" w:cs="Arial"/>
          <w:kern w:val="36"/>
          <w:lang w:eastAsia="ja-JP"/>
        </w:rPr>
        <w:fldChar w:fldCharType="separate"/>
      </w:r>
      <w:r w:rsidRPr="003A48AB">
        <w:rPr>
          <w:rFonts w:ascii="Arial" w:eastAsia="Times New Roman" w:hAnsi="Arial" w:cs="Arial"/>
          <w:noProof/>
          <w:kern w:val="36"/>
          <w:lang w:eastAsia="ja-JP"/>
        </w:rPr>
        <w:t>(Hunt et al., 2010; Yang and Sack, 1995)</w:t>
      </w:r>
      <w:r w:rsidRPr="003A48AB">
        <w:rPr>
          <w:rFonts w:ascii="Arial" w:eastAsia="Times New Roman" w:hAnsi="Arial" w:cs="Arial"/>
          <w:kern w:val="36"/>
          <w:lang w:eastAsia="ja-JP"/>
        </w:rPr>
        <w:fldChar w:fldCharType="end"/>
      </w:r>
      <w:r w:rsidRPr="003A48AB">
        <w:rPr>
          <w:rFonts w:ascii="Arial" w:eastAsia="Times New Roman" w:hAnsi="Arial" w:cs="Arial"/>
          <w:kern w:val="36"/>
          <w:lang w:eastAsia="ja-JP"/>
        </w:rPr>
        <w:t xml:space="preserve">. Agrobacterium-mediated floral dip procedure was used to transform plants with the various constructs set out above </w:t>
      </w:r>
      <w:r w:rsidRPr="003A48AB">
        <w:rPr>
          <w:rFonts w:ascii="Arial" w:eastAsia="Times New Roman" w:hAnsi="Arial" w:cs="Arial"/>
          <w:kern w:val="36"/>
          <w:lang w:eastAsia="ja-JP"/>
        </w:rPr>
        <w:fldChar w:fldCharType="begin"/>
      </w:r>
      <w:r w:rsidR="00417B1E">
        <w:rPr>
          <w:rFonts w:ascii="Arial" w:eastAsia="Times New Roman" w:hAnsi="Arial" w:cs="Arial"/>
          <w:kern w:val="36"/>
          <w:lang w:eastAsia="ja-JP"/>
        </w:rPr>
        <w:instrText xml:space="preserve"> ADDIN EN.CITE &lt;EndNote&gt;&lt;Cite&gt;&lt;Author&gt;Clough&lt;/Author&gt;&lt;Year&gt;1998&lt;/Year&gt;&lt;IDText&gt;Floral dip: a simplified method for Agrobacterium-mediated transformation of Arabidopsis thaliana&lt;/IDText&gt;&lt;DisplayText&gt;(Clough and Bent, 1998)&lt;/DisplayText&gt;&lt;record&gt;&lt;dates&gt;&lt;pub-dates&gt;&lt;date&gt;Dec&lt;/date&gt;&lt;/pub-dates&gt;&lt;year&gt;1998&lt;/year&gt;&lt;/dates&gt;&lt;keywords&gt;&lt;keyword&gt;t-dna&lt;/keyword&gt;&lt;keyword&gt;planta transformation&lt;/keyword&gt;&lt;keyword&gt;binary vector&lt;/keyword&gt;&lt;keyword&gt;gene-transfer&lt;/keyword&gt;&lt;keyword&gt;tumefaciens&lt;/keyword&gt;&lt;keyword&gt;resistance&lt;/keyword&gt;&lt;keyword&gt;expression&lt;/keyword&gt;&lt;keyword&gt;disease&lt;/keyword&gt;&lt;keyword&gt;infiltration&lt;/keyword&gt;&lt;keyword&gt;avirulence&lt;/keyword&gt;&lt;keyword&gt;Plant Sciences&lt;/keyword&gt;&lt;/keywords&gt;&lt;urls&gt;&lt;related-urls&gt;&lt;url&gt;&amp;lt;Go to ISI&amp;gt;://WOS:000078001900010&lt;/url&gt;&lt;/related-urls&gt;&lt;/urls&gt;&lt;isbn&gt;0960-7412&lt;/isbn&gt;&lt;work-type&gt;Article&lt;/work-type&gt;&lt;titles&gt;&lt;title&gt;Floral dip: a simplified method for Agrobacterium-mediated transformation of Arabidopsis thaliana&lt;/title&gt;&lt;secondary-title&gt;Plant Journal&lt;/secondary-title&gt;&lt;/titles&gt;&lt;pages&gt;735-743&lt;/pages&gt;&lt;number&gt;6&lt;/number&gt;&lt;contributors&gt;&lt;authors&gt;&lt;author&gt;Clough, S. J.&lt;/author&gt;&lt;author&gt;Bent, A. F.&lt;/author&gt;&lt;/authors&gt;&lt;/contributors&gt;&lt;language&gt;English&lt;/language&gt;&lt;added-date format="utc"&gt;1450854942&lt;/added-date&gt;&lt;ref-type name="Journal Article"&gt;17&lt;/ref-type&gt;&lt;auth-address&gt;Univ Illinois, Dept Crop Sci, Urbana, IL 61801 USA.&amp;#xD;Bent, AF (reprint author), Univ Illinois, Dept Crop Sci, 1201 W Gregory Dr, Urbana, IL 61801 USA.&lt;/auth-address&gt;&lt;rec-number&gt;204&lt;/rec-number&gt;&lt;last-updated-date format="utc"&gt;1450854942&lt;/last-updated-date&gt;&lt;accession-num&gt;WOS:000078001900010&lt;/accession-num&gt;&lt;electronic-resource-num&gt;10.1046/j.1365-313x.1998.00343.x&lt;/electronic-resource-num&gt;&lt;volume&gt;16&lt;/volume&gt;&lt;/record&gt;&lt;/Cite&gt;&lt;/EndNote&gt;</w:instrText>
      </w:r>
      <w:r w:rsidRPr="003A48AB">
        <w:rPr>
          <w:rFonts w:ascii="Arial" w:eastAsia="Times New Roman" w:hAnsi="Arial" w:cs="Arial"/>
          <w:kern w:val="36"/>
          <w:lang w:eastAsia="ja-JP"/>
        </w:rPr>
        <w:fldChar w:fldCharType="separate"/>
      </w:r>
      <w:r w:rsidRPr="003A48AB">
        <w:rPr>
          <w:rFonts w:ascii="Arial" w:eastAsia="Times New Roman" w:hAnsi="Arial" w:cs="Arial"/>
          <w:noProof/>
          <w:kern w:val="36"/>
          <w:lang w:eastAsia="ja-JP"/>
        </w:rPr>
        <w:t>(Clough and Bent, 1998)</w:t>
      </w:r>
      <w:r w:rsidRPr="003A48AB">
        <w:rPr>
          <w:rFonts w:ascii="Arial" w:eastAsia="Times New Roman" w:hAnsi="Arial" w:cs="Arial"/>
          <w:kern w:val="36"/>
          <w:lang w:eastAsia="ja-JP"/>
        </w:rPr>
        <w:fldChar w:fldCharType="end"/>
      </w:r>
      <w:r w:rsidRPr="003A48AB">
        <w:rPr>
          <w:rFonts w:ascii="Arial" w:eastAsia="Times New Roman" w:hAnsi="Arial" w:cs="Arial"/>
          <w:kern w:val="36"/>
          <w:lang w:eastAsia="ja-JP"/>
        </w:rPr>
        <w:t xml:space="preserve"> </w:t>
      </w:r>
    </w:p>
    <w:p w14:paraId="119696BA" w14:textId="77777777" w:rsidR="003A48AB" w:rsidRPr="003A48AB" w:rsidRDefault="003A48AB" w:rsidP="003A48AB">
      <w:pPr>
        <w:shd w:val="clear" w:color="auto" w:fill="FFFFFF"/>
        <w:spacing w:after="160" w:line="360" w:lineRule="auto"/>
        <w:contextualSpacing/>
        <w:rPr>
          <w:rFonts w:ascii="Arial" w:eastAsia="Times New Roman" w:hAnsi="Arial" w:cs="Arial"/>
          <w:kern w:val="36"/>
          <w:lang w:eastAsia="ja-JP"/>
        </w:rPr>
      </w:pPr>
    </w:p>
    <w:p w14:paraId="59212101" w14:textId="77777777" w:rsidR="003A48AB" w:rsidRPr="003A48AB" w:rsidRDefault="003A48AB" w:rsidP="003A48AB">
      <w:pPr>
        <w:shd w:val="clear" w:color="auto" w:fill="FFFFFF"/>
        <w:spacing w:after="160" w:line="360" w:lineRule="auto"/>
        <w:contextualSpacing/>
        <w:rPr>
          <w:rFonts w:ascii="Arial" w:eastAsia="Times New Roman" w:hAnsi="Arial" w:cs="Arial"/>
          <w:kern w:val="36"/>
          <w:lang w:eastAsia="ja-JP"/>
        </w:rPr>
      </w:pPr>
      <w:r w:rsidRPr="003A48AB">
        <w:rPr>
          <w:rFonts w:ascii="Arial" w:eastAsia="MS Mincho" w:hAnsi="Arial" w:cs="Arial"/>
          <w:lang w:eastAsia="ja-JP"/>
        </w:rPr>
        <w:t xml:space="preserve">For </w:t>
      </w:r>
      <w:r w:rsidRPr="003A48AB">
        <w:rPr>
          <w:rFonts w:ascii="Arial" w:eastAsia="MS Mincho" w:hAnsi="Arial" w:cs="Arial"/>
          <w:i/>
          <w:lang w:eastAsia="ja-JP"/>
        </w:rPr>
        <w:t xml:space="preserve">Arabidopsis </w:t>
      </w:r>
      <w:r w:rsidRPr="003A48AB">
        <w:rPr>
          <w:rFonts w:ascii="Arial" w:eastAsia="MS Mincho" w:hAnsi="Arial" w:cs="Arial"/>
          <w:lang w:eastAsia="ja-JP"/>
        </w:rPr>
        <w:t xml:space="preserve">mutants containing </w:t>
      </w:r>
      <w:r w:rsidRPr="003A48AB">
        <w:rPr>
          <w:rFonts w:ascii="Arial" w:eastAsia="MS Mincho" w:hAnsi="Arial" w:cs="Arial"/>
          <w:i/>
          <w:lang w:eastAsia="ja-JP"/>
        </w:rPr>
        <w:t xml:space="preserve">P. patens </w:t>
      </w:r>
      <w:r w:rsidRPr="003A48AB">
        <w:rPr>
          <w:rFonts w:ascii="Arial" w:eastAsia="MS Mincho" w:hAnsi="Arial" w:cs="Arial"/>
          <w:lang w:eastAsia="ja-JP"/>
        </w:rPr>
        <w:t xml:space="preserve">genes fused to the </w:t>
      </w:r>
      <w:r w:rsidRPr="003A48AB">
        <w:rPr>
          <w:rFonts w:ascii="Arial" w:eastAsia="MS Mincho" w:hAnsi="Arial" w:cs="Arial"/>
          <w:i/>
          <w:lang w:eastAsia="ja-JP"/>
        </w:rPr>
        <w:t xml:space="preserve">Arabidopsis </w:t>
      </w:r>
      <w:r w:rsidRPr="003A48AB">
        <w:rPr>
          <w:rFonts w:ascii="Arial" w:eastAsia="MS Mincho" w:hAnsi="Arial" w:cs="Arial"/>
          <w:lang w:eastAsia="ja-JP"/>
        </w:rPr>
        <w:t xml:space="preserve">endogenous promoters, homozygous plants were selected in the T3 generation. This was confirmed via growth on selection medium, genomic PCR interrogation and via RT-PCR to confirm expression of inserted genes. For over expression lines plants analysed were in the T2 generation and insertion of the </w:t>
      </w:r>
      <w:r w:rsidRPr="003A48AB">
        <w:rPr>
          <w:rFonts w:ascii="Arial" w:eastAsia="MS Mincho" w:hAnsi="Arial" w:cs="Arial"/>
          <w:i/>
          <w:lang w:eastAsia="ja-JP"/>
        </w:rPr>
        <w:t xml:space="preserve">P. patens </w:t>
      </w:r>
      <w:r w:rsidRPr="003A48AB">
        <w:rPr>
          <w:rFonts w:ascii="Arial" w:eastAsia="MS Mincho" w:hAnsi="Arial" w:cs="Arial"/>
          <w:lang w:eastAsia="ja-JP"/>
        </w:rPr>
        <w:t xml:space="preserve">gene was verified via PCR in all plants used in experimentation. In general, DNA extractions were performed on seedlings that were 2 to 3 weeks old using a modified shorty buffer. For RNA extractions seedlings were typically between 3 to 5 weeks old. For expression analysis, RNA extractions and downstream processes were generally as per section 2.11. Rather than a Rubisco small-sub unit control, in </w:t>
      </w:r>
      <w:r w:rsidRPr="003A48AB">
        <w:rPr>
          <w:rFonts w:ascii="Arial" w:eastAsia="MS Mincho" w:hAnsi="Arial" w:cs="Arial"/>
          <w:i/>
          <w:lang w:eastAsia="ja-JP"/>
        </w:rPr>
        <w:t>Arabidopsis</w:t>
      </w:r>
      <w:r w:rsidRPr="003A48AB">
        <w:rPr>
          <w:rFonts w:ascii="Arial" w:eastAsia="MS Mincho" w:hAnsi="Arial" w:cs="Arial"/>
          <w:lang w:eastAsia="ja-JP"/>
        </w:rPr>
        <w:t xml:space="preserve"> an Actin 2 control was used to validate integrity of samples during PCR of cDNA samples.  </w:t>
      </w:r>
    </w:p>
    <w:p w14:paraId="1B82E51C" w14:textId="77777777" w:rsidR="00572FEB" w:rsidRDefault="00572FEB" w:rsidP="003A48AB">
      <w:pPr>
        <w:tabs>
          <w:tab w:val="left" w:pos="2977"/>
        </w:tabs>
        <w:spacing w:before="100" w:beforeAutospacing="1" w:after="160" w:line="360" w:lineRule="auto"/>
        <w:textAlignment w:val="baseline"/>
        <w:rPr>
          <w:rFonts w:ascii="Arial" w:eastAsia="Times New Roman" w:hAnsi="Arial" w:cs="Arial"/>
          <w:u w:val="single"/>
          <w:bdr w:val="none" w:sz="0" w:space="0" w:color="auto" w:frame="1"/>
        </w:rPr>
      </w:pPr>
    </w:p>
    <w:p w14:paraId="66FC0F7C" w14:textId="29A78AC1" w:rsidR="003A48AB" w:rsidRPr="003A48AB" w:rsidRDefault="003A48AB" w:rsidP="003A48AB">
      <w:pPr>
        <w:tabs>
          <w:tab w:val="left" w:pos="2977"/>
        </w:tabs>
        <w:spacing w:before="100" w:beforeAutospacing="1" w:after="160" w:line="360" w:lineRule="auto"/>
        <w:textAlignment w:val="baseline"/>
        <w:rPr>
          <w:rFonts w:ascii="Arial" w:eastAsia="Times New Roman" w:hAnsi="Arial" w:cs="Arial"/>
          <w:u w:val="single"/>
          <w:bdr w:val="none" w:sz="0" w:space="0" w:color="auto" w:frame="1"/>
        </w:rPr>
      </w:pPr>
      <w:r w:rsidRPr="003A48AB">
        <w:rPr>
          <w:rFonts w:ascii="Arial" w:eastAsia="Times New Roman" w:hAnsi="Arial" w:cs="Arial"/>
          <w:u w:val="single"/>
          <w:bdr w:val="none" w:sz="0" w:space="0" w:color="auto" w:frame="1"/>
        </w:rPr>
        <w:lastRenderedPageBreak/>
        <w:t>2.16 qPCR experimental and analysis</w:t>
      </w:r>
    </w:p>
    <w:p w14:paraId="6EEAE601" w14:textId="77777777" w:rsidR="003A48AB" w:rsidRPr="003A48AB" w:rsidRDefault="003A48AB" w:rsidP="003A48AB">
      <w:pPr>
        <w:spacing w:before="100" w:beforeAutospacing="1" w:after="160" w:line="360" w:lineRule="auto"/>
        <w:rPr>
          <w:rFonts w:ascii="Arial" w:eastAsia="Times New Roman" w:hAnsi="Arial" w:cs="Arial"/>
          <w:bdr w:val="none" w:sz="0" w:space="0" w:color="auto" w:frame="1"/>
        </w:rPr>
      </w:pPr>
      <w:r w:rsidRPr="003A48AB">
        <w:rPr>
          <w:rFonts w:ascii="Arial" w:eastAsia="Times New Roman" w:hAnsi="Arial" w:cs="Arial"/>
          <w:bdr w:val="none" w:sz="0" w:space="0" w:color="auto" w:frame="1"/>
        </w:rPr>
        <w:t xml:space="preserve">For expression analysis of stomatal genes in </w:t>
      </w:r>
      <w:r w:rsidRPr="003A48AB">
        <w:rPr>
          <w:rFonts w:ascii="Arial" w:eastAsia="Times New Roman" w:hAnsi="Arial" w:cs="Arial"/>
          <w:i/>
          <w:bdr w:val="none" w:sz="0" w:space="0" w:color="auto" w:frame="1"/>
        </w:rPr>
        <w:t>P. patens</w:t>
      </w:r>
      <w:r w:rsidRPr="003A48AB">
        <w:rPr>
          <w:rFonts w:ascii="Arial" w:eastAsia="Times New Roman" w:hAnsi="Arial" w:cs="Arial"/>
          <w:bdr w:val="none" w:sz="0" w:space="0" w:color="auto" w:frame="1"/>
        </w:rPr>
        <w:t xml:space="preserve">, relative expression in 7 day old protonemal tissue was compared against that of developing sporophytes. Experiments were carried out in triplicate with ½ a plate of protonemal tissue for each protonemal replicate. For each sporophyte replicate, approximately 300 sporophytes were taken from a combination of 2 inoculated pellets per replicate. For analysis of </w:t>
      </w:r>
      <w:r w:rsidRPr="003A48AB">
        <w:rPr>
          <w:rFonts w:ascii="Arial" w:eastAsia="Times New Roman" w:hAnsi="Arial" w:cs="Arial"/>
          <w:i/>
          <w:bdr w:val="none" w:sz="0" w:space="0" w:color="auto" w:frame="1"/>
        </w:rPr>
        <w:t>PpSMF1</w:t>
      </w:r>
      <w:r w:rsidRPr="003A48AB">
        <w:rPr>
          <w:rFonts w:ascii="Arial" w:eastAsia="Times New Roman" w:hAnsi="Arial" w:cs="Arial"/>
          <w:bdr w:val="none" w:sz="0" w:space="0" w:color="auto" w:frame="1"/>
        </w:rPr>
        <w:t xml:space="preserve">, </w:t>
      </w:r>
      <w:r w:rsidRPr="003A48AB">
        <w:rPr>
          <w:rFonts w:ascii="Arial" w:eastAsia="Times New Roman" w:hAnsi="Arial" w:cs="Arial"/>
          <w:i/>
          <w:bdr w:val="none" w:sz="0" w:space="0" w:color="auto" w:frame="1"/>
        </w:rPr>
        <w:t>PpSMF2</w:t>
      </w:r>
      <w:r w:rsidRPr="003A48AB">
        <w:rPr>
          <w:rFonts w:ascii="Arial" w:eastAsia="Times New Roman" w:hAnsi="Arial" w:cs="Arial"/>
          <w:bdr w:val="none" w:sz="0" w:space="0" w:color="auto" w:frame="1"/>
        </w:rPr>
        <w:t xml:space="preserve"> and</w:t>
      </w:r>
      <w:r w:rsidRPr="003A48AB">
        <w:rPr>
          <w:rFonts w:ascii="Arial" w:eastAsia="Times New Roman" w:hAnsi="Arial" w:cs="Arial"/>
          <w:i/>
          <w:bdr w:val="none" w:sz="0" w:space="0" w:color="auto" w:frame="1"/>
        </w:rPr>
        <w:t xml:space="preserve"> PpSCRM1 </w:t>
      </w:r>
      <w:r w:rsidRPr="003A48AB">
        <w:rPr>
          <w:rFonts w:ascii="Arial" w:eastAsia="Times New Roman" w:hAnsi="Arial" w:cs="Arial"/>
          <w:bdr w:val="none" w:sz="0" w:space="0" w:color="auto" w:frame="1"/>
        </w:rPr>
        <w:t xml:space="preserve">150 very immature and 150 mid-sized sporophytes were used per replicate. For </w:t>
      </w:r>
      <w:r w:rsidRPr="003A48AB">
        <w:rPr>
          <w:rFonts w:ascii="Arial" w:eastAsia="Times New Roman" w:hAnsi="Arial" w:cs="Arial"/>
          <w:i/>
          <w:bdr w:val="none" w:sz="0" w:space="0" w:color="auto" w:frame="1"/>
        </w:rPr>
        <w:t xml:space="preserve">PpERECTA1 </w:t>
      </w:r>
      <w:r w:rsidRPr="003A48AB">
        <w:rPr>
          <w:rFonts w:ascii="Arial" w:eastAsia="Times New Roman" w:hAnsi="Arial" w:cs="Arial"/>
          <w:bdr w:val="none" w:sz="0" w:space="0" w:color="auto" w:frame="1"/>
        </w:rPr>
        <w:t>analysis 100 very immature sporophytes, 100 mid-sized sporophytes and 100 fully expanded sporophytes per replicate. Sporophytes were collected around 2-3 weeks after the application of DH</w:t>
      </w:r>
      <w:r w:rsidRPr="003A48AB">
        <w:rPr>
          <w:rFonts w:ascii="Arial" w:eastAsia="Times New Roman" w:hAnsi="Arial" w:cs="Arial"/>
          <w:bdr w:val="none" w:sz="0" w:space="0" w:color="auto" w:frame="1"/>
          <w:vertAlign w:val="subscript"/>
        </w:rPr>
        <w:t>2</w:t>
      </w:r>
      <w:r w:rsidRPr="003A48AB">
        <w:rPr>
          <w:rFonts w:ascii="Arial" w:eastAsia="Times New Roman" w:hAnsi="Arial" w:cs="Arial"/>
          <w:bdr w:val="none" w:sz="0" w:space="0" w:color="auto" w:frame="1"/>
        </w:rPr>
        <w:t xml:space="preserve">O for gametangia fertilisation. Handling of samples and growth conditions for sporophytes and preceding stages as well as protonema conditions are set out in sections 2.1 and 2.2. RNA extractions were performed using the above described methods (section 2.11) except that an additional on-column Digestion of residual DNA (product code: DNASE10-1SET) was performed during RNA extractions as per the manufacturers protocol (Sigma Aldrich, UK). To check the quantity, quality and integrity of extractions gel visualisations were performed and samples cleanliness was checked on a NanoDrop ND-8000 UV-Vis spectrophotometer. </w:t>
      </w:r>
    </w:p>
    <w:p w14:paraId="4486AC06" w14:textId="5FD869E2" w:rsidR="003A48AB" w:rsidRPr="003A48AB" w:rsidRDefault="003A48AB" w:rsidP="003A48AB">
      <w:pPr>
        <w:spacing w:before="100" w:beforeAutospacing="1" w:after="160" w:line="360" w:lineRule="auto"/>
        <w:rPr>
          <w:rFonts w:ascii="Arial" w:eastAsia="Times New Roman" w:hAnsi="Arial" w:cs="Arial"/>
          <w:bdr w:val="none" w:sz="0" w:space="0" w:color="auto" w:frame="1"/>
        </w:rPr>
      </w:pPr>
      <w:r w:rsidRPr="003A48AB">
        <w:rPr>
          <w:rFonts w:ascii="Arial" w:eastAsia="Times New Roman" w:hAnsi="Arial" w:cs="Arial"/>
          <w:bdr w:val="none" w:sz="0" w:space="0" w:color="auto" w:frame="1"/>
        </w:rPr>
        <w:t xml:space="preserve">From each sample 2.5µg of 100ng/µl concentration RNA was cleaned, from which 1µg was used to produce cDNA as set out above. For the genes analysed a dilution series was first run to verify the amplification efficiency of the primers used. Relative qRT-PCR was performed using the following three housekeeping as controls: adenosyl phosphoribosyltransferase (Pp3c8_16590V1.1), 60S Ribosomal protein L31 (Pp3c14_7550V3.1) and 60S ribosomal protein L19 (p3c21_11230V3.1) </w:t>
      </w:r>
      <w:r w:rsidRPr="003A48AB">
        <w:rPr>
          <w:rFonts w:ascii="Arial" w:eastAsia="Times New Roman" w:hAnsi="Arial" w:cs="Arial"/>
          <w:bdr w:val="none" w:sz="0" w:space="0" w:color="auto" w:frame="1"/>
        </w:rPr>
        <w:fldChar w:fldCharType="begin">
          <w:fldData xml:space="preserve">PEVuZE5vdGU+PENpdGU+PEF1dGhvcj5MZSBCYWlsPC9BdXRob3I+PFllYXI+MjAxMzwvWWVhcj48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=
</w:fldData>
        </w:fldChar>
      </w:r>
      <w:r w:rsidR="00417B1E">
        <w:rPr>
          <w:rFonts w:ascii="Arial" w:eastAsia="Times New Roman" w:hAnsi="Arial" w:cs="Arial"/>
          <w:bdr w:val="none" w:sz="0" w:space="0" w:color="auto" w:frame="1"/>
        </w:rPr>
        <w:instrText xml:space="preserve"> ADDIN EN.CITE </w:instrText>
      </w:r>
      <w:r w:rsidR="00417B1E">
        <w:rPr>
          <w:rFonts w:ascii="Arial" w:eastAsia="Times New Roman" w:hAnsi="Arial" w:cs="Arial"/>
          <w:bdr w:val="none" w:sz="0" w:space="0" w:color="auto" w:frame="1"/>
        </w:rPr>
        <w:fldChar w:fldCharType="begin">
          <w:fldData xml:space="preserve">PEVuZE5vdGU+PENpdGU+PEF1dGhvcj5MZSBCYWlsPC9BdXRob3I+PFllYXI+MjAxMzwvWWVhcj48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=
</w:fldData>
        </w:fldChar>
      </w:r>
      <w:r w:rsidR="00417B1E">
        <w:rPr>
          <w:rFonts w:ascii="Arial" w:eastAsia="Times New Roman" w:hAnsi="Arial" w:cs="Arial"/>
          <w:bdr w:val="none" w:sz="0" w:space="0" w:color="auto" w:frame="1"/>
        </w:rPr>
        <w:instrText xml:space="preserve"> ADDIN EN.CITE.DATA </w:instrText>
      </w:r>
      <w:r w:rsidR="00417B1E">
        <w:rPr>
          <w:rFonts w:ascii="Arial" w:eastAsia="Times New Roman" w:hAnsi="Arial" w:cs="Arial"/>
          <w:bdr w:val="none" w:sz="0" w:space="0" w:color="auto" w:frame="1"/>
        </w:rPr>
      </w:r>
      <w:r w:rsidR="00417B1E">
        <w:rPr>
          <w:rFonts w:ascii="Arial" w:eastAsia="Times New Roman" w:hAnsi="Arial" w:cs="Arial"/>
          <w:bdr w:val="none" w:sz="0" w:space="0" w:color="auto" w:frame="1"/>
        </w:rPr>
        <w:fldChar w:fldCharType="end"/>
      </w:r>
      <w:r w:rsidRPr="003A48AB">
        <w:rPr>
          <w:rFonts w:ascii="Arial" w:eastAsia="Times New Roman" w:hAnsi="Arial" w:cs="Arial"/>
          <w:bdr w:val="none" w:sz="0" w:space="0" w:color="auto" w:frame="1"/>
        </w:rPr>
      </w:r>
      <w:r w:rsidRPr="003A48AB">
        <w:rPr>
          <w:rFonts w:ascii="Arial" w:eastAsia="Times New Roman" w:hAnsi="Arial" w:cs="Arial"/>
          <w:bdr w:val="none" w:sz="0" w:space="0" w:color="auto" w:frame="1"/>
        </w:rPr>
        <w:fldChar w:fldCharType="separate"/>
      </w:r>
      <w:r w:rsidRPr="003A48AB">
        <w:rPr>
          <w:rFonts w:ascii="Arial" w:eastAsia="Times New Roman" w:hAnsi="Arial" w:cs="Arial"/>
          <w:noProof/>
          <w:bdr w:val="none" w:sz="0" w:space="0" w:color="auto" w:frame="1"/>
        </w:rPr>
        <w:t>(Le Bail et al., 2013; Wolf et al., 2010)</w:t>
      </w:r>
      <w:r w:rsidRPr="003A48AB">
        <w:rPr>
          <w:rFonts w:ascii="Arial" w:eastAsia="Times New Roman" w:hAnsi="Arial" w:cs="Arial"/>
          <w:bdr w:val="none" w:sz="0" w:space="0" w:color="auto" w:frame="1"/>
        </w:rPr>
        <w:fldChar w:fldCharType="end"/>
      </w:r>
      <w:r w:rsidRPr="003A48AB">
        <w:rPr>
          <w:rFonts w:ascii="Arial" w:eastAsia="Times New Roman" w:hAnsi="Arial" w:cs="Arial"/>
          <w:bdr w:val="none" w:sz="0" w:space="0" w:color="auto" w:frame="1"/>
        </w:rPr>
        <w:t xml:space="preserve">, using the Rotor-Gene SYBR Green PCR Kit (400) on a Corbett Rotor Gene 6000 (Qiagen, Venlo, Netherlands) following the manufacturer’s protocols. Samples were analysed according to </w:t>
      </w:r>
      <w:r w:rsidRPr="003A48AB">
        <w:rPr>
          <w:rFonts w:ascii="Arial" w:eastAsia="Times New Roman" w:hAnsi="Arial" w:cs="Arial"/>
          <w:bdr w:val="none" w:sz="0" w:space="0" w:color="auto" w:frame="1"/>
        </w:rPr>
        <w:fldChar w:fldCharType="begin">
          <w:fldData xml:space="preserve">PEVuZE5vdGU+PENpdGU+PEF1dGhvcj5MdW5hPC9BdXRob3I+PFllYXI+MjAxNDwvWWVhcj48SURU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</w:fldData>
        </w:fldChar>
      </w:r>
      <w:r w:rsidR="00417B1E">
        <w:rPr>
          <w:rFonts w:ascii="Arial" w:eastAsia="Times New Roman" w:hAnsi="Arial" w:cs="Arial"/>
          <w:bdr w:val="none" w:sz="0" w:space="0" w:color="auto" w:frame="1"/>
        </w:rPr>
        <w:instrText xml:space="preserve"> ADDIN EN.CITE </w:instrText>
      </w:r>
      <w:r w:rsidR="00417B1E">
        <w:rPr>
          <w:rFonts w:ascii="Arial" w:eastAsia="Times New Roman" w:hAnsi="Arial" w:cs="Arial"/>
          <w:bdr w:val="none" w:sz="0" w:space="0" w:color="auto" w:frame="1"/>
        </w:rPr>
        <w:fldChar w:fldCharType="begin">
          <w:fldData xml:space="preserve">PEVuZE5vdGU+PENpdGU+PEF1dGhvcj5MdW5hPC9BdXRob3I+PFllYXI+MjAxNDwvWWVhcj48SURU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</w:fldData>
        </w:fldChar>
      </w:r>
      <w:r w:rsidR="00417B1E">
        <w:rPr>
          <w:rFonts w:ascii="Arial" w:eastAsia="Times New Roman" w:hAnsi="Arial" w:cs="Arial"/>
          <w:bdr w:val="none" w:sz="0" w:space="0" w:color="auto" w:frame="1"/>
        </w:rPr>
        <w:instrText xml:space="preserve"> ADDIN EN.CITE.DATA </w:instrText>
      </w:r>
      <w:r w:rsidR="00417B1E">
        <w:rPr>
          <w:rFonts w:ascii="Arial" w:eastAsia="Times New Roman" w:hAnsi="Arial" w:cs="Arial"/>
          <w:bdr w:val="none" w:sz="0" w:space="0" w:color="auto" w:frame="1"/>
        </w:rPr>
      </w:r>
      <w:r w:rsidR="00417B1E">
        <w:rPr>
          <w:rFonts w:ascii="Arial" w:eastAsia="Times New Roman" w:hAnsi="Arial" w:cs="Arial"/>
          <w:bdr w:val="none" w:sz="0" w:space="0" w:color="auto" w:frame="1"/>
        </w:rPr>
        <w:fldChar w:fldCharType="end"/>
      </w:r>
      <w:r w:rsidRPr="003A48AB">
        <w:rPr>
          <w:rFonts w:ascii="Arial" w:eastAsia="Times New Roman" w:hAnsi="Arial" w:cs="Arial"/>
          <w:bdr w:val="none" w:sz="0" w:space="0" w:color="auto" w:frame="1"/>
        </w:rPr>
      </w:r>
      <w:r w:rsidRPr="003A48AB">
        <w:rPr>
          <w:rFonts w:ascii="Arial" w:eastAsia="Times New Roman" w:hAnsi="Arial" w:cs="Arial"/>
          <w:bdr w:val="none" w:sz="0" w:space="0" w:color="auto" w:frame="1"/>
        </w:rPr>
        <w:fldChar w:fldCharType="separate"/>
      </w:r>
      <w:r w:rsidRPr="003A48AB">
        <w:rPr>
          <w:rFonts w:ascii="Arial" w:eastAsia="Times New Roman" w:hAnsi="Arial" w:cs="Arial"/>
          <w:noProof/>
          <w:bdr w:val="none" w:sz="0" w:space="0" w:color="auto" w:frame="1"/>
        </w:rPr>
        <w:t>(Luna et al., 2014)</w:t>
      </w:r>
      <w:r w:rsidRPr="003A48AB">
        <w:rPr>
          <w:rFonts w:ascii="Arial" w:eastAsia="Times New Roman" w:hAnsi="Arial" w:cs="Arial"/>
          <w:bdr w:val="none" w:sz="0" w:space="0" w:color="auto" w:frame="1"/>
        </w:rPr>
        <w:fldChar w:fldCharType="end"/>
      </w:r>
      <w:r w:rsidRPr="003A48AB">
        <w:rPr>
          <w:rFonts w:ascii="Arial" w:eastAsia="Times New Roman" w:hAnsi="Arial" w:cs="Arial"/>
          <w:bdr w:val="none" w:sz="0" w:space="0" w:color="auto" w:frame="1"/>
        </w:rPr>
        <w:t xml:space="preserve"> with slight modifications. Targeted gene amplification efficiency and take-off values were normalised to the values obtained from the three above specified housekeeping genes.</w:t>
      </w:r>
    </w:p>
    <w:p w14:paraId="7D823F2A" w14:textId="77777777" w:rsidR="003A48AB" w:rsidRPr="003A48AB" w:rsidRDefault="003A48AB" w:rsidP="003A48AB">
      <w:pPr>
        <w:spacing w:before="100" w:beforeAutospacing="1" w:after="160" w:line="360" w:lineRule="auto"/>
        <w:rPr>
          <w:rFonts w:ascii="Arial" w:eastAsia="Times New Roman" w:hAnsi="Arial" w:cs="Arial"/>
          <w:u w:val="single"/>
          <w:bdr w:val="none" w:sz="0" w:space="0" w:color="auto" w:frame="1"/>
        </w:rPr>
      </w:pPr>
      <w:r w:rsidRPr="003A48AB">
        <w:rPr>
          <w:rFonts w:ascii="Arial" w:eastAsia="Times New Roman" w:hAnsi="Arial" w:cs="Arial"/>
          <w:u w:val="single"/>
          <w:bdr w:val="none" w:sz="0" w:space="0" w:color="auto" w:frame="1"/>
        </w:rPr>
        <w:t>2.17 CO</w:t>
      </w:r>
      <w:r w:rsidRPr="003A48AB">
        <w:rPr>
          <w:rFonts w:ascii="Arial" w:eastAsia="Times New Roman" w:hAnsi="Arial" w:cs="Arial"/>
          <w:u w:val="single"/>
          <w:bdr w:val="none" w:sz="0" w:space="0" w:color="auto" w:frame="1"/>
          <w:vertAlign w:val="subscript"/>
        </w:rPr>
        <w:t>2</w:t>
      </w:r>
      <w:r w:rsidRPr="003A48AB">
        <w:rPr>
          <w:rFonts w:ascii="Arial" w:eastAsia="Times New Roman" w:hAnsi="Arial" w:cs="Arial"/>
          <w:u w:val="single"/>
          <w:bdr w:val="none" w:sz="0" w:space="0" w:color="auto" w:frame="1"/>
        </w:rPr>
        <w:t xml:space="preserve"> stomatal development experiments in </w:t>
      </w:r>
      <w:r w:rsidRPr="003A48AB">
        <w:rPr>
          <w:rFonts w:ascii="Arial" w:eastAsia="Times New Roman" w:hAnsi="Arial" w:cs="Arial"/>
          <w:i/>
          <w:u w:val="single"/>
          <w:bdr w:val="none" w:sz="0" w:space="0" w:color="auto" w:frame="1"/>
        </w:rPr>
        <w:t>P. patens</w:t>
      </w:r>
      <w:r w:rsidRPr="003A48AB">
        <w:rPr>
          <w:rFonts w:ascii="Arial" w:eastAsia="Times New Roman" w:hAnsi="Arial" w:cs="Arial"/>
          <w:u w:val="single"/>
          <w:bdr w:val="none" w:sz="0" w:space="0" w:color="auto" w:frame="1"/>
        </w:rPr>
        <w:t xml:space="preserve"> and </w:t>
      </w:r>
      <w:r w:rsidRPr="003A48AB">
        <w:rPr>
          <w:rFonts w:ascii="Arial" w:eastAsia="Times New Roman" w:hAnsi="Arial" w:cs="Arial"/>
          <w:i/>
          <w:u w:val="single"/>
          <w:bdr w:val="none" w:sz="0" w:space="0" w:color="auto" w:frame="1"/>
        </w:rPr>
        <w:t>F. hygrometrica</w:t>
      </w:r>
    </w:p>
    <w:p w14:paraId="08BE180F" w14:textId="77777777" w:rsidR="003A48AB" w:rsidRPr="003A48AB" w:rsidRDefault="003A48AB" w:rsidP="003A48AB">
      <w:pPr>
        <w:tabs>
          <w:tab w:val="left" w:pos="7923"/>
        </w:tabs>
        <w:spacing w:before="100" w:beforeAutospacing="1" w:after="160" w:line="360" w:lineRule="auto"/>
        <w:rPr>
          <w:rFonts w:ascii="Arial" w:eastAsia="Times New Roman" w:hAnsi="Arial" w:cs="Arial"/>
          <w:bdr w:val="none" w:sz="0" w:space="0" w:color="auto" w:frame="1"/>
        </w:rPr>
      </w:pPr>
      <w:r w:rsidRPr="003A48AB">
        <w:rPr>
          <w:rFonts w:ascii="Arial" w:eastAsia="Times New Roman" w:hAnsi="Arial" w:cs="Arial"/>
          <w:bdr w:val="none" w:sz="0" w:space="0" w:color="auto" w:frame="1"/>
        </w:rPr>
        <w:t>To study stomatal developmental responses to growth under different concentrations of CO</w:t>
      </w:r>
      <w:r w:rsidRPr="003A48AB">
        <w:rPr>
          <w:rFonts w:ascii="Arial" w:eastAsia="Times New Roman" w:hAnsi="Arial" w:cs="Arial"/>
          <w:bdr w:val="none" w:sz="0" w:space="0" w:color="auto" w:frame="1"/>
          <w:vertAlign w:val="subscript"/>
        </w:rPr>
        <w:t>2</w:t>
      </w:r>
      <w:r w:rsidRPr="003A48AB">
        <w:rPr>
          <w:rFonts w:ascii="Arial" w:eastAsia="Times New Roman" w:hAnsi="Arial" w:cs="Arial"/>
          <w:bdr w:val="none" w:sz="0" w:space="0" w:color="auto" w:frame="1"/>
        </w:rPr>
        <w:t xml:space="preserve"> in </w:t>
      </w:r>
      <w:r w:rsidRPr="003A48AB">
        <w:rPr>
          <w:rFonts w:ascii="Arial" w:eastAsia="Times New Roman" w:hAnsi="Arial" w:cs="Arial"/>
          <w:i/>
          <w:bdr w:val="none" w:sz="0" w:space="0" w:color="auto" w:frame="1"/>
        </w:rPr>
        <w:t xml:space="preserve">P. patens </w:t>
      </w:r>
      <w:r w:rsidRPr="003A48AB">
        <w:rPr>
          <w:rFonts w:ascii="Arial" w:eastAsia="Times New Roman" w:hAnsi="Arial" w:cs="Arial"/>
          <w:bdr w:val="none" w:sz="0" w:space="0" w:color="auto" w:frame="1"/>
        </w:rPr>
        <w:t xml:space="preserve">and </w:t>
      </w:r>
      <w:r w:rsidRPr="003A48AB">
        <w:rPr>
          <w:rFonts w:ascii="Arial" w:eastAsia="Times New Roman" w:hAnsi="Arial" w:cs="Arial"/>
          <w:i/>
          <w:bdr w:val="none" w:sz="0" w:space="0" w:color="auto" w:frame="1"/>
        </w:rPr>
        <w:t xml:space="preserve">F. hygrometrica </w:t>
      </w:r>
      <w:r w:rsidRPr="003A48AB">
        <w:rPr>
          <w:rFonts w:ascii="Arial" w:eastAsia="Times New Roman" w:hAnsi="Arial" w:cs="Arial"/>
          <w:bdr w:val="none" w:sz="0" w:space="0" w:color="auto" w:frame="1"/>
        </w:rPr>
        <w:t xml:space="preserve">the following was </w:t>
      </w:r>
      <w:r w:rsidRPr="003A48AB">
        <w:rPr>
          <w:rFonts w:ascii="Arial" w:eastAsia="Times New Roman" w:hAnsi="Arial" w:cs="Arial"/>
          <w:bdr w:val="none" w:sz="0" w:space="0" w:color="auto" w:frame="1"/>
        </w:rPr>
        <w:lastRenderedPageBreak/>
        <w:t>performed. Moss samples were initially cultivated to produce 6 to 7 day old ‘well grown’ protonemal tissue as per sections 2.1 and 2.2. Sterile peat pellets in GA-7 magenta vessels (Sigma-Aldrich, UK) with dimensions of 77mm x 77mm x 97mm were then ceded with 1.5ml of protonemal homogenate. To grow mosses at different CO</w:t>
      </w:r>
      <w:r w:rsidRPr="003A48AB">
        <w:rPr>
          <w:rFonts w:ascii="Arial" w:eastAsia="Times New Roman" w:hAnsi="Arial" w:cs="Arial"/>
          <w:bdr w:val="none" w:sz="0" w:space="0" w:color="auto" w:frame="1"/>
          <w:vertAlign w:val="subscript"/>
        </w:rPr>
        <w:t>2</w:t>
      </w:r>
      <w:r w:rsidRPr="003A48AB">
        <w:rPr>
          <w:rFonts w:ascii="Arial" w:eastAsia="Times New Roman" w:hAnsi="Arial" w:cs="Arial"/>
          <w:bdr w:val="none" w:sz="0" w:space="0" w:color="auto" w:frame="1"/>
        </w:rPr>
        <w:t xml:space="preserve"> concentrations, filters were applied to the top of the open magentas which permitted air to diffuse in and out but prevented contamination from entering. Such filters were acquired by first cutting, then sterilising transparent Sun bags (Sigma Aldrich, UK) into 14cm</w:t>
      </w:r>
      <w:r w:rsidRPr="003A48AB">
        <w:rPr>
          <w:rFonts w:ascii="Arial" w:eastAsia="Times New Roman" w:hAnsi="Arial" w:cs="Arial"/>
          <w:bdr w:val="none" w:sz="0" w:space="0" w:color="auto" w:frame="1"/>
          <w:vertAlign w:val="superscript"/>
        </w:rPr>
        <w:t>2</w:t>
      </w:r>
      <w:r w:rsidRPr="003A48AB">
        <w:rPr>
          <w:rFonts w:ascii="Arial" w:eastAsia="Times New Roman" w:hAnsi="Arial" w:cs="Arial"/>
          <w:bdr w:val="none" w:sz="0" w:space="0" w:color="auto" w:frame="1"/>
        </w:rPr>
        <w:t xml:space="preserve"> squared sheets with the 0.2µm filter meshing located centrally. The Sun bag sheets were then sterilised and placed with the filter meshing directly above the ceded pellet inside the GA-7 vessel and fixed to the vessel at basal regions with 3M micropore. Plants were grown in Conviron growth chambers set to 200ppm, ambient (approx. 450ppm) and 1000ppm CO</w:t>
      </w:r>
      <w:r w:rsidRPr="003A48AB">
        <w:rPr>
          <w:rFonts w:ascii="Arial" w:eastAsia="Times New Roman" w:hAnsi="Arial" w:cs="Arial"/>
          <w:bdr w:val="none" w:sz="0" w:space="0" w:color="auto" w:frame="1"/>
          <w:vertAlign w:val="subscript"/>
        </w:rPr>
        <w:t>2</w:t>
      </w:r>
      <w:r w:rsidRPr="003A48AB">
        <w:rPr>
          <w:rFonts w:ascii="Arial" w:eastAsia="Times New Roman" w:hAnsi="Arial" w:cs="Arial"/>
          <w:bdr w:val="none" w:sz="0" w:space="0" w:color="auto" w:frame="1"/>
        </w:rPr>
        <w:t xml:space="preserve"> concentrations for 7 weeks to produce mature gametophores. The settings of the chambers were 1</w:t>
      </w:r>
      <w:r w:rsidRPr="003A48AB">
        <w:rPr>
          <w:rFonts w:ascii="Arial" w:eastAsia="Times New Roman" w:hAnsi="Arial" w:cs="Arial"/>
        </w:rPr>
        <w:t>20 μmol m</w:t>
      </w:r>
      <w:r w:rsidRPr="003A48AB">
        <w:rPr>
          <w:rFonts w:ascii="Arial" w:eastAsia="Times New Roman" w:hAnsi="Arial" w:cs="Arial"/>
          <w:bdr w:val="none" w:sz="0" w:space="0" w:color="auto" w:frame="1"/>
          <w:vertAlign w:val="superscript"/>
        </w:rPr>
        <w:t>−2</w:t>
      </w:r>
      <w:r w:rsidRPr="003A48AB">
        <w:rPr>
          <w:rFonts w:ascii="Arial" w:eastAsia="Times New Roman" w:hAnsi="Arial" w:cs="Arial"/>
        </w:rPr>
        <w:t> s</w:t>
      </w:r>
      <w:r w:rsidRPr="003A48AB">
        <w:rPr>
          <w:rFonts w:ascii="Arial" w:eastAsia="Times New Roman" w:hAnsi="Arial" w:cs="Arial"/>
          <w:bdr w:val="none" w:sz="0" w:space="0" w:color="auto" w:frame="1"/>
          <w:vertAlign w:val="superscript"/>
        </w:rPr>
        <w:t>−1</w:t>
      </w:r>
      <w:r w:rsidRPr="003A48AB">
        <w:rPr>
          <w:rFonts w:ascii="Arial" w:eastAsia="Times New Roman" w:hAnsi="Arial" w:cs="Arial"/>
          <w:bdr w:val="none" w:sz="0" w:space="0" w:color="auto" w:frame="1"/>
        </w:rPr>
        <w:t xml:space="preserve"> PAR light, 60% humidity, </w:t>
      </w:r>
      <w:r w:rsidRPr="003A48AB">
        <w:rPr>
          <w:rFonts w:ascii="Arial" w:eastAsia="Times New Roman" w:hAnsi="Arial" w:cs="Arial"/>
        </w:rPr>
        <w:t xml:space="preserve">16/8hr light/dark cycle and </w:t>
      </w:r>
      <w:r w:rsidRPr="003A48AB">
        <w:rPr>
          <w:rFonts w:ascii="Arial" w:eastAsia="Times New Roman" w:hAnsi="Arial" w:cs="Arial"/>
          <w:bdr w:val="none" w:sz="0" w:space="0" w:color="auto" w:frame="1"/>
        </w:rPr>
        <w:t xml:space="preserve">22°C constant temperature. To induce gametangia formation the day light/dark cycle was adjusted to 10/14 light/ dark cycle and the temperature was set to </w:t>
      </w:r>
      <w:r w:rsidRPr="003A48AB">
        <w:rPr>
          <w:rFonts w:ascii="Arial" w:eastAsia="Times New Roman" w:hAnsi="Arial" w:cs="Arial"/>
        </w:rPr>
        <w:t>18°C (day)/ 15°C (night)</w:t>
      </w:r>
      <w:r w:rsidRPr="003A48AB">
        <w:rPr>
          <w:rFonts w:ascii="Arial" w:eastAsia="Times New Roman" w:hAnsi="Arial" w:cs="Arial"/>
          <w:bdr w:val="none" w:sz="0" w:space="0" w:color="auto" w:frame="1"/>
        </w:rPr>
        <w:t>. After 2 weeks, 50ml of sterile water was poured over mature gametophores to fertilise newly formed archegonia. Due to no sporophytes being produced initially, for</w:t>
      </w:r>
      <w:r w:rsidRPr="003A48AB">
        <w:rPr>
          <w:rFonts w:ascii="Arial" w:eastAsia="Times New Roman" w:hAnsi="Arial" w:cs="Arial"/>
          <w:i/>
          <w:bdr w:val="none" w:sz="0" w:space="0" w:color="auto" w:frame="1"/>
        </w:rPr>
        <w:t xml:space="preserve"> F. hygrometrica</w:t>
      </w:r>
      <w:r w:rsidRPr="003A48AB">
        <w:rPr>
          <w:rFonts w:ascii="Arial" w:eastAsia="Times New Roman" w:hAnsi="Arial" w:cs="Arial"/>
          <w:bdr w:val="none" w:sz="0" w:space="0" w:color="auto" w:frame="1"/>
        </w:rPr>
        <w:t xml:space="preserve"> 200ppm CO</w:t>
      </w:r>
      <w:r w:rsidRPr="003A48AB">
        <w:rPr>
          <w:rFonts w:ascii="Arial" w:eastAsia="Times New Roman" w:hAnsi="Arial" w:cs="Arial"/>
          <w:bdr w:val="none" w:sz="0" w:space="0" w:color="auto" w:frame="1"/>
          <w:vertAlign w:val="subscript"/>
        </w:rPr>
        <w:t xml:space="preserve">2 </w:t>
      </w:r>
      <w:r w:rsidRPr="003A48AB">
        <w:rPr>
          <w:rFonts w:ascii="Arial" w:eastAsia="Times New Roman" w:hAnsi="Arial" w:cs="Arial"/>
          <w:bdr w:val="none" w:sz="0" w:space="0" w:color="auto" w:frame="1"/>
        </w:rPr>
        <w:t xml:space="preserve">grown samples, an additional flooding event was performed 6 weeks after the initial flooding to encourage sporophyte development. For </w:t>
      </w:r>
      <w:r w:rsidRPr="003A48AB">
        <w:rPr>
          <w:rFonts w:ascii="Arial" w:eastAsia="Times New Roman" w:hAnsi="Arial" w:cs="Arial"/>
          <w:i/>
          <w:bdr w:val="none" w:sz="0" w:space="0" w:color="auto" w:frame="1"/>
        </w:rPr>
        <w:t xml:space="preserve">P. patens </w:t>
      </w:r>
      <w:r w:rsidRPr="003A48AB">
        <w:rPr>
          <w:rFonts w:ascii="Arial" w:eastAsia="Times New Roman" w:hAnsi="Arial" w:cs="Arial"/>
          <w:bdr w:val="none" w:sz="0" w:space="0" w:color="auto" w:frame="1"/>
        </w:rPr>
        <w:t xml:space="preserve">mature orange-to-brown fully expanded sporophytes were sampled. For </w:t>
      </w:r>
      <w:r w:rsidRPr="003A48AB">
        <w:rPr>
          <w:rFonts w:ascii="Arial" w:eastAsia="Times New Roman" w:hAnsi="Arial" w:cs="Arial"/>
          <w:i/>
          <w:bdr w:val="none" w:sz="0" w:space="0" w:color="auto" w:frame="1"/>
        </w:rPr>
        <w:t xml:space="preserve">F. hygrometrica </w:t>
      </w:r>
      <w:r w:rsidRPr="003A48AB">
        <w:rPr>
          <w:rFonts w:ascii="Arial" w:eastAsia="Times New Roman" w:hAnsi="Arial" w:cs="Arial"/>
          <w:bdr w:val="none" w:sz="0" w:space="0" w:color="auto" w:frame="1"/>
        </w:rPr>
        <w:t>fully expanded green sporophytes were sampled where the seta and or peristomal teeth were reddening. Plants were rotated within each chamber on a 3 weekly basis to reduce individual chamber effects. Additional sterile DH</w:t>
      </w:r>
      <w:r w:rsidRPr="003A48AB">
        <w:rPr>
          <w:rFonts w:ascii="Arial" w:eastAsia="Times New Roman" w:hAnsi="Arial" w:cs="Arial"/>
          <w:bdr w:val="none" w:sz="0" w:space="0" w:color="auto" w:frame="1"/>
          <w:vertAlign w:val="subscript"/>
        </w:rPr>
        <w:t>2</w:t>
      </w:r>
      <w:r w:rsidRPr="003A48AB">
        <w:rPr>
          <w:rFonts w:ascii="Arial" w:eastAsia="Times New Roman" w:hAnsi="Arial" w:cs="Arial"/>
          <w:bdr w:val="none" w:sz="0" w:space="0" w:color="auto" w:frame="1"/>
        </w:rPr>
        <w:t>O was applied around growing colonies if the water supply dried at the base of the peat pellet.</w:t>
      </w:r>
    </w:p>
    <w:p w14:paraId="7FADBD34" w14:textId="77777777" w:rsidR="003A48AB" w:rsidRPr="003A48AB" w:rsidRDefault="003A48AB" w:rsidP="003A48AB">
      <w:pPr>
        <w:spacing w:before="100" w:beforeAutospacing="1" w:after="160" w:line="360" w:lineRule="auto"/>
        <w:rPr>
          <w:rFonts w:ascii="Arial" w:eastAsia="Times New Roman" w:hAnsi="Arial" w:cs="Arial"/>
          <w:bdr w:val="none" w:sz="0" w:space="0" w:color="auto" w:frame="1"/>
        </w:rPr>
      </w:pPr>
      <w:r w:rsidRPr="003A48AB">
        <w:rPr>
          <w:rFonts w:ascii="Arial" w:eastAsia="Times New Roman" w:hAnsi="Arial" w:cs="Arial"/>
          <w:bdr w:val="none" w:sz="0" w:space="0" w:color="auto" w:frame="1"/>
        </w:rPr>
        <w:t xml:space="preserve">For the experiments relating to data presented in chapter 5 </w:t>
      </w:r>
      <w:r w:rsidRPr="003A48AB">
        <w:rPr>
          <w:rFonts w:ascii="Arial" w:eastAsia="Times New Roman" w:hAnsi="Arial" w:cs="Arial"/>
          <w:b/>
          <w:bdr w:val="none" w:sz="0" w:space="0" w:color="auto" w:frame="1"/>
        </w:rPr>
        <w:t>Fig. 6, 7, 9</w:t>
      </w:r>
      <w:r w:rsidRPr="003A48AB">
        <w:rPr>
          <w:rFonts w:ascii="Arial" w:eastAsia="Times New Roman" w:hAnsi="Arial" w:cs="Arial"/>
          <w:bdr w:val="none" w:sz="0" w:space="0" w:color="auto" w:frame="1"/>
        </w:rPr>
        <w:t xml:space="preserve">, </w:t>
      </w:r>
      <w:r w:rsidRPr="003A48AB">
        <w:rPr>
          <w:rFonts w:ascii="Arial" w:eastAsia="Times New Roman" w:hAnsi="Arial" w:cs="Arial"/>
          <w:b/>
          <w:bdr w:val="none" w:sz="0" w:space="0" w:color="auto" w:frame="1"/>
        </w:rPr>
        <w:t>12</w:t>
      </w:r>
      <w:r w:rsidRPr="003A48AB">
        <w:rPr>
          <w:rFonts w:ascii="Arial" w:eastAsia="Times New Roman" w:hAnsi="Arial" w:cs="Arial"/>
          <w:bdr w:val="none" w:sz="0" w:space="0" w:color="auto" w:frame="1"/>
        </w:rPr>
        <w:t xml:space="preserve">, and </w:t>
      </w:r>
      <w:r w:rsidRPr="003A48AB">
        <w:rPr>
          <w:rFonts w:ascii="Arial" w:eastAsia="Times New Roman" w:hAnsi="Arial" w:cs="Arial"/>
          <w:b/>
          <w:bdr w:val="none" w:sz="0" w:space="0" w:color="auto" w:frame="1"/>
        </w:rPr>
        <w:t>15</w:t>
      </w:r>
      <w:r w:rsidRPr="003A48AB">
        <w:rPr>
          <w:rFonts w:ascii="Arial" w:eastAsia="Times New Roman" w:hAnsi="Arial" w:cs="Arial"/>
          <w:bdr w:val="none" w:sz="0" w:space="0" w:color="auto" w:frame="1"/>
        </w:rPr>
        <w:t xml:space="preserve">. Moss peat pellets were held in a corner of the GA-7 magenta vessels by placing a 75mm x 35mm microscope slide diagonally in the centre of vessel to pin the peat pellet into one corner prior to the initial sterilisation (see also section 2.1 and 2.2). After the application of sterile homogenate, the filter meshing of the square Sun bag (see above) was fixed over the opposite corner to where the peat pellet was located to prevent any shading from occurring. For </w:t>
      </w:r>
      <w:r w:rsidRPr="003A48AB">
        <w:rPr>
          <w:rFonts w:ascii="Arial" w:eastAsia="Times New Roman" w:hAnsi="Arial" w:cs="Arial"/>
          <w:b/>
          <w:bdr w:val="none" w:sz="0" w:space="0" w:color="auto" w:frame="1"/>
        </w:rPr>
        <w:t xml:space="preserve">Fig. 6, 7 </w:t>
      </w:r>
      <w:r w:rsidRPr="003A48AB">
        <w:rPr>
          <w:rFonts w:ascii="Arial" w:eastAsia="Times New Roman" w:hAnsi="Arial" w:cs="Arial"/>
          <w:bdr w:val="none" w:sz="0" w:space="0" w:color="auto" w:frame="1"/>
        </w:rPr>
        <w:t xml:space="preserve">and </w:t>
      </w:r>
      <w:r w:rsidRPr="003A48AB">
        <w:rPr>
          <w:rFonts w:ascii="Arial" w:eastAsia="Times New Roman" w:hAnsi="Arial" w:cs="Arial"/>
          <w:b/>
          <w:bdr w:val="none" w:sz="0" w:space="0" w:color="auto" w:frame="1"/>
        </w:rPr>
        <w:t xml:space="preserve">9 </w:t>
      </w:r>
      <w:r w:rsidRPr="003A48AB">
        <w:rPr>
          <w:rFonts w:ascii="Arial" w:eastAsia="Times New Roman" w:hAnsi="Arial" w:cs="Arial"/>
          <w:bdr w:val="none" w:sz="0" w:space="0" w:color="auto" w:frame="1"/>
        </w:rPr>
        <w:t xml:space="preserve">plants were grown at either </w:t>
      </w:r>
      <w:r w:rsidRPr="003A48AB">
        <w:rPr>
          <w:rFonts w:ascii="Arial" w:eastAsia="Times New Roman" w:hAnsi="Arial" w:cs="Arial"/>
        </w:rPr>
        <w:t>PAR 170 µmol m</w:t>
      </w:r>
      <w:r w:rsidRPr="003A48AB">
        <w:rPr>
          <w:rFonts w:ascii="Arial" w:eastAsia="Times New Roman" w:hAnsi="Arial" w:cs="Arial"/>
          <w:vertAlign w:val="superscript"/>
        </w:rPr>
        <w:t>-2</w:t>
      </w:r>
      <w:r w:rsidRPr="003A48AB">
        <w:rPr>
          <w:rFonts w:ascii="Arial" w:eastAsia="Times New Roman" w:hAnsi="Arial" w:cs="Arial"/>
        </w:rPr>
        <w:t>s</w:t>
      </w:r>
      <w:r w:rsidRPr="003A48AB">
        <w:rPr>
          <w:rFonts w:ascii="Arial" w:eastAsia="Times New Roman" w:hAnsi="Arial" w:cs="Arial"/>
          <w:vertAlign w:val="superscript"/>
        </w:rPr>
        <w:t>-1</w:t>
      </w:r>
      <w:r w:rsidRPr="003A48AB">
        <w:rPr>
          <w:rFonts w:ascii="Arial" w:eastAsia="Times New Roman" w:hAnsi="Arial" w:cs="Arial"/>
        </w:rPr>
        <w:t xml:space="preserve"> (high light), or 70 µmol m</w:t>
      </w:r>
      <w:r w:rsidRPr="003A48AB">
        <w:rPr>
          <w:rFonts w:ascii="Arial" w:eastAsia="Times New Roman" w:hAnsi="Arial" w:cs="Arial"/>
          <w:vertAlign w:val="superscript"/>
        </w:rPr>
        <w:t>-2</w:t>
      </w:r>
      <w:r w:rsidRPr="003A48AB">
        <w:rPr>
          <w:rFonts w:ascii="Arial" w:eastAsia="Times New Roman" w:hAnsi="Arial" w:cs="Arial"/>
        </w:rPr>
        <w:t>s</w:t>
      </w:r>
      <w:r w:rsidRPr="003A48AB">
        <w:rPr>
          <w:rFonts w:ascii="Arial" w:eastAsia="Times New Roman" w:hAnsi="Arial" w:cs="Arial"/>
          <w:vertAlign w:val="superscript"/>
        </w:rPr>
        <w:t>-1</w:t>
      </w:r>
      <w:r w:rsidRPr="003A48AB">
        <w:rPr>
          <w:rFonts w:ascii="Arial" w:eastAsia="Times New Roman" w:hAnsi="Arial" w:cs="Arial"/>
        </w:rPr>
        <w:t xml:space="preserve"> (low light) at either ambient (approx. 450ppm) or elevated (1000ppm) CO</w:t>
      </w:r>
      <w:r w:rsidRPr="003A48AB">
        <w:rPr>
          <w:rFonts w:ascii="Arial" w:eastAsia="Times New Roman" w:hAnsi="Arial" w:cs="Arial"/>
          <w:vertAlign w:val="subscript"/>
        </w:rPr>
        <w:t>2</w:t>
      </w:r>
      <w:r w:rsidRPr="003A48AB">
        <w:rPr>
          <w:rFonts w:ascii="Arial" w:eastAsia="Times New Roman" w:hAnsi="Arial" w:cs="Arial"/>
        </w:rPr>
        <w:t xml:space="preserve"> concentration. </w:t>
      </w:r>
      <w:r w:rsidRPr="003A48AB">
        <w:rPr>
          <w:rFonts w:ascii="Arial" w:eastAsia="Times New Roman" w:hAnsi="Arial" w:cs="Arial"/>
          <w:bdr w:val="none" w:sz="0" w:space="0" w:color="auto" w:frame="1"/>
        </w:rPr>
        <w:t xml:space="preserve">To reduce the level of lighting for low light grown samples, meshing was administered to half of the growth </w:t>
      </w:r>
      <w:r w:rsidRPr="003A48AB">
        <w:rPr>
          <w:rFonts w:ascii="Arial" w:eastAsia="Times New Roman" w:hAnsi="Arial" w:cs="Arial"/>
          <w:bdr w:val="none" w:sz="0" w:space="0" w:color="auto" w:frame="1"/>
        </w:rPr>
        <w:lastRenderedPageBreak/>
        <w:t xml:space="preserve">cabinet space. This was rotated along with the corresponding plants within a chamber to reduce chamber effects every 2-3 weeks. For </w:t>
      </w:r>
      <w:r w:rsidRPr="003A48AB">
        <w:rPr>
          <w:rFonts w:ascii="Arial" w:eastAsia="Times New Roman" w:hAnsi="Arial" w:cs="Arial"/>
          <w:b/>
          <w:bdr w:val="none" w:sz="0" w:space="0" w:color="auto" w:frame="1"/>
        </w:rPr>
        <w:t xml:space="preserve">Fig. 12 </w:t>
      </w:r>
      <w:r w:rsidRPr="003A48AB">
        <w:rPr>
          <w:rFonts w:ascii="Arial" w:eastAsia="Times New Roman" w:hAnsi="Arial" w:cs="Arial"/>
          <w:bdr w:val="none" w:sz="0" w:space="0" w:color="auto" w:frame="1"/>
        </w:rPr>
        <w:t xml:space="preserve">and </w:t>
      </w:r>
      <w:r w:rsidRPr="003A48AB">
        <w:rPr>
          <w:rFonts w:ascii="Arial" w:eastAsia="Times New Roman" w:hAnsi="Arial" w:cs="Arial"/>
          <w:b/>
          <w:bdr w:val="none" w:sz="0" w:space="0" w:color="auto" w:frame="1"/>
        </w:rPr>
        <w:t xml:space="preserve">15 </w:t>
      </w:r>
      <w:r w:rsidRPr="003A48AB">
        <w:rPr>
          <w:rFonts w:ascii="Arial" w:eastAsia="Times New Roman" w:hAnsi="Arial" w:cs="Arial"/>
          <w:bdr w:val="none" w:sz="0" w:space="0" w:color="auto" w:frame="1"/>
        </w:rPr>
        <w:t>plants</w:t>
      </w:r>
      <w:r w:rsidRPr="003A48AB">
        <w:rPr>
          <w:rFonts w:ascii="Arial" w:eastAsia="Times New Roman" w:hAnsi="Arial" w:cs="Arial"/>
          <w:b/>
          <w:bdr w:val="none" w:sz="0" w:space="0" w:color="auto" w:frame="1"/>
        </w:rPr>
        <w:t xml:space="preserve"> </w:t>
      </w:r>
      <w:r w:rsidRPr="003A48AB">
        <w:rPr>
          <w:rFonts w:ascii="Arial" w:eastAsia="Times New Roman" w:hAnsi="Arial" w:cs="Arial"/>
          <w:bdr w:val="none" w:sz="0" w:space="0" w:color="auto" w:frame="1"/>
        </w:rPr>
        <w:t xml:space="preserve">were grown at </w:t>
      </w:r>
      <w:r w:rsidRPr="003A48AB">
        <w:rPr>
          <w:rFonts w:ascii="Arial" w:eastAsia="Times New Roman" w:hAnsi="Arial" w:cs="Arial"/>
        </w:rPr>
        <w:t>PAR 200 µmol m</w:t>
      </w:r>
      <w:r w:rsidRPr="003A48AB">
        <w:rPr>
          <w:rFonts w:ascii="Arial" w:eastAsia="Times New Roman" w:hAnsi="Arial" w:cs="Arial"/>
          <w:vertAlign w:val="superscript"/>
        </w:rPr>
        <w:t>-2</w:t>
      </w:r>
      <w:r w:rsidRPr="003A48AB">
        <w:rPr>
          <w:rFonts w:ascii="Arial" w:eastAsia="Times New Roman" w:hAnsi="Arial" w:cs="Arial"/>
        </w:rPr>
        <w:t>s</w:t>
      </w:r>
      <w:r w:rsidRPr="003A48AB">
        <w:rPr>
          <w:rFonts w:ascii="Arial" w:eastAsia="Times New Roman" w:hAnsi="Arial" w:cs="Arial"/>
          <w:vertAlign w:val="superscript"/>
        </w:rPr>
        <w:t>-1</w:t>
      </w:r>
      <w:r w:rsidRPr="003A48AB">
        <w:rPr>
          <w:rFonts w:ascii="Arial" w:eastAsia="Times New Roman" w:hAnsi="Arial" w:cs="Arial"/>
        </w:rPr>
        <w:t xml:space="preserve"> at either ambient (approx. 450ppm) or elevated (1000ppm) CO</w:t>
      </w:r>
      <w:r w:rsidRPr="003A48AB">
        <w:rPr>
          <w:rFonts w:ascii="Arial" w:eastAsia="Times New Roman" w:hAnsi="Arial" w:cs="Arial"/>
          <w:vertAlign w:val="subscript"/>
        </w:rPr>
        <w:t>2</w:t>
      </w:r>
      <w:r w:rsidRPr="003A48AB">
        <w:rPr>
          <w:rFonts w:ascii="Arial" w:eastAsia="Times New Roman" w:hAnsi="Arial" w:cs="Arial"/>
        </w:rPr>
        <w:t xml:space="preserve"> concentration.</w:t>
      </w:r>
    </w:p>
    <w:p w14:paraId="47407837" w14:textId="77777777" w:rsidR="003A48AB" w:rsidRPr="003A48AB" w:rsidRDefault="003A48AB" w:rsidP="003A48AB">
      <w:pPr>
        <w:spacing w:before="100" w:beforeAutospacing="1" w:after="160" w:line="360" w:lineRule="auto"/>
        <w:rPr>
          <w:rFonts w:ascii="Arial" w:eastAsia="Times New Roman" w:hAnsi="Arial" w:cs="Arial"/>
          <w:i/>
          <w:u w:val="single"/>
          <w:bdr w:val="none" w:sz="0" w:space="0" w:color="auto" w:frame="1"/>
        </w:rPr>
      </w:pPr>
      <w:r w:rsidRPr="003A48AB">
        <w:rPr>
          <w:rFonts w:ascii="Arial" w:eastAsia="Times New Roman" w:hAnsi="Arial" w:cs="Arial"/>
          <w:u w:val="single"/>
          <w:bdr w:val="none" w:sz="0" w:space="0" w:color="auto" w:frame="1"/>
        </w:rPr>
        <w:t>2.18 CO</w:t>
      </w:r>
      <w:r w:rsidRPr="003A48AB">
        <w:rPr>
          <w:rFonts w:ascii="Arial" w:eastAsia="Times New Roman" w:hAnsi="Arial" w:cs="Arial"/>
          <w:u w:val="single"/>
          <w:bdr w:val="none" w:sz="0" w:space="0" w:color="auto" w:frame="1"/>
          <w:vertAlign w:val="subscript"/>
        </w:rPr>
        <w:t>2</w:t>
      </w:r>
      <w:r w:rsidRPr="003A48AB">
        <w:rPr>
          <w:rFonts w:ascii="Arial" w:eastAsia="Times New Roman" w:hAnsi="Arial" w:cs="Arial"/>
          <w:u w:val="single"/>
          <w:bdr w:val="none" w:sz="0" w:space="0" w:color="auto" w:frame="1"/>
        </w:rPr>
        <w:t xml:space="preserve"> stomatal development experiments in </w:t>
      </w:r>
      <w:r w:rsidRPr="003A48AB">
        <w:rPr>
          <w:rFonts w:ascii="Arial" w:eastAsia="Times New Roman" w:hAnsi="Arial" w:cs="Arial"/>
          <w:i/>
          <w:u w:val="single"/>
          <w:bdr w:val="none" w:sz="0" w:space="0" w:color="auto" w:frame="1"/>
        </w:rPr>
        <w:t>A. thaliana</w:t>
      </w:r>
    </w:p>
    <w:p w14:paraId="0F50A76E" w14:textId="441FFB4B" w:rsidR="003A48AB" w:rsidRPr="003A48AB" w:rsidRDefault="003A48AB" w:rsidP="003A48AB">
      <w:pPr>
        <w:spacing w:before="100" w:beforeAutospacing="1" w:after="160" w:line="360" w:lineRule="auto"/>
        <w:rPr>
          <w:rFonts w:ascii="Arial" w:eastAsia="Times New Roman" w:hAnsi="Arial" w:cs="Arial"/>
          <w:bdr w:val="none" w:sz="0" w:space="0" w:color="auto" w:frame="1"/>
        </w:rPr>
      </w:pPr>
      <w:r w:rsidRPr="003A48AB">
        <w:rPr>
          <w:rFonts w:ascii="Arial" w:eastAsia="Times New Roman" w:hAnsi="Arial" w:cs="Arial"/>
          <w:bdr w:val="none" w:sz="0" w:space="0" w:color="auto" w:frame="1"/>
        </w:rPr>
        <w:t xml:space="preserve">For the study of stomatal developmental mutants and the wild-type in Arabidopsis, seeds were stratified and germinated onto </w:t>
      </w:r>
      <w:r w:rsidR="00DF79C2">
        <w:rPr>
          <w:rFonts w:ascii="Arial" w:eastAsia="Times New Roman" w:hAnsi="Arial" w:cs="Arial"/>
          <w:bdr w:val="none" w:sz="0" w:space="0" w:color="auto" w:frame="1"/>
        </w:rPr>
        <w:t xml:space="preserve">Levington M3 </w:t>
      </w:r>
      <w:r w:rsidRPr="003A48AB">
        <w:rPr>
          <w:rFonts w:ascii="Arial" w:eastAsia="Times New Roman" w:hAnsi="Arial" w:cs="Arial"/>
          <w:bdr w:val="none" w:sz="0" w:space="0" w:color="auto" w:frame="1"/>
        </w:rPr>
        <w:t xml:space="preserve">soil as per section 2.13. Samples were grown at </w:t>
      </w:r>
      <w:r w:rsidRPr="003A48AB">
        <w:rPr>
          <w:rFonts w:ascii="Arial" w:eastAsia="Times New Roman" w:hAnsi="Arial" w:cs="Arial"/>
        </w:rPr>
        <w:t>24°C (day)/ 22°C (night) temperature cycle; 11/13hr light/dark cycle; 70% relative humidity, at either PAR 170 µmol m</w:t>
      </w:r>
      <w:r w:rsidRPr="003A48AB">
        <w:rPr>
          <w:rFonts w:ascii="Arial" w:eastAsia="Times New Roman" w:hAnsi="Arial" w:cs="Arial"/>
          <w:vertAlign w:val="superscript"/>
        </w:rPr>
        <w:t>-2</w:t>
      </w:r>
      <w:r w:rsidRPr="003A48AB">
        <w:rPr>
          <w:rFonts w:ascii="Arial" w:eastAsia="Times New Roman" w:hAnsi="Arial" w:cs="Arial"/>
        </w:rPr>
        <w:t>s</w:t>
      </w:r>
      <w:r w:rsidRPr="003A48AB">
        <w:rPr>
          <w:rFonts w:ascii="Arial" w:eastAsia="Times New Roman" w:hAnsi="Arial" w:cs="Arial"/>
          <w:vertAlign w:val="superscript"/>
        </w:rPr>
        <w:t>-1</w:t>
      </w:r>
      <w:r w:rsidRPr="003A48AB">
        <w:rPr>
          <w:rFonts w:ascii="Arial" w:eastAsia="Times New Roman" w:hAnsi="Arial" w:cs="Arial"/>
        </w:rPr>
        <w:t xml:space="preserve"> (high light), or 70 µmol m</w:t>
      </w:r>
      <w:r w:rsidRPr="003A48AB">
        <w:rPr>
          <w:rFonts w:ascii="Arial" w:eastAsia="Times New Roman" w:hAnsi="Arial" w:cs="Arial"/>
          <w:vertAlign w:val="superscript"/>
        </w:rPr>
        <w:t>-2</w:t>
      </w:r>
      <w:r w:rsidRPr="003A48AB">
        <w:rPr>
          <w:rFonts w:ascii="Arial" w:eastAsia="Times New Roman" w:hAnsi="Arial" w:cs="Arial"/>
        </w:rPr>
        <w:t>s</w:t>
      </w:r>
      <w:r w:rsidRPr="003A48AB">
        <w:rPr>
          <w:rFonts w:ascii="Arial" w:eastAsia="Times New Roman" w:hAnsi="Arial" w:cs="Arial"/>
          <w:vertAlign w:val="superscript"/>
        </w:rPr>
        <w:t>-1</w:t>
      </w:r>
      <w:r w:rsidRPr="003A48AB">
        <w:rPr>
          <w:rFonts w:ascii="Arial" w:eastAsia="Times New Roman" w:hAnsi="Arial" w:cs="Arial"/>
        </w:rPr>
        <w:t xml:space="preserve"> (low light) at either ambient (approx. 450ppm) or elevated (1000ppm) CO</w:t>
      </w:r>
      <w:r w:rsidRPr="003A48AB">
        <w:rPr>
          <w:rFonts w:ascii="Arial" w:eastAsia="Times New Roman" w:hAnsi="Arial" w:cs="Arial"/>
          <w:vertAlign w:val="subscript"/>
        </w:rPr>
        <w:t>2</w:t>
      </w:r>
      <w:r w:rsidRPr="003A48AB">
        <w:rPr>
          <w:rFonts w:ascii="Arial" w:eastAsia="Times New Roman" w:hAnsi="Arial" w:cs="Arial"/>
        </w:rPr>
        <w:t xml:space="preserve"> concentration. Plants were rotated within cabinets every two weeks and between cabinets every 4 weeks. Three fully expanded leaves were collected per plant between 7 and 8 weeks after germination. Three fields of view per leaf were counted to calculate an average stomatal density per leaf. </w:t>
      </w:r>
      <w:r w:rsidRPr="003A48AB">
        <w:rPr>
          <w:rFonts w:ascii="Arial" w:eastAsia="Times New Roman" w:hAnsi="Arial" w:cs="Arial"/>
          <w:bdr w:val="none" w:sz="0" w:space="0" w:color="auto" w:frame="1"/>
        </w:rPr>
        <w:t>To reduce the level of lighting for low light grown samples, meshing was administered to half of the growth cabinet space. This was rotated along with the corresponding plants within a chamber to reduce chamber effects every 2-3 weeks.</w:t>
      </w:r>
      <w:r w:rsidRPr="003A48AB">
        <w:rPr>
          <w:rFonts w:ascii="Arial" w:eastAsia="Times New Roman" w:hAnsi="Arial" w:cs="Arial"/>
        </w:rPr>
        <w:t xml:space="preserve"> </w:t>
      </w:r>
    </w:p>
    <w:p w14:paraId="2433EB73" w14:textId="77777777" w:rsidR="003A48AB" w:rsidRPr="003A48AB" w:rsidRDefault="003A48AB" w:rsidP="003A48AB">
      <w:pPr>
        <w:tabs>
          <w:tab w:val="left" w:pos="2977"/>
        </w:tabs>
        <w:spacing w:before="100" w:beforeAutospacing="1" w:after="160" w:line="360" w:lineRule="auto"/>
        <w:textAlignment w:val="baseline"/>
        <w:rPr>
          <w:rFonts w:ascii="Arial" w:eastAsia="Times New Roman" w:hAnsi="Arial" w:cs="Arial"/>
          <w:u w:val="single"/>
          <w:bdr w:val="none" w:sz="0" w:space="0" w:color="auto" w:frame="1"/>
        </w:rPr>
      </w:pPr>
      <w:r w:rsidRPr="003A48AB">
        <w:rPr>
          <w:rFonts w:ascii="Arial" w:eastAsia="Times New Roman" w:hAnsi="Arial" w:cs="Arial"/>
          <w:u w:val="single"/>
          <w:bdr w:val="none" w:sz="0" w:space="0" w:color="auto" w:frame="1"/>
        </w:rPr>
        <w:t>2.19 Statistical analysis</w:t>
      </w:r>
    </w:p>
    <w:p w14:paraId="76DC4F00" w14:textId="77777777" w:rsidR="003A48AB" w:rsidRPr="003A48AB" w:rsidRDefault="003A48AB" w:rsidP="003A48AB">
      <w:pPr>
        <w:tabs>
          <w:tab w:val="left" w:pos="2977"/>
        </w:tabs>
        <w:spacing w:before="100" w:beforeAutospacing="1" w:after="160" w:line="360" w:lineRule="auto"/>
        <w:textAlignment w:val="baseline"/>
        <w:rPr>
          <w:rFonts w:ascii="Arial" w:eastAsia="Times New Roman" w:hAnsi="Arial" w:cs="Arial"/>
          <w:bdr w:val="none" w:sz="0" w:space="0" w:color="auto" w:frame="1"/>
        </w:rPr>
      </w:pPr>
      <w:r w:rsidRPr="003A48AB">
        <w:rPr>
          <w:rFonts w:ascii="Arial" w:eastAsia="Times New Roman" w:hAnsi="Arial" w:cs="Arial"/>
          <w:bdr w:val="none" w:sz="0" w:space="0" w:color="auto" w:frame="1"/>
        </w:rPr>
        <w:t>Statistical tests performed as per figure legends were undertaken using Graphpad Prism6 (</w:t>
      </w:r>
      <w:r w:rsidRPr="003A48AB">
        <w:rPr>
          <w:rFonts w:ascii="Arial" w:eastAsia="Times New Roman" w:hAnsi="Arial" w:cs="Arial"/>
          <w:color w:val="000000"/>
          <w:shd w:val="clear" w:color="auto" w:fill="FFFFFF"/>
        </w:rPr>
        <w:t>GraphPad Software, La Jolla California, USA)</w:t>
      </w:r>
      <w:r w:rsidRPr="003A48AB">
        <w:rPr>
          <w:rFonts w:ascii="Arial" w:eastAsia="Times New Roman" w:hAnsi="Arial" w:cs="Arial"/>
          <w:bdr w:val="none" w:sz="0" w:space="0" w:color="auto" w:frame="1"/>
        </w:rPr>
        <w:t xml:space="preserve"> and graphs were produced using SigmaPlot version 13 (Systat Software, San Jose, CA). </w:t>
      </w:r>
    </w:p>
    <w:p w14:paraId="7CCFA3FD" w14:textId="77777777" w:rsidR="003A48AB" w:rsidRPr="003A48AB" w:rsidRDefault="003A48AB" w:rsidP="003A48AB">
      <w:pPr>
        <w:tabs>
          <w:tab w:val="left" w:pos="2977"/>
        </w:tabs>
        <w:spacing w:after="0" w:line="240" w:lineRule="auto"/>
        <w:jc w:val="both"/>
        <w:textAlignment w:val="baseline"/>
        <w:rPr>
          <w:rFonts w:ascii="Arial" w:eastAsia="Times New Roman" w:hAnsi="Arial" w:cs="Arial"/>
          <w:b/>
          <w:bdr w:val="none" w:sz="0" w:space="0" w:color="auto" w:frame="1"/>
        </w:rPr>
      </w:pPr>
      <w:r w:rsidRPr="003A48AB">
        <w:rPr>
          <w:rFonts w:ascii="Arial" w:eastAsia="Times New Roman" w:hAnsi="Arial" w:cs="Arial"/>
          <w:b/>
          <w:bdr w:val="none" w:sz="0" w:space="0" w:color="auto" w:frame="1"/>
        </w:rPr>
        <w:t>Table 1. Primers used during study</w:t>
      </w:r>
    </w:p>
    <w:tbl>
      <w:tblPr>
        <w:tblStyle w:val="TableGrid1"/>
        <w:tblW w:w="0" w:type="auto"/>
        <w:tblLayout w:type="fixed"/>
        <w:tblLook w:val="04A0" w:firstRow="1" w:lastRow="0" w:firstColumn="1" w:lastColumn="0" w:noHBand="0" w:noVBand="1"/>
      </w:tblPr>
      <w:tblGrid>
        <w:gridCol w:w="3954"/>
        <w:gridCol w:w="4111"/>
      </w:tblGrid>
      <w:tr w:rsidR="003A48AB" w:rsidRPr="003A48AB" w14:paraId="1097A254" w14:textId="77777777" w:rsidTr="006C76ED">
        <w:tc>
          <w:tcPr>
            <w:tcW w:w="3954" w:type="dxa"/>
            <w:tcBorders>
              <w:top w:val="single" w:sz="12" w:space="0" w:color="auto"/>
              <w:left w:val="single" w:sz="12" w:space="0" w:color="auto"/>
              <w:bottom w:val="single" w:sz="12" w:space="0" w:color="auto"/>
              <w:right w:val="single" w:sz="12" w:space="0" w:color="auto"/>
            </w:tcBorders>
          </w:tcPr>
          <w:p w14:paraId="44D31DD1"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Primer name</w:t>
            </w:r>
          </w:p>
        </w:tc>
        <w:tc>
          <w:tcPr>
            <w:tcW w:w="4111" w:type="dxa"/>
            <w:tcBorders>
              <w:top w:val="single" w:sz="12" w:space="0" w:color="auto"/>
              <w:left w:val="single" w:sz="12" w:space="0" w:color="auto"/>
              <w:bottom w:val="single" w:sz="12" w:space="0" w:color="auto"/>
              <w:right w:val="single" w:sz="12" w:space="0" w:color="auto"/>
            </w:tcBorders>
          </w:tcPr>
          <w:p w14:paraId="722BACF8"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Sequence</w:t>
            </w:r>
          </w:p>
        </w:tc>
      </w:tr>
      <w:tr w:rsidR="003A48AB" w:rsidRPr="003A48AB" w14:paraId="7173141E" w14:textId="77777777" w:rsidTr="006C76ED">
        <w:tc>
          <w:tcPr>
            <w:tcW w:w="3954" w:type="dxa"/>
            <w:tcBorders>
              <w:top w:val="single" w:sz="12" w:space="0" w:color="auto"/>
              <w:left w:val="single" w:sz="4" w:space="0" w:color="auto"/>
              <w:bottom w:val="single" w:sz="4" w:space="0" w:color="auto"/>
              <w:right w:val="single" w:sz="4" w:space="0" w:color="auto"/>
            </w:tcBorders>
          </w:tcPr>
          <w:p w14:paraId="243B2A4A"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PpSMF1 flanking 71RB F</w:t>
            </w:r>
          </w:p>
        </w:tc>
        <w:tc>
          <w:tcPr>
            <w:tcW w:w="4111" w:type="dxa"/>
            <w:tcBorders>
              <w:top w:val="single" w:sz="12" w:space="0" w:color="auto"/>
              <w:left w:val="single" w:sz="4" w:space="0" w:color="auto"/>
              <w:bottom w:val="single" w:sz="4" w:space="0" w:color="auto"/>
              <w:right w:val="single" w:sz="4" w:space="0" w:color="auto"/>
            </w:tcBorders>
          </w:tcPr>
          <w:p w14:paraId="0CD20E16"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color w:val="000000"/>
                <w:lang w:eastAsia="en-GB"/>
              </w:rPr>
              <w:t>CACCGCATCACATCCATCGAAGGA</w:t>
            </w:r>
          </w:p>
        </w:tc>
      </w:tr>
      <w:tr w:rsidR="003A48AB" w:rsidRPr="003A48AB" w14:paraId="0CBCC34C" w14:textId="77777777" w:rsidTr="006C76ED">
        <w:tc>
          <w:tcPr>
            <w:tcW w:w="3954" w:type="dxa"/>
            <w:tcBorders>
              <w:top w:val="single" w:sz="4" w:space="0" w:color="auto"/>
              <w:left w:val="single" w:sz="4" w:space="0" w:color="auto"/>
              <w:bottom w:val="single" w:sz="4" w:space="0" w:color="auto"/>
              <w:right w:val="single" w:sz="4" w:space="0" w:color="auto"/>
            </w:tcBorders>
          </w:tcPr>
          <w:p w14:paraId="66D7B097"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PpSMF1 flanking 71RB R</w:t>
            </w:r>
          </w:p>
        </w:tc>
        <w:tc>
          <w:tcPr>
            <w:tcW w:w="4111" w:type="dxa"/>
            <w:tcBorders>
              <w:top w:val="single" w:sz="4" w:space="0" w:color="auto"/>
              <w:left w:val="single" w:sz="4" w:space="0" w:color="auto"/>
              <w:bottom w:val="single" w:sz="4" w:space="0" w:color="auto"/>
              <w:right w:val="single" w:sz="4" w:space="0" w:color="auto"/>
            </w:tcBorders>
          </w:tcPr>
          <w:p w14:paraId="7B9E8E0F"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color w:val="000000"/>
                <w:lang w:eastAsia="en-GB"/>
              </w:rPr>
              <w:t>GAGCACAAAACTTTCTTCGG</w:t>
            </w:r>
          </w:p>
        </w:tc>
      </w:tr>
      <w:tr w:rsidR="003A48AB" w:rsidRPr="003A48AB" w14:paraId="3DF0F1F7" w14:textId="77777777" w:rsidTr="006C76ED">
        <w:tc>
          <w:tcPr>
            <w:tcW w:w="3954" w:type="dxa"/>
            <w:tcBorders>
              <w:top w:val="single" w:sz="4" w:space="0" w:color="auto"/>
              <w:left w:val="single" w:sz="4" w:space="0" w:color="auto"/>
              <w:bottom w:val="single" w:sz="4" w:space="0" w:color="auto"/>
              <w:right w:val="single" w:sz="4" w:space="0" w:color="auto"/>
            </w:tcBorders>
          </w:tcPr>
          <w:p w14:paraId="409CF92D"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color w:val="000000"/>
                <w:lang w:eastAsia="en-GB"/>
              </w:rPr>
              <w:t>PpSMF1 flanking 71LB F</w:t>
            </w:r>
          </w:p>
        </w:tc>
        <w:tc>
          <w:tcPr>
            <w:tcW w:w="4111" w:type="dxa"/>
            <w:tcBorders>
              <w:top w:val="single" w:sz="4" w:space="0" w:color="auto"/>
              <w:left w:val="single" w:sz="4" w:space="0" w:color="auto"/>
              <w:bottom w:val="single" w:sz="4" w:space="0" w:color="auto"/>
              <w:right w:val="single" w:sz="4" w:space="0" w:color="auto"/>
            </w:tcBorders>
          </w:tcPr>
          <w:p w14:paraId="61100086"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color w:val="000000"/>
                <w:lang w:eastAsia="en-GB"/>
              </w:rPr>
              <w:t>GCATGCGGCCGCGGCGCGCCGGTCCGAGTACAATTGTCC</w:t>
            </w:r>
          </w:p>
        </w:tc>
      </w:tr>
      <w:tr w:rsidR="003A48AB" w:rsidRPr="003A48AB" w14:paraId="318F3587" w14:textId="77777777" w:rsidTr="006C76ED">
        <w:tc>
          <w:tcPr>
            <w:tcW w:w="3954" w:type="dxa"/>
            <w:tcBorders>
              <w:top w:val="single" w:sz="4" w:space="0" w:color="auto"/>
              <w:left w:val="single" w:sz="4" w:space="0" w:color="auto"/>
              <w:bottom w:val="single" w:sz="4" w:space="0" w:color="auto"/>
              <w:right w:val="single" w:sz="4" w:space="0" w:color="auto"/>
            </w:tcBorders>
          </w:tcPr>
          <w:p w14:paraId="5F7F700A"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color w:val="000000"/>
                <w:lang w:eastAsia="en-GB"/>
              </w:rPr>
              <w:t>PpSMF1 flanking 71LB R</w:t>
            </w:r>
          </w:p>
        </w:tc>
        <w:tc>
          <w:tcPr>
            <w:tcW w:w="4111" w:type="dxa"/>
            <w:tcBorders>
              <w:top w:val="single" w:sz="4" w:space="0" w:color="auto"/>
              <w:left w:val="single" w:sz="4" w:space="0" w:color="auto"/>
              <w:bottom w:val="single" w:sz="4" w:space="0" w:color="auto"/>
              <w:right w:val="single" w:sz="4" w:space="0" w:color="auto"/>
            </w:tcBorders>
          </w:tcPr>
          <w:p w14:paraId="36FA0B45"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color w:val="000000"/>
                <w:lang w:eastAsia="en-GB"/>
              </w:rPr>
              <w:t>CGATGCGGCCGCGAGGCCACTCGCCTCTTGAG</w:t>
            </w:r>
          </w:p>
        </w:tc>
      </w:tr>
      <w:tr w:rsidR="003A48AB" w:rsidRPr="003A48AB" w14:paraId="7EF9EA56" w14:textId="77777777" w:rsidTr="006C76ED">
        <w:tc>
          <w:tcPr>
            <w:tcW w:w="3954" w:type="dxa"/>
            <w:tcBorders>
              <w:top w:val="single" w:sz="4" w:space="0" w:color="auto"/>
              <w:bottom w:val="single" w:sz="4" w:space="0" w:color="auto"/>
            </w:tcBorders>
          </w:tcPr>
          <w:p w14:paraId="5E053F41"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PpSMF1 5’ genome integration F</w:t>
            </w:r>
          </w:p>
        </w:tc>
        <w:tc>
          <w:tcPr>
            <w:tcW w:w="4111" w:type="dxa"/>
            <w:tcBorders>
              <w:top w:val="single" w:sz="4" w:space="0" w:color="auto"/>
              <w:bottom w:val="single" w:sz="4" w:space="0" w:color="auto"/>
            </w:tcBorders>
          </w:tcPr>
          <w:p w14:paraId="0A5877D5"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CCAGCAACAGCAACTACTCC</w:t>
            </w:r>
          </w:p>
        </w:tc>
      </w:tr>
      <w:tr w:rsidR="003A48AB" w:rsidRPr="003A48AB" w14:paraId="2C5D413B" w14:textId="77777777" w:rsidTr="006C76ED">
        <w:tc>
          <w:tcPr>
            <w:tcW w:w="3954" w:type="dxa"/>
            <w:tcBorders>
              <w:top w:val="single" w:sz="4" w:space="0" w:color="auto"/>
              <w:bottom w:val="single" w:sz="6" w:space="0" w:color="000000"/>
            </w:tcBorders>
          </w:tcPr>
          <w:p w14:paraId="549FDBC7"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PpSMF1 5’ genome integration R</w:t>
            </w:r>
          </w:p>
        </w:tc>
        <w:tc>
          <w:tcPr>
            <w:tcW w:w="4111" w:type="dxa"/>
            <w:tcBorders>
              <w:top w:val="single" w:sz="4" w:space="0" w:color="auto"/>
              <w:bottom w:val="single" w:sz="6" w:space="0" w:color="000000"/>
            </w:tcBorders>
          </w:tcPr>
          <w:p w14:paraId="13BF48EC"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lang w:eastAsia="en-GB"/>
              </w:rPr>
              <w:t>TCCACTAGTTCTAGAGCGGC</w:t>
            </w:r>
          </w:p>
        </w:tc>
      </w:tr>
      <w:tr w:rsidR="003A48AB" w:rsidRPr="003A48AB" w14:paraId="19190F5B" w14:textId="77777777" w:rsidTr="006C76ED">
        <w:tc>
          <w:tcPr>
            <w:tcW w:w="3954" w:type="dxa"/>
            <w:tcBorders>
              <w:top w:val="single" w:sz="6" w:space="0" w:color="000000"/>
            </w:tcBorders>
          </w:tcPr>
          <w:p w14:paraId="109C3074"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lang w:eastAsia="en-GB"/>
              </w:rPr>
              <w:t>PpSMF1 3’ genome integration F</w:t>
            </w:r>
          </w:p>
        </w:tc>
        <w:tc>
          <w:tcPr>
            <w:tcW w:w="4111" w:type="dxa"/>
            <w:tcBorders>
              <w:top w:val="single" w:sz="6" w:space="0" w:color="000000"/>
            </w:tcBorders>
          </w:tcPr>
          <w:p w14:paraId="52FB9893"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MS Mincho" w:hAnsi="Arial" w:cs="Arial"/>
              </w:rPr>
              <w:t>ATAATCCGCATAAGCCCCCG</w:t>
            </w:r>
          </w:p>
        </w:tc>
      </w:tr>
      <w:tr w:rsidR="003A48AB" w:rsidRPr="003A48AB" w14:paraId="7223CF1E" w14:textId="77777777" w:rsidTr="006C76ED">
        <w:tc>
          <w:tcPr>
            <w:tcW w:w="3954" w:type="dxa"/>
            <w:tcBorders>
              <w:top w:val="single" w:sz="6" w:space="0" w:color="000000"/>
            </w:tcBorders>
          </w:tcPr>
          <w:p w14:paraId="716EC243"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lang w:eastAsia="en-GB"/>
              </w:rPr>
              <w:t>PpSMF1 3’ genome integration R</w:t>
            </w:r>
          </w:p>
        </w:tc>
        <w:tc>
          <w:tcPr>
            <w:tcW w:w="4111" w:type="dxa"/>
            <w:tcBorders>
              <w:top w:val="single" w:sz="6" w:space="0" w:color="000000"/>
            </w:tcBorders>
          </w:tcPr>
          <w:p w14:paraId="411F8AFC"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MS Mincho" w:hAnsi="Arial" w:cs="Arial"/>
                <w:bCs/>
                <w:lang w:eastAsia="en-GB"/>
              </w:rPr>
              <w:t>TGCAACCAAACTGAGCGAAA</w:t>
            </w:r>
          </w:p>
        </w:tc>
      </w:tr>
      <w:tr w:rsidR="003A48AB" w:rsidRPr="003A48AB" w14:paraId="15981B1E" w14:textId="77777777" w:rsidTr="006C76ED">
        <w:tc>
          <w:tcPr>
            <w:tcW w:w="3954" w:type="dxa"/>
            <w:tcBorders>
              <w:top w:val="single" w:sz="6" w:space="0" w:color="000000"/>
            </w:tcBorders>
          </w:tcPr>
          <w:p w14:paraId="62CDAF7A" w14:textId="77777777" w:rsidR="003A48AB" w:rsidRPr="003A48AB" w:rsidRDefault="003A48AB" w:rsidP="003A48AB">
            <w:pPr>
              <w:tabs>
                <w:tab w:val="left" w:pos="2977"/>
              </w:tabs>
              <w:jc w:val="both"/>
              <w:textAlignment w:val="baseline"/>
              <w:rPr>
                <w:rFonts w:ascii="Arial" w:eastAsia="MS Mincho" w:hAnsi="Arial" w:cs="Arial"/>
                <w:bCs/>
                <w:lang w:eastAsia="en-GB"/>
              </w:rPr>
            </w:pPr>
            <w:r w:rsidRPr="003A48AB">
              <w:rPr>
                <w:rFonts w:ascii="Arial" w:eastAsia="MS Mincho" w:hAnsi="Arial" w:cs="Arial"/>
                <w:bCs/>
                <w:lang w:eastAsia="en-GB"/>
              </w:rPr>
              <w:t>PpSMF1 RT-PCR F</w:t>
            </w:r>
          </w:p>
        </w:tc>
        <w:tc>
          <w:tcPr>
            <w:tcW w:w="4111" w:type="dxa"/>
            <w:tcBorders>
              <w:top w:val="single" w:sz="6" w:space="0" w:color="000000"/>
            </w:tcBorders>
          </w:tcPr>
          <w:p w14:paraId="07D1C5A6" w14:textId="77777777" w:rsidR="003A48AB" w:rsidRPr="003A48AB" w:rsidRDefault="003A48AB" w:rsidP="003A48AB">
            <w:pPr>
              <w:tabs>
                <w:tab w:val="left" w:pos="2977"/>
              </w:tabs>
              <w:jc w:val="both"/>
              <w:textAlignment w:val="baseline"/>
              <w:rPr>
                <w:rFonts w:ascii="Arial" w:eastAsia="MS Mincho" w:hAnsi="Arial" w:cs="Arial"/>
                <w:bCs/>
                <w:lang w:eastAsia="en-GB"/>
              </w:rPr>
            </w:pPr>
            <w:r w:rsidRPr="003A48AB">
              <w:rPr>
                <w:rFonts w:ascii="Arial" w:eastAsia="MS Mincho" w:hAnsi="Arial" w:cs="Arial"/>
                <w:bCs/>
                <w:lang w:eastAsia="en-GB"/>
              </w:rPr>
              <w:t>ATCCAAGTGGTGACGAAGCA</w:t>
            </w:r>
          </w:p>
        </w:tc>
      </w:tr>
      <w:tr w:rsidR="003A48AB" w:rsidRPr="003A48AB" w14:paraId="2645C95A" w14:textId="77777777" w:rsidTr="006C76ED">
        <w:tc>
          <w:tcPr>
            <w:tcW w:w="3954" w:type="dxa"/>
            <w:tcBorders>
              <w:top w:val="single" w:sz="6" w:space="0" w:color="000000"/>
              <w:bottom w:val="single" w:sz="4" w:space="0" w:color="auto"/>
            </w:tcBorders>
          </w:tcPr>
          <w:p w14:paraId="07550F04"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lang w:eastAsia="en-GB"/>
              </w:rPr>
              <w:t>PpSMF1 RT-PCR R</w:t>
            </w:r>
          </w:p>
        </w:tc>
        <w:tc>
          <w:tcPr>
            <w:tcW w:w="4111" w:type="dxa"/>
            <w:tcBorders>
              <w:top w:val="single" w:sz="6" w:space="0" w:color="000000"/>
              <w:bottom w:val="single" w:sz="4" w:space="0" w:color="auto"/>
            </w:tcBorders>
          </w:tcPr>
          <w:p w14:paraId="652DBA02"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AGCGGCAATGGAGACTGATT</w:t>
            </w:r>
          </w:p>
        </w:tc>
      </w:tr>
      <w:tr w:rsidR="003A48AB" w:rsidRPr="003A48AB" w14:paraId="5C044BDA" w14:textId="77777777" w:rsidTr="006C76ED">
        <w:tc>
          <w:tcPr>
            <w:tcW w:w="3954" w:type="dxa"/>
            <w:tcBorders>
              <w:top w:val="single" w:sz="4" w:space="0" w:color="auto"/>
              <w:left w:val="single" w:sz="4" w:space="0" w:color="auto"/>
              <w:bottom w:val="single" w:sz="4" w:space="0" w:color="auto"/>
              <w:right w:val="single" w:sz="4" w:space="0" w:color="auto"/>
            </w:tcBorders>
          </w:tcPr>
          <w:p w14:paraId="5E4A4761"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color w:val="000000"/>
                <w:lang w:eastAsia="en-GB"/>
              </w:rPr>
              <w:t>PpSMF2 flanking 519 RB F</w:t>
            </w:r>
          </w:p>
        </w:tc>
        <w:tc>
          <w:tcPr>
            <w:tcW w:w="4111" w:type="dxa"/>
            <w:tcBorders>
              <w:top w:val="single" w:sz="4" w:space="0" w:color="auto"/>
              <w:left w:val="single" w:sz="4" w:space="0" w:color="auto"/>
              <w:bottom w:val="single" w:sz="4" w:space="0" w:color="auto"/>
              <w:right w:val="single" w:sz="4" w:space="0" w:color="auto"/>
            </w:tcBorders>
          </w:tcPr>
          <w:p w14:paraId="62A12B3A"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color w:val="000000"/>
                <w:lang w:eastAsia="en-GB"/>
              </w:rPr>
              <w:t>CACCGGATCAAAGCTCATTTTCGC</w:t>
            </w:r>
          </w:p>
        </w:tc>
      </w:tr>
      <w:tr w:rsidR="003A48AB" w:rsidRPr="003A48AB" w14:paraId="30150101" w14:textId="77777777" w:rsidTr="006C76ED">
        <w:tc>
          <w:tcPr>
            <w:tcW w:w="3954" w:type="dxa"/>
            <w:tcBorders>
              <w:top w:val="single" w:sz="4" w:space="0" w:color="auto"/>
              <w:left w:val="single" w:sz="4" w:space="0" w:color="auto"/>
              <w:bottom w:val="single" w:sz="4" w:space="0" w:color="auto"/>
              <w:right w:val="single" w:sz="4" w:space="0" w:color="auto"/>
            </w:tcBorders>
          </w:tcPr>
          <w:p w14:paraId="2BDEC6BC"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color w:val="000000"/>
                <w:lang w:eastAsia="en-GB"/>
              </w:rPr>
              <w:t>PpSMF2 flanking 519 RB R</w:t>
            </w:r>
          </w:p>
        </w:tc>
        <w:tc>
          <w:tcPr>
            <w:tcW w:w="4111" w:type="dxa"/>
            <w:tcBorders>
              <w:top w:val="single" w:sz="4" w:space="0" w:color="auto"/>
              <w:left w:val="single" w:sz="4" w:space="0" w:color="auto"/>
              <w:bottom w:val="single" w:sz="4" w:space="0" w:color="auto"/>
              <w:right w:val="single" w:sz="4" w:space="0" w:color="auto"/>
            </w:tcBorders>
          </w:tcPr>
          <w:p w14:paraId="1C7ADA4A"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color w:val="000000"/>
                <w:lang w:eastAsia="en-GB"/>
              </w:rPr>
              <w:t>ATGCGTAGTGGTAGCACTCG</w:t>
            </w:r>
          </w:p>
        </w:tc>
      </w:tr>
      <w:tr w:rsidR="003A48AB" w:rsidRPr="003A48AB" w14:paraId="480D75F8" w14:textId="77777777" w:rsidTr="006C76ED">
        <w:tc>
          <w:tcPr>
            <w:tcW w:w="3954" w:type="dxa"/>
            <w:tcBorders>
              <w:top w:val="single" w:sz="4" w:space="0" w:color="auto"/>
              <w:left w:val="single" w:sz="4" w:space="0" w:color="auto"/>
              <w:bottom w:val="single" w:sz="4" w:space="0" w:color="auto"/>
              <w:right w:val="single" w:sz="4" w:space="0" w:color="auto"/>
            </w:tcBorders>
          </w:tcPr>
          <w:p w14:paraId="30D45F14"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color w:val="000000"/>
                <w:lang w:eastAsia="en-GB"/>
              </w:rPr>
              <w:lastRenderedPageBreak/>
              <w:t>PpSMF2 flanking 519 LB F</w:t>
            </w:r>
          </w:p>
        </w:tc>
        <w:tc>
          <w:tcPr>
            <w:tcW w:w="4111" w:type="dxa"/>
            <w:tcBorders>
              <w:top w:val="single" w:sz="4" w:space="0" w:color="auto"/>
              <w:left w:val="single" w:sz="4" w:space="0" w:color="auto"/>
              <w:bottom w:val="single" w:sz="4" w:space="0" w:color="auto"/>
              <w:right w:val="single" w:sz="4" w:space="0" w:color="auto"/>
            </w:tcBorders>
          </w:tcPr>
          <w:p w14:paraId="5E504254"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color w:val="000000"/>
                <w:lang w:eastAsia="en-GB"/>
              </w:rPr>
              <w:t>GCATGCGGCCGCGGCGCGCCTTGACGAGAAATTTGAAGG</w:t>
            </w:r>
          </w:p>
        </w:tc>
      </w:tr>
      <w:tr w:rsidR="003A48AB" w:rsidRPr="003A48AB" w14:paraId="25BCF6CF" w14:textId="77777777" w:rsidTr="006C76ED">
        <w:tc>
          <w:tcPr>
            <w:tcW w:w="3954" w:type="dxa"/>
            <w:tcBorders>
              <w:top w:val="single" w:sz="4" w:space="0" w:color="auto"/>
              <w:left w:val="single" w:sz="4" w:space="0" w:color="auto"/>
              <w:bottom w:val="single" w:sz="4" w:space="0" w:color="auto"/>
              <w:right w:val="single" w:sz="4" w:space="0" w:color="auto"/>
            </w:tcBorders>
          </w:tcPr>
          <w:p w14:paraId="477382AF"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color w:val="000000"/>
                <w:lang w:eastAsia="en-GB"/>
              </w:rPr>
              <w:t>PpSMF2 flanking 519 LB R</w:t>
            </w:r>
          </w:p>
        </w:tc>
        <w:tc>
          <w:tcPr>
            <w:tcW w:w="4111" w:type="dxa"/>
            <w:tcBorders>
              <w:top w:val="single" w:sz="4" w:space="0" w:color="auto"/>
              <w:left w:val="single" w:sz="4" w:space="0" w:color="auto"/>
              <w:bottom w:val="single" w:sz="4" w:space="0" w:color="auto"/>
              <w:right w:val="single" w:sz="4" w:space="0" w:color="auto"/>
            </w:tcBorders>
          </w:tcPr>
          <w:p w14:paraId="35695A60"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color w:val="000000"/>
                <w:lang w:eastAsia="en-GB"/>
              </w:rPr>
              <w:t>CGATGCGGCCGCGATGCCACTTCCTTCATGCA</w:t>
            </w:r>
          </w:p>
        </w:tc>
      </w:tr>
      <w:tr w:rsidR="003A48AB" w:rsidRPr="003A48AB" w14:paraId="6663B312" w14:textId="77777777" w:rsidTr="006C76ED">
        <w:tc>
          <w:tcPr>
            <w:tcW w:w="3954" w:type="dxa"/>
            <w:tcBorders>
              <w:top w:val="single" w:sz="4" w:space="0" w:color="auto"/>
              <w:bottom w:val="single" w:sz="4" w:space="0" w:color="auto"/>
            </w:tcBorders>
          </w:tcPr>
          <w:p w14:paraId="5D55262F"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PpSMF2 5’ genome integration F</w:t>
            </w:r>
          </w:p>
        </w:tc>
        <w:tc>
          <w:tcPr>
            <w:tcW w:w="4111" w:type="dxa"/>
            <w:tcBorders>
              <w:top w:val="single" w:sz="4" w:space="0" w:color="auto"/>
              <w:bottom w:val="single" w:sz="4" w:space="0" w:color="auto"/>
            </w:tcBorders>
          </w:tcPr>
          <w:p w14:paraId="26A6C1C0"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color w:val="000000"/>
                <w:lang w:eastAsia="en-GB"/>
              </w:rPr>
              <w:t>AGTGTCATGGACTACCCCGA</w:t>
            </w:r>
          </w:p>
        </w:tc>
      </w:tr>
      <w:tr w:rsidR="003A48AB" w:rsidRPr="003A48AB" w14:paraId="230F18CD" w14:textId="77777777" w:rsidTr="006C76ED">
        <w:tc>
          <w:tcPr>
            <w:tcW w:w="3954" w:type="dxa"/>
            <w:tcBorders>
              <w:top w:val="single" w:sz="4" w:space="0" w:color="auto"/>
              <w:bottom w:val="single" w:sz="6" w:space="0" w:color="000000"/>
            </w:tcBorders>
          </w:tcPr>
          <w:p w14:paraId="19D9AEF4"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PpSMF2 5’ genome integration R</w:t>
            </w:r>
          </w:p>
        </w:tc>
        <w:tc>
          <w:tcPr>
            <w:tcW w:w="4111" w:type="dxa"/>
            <w:tcBorders>
              <w:top w:val="single" w:sz="4" w:space="0" w:color="auto"/>
              <w:bottom w:val="single" w:sz="6" w:space="0" w:color="000000"/>
            </w:tcBorders>
          </w:tcPr>
          <w:p w14:paraId="4F199251"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color w:val="000000"/>
                <w:lang w:eastAsia="en-GB"/>
              </w:rPr>
              <w:t>TAGCTGGGCAATGGAATCCG</w:t>
            </w:r>
          </w:p>
        </w:tc>
      </w:tr>
      <w:tr w:rsidR="003A48AB" w:rsidRPr="003A48AB" w14:paraId="73F2CF5F" w14:textId="77777777" w:rsidTr="006C76ED">
        <w:tc>
          <w:tcPr>
            <w:tcW w:w="3954" w:type="dxa"/>
            <w:tcBorders>
              <w:top w:val="single" w:sz="6" w:space="0" w:color="000000"/>
            </w:tcBorders>
          </w:tcPr>
          <w:p w14:paraId="15372F1E"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lang w:eastAsia="en-GB"/>
              </w:rPr>
              <w:t>PpSMF2 3’ genome integration F</w:t>
            </w:r>
          </w:p>
        </w:tc>
        <w:tc>
          <w:tcPr>
            <w:tcW w:w="4111" w:type="dxa"/>
            <w:tcBorders>
              <w:top w:val="single" w:sz="6" w:space="0" w:color="000000"/>
            </w:tcBorders>
          </w:tcPr>
          <w:p w14:paraId="01173FAF"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MS Mincho" w:hAnsi="Arial" w:cs="Arial"/>
                <w:bCs/>
                <w:color w:val="000000"/>
                <w:lang w:eastAsia="en-GB"/>
              </w:rPr>
              <w:t>TAGGGTTTCGCTCATGTGTTGA</w:t>
            </w:r>
          </w:p>
        </w:tc>
      </w:tr>
      <w:tr w:rsidR="003A48AB" w:rsidRPr="003A48AB" w14:paraId="473B2DFC" w14:textId="77777777" w:rsidTr="006C76ED">
        <w:tc>
          <w:tcPr>
            <w:tcW w:w="3954" w:type="dxa"/>
            <w:tcBorders>
              <w:top w:val="single" w:sz="6" w:space="0" w:color="000000"/>
            </w:tcBorders>
          </w:tcPr>
          <w:p w14:paraId="450A758F"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lang w:eastAsia="en-GB"/>
              </w:rPr>
              <w:t>PpSMF2 3’ genome integration R</w:t>
            </w:r>
          </w:p>
        </w:tc>
        <w:tc>
          <w:tcPr>
            <w:tcW w:w="4111" w:type="dxa"/>
            <w:tcBorders>
              <w:top w:val="single" w:sz="6" w:space="0" w:color="000000"/>
            </w:tcBorders>
          </w:tcPr>
          <w:p w14:paraId="3D4CD2AE"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MS Mincho" w:hAnsi="Arial" w:cs="Arial"/>
                <w:bCs/>
                <w:color w:val="000000"/>
                <w:lang w:eastAsia="en-GB"/>
              </w:rPr>
              <w:t>ATAAGCATGGTTGGCTTGTAGC</w:t>
            </w:r>
          </w:p>
        </w:tc>
      </w:tr>
      <w:tr w:rsidR="003A48AB" w:rsidRPr="003A48AB" w14:paraId="69FC8E51" w14:textId="77777777" w:rsidTr="006C76ED">
        <w:tc>
          <w:tcPr>
            <w:tcW w:w="3954" w:type="dxa"/>
            <w:tcBorders>
              <w:top w:val="single" w:sz="6" w:space="0" w:color="000000"/>
            </w:tcBorders>
          </w:tcPr>
          <w:p w14:paraId="445FEF0B" w14:textId="77777777" w:rsidR="003A48AB" w:rsidRPr="003A48AB" w:rsidRDefault="003A48AB" w:rsidP="003A48AB">
            <w:pPr>
              <w:tabs>
                <w:tab w:val="left" w:pos="2977"/>
              </w:tabs>
              <w:jc w:val="both"/>
              <w:textAlignment w:val="baseline"/>
              <w:rPr>
                <w:rFonts w:ascii="Arial" w:eastAsia="MS Mincho" w:hAnsi="Arial" w:cs="Arial"/>
                <w:bCs/>
                <w:lang w:eastAsia="en-GB"/>
              </w:rPr>
            </w:pPr>
            <w:r w:rsidRPr="003A48AB">
              <w:rPr>
                <w:rFonts w:ascii="Arial" w:eastAsia="MS Mincho" w:hAnsi="Arial" w:cs="Arial"/>
                <w:bCs/>
                <w:lang w:eastAsia="en-GB"/>
              </w:rPr>
              <w:t>PpSMF2 RT-PCR F</w:t>
            </w:r>
          </w:p>
        </w:tc>
        <w:tc>
          <w:tcPr>
            <w:tcW w:w="4111" w:type="dxa"/>
            <w:tcBorders>
              <w:top w:val="single" w:sz="6" w:space="0" w:color="000000"/>
            </w:tcBorders>
          </w:tcPr>
          <w:p w14:paraId="2F625250" w14:textId="77777777" w:rsidR="003A48AB" w:rsidRPr="003A48AB" w:rsidRDefault="003A48AB" w:rsidP="003A48AB">
            <w:pPr>
              <w:tabs>
                <w:tab w:val="left" w:pos="2977"/>
              </w:tabs>
              <w:jc w:val="both"/>
              <w:textAlignment w:val="baseline"/>
              <w:rPr>
                <w:rFonts w:ascii="Arial" w:eastAsia="MS Mincho" w:hAnsi="Arial" w:cs="Arial"/>
                <w:bCs/>
                <w:lang w:eastAsia="en-GB"/>
              </w:rPr>
            </w:pPr>
            <w:r w:rsidRPr="003A48AB">
              <w:rPr>
                <w:rFonts w:ascii="Arial" w:eastAsia="MS Mincho" w:hAnsi="Arial" w:cs="Arial"/>
                <w:bCs/>
                <w:color w:val="000000"/>
                <w:lang w:eastAsia="en-GB"/>
              </w:rPr>
              <w:t>GAGCCAACGGATGACACACA</w:t>
            </w:r>
          </w:p>
        </w:tc>
      </w:tr>
      <w:tr w:rsidR="003A48AB" w:rsidRPr="003A48AB" w14:paraId="064825D4" w14:textId="77777777" w:rsidTr="006C76ED">
        <w:tc>
          <w:tcPr>
            <w:tcW w:w="3954" w:type="dxa"/>
            <w:tcBorders>
              <w:top w:val="single" w:sz="6" w:space="0" w:color="000000"/>
            </w:tcBorders>
          </w:tcPr>
          <w:p w14:paraId="18ECAFAA"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MS Mincho" w:hAnsi="Arial" w:cs="Arial"/>
                <w:bCs/>
                <w:lang w:eastAsia="en-GB"/>
              </w:rPr>
              <w:t>PpSMF2 RT-PCR R</w:t>
            </w:r>
          </w:p>
        </w:tc>
        <w:tc>
          <w:tcPr>
            <w:tcW w:w="4111" w:type="dxa"/>
            <w:tcBorders>
              <w:top w:val="single" w:sz="6" w:space="0" w:color="000000"/>
            </w:tcBorders>
          </w:tcPr>
          <w:p w14:paraId="4B1BD85C"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MS Mincho" w:hAnsi="Arial" w:cs="Arial"/>
                <w:bCs/>
                <w:color w:val="000000"/>
                <w:lang w:eastAsia="en-GB"/>
              </w:rPr>
              <w:t>AAATCGAAGGGTTCCCGAGG</w:t>
            </w:r>
          </w:p>
        </w:tc>
      </w:tr>
      <w:tr w:rsidR="003A48AB" w:rsidRPr="003A48AB" w14:paraId="38234880" w14:textId="77777777" w:rsidTr="006C76ED">
        <w:tc>
          <w:tcPr>
            <w:tcW w:w="3954" w:type="dxa"/>
            <w:tcBorders>
              <w:top w:val="single" w:sz="6" w:space="0" w:color="000000"/>
            </w:tcBorders>
          </w:tcPr>
          <w:p w14:paraId="18DFF8C8" w14:textId="77777777" w:rsidR="003A48AB" w:rsidRPr="003A48AB" w:rsidRDefault="003A48AB" w:rsidP="003A48AB">
            <w:pPr>
              <w:tabs>
                <w:tab w:val="left" w:pos="2977"/>
              </w:tabs>
              <w:jc w:val="both"/>
              <w:textAlignment w:val="baseline"/>
              <w:rPr>
                <w:rFonts w:ascii="Arial" w:eastAsia="MS Mincho" w:hAnsi="Arial" w:cs="Arial"/>
                <w:bCs/>
                <w:lang w:eastAsia="en-GB"/>
              </w:rPr>
            </w:pPr>
            <w:r w:rsidRPr="003A48AB">
              <w:rPr>
                <w:rFonts w:ascii="Arial" w:eastAsia="MS Mincho" w:hAnsi="Arial" w:cs="Arial"/>
                <w:bCs/>
                <w:color w:val="000000"/>
                <w:lang w:eastAsia="en-GB"/>
              </w:rPr>
              <w:t>PpSCRM1 KO F</w:t>
            </w:r>
          </w:p>
        </w:tc>
        <w:tc>
          <w:tcPr>
            <w:tcW w:w="4111" w:type="dxa"/>
            <w:tcBorders>
              <w:top w:val="single" w:sz="6" w:space="0" w:color="000000"/>
            </w:tcBorders>
          </w:tcPr>
          <w:p w14:paraId="6357BE10" w14:textId="77777777" w:rsidR="003A48AB" w:rsidRPr="003A48AB" w:rsidRDefault="003A48AB" w:rsidP="003A48AB">
            <w:pPr>
              <w:tabs>
                <w:tab w:val="left" w:pos="2977"/>
              </w:tabs>
              <w:jc w:val="both"/>
              <w:textAlignment w:val="baseline"/>
              <w:rPr>
                <w:rFonts w:ascii="Arial" w:eastAsia="MS Mincho" w:hAnsi="Arial" w:cs="Arial"/>
                <w:bCs/>
                <w:color w:val="000000"/>
                <w:lang w:eastAsia="en-GB"/>
              </w:rPr>
            </w:pPr>
            <w:r w:rsidRPr="003A48AB">
              <w:rPr>
                <w:rFonts w:ascii="Arial" w:eastAsia="MS Mincho" w:hAnsi="Arial" w:cs="Arial"/>
                <w:bCs/>
                <w:color w:val="000000"/>
                <w:lang w:eastAsia="en-GB"/>
              </w:rPr>
              <w:t>TTTGAATTCGCAGACTGGAGTGCAGGAAA</w:t>
            </w:r>
          </w:p>
        </w:tc>
      </w:tr>
      <w:tr w:rsidR="003A48AB" w:rsidRPr="003A48AB" w14:paraId="3740F791" w14:textId="77777777" w:rsidTr="006C76ED">
        <w:tc>
          <w:tcPr>
            <w:tcW w:w="3954" w:type="dxa"/>
            <w:tcBorders>
              <w:top w:val="single" w:sz="6" w:space="0" w:color="000000"/>
            </w:tcBorders>
          </w:tcPr>
          <w:p w14:paraId="3CA1246D" w14:textId="77777777" w:rsidR="003A48AB" w:rsidRPr="003A48AB" w:rsidRDefault="003A48AB" w:rsidP="003A48AB">
            <w:pPr>
              <w:tabs>
                <w:tab w:val="left" w:pos="2977"/>
              </w:tabs>
              <w:jc w:val="both"/>
              <w:textAlignment w:val="baseline"/>
              <w:rPr>
                <w:rFonts w:ascii="Arial" w:eastAsia="MS Mincho" w:hAnsi="Arial" w:cs="Arial"/>
                <w:bCs/>
                <w:lang w:eastAsia="en-GB"/>
              </w:rPr>
            </w:pPr>
            <w:r w:rsidRPr="003A48AB">
              <w:rPr>
                <w:rFonts w:ascii="Arial" w:eastAsia="MS Mincho" w:hAnsi="Arial" w:cs="Arial"/>
                <w:bCs/>
                <w:color w:val="000000"/>
                <w:lang w:eastAsia="en-GB"/>
              </w:rPr>
              <w:t>PpSCRM1 KO R</w:t>
            </w:r>
          </w:p>
        </w:tc>
        <w:tc>
          <w:tcPr>
            <w:tcW w:w="4111" w:type="dxa"/>
            <w:tcBorders>
              <w:top w:val="single" w:sz="6" w:space="0" w:color="000000"/>
            </w:tcBorders>
          </w:tcPr>
          <w:p w14:paraId="0CFF3FD8" w14:textId="77777777" w:rsidR="003A48AB" w:rsidRPr="003A48AB" w:rsidRDefault="003A48AB" w:rsidP="003A48AB">
            <w:pPr>
              <w:tabs>
                <w:tab w:val="left" w:pos="2977"/>
              </w:tabs>
              <w:jc w:val="both"/>
              <w:textAlignment w:val="baseline"/>
              <w:rPr>
                <w:rFonts w:ascii="Arial" w:eastAsia="MS Mincho" w:hAnsi="Arial" w:cs="Arial"/>
                <w:bCs/>
                <w:color w:val="000000"/>
                <w:lang w:eastAsia="en-GB"/>
              </w:rPr>
            </w:pPr>
            <w:r w:rsidRPr="003A48AB">
              <w:rPr>
                <w:rFonts w:ascii="Arial" w:eastAsia="MS Mincho" w:hAnsi="Arial" w:cs="Arial"/>
                <w:bCs/>
                <w:color w:val="000000"/>
                <w:lang w:eastAsia="en-GB"/>
              </w:rPr>
              <w:t>TTTGAATTCCTCCACACCCCACTGATTCG</w:t>
            </w:r>
          </w:p>
        </w:tc>
      </w:tr>
      <w:tr w:rsidR="003A48AB" w:rsidRPr="003A48AB" w14:paraId="58B40B6C" w14:textId="77777777" w:rsidTr="006C76ED">
        <w:tc>
          <w:tcPr>
            <w:tcW w:w="3954" w:type="dxa"/>
            <w:tcBorders>
              <w:top w:val="single" w:sz="6" w:space="0" w:color="000000"/>
            </w:tcBorders>
          </w:tcPr>
          <w:p w14:paraId="5266550F" w14:textId="77777777" w:rsidR="003A48AB" w:rsidRPr="003A48AB" w:rsidRDefault="003A48AB" w:rsidP="003A48AB">
            <w:pPr>
              <w:tabs>
                <w:tab w:val="left" w:pos="2977"/>
              </w:tabs>
              <w:jc w:val="both"/>
              <w:textAlignment w:val="baseline"/>
              <w:rPr>
                <w:rFonts w:ascii="Arial" w:eastAsia="MS Mincho" w:hAnsi="Arial" w:cs="Arial"/>
                <w:bCs/>
                <w:lang w:eastAsia="en-GB"/>
              </w:rPr>
            </w:pPr>
            <w:r w:rsidRPr="003A48AB">
              <w:rPr>
                <w:rFonts w:ascii="Arial" w:eastAsia="MS Mincho" w:hAnsi="Arial" w:cs="Arial"/>
                <w:bCs/>
                <w:lang w:eastAsia="en-GB"/>
              </w:rPr>
              <w:t>PpSCRM1 RT-PCR F</w:t>
            </w:r>
          </w:p>
        </w:tc>
        <w:tc>
          <w:tcPr>
            <w:tcW w:w="4111" w:type="dxa"/>
            <w:tcBorders>
              <w:top w:val="single" w:sz="6" w:space="0" w:color="000000"/>
            </w:tcBorders>
          </w:tcPr>
          <w:p w14:paraId="3ADA030E" w14:textId="77777777" w:rsidR="003A48AB" w:rsidRPr="003A48AB" w:rsidRDefault="003A48AB" w:rsidP="003A48AB">
            <w:pPr>
              <w:tabs>
                <w:tab w:val="left" w:pos="2977"/>
              </w:tabs>
              <w:jc w:val="both"/>
              <w:textAlignment w:val="baseline"/>
              <w:rPr>
                <w:rFonts w:ascii="Arial" w:eastAsia="MS Mincho" w:hAnsi="Arial" w:cs="Arial"/>
                <w:bCs/>
                <w:color w:val="000000"/>
                <w:lang w:eastAsia="en-GB"/>
              </w:rPr>
            </w:pPr>
            <w:r w:rsidRPr="003A48AB">
              <w:rPr>
                <w:rFonts w:ascii="Arial" w:eastAsia="MS Mincho" w:hAnsi="Arial" w:cs="Arial"/>
                <w:bCs/>
                <w:color w:val="000000"/>
                <w:lang w:eastAsia="en-GB"/>
              </w:rPr>
              <w:t>GGACGTTGGACCAGAAGAAA</w:t>
            </w:r>
          </w:p>
        </w:tc>
      </w:tr>
      <w:tr w:rsidR="003A48AB" w:rsidRPr="003A48AB" w14:paraId="45BFD949" w14:textId="77777777" w:rsidTr="006C76ED">
        <w:tc>
          <w:tcPr>
            <w:tcW w:w="3954" w:type="dxa"/>
            <w:tcBorders>
              <w:top w:val="single" w:sz="6" w:space="0" w:color="000000"/>
            </w:tcBorders>
          </w:tcPr>
          <w:p w14:paraId="0E271830" w14:textId="77777777" w:rsidR="003A48AB" w:rsidRPr="003A48AB" w:rsidRDefault="003A48AB" w:rsidP="003A48AB">
            <w:pPr>
              <w:tabs>
                <w:tab w:val="left" w:pos="2977"/>
              </w:tabs>
              <w:jc w:val="both"/>
              <w:textAlignment w:val="baseline"/>
              <w:rPr>
                <w:rFonts w:ascii="Arial" w:eastAsia="MS Mincho" w:hAnsi="Arial" w:cs="Arial"/>
                <w:bCs/>
                <w:lang w:eastAsia="en-GB"/>
              </w:rPr>
            </w:pPr>
            <w:r w:rsidRPr="003A48AB">
              <w:rPr>
                <w:rFonts w:ascii="Arial" w:eastAsia="MS Mincho" w:hAnsi="Arial" w:cs="Arial"/>
                <w:bCs/>
                <w:lang w:eastAsia="en-GB"/>
              </w:rPr>
              <w:t>PpSCRM1 RT-PCR R</w:t>
            </w:r>
          </w:p>
        </w:tc>
        <w:tc>
          <w:tcPr>
            <w:tcW w:w="4111" w:type="dxa"/>
            <w:tcBorders>
              <w:top w:val="single" w:sz="6" w:space="0" w:color="000000"/>
            </w:tcBorders>
          </w:tcPr>
          <w:p w14:paraId="0CD796C6" w14:textId="77777777" w:rsidR="003A48AB" w:rsidRPr="003A48AB" w:rsidRDefault="003A48AB" w:rsidP="003A48AB">
            <w:pPr>
              <w:tabs>
                <w:tab w:val="left" w:pos="2977"/>
              </w:tabs>
              <w:jc w:val="both"/>
              <w:textAlignment w:val="baseline"/>
              <w:rPr>
                <w:rFonts w:ascii="Arial" w:eastAsia="MS Mincho" w:hAnsi="Arial" w:cs="Arial"/>
                <w:bCs/>
                <w:color w:val="000000"/>
                <w:lang w:eastAsia="en-GB"/>
              </w:rPr>
            </w:pPr>
            <w:r w:rsidRPr="003A48AB">
              <w:rPr>
                <w:rFonts w:ascii="Arial" w:eastAsia="MS Mincho" w:hAnsi="Arial" w:cs="Arial"/>
                <w:bCs/>
                <w:color w:val="000000"/>
                <w:lang w:eastAsia="en-GB"/>
              </w:rPr>
              <w:t>CGCTTTATTCAGCCTCCTCA</w:t>
            </w:r>
          </w:p>
        </w:tc>
      </w:tr>
      <w:tr w:rsidR="003A48AB" w:rsidRPr="003A48AB" w14:paraId="3F3893A1" w14:textId="77777777" w:rsidTr="006C76ED">
        <w:tc>
          <w:tcPr>
            <w:tcW w:w="3954" w:type="dxa"/>
          </w:tcPr>
          <w:p w14:paraId="6BFF9790"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5’ PpEPF1 3’ F</w:t>
            </w:r>
          </w:p>
        </w:tc>
        <w:tc>
          <w:tcPr>
            <w:tcW w:w="4111" w:type="dxa"/>
          </w:tcPr>
          <w:p w14:paraId="47666B8B"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CTCTCACTCCTCAATACACGTG</w:t>
            </w:r>
          </w:p>
        </w:tc>
      </w:tr>
      <w:tr w:rsidR="003A48AB" w:rsidRPr="003A48AB" w14:paraId="5B9F7F63" w14:textId="77777777" w:rsidTr="006C76ED">
        <w:tc>
          <w:tcPr>
            <w:tcW w:w="3954" w:type="dxa"/>
          </w:tcPr>
          <w:p w14:paraId="7884630C"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5’ PpEPF1 3’ R</w:t>
            </w:r>
          </w:p>
        </w:tc>
        <w:tc>
          <w:tcPr>
            <w:tcW w:w="4111" w:type="dxa"/>
          </w:tcPr>
          <w:p w14:paraId="09D8C237"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GCAACAAACGTCATTTCCAA</w:t>
            </w:r>
          </w:p>
        </w:tc>
      </w:tr>
      <w:tr w:rsidR="003A48AB" w:rsidRPr="003A48AB" w14:paraId="26F812D3" w14:textId="77777777" w:rsidTr="006C76ED">
        <w:tc>
          <w:tcPr>
            <w:tcW w:w="3954" w:type="dxa"/>
          </w:tcPr>
          <w:p w14:paraId="10E6D6C7"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PpEPF1 KO CONSTRUCT F</w:t>
            </w:r>
          </w:p>
        </w:tc>
        <w:tc>
          <w:tcPr>
            <w:tcW w:w="4111" w:type="dxa"/>
          </w:tcPr>
          <w:p w14:paraId="02CA53A8"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AGCGCAATCCACATACGAAACT</w:t>
            </w:r>
          </w:p>
        </w:tc>
      </w:tr>
      <w:tr w:rsidR="003A48AB" w:rsidRPr="003A48AB" w14:paraId="1C7EB80E" w14:textId="77777777" w:rsidTr="006C76ED">
        <w:tc>
          <w:tcPr>
            <w:tcW w:w="3954" w:type="dxa"/>
          </w:tcPr>
          <w:p w14:paraId="15F6E460"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PpEPF1 KO CONSTRUCT R</w:t>
            </w:r>
          </w:p>
        </w:tc>
        <w:tc>
          <w:tcPr>
            <w:tcW w:w="4111" w:type="dxa"/>
          </w:tcPr>
          <w:p w14:paraId="3BA3F870"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GGGTTGGGCGAAGGTTTTATATT</w:t>
            </w:r>
          </w:p>
        </w:tc>
      </w:tr>
      <w:tr w:rsidR="003A48AB" w:rsidRPr="003A48AB" w14:paraId="0ACF018D" w14:textId="77777777" w:rsidTr="006C76ED">
        <w:tc>
          <w:tcPr>
            <w:tcW w:w="3954" w:type="dxa"/>
          </w:tcPr>
          <w:p w14:paraId="4467C2FC"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Flanking PpTMM 5’ F</w:t>
            </w:r>
          </w:p>
        </w:tc>
        <w:tc>
          <w:tcPr>
            <w:tcW w:w="4111" w:type="dxa"/>
          </w:tcPr>
          <w:p w14:paraId="5BB0057A"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lang w:eastAsia="en-GB"/>
              </w:rPr>
              <w:t>GTGCATTAACGGTGCATTGAAA</w:t>
            </w:r>
          </w:p>
        </w:tc>
      </w:tr>
      <w:tr w:rsidR="003A48AB" w:rsidRPr="003A48AB" w14:paraId="0A372A56" w14:textId="77777777" w:rsidTr="006C76ED">
        <w:tc>
          <w:tcPr>
            <w:tcW w:w="3954" w:type="dxa"/>
          </w:tcPr>
          <w:p w14:paraId="427B24BC"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Flanking PpTMM 5' R</w:t>
            </w:r>
          </w:p>
        </w:tc>
        <w:tc>
          <w:tcPr>
            <w:tcW w:w="4111" w:type="dxa"/>
          </w:tcPr>
          <w:p w14:paraId="093D2814"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lang w:eastAsia="en-GB"/>
              </w:rPr>
              <w:t>GCATCTGACACGAAATGTCACAG</w:t>
            </w:r>
          </w:p>
        </w:tc>
      </w:tr>
      <w:tr w:rsidR="003A48AB" w:rsidRPr="003A48AB" w14:paraId="2F7734E8" w14:textId="77777777" w:rsidTr="006C76ED">
        <w:tc>
          <w:tcPr>
            <w:tcW w:w="3954" w:type="dxa"/>
          </w:tcPr>
          <w:p w14:paraId="015FD906"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Flanking PpTMM 3’ F</w:t>
            </w:r>
          </w:p>
        </w:tc>
        <w:tc>
          <w:tcPr>
            <w:tcW w:w="4111" w:type="dxa"/>
          </w:tcPr>
          <w:p w14:paraId="55155BFF"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TTCAACCTTCCCAATGCACCTAT</w:t>
            </w:r>
          </w:p>
        </w:tc>
      </w:tr>
      <w:tr w:rsidR="003A48AB" w:rsidRPr="003A48AB" w14:paraId="14FD0C40" w14:textId="77777777" w:rsidTr="006C76ED">
        <w:tc>
          <w:tcPr>
            <w:tcW w:w="3954" w:type="dxa"/>
          </w:tcPr>
          <w:p w14:paraId="0B358379"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Flanking PpTMM 3’ R</w:t>
            </w:r>
          </w:p>
        </w:tc>
        <w:tc>
          <w:tcPr>
            <w:tcW w:w="4111" w:type="dxa"/>
          </w:tcPr>
          <w:p w14:paraId="1F016E9C"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CACTCATACTTTTGGACCGATGC</w:t>
            </w:r>
          </w:p>
        </w:tc>
      </w:tr>
      <w:tr w:rsidR="003A48AB" w:rsidRPr="003A48AB" w14:paraId="70B6E404" w14:textId="77777777" w:rsidTr="006C76ED">
        <w:tc>
          <w:tcPr>
            <w:tcW w:w="3954" w:type="dxa"/>
          </w:tcPr>
          <w:p w14:paraId="4ACBA1DB"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PpTMM KO CONSTRUCT F</w:t>
            </w:r>
          </w:p>
        </w:tc>
        <w:tc>
          <w:tcPr>
            <w:tcW w:w="4111" w:type="dxa"/>
          </w:tcPr>
          <w:p w14:paraId="010D27A7"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GATGGAGGTGGTCCTACGAGAG</w:t>
            </w:r>
          </w:p>
        </w:tc>
      </w:tr>
      <w:tr w:rsidR="003A48AB" w:rsidRPr="003A48AB" w14:paraId="5688763C" w14:textId="77777777" w:rsidTr="006C76ED">
        <w:tc>
          <w:tcPr>
            <w:tcW w:w="3954" w:type="dxa"/>
          </w:tcPr>
          <w:p w14:paraId="3356700E"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PpTMM KO CONSTRUCT R</w:t>
            </w:r>
          </w:p>
        </w:tc>
        <w:tc>
          <w:tcPr>
            <w:tcW w:w="4111" w:type="dxa"/>
          </w:tcPr>
          <w:p w14:paraId="16159F2E"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GCGGATTGATAAATTGGCGTTA</w:t>
            </w:r>
          </w:p>
        </w:tc>
      </w:tr>
      <w:tr w:rsidR="003A48AB" w:rsidRPr="003A48AB" w14:paraId="1D419CBD" w14:textId="77777777" w:rsidTr="006C76ED">
        <w:tc>
          <w:tcPr>
            <w:tcW w:w="3954" w:type="dxa"/>
          </w:tcPr>
          <w:p w14:paraId="4C2CC36C"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Flanking PpERECTA1 5’ F</w:t>
            </w:r>
          </w:p>
        </w:tc>
        <w:tc>
          <w:tcPr>
            <w:tcW w:w="4111" w:type="dxa"/>
          </w:tcPr>
          <w:p w14:paraId="6C51E817"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color w:val="443B39"/>
                <w:lang w:eastAsia="en-GB"/>
              </w:rPr>
              <w:t>CTCGCTCTCTCTCTTCCTGG</w:t>
            </w:r>
          </w:p>
        </w:tc>
      </w:tr>
      <w:tr w:rsidR="003A48AB" w:rsidRPr="003A48AB" w14:paraId="07B45196" w14:textId="77777777" w:rsidTr="006C76ED">
        <w:tc>
          <w:tcPr>
            <w:tcW w:w="3954" w:type="dxa"/>
          </w:tcPr>
          <w:p w14:paraId="7926C52A"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Flanking PpERECTA1 5' R</w:t>
            </w:r>
          </w:p>
        </w:tc>
        <w:tc>
          <w:tcPr>
            <w:tcW w:w="4111" w:type="dxa"/>
          </w:tcPr>
          <w:p w14:paraId="5F66D989"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ATCGCCATGACAGGGAGTAG</w:t>
            </w:r>
          </w:p>
        </w:tc>
      </w:tr>
      <w:tr w:rsidR="003A48AB" w:rsidRPr="003A48AB" w14:paraId="3D40F5A5" w14:textId="77777777" w:rsidTr="006C76ED">
        <w:tc>
          <w:tcPr>
            <w:tcW w:w="3954" w:type="dxa"/>
          </w:tcPr>
          <w:p w14:paraId="2BAAA1CA"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Flanking PpERECTA1 3’ F</w:t>
            </w:r>
          </w:p>
        </w:tc>
        <w:tc>
          <w:tcPr>
            <w:tcW w:w="4111" w:type="dxa"/>
          </w:tcPr>
          <w:p w14:paraId="4C0D81FF"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TCCACTCCACTTCCCATTCT</w:t>
            </w:r>
          </w:p>
        </w:tc>
      </w:tr>
      <w:tr w:rsidR="003A48AB" w:rsidRPr="003A48AB" w14:paraId="1D055517" w14:textId="77777777" w:rsidTr="006C76ED">
        <w:tc>
          <w:tcPr>
            <w:tcW w:w="3954" w:type="dxa"/>
          </w:tcPr>
          <w:p w14:paraId="001C84E6"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Flanking PpERECTA1 3’ R</w:t>
            </w:r>
          </w:p>
        </w:tc>
        <w:tc>
          <w:tcPr>
            <w:tcW w:w="4111" w:type="dxa"/>
          </w:tcPr>
          <w:p w14:paraId="612329BE"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GGTGACTTCCTATCATGCGC</w:t>
            </w:r>
          </w:p>
        </w:tc>
      </w:tr>
      <w:tr w:rsidR="003A48AB" w:rsidRPr="003A48AB" w14:paraId="1D249515" w14:textId="77777777" w:rsidTr="006C76ED">
        <w:tc>
          <w:tcPr>
            <w:tcW w:w="3954" w:type="dxa"/>
          </w:tcPr>
          <w:p w14:paraId="709E06E7"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PpERECTA1 KO CONSTRUCT F</w:t>
            </w:r>
          </w:p>
        </w:tc>
        <w:tc>
          <w:tcPr>
            <w:tcW w:w="4111" w:type="dxa"/>
          </w:tcPr>
          <w:p w14:paraId="797BCAEB"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color w:val="443B39"/>
                <w:lang w:eastAsia="en-GB"/>
              </w:rPr>
              <w:t>CTCGCTCTCTCTCTTCCTGG</w:t>
            </w:r>
          </w:p>
        </w:tc>
      </w:tr>
      <w:tr w:rsidR="003A48AB" w:rsidRPr="003A48AB" w14:paraId="206BB133" w14:textId="77777777" w:rsidTr="006C76ED">
        <w:tc>
          <w:tcPr>
            <w:tcW w:w="3954" w:type="dxa"/>
          </w:tcPr>
          <w:p w14:paraId="1F77F5E9"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PpERECTA1 KO CONSTRUCT R</w:t>
            </w:r>
          </w:p>
        </w:tc>
        <w:tc>
          <w:tcPr>
            <w:tcW w:w="4111" w:type="dxa"/>
          </w:tcPr>
          <w:p w14:paraId="5821B6B9"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GGTGACTTCCTATCATGCGC</w:t>
            </w:r>
          </w:p>
        </w:tc>
      </w:tr>
      <w:tr w:rsidR="003A48AB" w:rsidRPr="003A48AB" w14:paraId="1E15B13E" w14:textId="77777777" w:rsidTr="006C76ED">
        <w:tc>
          <w:tcPr>
            <w:tcW w:w="3954" w:type="dxa"/>
          </w:tcPr>
          <w:p w14:paraId="5E79AAC5"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PpEPF1 OE F</w:t>
            </w:r>
          </w:p>
        </w:tc>
        <w:tc>
          <w:tcPr>
            <w:tcW w:w="4111" w:type="dxa"/>
          </w:tcPr>
          <w:p w14:paraId="7C993F13"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GCCTTATTGACATGGCTGCT</w:t>
            </w:r>
          </w:p>
        </w:tc>
      </w:tr>
      <w:tr w:rsidR="003A48AB" w:rsidRPr="003A48AB" w14:paraId="34236682" w14:textId="77777777" w:rsidTr="006C76ED">
        <w:tc>
          <w:tcPr>
            <w:tcW w:w="3954" w:type="dxa"/>
          </w:tcPr>
          <w:p w14:paraId="413D5C62"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PpEPF1 OE R</w:t>
            </w:r>
          </w:p>
        </w:tc>
        <w:tc>
          <w:tcPr>
            <w:tcW w:w="4111" w:type="dxa"/>
          </w:tcPr>
          <w:p w14:paraId="6A0DF2AA"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TCAAGGGATGGGAAAGGATT</w:t>
            </w:r>
          </w:p>
        </w:tc>
      </w:tr>
      <w:tr w:rsidR="003A48AB" w:rsidRPr="003A48AB" w14:paraId="5CDB064C" w14:textId="77777777" w:rsidTr="006C76ED">
        <w:tc>
          <w:tcPr>
            <w:tcW w:w="3954" w:type="dxa"/>
          </w:tcPr>
          <w:p w14:paraId="4D2061A4"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PpTMM OE F</w:t>
            </w:r>
          </w:p>
        </w:tc>
        <w:tc>
          <w:tcPr>
            <w:tcW w:w="4111" w:type="dxa"/>
          </w:tcPr>
          <w:p w14:paraId="6E4EB74D"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ATTGTGGTAGTGTACGAGGTAGGC</w:t>
            </w:r>
          </w:p>
        </w:tc>
      </w:tr>
      <w:tr w:rsidR="003A48AB" w:rsidRPr="003A48AB" w14:paraId="309C044E" w14:textId="77777777" w:rsidTr="006C76ED">
        <w:tc>
          <w:tcPr>
            <w:tcW w:w="3954" w:type="dxa"/>
          </w:tcPr>
          <w:p w14:paraId="598D7F3A"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PpTMM OE R</w:t>
            </w:r>
          </w:p>
        </w:tc>
        <w:tc>
          <w:tcPr>
            <w:tcW w:w="4111" w:type="dxa"/>
          </w:tcPr>
          <w:p w14:paraId="2456CA4F"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TTAGCACCTTGACATGATTACGA</w:t>
            </w:r>
          </w:p>
        </w:tc>
      </w:tr>
      <w:tr w:rsidR="003A48AB" w:rsidRPr="003A48AB" w14:paraId="04CFE1D9" w14:textId="77777777" w:rsidTr="006C76ED">
        <w:tc>
          <w:tcPr>
            <w:tcW w:w="3954" w:type="dxa"/>
          </w:tcPr>
          <w:p w14:paraId="6C5DE260"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M13 F</w:t>
            </w:r>
          </w:p>
        </w:tc>
        <w:tc>
          <w:tcPr>
            <w:tcW w:w="4111" w:type="dxa"/>
          </w:tcPr>
          <w:p w14:paraId="68C265FF"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GTAAAACGACGGCCAGT</w:t>
            </w:r>
          </w:p>
        </w:tc>
      </w:tr>
      <w:tr w:rsidR="003A48AB" w:rsidRPr="003A48AB" w14:paraId="7DB8AA93" w14:textId="77777777" w:rsidTr="006C76ED">
        <w:tc>
          <w:tcPr>
            <w:tcW w:w="3954" w:type="dxa"/>
          </w:tcPr>
          <w:p w14:paraId="3617FF20"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M13 R</w:t>
            </w:r>
          </w:p>
        </w:tc>
        <w:tc>
          <w:tcPr>
            <w:tcW w:w="4111" w:type="dxa"/>
          </w:tcPr>
          <w:p w14:paraId="51A3386E"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CAGGAAACAGCTATGAC</w:t>
            </w:r>
          </w:p>
        </w:tc>
      </w:tr>
      <w:tr w:rsidR="003A48AB" w:rsidRPr="003A48AB" w14:paraId="60B92FC1" w14:textId="77777777" w:rsidTr="006C76ED">
        <w:tc>
          <w:tcPr>
            <w:tcW w:w="3954" w:type="dxa"/>
          </w:tcPr>
          <w:p w14:paraId="3074C8B5"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PpEPF1 OE CONSTRUCT F</w:t>
            </w:r>
          </w:p>
        </w:tc>
        <w:tc>
          <w:tcPr>
            <w:tcW w:w="4111" w:type="dxa"/>
          </w:tcPr>
          <w:p w14:paraId="0B44929C"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ACCATGAGCAACGAGCTGAA</w:t>
            </w:r>
          </w:p>
        </w:tc>
      </w:tr>
      <w:tr w:rsidR="003A48AB" w:rsidRPr="003A48AB" w14:paraId="01B821FF" w14:textId="77777777" w:rsidTr="006C76ED">
        <w:tc>
          <w:tcPr>
            <w:tcW w:w="3954" w:type="dxa"/>
          </w:tcPr>
          <w:p w14:paraId="3B69EB16"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PpEPF1 OE CONSTRUCT R</w:t>
            </w:r>
          </w:p>
        </w:tc>
        <w:tc>
          <w:tcPr>
            <w:tcW w:w="4111" w:type="dxa"/>
          </w:tcPr>
          <w:p w14:paraId="696C7B03"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AACAGCACATAGGCCGACAA</w:t>
            </w:r>
          </w:p>
        </w:tc>
      </w:tr>
      <w:tr w:rsidR="003A48AB" w:rsidRPr="003A48AB" w14:paraId="74305541" w14:textId="77777777" w:rsidTr="006C76ED">
        <w:tc>
          <w:tcPr>
            <w:tcW w:w="3954" w:type="dxa"/>
          </w:tcPr>
          <w:p w14:paraId="0FFCE970"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PpTMM OE CONSTRUCT F</w:t>
            </w:r>
          </w:p>
        </w:tc>
        <w:tc>
          <w:tcPr>
            <w:tcW w:w="4111" w:type="dxa"/>
          </w:tcPr>
          <w:p w14:paraId="74943133"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ACCATGAGCAACGAGCTGAA</w:t>
            </w:r>
          </w:p>
        </w:tc>
      </w:tr>
      <w:tr w:rsidR="003A48AB" w:rsidRPr="003A48AB" w14:paraId="7E1CC909" w14:textId="77777777" w:rsidTr="006C76ED">
        <w:tc>
          <w:tcPr>
            <w:tcW w:w="3954" w:type="dxa"/>
          </w:tcPr>
          <w:p w14:paraId="7D4395D2"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PpTMM OE CONSTRUCT R</w:t>
            </w:r>
          </w:p>
        </w:tc>
        <w:tc>
          <w:tcPr>
            <w:tcW w:w="4111" w:type="dxa"/>
          </w:tcPr>
          <w:p w14:paraId="24D79932"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TGCCTCGGTAACATCTTCAGG</w:t>
            </w:r>
          </w:p>
        </w:tc>
      </w:tr>
      <w:tr w:rsidR="003A48AB" w:rsidRPr="003A48AB" w14:paraId="1AA90309" w14:textId="77777777" w:rsidTr="006C76ED">
        <w:tc>
          <w:tcPr>
            <w:tcW w:w="3954" w:type="dxa"/>
          </w:tcPr>
          <w:p w14:paraId="31594F1D"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PpEPF1 RT-PCR F</w:t>
            </w:r>
          </w:p>
        </w:tc>
        <w:tc>
          <w:tcPr>
            <w:tcW w:w="4111" w:type="dxa"/>
          </w:tcPr>
          <w:p w14:paraId="4A3CD44A"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CCGCGTCATACTTGGAACTG</w:t>
            </w:r>
          </w:p>
        </w:tc>
      </w:tr>
      <w:tr w:rsidR="003A48AB" w:rsidRPr="003A48AB" w14:paraId="311561F1" w14:textId="77777777" w:rsidTr="006C76ED">
        <w:tc>
          <w:tcPr>
            <w:tcW w:w="3954" w:type="dxa"/>
          </w:tcPr>
          <w:p w14:paraId="60E6362D"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PpEPF1 RT-PCR R</w:t>
            </w:r>
          </w:p>
        </w:tc>
        <w:tc>
          <w:tcPr>
            <w:tcW w:w="4111" w:type="dxa"/>
          </w:tcPr>
          <w:p w14:paraId="7AB9483E"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CAAGTAGCCCAACGGACAAG</w:t>
            </w:r>
          </w:p>
        </w:tc>
      </w:tr>
      <w:tr w:rsidR="003A48AB" w:rsidRPr="003A48AB" w14:paraId="600805B4" w14:textId="77777777" w:rsidTr="006C76ED">
        <w:tc>
          <w:tcPr>
            <w:tcW w:w="3954" w:type="dxa"/>
          </w:tcPr>
          <w:p w14:paraId="1C5B384A"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PpEPF1 OE RT-PCR F</w:t>
            </w:r>
          </w:p>
        </w:tc>
        <w:tc>
          <w:tcPr>
            <w:tcW w:w="4111" w:type="dxa"/>
          </w:tcPr>
          <w:p w14:paraId="728B2B46"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TCCAAGATAGAGACTGAGGGG</w:t>
            </w:r>
          </w:p>
        </w:tc>
      </w:tr>
      <w:tr w:rsidR="003A48AB" w:rsidRPr="003A48AB" w14:paraId="3B48E69C" w14:textId="77777777" w:rsidTr="006C76ED">
        <w:tc>
          <w:tcPr>
            <w:tcW w:w="3954" w:type="dxa"/>
          </w:tcPr>
          <w:p w14:paraId="2ECFAC2C"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PpEPF1 OE RT-PCR R</w:t>
            </w:r>
          </w:p>
        </w:tc>
        <w:tc>
          <w:tcPr>
            <w:tcW w:w="4111" w:type="dxa"/>
          </w:tcPr>
          <w:p w14:paraId="700CEF65"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TCCTCGCATTCATAGCTCACAA</w:t>
            </w:r>
          </w:p>
        </w:tc>
      </w:tr>
      <w:tr w:rsidR="003A48AB" w:rsidRPr="003A48AB" w14:paraId="33EA71C0" w14:textId="77777777" w:rsidTr="006C76ED">
        <w:tc>
          <w:tcPr>
            <w:tcW w:w="3954" w:type="dxa"/>
          </w:tcPr>
          <w:p w14:paraId="76C3BE51"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PpTMM RT-PCR F</w:t>
            </w:r>
          </w:p>
        </w:tc>
        <w:tc>
          <w:tcPr>
            <w:tcW w:w="4111" w:type="dxa"/>
          </w:tcPr>
          <w:p w14:paraId="4E692CD9"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TGGCGCACAACAGATTCTCAGG</w:t>
            </w:r>
          </w:p>
        </w:tc>
      </w:tr>
      <w:tr w:rsidR="003A48AB" w:rsidRPr="003A48AB" w14:paraId="342BDF6A" w14:textId="77777777" w:rsidTr="006C76ED">
        <w:tc>
          <w:tcPr>
            <w:tcW w:w="3954" w:type="dxa"/>
          </w:tcPr>
          <w:p w14:paraId="441AA253"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PpTMM RT-PCR R</w:t>
            </w:r>
          </w:p>
        </w:tc>
        <w:tc>
          <w:tcPr>
            <w:tcW w:w="4111" w:type="dxa"/>
          </w:tcPr>
          <w:p w14:paraId="4CD2203F"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AGCCTTCGTTGTTCTGCAGTCG</w:t>
            </w:r>
          </w:p>
        </w:tc>
      </w:tr>
      <w:tr w:rsidR="003A48AB" w:rsidRPr="003A48AB" w14:paraId="67B4D29D" w14:textId="77777777" w:rsidTr="006C76ED">
        <w:tc>
          <w:tcPr>
            <w:tcW w:w="3954" w:type="dxa"/>
          </w:tcPr>
          <w:p w14:paraId="1226A6C6"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PpTMM OE RT-PCR F</w:t>
            </w:r>
          </w:p>
        </w:tc>
        <w:tc>
          <w:tcPr>
            <w:tcW w:w="4111" w:type="dxa"/>
          </w:tcPr>
          <w:p w14:paraId="6FD8B56C"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CTCCAACAACCAAAGCGTCG</w:t>
            </w:r>
          </w:p>
        </w:tc>
      </w:tr>
      <w:tr w:rsidR="003A48AB" w:rsidRPr="003A48AB" w14:paraId="727F26F9" w14:textId="77777777" w:rsidTr="006C76ED">
        <w:tc>
          <w:tcPr>
            <w:tcW w:w="3954" w:type="dxa"/>
          </w:tcPr>
          <w:p w14:paraId="1F00BDE9"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PpTMM OE RT-PCR R</w:t>
            </w:r>
          </w:p>
        </w:tc>
        <w:tc>
          <w:tcPr>
            <w:tcW w:w="4111" w:type="dxa"/>
          </w:tcPr>
          <w:p w14:paraId="7A824432"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AACGCTGGTTTTAAGCTGCC</w:t>
            </w:r>
          </w:p>
        </w:tc>
      </w:tr>
      <w:tr w:rsidR="003A48AB" w:rsidRPr="003A48AB" w14:paraId="56765260" w14:textId="77777777" w:rsidTr="006C76ED">
        <w:tc>
          <w:tcPr>
            <w:tcW w:w="3954" w:type="dxa"/>
          </w:tcPr>
          <w:p w14:paraId="1307258E"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PpERECTA1 RT-PCR F</w:t>
            </w:r>
          </w:p>
        </w:tc>
        <w:tc>
          <w:tcPr>
            <w:tcW w:w="4111" w:type="dxa"/>
          </w:tcPr>
          <w:p w14:paraId="14387F3F"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TAAGCGAGAAGTACGTGGCA</w:t>
            </w:r>
          </w:p>
        </w:tc>
      </w:tr>
      <w:tr w:rsidR="003A48AB" w:rsidRPr="003A48AB" w14:paraId="00B6563A" w14:textId="77777777" w:rsidTr="006C76ED">
        <w:tc>
          <w:tcPr>
            <w:tcW w:w="3954" w:type="dxa"/>
          </w:tcPr>
          <w:p w14:paraId="14431973"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PpERECTA1 RT-PCR R</w:t>
            </w:r>
          </w:p>
        </w:tc>
        <w:tc>
          <w:tcPr>
            <w:tcW w:w="4111" w:type="dxa"/>
          </w:tcPr>
          <w:p w14:paraId="6D340BD2"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GGATAACTGGGAGGTTTGCG</w:t>
            </w:r>
          </w:p>
        </w:tc>
      </w:tr>
      <w:tr w:rsidR="003A48AB" w:rsidRPr="003A48AB" w14:paraId="01DD5C77" w14:textId="77777777" w:rsidTr="006C76ED">
        <w:tc>
          <w:tcPr>
            <w:tcW w:w="3954" w:type="dxa"/>
          </w:tcPr>
          <w:p w14:paraId="6E16A7F0"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PpRubisco RT-PCR F</w:t>
            </w:r>
          </w:p>
        </w:tc>
        <w:tc>
          <w:tcPr>
            <w:tcW w:w="4111" w:type="dxa"/>
          </w:tcPr>
          <w:p w14:paraId="76359D38"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TTGTGGCTCCTGTCTCTGTG</w:t>
            </w:r>
          </w:p>
        </w:tc>
      </w:tr>
      <w:tr w:rsidR="003A48AB" w:rsidRPr="003A48AB" w14:paraId="35C8D200" w14:textId="77777777" w:rsidTr="006C76ED">
        <w:tc>
          <w:tcPr>
            <w:tcW w:w="3954" w:type="dxa"/>
          </w:tcPr>
          <w:p w14:paraId="24310318"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lastRenderedPageBreak/>
              <w:t>PpRubisco RT-PCR R</w:t>
            </w:r>
          </w:p>
        </w:tc>
        <w:tc>
          <w:tcPr>
            <w:tcW w:w="4111" w:type="dxa"/>
          </w:tcPr>
          <w:p w14:paraId="07507C9A"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CGAGAAGGTCTCGAACTTGG</w:t>
            </w:r>
          </w:p>
        </w:tc>
      </w:tr>
      <w:tr w:rsidR="003A48AB" w:rsidRPr="003A48AB" w14:paraId="5B9FC901" w14:textId="77777777" w:rsidTr="006C76ED">
        <w:tc>
          <w:tcPr>
            <w:tcW w:w="3954" w:type="dxa"/>
          </w:tcPr>
          <w:p w14:paraId="742D0A5C"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pAtEPF1 F</w:t>
            </w:r>
          </w:p>
        </w:tc>
        <w:tc>
          <w:tcPr>
            <w:tcW w:w="4111" w:type="dxa"/>
          </w:tcPr>
          <w:p w14:paraId="7EF36CBF"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CACCGACCAAACTTGAAACAC</w:t>
            </w:r>
          </w:p>
        </w:tc>
      </w:tr>
      <w:tr w:rsidR="003A48AB" w:rsidRPr="003A48AB" w14:paraId="51A83527" w14:textId="77777777" w:rsidTr="006C76ED">
        <w:tc>
          <w:tcPr>
            <w:tcW w:w="3954" w:type="dxa"/>
          </w:tcPr>
          <w:p w14:paraId="1BEF21AD"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pAtEPF1 R</w:t>
            </w:r>
          </w:p>
        </w:tc>
        <w:tc>
          <w:tcPr>
            <w:tcW w:w="4111" w:type="dxa"/>
          </w:tcPr>
          <w:p w14:paraId="3FEBBC6B"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TGTTTCTCGCCGTACTATTTC</w:t>
            </w:r>
          </w:p>
        </w:tc>
      </w:tr>
      <w:tr w:rsidR="003A48AB" w:rsidRPr="003A48AB" w14:paraId="76994697" w14:textId="77777777" w:rsidTr="006C76ED">
        <w:tc>
          <w:tcPr>
            <w:tcW w:w="3954" w:type="dxa"/>
          </w:tcPr>
          <w:p w14:paraId="3D0C02AB"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pAtEPF2 F</w:t>
            </w:r>
          </w:p>
        </w:tc>
        <w:tc>
          <w:tcPr>
            <w:tcW w:w="4111" w:type="dxa"/>
          </w:tcPr>
          <w:p w14:paraId="10CF2A5F"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CACCGAGGAATTGGCTATTTGACAT</w:t>
            </w:r>
          </w:p>
        </w:tc>
      </w:tr>
      <w:tr w:rsidR="003A48AB" w:rsidRPr="003A48AB" w14:paraId="70BCE53F" w14:textId="77777777" w:rsidTr="006C76ED">
        <w:tc>
          <w:tcPr>
            <w:tcW w:w="3954" w:type="dxa"/>
          </w:tcPr>
          <w:p w14:paraId="71360504"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pAtEPF2 R</w:t>
            </w:r>
          </w:p>
        </w:tc>
        <w:tc>
          <w:tcPr>
            <w:tcW w:w="4111" w:type="dxa"/>
          </w:tcPr>
          <w:p w14:paraId="406B5587"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TTGTTAAAAAAAAAGATTATAAAC</w:t>
            </w:r>
          </w:p>
        </w:tc>
      </w:tr>
      <w:tr w:rsidR="003A48AB" w:rsidRPr="003A48AB" w14:paraId="0F0F0C01" w14:textId="77777777" w:rsidTr="006C76ED">
        <w:tc>
          <w:tcPr>
            <w:tcW w:w="3954" w:type="dxa"/>
          </w:tcPr>
          <w:p w14:paraId="19B38D7D"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PpEPF1 comp AtEPF1 F</w:t>
            </w:r>
          </w:p>
        </w:tc>
        <w:tc>
          <w:tcPr>
            <w:tcW w:w="4111" w:type="dxa"/>
          </w:tcPr>
          <w:p w14:paraId="1847A198"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CACCATGGCCTTATTGACATGG</w:t>
            </w:r>
          </w:p>
        </w:tc>
      </w:tr>
      <w:tr w:rsidR="003A48AB" w:rsidRPr="003A48AB" w14:paraId="507A0907" w14:textId="77777777" w:rsidTr="006C76ED">
        <w:tc>
          <w:tcPr>
            <w:tcW w:w="3954" w:type="dxa"/>
          </w:tcPr>
          <w:p w14:paraId="4F4C364A"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PpEPF1 comp AtEPF1 R</w:t>
            </w:r>
          </w:p>
        </w:tc>
        <w:tc>
          <w:tcPr>
            <w:tcW w:w="4111" w:type="dxa"/>
          </w:tcPr>
          <w:p w14:paraId="39CB8A01"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TCAAGGGATGGGAAAGGAT</w:t>
            </w:r>
          </w:p>
        </w:tc>
      </w:tr>
      <w:tr w:rsidR="003A48AB" w:rsidRPr="003A48AB" w14:paraId="1FFB4290" w14:textId="77777777" w:rsidTr="006C76ED">
        <w:tc>
          <w:tcPr>
            <w:tcW w:w="3954" w:type="dxa"/>
          </w:tcPr>
          <w:p w14:paraId="74B92203"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PpEPF1 comp AtEPF2 F</w:t>
            </w:r>
          </w:p>
        </w:tc>
        <w:tc>
          <w:tcPr>
            <w:tcW w:w="4111" w:type="dxa"/>
          </w:tcPr>
          <w:p w14:paraId="7D5AD070"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GGGCGCGCCATGGCCTTATTGACAT</w:t>
            </w:r>
          </w:p>
        </w:tc>
      </w:tr>
      <w:tr w:rsidR="003A48AB" w:rsidRPr="003A48AB" w14:paraId="5EE52585" w14:textId="77777777" w:rsidTr="006C76ED">
        <w:tc>
          <w:tcPr>
            <w:tcW w:w="3954" w:type="dxa"/>
          </w:tcPr>
          <w:p w14:paraId="05355B1E"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PpEPF1 comp AtEPF2 R</w:t>
            </w:r>
          </w:p>
        </w:tc>
        <w:tc>
          <w:tcPr>
            <w:tcW w:w="4111" w:type="dxa"/>
            <w:tcBorders>
              <w:bottom w:val="single" w:sz="4" w:space="0" w:color="000000"/>
            </w:tcBorders>
          </w:tcPr>
          <w:p w14:paraId="6AF54857"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GGGCTTAATTAACGTCAAGGGATGGGAAAGGATTTG</w:t>
            </w:r>
          </w:p>
        </w:tc>
      </w:tr>
      <w:tr w:rsidR="003A48AB" w:rsidRPr="003A48AB" w14:paraId="5290F547" w14:textId="77777777" w:rsidTr="006C76ED">
        <w:tc>
          <w:tcPr>
            <w:tcW w:w="3954" w:type="dxa"/>
            <w:tcBorders>
              <w:right w:val="single" w:sz="4" w:space="0" w:color="000000"/>
            </w:tcBorders>
          </w:tcPr>
          <w:p w14:paraId="17DD3929"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pAtTMM F</w:t>
            </w:r>
          </w:p>
        </w:tc>
        <w:tc>
          <w:tcPr>
            <w:tcW w:w="4111" w:type="dxa"/>
            <w:tcBorders>
              <w:top w:val="single" w:sz="4" w:space="0" w:color="000000"/>
              <w:left w:val="single" w:sz="4" w:space="0" w:color="000000"/>
              <w:bottom w:val="single" w:sz="4" w:space="0" w:color="000000"/>
              <w:right w:val="single" w:sz="4" w:space="0" w:color="000000"/>
            </w:tcBorders>
          </w:tcPr>
          <w:p w14:paraId="1CE68535"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CACCATACAATCCATGATGCTGCTT</w:t>
            </w:r>
          </w:p>
        </w:tc>
      </w:tr>
      <w:tr w:rsidR="003A48AB" w:rsidRPr="003A48AB" w14:paraId="6C533F09" w14:textId="77777777" w:rsidTr="006C76ED">
        <w:tc>
          <w:tcPr>
            <w:tcW w:w="3954" w:type="dxa"/>
            <w:tcBorders>
              <w:right w:val="single" w:sz="4" w:space="0" w:color="000000"/>
            </w:tcBorders>
          </w:tcPr>
          <w:p w14:paraId="1E1E9962"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pAtTMM R</w:t>
            </w:r>
          </w:p>
        </w:tc>
        <w:tc>
          <w:tcPr>
            <w:tcW w:w="4111" w:type="dxa"/>
            <w:tcBorders>
              <w:top w:val="single" w:sz="4" w:space="0" w:color="000000"/>
              <w:left w:val="single" w:sz="4" w:space="0" w:color="000000"/>
              <w:bottom w:val="single" w:sz="4" w:space="0" w:color="000000"/>
              <w:right w:val="single" w:sz="4" w:space="0" w:color="000000"/>
            </w:tcBorders>
          </w:tcPr>
          <w:p w14:paraId="16EF105B"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CATTTCTTAGTTGTTGTTGTTGTGT</w:t>
            </w:r>
          </w:p>
        </w:tc>
      </w:tr>
      <w:tr w:rsidR="003A48AB" w:rsidRPr="003A48AB" w14:paraId="4F505673" w14:textId="77777777" w:rsidTr="006C76ED">
        <w:tc>
          <w:tcPr>
            <w:tcW w:w="3954" w:type="dxa"/>
            <w:tcBorders>
              <w:right w:val="single" w:sz="4" w:space="0" w:color="000000"/>
            </w:tcBorders>
          </w:tcPr>
          <w:p w14:paraId="50A61D27"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PpTMM comp AtTMM F</w:t>
            </w:r>
          </w:p>
        </w:tc>
        <w:tc>
          <w:tcPr>
            <w:tcW w:w="4111" w:type="dxa"/>
            <w:tcBorders>
              <w:top w:val="single" w:sz="4" w:space="0" w:color="000000"/>
              <w:left w:val="single" w:sz="4" w:space="0" w:color="000000"/>
              <w:bottom w:val="single" w:sz="4" w:space="0" w:color="000000"/>
              <w:right w:val="single" w:sz="4" w:space="0" w:color="000000"/>
            </w:tcBorders>
          </w:tcPr>
          <w:p w14:paraId="0FB935C4" w14:textId="77777777" w:rsidR="003A48AB" w:rsidRPr="003A48AB" w:rsidRDefault="003A48AB" w:rsidP="003A48AB">
            <w:pPr>
              <w:tabs>
                <w:tab w:val="left" w:pos="2977"/>
              </w:tabs>
              <w:jc w:val="both"/>
              <w:textAlignment w:val="baseline"/>
              <w:rPr>
                <w:rFonts w:ascii="Arial" w:eastAsia="Times New Roman" w:hAnsi="Arial" w:cs="Arial"/>
                <w:highlight w:val="yellow"/>
                <w:lang w:eastAsia="en-GB"/>
              </w:rPr>
            </w:pPr>
            <w:r w:rsidRPr="003A48AB">
              <w:rPr>
                <w:rFonts w:ascii="Arial" w:eastAsia="Times New Roman" w:hAnsi="Arial" w:cs="Arial"/>
                <w:lang w:eastAsia="en-GB"/>
              </w:rPr>
              <w:t>CACCATGATTGTGGTAGTGTACG</w:t>
            </w:r>
          </w:p>
        </w:tc>
      </w:tr>
      <w:tr w:rsidR="003A48AB" w:rsidRPr="003A48AB" w14:paraId="3E906580" w14:textId="77777777" w:rsidTr="006C76ED">
        <w:tc>
          <w:tcPr>
            <w:tcW w:w="3954" w:type="dxa"/>
            <w:tcBorders>
              <w:right w:val="single" w:sz="4" w:space="0" w:color="000000"/>
            </w:tcBorders>
          </w:tcPr>
          <w:p w14:paraId="58116719"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PpTMM comp AtTMM R</w:t>
            </w:r>
          </w:p>
        </w:tc>
        <w:tc>
          <w:tcPr>
            <w:tcW w:w="4111" w:type="dxa"/>
            <w:tcBorders>
              <w:top w:val="single" w:sz="4" w:space="0" w:color="000000"/>
              <w:left w:val="single" w:sz="4" w:space="0" w:color="000000"/>
              <w:bottom w:val="single" w:sz="4" w:space="0" w:color="000000"/>
              <w:right w:val="single" w:sz="4" w:space="0" w:color="000000"/>
            </w:tcBorders>
          </w:tcPr>
          <w:p w14:paraId="2EAD0472" w14:textId="77777777" w:rsidR="003A48AB" w:rsidRPr="003A48AB" w:rsidRDefault="003A48AB" w:rsidP="003A48AB">
            <w:pPr>
              <w:tabs>
                <w:tab w:val="left" w:pos="2977"/>
              </w:tabs>
              <w:jc w:val="both"/>
              <w:textAlignment w:val="baseline"/>
              <w:rPr>
                <w:rFonts w:ascii="Arial" w:eastAsia="Times New Roman" w:hAnsi="Arial" w:cs="Arial"/>
                <w:highlight w:val="yellow"/>
                <w:lang w:eastAsia="en-GB"/>
              </w:rPr>
            </w:pPr>
            <w:r w:rsidRPr="003A48AB">
              <w:rPr>
                <w:rFonts w:ascii="Arial" w:eastAsia="Times New Roman" w:hAnsi="Arial" w:cs="Arial"/>
                <w:lang w:eastAsia="en-GB"/>
              </w:rPr>
              <w:t>TTAGCACCTTGACATGATTACGAG</w:t>
            </w:r>
          </w:p>
        </w:tc>
      </w:tr>
      <w:tr w:rsidR="003A48AB" w:rsidRPr="003A48AB" w14:paraId="1A0E59F5" w14:textId="77777777" w:rsidTr="006C76ED">
        <w:tc>
          <w:tcPr>
            <w:tcW w:w="3954" w:type="dxa"/>
          </w:tcPr>
          <w:p w14:paraId="4492C268"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Actin RT-PCR F</w:t>
            </w:r>
          </w:p>
        </w:tc>
        <w:tc>
          <w:tcPr>
            <w:tcW w:w="4111" w:type="dxa"/>
            <w:tcBorders>
              <w:top w:val="single" w:sz="4" w:space="0" w:color="000000"/>
            </w:tcBorders>
          </w:tcPr>
          <w:p w14:paraId="4D38E0A1"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CCAGAAGGATGCATATGTTGGTGA</w:t>
            </w:r>
          </w:p>
        </w:tc>
      </w:tr>
      <w:tr w:rsidR="003A48AB" w:rsidRPr="003A48AB" w14:paraId="61C50E3A" w14:textId="77777777" w:rsidTr="006C76ED">
        <w:tc>
          <w:tcPr>
            <w:tcW w:w="3954" w:type="dxa"/>
          </w:tcPr>
          <w:p w14:paraId="339DBAD6" w14:textId="77777777" w:rsidR="003A48AB" w:rsidRPr="003A48AB" w:rsidRDefault="003A48AB" w:rsidP="003A48AB">
            <w:pPr>
              <w:tabs>
                <w:tab w:val="left" w:pos="2977"/>
              </w:tabs>
              <w:jc w:val="both"/>
              <w:textAlignment w:val="baseline"/>
              <w:rPr>
                <w:rFonts w:ascii="Arial" w:eastAsia="Times New Roman" w:hAnsi="Arial" w:cs="Arial"/>
                <w:bdr w:val="none" w:sz="0" w:space="0" w:color="auto" w:frame="1"/>
                <w:lang w:eastAsia="en-GB"/>
              </w:rPr>
            </w:pPr>
            <w:r w:rsidRPr="003A48AB">
              <w:rPr>
                <w:rFonts w:ascii="Arial" w:eastAsia="Times New Roman" w:hAnsi="Arial" w:cs="Arial"/>
                <w:bdr w:val="none" w:sz="0" w:space="0" w:color="auto" w:frame="1"/>
                <w:lang w:eastAsia="en-GB"/>
              </w:rPr>
              <w:t>Actin RT-PCR R</w:t>
            </w:r>
          </w:p>
        </w:tc>
        <w:tc>
          <w:tcPr>
            <w:tcW w:w="4111" w:type="dxa"/>
          </w:tcPr>
          <w:p w14:paraId="45156B60" w14:textId="77777777" w:rsidR="003A48AB" w:rsidRPr="003A48AB" w:rsidRDefault="003A48AB" w:rsidP="003A48AB">
            <w:pPr>
              <w:tabs>
                <w:tab w:val="left" w:pos="2977"/>
              </w:tabs>
              <w:jc w:val="both"/>
              <w:textAlignment w:val="baseline"/>
              <w:rPr>
                <w:rFonts w:ascii="Arial" w:eastAsia="Times New Roman" w:hAnsi="Arial" w:cs="Arial"/>
                <w:lang w:eastAsia="en-GB"/>
              </w:rPr>
            </w:pPr>
            <w:r w:rsidRPr="003A48AB">
              <w:rPr>
                <w:rFonts w:ascii="Arial" w:eastAsia="Times New Roman" w:hAnsi="Arial" w:cs="Arial"/>
                <w:lang w:eastAsia="en-GB"/>
              </w:rPr>
              <w:t>GAGGAGCCTCGGTAAGAAGA</w:t>
            </w:r>
          </w:p>
        </w:tc>
      </w:tr>
    </w:tbl>
    <w:p w14:paraId="5FBFA46E" w14:textId="77777777" w:rsidR="003A48AB" w:rsidRDefault="003A48AB" w:rsidP="003A48AB">
      <w:pPr>
        <w:spacing w:after="160" w:line="360" w:lineRule="auto"/>
        <w:rPr>
          <w:rFonts w:ascii="Arial" w:eastAsia="MS Mincho" w:hAnsi="Arial" w:cs="Arial"/>
          <w:noProof/>
          <w:lang w:eastAsia="ja-JP"/>
        </w:rPr>
      </w:pPr>
    </w:p>
    <w:p w14:paraId="5613F63D" w14:textId="77777777" w:rsidR="003A48AB" w:rsidRDefault="003A48AB">
      <w:pPr>
        <w:rPr>
          <w:rFonts w:ascii="Arial" w:eastAsia="MS Mincho" w:hAnsi="Arial" w:cs="Arial"/>
          <w:noProof/>
          <w:lang w:eastAsia="ja-JP"/>
        </w:rPr>
      </w:pPr>
      <w:r>
        <w:rPr>
          <w:rFonts w:ascii="Arial" w:eastAsia="MS Mincho" w:hAnsi="Arial" w:cs="Arial"/>
          <w:noProof/>
          <w:lang w:eastAsia="ja-JP"/>
        </w:rPr>
        <w:br w:type="page"/>
      </w:r>
    </w:p>
    <w:p w14:paraId="56DA59AD" w14:textId="77777777" w:rsidR="003A48AB" w:rsidRPr="003A48AB" w:rsidRDefault="003A48AB" w:rsidP="003A48AB">
      <w:pPr>
        <w:spacing w:after="0" w:line="360" w:lineRule="auto"/>
        <w:jc w:val="both"/>
        <w:rPr>
          <w:rFonts w:ascii="Arial" w:eastAsia="MS Mincho" w:hAnsi="Arial" w:cs="Arial"/>
          <w:u w:val="single"/>
          <w:lang w:eastAsia="ja-JP"/>
        </w:rPr>
      </w:pPr>
    </w:p>
    <w:p w14:paraId="11AF21AF" w14:textId="77777777" w:rsidR="003A48AB" w:rsidRPr="003A48AB" w:rsidRDefault="003A48AB" w:rsidP="003A48AB">
      <w:pPr>
        <w:tabs>
          <w:tab w:val="left" w:pos="6663"/>
        </w:tabs>
        <w:spacing w:after="0" w:line="360" w:lineRule="auto"/>
        <w:jc w:val="both"/>
        <w:rPr>
          <w:rFonts w:ascii="Arial" w:eastAsia="Times New Roman" w:hAnsi="Arial" w:cs="Arial"/>
          <w:color w:val="000000"/>
          <w:sz w:val="56"/>
          <w:szCs w:val="56"/>
          <w:u w:val="single"/>
          <w:lang w:eastAsia="ja-JP"/>
        </w:rPr>
      </w:pPr>
    </w:p>
    <w:p w14:paraId="06ABF644" w14:textId="77777777" w:rsidR="003A48AB" w:rsidRPr="003A48AB" w:rsidRDefault="003A48AB" w:rsidP="003A48AB">
      <w:pPr>
        <w:tabs>
          <w:tab w:val="left" w:pos="6663"/>
        </w:tabs>
        <w:spacing w:after="0" w:line="360" w:lineRule="auto"/>
        <w:jc w:val="both"/>
        <w:rPr>
          <w:rFonts w:ascii="Arial" w:eastAsia="Times New Roman" w:hAnsi="Arial" w:cs="Arial"/>
          <w:color w:val="000000"/>
          <w:sz w:val="56"/>
          <w:szCs w:val="56"/>
          <w:u w:val="single"/>
          <w:lang w:eastAsia="ja-JP"/>
        </w:rPr>
      </w:pPr>
    </w:p>
    <w:p w14:paraId="0E135151" w14:textId="77777777" w:rsidR="003A48AB" w:rsidRPr="003A48AB" w:rsidRDefault="003A48AB" w:rsidP="003A48AB">
      <w:pPr>
        <w:tabs>
          <w:tab w:val="left" w:pos="6663"/>
        </w:tabs>
        <w:spacing w:after="0" w:line="360" w:lineRule="auto"/>
        <w:jc w:val="both"/>
        <w:rPr>
          <w:rFonts w:ascii="Arial" w:eastAsia="Times New Roman" w:hAnsi="Arial" w:cs="Arial"/>
          <w:color w:val="000000"/>
          <w:sz w:val="56"/>
          <w:szCs w:val="56"/>
          <w:u w:val="single"/>
          <w:lang w:eastAsia="ja-JP"/>
        </w:rPr>
      </w:pPr>
    </w:p>
    <w:p w14:paraId="16235643" w14:textId="77777777" w:rsidR="003A48AB" w:rsidRPr="003A48AB" w:rsidRDefault="003A48AB" w:rsidP="003A48AB">
      <w:pPr>
        <w:tabs>
          <w:tab w:val="left" w:pos="6663"/>
        </w:tabs>
        <w:spacing w:after="0" w:line="360" w:lineRule="auto"/>
        <w:jc w:val="both"/>
        <w:rPr>
          <w:rFonts w:ascii="Arial" w:eastAsia="Times New Roman" w:hAnsi="Arial" w:cs="Arial"/>
          <w:color w:val="000000"/>
          <w:sz w:val="56"/>
          <w:szCs w:val="56"/>
          <w:u w:val="single"/>
          <w:lang w:eastAsia="ja-JP"/>
        </w:rPr>
      </w:pPr>
      <w:r w:rsidRPr="003A48AB">
        <w:rPr>
          <w:rFonts w:ascii="Arial" w:eastAsia="Times New Roman" w:hAnsi="Arial" w:cs="Arial"/>
          <w:color w:val="000000"/>
          <w:sz w:val="56"/>
          <w:szCs w:val="56"/>
          <w:u w:val="single"/>
          <w:lang w:eastAsia="ja-JP"/>
        </w:rPr>
        <w:t>Chapter 3:</w:t>
      </w:r>
    </w:p>
    <w:p w14:paraId="64B106E7" w14:textId="77777777" w:rsidR="003A48AB" w:rsidRPr="003A48AB" w:rsidRDefault="003A48AB" w:rsidP="003A48AB">
      <w:pPr>
        <w:spacing w:after="160" w:line="360" w:lineRule="auto"/>
        <w:rPr>
          <w:rFonts w:ascii="Arial" w:eastAsia="MS Mincho" w:hAnsi="Arial" w:cs="Arial"/>
          <w:sz w:val="56"/>
          <w:u w:val="single"/>
          <w:lang w:eastAsia="ja-JP"/>
        </w:rPr>
      </w:pPr>
      <w:r w:rsidRPr="003A48AB">
        <w:rPr>
          <w:rFonts w:ascii="Arial" w:eastAsia="MS Mincho" w:hAnsi="Arial" w:cs="Arial"/>
          <w:sz w:val="56"/>
          <w:u w:val="single"/>
          <w:lang w:eastAsia="ja-JP"/>
        </w:rPr>
        <w:t xml:space="preserve">The deeply conserved </w:t>
      </w:r>
      <w:r w:rsidRPr="003A48AB">
        <w:rPr>
          <w:rFonts w:ascii="Arial" w:eastAsia="MS Mincho" w:hAnsi="Arial" w:cs="Arial"/>
          <w:i/>
          <w:sz w:val="56"/>
          <w:u w:val="single"/>
          <w:lang w:eastAsia="ja-JP"/>
        </w:rPr>
        <w:t xml:space="preserve">PpSMF1 </w:t>
      </w:r>
      <w:r w:rsidRPr="003A48AB">
        <w:rPr>
          <w:rFonts w:ascii="Arial" w:eastAsia="MS Mincho" w:hAnsi="Arial" w:cs="Arial"/>
          <w:sz w:val="56"/>
          <w:u w:val="single"/>
          <w:lang w:eastAsia="ja-JP"/>
        </w:rPr>
        <w:t xml:space="preserve">and </w:t>
      </w:r>
      <w:r w:rsidRPr="003A48AB">
        <w:rPr>
          <w:rFonts w:ascii="Arial" w:eastAsia="MS Mincho" w:hAnsi="Arial" w:cs="Arial"/>
          <w:i/>
          <w:sz w:val="56"/>
          <w:u w:val="single"/>
          <w:lang w:eastAsia="ja-JP"/>
        </w:rPr>
        <w:t xml:space="preserve">PpSCRM1 </w:t>
      </w:r>
      <w:r w:rsidRPr="003A48AB">
        <w:rPr>
          <w:rFonts w:ascii="Arial" w:eastAsia="MS Mincho" w:hAnsi="Arial" w:cs="Arial"/>
          <w:sz w:val="56"/>
          <w:u w:val="single"/>
          <w:lang w:eastAsia="ja-JP"/>
        </w:rPr>
        <w:t xml:space="preserve">function during stomatal development in </w:t>
      </w:r>
      <w:r w:rsidRPr="003A48AB">
        <w:rPr>
          <w:rFonts w:ascii="Arial" w:eastAsia="MS Mincho" w:hAnsi="Arial" w:cs="Arial"/>
          <w:i/>
          <w:sz w:val="56"/>
          <w:u w:val="single"/>
          <w:lang w:eastAsia="ja-JP"/>
        </w:rPr>
        <w:t xml:space="preserve">P. patens </w:t>
      </w:r>
      <w:r w:rsidRPr="003A48AB">
        <w:rPr>
          <w:rFonts w:ascii="Arial" w:eastAsia="MS Mincho" w:hAnsi="Arial" w:cs="Arial"/>
          <w:sz w:val="56"/>
          <w:u w:val="single"/>
          <w:lang w:eastAsia="ja-JP"/>
        </w:rPr>
        <w:t>to promote stomatal formation: Functional analysis and the wider implications for the evolution of stomata.</w:t>
      </w:r>
    </w:p>
    <w:p w14:paraId="7662BF74" w14:textId="77777777" w:rsidR="003A48AB" w:rsidRPr="003A48AB" w:rsidRDefault="003A48AB" w:rsidP="003A48AB">
      <w:pPr>
        <w:spacing w:after="0" w:line="360" w:lineRule="auto"/>
        <w:jc w:val="both"/>
        <w:rPr>
          <w:rFonts w:ascii="Arial" w:eastAsia="MS Mincho" w:hAnsi="Arial" w:cs="Arial"/>
          <w:b/>
          <w:u w:val="single"/>
          <w:lang w:eastAsia="ja-JP"/>
        </w:rPr>
      </w:pPr>
    </w:p>
    <w:p w14:paraId="4557C8CA" w14:textId="77777777" w:rsidR="003A48AB" w:rsidRPr="003A48AB" w:rsidRDefault="003A48AB" w:rsidP="003A48AB">
      <w:pPr>
        <w:spacing w:after="160" w:line="360" w:lineRule="auto"/>
        <w:rPr>
          <w:rFonts w:ascii="Arial" w:eastAsia="MS Mincho" w:hAnsi="Arial" w:cs="Arial"/>
          <w:b/>
          <w:u w:val="single"/>
          <w:lang w:eastAsia="ja-JP"/>
        </w:rPr>
      </w:pPr>
    </w:p>
    <w:p w14:paraId="53BECCC4" w14:textId="77777777" w:rsidR="003A48AB" w:rsidRPr="003A48AB" w:rsidRDefault="003A48AB" w:rsidP="003A48AB">
      <w:pPr>
        <w:spacing w:after="160" w:line="360" w:lineRule="auto"/>
        <w:rPr>
          <w:rFonts w:ascii="Arial" w:eastAsia="MS Mincho" w:hAnsi="Arial" w:cs="Arial"/>
          <w:b/>
          <w:u w:val="single"/>
          <w:lang w:eastAsia="ja-JP"/>
        </w:rPr>
      </w:pPr>
    </w:p>
    <w:p w14:paraId="59C25DCF" w14:textId="77777777" w:rsidR="003A48AB" w:rsidRPr="003A48AB" w:rsidRDefault="003A48AB" w:rsidP="003A48AB">
      <w:pPr>
        <w:spacing w:after="160" w:line="360" w:lineRule="auto"/>
        <w:rPr>
          <w:rFonts w:ascii="Arial" w:eastAsia="MS Mincho" w:hAnsi="Arial" w:cs="Arial"/>
          <w:b/>
          <w:u w:val="single"/>
          <w:lang w:eastAsia="ja-JP"/>
        </w:rPr>
      </w:pPr>
    </w:p>
    <w:p w14:paraId="1095A98A" w14:textId="77777777" w:rsidR="003A48AB" w:rsidRPr="003A48AB" w:rsidRDefault="003A48AB" w:rsidP="003A48AB">
      <w:pPr>
        <w:spacing w:after="160" w:line="360" w:lineRule="auto"/>
        <w:rPr>
          <w:rFonts w:ascii="Arial" w:eastAsia="MS Mincho" w:hAnsi="Arial" w:cs="Arial"/>
          <w:b/>
          <w:u w:val="single"/>
          <w:lang w:eastAsia="ja-JP"/>
        </w:rPr>
      </w:pPr>
    </w:p>
    <w:p w14:paraId="5895D6B8" w14:textId="77777777" w:rsidR="003A48AB" w:rsidRPr="003A48AB" w:rsidRDefault="003A48AB" w:rsidP="003A48AB">
      <w:pPr>
        <w:spacing w:after="160" w:line="360" w:lineRule="auto"/>
        <w:rPr>
          <w:rFonts w:ascii="Arial" w:eastAsia="MS Mincho" w:hAnsi="Arial" w:cs="Arial"/>
          <w:b/>
          <w:u w:val="single"/>
          <w:lang w:eastAsia="ja-JP"/>
        </w:rPr>
      </w:pPr>
    </w:p>
    <w:p w14:paraId="65A14222" w14:textId="77777777" w:rsidR="00D431D5" w:rsidRPr="006C37DC" w:rsidRDefault="00D431D5" w:rsidP="00D431D5">
      <w:pPr>
        <w:tabs>
          <w:tab w:val="left" w:pos="6663"/>
        </w:tabs>
        <w:spacing w:after="160" w:line="360" w:lineRule="auto"/>
        <w:rPr>
          <w:rFonts w:ascii="Arial" w:eastAsia="Times New Roman" w:hAnsi="Arial" w:cs="Arial"/>
          <w:b/>
          <w:color w:val="000000"/>
          <w:u w:val="single"/>
          <w:lang w:eastAsia="ja-JP"/>
        </w:rPr>
      </w:pPr>
      <w:r w:rsidRPr="006C37DC">
        <w:rPr>
          <w:rFonts w:ascii="Arial" w:eastAsia="Times New Roman" w:hAnsi="Arial" w:cs="Arial"/>
          <w:b/>
          <w:color w:val="000000"/>
          <w:u w:val="single"/>
          <w:lang w:eastAsia="ja-JP"/>
        </w:rPr>
        <w:lastRenderedPageBreak/>
        <w:t>3.1 Introduction</w:t>
      </w:r>
    </w:p>
    <w:p w14:paraId="76731087"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Fossilised remains of early land plant sporophytes dating back 418 million years illustrate that stomata have been present on the exterior of land plants from a relatively early stage in land plant evolutionary history </w:t>
      </w:r>
      <w:r w:rsidRPr="00D431D5">
        <w:rPr>
          <w:rFonts w:ascii="Arial" w:eastAsia="Times New Roman" w:hAnsi="Arial" w:cs="Arial"/>
          <w:color w:val="000000"/>
          <w:lang w:eastAsia="ja-JP"/>
        </w:rPr>
        <w:fldChar w:fldCharType="begin">
          <w:fldData xml:space="preserve">PEVuZE5vdGU+PENpdGU+PEF1dGhvcj5FZHdhcmRzPC9BdXRob3I+PFllYXI+MTk5MjwvWWVhcj48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PEVuZE5vdGU+PENpdGU+PEF1dGhvcj5FZHdhcmRzPC9BdXRob3I+PFllYXI+MTk5MjwvWWVhcj48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(Edwards et al., 1992; Edwards et al., 1998)</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Such stomata, which bear striking similarity to modern day equivalents, are thought to have initially evolved to assist in the uptake of water from ancestral soils via transpiration and perhaps also to regulate gas exchange </w:t>
      </w:r>
      <w:r w:rsidRPr="00D431D5">
        <w:rPr>
          <w:rFonts w:ascii="Arial" w:eastAsia="Times New Roman" w:hAnsi="Arial" w:cs="Arial"/>
          <w:color w:val="000000"/>
          <w:lang w:eastAsia="ja-JP"/>
        </w:rPr>
        <w:fldChar w:fldCharType="begin">
          <w:fldData xml:space="preserve">PEVuZE5vdGU+PENpdGU+PEF1dGhvcj5CZXJyeTwvQXV0aG9yPjxZZWFyPjIwMTA8L1llYXI+PElE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PEVuZE5vdGU+PENpdGU+PEF1dGhvcj5CZXJyeTwvQXV0aG9yPjxZZWFyPjIwMTA8L1llYXI+PElE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(Berry et al., 2010; Bowman, 2011; Raven, 2002)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By moderating the turgor pressure of guard cells, early land plants would have also been able to close stomata during arid times thereby limiting water loss. Together with other adaptations such as a cuticle, vasculature, roots and the formation of lignin, stomata have enabled evolving plants to become less susceptible to environmental water fluctuations thereby aiding in a gradual transition to a more homiohydric state, akin to modern day vascular land plants </w:t>
      </w:r>
      <w:r w:rsidRPr="00D431D5">
        <w:rPr>
          <w:rFonts w:ascii="Arial" w:eastAsia="Times New Roman" w:hAnsi="Arial" w:cs="Arial"/>
          <w:color w:val="000000"/>
          <w:lang w:eastAsia="ja-JP"/>
        </w:rPr>
        <w:fldChar w:fldCharType="begin">
          <w:fldData xml:space="preserve">PEVuZE5vdGU+PENpdGU+PEF1dGhvcj5Cb3dtYW48L0F1dGhvcj48WWVhcj4yMDExPC9ZZWFyPjxJ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==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PEVuZE5vdGU+PENpdGU+PEF1dGhvcj5Cb3dtYW48L0F1dGhvcj48WWVhcj4yMDExPC9ZZWFyPjxJ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==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(Bowman, 2011; Chater et al., 2011; Franks and Beerling, 2009)</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w:t>
      </w:r>
    </w:p>
    <w:p w14:paraId="374E06C0"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Whilst water and CO</w:t>
      </w:r>
      <w:r w:rsidRPr="00D431D5">
        <w:rPr>
          <w:rFonts w:ascii="Arial" w:eastAsia="Times New Roman" w:hAnsi="Arial" w:cs="Arial"/>
          <w:color w:val="000000"/>
          <w:vertAlign w:val="subscript"/>
          <w:lang w:eastAsia="ja-JP"/>
        </w:rPr>
        <w:t>2</w:t>
      </w:r>
      <w:r w:rsidRPr="00D431D5">
        <w:rPr>
          <w:rFonts w:ascii="Arial" w:eastAsia="Times New Roman" w:hAnsi="Arial" w:cs="Arial"/>
          <w:color w:val="000000"/>
          <w:lang w:eastAsia="ja-JP"/>
        </w:rPr>
        <w:t xml:space="preserve"> uptake have been suggested to be the primary reasons for the evolution of stomata it has also been suggested that rather than functioning in acquiring water, stomata may have first evolved in mosses to permit water loss from ancient sporophytes thereby aiding in capsule drying and dehiscence (lysis) </w:t>
      </w:r>
      <w:r w:rsidRPr="00D431D5">
        <w:rPr>
          <w:rFonts w:ascii="Arial" w:eastAsia="Times New Roman" w:hAnsi="Arial" w:cs="Arial"/>
          <w:color w:val="000000"/>
          <w:lang w:eastAsia="ja-JP"/>
        </w:rPr>
        <w:fldChar w:fldCharType="begin">
          <w:fldData xml:space="preserve">PEVuZE5vdGU+PENpdGU+PEF1dGhvcj5EdWNrZXR0PC9BdXRob3I+PFllYXI+MjAwOTwvWWVhcj48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PEVuZE5vdGU+PENpdGU+PEF1dGhvcj5EdWNrZXR0PC9BdXRob3I+PFllYXI+MjAwOTwvWWVhcj48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(Cox et al., 2004; Duckett et al., 2009)</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Indeed, such functioning rather than water uptake or gas exchange has been suggested to be the primary function for stomata in extant peristomate mosses and hornworts </w:t>
      </w:r>
      <w:r w:rsidRPr="00D431D5">
        <w:rPr>
          <w:rFonts w:ascii="Arial" w:eastAsia="Times New Roman" w:hAnsi="Arial" w:cs="Arial"/>
          <w:color w:val="000000"/>
          <w:lang w:eastAsia="ja-JP"/>
        </w:rPr>
        <w:fldChar w:fldCharType="begin">
          <w:fldData xml:space="preserve">PEVuZE5vdGU+PENpdGU+PEF1dGhvcj5EdWNrZXR0PC9BdXRob3I+PFllYXI+MjAwOTwvWWVhcj48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PEVuZE5vdGU+PENpdGU+PEF1dGhvcj5EdWNrZXR0PC9BdXRob3I+PFllYXI+MjAwOTwvWWVhcj48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(Duckett et al., 2009; Pressel et al., 2014)</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However, such assertions are contested as other experiments have shown that moss and hornwort stomata are capable of responding to stimuli such as ABA and in the cases of mosses, light and CO</w:t>
      </w:r>
      <w:r w:rsidRPr="00D431D5">
        <w:rPr>
          <w:rFonts w:ascii="Arial" w:eastAsia="Times New Roman" w:hAnsi="Arial" w:cs="Arial"/>
          <w:color w:val="000000"/>
          <w:vertAlign w:val="subscript"/>
          <w:lang w:eastAsia="ja-JP"/>
        </w:rPr>
        <w:t>2</w:t>
      </w:r>
      <w:r w:rsidRPr="00D431D5">
        <w:rPr>
          <w:rFonts w:ascii="Arial" w:eastAsia="Times New Roman" w:hAnsi="Arial" w:cs="Arial"/>
          <w:color w:val="000000"/>
          <w:lang w:eastAsia="ja-JP"/>
        </w:rPr>
        <w:t xml:space="preserve"> as well </w:t>
      </w:r>
      <w:r w:rsidRPr="00D431D5">
        <w:rPr>
          <w:rFonts w:ascii="Arial" w:eastAsia="Times New Roman" w:hAnsi="Arial" w:cs="Arial"/>
          <w:color w:val="000000"/>
          <w:lang w:eastAsia="ja-JP"/>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bjwvSURUZXh0PjxEaXNwbGF5VGV4dD4oQ2hhdGVyIGV0IGFsLiwgMjAxMTsgR2FybmVyIGFuZCBQ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bjwvSURUZXh0PjxEaXNwbGF5VGV4dD4oQ2hhdGVyIGV0IGFsLiwgMjAxMTsgR2FybmVyIGFuZCBQ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(Chater et al., 2011; Garner and Paolillo, 1973; Hartung et al., 1987)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Such is the perceived difference of opinion with regard to whether moss and hornwort stomata can physically move and respond to stimuli and whether there developmental programs are the same that it has been suggested that stomata themselves may not be derived from a single evolutionary event, rather they could have evolved on at least three occasions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&lt;EndNote&gt;&lt;Cite&gt;&lt;Author&gt;Pressel&lt;/Author&gt;&lt;Year&gt;2014&lt;/Year&gt;&lt;IDText&gt;Stomatal differentiation and abnormal stomata in hornworts&lt;/IDText&gt;&lt;DisplayText&gt;(Pressel et al., 2014)&lt;/DisplayText&gt;&lt;record&gt;&lt;dates&gt;&lt;pub-dates&gt;&lt;date&gt;Jun&lt;/date&gt;&lt;/pub-dates&gt;&lt;year&gt;2014&lt;/year&gt;&lt;/dates&gt;&lt;keywords&gt;&lt;keyword&gt;Anthocerotophyta&lt;/keyword&gt;&lt;keyword&gt;Capsule dehiscence&lt;/keyword&gt;&lt;keyword&gt;Desiccation biology&lt;/keyword&gt;&lt;keyword&gt;Guard cells&lt;/keyword&gt;&lt;keyword&gt;Stomatal evolution&lt;/keyword&gt;&lt;keyword&gt;early land plants&lt;/keyword&gt;&lt;keyword&gt;abscisic-acid&lt;/keyword&gt;&lt;keyword&gt;division polarity&lt;/keyword&gt;&lt;keyword&gt;atmospheric co2&lt;/keyword&gt;&lt;keyword&gt;carbon-dioxide&lt;/keyword&gt;&lt;keyword&gt;density&lt;/keyword&gt;&lt;keyword&gt;evolution&lt;/keyword&gt;&lt;keyword&gt;sporophytes&lt;/keyword&gt;&lt;keyword&gt;fluorescence&lt;/keyword&gt;&lt;keyword&gt;bryophytes&lt;/keyword&gt;&lt;keyword&gt;Plant Sciences&lt;/keyword&gt;&lt;/keywords&gt;&lt;urls&gt;&lt;related-urls&gt;&lt;url&gt;&amp;lt;Go to ISI&amp;gt;://WOS:000337099400001&lt;/url&gt;&lt;/related-urls&gt;&lt;/urls&gt;&lt;isbn&gt;0373-6687&lt;/isbn&gt;&lt;work-type&gt;Article&lt;/work-type&gt;&lt;titles&gt;&lt;title&gt;Stomatal differentiation and abnormal stomata in hornworts&lt;/title&gt;&lt;secondary-title&gt;Journal of Bryology&lt;/secondary-title&gt;&lt;/titles&gt;&lt;pages&gt;87-103&lt;/pages&gt;&lt;contributors&gt;&lt;authors&gt;&lt;author&gt;Pressel, S.&lt;/author&gt;&lt;author&gt;Goral, T.&lt;/author&gt;&lt;author&gt;Duckett, J. G.&lt;/author&gt;&lt;/authors&gt;&lt;/contributors&gt;&lt;language&gt;English&lt;/language&gt;&lt;added-date format="utc"&gt;1431376663&lt;/added-date&gt;&lt;ref-type name="Journal Article"&gt;17&lt;/ref-type&gt;&lt;auth-address&gt;[Pressel, Silvia&amp;#xD;Duckett, Jeffrey G.] Nat Hist Museum, Dept Life Sci, London SW7 5BD, England. [Goral, Tomasz] Nat Hist Museum, Imaging &amp;amp; Anal Ctr, London SW7 5BD, England.&amp;#xD;Pressel, S (reprint author), Nat Hist Museum, Dept Life Sci, Cromwell Rd, London SW7 5BD, England.&amp;#xD;s.pressel@nhm.ac.uk&lt;/auth-address&gt;&lt;rec-number&gt;158&lt;/rec-number&gt;&lt;last-updated-date format="utc"&gt;1431376663&lt;/last-updated-date&gt;&lt;accession-num&gt;WOS:000337099400001&lt;/accession-num&gt;&lt;electronic-resource-num&gt;10.1179/1743282014y.0000000103&lt;/electronic-resource-num&gt;&lt;volume&gt;36&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(Pressel et al., 2014)</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t>
      </w:r>
    </w:p>
    <w:p w14:paraId="4765C96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To investigate whether stomata are monophyletic or whether they have evolved on multiple separate occasions the function of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stomatal developmental genes will be studied and compared to the function of homologous Arabidopsis equivalents. Should functional similarities be found then this would support a </w:t>
      </w:r>
      <w:r w:rsidRPr="00D431D5">
        <w:rPr>
          <w:rFonts w:ascii="Arial" w:eastAsia="Times New Roman" w:hAnsi="Arial" w:cs="Arial"/>
          <w:color w:val="000000"/>
          <w:lang w:eastAsia="ja-JP"/>
        </w:rPr>
        <w:lastRenderedPageBreak/>
        <w:t xml:space="preserve">monophyletic origin of stomata, especially if subsequent phylogenetic analysis reveal hornwort stomatal development genes may also have been conserved. </w:t>
      </w:r>
    </w:p>
    <w:p w14:paraId="26EBF2C5" w14:textId="77777777" w:rsidR="00D431D5" w:rsidRPr="00D431D5" w:rsidRDefault="00D431D5" w:rsidP="00D431D5">
      <w:pPr>
        <w:tabs>
          <w:tab w:val="left" w:pos="6663"/>
        </w:tabs>
        <w:spacing w:after="160" w:line="360" w:lineRule="auto"/>
        <w:rPr>
          <w:rFonts w:ascii="Arial" w:eastAsia="Times New Roman" w:hAnsi="Arial" w:cs="Arial"/>
          <w:color w:val="000000"/>
          <w:u w:val="single"/>
          <w:lang w:eastAsia="ja-JP"/>
        </w:rPr>
      </w:pPr>
      <w:r w:rsidRPr="00D431D5">
        <w:rPr>
          <w:rFonts w:ascii="Arial" w:eastAsia="Times New Roman" w:hAnsi="Arial" w:cs="Arial"/>
          <w:color w:val="000000"/>
          <w:u w:val="single"/>
          <w:lang w:eastAsia="ja-JP"/>
        </w:rPr>
        <w:t>3.1.1 Current understanding of genes underpinning stomata in non-vascular land plants</w:t>
      </w:r>
    </w:p>
    <w:p w14:paraId="44CD498E"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The genetic mechanisms underpinning stomatal development and function in vascular land plants, particularly </w:t>
      </w:r>
      <w:r w:rsidRPr="00D431D5">
        <w:rPr>
          <w:rFonts w:ascii="Arial" w:eastAsia="Times New Roman" w:hAnsi="Arial" w:cs="Arial"/>
          <w:i/>
          <w:color w:val="000000"/>
          <w:lang w:eastAsia="ja-JP"/>
        </w:rPr>
        <w:t>Arabidopsis thaliana</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have been extensively studied and are becoming increasing well understood </w:t>
      </w:r>
      <w:r w:rsidRPr="00D431D5">
        <w:rPr>
          <w:rFonts w:ascii="Arial" w:eastAsia="Times New Roman" w:hAnsi="Arial" w:cs="Arial"/>
          <w:color w:val="000000"/>
          <w:lang w:eastAsia="ja-JP"/>
        </w:rPr>
        <w:fldChar w:fldCharType="begin">
          <w:fldData xml:space="preserve">PEVuZE5vdGU+PENpdGU+PEF1dGhvcj5ZYW5nPC9BdXRob3I+PFllYXI+MTk5NTwvWWVhcj48SURU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PEVuZE5vdGU+PENpdGU+PEF1dGhvcj5ZYW5nPC9BdXRob3I+PFllYXI+MTk5NTwvWWVhcj48SURU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(Daszkowska-Golec and Szarejko, 2013; MacAlister et al., 2007; Simmons and Bergmann, 2016; Yang and Sack, 1995)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By contrast, studies in non-vascular land plants are less extensive but some evidence relating to conservation of genes involved in both processes is starting to emerge </w:t>
      </w:r>
      <w:r w:rsidRPr="00D431D5">
        <w:rPr>
          <w:rFonts w:ascii="Arial" w:eastAsia="Times New Roman" w:hAnsi="Arial" w:cs="Arial"/>
          <w:color w:val="000000"/>
          <w:lang w:eastAsia="ja-JP"/>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bjwvSURUZXh0PjxEaXNwbGF5VGV4dD4oQ2hhdGVyIGV0IGFsLiwgMjAxMTsgTGluZCBldCBhbC4s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bjwvSURUZXh0PjxEaXNwbGF5VGV4dD4oQ2hhdGVyIGV0IGFsLiwgMjAxMTsgTGluZCBldCBhbC4s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(Chater et al., 2011; Lind et al., 2015; MacAlister and Bergmann, 2011)</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In relation to stomatal development in particular, a number of recent phylogenetic studies have highlighted putative genes present in angiosperms which appear to have been conserved in early land plants such as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fldData xml:space="preserve">PEVuZE5vdGU+PENpdGU+PEF1dGhvcj5DaGF0ZXI8L0F1dGhvcj48WWVhcj4yMDEzPC9ZZWFyPjxJ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PEVuZE5vdGU+PENpdGU+PEF1dGhvcj5DaGF0ZXI8L0F1dGhvcj48WWVhcj4yMDEzPC9ZZWFyPjxJ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(Chater et al., 2013; Peterson et al., 2010; Ran et al., 2013; Takata et al., 2013; Villagarcia et al., 2012)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Using complementation experiments MacAlister and Bergmann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 ExcludeAuth="1"&gt;&lt;Author&gt;MacAlister&lt;/Author&gt;&lt;Year&gt;2011&lt;/Year&gt;&lt;IDText&gt;Sequence and function of basic helix-loop-helix proteins required for stomatal development in Arabidopsis are deeply conserved in land plants&lt;/IDText&gt;&lt;DisplayText&gt;(2011)&lt;/DisplayText&gt;&lt;record&gt;&lt;dates&gt;&lt;pub-dates&gt;&lt;date&gt;Mar-Apr&lt;/date&gt;&lt;/pub-dates&gt;&lt;year&gt;2011&lt;/year&gt;&lt;/dates&gt;&lt;keywords&gt;&lt;keyword&gt;TRANSCRIPTION FACTOR FAMILY&lt;/keyword&gt;&lt;keyword&gt;MONOCOT-DICOT DIVERGENCE&lt;/keyword&gt;&lt;keyword&gt;EVOLUTION&lt;/keyword&gt;&lt;keyword&gt;DIVERSITY&lt;/keyword&gt;&lt;keyword&gt;GENES&lt;/keyword&gt;&lt;keyword&gt;DIFFERENTIATION&lt;/keyword&gt;&lt;keyword&gt;THALIANA&lt;/keyword&gt;&lt;keyword&gt;MUTANTS&lt;/keyword&gt;&lt;keyword&gt;GENOMES&lt;/keyword&gt;&lt;keyword&gt;CASCADE&lt;/keyword&gt;&lt;/keywords&gt;&lt;urls&gt;&lt;related-urls&gt;&lt;url&gt;&amp;lt;Go to ISI&amp;gt;://WOS:000288502600007&lt;/url&gt;&lt;/related-urls&gt;&lt;/urls&gt;&lt;isbn&gt;1520-541X&lt;/isbn&gt;&lt;work-type&gt;Article&lt;/work-type&gt;&lt;titles&gt;&lt;title&gt;Sequence and function of basic helix-loop-helix proteins required for stomatal development in Arabidopsis are deeply conserved in land plants&lt;/title&gt;&lt;secondary-title&gt;Evolution &amp;amp; Development&lt;/secondary-title&gt;&lt;alt-title&gt;Evol. Dev.&lt;/alt-title&gt;&lt;/titles&gt;&lt;pages&gt;182-192&lt;/pages&gt;&lt;number&gt;2&lt;/number&gt;&lt;contributors&gt;&lt;authors&gt;&lt;author&gt;MacAlister, C. A.&lt;/author&gt;&lt;author&gt;Bergmann, D. C.&lt;/author&gt;&lt;/authors&gt;&lt;/contributors&gt;&lt;language&gt;English&lt;/language&gt;&lt;added-date format="utc"&gt;1354083840&lt;/added-date&gt;&lt;ref-type name="Journal Article"&gt;17&lt;/ref-type&gt;&lt;auth-address&gt;[MacAlister, Cora A.&amp;#xD;Bergmann, Dominique C.] Stanford Univ, Dept Biol, Stanford, CA 94305 USA.&amp;#xD;MacAlister, CA (reprint author), Cold Spring Harbor Lab, POB 100, Cold Spring Harbor, NY 11724 USA.&amp;#xD;cmacalis@cshl.edu&lt;/auth-address&gt;&lt;rec-number&gt;61&lt;/rec-number&gt;&lt;last-updated-date format="utc"&gt;1354083840&lt;/last-updated-date&gt;&lt;accession-num&gt;WOS:000288502600007&lt;/accession-num&gt;&lt;electronic-resource-num&gt;10.1111/j.1525-142X.2011.00468.x&lt;/electronic-resource-num&gt;&lt;volume&gt;13&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(2011)</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have shown that some of the identified genes: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 xml:space="preserve">do indeed function in Arabidopsis in the absence of certain related native genes thereby providing empirical evidence that functional orthologues involved in stomatal development may well be present in the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genome. However, whether such genes participate during stomatal development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is unknown. Data presented within this chapter will outline whether the two identified basic helix-loop-helix (bHLH) genes,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PpSMF2</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can contribute to stomatal development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In addition, the function of another bHLH gene closely related to Arabidopsis </w:t>
      </w:r>
      <w:r w:rsidRPr="00D431D5">
        <w:rPr>
          <w:rFonts w:ascii="Arial" w:eastAsia="Times New Roman" w:hAnsi="Arial" w:cs="Arial"/>
          <w:i/>
          <w:color w:val="000000"/>
          <w:lang w:eastAsia="ja-JP"/>
        </w:rPr>
        <w:t xml:space="preserve">ICE1/SCREAM </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SCRM</w:t>
      </w:r>
      <w:r w:rsidRPr="00D431D5">
        <w:rPr>
          <w:rFonts w:ascii="Arial" w:eastAsia="Times New Roman" w:hAnsi="Arial" w:cs="Arial"/>
          <w:color w:val="000000"/>
          <w:lang w:eastAsia="ja-JP"/>
        </w:rPr>
        <w:t xml:space="preserve">) and </w:t>
      </w:r>
      <w:r w:rsidRPr="00D431D5">
        <w:rPr>
          <w:rFonts w:ascii="Arial" w:eastAsia="Times New Roman" w:hAnsi="Arial" w:cs="Arial"/>
          <w:i/>
          <w:color w:val="000000"/>
          <w:lang w:eastAsia="ja-JP"/>
        </w:rPr>
        <w:t>ICE2</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SCRM2</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will also be described </w: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bnRpYXRpb248L0lEVGV4dD48RGlzcGxheVRleHQ+KEthbmFva2EgZXQgYWwuLCAyMDA4KTwvRGlz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bnRpYXRpb248L0lEVGV4dD48RGlzcGxheVRleHQ+KEthbmFva2EgZXQgYWwuLCAyMDA4KTwvRGlz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(Kanaoka et al., 2008)</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t>
      </w:r>
    </w:p>
    <w:p w14:paraId="128BAC33" w14:textId="77777777" w:rsidR="00D431D5" w:rsidRPr="00D431D5" w:rsidRDefault="00D431D5" w:rsidP="00D431D5">
      <w:pPr>
        <w:tabs>
          <w:tab w:val="left" w:pos="6663"/>
        </w:tabs>
        <w:spacing w:after="160" w:line="360" w:lineRule="auto"/>
        <w:rPr>
          <w:rFonts w:ascii="Arial" w:eastAsia="Times New Roman" w:hAnsi="Arial" w:cs="Arial"/>
          <w:b/>
          <w:color w:val="000000"/>
          <w:u w:val="single"/>
          <w:lang w:eastAsia="ja-JP"/>
        </w:rPr>
      </w:pPr>
      <w:r w:rsidRPr="00D431D5">
        <w:rPr>
          <w:rFonts w:ascii="Arial" w:eastAsia="Times New Roman" w:hAnsi="Arial" w:cs="Arial"/>
          <w:color w:val="000000"/>
          <w:u w:val="single"/>
          <w:lang w:eastAsia="ja-JP"/>
        </w:rPr>
        <w:t>3.1.2 bHLH proteins in plants</w:t>
      </w:r>
    </w:p>
    <w:p w14:paraId="1359CB51" w14:textId="55BFFBEE"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Sharing homology with animals bHLH transcription factors, bHLHs in plants are one of the most populous groups of transcription factors utilised </w:t>
      </w:r>
      <w:r w:rsidRPr="00D431D5">
        <w:rPr>
          <w:rFonts w:ascii="Arial" w:eastAsia="Times New Roman" w:hAnsi="Arial" w:cs="Arial"/>
          <w:color w:val="000000"/>
          <w:lang w:eastAsia="ja-JP"/>
        </w:rPr>
        <w:fldChar w:fldCharType="begin">
          <w:fldData xml:space="preserve">PEVuZE5vdGU+PENpdGU+PEF1dGhvcj5Ub2xlZG8tT3J0aXo8L0F1dGhvcj48WWVhcj4yMDAzPC9Z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PEVuZE5vdGU+PENpdGU+PEF1dGhvcj5Ub2xlZG8tT3J0aXo8L0F1dGhvcj48WWVhcj4yMDAzPC9Z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(Pires and Dolan, 2010; Toledo-Ortiz et al., 2003)</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They partake in many process during development including regulating cellular proliferation and identity changes that initiate and define many different cell-type lineages </w:t>
      </w:r>
      <w:r w:rsidRPr="00D431D5">
        <w:rPr>
          <w:rFonts w:ascii="Arial" w:eastAsia="Times New Roman" w:hAnsi="Arial" w:cs="Arial"/>
          <w:color w:val="000000"/>
          <w:lang w:eastAsia="ja-JP"/>
        </w:rPr>
        <w:fldChar w:fldCharType="begin">
          <w:fldData xml:space="preserve">PEVuZE5vdGU+PENpdGU+PEF1dGhvcj5QaWxsaXR0ZXJpPC9BdXRob3I+PFllYXI+MjAxMjwvWWVh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PEVuZE5vdGU+PENpdGU+PEF1dGhvcj5QaWxsaXR0ZXJpPC9BdXRob3I+PFllYXI+MjAxMjwvWWVh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(Katayama et al., 2015; Pillitteri and Torii, 2012; Zhu et al., 2015)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Within the bHLH domain, common features include an N-terminal basic region involved with direct DNA interactions and a C-terminal region which consists of two amphipathic alpha helices separated by a loop </w:t>
      </w:r>
      <w:r w:rsidRPr="00D431D5">
        <w:rPr>
          <w:rFonts w:ascii="Arial" w:eastAsia="Times New Roman" w:hAnsi="Arial" w:cs="Arial"/>
          <w:color w:val="000000"/>
          <w:lang w:eastAsia="ja-JP"/>
        </w:rPr>
        <w:fldChar w:fldCharType="begin">
          <w:fldData xml:space="preserve">PEVuZE5vdGU+PENpdGU+PEF1dGhvcj5GZXJyZS1EJmFwb3M7QW1hcmU8L0F1dGhvcj48WWVhcj4x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PEVuZE5vdGU+PENpdGU+PEF1dGhvcj5GZXJyZS1EJmFwb3M7QW1hcmU8L0F1dGhvcj48WWVhcj4x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 xml:space="preserve">(Ferre-D'Amare et </w:t>
      </w:r>
      <w:r w:rsidRPr="00D431D5">
        <w:rPr>
          <w:rFonts w:ascii="Arial" w:eastAsia="Times New Roman" w:hAnsi="Arial" w:cs="Arial"/>
          <w:color w:val="000000"/>
          <w:lang w:eastAsia="ja-JP"/>
        </w:rPr>
        <w:lastRenderedPageBreak/>
        <w:t>al., 1994; Murre et al., 1989)</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The C-terminal helices permit interactions to occur between two identical prote</w:t>
      </w:r>
      <w:r w:rsidR="00214DEB">
        <w:rPr>
          <w:rFonts w:ascii="Arial" w:eastAsia="Times New Roman" w:hAnsi="Arial" w:cs="Arial"/>
          <w:color w:val="000000"/>
          <w:lang w:eastAsia="ja-JP"/>
        </w:rPr>
        <w:t>ins leading to a homodimer or</w:t>
      </w:r>
      <w:r w:rsidRPr="00D431D5">
        <w:rPr>
          <w:rFonts w:ascii="Arial" w:eastAsia="Times New Roman" w:hAnsi="Arial" w:cs="Arial"/>
          <w:color w:val="000000"/>
          <w:lang w:eastAsia="ja-JP"/>
        </w:rPr>
        <w:t xml:space="preserve"> permit two non-identical proteins to interact leading to a heterodimer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&lt;EndNote&gt;&lt;Cite&gt;&lt;Author&gt;Nair&lt;/Author&gt;&lt;Year&gt;2000&lt;/Year&gt;&lt;IDText&gt;Recognizing DNA in the library&lt;/IDText&gt;&lt;DisplayText&gt;(Nair and Burley, 2000)&lt;/DisplayText&gt;&lt;record&gt;&lt;dates&gt;&lt;pub-dates&gt;&lt;date&gt;Apr 13&lt;/date&gt;&lt;/pub-dates&gt;&lt;year&gt;2000&lt;/year&gt;&lt;/dates&gt;&lt;keywords&gt;&lt;keyword&gt;Animals&lt;/keyword&gt;&lt;keyword&gt;DNA/metabolism&lt;/keyword&gt;&lt;keyword&gt;DNA-Binding Proteins/chemistry/*metabolism&lt;/keyword&gt;&lt;keyword&gt;Drosophila&lt;/keyword&gt;&lt;keyword&gt;*Helix-Loop-Helix Motifs&lt;/keyword&gt;&lt;keyword&gt;Peptide Library&lt;/keyword&gt;&lt;keyword&gt;Protein Binding&lt;/keyword&gt;&lt;keyword&gt;Transcription Factors/chemistry/metabolism&lt;/keyword&gt;&lt;/keywords&gt;&lt;isbn&gt;0028-0836 (Print)&amp;#xD;0028-0836&lt;/isbn&gt;&lt;titles&gt;&lt;title&gt;Recognizing DNA in the library&lt;/title&gt;&lt;secondary-title&gt;Nature&lt;/secondary-title&gt;&lt;alt-title&gt;Nature&lt;/alt-title&gt;&lt;/titles&gt;&lt;pages&gt;715, 717-8&lt;/pages&gt;&lt;number&gt;6779&lt;/number&gt;&lt;contributors&gt;&lt;authors&gt;&lt;author&gt;Nair, S. K.&lt;/author&gt;&lt;author&gt;Burley, S. K.&lt;/author&gt;&lt;/authors&gt;&lt;/contributors&gt;&lt;edition&gt;2000/04/28&lt;/edition&gt;&lt;language&gt;eng&lt;/language&gt;&lt;added-date format="utc"&gt;1454279154&lt;/added-date&gt;&lt;ref-type name="Journal Article"&gt;17&lt;/ref-type&gt;&lt;remote-database-provider&gt;NLM&lt;/remote-database-provider&gt;&lt;rec-number&gt;707&lt;/rec-number&gt;&lt;last-updated-date format="utc"&gt;1454279154&lt;/last-updated-date&gt;&lt;accession-num&gt;10783871&lt;/accession-num&gt;&lt;electronic-resource-num&gt;10.1038/35008182&lt;/electronic-resource-num&gt;&lt;volume&gt;404&lt;/volume&gt;&lt;/record&gt;&lt;/Cite&gt;&lt;/EndNote&gt;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(Nair and Burley, 2000)</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Once a homodimer or a heterodimer has formed the DNA binding regions of the two peptides can interact with DNA target sequences thereby leading to cis-regulatory binding and modifications in gene expression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&lt;EndNote&gt;&lt;Cite&gt;&lt;Author&gt;Toledo-Ortiz&lt;/Author&gt;&lt;Year&gt;2003&lt;/Year&gt;&lt;IDText&gt;The Arabidopsis Basic/Helix-Loop-Helix Transcription Factor Family&lt;/IDText&gt;&lt;DisplayText&gt;(Toledo-Ortiz et al., 2003)&lt;/DisplayText&gt;&lt;record&gt;&lt;dates&gt;&lt;pub-dates&gt;&lt;date&gt;Aug&lt;/date&gt;&lt;/pub-dates&gt;&lt;year&gt;2003&lt;/year&gt;&lt;/dates&gt;&lt;keywords&gt;&lt;keyword&gt;Amino Acid Sequence&lt;/keyword&gt;&lt;keyword&gt;Animals&lt;/keyword&gt;&lt;keyword&gt;Arabidopsis/genetics/*metabolism&lt;/keyword&gt;&lt;keyword&gt;Arabidopsis Proteins/chemistry/genetics/*metabolism&lt;/keyword&gt;&lt;keyword&gt;Chromosome Mapping&lt;/keyword&gt;&lt;keyword&gt;Conserved Sequence&lt;/keyword&gt;&lt;keyword&gt;DNA, Plant/metabolism&lt;/keyword&gt;&lt;keyword&gt;Dimerization&lt;/keyword&gt;&lt;keyword&gt;Eukaryotic Cells&lt;/keyword&gt;&lt;keyword&gt;Gene Duplication&lt;/keyword&gt;&lt;keyword&gt;Genes, Plant&lt;/keyword&gt;&lt;keyword&gt;Helix-Loop-Helix Motifs/genetics&lt;/keyword&gt;&lt;keyword&gt;Humans&lt;/keyword&gt;&lt;keyword&gt;Introns&lt;/keyword&gt;&lt;keyword&gt;Molecular Sequence Data&lt;/keyword&gt;&lt;keyword&gt;Multigene Family&lt;/keyword&gt;&lt;keyword&gt;Phylogeny&lt;/keyword&gt;&lt;keyword&gt;Sequence Homology, Amino Acid&lt;/keyword&gt;&lt;keyword&gt;Transcription Factors/chemistry/genetics/*metabolism&lt;/keyword&gt;&lt;/keywords&gt;&lt;isbn&gt;1040-4651 (Print)&amp;#xD;1040-4651&lt;/isbn&gt;&lt;custom2&gt;PMC167167&lt;/custom2&gt;&lt;titles&gt;&lt;title&gt;The Arabidopsis basic/helix-loop-helix transcription factor family&lt;/title&gt;&lt;secondary-title&gt;Plant Cell&lt;/secondary-title&gt;&lt;alt-title&gt;The Plant cell&lt;/alt-title&gt;&lt;/titles&gt;&lt;pages&gt;1749-70&lt;/pages&gt;&lt;number&gt;8&lt;/number&gt;&lt;contributors&gt;&lt;authors&gt;&lt;author&gt;Toledo-Ortiz, G.&lt;/author&gt;&lt;author&gt;Huq, E.&lt;/author&gt;&lt;author&gt;Quail, P. H.&lt;/author&gt;&lt;/authors&gt;&lt;/contributors&gt;&lt;edition&gt;2003/08/05&lt;/edition&gt;&lt;language&gt;eng&lt;/language&gt;&lt;added-date format="utc"&gt;1454256213&lt;/added-date&gt;&lt;ref-type name="Journal Article"&gt;17&lt;/ref-type&gt;&lt;auth-address&gt;Department of Plant and Microbial Biology, University of California, Berkeley, CA 94720, USA.&lt;/auth-address&gt;&lt;remote-database-provider&gt;NLM&lt;/remote-database-provider&gt;&lt;rec-number&gt;704&lt;/rec-number&gt;&lt;last-updated-date format="utc"&gt;1454256213&lt;/last-updated-date&gt;&lt;accession-num&gt;12897250&lt;/accession-num&gt;&lt;volume&gt;15&lt;/volume&gt;&lt;/record&gt;&lt;/Cite&gt;&lt;/EndNote&gt;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(Toledo-Ortiz et al., 2003)</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w:t>
      </w:r>
    </w:p>
    <w:p w14:paraId="76D98B09" w14:textId="77777777" w:rsidR="00D431D5" w:rsidRPr="00D431D5" w:rsidRDefault="00D431D5" w:rsidP="00D431D5">
      <w:pPr>
        <w:tabs>
          <w:tab w:val="left" w:pos="6663"/>
        </w:tabs>
        <w:spacing w:after="160" w:line="360" w:lineRule="auto"/>
        <w:rPr>
          <w:rFonts w:ascii="Arial" w:eastAsia="Times New Roman" w:hAnsi="Arial" w:cs="Arial"/>
          <w:i/>
          <w:color w:val="000000"/>
          <w:u w:val="single"/>
          <w:lang w:eastAsia="ja-JP"/>
        </w:rPr>
      </w:pPr>
      <w:r w:rsidRPr="00D431D5">
        <w:rPr>
          <w:rFonts w:ascii="Arial" w:eastAsia="Times New Roman" w:hAnsi="Arial" w:cs="Arial"/>
          <w:color w:val="000000"/>
          <w:u w:val="single"/>
          <w:lang w:eastAsia="ja-JP"/>
        </w:rPr>
        <w:t xml:space="preserve">3.1.3 Basic helix-loop-helix regulation of stomatal development in </w:t>
      </w:r>
      <w:r w:rsidRPr="00D431D5">
        <w:rPr>
          <w:rFonts w:ascii="Arial" w:eastAsia="Times New Roman" w:hAnsi="Arial" w:cs="Arial"/>
          <w:i/>
          <w:color w:val="000000"/>
          <w:u w:val="single"/>
          <w:lang w:eastAsia="ja-JP"/>
        </w:rPr>
        <w:t>Arabidopsis thaliana</w:t>
      </w:r>
    </w:p>
    <w:p w14:paraId="12B7C358" w14:textId="690EE363" w:rsidR="00D431D5" w:rsidRPr="00D431D5" w:rsidRDefault="00EE0DEA" w:rsidP="00D431D5">
      <w:pPr>
        <w:tabs>
          <w:tab w:val="left" w:pos="6663"/>
        </w:tabs>
        <w:spacing w:after="160" w:line="360" w:lineRule="auto"/>
        <w:rPr>
          <w:rFonts w:ascii="Arial" w:eastAsia="Times New Roman" w:hAnsi="Arial" w:cs="Arial"/>
          <w:color w:val="000000"/>
          <w:lang w:eastAsia="ja-JP"/>
        </w:rPr>
      </w:pPr>
      <w:r>
        <w:rPr>
          <w:rFonts w:ascii="Arial" w:eastAsia="Times New Roman" w:hAnsi="Arial" w:cs="Arial"/>
          <w:color w:val="000000"/>
          <w:lang w:eastAsia="ja-JP"/>
        </w:rPr>
        <w:t>For</w:t>
      </w:r>
      <w:r w:rsidR="00D431D5" w:rsidRPr="00D431D5">
        <w:rPr>
          <w:rFonts w:ascii="Arial" w:eastAsia="Times New Roman" w:hAnsi="Arial" w:cs="Arial"/>
          <w:color w:val="000000"/>
          <w:lang w:eastAsia="ja-JP"/>
        </w:rPr>
        <w:t xml:space="preserve"> Arabidopsis stomatal development,  a network of genes are required which when expressed appropriately provide an intricate, precise control over when and where stomata develop on epidermal surfaces </w:t>
      </w:r>
      <w:r w:rsidR="00D431D5" w:rsidRPr="00D431D5">
        <w:rPr>
          <w:rFonts w:ascii="Arial" w:eastAsia="Times New Roman" w:hAnsi="Arial" w:cs="Arial"/>
          <w:color w:val="000000"/>
          <w:lang w:eastAsia="ja-JP"/>
        </w:rPr>
        <w:fldChar w:fldCharType="begin">
          <w:fldData xml:space="preserve">PEVuZE5vdGU+PENpdGU+PEF1dGhvcj5Ub3JpaTwvQXV0aG9yPjxZZWFyPjIwMTU8L1llYXI+PElE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=
</w:fldData>
        </w:fldChar>
      </w:r>
      <w:r w:rsidR="00D431D5" w:rsidRPr="00D431D5">
        <w:rPr>
          <w:rFonts w:ascii="Arial" w:eastAsia="Times New Roman" w:hAnsi="Arial" w:cs="Arial"/>
          <w:color w:val="000000"/>
          <w:lang w:eastAsia="ja-JP"/>
        </w:rPr>
        <w:instrText xml:space="preserve"> ADDIN EN.CITE </w:instrText>
      </w:r>
      <w:r w:rsidR="00D431D5" w:rsidRPr="00D431D5">
        <w:rPr>
          <w:rFonts w:ascii="Arial" w:eastAsia="Times New Roman" w:hAnsi="Arial" w:cs="Arial"/>
          <w:color w:val="000000"/>
          <w:lang w:eastAsia="ja-JP"/>
        </w:rPr>
        <w:fldChar w:fldCharType="begin">
          <w:fldData xml:space="preserve">PEVuZE5vdGU+PENpdGU+PEF1dGhvcj5Ub3JpaTwvQXV0aG9yPjxZZWFyPjIwMTU8L1llYXI+PElE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=
</w:fldData>
        </w:fldChar>
      </w:r>
      <w:r w:rsidR="00D431D5" w:rsidRPr="00D431D5">
        <w:rPr>
          <w:rFonts w:ascii="Arial" w:eastAsia="Times New Roman" w:hAnsi="Arial" w:cs="Arial"/>
          <w:color w:val="000000"/>
          <w:lang w:eastAsia="ja-JP"/>
        </w:rPr>
        <w:instrText xml:space="preserve"> ADDIN EN.CITE.DATA </w:instrText>
      </w:r>
      <w:r w:rsidR="00D431D5" w:rsidRPr="00D431D5">
        <w:rPr>
          <w:rFonts w:ascii="Arial" w:eastAsia="Times New Roman" w:hAnsi="Arial" w:cs="Arial"/>
          <w:color w:val="000000"/>
          <w:lang w:eastAsia="ja-JP"/>
        </w:rPr>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r>
      <w:r w:rsidR="00D431D5" w:rsidRPr="00D431D5">
        <w:rPr>
          <w:rFonts w:ascii="Arial" w:eastAsia="Times New Roman" w:hAnsi="Arial" w:cs="Arial"/>
          <w:color w:val="000000"/>
          <w:lang w:eastAsia="ja-JP"/>
        </w:rPr>
        <w:fldChar w:fldCharType="separate"/>
      </w:r>
      <w:r w:rsidR="00D431D5" w:rsidRPr="00D431D5">
        <w:rPr>
          <w:rFonts w:ascii="Arial" w:eastAsia="Times New Roman" w:hAnsi="Arial" w:cs="Arial"/>
          <w:color w:val="000000"/>
          <w:lang w:eastAsia="ja-JP"/>
        </w:rPr>
        <w:t>(Engineer et al., 2014; Matos et al., 2014; Simmons and Bergmann, 2016; Torii, 2015)</w:t>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t>. At the core of stomatal development are the nuclear-acting basic helix-loop-helix (bHLH) transcription factors SPCH, MUTE and FAMA (</w:t>
      </w:r>
      <w:r w:rsidR="00D431D5" w:rsidRPr="00D431D5">
        <w:rPr>
          <w:rFonts w:ascii="Arial" w:eastAsia="Times New Roman" w:hAnsi="Arial" w:cs="Arial"/>
          <w:b/>
          <w:color w:val="000000"/>
          <w:lang w:eastAsia="ja-JP"/>
        </w:rPr>
        <w:t>Fig. 1</w:t>
      </w:r>
      <w:r w:rsidR="00D431D5" w:rsidRPr="00D431D5">
        <w:rPr>
          <w:rFonts w:ascii="Arial" w:eastAsia="Times New Roman" w:hAnsi="Arial" w:cs="Arial"/>
          <w:color w:val="000000"/>
          <w:lang w:eastAsia="ja-JP"/>
        </w:rPr>
        <w:t>)</w:t>
      </w:r>
      <w:r w:rsidR="00D431D5" w:rsidRPr="00D431D5">
        <w:rPr>
          <w:rFonts w:ascii="Arial" w:eastAsia="Times New Roman" w:hAnsi="Arial" w:cs="Arial"/>
          <w:i/>
          <w:color w:val="000000"/>
          <w:lang w:eastAsia="ja-JP"/>
        </w:rPr>
        <w:t xml:space="preserve"> </w:t>
      </w:r>
      <w:r w:rsidR="00D431D5" w:rsidRPr="00D431D5">
        <w:rPr>
          <w:rFonts w:ascii="Arial" w:eastAsia="Times New Roman" w:hAnsi="Arial" w:cs="Arial"/>
          <w:color w:val="000000"/>
          <w:lang w:eastAsia="ja-JP"/>
        </w:rPr>
        <w:fldChar w:fldCharType="begin">
          <w:fldData xml:space="preserve">PEVuZE5vdGU+PENpdGU+PEF1dGhvcj5QaWxsaXR0ZXJpPC9BdXRob3I+PFllYXI+MjAxMjwvWWVh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==
</w:fldData>
        </w:fldChar>
      </w:r>
      <w:r w:rsidR="00D431D5" w:rsidRPr="00D431D5">
        <w:rPr>
          <w:rFonts w:ascii="Arial" w:eastAsia="Times New Roman" w:hAnsi="Arial" w:cs="Arial"/>
          <w:color w:val="000000"/>
          <w:lang w:eastAsia="ja-JP"/>
        </w:rPr>
        <w:instrText xml:space="preserve"> ADDIN EN.CITE </w:instrText>
      </w:r>
      <w:r w:rsidR="00D431D5" w:rsidRPr="00D431D5">
        <w:rPr>
          <w:rFonts w:ascii="Arial" w:eastAsia="Times New Roman" w:hAnsi="Arial" w:cs="Arial"/>
          <w:color w:val="000000"/>
          <w:lang w:eastAsia="ja-JP"/>
        </w:rPr>
        <w:fldChar w:fldCharType="begin">
          <w:fldData xml:space="preserve">PEVuZE5vdGU+PENpdGU+PEF1dGhvcj5QaWxsaXR0ZXJpPC9BdXRob3I+PFllYXI+MjAxMjwvWWVh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==
</w:fldData>
        </w:fldChar>
      </w:r>
      <w:r w:rsidR="00D431D5" w:rsidRPr="00D431D5">
        <w:rPr>
          <w:rFonts w:ascii="Arial" w:eastAsia="Times New Roman" w:hAnsi="Arial" w:cs="Arial"/>
          <w:color w:val="000000"/>
          <w:lang w:eastAsia="ja-JP"/>
        </w:rPr>
        <w:instrText xml:space="preserve"> ADDIN EN.CITE.DATA </w:instrText>
      </w:r>
      <w:r w:rsidR="00D431D5" w:rsidRPr="00D431D5">
        <w:rPr>
          <w:rFonts w:ascii="Arial" w:eastAsia="Times New Roman" w:hAnsi="Arial" w:cs="Arial"/>
          <w:color w:val="000000"/>
          <w:lang w:eastAsia="ja-JP"/>
        </w:rPr>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r>
      <w:r w:rsidR="00D431D5" w:rsidRPr="00D431D5">
        <w:rPr>
          <w:rFonts w:ascii="Arial" w:eastAsia="Times New Roman" w:hAnsi="Arial" w:cs="Arial"/>
          <w:color w:val="000000"/>
          <w:lang w:eastAsia="ja-JP"/>
        </w:rPr>
        <w:fldChar w:fldCharType="separate"/>
      </w:r>
      <w:r w:rsidR="00D431D5" w:rsidRPr="00D431D5">
        <w:rPr>
          <w:rFonts w:ascii="Arial" w:eastAsia="Times New Roman" w:hAnsi="Arial" w:cs="Arial"/>
          <w:color w:val="000000"/>
          <w:lang w:eastAsia="ja-JP"/>
        </w:rPr>
        <w:t>(MacAlister et al., 2007; Ohashi-Ito and Bergmann, 2006; Pillitteri et al., 2007; Pillitteri and Torii, 2012)</w:t>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t>. For SPCH</w:t>
      </w:r>
      <w:r w:rsidR="00D431D5" w:rsidRPr="00D431D5">
        <w:rPr>
          <w:rFonts w:ascii="Arial" w:eastAsia="Times New Roman" w:hAnsi="Arial" w:cs="Arial"/>
          <w:i/>
          <w:color w:val="000000"/>
          <w:lang w:eastAsia="ja-JP"/>
        </w:rPr>
        <w:t xml:space="preserve">, </w:t>
      </w:r>
      <w:r w:rsidR="00D431D5" w:rsidRPr="00D431D5">
        <w:rPr>
          <w:rFonts w:ascii="Arial" w:eastAsia="Times New Roman" w:hAnsi="Arial" w:cs="Arial"/>
          <w:color w:val="000000"/>
          <w:lang w:eastAsia="ja-JP"/>
        </w:rPr>
        <w:t>MUTE</w:t>
      </w:r>
      <w:r w:rsidR="00D431D5" w:rsidRPr="00D431D5">
        <w:rPr>
          <w:rFonts w:ascii="Arial" w:eastAsia="Times New Roman" w:hAnsi="Arial" w:cs="Arial"/>
          <w:i/>
          <w:color w:val="000000"/>
          <w:lang w:eastAsia="ja-JP"/>
        </w:rPr>
        <w:t xml:space="preserve"> </w:t>
      </w:r>
      <w:r w:rsidR="00D431D5" w:rsidRPr="00D431D5">
        <w:rPr>
          <w:rFonts w:ascii="Arial" w:eastAsia="Times New Roman" w:hAnsi="Arial" w:cs="Arial"/>
          <w:color w:val="000000"/>
          <w:lang w:eastAsia="ja-JP"/>
        </w:rPr>
        <w:t xml:space="preserve">and FAMA to function during successive stages of stomatal development they must form a heterodimer with either of the more broadly acting SCRM bHLH transcription factors: SCRM or SCRM2 </w:t>
      </w:r>
      <w:r w:rsidR="00D431D5" w:rsidRPr="00D431D5">
        <w:rPr>
          <w:rFonts w:ascii="Arial" w:eastAsia="Times New Roman" w:hAnsi="Arial" w:cs="Arial"/>
          <w:color w:val="000000"/>
          <w:lang w:eastAsia="ja-JP"/>
        </w:rPr>
        <w:fldChar w:fldCharType="begin">
          <w:fldData xml:space="preserve">PEVuZE5vdGU+PENpdGU+PEF1dGhvcj5DaGlubnVzYW15PC9BdXRob3I+PFllYXI+MjAwMzwvWWVh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</w:fldData>
        </w:fldChar>
      </w:r>
      <w:r w:rsidR="00D431D5" w:rsidRPr="00D431D5">
        <w:rPr>
          <w:rFonts w:ascii="Arial" w:eastAsia="Times New Roman" w:hAnsi="Arial" w:cs="Arial"/>
          <w:color w:val="000000"/>
          <w:lang w:eastAsia="ja-JP"/>
        </w:rPr>
        <w:instrText xml:space="preserve"> ADDIN EN.CITE </w:instrText>
      </w:r>
      <w:r w:rsidR="00D431D5" w:rsidRPr="00D431D5">
        <w:rPr>
          <w:rFonts w:ascii="Arial" w:eastAsia="Times New Roman" w:hAnsi="Arial" w:cs="Arial"/>
          <w:color w:val="000000"/>
          <w:lang w:eastAsia="ja-JP"/>
        </w:rPr>
        <w:fldChar w:fldCharType="begin">
          <w:fldData xml:space="preserve">PEVuZE5vdGU+PENpdGU+PEF1dGhvcj5DaGlubnVzYW15PC9BdXRob3I+PFllYXI+MjAwMzwvWWVh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</w:fldData>
        </w:fldChar>
      </w:r>
      <w:r w:rsidR="00D431D5" w:rsidRPr="00D431D5">
        <w:rPr>
          <w:rFonts w:ascii="Arial" w:eastAsia="Times New Roman" w:hAnsi="Arial" w:cs="Arial"/>
          <w:color w:val="000000"/>
          <w:lang w:eastAsia="ja-JP"/>
        </w:rPr>
        <w:instrText xml:space="preserve"> ADDIN EN.CITE.DATA </w:instrText>
      </w:r>
      <w:r w:rsidR="00D431D5" w:rsidRPr="00D431D5">
        <w:rPr>
          <w:rFonts w:ascii="Arial" w:eastAsia="Times New Roman" w:hAnsi="Arial" w:cs="Arial"/>
          <w:color w:val="000000"/>
          <w:lang w:eastAsia="ja-JP"/>
        </w:rPr>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r>
      <w:r w:rsidR="00D431D5" w:rsidRPr="00D431D5">
        <w:rPr>
          <w:rFonts w:ascii="Arial" w:eastAsia="Times New Roman" w:hAnsi="Arial" w:cs="Arial"/>
          <w:color w:val="000000"/>
          <w:lang w:eastAsia="ja-JP"/>
        </w:rPr>
        <w:fldChar w:fldCharType="separate"/>
      </w:r>
      <w:r w:rsidR="00D431D5" w:rsidRPr="00D431D5">
        <w:rPr>
          <w:rFonts w:ascii="Arial" w:eastAsia="Times New Roman" w:hAnsi="Arial" w:cs="Arial"/>
          <w:color w:val="000000"/>
          <w:lang w:eastAsia="ja-JP"/>
        </w:rPr>
        <w:t>(Chinnusamy et al., 2003; Kanaoka et al., 2008)</w:t>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t xml:space="preserve">. </w:t>
      </w:r>
    </w:p>
    <w:p w14:paraId="2ECDD02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In Arabidopsis, the process of stomatal development begins when a subset of protodermal cells take on meristemoid mother cell (MMC) identity which is solicited by SPCH</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and SCRM</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or SCRM2 heterodimers (</w:t>
      </w:r>
      <w:r w:rsidRPr="00D431D5">
        <w:rPr>
          <w:rFonts w:ascii="Arial" w:eastAsia="Times New Roman" w:hAnsi="Arial" w:cs="Arial"/>
          <w:b/>
          <w:color w:val="000000"/>
          <w:lang w:eastAsia="ja-JP"/>
        </w:rPr>
        <w:t>Fig. 1</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&lt;EndNote&gt;&lt;Cite&gt;&lt;Author&gt;Simmons&lt;/Author&gt;&lt;Year&gt;2016&lt;/Year&gt;&lt;IDText&gt;Transcriptional control of cell fate in the stomatal lineage&lt;/IDText&gt;&lt;DisplayText&gt;(Simmons and Bergmann, 2016)&lt;/DisplayText&gt;&lt;record&gt;&lt;dates&gt;&lt;pub-dates&gt;&lt;date&gt;2//&lt;/date&gt;&lt;/pub-dates&gt;&lt;year&gt;2016&lt;/year&gt;&lt;/dates&gt;&lt;urls&gt;&lt;related-urls&gt;&lt;url&gt;http://www.sciencedirect.com/science/article/pii/S136952661500148X&lt;/url&gt;&lt;/related-urls&gt;&lt;/urls&gt;&lt;isbn&gt;1369-5266&lt;/isbn&gt;&lt;titles&gt;&lt;title&gt;Transcriptional control of cell fate in the stomatal lineage&lt;/title&gt;&lt;secondary-title&gt;Current Opinion in Plant Biology&lt;/secondary-title&gt;&lt;/titles&gt;&lt;pages&gt;1-8&lt;/pages&gt;&lt;contributors&gt;&lt;authors&gt;&lt;author&gt;Simmons, Abigail R.&lt;/author&gt;&lt;author&gt;Bergmann, Dominique C.&lt;/author&gt;&lt;/authors&gt;&lt;/contributors&gt;&lt;added-date format="utc"&gt;1457767454&lt;/added-date&gt;&lt;ref-type name="Journal Article"&gt;17&lt;/ref-type&gt;&lt;rec-number&gt;1077&lt;/rec-number&gt;&lt;last-updated-date format="utc"&gt;1457767454&lt;/last-updated-date&gt;&lt;electronic-resource-num&gt;http://dx.doi.org/10.1016/j.pbi.2015.09.008&lt;/electronic-resource-num&gt;&lt;volume&gt;29&lt;/volume&gt;&lt;/record&gt;&lt;/Cite&gt;&lt;/EndNote&gt;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(Simmons and Bergmann, 2016)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Individual MMCs can then undergo an asymmetric entry division again via SPCH</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in combination with SCRM/2 </w: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bnRpYXRpb248L0lEVGV4dD48RGlzcGxheVRleHQ+KEthbmFva2EgZXQgYWwuLCAyMDA4OyBNYWNB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bnRpYXRpb248L0lEVGV4dD48RGlzcGxheVRleHQ+KEthbmFva2EgZXQgYWwuLCAyMDA4OyBNYWNB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(Kanaoka et al., 2008; MacAlister et al., 2007)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From the resulting entry division, a smaller meristemoid and larger stomatal lineage ground cell (SLGC) are formed </w:t>
      </w:r>
      <w:r w:rsidRPr="00D431D5">
        <w:rPr>
          <w:rFonts w:ascii="Arial" w:eastAsia="Times New Roman" w:hAnsi="Arial" w:cs="Arial"/>
          <w:color w:val="000000"/>
          <w:lang w:eastAsia="ja-JP"/>
        </w:rPr>
        <w:fldChar w:fldCharType="begin">
          <w:fldData xml:space="preserve">PEVuZE5vdGU+PENpdGU+PEF1dGhvcj5NYWNBbGlzdGVyPC9BdXRob3I+PFllYXI+MjAwNzwvWWVh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PEVuZE5vdGU+PENpdGU+PEF1dGhvcj5NYWNBbGlzdGVyPC9BdXRob3I+PFllYXI+MjAwNzwvWWVh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(Lau et al., 2014; MacAlister et al., 2007; Zhao and Sack, 1999)</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The SLGC can either undergo spacing divisions and divide asymmetrically thereby forming a satellite meristemoid or can dedifferentiate and become a pavement cell </w:t>
      </w:r>
      <w:r w:rsidRPr="00D431D5">
        <w:rPr>
          <w:rFonts w:ascii="Arial" w:eastAsia="Times New Roman" w:hAnsi="Arial" w:cs="Arial"/>
          <w:color w:val="000000"/>
          <w:lang w:eastAsia="ja-JP"/>
        </w:rPr>
        <w:fldChar w:fldCharType="begin">
          <w:fldData xml:space="preserve">PEVuZE5vdGU+PENpdGU+PEF1dGhvcj5QaWxsaXR0ZXJpPC9BdXRob3I+PFllYXI+MjAxMjwvWWVh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PEVuZE5vdGU+PENpdGU+PEF1dGhvcj5QaWxsaXR0ZXJpPC9BdXRob3I+PFllYXI+MjAxMjwvWWVh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(Geisler et al., 2000; Pillitteri and Torii, 2012)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The meristemoid cells that are formed from entry divisions and spacing divisions can then undergo further asymmetric amplifying divisions which renew their identity again via the actions of SPCH and SCRM/2 </w:t>
      </w:r>
      <w:r w:rsidRPr="00D431D5">
        <w:rPr>
          <w:rFonts w:ascii="Arial" w:eastAsia="Times New Roman" w:hAnsi="Arial" w:cs="Arial"/>
          <w:color w:val="000000"/>
          <w:lang w:eastAsia="ja-JP"/>
        </w:rPr>
        <w:fldChar w:fldCharType="begin">
          <w:fldData xml:space="preserve">PEVuZE5vdGU+PENpdGU+PEF1dGhvcj5aaGFvPC9BdXRob3I+PFllYXI+MTk5OTwvWWVhcj48SURU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PEVuZE5vdGU+PENpdGU+PEF1dGhvcj5aaGFvPC9BdXRob3I+PFllYXI+MTk5OTwvWWVhcj48SURU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(Davies and Bergmann, 2014; MacAlister et al., 2007; Zhao and Sack, 1999)</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Alternatively, meristemoids can advance further into the stomatal lineage and become guard mother cells (GMC) via MUTE-SCRM1/2 heterodimer functioning </w:t>
      </w:r>
      <w:r w:rsidRPr="00D431D5">
        <w:rPr>
          <w:rFonts w:ascii="Arial" w:eastAsia="Times New Roman" w:hAnsi="Arial" w:cs="Arial"/>
          <w:color w:val="000000"/>
          <w:lang w:eastAsia="ja-JP"/>
        </w:rPr>
        <w:fldChar w:fldCharType="begin">
          <w:fldData xml:space="preserve">PEVuZE5vdGU+PENpdGU+PEF1dGhvcj5NYWNBbGlzdGVyPC9BdXRob3I+PFllYXI+MjAwNzwvWWVh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PEVuZE5vdGU+PENpdGU+PEF1dGhvcj5NYWNBbGlzdGVyPC9BdXRob3I+PFllYXI+MjAwNzwvWWVh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(MacAlister et al., 2007; Pillitteri et al., 2007; Zhao and Sack, 1999)</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Finally, for a GMC to symmetrically divided and </w:t>
      </w:r>
      <w:r w:rsidRPr="00D431D5">
        <w:rPr>
          <w:rFonts w:ascii="Arial" w:eastAsia="Times New Roman" w:hAnsi="Arial" w:cs="Arial"/>
          <w:color w:val="000000"/>
          <w:lang w:eastAsia="ja-JP"/>
        </w:rPr>
        <w:lastRenderedPageBreak/>
        <w:t>produce a pair of cells with guard cell identity FAMA-SCRM1/2 functioning is required (</w:t>
      </w:r>
      <w:r w:rsidRPr="00D431D5">
        <w:rPr>
          <w:rFonts w:ascii="Arial" w:eastAsia="Times New Roman" w:hAnsi="Arial" w:cs="Arial"/>
          <w:b/>
          <w:color w:val="000000"/>
          <w:lang w:eastAsia="ja-JP"/>
        </w:rPr>
        <w:t>Fig. 1</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fldData xml:space="preserve">PEVuZE5vdGU+PENpdGU+PEF1dGhvcj5PaGFzaGktSXRvPC9BdXRob3I+PFllYXI+MjAwNjwvWWVh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PEVuZE5vdGU+PENpdGU+PEF1dGhvcj5PaGFzaGktSXRvPC9BdXRob3I+PFllYXI+MjAwNjwvWWVh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(Ohashi-Ito and Bergmann, 2006; Zhao and Sack, 1999)</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t>
      </w:r>
    </w:p>
    <w:p w14:paraId="28B81395"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r w:rsidRPr="00D431D5">
        <w:rPr>
          <w:rFonts w:ascii="Arial" w:eastAsia="Times New Roman" w:hAnsi="Arial" w:cs="Arial"/>
          <w:b/>
          <w:noProof/>
          <w:color w:val="000000"/>
          <w:lang w:eastAsia="ja-JP"/>
        </w:rPr>
        <w:drawing>
          <wp:inline distT="0" distB="0" distL="0" distR="0" wp14:anchorId="1F382176" wp14:editId="47686590">
            <wp:extent cx="5094515" cy="3583654"/>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mp fig1.jpg"/>
                    <pic:cNvPicPr/>
                  </pic:nvPicPr>
                  <pic:blipFill rotWithShape="1">
                    <a:blip r:embed="rId20" cstate="print">
                      <a:extLst>
                        <a:ext uri="{28A0092B-C50C-407E-A947-70E740481C1C}">
                          <a14:useLocalDpi xmlns:a14="http://schemas.microsoft.com/office/drawing/2010/main" val="0"/>
                        </a:ext>
                      </a:extLst>
                    </a:blip>
                    <a:srcRect l="6200" t="69773" r="44045" b="2235"/>
                    <a:stretch/>
                  </pic:blipFill>
                  <pic:spPr bwMode="auto">
                    <a:xfrm>
                      <a:off x="0" y="0"/>
                      <a:ext cx="5138883" cy="3614864"/>
                    </a:xfrm>
                    <a:prstGeom prst="rect">
                      <a:avLst/>
                    </a:prstGeom>
                    <a:ln>
                      <a:noFill/>
                    </a:ln>
                    <a:extLst>
                      <a:ext uri="{53640926-AAD7-44D8-BBD7-CCE9431645EC}">
                        <a14:shadowObscured xmlns:a14="http://schemas.microsoft.com/office/drawing/2010/main"/>
                      </a:ext>
                    </a:extLst>
                  </pic:spPr>
                </pic:pic>
              </a:graphicData>
            </a:graphic>
          </wp:inline>
        </w:drawing>
      </w:r>
    </w:p>
    <w:p w14:paraId="38D40EAD" w14:textId="1A48DC54"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b/>
          <w:color w:val="000000"/>
          <w:lang w:eastAsia="ja-JP"/>
        </w:rPr>
        <w:t>Figure 1.</w:t>
      </w:r>
      <w:r w:rsidR="00847DDD">
        <w:rPr>
          <w:rFonts w:ascii="Arial" w:eastAsia="Times New Roman" w:hAnsi="Arial" w:cs="Arial"/>
          <w:b/>
          <w:color w:val="000000"/>
          <w:lang w:eastAsia="ja-JP"/>
        </w:rPr>
        <w:t xml:space="preserve"> Stomatal developmental ontogeny</w:t>
      </w:r>
      <w:r w:rsidRPr="00D431D5">
        <w:rPr>
          <w:rFonts w:ascii="Arial" w:eastAsia="Times New Roman" w:hAnsi="Arial" w:cs="Arial"/>
          <w:b/>
          <w:color w:val="000000"/>
          <w:lang w:eastAsia="ja-JP"/>
        </w:rPr>
        <w:t xml:space="preserve"> in Arabidopsis. </w:t>
      </w:r>
      <w:r w:rsidRPr="00D431D5">
        <w:rPr>
          <w:rFonts w:ascii="Arial" w:eastAsia="Times New Roman" w:hAnsi="Arial" w:cs="Arial"/>
          <w:color w:val="000000"/>
          <w:lang w:eastAsia="ja-JP"/>
        </w:rPr>
        <w:t xml:space="preserve">Prior to the initiation of the stomatal lineage a meristemoid mother cell (MMC, double white line circle) is specified from protodermal cells (white circle) via the actions of SPEECHLESS (SPCH) and SCRM or SCRM2 which come together to form heterodimer to initiate such a process. Subsequently MMCs can undergo an asymmetric entry division again via the actions of SPEECHLESS (SPCH) and SCRM/SCRM2. The progeny of an MMC division are a smaller meristemoid (red square oval) and a larger stomatal lineage ground cell (SLGC). The SLGC can either undergo a secondary asymmetric spacing division which leads to the formation of a satellite meristemoid (see middle) or can become a pavement cell. Once formed, meristemoids can undergo a number of inwardly dividing amplifying divisions (see bottom), again regulated via SPCH-SCRM/2 or can continue to differentiate further into the stomatal lineage (see top). Such continued advancement in the stomatal lineage requires MUTE which again must heterodimerise with SCRM/2 to promote the formation of a guard mother cell (GMC, light green oval). The final symmetric division and identity changes which yields a pair of guard cells (dark green) is orchestrated by a FAMA and SCRM1/2. There are many other </w:t>
      </w:r>
      <w:r w:rsidR="00214DEB">
        <w:rPr>
          <w:rFonts w:ascii="Arial" w:eastAsia="Times New Roman" w:hAnsi="Arial" w:cs="Arial"/>
          <w:color w:val="000000"/>
          <w:lang w:eastAsia="ja-JP"/>
        </w:rPr>
        <w:t xml:space="preserve">points of regulation involved in this process </w:t>
      </w:r>
      <w:r w:rsidRPr="00D431D5">
        <w:rPr>
          <w:rFonts w:ascii="Arial" w:eastAsia="Times New Roman" w:hAnsi="Arial" w:cs="Arial"/>
          <w:color w:val="000000"/>
          <w:lang w:eastAsia="ja-JP"/>
        </w:rPr>
        <w:t xml:space="preserve">but for </w:t>
      </w:r>
      <w:r w:rsidR="00214DEB" w:rsidRPr="00D431D5">
        <w:rPr>
          <w:rFonts w:ascii="Arial" w:eastAsia="Times New Roman" w:hAnsi="Arial" w:cs="Arial"/>
          <w:color w:val="000000"/>
          <w:lang w:eastAsia="ja-JP"/>
        </w:rPr>
        <w:t>simplicity,</w:t>
      </w:r>
      <w:r w:rsidRPr="00D431D5">
        <w:rPr>
          <w:rFonts w:ascii="Arial" w:eastAsia="Times New Roman" w:hAnsi="Arial" w:cs="Arial"/>
          <w:color w:val="000000"/>
          <w:lang w:eastAsia="ja-JP"/>
        </w:rPr>
        <w:t xml:space="preserve"> they are </w:t>
      </w:r>
      <w:r w:rsidRPr="00D431D5">
        <w:rPr>
          <w:rFonts w:ascii="Arial" w:eastAsia="Times New Roman" w:hAnsi="Arial" w:cs="Arial"/>
          <w:color w:val="000000"/>
          <w:lang w:eastAsia="ja-JP"/>
        </w:rPr>
        <w:lastRenderedPageBreak/>
        <w:t xml:space="preserve">not included. For a complete overview of stomatal development see also Han and Torii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 ExcludeAuth="1"&gt;&lt;Author&gt;Han&lt;/Author&gt;&lt;Year&gt;2016&lt;/Year&gt;&lt;IDText&gt;Lineage-specific stem cells, signals and asymmetries during stomatal development&lt;/IDText&gt;&lt;DisplayText&gt;(2016)&lt;/DisplayText&gt;&lt;record&gt;&lt;dates&gt;&lt;pub-dates&gt;&lt;date&gt;2016 Apr&lt;/date&gt;&lt;/pub-dates&gt;&lt;year&gt;2016&lt;/year&gt;&lt;/dates&gt;&lt;keywords&gt;&lt;keyword&gt;Index Medicus&lt;/keyword&gt;&lt;keyword&gt;Asymmetric division&lt;/keyword&gt;&lt;keyword&gt;Epigenetic regulation of differentiation&lt;/keyword&gt;&lt;keyword&gt;Lineage-specific stem cells&lt;/keyword&gt;&lt;keyword&gt;Peptide signaling&lt;/keyword&gt;&lt;keyword&gt;Stomata&lt;/keyword&gt;&lt;keyword&gt;bHLH proteins&lt;/keyword&gt;&lt;/keywords&gt;&lt;urls&gt;&lt;related-urls&gt;&lt;url&gt;&amp;lt;Go to ISI&amp;gt;://MEDLINE:27095491&lt;/url&gt;&lt;/related-urls&gt;&lt;/urls&gt;&lt;isbn&gt;1477-9129&lt;/isbn&gt;&lt;work-type&gt;; Review&lt;/work-type&gt;&lt;titles&gt;&lt;title&gt;Lineage-specific stem cells, signals and asymmetries during stomatal development&lt;/title&gt;&lt;secondary-title&gt;Development (Cambridge, England)&lt;/secondary-title&gt;&lt;/titles&gt;&lt;pages&gt;1259-70&lt;/pages&gt;&lt;number&gt;8&lt;/number&gt;&lt;contributors&gt;&lt;authors&gt;&lt;author&gt;Han, Soon-Ki&lt;/author&gt;&lt;author&gt;Torii, Keiko U.&lt;/author&gt;&lt;/authors&gt;&lt;/contributors&gt;&lt;language&gt;English&lt;/language&gt;&lt;added-date format="utc"&gt;1465469705&lt;/added-date&gt;&lt;ref-type name="Journal Article"&gt;17&lt;/ref-type&gt;&lt;auth-address&gt;Howard Hughes Medical Institute, University of Washington, Seattle, WA 98195, USA Department of Biology, University of Washington, Seattle, WA 98195, USA.&lt;/auth-address&gt;&lt;rec-number&gt;1291&lt;/rec-number&gt;&lt;last-updated-date format="utc"&gt;1465469705&lt;/last-updated-date&gt;&lt;accession-num&gt;MEDLINE:27095491&lt;/accession-num&gt;&lt;electronic-resource-num&gt;10.1242/dev.127712&lt;/electronic-resource-num&gt;&lt;volume&gt;143&lt;/volume&gt;&lt;/record&gt;&lt;/Cite&gt;&lt;/EndNote&gt;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(2016)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or Simmons and Bergmann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 ExcludeAuth="1"&gt;&lt;Author&gt;Simmons&lt;/Author&gt;&lt;Year&gt;2016&lt;/Year&gt;&lt;IDText&gt;Transcriptional control of cell fate in the stomatal lineage&lt;/IDText&gt;&lt;DisplayText&gt;(2016)&lt;/DisplayText&gt;&lt;record&gt;&lt;dates&gt;&lt;pub-dates&gt;&lt;date&gt;2//&lt;/date&gt;&lt;/pub-dates&gt;&lt;year&gt;2016&lt;/year&gt;&lt;/dates&gt;&lt;urls&gt;&lt;related-urls&gt;&lt;url&gt;http://www.sciencedirect.com/science/article/pii/S136952661500148X&lt;/url&gt;&lt;/related-urls&gt;&lt;/urls&gt;&lt;isbn&gt;1369-5266&lt;/isbn&gt;&lt;titles&gt;&lt;title&gt;Transcriptional control of cell fate in the stomatal lineage&lt;/title&gt;&lt;secondary-title&gt;Current Opinion in Plant Biology&lt;/secondary-title&gt;&lt;/titles&gt;&lt;pages&gt;1-8&lt;/pages&gt;&lt;contributors&gt;&lt;authors&gt;&lt;author&gt;Simmons, Abigail R.&lt;/author&gt;&lt;author&gt;Bergmann, Dominique C.&lt;/author&gt;&lt;/authors&gt;&lt;/contributors&gt;&lt;added-date format="utc"&gt;1457767454&lt;/added-date&gt;&lt;ref-type name="Journal Article"&gt;17&lt;/ref-type&gt;&lt;rec-number&gt;1077&lt;/rec-number&gt;&lt;last-updated-date format="utc"&gt;1457767454&lt;/last-updated-date&gt;&lt;electronic-resource-num&gt;http://dx.doi.org/10.1016/j.pbi.2015.09.008&lt;/electronic-resource-num&gt;&lt;volume&gt;29&lt;/volume&gt;&lt;/record&gt;&lt;/Cite&gt;&lt;/EndNote&gt;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(2016)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w:t>
      </w:r>
    </w:p>
    <w:p w14:paraId="3A43CAA1" w14:textId="15D92914"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During stomatal development the regulation of SPCH</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has been shown to occur via endogenous extracellular cues, membrane receptors, and intracellular signalling that culminates in modifications to the conformation and function of the nuclear-residing SPCH peptide (For further details see Chapters 1 and 4) </w:t>
      </w:r>
      <w:r w:rsidRPr="00D431D5">
        <w:rPr>
          <w:rFonts w:ascii="Arial" w:eastAsia="Times New Roman" w:hAnsi="Arial" w:cs="Arial"/>
          <w:color w:val="000000"/>
          <w:lang w:eastAsia="ja-JP"/>
        </w:rPr>
        <w:fldChar w:fldCharType="begin">
          <w:fldData xml:space="preserve">PEVuZE5vdGU+PENpdGU+PEF1dGhvcj5IdW50PC9BdXRob3I+PFllYXI+MjAwOTwvWWVhcj48SURU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==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PEVuZE5vdGU+PENpdGU+PEF1dGhvcj5IdW50PC9BdXRob3I+PFllYXI+MjAwOTwvWWVhcj48SURU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==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(Gudesblat et al., 2012; Hunt and Gray, 2009; Jewaria et al., 2013; Kim et al., 2012; Lampard et al., 2008; Pillitteri and Torii, 2012; Richardson and Torii, 2013; Yang et al., 2014b)</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Until recently however, how </w:t>
      </w:r>
      <w:r w:rsidRPr="00D431D5">
        <w:rPr>
          <w:rFonts w:ascii="Arial" w:eastAsia="Times New Roman" w:hAnsi="Arial" w:cs="Arial"/>
          <w:i/>
          <w:color w:val="000000"/>
          <w:lang w:eastAsia="ja-JP"/>
        </w:rPr>
        <w:t xml:space="preserve">SPCH </w:t>
      </w:r>
      <w:r w:rsidRPr="00D431D5">
        <w:rPr>
          <w:rFonts w:ascii="Arial" w:eastAsia="Times New Roman" w:hAnsi="Arial" w:cs="Arial"/>
          <w:color w:val="000000"/>
          <w:lang w:eastAsia="ja-JP"/>
        </w:rPr>
        <w:t xml:space="preserve">was able to permit asymmetric entry divisions was not well understood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&lt;EndNote&gt;&lt;Cite&gt;&lt;Author&gt;Yang&lt;/Author&gt;&lt;Year&gt;2014&lt;/Year&gt;&lt;IDText&gt;Phosphorylation of Serine 186 of bHLH Transcription Factor SPEECHLESS Promotes Stomatal Development in &amp;lt;em&amp;gt;Arabidopsis&amp;lt;/em&amp;gt;&lt;/IDText&gt;&lt;DisplayText&gt;(Yang et al., 2014b)&lt;/DisplayText&gt;&lt;record&gt;&lt;urls&gt;&lt;related-urls&gt;&lt;url&gt;http://dx.doi.org/10.1016/j.molp.2014.12.014&lt;/url&gt;&lt;/related-urls&gt;&lt;/urls&gt;&lt;isbn&gt;1674-2052&lt;/isbn&gt;&lt;titles&gt;&lt;title&gt;Phosphorylation of Serine 186 of bHLH Transcription Factor SPEECHLESS Promotes Stomatal Development in &amp;lt;em&amp;gt;Arabidopsis&amp;lt;/em&amp;gt;&lt;/title&gt;&lt;secondary-title&gt;Molecular Plant&lt;/secondary-title&gt;&lt;/titles&gt;&lt;pages&gt;783-795&lt;/pages&gt;&lt;number&gt;5&lt;/number&gt;&lt;access-date&gt;2016/01/25&lt;/access-date&gt;&lt;contributors&gt;&lt;authors&gt;&lt;author&gt;Yang, Ke-Zhen&lt;/author&gt;&lt;author&gt;Jiang, Min&lt;/author&gt;&lt;author&gt;Wang, Ming&lt;/author&gt;&lt;author&gt;Xue, Shan&lt;/author&gt;&lt;author&gt;Zhu, Ling-Ling&lt;/author&gt;&lt;author&gt;Wang, Hong-Zhe&lt;/author&gt;&lt;author&gt;Zou, Jun-Jie&lt;/author&gt;&lt;author&gt;Lee, Eun-Kyoung&lt;/author&gt;&lt;author&gt;Sack, Fred&lt;/author&gt;&lt;author&gt;Le, Jie&lt;/author&gt;&lt;/authors&gt;&lt;/contributors&gt;&lt;added-date format="utc"&gt;1453711582&lt;/added-date&gt;&lt;ref-type name="Journal Article"&gt;17&lt;/ref-type&gt;&lt;dates&gt;&lt;year&gt;2014&lt;/year&gt;&lt;/dates&gt;&lt;rec-number&gt;439&lt;/rec-number&gt;&lt;publisher&gt;Elsevier&lt;/publisher&gt;&lt;last-updated-date format="utc"&gt;1453712660&lt;/last-updated-date&gt;&lt;electronic-resource-num&gt;10.1016/j.molp.2014.12.014&lt;/electronic-resource-num&gt;&lt;volume&gt;8&lt;/volume&gt;&lt;/record&gt;&lt;/Cite&gt;&lt;/EndNote&gt;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(Yang et al., 2014b)</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Yang and colleagues have very intricately highlighted that for asymmetric divisions to occur </w:t>
      </w:r>
      <w:r w:rsidRPr="00D431D5">
        <w:rPr>
          <w:rFonts w:ascii="Arial" w:eastAsia="Times New Roman" w:hAnsi="Arial" w:cs="Arial"/>
          <w:i/>
          <w:color w:val="000000"/>
          <w:lang w:eastAsia="ja-JP"/>
        </w:rPr>
        <w:t xml:space="preserve">SPCH </w:t>
      </w:r>
      <w:r w:rsidRPr="00D431D5">
        <w:rPr>
          <w:rFonts w:ascii="Arial" w:eastAsia="Times New Roman" w:hAnsi="Arial" w:cs="Arial"/>
          <w:color w:val="000000"/>
          <w:lang w:eastAsia="ja-JP"/>
        </w:rPr>
        <w:t>must be phosphorylated by a highly conserved positive regulator of the cell</w:t>
      </w:r>
      <w:r w:rsidR="00214DEB">
        <w:rPr>
          <w:rFonts w:ascii="Arial" w:eastAsia="Times New Roman" w:hAnsi="Arial" w:cs="Arial"/>
          <w:color w:val="000000"/>
          <w:lang w:eastAsia="ja-JP"/>
        </w:rPr>
        <w:t xml:space="preserve"> cycle amongst eukaryotes: CDKA;</w:t>
      </w:r>
      <w:r w:rsidRPr="00D431D5">
        <w:rPr>
          <w:rFonts w:ascii="Arial" w:eastAsia="Times New Roman" w:hAnsi="Arial" w:cs="Arial"/>
          <w:color w:val="000000"/>
          <w:lang w:eastAsia="ja-JP"/>
        </w:rPr>
        <w:t xml:space="preserve">1 </w:t>
      </w:r>
      <w:r w:rsidRPr="00D431D5">
        <w:rPr>
          <w:rFonts w:ascii="Arial" w:eastAsia="Times New Roman" w:hAnsi="Arial" w:cs="Arial"/>
          <w:color w:val="000000"/>
          <w:lang w:eastAsia="ja-JP"/>
        </w:rPr>
        <w:fldChar w:fldCharType="begin">
          <w:fldData xml:space="preserve">PEVuZE5vdGU+PENpdGU+PEF1dGhvcj5EaXNzbWV5ZXI8L0F1dGhvcj48WWVhcj4yMDA3PC9ZZWFy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PEVuZE5vdGU+PENpdGU+PEF1dGhvcj5EaXNzbWV5ZXI8L0F1dGhvcj48WWVhcj4yMDA3PC9ZZWFy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(Dissmeyer et al., 2007; Yang et al., 2014b)</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This was shown to be so important for stomatal lineage entry that a form of </w:t>
      </w:r>
      <w:r w:rsidRPr="00D431D5">
        <w:rPr>
          <w:rFonts w:ascii="Arial" w:eastAsia="Times New Roman" w:hAnsi="Arial" w:cs="Arial"/>
          <w:i/>
          <w:color w:val="000000"/>
          <w:lang w:eastAsia="ja-JP"/>
        </w:rPr>
        <w:t>SPCH</w:t>
      </w:r>
      <w:r w:rsidRPr="00D431D5">
        <w:rPr>
          <w:rFonts w:ascii="Arial" w:eastAsia="Times New Roman" w:hAnsi="Arial" w:cs="Arial"/>
          <w:color w:val="000000"/>
          <w:lang w:eastAsia="ja-JP"/>
        </w:rPr>
        <w:t xml:space="preserve"> without the identified residues was unable to rescue the </w:t>
      </w:r>
      <w:r w:rsidRPr="00D431D5">
        <w:rPr>
          <w:rFonts w:ascii="Arial" w:eastAsia="Times New Roman" w:hAnsi="Arial" w:cs="Arial"/>
          <w:i/>
          <w:color w:val="000000"/>
          <w:lang w:eastAsia="ja-JP"/>
        </w:rPr>
        <w:t xml:space="preserve">spch </w:t>
      </w:r>
      <w:r w:rsidRPr="00D431D5">
        <w:rPr>
          <w:rFonts w:ascii="Arial" w:eastAsia="Times New Roman" w:hAnsi="Arial" w:cs="Arial"/>
          <w:color w:val="000000"/>
          <w:lang w:eastAsia="ja-JP"/>
        </w:rPr>
        <w:t>background where only epidermal cells form.</w:t>
      </w:r>
    </w:p>
    <w:p w14:paraId="55C15CC7" w14:textId="13F4A584"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Recently, the functions of SPCH</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have been studied heavily owing to its key position in regulating stomatal development </w:t>
      </w:r>
      <w:r w:rsidRPr="00D431D5">
        <w:rPr>
          <w:rFonts w:ascii="Arial" w:eastAsia="Times New Roman" w:hAnsi="Arial" w:cs="Arial"/>
          <w:color w:val="000000"/>
          <w:lang w:eastAsia="ja-JP"/>
        </w:rPr>
        <w:fldChar w:fldCharType="begin">
          <w:fldData xml:space="preserve">PEVuZE5vdGU+PENpdGU+PEF1dGhvcj5ZYW5nPC9BdXRob3I+PFllYXI+MjAxNDwvWWVhcj48SURU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PEVuZE5vdGU+PENpdGU+PEF1dGhvcj5ZYW5nPC9BdXRob3I+PFllYXI+MjAxNDwvWWVhcj48SURU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(Davies and Bergmann, 2014; Horst et al., 2015; Jewaria et al., 2013; Lau et al., 2014; Simmons and Bergmann, 2016; Yang et al., 2014b)</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It is becoming increasingly apparent that regulation of </w:t>
      </w:r>
      <w:r w:rsidRPr="00D431D5">
        <w:rPr>
          <w:rFonts w:ascii="Arial" w:eastAsia="Times New Roman" w:hAnsi="Arial" w:cs="Arial"/>
          <w:i/>
          <w:color w:val="000000"/>
          <w:lang w:eastAsia="ja-JP"/>
        </w:rPr>
        <w:t xml:space="preserve">SPCH </w:t>
      </w:r>
      <w:r w:rsidRPr="00D431D5">
        <w:rPr>
          <w:rFonts w:ascii="Arial" w:eastAsia="Times New Roman" w:hAnsi="Arial" w:cs="Arial"/>
          <w:color w:val="000000"/>
          <w:lang w:eastAsia="ja-JP"/>
        </w:rPr>
        <w:t>both at the level of the gene and the protein</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is a hotspot for integrating environmental cues and endogenous signals into the stomatal development module </w:t>
      </w:r>
      <w:r w:rsidRPr="00D431D5">
        <w:rPr>
          <w:rFonts w:ascii="Arial" w:eastAsia="Times New Roman" w:hAnsi="Arial" w:cs="Arial"/>
          <w:color w:val="000000"/>
          <w:lang w:eastAsia="ja-JP"/>
        </w:rPr>
        <w:fldChar w:fldCharType="begin">
          <w:fldData xml:space="preserve">PEVuZE5vdGU+PENpdGU+PEF1dGhvcj5LdW1hcmk8L0F1dGhvcj48WWVhcj4yMDE0PC9ZZWFyPjxJ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PEVuZE5vdGU+PENpdGU+PEF1dGhvcj5LdW1hcmk8L0F1dGhvcj48WWVhcj4yMDE0PC9ZZWFyPjxJ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(Gudesblat et al., 2012; Kim et al., 2012; Kumari et al., 2014; Tricker et al., 2012; Yang et al., 2014a)</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Understanding how </w:t>
      </w:r>
      <w:r w:rsidRPr="00D431D5">
        <w:rPr>
          <w:rFonts w:ascii="Arial" w:eastAsia="Times New Roman" w:hAnsi="Arial" w:cs="Arial"/>
          <w:i/>
          <w:color w:val="000000"/>
          <w:lang w:eastAsia="ja-JP"/>
        </w:rPr>
        <w:t xml:space="preserve">SPCH </w:t>
      </w:r>
      <w:r w:rsidRPr="00D431D5">
        <w:rPr>
          <w:rFonts w:ascii="Arial" w:eastAsia="Times New Roman" w:hAnsi="Arial" w:cs="Arial"/>
          <w:color w:val="000000"/>
          <w:lang w:eastAsia="ja-JP"/>
        </w:rPr>
        <w:t>is regulated therefore and how SPCH</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regulates its downstream targets could well be important in improving plant performance in the future. From an evolutionary perspective it seems that a </w:t>
      </w:r>
      <w:r w:rsidRPr="00D431D5">
        <w:rPr>
          <w:rFonts w:ascii="Arial" w:eastAsia="Times New Roman" w:hAnsi="Arial" w:cs="Arial"/>
          <w:i/>
          <w:color w:val="000000"/>
          <w:lang w:eastAsia="ja-JP"/>
        </w:rPr>
        <w:t>FAMA</w:t>
      </w:r>
      <w:r w:rsidRPr="00D431D5">
        <w:rPr>
          <w:rFonts w:ascii="Arial" w:eastAsia="Times New Roman" w:hAnsi="Arial" w:cs="Arial"/>
          <w:i/>
          <w:color w:val="000000"/>
          <w:lang w:eastAsia="ja-JP"/>
        </w:rPr>
        <w:softHyphen/>
        <w:t>-</w:t>
      </w:r>
      <w:r w:rsidRPr="00D431D5">
        <w:rPr>
          <w:rFonts w:ascii="Arial" w:eastAsia="Times New Roman" w:hAnsi="Arial" w:cs="Arial"/>
          <w:color w:val="000000"/>
          <w:lang w:eastAsia="ja-JP"/>
        </w:rPr>
        <w:t>like</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gene was ancestral to the three modern-day Arabidopsis </w:t>
      </w:r>
      <w:r w:rsidR="00214DEB">
        <w:rPr>
          <w:rFonts w:ascii="Arial" w:eastAsia="Times New Roman" w:hAnsi="Arial" w:cs="Arial"/>
          <w:color w:val="000000"/>
          <w:lang w:eastAsia="ja-JP"/>
        </w:rPr>
        <w:t xml:space="preserve">genes </w:t>
      </w:r>
      <w:r w:rsidRPr="00D431D5">
        <w:rPr>
          <w:rFonts w:ascii="Arial" w:eastAsia="Times New Roman" w:hAnsi="Arial" w:cs="Arial"/>
          <w:color w:val="000000"/>
          <w:lang w:eastAsia="ja-JP"/>
        </w:rPr>
        <w:t xml:space="preserve">and that </w:t>
      </w:r>
      <w:r w:rsidRPr="00D431D5">
        <w:rPr>
          <w:rFonts w:ascii="Arial" w:eastAsia="Times New Roman" w:hAnsi="Arial" w:cs="Arial"/>
          <w:i/>
          <w:color w:val="000000"/>
          <w:lang w:eastAsia="ja-JP"/>
        </w:rPr>
        <w:t xml:space="preserve">SPCH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MUTE</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evolved later in land plant evolution </w:t>
      </w:r>
      <w:r w:rsidRPr="00D431D5">
        <w:rPr>
          <w:rFonts w:ascii="Arial" w:eastAsia="Times New Roman" w:hAnsi="Arial" w:cs="Arial"/>
          <w:color w:val="000000"/>
          <w:lang w:eastAsia="ja-JP"/>
        </w:rPr>
        <w:fldChar w:fldCharType="begin">
          <w:fldData xml:space="preserve">PEVuZE5vdGU+PENpdGU+PEF1dGhvcj5SYW48L0F1dGhvcj48WWVhcj4yMDEzPC9ZZWFyPjxJRFRl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PEVuZE5vdGU+PENpdGU+PEF1dGhvcj5SYW48L0F1dGhvcj48WWVhcj4yMDEzPC9ZZWFyPjxJRFRl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(Ran et al., 2013)</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Because of </w:t>
      </w:r>
      <w:r w:rsidRPr="00D431D5">
        <w:rPr>
          <w:rFonts w:ascii="Arial" w:eastAsia="Times New Roman" w:hAnsi="Arial" w:cs="Arial"/>
          <w:i/>
          <w:color w:val="000000"/>
          <w:lang w:eastAsia="ja-JP"/>
        </w:rPr>
        <w:t xml:space="preserve">SPCH </w:t>
      </w:r>
      <w:r w:rsidRPr="00D431D5">
        <w:rPr>
          <w:rFonts w:ascii="Arial" w:eastAsia="Times New Roman" w:hAnsi="Arial" w:cs="Arial"/>
          <w:color w:val="000000"/>
          <w:lang w:eastAsia="ja-JP"/>
        </w:rPr>
        <w:t xml:space="preserve">being a more recently evolved gene it contains a number of functional motifs not found in the predicted peptides of homologous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genes:</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PpSMF2</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fldData xml:space="preserve">PEVuZE5vdGU+PENpdGU+PEF1dGhvcj5SYW48L0F1dGhvcj48WWVhcj4yMDEzPC9ZZWFyPjxJRFRl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PEVuZE5vdGU+PENpdGU+PEF1dGhvcj5SYW48L0F1dGhvcj48WWVhcj4yMDEzPC9ZZWFyPjxJRFRl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(Davies and Bergmann, 2014; MacAlister and Bergmann, 2011; Ran et al., 2013)</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Such differences in motif might explain why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to a lesser degree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 xml:space="preserve">were best able to rescue the phenotypes of </w:t>
      </w:r>
      <w:r w:rsidRPr="00D431D5">
        <w:rPr>
          <w:rFonts w:ascii="Arial" w:eastAsia="Times New Roman" w:hAnsi="Arial" w:cs="Arial"/>
          <w:i/>
          <w:color w:val="000000"/>
          <w:lang w:eastAsia="ja-JP"/>
        </w:rPr>
        <w:t xml:space="preserve">fama </w:t>
      </w:r>
      <w:r w:rsidRPr="00D431D5">
        <w:rPr>
          <w:rFonts w:ascii="Arial" w:eastAsia="Times New Roman" w:hAnsi="Arial" w:cs="Arial"/>
          <w:color w:val="000000"/>
          <w:lang w:eastAsia="ja-JP"/>
        </w:rPr>
        <w:t xml:space="preserve">in Arabidopsis rather than </w:t>
      </w:r>
      <w:r w:rsidRPr="00D431D5">
        <w:rPr>
          <w:rFonts w:ascii="Arial" w:eastAsia="Times New Roman" w:hAnsi="Arial" w:cs="Arial"/>
          <w:i/>
          <w:color w:val="000000"/>
          <w:lang w:eastAsia="ja-JP"/>
        </w:rPr>
        <w:t xml:space="preserve">spch </w:t>
      </w:r>
      <w:r w:rsidRPr="00D431D5">
        <w:rPr>
          <w:rFonts w:ascii="Arial" w:eastAsia="Times New Roman" w:hAnsi="Arial" w:cs="Arial"/>
          <w:color w:val="000000"/>
          <w:lang w:eastAsia="ja-JP"/>
        </w:rPr>
        <w:t xml:space="preserve">or </w:t>
      </w:r>
      <w:r w:rsidRPr="00D431D5">
        <w:rPr>
          <w:rFonts w:ascii="Arial" w:eastAsia="Times New Roman" w:hAnsi="Arial" w:cs="Arial"/>
          <w:i/>
          <w:color w:val="000000"/>
          <w:lang w:eastAsia="ja-JP"/>
        </w:rPr>
        <w:t xml:space="preserve">mute </w:t>
      </w:r>
      <w:r w:rsidR="00417B1E" w:rsidRPr="00417B1E">
        <w:rPr>
          <w:rFonts w:ascii="Arial" w:eastAsia="Times New Roman" w:hAnsi="Arial" w:cs="Arial"/>
          <w:color w:val="000000"/>
          <w:lang w:eastAsia="ja-JP"/>
        </w:rPr>
        <w:fldChar w:fldCharType="begin"/>
      </w:r>
      <w:r w:rsidR="00417B1E" w:rsidRPr="00417B1E">
        <w:rPr>
          <w:rFonts w:ascii="Arial" w:eastAsia="Times New Roman" w:hAnsi="Arial" w:cs="Arial"/>
          <w:color w:val="000000"/>
          <w:lang w:eastAsia="ja-JP"/>
        </w:rPr>
        <w:instrText xml:space="preserve"> ADDIN EN.CITE &lt;EndNote&gt;&lt;Cite&gt;&lt;Author&gt;MacAlister&lt;/Author&gt;&lt;Year&gt;2011&lt;/Year&gt;&lt;IDText&gt;Sequence and function of basic helix-loop-helix proteins required for stomatal development in Arabidopsis are deeply conserved in land plants&lt;/IDText&gt;&lt;DisplayText&gt;(MacAlister and Bergmann, 2011)&lt;/DisplayText&gt;&lt;record&gt;&lt;dates&gt;&lt;pub-dates&gt;&lt;date&gt;Mar-Apr&lt;/date&gt;&lt;/pub-dates&gt;&lt;year&gt;2011&lt;/year&gt;&lt;/dates&gt;&lt;keywords&gt;&lt;keyword&gt;TRANSCRIPTION FACTOR FAMILY&lt;/keyword&gt;&lt;keyword&gt;MONOCOT-DICOT DIVERGENCE&lt;/keyword&gt;&lt;keyword&gt;EVOLUTION&lt;/keyword&gt;&lt;keyword&gt;DIVERSITY&lt;/keyword&gt;&lt;keyword&gt;GENES&lt;/keyword&gt;&lt;keyword&gt;DIFFERENTIATION&lt;/keyword&gt;&lt;keyword&gt;THALIANA&lt;/keyword&gt;&lt;keyword&gt;MUTANTS&lt;/keyword&gt;&lt;keyword&gt;GENOMES&lt;/keyword&gt;&lt;keyword&gt;CASCADE&lt;/keyword&gt;&lt;/keywords&gt;&lt;urls&gt;&lt;related-urls&gt;&lt;url&gt;&amp;lt;Go to ISI&amp;gt;://WOS:000288502600007&lt;/url&gt;&lt;/related-urls&gt;&lt;/urls&gt;&lt;isbn&gt;1520-541X&lt;/isbn&gt;&lt;work-type&gt;Article&lt;/work-type&gt;&lt;titles&gt;&lt;title&gt;Sequence and function of basic helix-loop-helix proteins required for stomatal development in Arabidopsis are deeply conserved in land plants&lt;/title&gt;&lt;secondary-title&gt;Evolution &amp;amp; Development&lt;/secondary-title&gt;&lt;alt-title&gt;Evol. Dev.&lt;/alt-title&gt;&lt;/titles&gt;&lt;pages&gt;182-192&lt;/pages&gt;&lt;number&gt;2&lt;/number&gt;&lt;contributors&gt;&lt;authors&gt;&lt;author&gt;MacAlister, C. A.&lt;/author&gt;&lt;author&gt;Bergmann, D. C.&lt;/author&gt;&lt;/authors&gt;&lt;/contributors&gt;&lt;language&gt;English&lt;/language&gt;&lt;added-date format="utc"&gt;1354083840&lt;/added-date&gt;&lt;ref-type name="Journal Article"&gt;17&lt;/ref-type&gt;&lt;auth-address&gt;[MacAlister, Cora A.&amp;#xD;Bergmann, Dominique C.] Stanford Univ, Dept Biol, Stanford, CA 94305 USA.&amp;#xD;MacAlister, CA (reprint author), Cold Spring Harbor Lab, POB 100, Cold Spring Harbor, NY 11724 USA.&amp;#xD;cmacalis@cshl.edu&lt;/auth-address&gt;&lt;rec-number&gt;61&lt;/rec-number&gt;&lt;last-updated-date format="utc"&gt;1354083840&lt;/last-updated-date&gt;&lt;accession-num&gt;WOS:000288502600007&lt;/accession-num&gt;&lt;electronic-resource-num&gt;10.1111/j.1525-142X.2011.00468.x&lt;/electronic-resource-num&gt;&lt;volume&gt;13&lt;/volume&gt;&lt;/record&gt;&lt;/Cite&gt;&lt;/EndNote&gt;</w:instrText>
      </w:r>
      <w:r w:rsidR="00417B1E" w:rsidRPr="00417B1E">
        <w:rPr>
          <w:rFonts w:ascii="Arial" w:eastAsia="Times New Roman" w:hAnsi="Arial" w:cs="Arial"/>
          <w:color w:val="000000"/>
          <w:lang w:eastAsia="ja-JP"/>
        </w:rPr>
        <w:fldChar w:fldCharType="separate"/>
      </w:r>
      <w:r w:rsidR="00417B1E" w:rsidRPr="00417B1E">
        <w:rPr>
          <w:rFonts w:ascii="Arial" w:eastAsia="Times New Roman" w:hAnsi="Arial" w:cs="Arial"/>
          <w:noProof/>
          <w:color w:val="000000"/>
          <w:lang w:eastAsia="ja-JP"/>
        </w:rPr>
        <w:t>(MacAlister and Bergmann, 2011)</w:t>
      </w:r>
      <w:r w:rsidR="00417B1E" w:rsidRPr="00417B1E">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Indeed, in the case </w:t>
      </w:r>
      <w:r w:rsidRPr="00D431D5">
        <w:rPr>
          <w:rFonts w:ascii="Arial" w:eastAsia="Times New Roman" w:hAnsi="Arial" w:cs="Arial"/>
          <w:i/>
          <w:color w:val="000000"/>
          <w:lang w:eastAsia="ja-JP"/>
        </w:rPr>
        <w:t xml:space="preserve">spch </w:t>
      </w:r>
      <w:r w:rsidRPr="00D431D5">
        <w:rPr>
          <w:rFonts w:ascii="Arial" w:eastAsia="Times New Roman" w:hAnsi="Arial" w:cs="Arial"/>
          <w:color w:val="000000"/>
          <w:lang w:eastAsia="ja-JP"/>
        </w:rPr>
        <w:t>no rescue of phenotype was observed.</w:t>
      </w:r>
    </w:p>
    <w:p w14:paraId="76111369" w14:textId="467D7118"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lastRenderedPageBreak/>
        <w:t>In relation to SPCH</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targets in Arabidopsis</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Lau and colleagues have recently refined the chromatin immunoprecipitation (ChIP) method leading to an increased resolution of SPCH regulatory targets </w:t>
      </w:r>
      <w:r w:rsidRPr="00D431D5">
        <w:rPr>
          <w:rFonts w:ascii="Arial" w:eastAsia="Times New Roman" w:hAnsi="Arial" w:cs="Arial"/>
          <w:color w:val="000000"/>
          <w:lang w:eastAsia="ja-JP"/>
        </w:rPr>
        <w:fldChar w:fldCharType="begin">
          <w:fldData xml:space="preserve">PEVuZE5vdGU+PENpdGU+PEF1dGhvcj5MYXU8L0F1dGhvcj48WWVhcj4yMDE0PC9ZZWFyPjxJRFRl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PEVuZE5vdGU+PENpdGU+PEF1dGhvcj5MYXU8L0F1dGhvcj48WWVhcj4yMDE0PC9ZZWFyPjxJRFRl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(Lau et al., 2014)</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This refinement has illustrated that SPCH</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binds within and more markedly upstream of key genes involved in stomatal development and patterning including: </w:t>
      </w:r>
      <w:r w:rsidRPr="00D431D5">
        <w:rPr>
          <w:rFonts w:ascii="Arial" w:eastAsia="Times New Roman" w:hAnsi="Arial" w:cs="Arial"/>
          <w:i/>
          <w:color w:val="000000"/>
          <w:lang w:eastAsia="ja-JP"/>
        </w:rPr>
        <w:t>SCRM</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MUTE</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 xml:space="preserve">TOO MANY MOUTHS </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TMM</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 xml:space="preserve">EPIDERMAL PATTERNING FACTOR 2 </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EPF2</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  </w:t>
      </w:r>
      <w:r w:rsidRPr="00D431D5">
        <w:rPr>
          <w:rFonts w:ascii="Arial" w:eastAsia="Times New Roman" w:hAnsi="Arial" w:cs="Arial"/>
          <w:i/>
          <w:iCs/>
          <w:color w:val="000000"/>
          <w:lang w:eastAsia="ja-JP"/>
        </w:rPr>
        <w:t>B</w:t>
      </w:r>
      <w:r w:rsidRPr="00D431D5">
        <w:rPr>
          <w:rFonts w:ascii="Arial" w:eastAsia="Times New Roman" w:hAnsi="Arial" w:cs="Arial"/>
          <w:i/>
          <w:color w:val="000000"/>
          <w:lang w:eastAsia="ja-JP"/>
        </w:rPr>
        <w:t>REAKING</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OF</w:t>
      </w:r>
      <w:r w:rsidRPr="00D431D5">
        <w:rPr>
          <w:rFonts w:ascii="Arial" w:eastAsia="Times New Roman" w:hAnsi="Arial" w:cs="Arial"/>
          <w:color w:val="000000"/>
          <w:lang w:eastAsia="ja-JP"/>
        </w:rPr>
        <w:t> </w:t>
      </w:r>
      <w:r w:rsidRPr="00D431D5">
        <w:rPr>
          <w:rFonts w:ascii="Arial" w:eastAsia="Times New Roman" w:hAnsi="Arial" w:cs="Arial"/>
          <w:i/>
          <w:iCs/>
          <w:color w:val="000000"/>
          <w:lang w:eastAsia="ja-JP"/>
        </w:rPr>
        <w:t>A</w:t>
      </w:r>
      <w:r w:rsidRPr="00D431D5">
        <w:rPr>
          <w:rFonts w:ascii="Arial" w:eastAsia="Times New Roman" w:hAnsi="Arial" w:cs="Arial"/>
          <w:i/>
          <w:color w:val="000000"/>
          <w:lang w:eastAsia="ja-JP"/>
        </w:rPr>
        <w:t>SYMMETRY</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IN</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THE</w:t>
      </w:r>
      <w:r w:rsidRPr="00D431D5">
        <w:rPr>
          <w:rFonts w:ascii="Arial" w:eastAsia="Times New Roman" w:hAnsi="Arial" w:cs="Arial"/>
          <w:color w:val="000000"/>
          <w:lang w:eastAsia="ja-JP"/>
        </w:rPr>
        <w:t> </w:t>
      </w:r>
      <w:r w:rsidRPr="00D431D5">
        <w:rPr>
          <w:rFonts w:ascii="Arial" w:eastAsia="Times New Roman" w:hAnsi="Arial" w:cs="Arial"/>
          <w:i/>
          <w:iCs/>
          <w:color w:val="000000"/>
          <w:lang w:eastAsia="ja-JP"/>
        </w:rPr>
        <w:t>S</w:t>
      </w:r>
      <w:r w:rsidRPr="00D431D5">
        <w:rPr>
          <w:rFonts w:ascii="Arial" w:eastAsia="Times New Roman" w:hAnsi="Arial" w:cs="Arial"/>
          <w:i/>
          <w:color w:val="000000"/>
          <w:lang w:eastAsia="ja-JP"/>
        </w:rPr>
        <w:t>TOMATAL</w:t>
      </w:r>
      <w:r w:rsidRPr="00D431D5">
        <w:rPr>
          <w:rFonts w:ascii="Arial" w:eastAsia="Times New Roman" w:hAnsi="Arial" w:cs="Arial"/>
          <w:color w:val="000000"/>
          <w:lang w:eastAsia="ja-JP"/>
        </w:rPr>
        <w:t> </w:t>
      </w:r>
      <w:r w:rsidRPr="00D431D5">
        <w:rPr>
          <w:rFonts w:ascii="Arial" w:eastAsia="Times New Roman" w:hAnsi="Arial" w:cs="Arial"/>
          <w:i/>
          <w:iCs/>
          <w:color w:val="000000"/>
          <w:lang w:eastAsia="ja-JP"/>
        </w:rPr>
        <w:t>L</w:t>
      </w:r>
      <w:r w:rsidRPr="00D431D5">
        <w:rPr>
          <w:rFonts w:ascii="Arial" w:eastAsia="Times New Roman" w:hAnsi="Arial" w:cs="Arial"/>
          <w:i/>
          <w:color w:val="000000"/>
          <w:lang w:eastAsia="ja-JP"/>
        </w:rPr>
        <w:t>INEAGE</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BASL</w:t>
      </w:r>
      <w:r w:rsidRPr="00D431D5">
        <w:rPr>
          <w:rFonts w:ascii="Arial" w:eastAsia="Times New Roman" w:hAnsi="Arial" w:cs="Arial"/>
          <w:color w:val="000000"/>
          <w:lang w:eastAsia="ja-JP"/>
        </w:rPr>
        <w:t>)</w:t>
      </w:r>
      <w:r w:rsidR="003C7D86">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POLAR</w:t>
      </w:r>
      <w:r w:rsidR="003C7D86">
        <w:rPr>
          <w:rFonts w:ascii="Arial" w:eastAsia="Times New Roman" w:hAnsi="Arial" w:cs="Arial"/>
          <w:i/>
          <w:color w:val="000000"/>
          <w:lang w:eastAsia="ja-JP"/>
        </w:rPr>
        <w:t xml:space="preserve"> </w:t>
      </w:r>
      <w:r w:rsidR="003C7D86">
        <w:rPr>
          <w:rFonts w:ascii="Arial" w:eastAsia="Times New Roman" w:hAnsi="Arial" w:cs="Arial"/>
          <w:color w:val="000000"/>
          <w:lang w:eastAsia="ja-JP"/>
        </w:rPr>
        <w:t xml:space="preserve">and </w:t>
      </w:r>
      <w:r w:rsidR="003C7D86">
        <w:rPr>
          <w:rFonts w:ascii="Arial" w:eastAsia="Times New Roman" w:hAnsi="Arial" w:cs="Arial"/>
          <w:i/>
          <w:color w:val="000000"/>
          <w:lang w:eastAsia="ja-JP"/>
        </w:rPr>
        <w:t>ERECTA-Like2</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during the early stages of stomatal development </w: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bnRpYXRpb248L0lEVGV4dD48RGlzcGxheVRleHQ+KERvbmcgZXQgYWwuLCAyMDA5OyBIdW50IGFu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bnRpYXRpb248L0lEVGV4dD48RGlzcGxheVRleHQ+KERvbmcgZXQgYWwuLCAyMDA5OyBIdW50IGFu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(Dong et al., 2009; Hunt and Gray, 2009; Kanaoka et al., 2008; Pillitteri et al., 2008; Pillitteri et al., 2011; Yang and Sack, 1995)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In addition, it was also found that SPCH also binds to its own promoter thereby upregulating its own expression in cells where it was active. This data suggests that SPCH upregulates many genes known to be involved in MMC formation and regulation which when translated can subsequently act to correctly space meristemoids and therefore illustrates at the transcriptional level how SPCH fun</w:t>
      </w:r>
      <w:r w:rsidR="00417B1E">
        <w:rPr>
          <w:rFonts w:ascii="Arial" w:eastAsia="Times New Roman" w:hAnsi="Arial" w:cs="Arial"/>
          <w:color w:val="000000"/>
          <w:lang w:eastAsia="ja-JP"/>
        </w:rPr>
        <w:t>ctioning contributes and oversee</w:t>
      </w:r>
      <w:r w:rsidRPr="00D431D5">
        <w:rPr>
          <w:rFonts w:ascii="Arial" w:eastAsia="Times New Roman" w:hAnsi="Arial" w:cs="Arial"/>
          <w:color w:val="000000"/>
          <w:lang w:eastAsia="ja-JP"/>
        </w:rPr>
        <w:t xml:space="preserve">s early stomatal development. </w:t>
      </w:r>
    </w:p>
    <w:p w14:paraId="08228A2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A recent model has been put forward to suggest how SPCH</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in conjunction with SCRM/2</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sets out which cells will be permitted to enter the stomatal lineage and which cells will remain undifferentiated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&lt;EndNote&gt;&lt;Cite&gt;&lt;Author&gt;Horst&lt;/Author&gt;&lt;Year&gt;2015&lt;/Year&gt;&lt;IDText&gt;Molecular Framework of a Regulatory Circuit Initiating Two-Dimensional Spatial Patterning of Stomatal Lineage&lt;/IDText&gt;&lt;DisplayText&gt;(Horst et al., 2015)&lt;/DisplayText&gt;&lt;record&gt;&lt;dates&gt;&lt;pub-dates&gt;&lt;date&gt;07/23&amp;#xD;12/21/received&amp;#xD;06/19/accepted&lt;/date&gt;&lt;/pub-dates&gt;&lt;year&gt;2015&lt;/year&gt;&lt;/dates&gt;&lt;urls&gt;&lt;related-urls&gt;&lt;url&gt;http://www.ncbi.nlm.nih.gov/pmc/articles/PMC4512730/&lt;/url&gt;&lt;/related-urls&gt;&lt;/urls&gt;&lt;isbn&gt;1553-7390&amp;#xD;1553-7404&lt;/isbn&gt;&lt;titles&gt;&lt;title&gt;Molecular Framework of a Regulatory Circuit Initiating Two-Dimensional Spatial Patterning of Stomatal Lineage&lt;/title&gt;&lt;secondary-title&gt;PLoS Genetics&lt;/secondary-title&gt;&lt;/titles&gt;&lt;pages&gt;e1005374&lt;/pages&gt;&lt;number&gt;7&lt;/number&gt;&lt;contributors&gt;&lt;authors&gt;&lt;author&gt;Horst, Robin J.&lt;/author&gt;&lt;author&gt;Fujita, Hironori&lt;/author&gt;&lt;author&gt;Lee, Jin Suk&lt;/author&gt;&lt;author&gt;Rychel, Amanda L.&lt;/author&gt;&lt;author&gt;Garrick, Jacqueline M.&lt;/author&gt;&lt;author&gt;Kawaguchi, Masayoshi&lt;/author&gt;&lt;author&gt;Peterson, Kylee M.&lt;/author&gt;&lt;author&gt;Torii, Keiko U.&lt;/author&gt;&lt;/authors&gt;&lt;/contributors&gt;&lt;added-date format="utc"&gt;1453714400&lt;/added-date&gt;&lt;pub-location&gt;San Francisco, CA USA&lt;/pub-location&gt;&lt;ref-type name="Journal Article"&gt;17&lt;/ref-type&gt;&lt;rec-number&gt;442&lt;/rec-number&gt;&lt;publisher&gt;Public Library of Science&lt;/publisher&gt;&lt;last-updated-date format="utc"&gt;1453714400&lt;/last-updated-date&gt;&lt;accession-num&gt;PMC4512730&lt;/accession-num&gt;&lt;electronic-resource-num&gt;10.1371/journal.pgen.1005374&lt;/electronic-resource-num&gt;&lt;volume&gt;11&lt;/volume&gt;&lt;remote-database-name&gt;PMC&lt;/remote-database-na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(Horst et al., 2015)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It is suggested that first the formation of a SPCH-SCRM/2 bHLH heterodimer must form which positively upregulates itself. This leads to the upregulation of </w:t>
      </w:r>
      <w:r w:rsidRPr="00D431D5">
        <w:rPr>
          <w:rFonts w:ascii="Arial" w:eastAsia="Times New Roman" w:hAnsi="Arial" w:cs="Arial"/>
          <w:i/>
          <w:color w:val="000000"/>
          <w:lang w:eastAsia="ja-JP"/>
        </w:rPr>
        <w:t xml:space="preserve">TMM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EPF2</w:t>
      </w:r>
      <w:r w:rsidRPr="00D431D5">
        <w:rPr>
          <w:rFonts w:ascii="Arial" w:eastAsia="Times New Roman" w:hAnsi="Arial" w:cs="Arial"/>
          <w:color w:val="000000"/>
          <w:lang w:eastAsia="ja-JP"/>
        </w:rPr>
        <w:t xml:space="preserve"> which when expressed get exported to the cell membrane and apoplast respectively </w:t>
      </w:r>
      <w:r w:rsidRPr="00D431D5">
        <w:rPr>
          <w:rFonts w:ascii="Arial" w:eastAsia="Times New Roman" w:hAnsi="Arial" w:cs="Arial"/>
          <w:color w:val="000000"/>
          <w:lang w:eastAsia="ja-JP"/>
        </w:rPr>
        <w:fldChar w:fldCharType="begin">
          <w:fldData xml:space="preserve">PEVuZE5vdGU+PENpdGU+PEF1dGhvcj5ZYW5nPC9BdXRob3I+PFllYXI+MTk5NTwvWWVhcj48SURU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PEVuZE5vdGU+PENpdGU+PEF1dGhvcj5ZYW5nPC9BdXRob3I+PFllYXI+MTk5NTwvWWVhcj48SURU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(Hara et al., 2009; Hunt and Gray, 2009; Yang and Sack, 1995)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EPF2</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which is secreted into the apoplast then binds with ERECTAs, preferentially ERECTA (ER),</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on neighbouring protodermal cells </w:t>
      </w:r>
      <w:r w:rsidRPr="00D431D5">
        <w:rPr>
          <w:rFonts w:ascii="Arial" w:eastAsia="Times New Roman" w:hAnsi="Arial" w:cs="Arial"/>
          <w:color w:val="000000"/>
          <w:lang w:eastAsia="ja-JP"/>
        </w:rPr>
        <w:fldChar w:fldCharType="begin">
          <w:fldData xml:space="preserve">PEVuZE5vdGU+PENpdGU+PEF1dGhvcj5MZWU8L0F1dGhvcj48WWVhcj4yMDEyPC9ZZWFyPjxJRFRl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PEVuZE5vdGU+PENpdGU+PEF1dGhvcj5MZWU8L0F1dGhvcj48WWVhcj4yMDEyPC9ZZWFyPjxJRFRl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(Lee et al., 2012; Shpak et al., 2005)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This EPF2-ER binding leads to the activation of an internal Mitogen-activated protein kinase (MAPK) signalling pathway which blocks SPCH from acting in a SPCH/SCRM/2</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heterodimer thereby preventing neighbouring cells of stomatal lineage cells from taking on stomatal conformation </w:t>
      </w:r>
      <w:r w:rsidRPr="00D431D5">
        <w:rPr>
          <w:rFonts w:ascii="Arial" w:eastAsia="Times New Roman" w:hAnsi="Arial" w:cs="Arial"/>
          <w:color w:val="000000"/>
          <w:lang w:eastAsia="ja-JP"/>
        </w:rPr>
        <w:fldChar w:fldCharType="begin">
          <w:fldData xml:space="preserve">PEVuZE5vdGU+PENpdGU+PEF1dGhvcj5Ib3JzdDwvQXV0aG9yPjxZZWFyPjIwMTU8L1llYXI+PElE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PEVuZE5vdGU+PENpdGU+PEF1dGhvcj5Ib3JzdDwvQXV0aG9yPjxZZWFyPjIwMTU8L1llYXI+PElE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(Horst et al., 2015; Pillitteri and Torii, 2012)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w:t>
      </w:r>
    </w:p>
    <w:p w14:paraId="301B8A89" w14:textId="0536E2D9"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It is known that SPCH upregulates MUTE which is thought to up regulate FAMA </w:t>
      </w:r>
      <w:r w:rsidRPr="00D431D5">
        <w:rPr>
          <w:rFonts w:ascii="Arial" w:eastAsia="Times New Roman" w:hAnsi="Arial" w:cs="Arial"/>
          <w:color w:val="000000"/>
          <w:lang w:eastAsia="ja-JP"/>
        </w:rPr>
        <w:fldChar w:fldCharType="begin">
          <w:fldData xml:space="preserve">PEVuZE5vdGU+PENpdGU+PEF1dGhvcj5EYXZpZXM8L0F1dGhvcj48WWVhcj4yMDE0PC9ZZWFyPjxJ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=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PEVuZE5vdGU+PENpdGU+PEF1dGhvcj5EYXZpZXM8L0F1dGhvcj48WWVhcj4yMDE0PC9ZZWFyPjxJ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=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(Davies and Bergmann, 2014; Lau et al., 2014; Simmons and Bergmann, 2016)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However, how MUTE and FAMA are otherwise regulated during the later stages of development is less well understood. It is thought that EPIDERMAL PATTERNING FACTOR 1 (EPF1) which functions after EPF2 also binds to ERECTA proteins, preferentially ER-like 1 (ERL1) which again leads to a MAPK signalling cascade which culminates in MUTE being prevented from functioning </w:t>
      </w:r>
      <w:r w:rsidRPr="00D431D5">
        <w:rPr>
          <w:rFonts w:ascii="Arial" w:eastAsia="Times New Roman" w:hAnsi="Arial" w:cs="Arial"/>
          <w:color w:val="000000"/>
          <w:lang w:eastAsia="ja-JP"/>
        </w:rPr>
        <w:fldChar w:fldCharType="begin">
          <w:fldData xml:space="preserve">PEVuZE5vdGU+PENpdGU+PEF1dGhvcj5Ub3JpaTwvQXV0aG9yPjxZZWFyPjIwMTI8L1llYXI+PElE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PEVuZE5vdGU+PENpdGU+PEF1dGhvcj5Ub3JpaTwvQXV0aG9yPjxZZWFyPjIwMTI8L1llYXI+PElE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 xml:space="preserve">(Hara et al., 2007; Lampard et al., 2014; Pillitteri and Dong, 2013; Pillitteri and Torii, 2012; Shpak et al., </w:t>
      </w:r>
      <w:r w:rsidRPr="00D431D5">
        <w:rPr>
          <w:rFonts w:ascii="Arial" w:eastAsia="Times New Roman" w:hAnsi="Arial" w:cs="Arial"/>
          <w:color w:val="000000"/>
          <w:lang w:eastAsia="ja-JP"/>
        </w:rPr>
        <w:lastRenderedPageBreak/>
        <w:t>2005; Torii, 2012)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t>
      </w:r>
      <w:r w:rsidR="00417B1E">
        <w:rPr>
          <w:rFonts w:ascii="Arial" w:eastAsia="Times New Roman" w:hAnsi="Arial" w:cs="Arial"/>
          <w:color w:val="000000"/>
          <w:lang w:eastAsia="ja-JP"/>
        </w:rPr>
        <w:t>FAMA also appears to be regulated by MAPKs, but exactly how this occurs is not well understood</w:t>
      </w:r>
      <w:r w:rsidR="003C7D86">
        <w:rPr>
          <w:rFonts w:ascii="Arial" w:eastAsia="Times New Roman" w:hAnsi="Arial" w:cs="Arial"/>
          <w:color w:val="000000"/>
          <w:lang w:eastAsia="ja-JP"/>
        </w:rPr>
        <w:t xml:space="preserve"> </w:t>
      </w:r>
      <w:r w:rsidR="00417B1E">
        <w:rPr>
          <w:rFonts w:ascii="Arial" w:eastAsia="Times New Roman" w:hAnsi="Arial" w:cs="Arial"/>
          <w:color w:val="000000"/>
          <w:lang w:eastAsia="ja-JP"/>
        </w:rPr>
        <w:fldChar w:fldCharType="begin">
          <w:fldData xml:space="preserve">PEVuZE5vdGU+PENpdGU+PEF1dGhvcj5QaWxsaXR0ZXJpPC9BdXRob3I+PFllYXI+MjAxMjwvWWVh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</w:fldData>
        </w:fldChar>
      </w:r>
      <w:r w:rsidR="00417B1E">
        <w:rPr>
          <w:rFonts w:ascii="Arial" w:eastAsia="Times New Roman" w:hAnsi="Arial" w:cs="Arial"/>
          <w:color w:val="000000"/>
          <w:lang w:eastAsia="ja-JP"/>
        </w:rPr>
        <w:instrText xml:space="preserve"> ADDIN EN.CITE </w:instrText>
      </w:r>
      <w:r w:rsidR="00417B1E">
        <w:rPr>
          <w:rFonts w:ascii="Arial" w:eastAsia="Times New Roman" w:hAnsi="Arial" w:cs="Arial"/>
          <w:color w:val="000000"/>
          <w:lang w:eastAsia="ja-JP"/>
        </w:rPr>
        <w:fldChar w:fldCharType="begin">
          <w:fldData xml:space="preserve">PEVuZE5vdGU+PENpdGU+PEF1dGhvcj5QaWxsaXR0ZXJpPC9BdXRob3I+PFllYXI+MjAxMjwvWWVh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</w:fldData>
        </w:fldChar>
      </w:r>
      <w:r w:rsidR="00417B1E">
        <w:rPr>
          <w:rFonts w:ascii="Arial" w:eastAsia="Times New Roman" w:hAnsi="Arial" w:cs="Arial"/>
          <w:color w:val="000000"/>
          <w:lang w:eastAsia="ja-JP"/>
        </w:rPr>
        <w:instrText xml:space="preserve"> ADDIN EN.CITE.DATA </w:instrText>
      </w:r>
      <w:r w:rsidR="00417B1E">
        <w:rPr>
          <w:rFonts w:ascii="Arial" w:eastAsia="Times New Roman" w:hAnsi="Arial" w:cs="Arial"/>
          <w:color w:val="000000"/>
          <w:lang w:eastAsia="ja-JP"/>
        </w:rPr>
      </w:r>
      <w:r w:rsidR="00417B1E">
        <w:rPr>
          <w:rFonts w:ascii="Arial" w:eastAsia="Times New Roman" w:hAnsi="Arial" w:cs="Arial"/>
          <w:color w:val="000000"/>
          <w:lang w:eastAsia="ja-JP"/>
        </w:rPr>
        <w:fldChar w:fldCharType="end"/>
      </w:r>
      <w:r w:rsidR="00417B1E">
        <w:rPr>
          <w:rFonts w:ascii="Arial" w:eastAsia="Times New Roman" w:hAnsi="Arial" w:cs="Arial"/>
          <w:color w:val="000000"/>
          <w:lang w:eastAsia="ja-JP"/>
        </w:rPr>
      </w:r>
      <w:r w:rsidR="00417B1E">
        <w:rPr>
          <w:rFonts w:ascii="Arial" w:eastAsia="Times New Roman" w:hAnsi="Arial" w:cs="Arial"/>
          <w:color w:val="000000"/>
          <w:lang w:eastAsia="ja-JP"/>
        </w:rPr>
        <w:fldChar w:fldCharType="separate"/>
      </w:r>
      <w:r w:rsidR="00417B1E">
        <w:rPr>
          <w:rFonts w:ascii="Arial" w:eastAsia="Times New Roman" w:hAnsi="Arial" w:cs="Arial"/>
          <w:noProof/>
          <w:color w:val="000000"/>
          <w:lang w:eastAsia="ja-JP"/>
        </w:rPr>
        <w:t>(Pillitteri and Torii, 2012)</w:t>
      </w:r>
      <w:r w:rsidR="00417B1E">
        <w:rPr>
          <w:rFonts w:ascii="Arial" w:eastAsia="Times New Roman" w:hAnsi="Arial" w:cs="Arial"/>
          <w:color w:val="000000"/>
          <w:lang w:eastAsia="ja-JP"/>
        </w:rPr>
        <w:fldChar w:fldCharType="end"/>
      </w:r>
      <w:r w:rsidR="00417B1E">
        <w:rPr>
          <w:rFonts w:ascii="Arial" w:eastAsia="Times New Roman" w:hAnsi="Arial" w:cs="Arial"/>
          <w:color w:val="000000"/>
          <w:lang w:eastAsia="ja-JP"/>
        </w:rPr>
        <w:t>.</w:t>
      </w:r>
      <w:r w:rsidRPr="00D431D5">
        <w:rPr>
          <w:rFonts w:ascii="Arial" w:eastAsia="Times New Roman" w:hAnsi="Arial" w:cs="Arial"/>
          <w:color w:val="000000"/>
          <w:lang w:eastAsia="ja-JP"/>
        </w:rPr>
        <w:t xml:space="preserve"> </w:t>
      </w:r>
      <w:r w:rsidR="00417B1E">
        <w:rPr>
          <w:rFonts w:ascii="Arial" w:eastAsia="Times New Roman" w:hAnsi="Arial" w:cs="Arial"/>
          <w:color w:val="000000"/>
          <w:lang w:eastAsia="ja-JP"/>
        </w:rPr>
        <w:t xml:space="preserve">However, </w:t>
      </w:r>
      <w:r w:rsidRPr="00D431D5">
        <w:rPr>
          <w:rFonts w:ascii="Arial" w:eastAsia="Times New Roman" w:hAnsi="Arial" w:cs="Arial"/>
          <w:color w:val="000000"/>
          <w:lang w:eastAsia="ja-JP"/>
        </w:rPr>
        <w:t xml:space="preserve">recent experiments suggest that </w:t>
      </w:r>
      <w:r w:rsidR="00417B1E">
        <w:rPr>
          <w:rFonts w:ascii="Arial" w:eastAsia="Times New Roman" w:hAnsi="Arial" w:cs="Arial"/>
          <w:color w:val="000000"/>
          <w:lang w:eastAsia="ja-JP"/>
        </w:rPr>
        <w:t xml:space="preserve">FAMA’s </w:t>
      </w:r>
      <w:r w:rsidRPr="00D431D5">
        <w:rPr>
          <w:rFonts w:ascii="Arial" w:eastAsia="Times New Roman" w:hAnsi="Arial" w:cs="Arial"/>
          <w:color w:val="000000"/>
          <w:lang w:eastAsia="ja-JP"/>
        </w:rPr>
        <w:t xml:space="preserve">function is interlinked with the functions of MYB124 transcription factor FOUR LIPS (FLP) and its paralogue MYB88 which also function at the penultimate stages of stomatal development </w:t>
      </w:r>
      <w:r w:rsidRPr="00D431D5">
        <w:rPr>
          <w:rFonts w:ascii="Arial" w:eastAsia="Times New Roman" w:hAnsi="Arial" w:cs="Arial"/>
          <w:color w:val="000000"/>
          <w:lang w:eastAsia="ja-JP"/>
        </w:rPr>
        <w:fldChar w:fldCharType="begin">
          <w:fldData xml:space="preserve">PEVuZE5vdGU+PENpdGU+PEF1dGhvcj5MZWU8L0F1dGhvcj48WWVhcj4yMDE0PC9ZZWFyPjxJRFRl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</w:fldData>
        </w:fldChar>
      </w:r>
      <w:r w:rsidR="00417B1E">
        <w:rPr>
          <w:rFonts w:ascii="Arial" w:eastAsia="Times New Roman" w:hAnsi="Arial" w:cs="Arial"/>
          <w:color w:val="000000"/>
          <w:lang w:eastAsia="ja-JP"/>
        </w:rPr>
        <w:instrText xml:space="preserve"> ADDIN EN.CITE </w:instrText>
      </w:r>
      <w:r w:rsidR="00417B1E">
        <w:rPr>
          <w:rFonts w:ascii="Arial" w:eastAsia="Times New Roman" w:hAnsi="Arial" w:cs="Arial"/>
          <w:color w:val="000000"/>
          <w:lang w:eastAsia="ja-JP"/>
        </w:rPr>
        <w:fldChar w:fldCharType="begin">
          <w:fldData xml:space="preserve">PEVuZE5vdGU+PENpdGU+PEF1dGhvcj5MZWU8L0F1dGhvcj48WWVhcj4yMDE0PC9ZZWFyPjxJRFRl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</w:fldData>
        </w:fldChar>
      </w:r>
      <w:r w:rsidR="00417B1E">
        <w:rPr>
          <w:rFonts w:ascii="Arial" w:eastAsia="Times New Roman" w:hAnsi="Arial" w:cs="Arial"/>
          <w:color w:val="000000"/>
          <w:lang w:eastAsia="ja-JP"/>
        </w:rPr>
        <w:instrText xml:space="preserve"> ADDIN EN.CITE.DATA </w:instrText>
      </w:r>
      <w:r w:rsidR="00417B1E">
        <w:rPr>
          <w:rFonts w:ascii="Arial" w:eastAsia="Times New Roman" w:hAnsi="Arial" w:cs="Arial"/>
          <w:color w:val="000000"/>
          <w:lang w:eastAsia="ja-JP"/>
        </w:rPr>
      </w:r>
      <w:r w:rsidR="00417B1E">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00417B1E">
        <w:rPr>
          <w:rFonts w:ascii="Arial" w:eastAsia="Times New Roman" w:hAnsi="Arial" w:cs="Arial"/>
          <w:noProof/>
          <w:color w:val="000000"/>
          <w:lang w:eastAsia="ja-JP"/>
        </w:rPr>
        <w:t>(Lee et al., 2014b; Yang and Sack, 1995)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Interestingly, it has also been reported that FAMA interacts with Retinoblastoma-related (RBR) protein to prevent ectopic stomatal formation in already formed guard cells by preventing the expression of genes such as </w:t>
      </w:r>
      <w:r w:rsidRPr="00D431D5">
        <w:rPr>
          <w:rFonts w:ascii="Arial" w:eastAsia="Times New Roman" w:hAnsi="Arial" w:cs="Arial"/>
          <w:i/>
          <w:color w:val="000000"/>
          <w:lang w:eastAsia="ja-JP"/>
        </w:rPr>
        <w:t xml:space="preserve">SPCH </w:t>
      </w:r>
      <w:r w:rsidRPr="00D431D5">
        <w:rPr>
          <w:rFonts w:ascii="Arial" w:eastAsia="Times New Roman" w:hAnsi="Arial" w:cs="Arial"/>
          <w:color w:val="000000"/>
          <w:lang w:eastAsia="ja-JP"/>
        </w:rPr>
        <w:fldChar w:fldCharType="begin">
          <w:fldData xml:space="preserve">PEVuZE5vdGU+PENpdGU+PEF1dGhvcj5NYXRvczwvQXV0aG9yPjxZZWFyPjIwMTQ8L1llYXI+PElE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PEVuZE5vdGU+PENpdGU+PEF1dGhvcj5NYXRvczwvQXV0aG9yPjxZZWFyPjIwMTQ8L1llYXI+PElE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(Matos et al., 2014)</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w:t>
      </w:r>
    </w:p>
    <w:p w14:paraId="2B9E675D" w14:textId="77777777" w:rsidR="00D431D5" w:rsidRPr="00D431D5" w:rsidRDefault="00D431D5" w:rsidP="00D431D5">
      <w:pPr>
        <w:tabs>
          <w:tab w:val="left" w:pos="6663"/>
        </w:tabs>
        <w:spacing w:after="160" w:line="360" w:lineRule="auto"/>
        <w:rPr>
          <w:rFonts w:ascii="Arial" w:eastAsia="Times New Roman" w:hAnsi="Arial" w:cs="Arial"/>
          <w:color w:val="000000"/>
          <w:u w:val="single"/>
          <w:lang w:eastAsia="ja-JP"/>
        </w:rPr>
      </w:pPr>
      <w:r w:rsidRPr="00D431D5">
        <w:rPr>
          <w:rFonts w:ascii="Arial" w:eastAsia="Times New Roman" w:hAnsi="Arial" w:cs="Arial"/>
          <w:color w:val="000000"/>
          <w:u w:val="single"/>
          <w:lang w:eastAsia="ja-JP"/>
        </w:rPr>
        <w:t>3.1.4 ICE/SCRM genes assists in multiple functional processes besides stomatal development</w:t>
      </w:r>
    </w:p>
    <w:p w14:paraId="76F01A19"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Inducer of CBF expression (ICE1, also termed </w:t>
      </w:r>
      <w:r w:rsidRPr="00D431D5">
        <w:rPr>
          <w:rFonts w:ascii="Arial" w:eastAsia="Times New Roman" w:hAnsi="Arial" w:cs="Arial"/>
          <w:i/>
          <w:color w:val="000000"/>
          <w:lang w:eastAsia="ja-JP"/>
        </w:rPr>
        <w:t>SCRM</w:t>
      </w:r>
      <w:r w:rsidRPr="00D431D5">
        <w:rPr>
          <w:rFonts w:ascii="Arial" w:eastAsia="Times New Roman" w:hAnsi="Arial" w:cs="Arial"/>
          <w:color w:val="000000"/>
          <w:lang w:eastAsia="ja-JP"/>
        </w:rPr>
        <w:t xml:space="preserve">) was first described as a MYC-related bHLH transcription factor involved in cold responses in </w:t>
      </w:r>
      <w:r w:rsidRPr="00D431D5">
        <w:rPr>
          <w:rFonts w:ascii="Arial" w:eastAsia="Times New Roman" w:hAnsi="Arial" w:cs="Arial"/>
          <w:i/>
          <w:color w:val="000000"/>
          <w:lang w:eastAsia="ja-JP"/>
        </w:rPr>
        <w:t xml:space="preserve">Arabidopsis thaliana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&lt;EndNote&gt;&lt;Cite&gt;&lt;Author&gt;Chinnusamy&lt;/Author&gt;&lt;Year&gt;2003&lt;/Year&gt;&lt;IDText&gt;ICE1: a regulator of cold-induced transcriptome and freezing tolerance in Arabidopsis&lt;/IDText&gt;&lt;DisplayText&gt;(Chinnusamy et al., 2003)&lt;/DisplayText&gt;&lt;record&gt;&lt;dates&gt;&lt;pub-dates&gt;&lt;date&gt;Apr&lt;/date&gt;&lt;/pub-dates&gt;&lt;year&gt;2003&lt;/year&gt;&lt;/dates&gt;&lt;keywords&gt;&lt;keyword&gt;cold signaling&lt;/keyword&gt;&lt;keyword&gt;freezing tolerance&lt;/keyword&gt;&lt;keyword&gt;bHLH protein&lt;/keyword&gt;&lt;keyword&gt;CBF regulation&lt;/keyword&gt;&lt;keyword&gt;transcriptome&lt;/keyword&gt;&lt;keyword&gt;RESPONSIVE GENE-EXPRESSION&lt;/keyword&gt;&lt;keyword&gt;DNA-BINDING DOMAIN&lt;/keyword&gt;&lt;keyword&gt;LOW-TEMPERATURE&lt;/keyword&gt;&lt;keyword&gt;SIGNAL-TRANSDUCTION&lt;/keyword&gt;&lt;keyword&gt;SEQUENCE-ANALYSIS&lt;/keyword&gt;&lt;keyword&gt;SALT-STRESS&lt;/keyword&gt;&lt;keyword&gt;ACCLIMATION&lt;/keyword&gt;&lt;keyword&gt;PROTEIN&lt;/keyword&gt;&lt;keyword&gt;ENCODES&lt;/keyword&gt;&lt;keyword&gt;PLANT&lt;/keyword&gt;&lt;/keywords&gt;&lt;urls&gt;&lt;related-urls&gt;&lt;url&gt;&amp;lt;Go to ISI&amp;gt;://WOS:000182361600010&lt;/url&gt;&lt;/related-urls&gt;&lt;/urls&gt;&lt;isbn&gt;0890-9369&lt;/isbn&gt;&lt;work-type&gt;Article&lt;/work-type&gt;&lt;titles&gt;&lt;title&gt;ICE1: a regulator of cold-induced transcriptome and freezing tolerance in Arabidopsis&lt;/title&gt;&lt;secondary-title&gt;Genes &amp;amp; Development&lt;/secondary-title&gt;&lt;alt-title&gt;Genes Dev.&lt;/alt-title&gt;&lt;/titles&gt;&lt;pages&gt;1043-1054&lt;/pages&gt;&lt;number&gt;8&lt;/number&gt;&lt;contributors&gt;&lt;authors&gt;&lt;author&gt;Chinnusamy, V.&lt;/author&gt;&lt;author&gt;Ohta, M.&lt;/author&gt;&lt;author&gt;Kanrar, S.&lt;/author&gt;&lt;author&gt;Lee, B. H.&lt;/author&gt;&lt;author&gt;Hong, X. H.&lt;/author&gt;&lt;author&gt;Agarwal, M.&lt;/author&gt;&lt;author&gt;Zhu, J. K.&lt;/author&gt;&lt;/authors&gt;&lt;/contributors&gt;&lt;language&gt;English&lt;/language&gt;&lt;added-date format="utc"&gt;1353742929&lt;/added-date&gt;&lt;ref-type name="Journal Article"&gt;17&lt;/ref-type&gt;&lt;auth-address&gt;Univ Arizona, Dept Plant Sci, Tucson, AZ 85721 USA.&amp;#xD;Zhu, JK (reprint author), Univ Arizona, Dept Plant Sci, Tucson, AZ 85721 USA.&lt;/auth-address&gt;&lt;rec-number&gt;47&lt;/rec-number&gt;&lt;last-updated-date format="utc"&gt;1353742929&lt;/last-updated-date&gt;&lt;accession-num&gt;WOS:000182361600010&lt;/accession-num&gt;&lt;electronic-resource-num&gt;10.1101/gad.1077503&lt;/electronic-resource-num&gt;&lt;volume&gt;17&lt;/volume&gt;&lt;/record&gt;&lt;/Cite&gt;&lt;/EndNote&gt;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(Chinnusamy et al., 2003)</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In 2008 a paralogue of </w:t>
      </w:r>
      <w:r w:rsidRPr="00D431D5">
        <w:rPr>
          <w:rFonts w:ascii="Arial" w:eastAsia="Times New Roman" w:hAnsi="Arial" w:cs="Arial"/>
          <w:i/>
          <w:color w:val="000000"/>
          <w:lang w:eastAsia="ja-JP"/>
        </w:rPr>
        <w:t>ICE1</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SCRM</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 xml:space="preserve">SCRM2 </w:t>
      </w:r>
      <w:r w:rsidRPr="00D431D5">
        <w:rPr>
          <w:rFonts w:ascii="Arial" w:eastAsia="Times New Roman" w:hAnsi="Arial" w:cs="Arial"/>
          <w:color w:val="000000"/>
          <w:lang w:eastAsia="ja-JP"/>
        </w:rPr>
        <w:t xml:space="preserve">(sometimes also termed </w:t>
      </w:r>
      <w:r w:rsidRPr="00D431D5">
        <w:rPr>
          <w:rFonts w:ascii="Arial" w:eastAsia="Times New Roman" w:hAnsi="Arial" w:cs="Arial"/>
          <w:i/>
          <w:color w:val="000000"/>
          <w:lang w:eastAsia="ja-JP"/>
        </w:rPr>
        <w:t>ICE2</w:t>
      </w:r>
      <w:r w:rsidRPr="00D431D5">
        <w:rPr>
          <w:rFonts w:ascii="Arial" w:eastAsia="Times New Roman" w:hAnsi="Arial" w:cs="Arial"/>
          <w:color w:val="000000"/>
          <w:lang w:eastAsia="ja-JP"/>
        </w:rPr>
        <w:t xml:space="preserve">) was isolated which together with </w:t>
      </w:r>
      <w:r w:rsidRPr="00D431D5">
        <w:rPr>
          <w:rFonts w:ascii="Arial" w:eastAsia="Times New Roman" w:hAnsi="Arial" w:cs="Arial"/>
          <w:i/>
          <w:color w:val="000000"/>
          <w:lang w:eastAsia="ja-JP"/>
        </w:rPr>
        <w:t>ICE1/</w:t>
      </w:r>
      <w:r w:rsidRPr="00D431D5">
        <w:rPr>
          <w:rFonts w:ascii="Arial" w:eastAsia="Times New Roman" w:hAnsi="Arial" w:cs="Arial"/>
          <w:color w:val="000000"/>
          <w:lang w:eastAsia="ja-JP"/>
        </w:rPr>
        <w:t xml:space="preserve">SCRM was shown to function during stomatal development </w: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bnRpYXRpb248L0lEVGV4dD48RGlzcGxheVRleHQ+KEthbmFva2EgZXQgYWwuLCAyMDA4KTwvRGlz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bnRpYXRpb248L0lEVGV4dD48RGlzcGxheVRleHQ+KEthbmFva2EgZXQgYWwuLCAyMDA4KTwvRGlz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(Kanaoka et al., 2008)</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Prior to the knowledge of ICE1/SCRM functioning during stomatal development it was shown that by binding to MYC recognition sites in the promoters of </w:t>
      </w:r>
      <w:r w:rsidRPr="00D431D5">
        <w:rPr>
          <w:rFonts w:ascii="Arial" w:eastAsia="Times New Roman" w:hAnsi="Arial" w:cs="Arial"/>
          <w:i/>
          <w:color w:val="000000"/>
          <w:lang w:eastAsia="ja-JP"/>
        </w:rPr>
        <w:t>CBF/DREB1</w:t>
      </w:r>
      <w:r w:rsidRPr="00D431D5">
        <w:rPr>
          <w:rFonts w:ascii="Arial" w:eastAsia="Times New Roman" w:hAnsi="Arial" w:cs="Arial"/>
          <w:color w:val="000000"/>
          <w:lang w:eastAsia="ja-JP"/>
        </w:rPr>
        <w:t xml:space="preserve"> genes (especially </w:t>
      </w:r>
      <w:r w:rsidRPr="00D431D5">
        <w:rPr>
          <w:rFonts w:ascii="Arial" w:eastAsia="Times New Roman" w:hAnsi="Arial" w:cs="Arial"/>
          <w:i/>
          <w:color w:val="000000"/>
          <w:lang w:eastAsia="ja-JP"/>
        </w:rPr>
        <w:t>CBF3</w:t>
      </w:r>
      <w:r w:rsidRPr="00D431D5">
        <w:rPr>
          <w:rFonts w:ascii="Arial" w:eastAsia="Times New Roman" w:hAnsi="Arial" w:cs="Arial"/>
          <w:color w:val="000000"/>
          <w:lang w:eastAsia="ja-JP"/>
        </w:rPr>
        <w:t xml:space="preserve">), ICE1/SCRM could cause upregulation leading to downstream genes involved with responses to chilling and freezing such as </w:t>
      </w:r>
      <w:r w:rsidRPr="00D431D5">
        <w:rPr>
          <w:rFonts w:ascii="Arial" w:eastAsia="Times New Roman" w:hAnsi="Arial" w:cs="Arial"/>
          <w:i/>
          <w:color w:val="000000"/>
          <w:lang w:eastAsia="ja-JP"/>
        </w:rPr>
        <w:t>COR</w:t>
      </w:r>
      <w:r w:rsidRPr="00D431D5">
        <w:rPr>
          <w:rFonts w:ascii="Arial" w:eastAsia="Times New Roman" w:hAnsi="Arial" w:cs="Arial"/>
          <w:color w:val="000000"/>
          <w:lang w:eastAsia="ja-JP"/>
        </w:rPr>
        <w:t xml:space="preserve"> genes and </w:t>
      </w:r>
      <w:r w:rsidRPr="00D431D5">
        <w:rPr>
          <w:rFonts w:ascii="Arial" w:eastAsia="Times New Roman" w:hAnsi="Arial" w:cs="Arial"/>
          <w:i/>
          <w:color w:val="000000"/>
          <w:lang w:eastAsia="ja-JP"/>
        </w:rPr>
        <w:t>RD29A</w:t>
      </w:r>
      <w:r w:rsidRPr="00D431D5">
        <w:rPr>
          <w:rFonts w:ascii="Arial" w:eastAsia="Times New Roman" w:hAnsi="Arial" w:cs="Arial"/>
          <w:color w:val="000000"/>
          <w:lang w:eastAsia="ja-JP"/>
        </w:rPr>
        <w:t xml:space="preserve"> also being upregulated </w:t>
      </w:r>
      <w:r w:rsidRPr="00D431D5">
        <w:rPr>
          <w:rFonts w:ascii="Arial" w:eastAsia="Times New Roman" w:hAnsi="Arial" w:cs="Arial"/>
          <w:color w:val="000000"/>
          <w:lang w:eastAsia="ja-JP"/>
        </w:rPr>
        <w:fldChar w:fldCharType="begin">
          <w:fldData xml:space="preserve">PEVuZE5vdGU+PENpdGU+PEF1dGhvcj5HaWxtb3VyPC9BdXRob3I+PFllYXI+MjAwMDwvWWVhcj48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PEVuZE5vdGU+PENpdGU+PEF1dGhvcj5HaWxtb3VyPC9BdXRob3I+PFllYXI+MjAwMDwvWWVhcj48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(Chinnusamy et al., 2003; Gilmour et al., 2000; Gilmour et al., 1998; Thomashow, 1999)</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Once translated, ICE1/SCRM can be either positively or negatively regulated leading to changes in its protein conformation. In the case of SIZ1, a SUMO E3 ligase, posttranslational modification of ICE1 results in stabilisation and functioning during cold response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&lt;EndNote&gt;&lt;Cite&gt;&lt;Author&gt;Miura&lt;/Author&gt;&lt;Year&gt;2007&lt;/Year&gt;&lt;IDText&gt;SIZ1-Mediated Sumoylation of ICE1 Controls CBF3/DREB1A Expression and Freezing Tolerance in Arabidopsis&lt;/IDText&gt;&lt;DisplayText&gt;(Miura et al., 2007)&lt;/DisplayText&gt;&lt;record&gt;&lt;dates&gt;&lt;pub-dates&gt;&lt;date&gt;10/21/received&amp;#xD;02/15/revised&amp;#xD;03/19/accepted&lt;/date&gt;&lt;/pub-dates&gt;&lt;year&gt;2007&lt;/year&gt;&lt;/dates&gt;&lt;urls&gt;&lt;related-urls&gt;&lt;url&gt;http://www.ncbi.nlm.nih.gov/pmc/articles/PMC1913760/&lt;/url&gt;&lt;/related-urls&gt;&lt;/urls&gt;&lt;isbn&gt;1040-4651&amp;#xD;1532-298X&lt;/isbn&gt;&lt;titles&gt;&lt;title&gt;SIZ1-Mediated Sumoylation of ICE1 Controls CBF3/DREB1A Expression and Freezing Tolerance in Arabidopsis&lt;/title&gt;&lt;secondary-title&gt;The Plant Cell&lt;/secondary-title&gt;&lt;/titles&gt;&lt;pages&gt;1403-1414&lt;/pages&gt;&lt;number&gt;4&lt;/number&gt;&lt;contributors&gt;&lt;authors&gt;&lt;author&gt;Miura, Kenji&lt;/author&gt;&lt;author&gt;Jin, Jing Bo&lt;/author&gt;&lt;author&gt;Lee, Jiyoung&lt;/author&gt;&lt;author&gt;Yoo, Chan Yul&lt;/author&gt;&lt;author&gt;Stirm, Vicki&lt;/author&gt;&lt;author&gt;Miura, Tomoko&lt;/author&gt;&lt;author&gt;Ashworth, Edward N.&lt;/author&gt;&lt;author&gt;Bressan, Ray A.&lt;/author&gt;&lt;author&gt;Yun, Dae-Jin&lt;/author&gt;&lt;author&gt;Hasegawa, Paul M.&lt;/author&gt;&lt;/authors&gt;&lt;/contributors&gt;&lt;added-date format="utc"&gt;1454320693&lt;/added-date&gt;&lt;ref-type name="Journal Article"&gt;17&lt;/ref-type&gt;&lt;rec-number&gt;712&lt;/rec-number&gt;&lt;publisher&gt;American Society of Plant Biologists&lt;/publisher&gt;&lt;last-updated-date format="utc"&gt;1454320693&lt;/last-updated-date&gt;&lt;accession-num&gt;PMC1913760&lt;/accession-num&gt;&lt;electronic-resource-num&gt;10.1105/tpc.106.048397&lt;/electronic-resource-num&gt;&lt;volume&gt;19&lt;/volume&gt;&lt;remote-database-name&gt;PMC&lt;/remote-database-na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(Miura et al., 2007)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Conversely the actions of HIGH EXPRESSION OF OSMOTICALLY RESPONSIVE GENES 1 (HOS1) results in ubiquitination and degradation of ICE1/SCRM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&lt;EndNote&gt;&lt;Cite&gt;&lt;Author&gt;Dong&lt;/Author&gt;&lt;Year&gt;2006&lt;/Year&gt;&lt;IDText&gt;The negative regulator of plant cold responses, HOS1, is a RING E3 ligase that mediates the ubiquitination and degradation of ICE1&lt;/IDText&gt;&lt;DisplayText&gt;(Dong et al., 2006)&lt;/DisplayText&gt;&lt;record&gt;&lt;dates&gt;&lt;pub-dates&gt;&lt;date&gt;05/15&amp;#xD;01/10/received&lt;/date&gt;&lt;/pub-dates&gt;&lt;year&gt;2006&lt;/year&gt;&lt;/dates&gt;&lt;urls&gt;&lt;related-urls&gt;&lt;url&gt;http://www.ncbi.nlm.nih.gov/pmc/articles/PMC1472463/&lt;/url&gt;&lt;/related-urls&gt;&lt;/urls&gt;&lt;isbn&gt;0027-8424&amp;#xD;1091-6490&lt;/isbn&gt;&lt;titles&gt;&lt;title&gt;The negative regulator of plant cold responses, HOS1, is a RING E3 ligase that mediates the ubiquitination and degradation of ICE1&lt;/title&gt;&lt;secondary-title&gt;Proceedings of the National Academy of Sciences of the United States of America&lt;/secondary-title&gt;&lt;/titles&gt;&lt;pages&gt;8281-8286&lt;/pages&gt;&lt;number&gt;21&lt;/number&gt;&lt;contributors&gt;&lt;authors&gt;&lt;author&gt;Dong, Chun-Hai&lt;/author&gt;&lt;author&gt;Agarwal, Manu&lt;/author&gt;&lt;author&gt;Zhang, Yiyue&lt;/author&gt;&lt;author&gt;Xie, Qi&lt;/author&gt;&lt;author&gt;Zhu, Jian-Kang&lt;/author&gt;&lt;/authors&gt;&lt;/contributors&gt;&lt;added-date format="utc"&gt;1454321444&lt;/added-date&gt;&lt;ref-type name="Journal Article"&gt;17&lt;/ref-type&gt;&lt;rec-number&gt;713&lt;/rec-number&gt;&lt;publisher&gt;National Academy of Sciences&lt;/publisher&gt;&lt;last-updated-date format="utc"&gt;1454321444&lt;/last-updated-date&gt;&lt;accession-num&gt;PMC1472463&lt;/accession-num&gt;&lt;electronic-resource-num&gt;10.1073/pnas.0602874103&lt;/electronic-resource-num&gt;&lt;volume&gt;103&lt;/volume&gt;&lt;remote-database-name&gt;PMC&lt;/remote-database-na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(Dong et al., 2006)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t>
      </w:r>
    </w:p>
    <w:p w14:paraId="74261D93" w14:textId="2D5362DC"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Recently, it has been shown that like ICE1/SCRM, ICE2/SCRM2 can also cause the upregulation of </w:t>
      </w:r>
      <w:r w:rsidRPr="00D431D5">
        <w:rPr>
          <w:rFonts w:ascii="Arial" w:eastAsia="Times New Roman" w:hAnsi="Arial" w:cs="Arial"/>
          <w:i/>
          <w:color w:val="000000"/>
          <w:lang w:eastAsia="ja-JP"/>
        </w:rPr>
        <w:t>CBF/DREB1</w:t>
      </w:r>
      <w:r w:rsidRPr="00D431D5">
        <w:rPr>
          <w:rFonts w:ascii="Arial" w:eastAsia="Times New Roman" w:hAnsi="Arial" w:cs="Arial"/>
          <w:color w:val="000000"/>
          <w:lang w:eastAsia="ja-JP"/>
        </w:rPr>
        <w:t xml:space="preserve"> target genes and is also a target for HOS1 </w:t>
      </w:r>
      <w:r w:rsidRPr="00D431D5">
        <w:rPr>
          <w:rFonts w:ascii="Arial" w:eastAsia="Times New Roman" w:hAnsi="Arial" w:cs="Arial"/>
          <w:color w:val="000000"/>
          <w:lang w:eastAsia="ja-JP"/>
        </w:rPr>
        <w:fldChar w:fldCharType="begin">
          <w:fldData xml:space="preserve">PEVuZE5vdGU+PENpdGU+PEF1dGhvcj5LaW08L0F1dGhvcj48WWVhcj4yMDE1PC9ZZWFyPjxJRFRl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PEVuZE5vdGU+PENpdGU+PEF1dGhvcj5LaW08L0F1dGhvcj48WWVhcj4yMDE1PC9ZZWFyPjxJRFRl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(Kim et al., 2015)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The function of ICE2/SCRM2 appears to be overlapping with ICE1/SCRM but also appears to have undergone a neofunctionalisation resulting in new roles including regulating meristem cold tolerance and perhaps playing a role in defence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&lt;EndNote&gt;&lt;Cite&gt;&lt;Author&gt;Kurbidaeva&lt;/Author&gt;&lt;Year&gt;2014&lt;/Year&gt;&lt;IDText&gt;Arabidopsis thaliana ICE2 gene: Phylogeny, structural evolution and functional diversification from ICE1&lt;/IDText&gt;&lt;DisplayText&gt;(Kurbidaeva et al., 2014)&lt;/DisplayText&gt;&lt;record&gt;&lt;dates&gt;&lt;pub-dates&gt;&lt;date&gt;12//&lt;/date&gt;&lt;/pub-dates&gt;&lt;year&gt;2014&lt;/year&gt;&lt;/dates&gt;&lt;keywords&gt;&lt;keyword&gt;Arabidopsis thaliana&lt;/keyword&gt;&lt;keyword&gt;Cold stress&lt;/keyword&gt;&lt;keyword&gt;Gene expression&lt;/keyword&gt;&lt;keyword&gt;Gene duplication&lt;/keyword&gt;&lt;keyword&gt;Divergence&lt;/keyword&gt;&lt;/keywords&gt;&lt;urls&gt;&lt;related-urls&gt;&lt;url&gt;http://www.sciencedirect.com/science/article/pii/S0168945214001964&lt;/url&gt;&lt;/related-urls&gt;&lt;/urls&gt;&lt;isbn&gt;0168-9452&lt;/isbn&gt;&lt;titles&gt;&lt;title&gt;Arabidopsis thaliana ICE2 gene: Phylogeny, structural evolution and functional diversification from ICE1&lt;/title&gt;&lt;secondary-title&gt;Plant Science&lt;/secondary-title&gt;&lt;/titles&gt;&lt;pages&gt;10-22&lt;/pages&gt;&lt;contributors&gt;&lt;authors&gt;&lt;author&gt;Kurbidaeva, Amina&lt;/author&gt;&lt;author&gt;Ezhova, Tatiana&lt;/author&gt;&lt;author&gt;Novokreshchenova, Maria&lt;/author&gt;&lt;/authors&gt;&lt;/contributors&gt;&lt;added-date format="utc"&gt;1454312297&lt;/added-date&gt;&lt;ref-type name="Journal Article"&gt;17&lt;/ref-type&gt;&lt;rec-number&gt;708&lt;/rec-number&gt;&lt;last-updated-date format="utc"&gt;1454312297&lt;/last-updated-date&gt;&lt;electronic-resource-num&gt;http://dx.doi.org/10.1016/j.plantsci.2014.08.011&lt;/electronic-resource-num&gt;&lt;volume&gt;229&lt;/volume&gt;&lt;/record&gt;&lt;/Cite&gt;&lt;/EndNote&gt;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(Kurbidaeva et al., 2014)</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Finally, new work linking ICE1/SCRM with the regulation of seed germination, flowering time and drought tolerance has recently been </w:t>
      </w:r>
      <w:r w:rsidRPr="00D431D5">
        <w:rPr>
          <w:rFonts w:ascii="Arial" w:eastAsia="Times New Roman" w:hAnsi="Arial" w:cs="Arial"/>
          <w:color w:val="000000"/>
          <w:lang w:eastAsia="ja-JP"/>
        </w:rPr>
        <w:lastRenderedPageBreak/>
        <w:t xml:space="preserve">published which further highlights the dynamic functionality of both ICE1/SCRM and ICE2/SCRM2 in Arabidopsis </w:t>
      </w:r>
      <w:r w:rsidRPr="00D431D5">
        <w:rPr>
          <w:rFonts w:ascii="Arial" w:eastAsia="Times New Roman" w:hAnsi="Arial" w:cs="Arial"/>
          <w:color w:val="000000"/>
          <w:lang w:eastAsia="ja-JP"/>
        </w:rPr>
        <w:fldChar w:fldCharType="begin">
          <w:fldData xml:space="preserve">PEVuZE5vdGU+PENpdGU+PEF1dGhvcj5YdTwvQXV0aG9yPjxZZWFyPjIwMTQ8L1llYXI+PElEVGV4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</w:fldData>
        </w:fldChar>
      </w:r>
      <w:r w:rsidR="00417B1E">
        <w:rPr>
          <w:rFonts w:ascii="Arial" w:eastAsia="Times New Roman" w:hAnsi="Arial" w:cs="Arial"/>
          <w:color w:val="000000"/>
          <w:lang w:eastAsia="ja-JP"/>
        </w:rPr>
        <w:instrText xml:space="preserve"> ADDIN EN.CITE </w:instrText>
      </w:r>
      <w:r w:rsidR="00417B1E">
        <w:rPr>
          <w:rFonts w:ascii="Arial" w:eastAsia="Times New Roman" w:hAnsi="Arial" w:cs="Arial"/>
          <w:color w:val="000000"/>
          <w:lang w:eastAsia="ja-JP"/>
        </w:rPr>
        <w:fldChar w:fldCharType="begin">
          <w:fldData xml:space="preserve">PEVuZE5vdGU+PENpdGU+PEF1dGhvcj5YdTwvQXV0aG9yPjxZZWFyPjIwMTQ8L1llYXI+PElEVGV4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</w:fldData>
        </w:fldChar>
      </w:r>
      <w:r w:rsidR="00417B1E">
        <w:rPr>
          <w:rFonts w:ascii="Arial" w:eastAsia="Times New Roman" w:hAnsi="Arial" w:cs="Arial"/>
          <w:color w:val="000000"/>
          <w:lang w:eastAsia="ja-JP"/>
        </w:rPr>
        <w:instrText xml:space="preserve"> ADDIN EN.CITE.DATA </w:instrText>
      </w:r>
      <w:r w:rsidR="00417B1E">
        <w:rPr>
          <w:rFonts w:ascii="Arial" w:eastAsia="Times New Roman" w:hAnsi="Arial" w:cs="Arial"/>
          <w:color w:val="000000"/>
          <w:lang w:eastAsia="ja-JP"/>
        </w:rPr>
      </w:r>
      <w:r w:rsidR="00417B1E">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00417B1E">
        <w:rPr>
          <w:rFonts w:ascii="Arial" w:eastAsia="Times New Roman" w:hAnsi="Arial" w:cs="Arial"/>
          <w:noProof/>
          <w:color w:val="000000"/>
          <w:lang w:eastAsia="ja-JP"/>
        </w:rPr>
        <w:t>(Lee et al., 2015a; Liang and Yang, 2015; Wang et al., 2016b; Xu et al., 2014)</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w:t>
      </w:r>
    </w:p>
    <w:p w14:paraId="75499133" w14:textId="0C002507" w:rsidR="00D431D5" w:rsidRPr="00D431D5" w:rsidRDefault="00D431D5" w:rsidP="00D431D5">
      <w:pPr>
        <w:tabs>
          <w:tab w:val="left" w:pos="6663"/>
        </w:tabs>
        <w:spacing w:after="160" w:line="360" w:lineRule="auto"/>
        <w:rPr>
          <w:rFonts w:ascii="Arial" w:eastAsia="Times New Roman" w:hAnsi="Arial" w:cs="Arial"/>
          <w:b/>
          <w:color w:val="000000"/>
          <w:u w:val="single"/>
          <w:lang w:eastAsia="ja-JP"/>
        </w:rPr>
      </w:pPr>
      <w:r w:rsidRPr="00D431D5">
        <w:rPr>
          <w:rFonts w:ascii="Arial" w:eastAsia="Times New Roman" w:hAnsi="Arial" w:cs="Arial"/>
          <w:b/>
          <w:color w:val="000000"/>
          <w:u w:val="single"/>
          <w:lang w:eastAsia="ja-JP"/>
        </w:rPr>
        <w:t>3.2 Results</w:t>
      </w:r>
    </w:p>
    <w:p w14:paraId="22545B06" w14:textId="77777777" w:rsidR="00D431D5" w:rsidRPr="00D431D5" w:rsidRDefault="00D431D5" w:rsidP="00D431D5">
      <w:pPr>
        <w:tabs>
          <w:tab w:val="left" w:pos="6663"/>
        </w:tabs>
        <w:spacing w:after="160" w:line="360" w:lineRule="auto"/>
        <w:rPr>
          <w:rFonts w:ascii="Arial" w:eastAsia="Times New Roman" w:hAnsi="Arial" w:cs="Arial"/>
          <w:color w:val="000000"/>
          <w:u w:val="single"/>
          <w:lang w:eastAsia="ja-JP"/>
        </w:rPr>
      </w:pPr>
      <w:r w:rsidRPr="00D431D5">
        <w:rPr>
          <w:rFonts w:ascii="Arial" w:eastAsia="Times New Roman" w:hAnsi="Arial" w:cs="Arial"/>
          <w:color w:val="000000"/>
          <w:u w:val="single"/>
          <w:lang w:eastAsia="ja-JP"/>
        </w:rPr>
        <w:t xml:space="preserve">3.2.1 Stomatal development and sporophyte development in wild-type </w:t>
      </w:r>
      <w:r w:rsidRPr="00D431D5">
        <w:rPr>
          <w:rFonts w:ascii="Arial" w:eastAsia="Times New Roman" w:hAnsi="Arial" w:cs="Arial"/>
          <w:i/>
          <w:color w:val="000000"/>
          <w:u w:val="single"/>
          <w:lang w:eastAsia="ja-JP"/>
        </w:rPr>
        <w:t>P. patens</w:t>
      </w:r>
    </w:p>
    <w:p w14:paraId="1934B4A6"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To assign functional orthology to studied PpSMF and PpSCRM proteins during stomatal development it is first necessary to provide a more detailed account of where, when and how stomata develop on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wild-type sporophytes as this subject has not been adequately addressed in the literature to date in this key model species.</w:t>
      </w:r>
    </w:p>
    <w:p w14:paraId="1602F204" w14:textId="478EDD06" w:rsidR="00D431D5" w:rsidRPr="00D431D5" w:rsidRDefault="00D431D5" w:rsidP="00D431D5">
      <w:pPr>
        <w:tabs>
          <w:tab w:val="left" w:pos="6663"/>
        </w:tabs>
        <w:spacing w:after="160" w:line="360" w:lineRule="auto"/>
        <w:rPr>
          <w:rFonts w:ascii="Arial" w:eastAsia="Times New Roman" w:hAnsi="Arial" w:cs="Arial"/>
          <w:color w:val="000000"/>
          <w:u w:val="single"/>
          <w:lang w:eastAsia="ja-JP"/>
        </w:rPr>
      </w:pP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sporophyte development begins when the egg cells from the archegonium are fertilised by sperm cells derived from the Antheridium (</w:t>
      </w:r>
      <w:r w:rsidRPr="00D431D5">
        <w:rPr>
          <w:rFonts w:ascii="Arial" w:eastAsia="Times New Roman" w:hAnsi="Arial" w:cs="Arial"/>
          <w:b/>
          <w:color w:val="000000"/>
          <w:lang w:eastAsia="ja-JP"/>
        </w:rPr>
        <w:t xml:space="preserve">Fig. 2A </w:t>
      </w:r>
      <w:r w:rsidRPr="00D431D5">
        <w:rPr>
          <w:rFonts w:ascii="Arial" w:eastAsia="Times New Roman" w:hAnsi="Arial" w:cs="Arial"/>
          <w:color w:val="000000"/>
          <w:lang w:eastAsia="ja-JP"/>
        </w:rPr>
        <w:t>and</w:t>
      </w:r>
      <w:r w:rsidRPr="00D431D5">
        <w:rPr>
          <w:rFonts w:ascii="Arial" w:eastAsia="Times New Roman" w:hAnsi="Arial" w:cs="Arial"/>
          <w:b/>
          <w:color w:val="000000"/>
          <w:lang w:eastAsia="ja-JP"/>
        </w:rPr>
        <w:t xml:space="preserve"> 2a</w:t>
      </w:r>
      <w:r w:rsidRPr="00D431D5">
        <w:rPr>
          <w:rFonts w:ascii="Arial" w:eastAsia="Times New Roman" w:hAnsi="Arial" w:cs="Arial"/>
          <w:color w:val="000000"/>
          <w:lang w:eastAsia="ja-JP"/>
        </w:rPr>
        <w:t xml:space="preserve">). Due to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being monecious, fertilisation can either occur by an individual gametophore selfing, or by fertilisation between gametophores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&lt;EndNote&gt;&lt;Cite&gt;&lt;Author&gt;Schaefer&lt;/Author&gt;&lt;Year&gt;2001&lt;/Year&gt;&lt;IDText&gt;The moss Physcomitrella patens, now and then&lt;/IDText&gt;&lt;DisplayText&gt;(Schaefer and Zryd, 2001)&lt;/DisplayText&gt;&lt;record&gt;&lt;dates&gt;&lt;pub-dates&gt;&lt;date&gt;Dec&lt;/date&gt;&lt;/pub-dates&gt;&lt;year&gt;2001&lt;/year&gt;&lt;/dates&gt;&lt;keywords&gt;&lt;keyword&gt;Biological Evolution&lt;/keyword&gt;&lt;keyword&gt;Bryopsida/*genetics/growth &amp;amp; development&lt;/keyword&gt;&lt;keyword&gt;*Genome, Plant&lt;/keyword&gt;&lt;keyword&gt;Genomics&lt;/keyword&gt;&lt;keyword&gt;Mutagenesis&lt;/keyword&gt;&lt;/keywords&gt;&lt;isbn&gt;0032-0889 (Print)&amp;#xD;0032-0889&lt;/isbn&gt;&lt;custom2&gt;PMC1540175&lt;/custom2&gt;&lt;titles&gt;&lt;title&gt;The moss Physcomitrella patens, now and then&lt;/title&gt;&lt;secondary-title&gt;Plant Physiol&lt;/secondary-title&gt;&lt;alt-title&gt;Plant physiology&lt;/alt-title&gt;&lt;/titles&gt;&lt;pages&gt;1430-8&lt;/pages&gt;&lt;number&gt;4&lt;/number&gt;&lt;contributors&gt;&lt;authors&gt;&lt;author&gt;Schaefer, D. G.&lt;/author&gt;&lt;author&gt;Zryd, J. P.&lt;/author&gt;&lt;/authors&gt;&lt;/contributors&gt;&lt;edition&gt;2001/12/18&lt;/edition&gt;&lt;language&gt;eng&lt;/language&gt;&lt;added-date format="utc"&gt;1465223372&lt;/added-date&gt;&lt;ref-type name="Journal Article"&gt;17&lt;/ref-type&gt;&lt;auth-address&gt;Laboratoire de Phytogenetique Cellulaire, Institut d&amp;apos;Ecologie, Universite de Lausanne, CH 1015 Lausanne, Switzerland. didier.schaefer@ie-pc.unil.ch&lt;/auth-address&gt;&lt;remote-database-provider&gt;NLM&lt;/remote-database-provider&gt;&lt;rec-number&gt;1287&lt;/rec-number&gt;&lt;last-updated-date format="utc"&gt;1465223372&lt;/last-updated-date&gt;&lt;accession-num&gt;11743086&lt;/accession-num&gt;&lt;volume&gt;127&lt;/volume&gt;&lt;/record&gt;&lt;/Cite&gt;&lt;/EndNote&gt;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(Schaefer and Zryd, 2001)</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Fertilisation results in the formation of a zygote which leads to a young sporophyte with an apical and basal meristem which lead to the development of the spore capsule and the haustorium </w:t>
      </w:r>
      <w:r w:rsidRPr="00D431D5">
        <w:rPr>
          <w:rFonts w:ascii="Arial" w:eastAsia="Times New Roman" w:hAnsi="Arial" w:cs="Arial"/>
          <w:color w:val="000000"/>
          <w:lang w:eastAsia="ja-JP"/>
        </w:rPr>
        <w:fldChar w:fldCharType="begin">
          <w:fldData xml:space="preserve">PEVuZE5vdGU+PENpdGU+PEF1dGhvcj5TYWtha2liYXJhPC9BdXRob3I+PFllYXI+MjAwODwvWWVh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PEVuZE5vdGU+PENpdGU+PEF1dGhvcj5TYWtha2liYXJhPC9BdXRob3I+PFllYXI+MjAwODwvWWVh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(Sakakibara et al., 2008)</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Fig. 2B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2b</w:t>
      </w:r>
      <w:r w:rsidRPr="00D431D5">
        <w:rPr>
          <w:rFonts w:ascii="Arial" w:eastAsia="Times New Roman" w:hAnsi="Arial" w:cs="Arial"/>
          <w:color w:val="000000"/>
          <w:lang w:eastAsia="ja-JP"/>
        </w:rPr>
        <w:t xml:space="preserve">). In mosses, the developing sporophyte is protected by an affixed gametophyte calyptra which assists in enabling the correct development of the nascent sporophyte </w:t>
      </w:r>
      <w:r w:rsidRPr="00D431D5">
        <w:rPr>
          <w:rFonts w:ascii="Arial" w:eastAsia="Times New Roman" w:hAnsi="Arial" w:cs="Arial"/>
          <w:color w:val="000000"/>
          <w:lang w:eastAsia="ja-JP"/>
        </w:rPr>
        <w:fldChar w:fldCharType="begin">
          <w:fldData xml:space="preserve">PEVuZE5vdGU+PENpdGU+PEF1dGhvcj5CdWRrZTwvQXV0aG9yPjxZZWFyPjIwMTI8L1llYXI+PElE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=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PEVuZE5vdGU+PENpdGU+PEF1dGhvcj5CdWRrZTwvQXV0aG9yPjxZZWFyPjIwMTI8L1llYXI+PElE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=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(Budke et al., 2012)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As the sporophyte further elongates from the parental gametophore the calyptra loosens and the developing stomata can be visualised on the nascent sporophyte (</w:t>
      </w:r>
      <w:r w:rsidRPr="00D431D5">
        <w:rPr>
          <w:rFonts w:ascii="Arial" w:eastAsia="Times New Roman" w:hAnsi="Arial" w:cs="Arial"/>
          <w:b/>
          <w:color w:val="000000"/>
          <w:lang w:eastAsia="ja-JP"/>
        </w:rPr>
        <w:t xml:space="preserve">Fig. 2C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2c</w:t>
      </w:r>
      <w:r w:rsidRPr="00D431D5">
        <w:rPr>
          <w:rFonts w:ascii="Arial" w:eastAsia="Times New Roman" w:hAnsi="Arial" w:cs="Arial"/>
          <w:color w:val="000000"/>
          <w:lang w:eastAsia="ja-JP"/>
        </w:rPr>
        <w:t>). As the central spore sac starts to fill, the sporophyte expands outwards and open stomatal pores can be clearly seen (</w:t>
      </w:r>
      <w:r w:rsidRPr="00D431D5">
        <w:rPr>
          <w:rFonts w:ascii="Arial" w:eastAsia="Times New Roman" w:hAnsi="Arial" w:cs="Arial"/>
          <w:b/>
          <w:color w:val="000000"/>
          <w:lang w:eastAsia="ja-JP"/>
        </w:rPr>
        <w:t xml:space="preserve">Fig. 2D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2d</w:t>
      </w:r>
      <w:r w:rsidRPr="00D431D5">
        <w:rPr>
          <w:rFonts w:ascii="Arial" w:eastAsia="Times New Roman" w:hAnsi="Arial" w:cs="Arial"/>
          <w:color w:val="000000"/>
          <w:lang w:eastAsia="ja-JP"/>
        </w:rPr>
        <w:t xml:space="preserve">). Such a scenario has also been found to occur at a similar developmental stage in the closely related moss </w:t>
      </w:r>
      <w:r w:rsidRPr="00D431D5">
        <w:rPr>
          <w:rFonts w:ascii="Arial" w:eastAsia="Times New Roman" w:hAnsi="Arial" w:cs="Arial"/>
          <w:i/>
          <w:color w:val="000000"/>
          <w:lang w:eastAsia="ja-JP"/>
        </w:rPr>
        <w:t>Funaria hygrometrica</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r>
      <w:r w:rsidR="001D2DA0">
        <w:rPr>
          <w:rFonts w:ascii="Arial" w:eastAsia="Times New Roman" w:hAnsi="Arial" w:cs="Arial"/>
          <w:color w:val="000000"/>
          <w:lang w:eastAsia="ja-JP"/>
        </w:rPr>
        <w:instrText xml:space="preserve"> ADDIN EN.CITE &lt;EndNote&gt;&lt;Cite&gt;&lt;Author&gt;Merced&lt;/Author&gt;&lt;Year&gt;2016&lt;/Year&gt;&lt;IDText&gt;Patterning of stomata in the moss Funaria: a simple way to space guard cells&lt;/IDText&gt;&lt;DisplayText&gt;(Merced and Renzaglia, 2016)&lt;/DisplayText&gt;&lt;record&gt;&lt;dates&gt;&lt;pub-dates&gt;&lt;date&gt;May&lt;/date&gt;&lt;/pub-dates&gt;&lt;year&gt;2016&lt;/year&gt;&lt;/dates&gt;&lt;keywords&gt;&lt;keyword&gt;Funaria&lt;/keyword&gt;&lt;keyword&gt;GMC&lt;/keyword&gt;&lt;keyword&gt;guard cell&lt;/keyword&gt;&lt;keyword&gt;LM19&lt;/keyword&gt;&lt;keyword&gt;mosses&lt;/keyword&gt;&lt;keyword&gt;immunolocalization&lt;/keyword&gt;&lt;keyword&gt;stomata&lt;/keyword&gt;&lt;keyword&gt;stomatal development&lt;/keyword&gt;&lt;keyword&gt;stomatal patterning&lt;/keyword&gt;&lt;keyword&gt;ultrastructure&lt;/keyword&gt;&lt;keyword&gt;land plants&lt;/keyword&gt;&lt;keyword&gt;mother cell&lt;/keyword&gt;&lt;keyword&gt;evolution&lt;/keyword&gt;&lt;keyword&gt;arabidopsis&lt;/keyword&gt;&lt;keyword&gt;sporophyte&lt;/keyword&gt;&lt;keyword&gt;calyptra&lt;/keyword&gt;&lt;keyword&gt;cuticle&lt;/keyword&gt;&lt;keyword&gt;hygrometrica&lt;/keyword&gt;&lt;keyword&gt;angiosperms&lt;/keyword&gt;&lt;keyword&gt;hornworts&lt;/keyword&gt;&lt;keyword&gt;Plant Sciences&lt;/keyword&gt;&lt;/keywords&gt;&lt;urls&gt;&lt;related-urls&gt;&lt;url&gt;&amp;lt;Go to ISI&amp;gt;://WOS:000376655400004&lt;/url&gt;&lt;/related-urls&gt;&lt;/urls&gt;&lt;isbn&gt;0305-7364&lt;/isbn&gt;&lt;work-type&gt;Article&lt;/work-type&gt;&lt;titles&gt;&lt;title&gt;Patterning of stomata in the moss Funaria: a simple way to space guard cells&lt;/title&gt;&lt;secondary-title&gt;Annals of Botany&lt;/secondary-title&gt;&lt;/titles&gt;&lt;pages&gt;985-994&lt;/pages&gt;&lt;number&gt;6&lt;/number&gt;&lt;contributors&gt;&lt;authors&gt;&lt;author&gt;Merced, A.&lt;/author&gt;&lt;author&gt;Renzaglia, K. S.&lt;/author&gt;&lt;/authors&gt;&lt;/contributors&gt;&lt;language&gt;English&lt;/language&gt;&lt;added-date format="utc"&gt;1472795758&lt;/added-date&gt;&lt;ref-type name="Journal Article"&gt;17&lt;/ref-type&gt;&lt;auth-address&gt;[Merced, Amelia&amp;#xD;Renzaglia, Karen S.] So Illinois Univ, Dept Plant Biol, Carbondale, IL 62901 USA.&amp;#xD;Merced, A (reprint author), So Illinois Univ, Dept Plant Biol, Carbondale, IL 62901 USA.&amp;#xD;ameliamerced@siu.edu&lt;/auth-address&gt;&lt;rec-number&gt;1338&lt;/rec-number&gt;&lt;last-updated-date format="utc"&gt;1472795758&lt;/last-updated-date&gt;&lt;accession-num&gt;WOS:000376655400004&lt;/accession-num&gt;&lt;electronic-resource-num&gt;10.1093/aob/mcw029&lt;/electronic-resource-num&gt;&lt;volume&gt;117&lt;/volume&gt;&lt;/record&gt;&lt;/Cite&gt;&lt;/EndNote&gt;</w:instrText>
      </w:r>
      <w:r w:rsidRPr="00D431D5">
        <w:rPr>
          <w:rFonts w:ascii="Arial" w:eastAsia="Times New Roman" w:hAnsi="Arial" w:cs="Arial"/>
          <w:color w:val="000000"/>
          <w:lang w:eastAsia="ja-JP"/>
        </w:rPr>
        <w:fldChar w:fldCharType="separate"/>
      </w:r>
      <w:r w:rsidR="001D2DA0">
        <w:rPr>
          <w:rFonts w:ascii="Arial" w:eastAsia="Times New Roman" w:hAnsi="Arial" w:cs="Arial"/>
          <w:noProof/>
          <w:color w:val="000000"/>
          <w:lang w:eastAsia="ja-JP"/>
        </w:rPr>
        <w:t>(Merced and Renzaglia, 2016)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w:t>
      </w:r>
    </w:p>
    <w:p w14:paraId="0A0B2F4A"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sectPr w:rsidR="00D431D5" w:rsidRPr="00D431D5" w:rsidSect="001D2DA0">
          <w:footerReference w:type="default" r:id="rId21"/>
          <w:pgSz w:w="11906" w:h="16838"/>
          <w:pgMar w:top="1440" w:right="1440" w:bottom="1440" w:left="2268" w:header="709" w:footer="709" w:gutter="0"/>
          <w:cols w:space="708"/>
          <w:docGrid w:linePitch="360"/>
        </w:sectPr>
      </w:pPr>
      <w:r w:rsidRPr="00D431D5">
        <w:rPr>
          <w:rFonts w:ascii="Arial" w:eastAsia="Times New Roman" w:hAnsi="Arial" w:cs="Arial"/>
          <w:color w:val="000000"/>
          <w:lang w:eastAsia="ja-JP"/>
        </w:rPr>
        <w:t xml:space="preserve">As the developing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sporophyte continues to expand the central spore sac becomes increasingly filled with developing spores causing the sporophyte to become increasingly bulbous. As this is occurring the ring of stomata at the base of the sporophyte begin to transit from being opaque in colour to being filled by an orange to brown substance by the time the sporophyte is fully expanded and ready to dehisce (</w:t>
      </w:r>
      <w:r w:rsidRPr="00D431D5">
        <w:rPr>
          <w:rFonts w:ascii="Arial" w:eastAsia="Times New Roman" w:hAnsi="Arial" w:cs="Arial"/>
          <w:b/>
          <w:color w:val="000000"/>
          <w:lang w:eastAsia="ja-JP"/>
        </w:rPr>
        <w:t xml:space="preserve">Fig. 2E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2</w:t>
      </w:r>
      <w:commentRangeStart w:id="2"/>
      <w:r w:rsidRPr="00D431D5">
        <w:rPr>
          <w:rFonts w:ascii="Arial" w:eastAsia="Times New Roman" w:hAnsi="Arial" w:cs="Arial"/>
          <w:b/>
          <w:color w:val="000000"/>
          <w:lang w:eastAsia="ja-JP"/>
        </w:rPr>
        <w:t>e</w:t>
      </w:r>
      <w:commentRangeEnd w:id="2"/>
      <w:r w:rsidRPr="00D431D5">
        <w:rPr>
          <w:rFonts w:ascii="Arial" w:eastAsia="Times New Roman" w:hAnsi="Arial" w:cs="Arial"/>
          <w:color w:val="000000"/>
          <w:lang w:eastAsia="ja-JP"/>
        </w:rPr>
        <w:commentReference w:id="2"/>
      </w:r>
      <w:r w:rsidRPr="00D431D5">
        <w:rPr>
          <w:rFonts w:ascii="Arial" w:eastAsia="Times New Roman" w:hAnsi="Arial" w:cs="Arial"/>
          <w:color w:val="000000"/>
          <w:lang w:eastAsia="ja-JP"/>
        </w:rPr>
        <w:t>).  After approximately 3 to 4 weeks, the spore sac becomes densely packed leading to full expansion of the sporophyte capsule with stomata that have turned orange (</w:t>
      </w:r>
      <w:r w:rsidRPr="00D431D5">
        <w:rPr>
          <w:rFonts w:ascii="Arial" w:eastAsia="Times New Roman" w:hAnsi="Arial" w:cs="Arial"/>
          <w:b/>
          <w:color w:val="000000"/>
          <w:lang w:eastAsia="ja-JP"/>
        </w:rPr>
        <w:t xml:space="preserve">Fig. 2F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2f</w:t>
      </w:r>
      <w:r w:rsidRPr="00D431D5">
        <w:rPr>
          <w:rFonts w:ascii="Arial" w:eastAsia="Times New Roman" w:hAnsi="Arial" w:cs="Arial"/>
          <w:color w:val="000000"/>
          <w:lang w:eastAsia="ja-JP"/>
        </w:rPr>
        <w:t>). Finally, the maturing sporophyte capsule, which is initially green, changes colour to yellow, then orange and finally brown (</w:t>
      </w:r>
      <w:r w:rsidRPr="00D431D5">
        <w:rPr>
          <w:rFonts w:ascii="Arial" w:eastAsia="Times New Roman" w:hAnsi="Arial" w:cs="Arial"/>
          <w:b/>
          <w:color w:val="000000"/>
          <w:lang w:eastAsia="ja-JP"/>
        </w:rPr>
        <w:t>Fig. 2G</w:t>
      </w:r>
      <w:r w:rsidRPr="00D431D5">
        <w:rPr>
          <w:rFonts w:ascii="Arial" w:eastAsia="Times New Roman" w:hAnsi="Arial" w:cs="Arial"/>
          <w:color w:val="000000"/>
          <w:lang w:eastAsia="ja-JP"/>
        </w:rPr>
        <w:t xml:space="preserve">) prior to dehiscence (lysis) occurring. Immediately prior to </w:t>
      </w:r>
      <w:r w:rsidRPr="00D431D5">
        <w:rPr>
          <w:rFonts w:ascii="Arial" w:eastAsia="Times New Roman" w:hAnsi="Arial" w:cs="Arial"/>
          <w:color w:val="000000"/>
          <w:lang w:eastAsia="ja-JP"/>
        </w:rPr>
        <w:lastRenderedPageBreak/>
        <w:t>dehiscence stomata become brown and under moist conditions tend to be plugged by a waxy substance (</w:t>
      </w:r>
      <w:r w:rsidRPr="00D431D5">
        <w:rPr>
          <w:rFonts w:ascii="Arial" w:eastAsia="Times New Roman" w:hAnsi="Arial" w:cs="Arial"/>
          <w:b/>
          <w:color w:val="000000"/>
          <w:lang w:eastAsia="ja-JP"/>
        </w:rPr>
        <w:t>Fig. 2g</w:t>
      </w:r>
      <w:r w:rsidRPr="00D431D5">
        <w:rPr>
          <w:rFonts w:ascii="Arial" w:eastAsia="Times New Roman" w:hAnsi="Arial" w:cs="Arial"/>
          <w:color w:val="000000"/>
          <w:lang w:eastAsia="ja-JP"/>
        </w:rPr>
        <w:t xml:space="preserve">). </w:t>
      </w:r>
    </w:p>
    <w:p w14:paraId="6A21E752"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noProof/>
          <w:color w:val="000000"/>
          <w:lang w:eastAsia="ja-JP"/>
        </w:rPr>
        <w:lastRenderedPageBreak/>
        <w:drawing>
          <wp:inline distT="0" distB="0" distL="0" distR="0" wp14:anchorId="0B0D19E9" wp14:editId="10A7B5E5">
            <wp:extent cx="8863330" cy="377888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5 .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863330" cy="3778885"/>
                    </a:xfrm>
                    <a:prstGeom prst="rect">
                      <a:avLst/>
                    </a:prstGeom>
                  </pic:spPr>
                </pic:pic>
              </a:graphicData>
            </a:graphic>
          </wp:inline>
        </w:drawing>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Figure 2. Stomatal development during sporophyte development in </w:t>
      </w:r>
      <w:r w:rsidRPr="00D431D5">
        <w:rPr>
          <w:rFonts w:ascii="Arial" w:eastAsia="Times New Roman" w:hAnsi="Arial" w:cs="Arial"/>
          <w:b/>
          <w:i/>
          <w:color w:val="000000"/>
          <w:lang w:eastAsia="ja-JP"/>
        </w:rPr>
        <w:t>P. patens</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xml:space="preserve">) Overview of the developing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sporophyte from pre-fertilisation to fully expanded browned capsule stage.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Close-ups of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illustrating early sporophyte development, and then once formed, stomata and their development in relation to overall sporophyte development. Representative stomata in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are marked with purple arrows.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The mature gametangia (black arrow) atop an excised gametophore.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The archegonia (red arrow) and antheridia (blue arrow) of the gametangia in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Note, the cloud of sperm cells above the antheridia.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xml:space="preserve">) Recently fertilised developing sporophyte (black arrow) </w:t>
      </w:r>
      <w:r w:rsidRPr="00D431D5">
        <w:rPr>
          <w:rFonts w:ascii="Arial" w:eastAsia="Times New Roman" w:hAnsi="Arial" w:cs="Arial"/>
          <w:color w:val="000000"/>
          <w:lang w:eastAsia="ja-JP"/>
        </w:rPr>
        <w:lastRenderedPageBreak/>
        <w:t>with gametophyte calyptra still affixed (yellow arrow).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A close-up of the calyptra sitting atop the gametophyte (yellow arrow)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Elongating sporophyte with a darkened central spore sac becoming visible.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Stomata protruding from the surface of epidermis (purple arrows). (</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 As the sporophyte begins to expand outwards the central spore sac becomes distinct from the surrounding tissue. (</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As expansion of the capsule occurs (</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 stomatal pores can be seen in the central regions of the guard cells (see centrally placed purple arrow).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 As the central spore sac expands the overall shape of the sporophyte becomes more spherical.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 The stomata on expanding sporophyte begin a transition from being translucent to being filled with an orange to brown substance. (</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 A Fully expanded green sporophyte with maturing spores. (</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 The guard cells are now orange in colour as the sporophyte is maturing. (</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The fully expanded sporophyte capsule is browned indicating that the internal spores are matured. (</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Like the sporophyte capsule the colour of stomata increasingly browns as the capsule development. The scales in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equate to 500µm, in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xml:space="preserve">) equate to 50µm. </w:t>
      </w:r>
    </w:p>
    <w:p w14:paraId="31B432E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69114990"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5740195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sectPr w:rsidR="00D431D5" w:rsidRPr="00D431D5" w:rsidSect="00D431D5">
          <w:pgSz w:w="16838" w:h="11906" w:orient="landscape"/>
          <w:pgMar w:top="1440" w:right="1440" w:bottom="2268" w:left="1440" w:header="709" w:footer="709" w:gutter="0"/>
          <w:cols w:space="708"/>
          <w:docGrid w:linePitch="360"/>
        </w:sectPr>
      </w:pPr>
    </w:p>
    <w:p w14:paraId="5119EEE2" w14:textId="05DAE44C" w:rsidR="00D431D5" w:rsidRPr="00D431D5" w:rsidRDefault="00D431D5" w:rsidP="00D431D5">
      <w:pPr>
        <w:tabs>
          <w:tab w:val="left" w:pos="6663"/>
        </w:tabs>
        <w:spacing w:after="160" w:line="360" w:lineRule="auto"/>
        <w:rPr>
          <w:rFonts w:ascii="Arial" w:eastAsia="Times New Roman" w:hAnsi="Arial" w:cs="Arial"/>
          <w:color w:val="000000"/>
          <w:u w:val="single"/>
          <w:lang w:eastAsia="ja-JP"/>
        </w:rPr>
      </w:pPr>
      <w:r w:rsidRPr="00D431D5">
        <w:rPr>
          <w:rFonts w:ascii="Arial" w:eastAsia="Times New Roman" w:hAnsi="Arial" w:cs="Arial"/>
          <w:color w:val="000000"/>
          <w:u w:val="single"/>
          <w:lang w:eastAsia="ja-JP"/>
        </w:rPr>
        <w:lastRenderedPageBreak/>
        <w:t>3.2.2 Stomatal developmental on</w:t>
      </w:r>
      <w:r w:rsidR="00847DDD">
        <w:rPr>
          <w:rFonts w:ascii="Arial" w:eastAsia="Times New Roman" w:hAnsi="Arial" w:cs="Arial"/>
          <w:color w:val="000000"/>
          <w:u w:val="single"/>
          <w:lang w:eastAsia="ja-JP"/>
        </w:rPr>
        <w:t>togeny</w:t>
      </w:r>
      <w:r w:rsidRPr="00D431D5">
        <w:rPr>
          <w:rFonts w:ascii="Arial" w:eastAsia="Times New Roman" w:hAnsi="Arial" w:cs="Arial"/>
          <w:color w:val="000000"/>
          <w:u w:val="single"/>
          <w:lang w:eastAsia="ja-JP"/>
        </w:rPr>
        <w:t xml:space="preserve"> in wild-type </w:t>
      </w:r>
      <w:r w:rsidRPr="00D431D5">
        <w:rPr>
          <w:rFonts w:ascii="Arial" w:eastAsia="Times New Roman" w:hAnsi="Arial" w:cs="Arial"/>
          <w:i/>
          <w:color w:val="000000"/>
          <w:u w:val="single"/>
          <w:lang w:eastAsia="ja-JP"/>
        </w:rPr>
        <w:t>P. patens</w:t>
      </w:r>
    </w:p>
    <w:p w14:paraId="6AEE35BB" w14:textId="4A720D1D" w:rsidR="00D431D5" w:rsidRPr="00D431D5" w:rsidRDefault="00847DDD" w:rsidP="00D431D5">
      <w:pPr>
        <w:tabs>
          <w:tab w:val="left" w:pos="6663"/>
        </w:tabs>
        <w:spacing w:after="160" w:line="360" w:lineRule="auto"/>
        <w:rPr>
          <w:rFonts w:ascii="Arial" w:eastAsia="Times New Roman" w:hAnsi="Arial" w:cs="Arial"/>
          <w:color w:val="000000"/>
          <w:u w:val="single"/>
          <w:lang w:eastAsia="ja-JP"/>
        </w:rPr>
      </w:pPr>
      <w:r>
        <w:rPr>
          <w:rFonts w:ascii="Arial" w:eastAsia="Times New Roman" w:hAnsi="Arial" w:cs="Arial"/>
          <w:color w:val="000000"/>
          <w:lang w:eastAsia="ja-JP"/>
        </w:rPr>
        <w:t>The ontogeny</w:t>
      </w:r>
      <w:r w:rsidR="00D431D5" w:rsidRPr="00D431D5">
        <w:rPr>
          <w:rFonts w:ascii="Arial" w:eastAsia="Times New Roman" w:hAnsi="Arial" w:cs="Arial"/>
          <w:color w:val="000000"/>
          <w:lang w:eastAsia="ja-JP"/>
        </w:rPr>
        <w:t xml:space="preserve"> of </w:t>
      </w:r>
      <w:r w:rsidR="00D431D5" w:rsidRPr="00D431D5">
        <w:rPr>
          <w:rFonts w:ascii="Arial" w:eastAsia="Times New Roman" w:hAnsi="Arial" w:cs="Arial"/>
          <w:i/>
          <w:color w:val="000000"/>
          <w:lang w:eastAsia="ja-JP"/>
        </w:rPr>
        <w:t xml:space="preserve">P. patens </w:t>
      </w:r>
      <w:r w:rsidR="00D431D5" w:rsidRPr="00D431D5">
        <w:rPr>
          <w:rFonts w:ascii="Arial" w:eastAsia="Times New Roman" w:hAnsi="Arial" w:cs="Arial"/>
          <w:color w:val="000000"/>
          <w:lang w:eastAsia="ja-JP"/>
        </w:rPr>
        <w:t xml:space="preserve">stomatal development has been suggested to be quite simple, akin to a recent study in </w:t>
      </w:r>
      <w:r w:rsidR="00D431D5" w:rsidRPr="00D431D5">
        <w:rPr>
          <w:rFonts w:ascii="Arial" w:eastAsia="Times New Roman" w:hAnsi="Arial" w:cs="Arial"/>
          <w:i/>
          <w:color w:val="000000"/>
          <w:lang w:eastAsia="ja-JP"/>
        </w:rPr>
        <w:t xml:space="preserve">F. hygrometrica </w:t>
      </w:r>
      <w:r w:rsidR="00D431D5" w:rsidRPr="00D431D5">
        <w:rPr>
          <w:rFonts w:ascii="Arial" w:eastAsia="Times New Roman" w:hAnsi="Arial" w:cs="Arial"/>
          <w:color w:val="000000"/>
          <w:lang w:eastAsia="ja-JP"/>
        </w:rPr>
        <w:fldChar w:fldCharType="begin"/>
      </w:r>
      <w:r w:rsidR="001D2DA0">
        <w:rPr>
          <w:rFonts w:ascii="Arial" w:eastAsia="Times New Roman" w:hAnsi="Arial" w:cs="Arial"/>
          <w:color w:val="000000"/>
          <w:lang w:eastAsia="ja-JP"/>
        </w:rPr>
        <w:instrText xml:space="preserve"> ADDIN EN.CITE &lt;EndNote&gt;&lt;Cite&gt;&lt;Author&gt;Merced&lt;/Author&gt;&lt;Year&gt;2016&lt;/Year&gt;&lt;IDText&gt;Patterning of stomata in the moss Funaria: a simple way to space guard cells&lt;/IDText&gt;&lt;DisplayText&gt;(Merced and Renzaglia, 2016)&lt;/DisplayText&gt;&lt;record&gt;&lt;dates&gt;&lt;pub-dates&gt;&lt;date&gt;May&lt;/date&gt;&lt;/pub-dates&gt;&lt;year&gt;2016&lt;/year&gt;&lt;/dates&gt;&lt;keywords&gt;&lt;keyword&gt;Funaria&lt;/keyword&gt;&lt;keyword&gt;GMC&lt;/keyword&gt;&lt;keyword&gt;guard cell&lt;/keyword&gt;&lt;keyword&gt;LM19&lt;/keyword&gt;&lt;keyword&gt;mosses&lt;/keyword&gt;&lt;keyword&gt;immunolocalization&lt;/keyword&gt;&lt;keyword&gt;stomata&lt;/keyword&gt;&lt;keyword&gt;stomatal development&lt;/keyword&gt;&lt;keyword&gt;stomatal patterning&lt;/keyword&gt;&lt;keyword&gt;ultrastructure&lt;/keyword&gt;&lt;keyword&gt;land plants&lt;/keyword&gt;&lt;keyword&gt;mother cell&lt;/keyword&gt;&lt;keyword&gt;evolution&lt;/keyword&gt;&lt;keyword&gt;arabidopsis&lt;/keyword&gt;&lt;keyword&gt;sporophyte&lt;/keyword&gt;&lt;keyword&gt;calyptra&lt;/keyword&gt;&lt;keyword&gt;cuticle&lt;/keyword&gt;&lt;keyword&gt;hygrometrica&lt;/keyword&gt;&lt;keyword&gt;angiosperms&lt;/keyword&gt;&lt;keyword&gt;hornworts&lt;/keyword&gt;&lt;keyword&gt;Plant Sciences&lt;/keyword&gt;&lt;/keywords&gt;&lt;urls&gt;&lt;related-urls&gt;&lt;url&gt;&amp;lt;Go to ISI&amp;gt;://WOS:000376655400004&lt;/url&gt;&lt;/related-urls&gt;&lt;/urls&gt;&lt;isbn&gt;0305-7364&lt;/isbn&gt;&lt;work-type&gt;Article&lt;/work-type&gt;&lt;titles&gt;&lt;title&gt;Patterning of stomata in the moss Funaria: a simple way to space guard cells&lt;/title&gt;&lt;secondary-title&gt;Annals of Botany&lt;/secondary-title&gt;&lt;/titles&gt;&lt;pages&gt;985-994&lt;/pages&gt;&lt;number&gt;6&lt;/number&gt;&lt;contributors&gt;&lt;authors&gt;&lt;author&gt;Merced, A.&lt;/author&gt;&lt;author&gt;Renzaglia, K. S.&lt;/author&gt;&lt;/authors&gt;&lt;/contributors&gt;&lt;language&gt;English&lt;/language&gt;&lt;added-date format="utc"&gt;1472795758&lt;/added-date&gt;&lt;ref-type name="Journal Article"&gt;17&lt;/ref-type&gt;&lt;auth-address&gt;[Merced, Amelia&amp;#xD;Renzaglia, Karen S.] So Illinois Univ, Dept Plant Biol, Carbondale, IL 62901 USA.&amp;#xD;Merced, A (reprint author), So Illinois Univ, Dept Plant Biol, Carbondale, IL 62901 USA.&amp;#xD;ameliamerced@siu.edu&lt;/auth-address&gt;&lt;rec-number&gt;1338&lt;/rec-number&gt;&lt;last-updated-date format="utc"&gt;1472795758&lt;/last-updated-date&gt;&lt;accession-num&gt;WOS:000376655400004&lt;/accession-num&gt;&lt;electronic-resource-num&gt;10.1093/aob/mcw029&lt;/electronic-resource-num&gt;&lt;volume&gt;117&lt;/volume&gt;&lt;/record&gt;&lt;/Cite&gt;&lt;/EndNote&gt;</w:instrText>
      </w:r>
      <w:r w:rsidR="00D431D5" w:rsidRPr="00D431D5">
        <w:rPr>
          <w:rFonts w:ascii="Arial" w:eastAsia="Times New Roman" w:hAnsi="Arial" w:cs="Arial"/>
          <w:color w:val="000000"/>
          <w:lang w:eastAsia="ja-JP"/>
        </w:rPr>
        <w:fldChar w:fldCharType="separate"/>
      </w:r>
      <w:r w:rsidR="001D2DA0">
        <w:rPr>
          <w:rFonts w:ascii="Arial" w:eastAsia="Times New Roman" w:hAnsi="Arial" w:cs="Arial"/>
          <w:noProof/>
          <w:color w:val="000000"/>
          <w:lang w:eastAsia="ja-JP"/>
        </w:rPr>
        <w:t>(Merced and Renzaglia, 2016)</w:t>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t xml:space="preserve">. The current view is that from protodermal cells enlarged GMCs form which subsequently undergo an incomplete symmetric division, yielding  a single undivided guard cell </w:t>
      </w:r>
      <w:r w:rsidR="00D431D5" w:rsidRPr="00D431D5">
        <w:rPr>
          <w:rFonts w:ascii="Arial" w:eastAsia="Times New Roman" w:hAnsi="Arial" w:cs="Arial"/>
          <w:color w:val="000000"/>
          <w:lang w:eastAsia="ja-JP"/>
        </w:rPr>
        <w:fldChar w:fldCharType="begin">
          <w:fldData xml:space="preserve">PEVuZE5vdGU+PENpdGU+PEF1dGhvcj5WYXRlbjwvQXV0aG9yPjxZZWFyPjIwMTI8L1llYXI+PElE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</w:fldData>
        </w:fldChar>
      </w:r>
      <w:r w:rsidR="001D2DA0">
        <w:rPr>
          <w:rFonts w:ascii="Arial" w:eastAsia="Times New Roman" w:hAnsi="Arial" w:cs="Arial"/>
          <w:color w:val="000000"/>
          <w:lang w:eastAsia="ja-JP"/>
        </w:rPr>
        <w:instrText xml:space="preserve"> ADDIN EN.CITE </w:instrText>
      </w:r>
      <w:r w:rsidR="001D2DA0">
        <w:rPr>
          <w:rFonts w:ascii="Arial" w:eastAsia="Times New Roman" w:hAnsi="Arial" w:cs="Arial"/>
          <w:color w:val="000000"/>
          <w:lang w:eastAsia="ja-JP"/>
        </w:rPr>
        <w:fldChar w:fldCharType="begin">
          <w:fldData xml:space="preserve">PEVuZE5vdGU+PENpdGU+PEF1dGhvcj5WYXRlbjwvQXV0aG9yPjxZZWFyPjIwMTI8L1llYXI+PElE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</w:fldData>
        </w:fldChar>
      </w:r>
      <w:r w:rsidR="001D2DA0">
        <w:rPr>
          <w:rFonts w:ascii="Arial" w:eastAsia="Times New Roman" w:hAnsi="Arial" w:cs="Arial"/>
          <w:color w:val="000000"/>
          <w:lang w:eastAsia="ja-JP"/>
        </w:rPr>
        <w:instrText xml:space="preserve"> ADDIN EN.CITE.DATA </w:instrText>
      </w:r>
      <w:r w:rsidR="001D2DA0">
        <w:rPr>
          <w:rFonts w:ascii="Arial" w:eastAsia="Times New Roman" w:hAnsi="Arial" w:cs="Arial"/>
          <w:color w:val="000000"/>
          <w:lang w:eastAsia="ja-JP"/>
        </w:rPr>
      </w:r>
      <w:r w:rsidR="001D2DA0">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r>
      <w:r w:rsidR="00D431D5" w:rsidRPr="00D431D5">
        <w:rPr>
          <w:rFonts w:ascii="Arial" w:eastAsia="Times New Roman" w:hAnsi="Arial" w:cs="Arial"/>
          <w:color w:val="000000"/>
          <w:lang w:eastAsia="ja-JP"/>
        </w:rPr>
        <w:fldChar w:fldCharType="separate"/>
      </w:r>
      <w:r w:rsidR="001D2DA0">
        <w:rPr>
          <w:rFonts w:ascii="Arial" w:eastAsia="Times New Roman" w:hAnsi="Arial" w:cs="Arial"/>
          <w:noProof/>
          <w:color w:val="000000"/>
          <w:lang w:eastAsia="ja-JP"/>
        </w:rPr>
        <w:t>(Merced and Renzaglia, 2016; Vaten and Bergmann, 2012)</w:t>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t xml:space="preserve">. If this is indeed the mode of stomatal development used by </w:t>
      </w:r>
      <w:r w:rsidR="00D431D5" w:rsidRPr="00D431D5">
        <w:rPr>
          <w:rFonts w:ascii="Arial" w:eastAsia="Times New Roman" w:hAnsi="Arial" w:cs="Arial"/>
          <w:i/>
          <w:color w:val="000000"/>
          <w:lang w:eastAsia="ja-JP"/>
        </w:rPr>
        <w:t xml:space="preserve">P. patens, </w:t>
      </w:r>
      <w:r w:rsidR="00D431D5" w:rsidRPr="00D431D5">
        <w:rPr>
          <w:rFonts w:ascii="Arial" w:eastAsia="Times New Roman" w:hAnsi="Arial" w:cs="Arial"/>
          <w:color w:val="000000"/>
          <w:lang w:eastAsia="ja-JP"/>
        </w:rPr>
        <w:t xml:space="preserve">then such stomata are perigenous, i.e., guard cells in </w:t>
      </w:r>
      <w:r w:rsidR="00D431D5" w:rsidRPr="00D431D5">
        <w:rPr>
          <w:rFonts w:ascii="Arial" w:eastAsia="Times New Roman" w:hAnsi="Arial" w:cs="Arial"/>
          <w:i/>
          <w:color w:val="000000"/>
          <w:lang w:eastAsia="ja-JP"/>
        </w:rPr>
        <w:t xml:space="preserve">P. patens </w:t>
      </w:r>
      <w:r w:rsidR="00D431D5" w:rsidRPr="00D431D5">
        <w:rPr>
          <w:rFonts w:ascii="Arial" w:eastAsia="Times New Roman" w:hAnsi="Arial" w:cs="Arial"/>
          <w:color w:val="000000"/>
          <w:lang w:eastAsia="ja-JP"/>
        </w:rPr>
        <w:t xml:space="preserve">do not have any bordering cells derived from the same stomatal lineage as the guard cell </w:t>
      </w:r>
      <w:r w:rsidR="00D431D5" w:rsidRPr="00D431D5">
        <w:rPr>
          <w:rFonts w:ascii="Arial" w:eastAsia="Times New Roman" w:hAnsi="Arial" w:cs="Arial"/>
          <w:color w:val="000000"/>
          <w:lang w:eastAsia="ja-JP"/>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SURUZXh0PjxEaXNwbGF5VGV4dD4oUnVkYWxsIGV0IGFsLiwgMjAxMyk8L0Rpc3BsYXlUZXh0Pjxy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</w:fldData>
        </w:fldChar>
      </w:r>
      <w:r w:rsidR="00D431D5" w:rsidRPr="00D431D5">
        <w:rPr>
          <w:rFonts w:ascii="Arial" w:eastAsia="Times New Roman" w:hAnsi="Arial" w:cs="Arial"/>
          <w:color w:val="000000"/>
          <w:lang w:eastAsia="ja-JP"/>
        </w:rPr>
        <w:instrText xml:space="preserve"> ADDIN EN.CITE </w:instrText>
      </w:r>
      <w:r w:rsidR="00D431D5" w:rsidRPr="00D431D5">
        <w:rPr>
          <w:rFonts w:ascii="Arial" w:eastAsia="Times New Roman" w:hAnsi="Arial" w:cs="Arial"/>
          <w:color w:val="000000"/>
          <w:lang w:eastAsia="ja-JP"/>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SURUZXh0PjxEaXNwbGF5VGV4dD4oUnVkYWxsIGV0IGFsLiwgMjAxMyk8L0Rpc3BsYXlUZXh0Pjxy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</w:fldData>
        </w:fldChar>
      </w:r>
      <w:r w:rsidR="00D431D5" w:rsidRPr="00D431D5">
        <w:rPr>
          <w:rFonts w:ascii="Arial" w:eastAsia="Times New Roman" w:hAnsi="Arial" w:cs="Arial"/>
          <w:color w:val="000000"/>
          <w:lang w:eastAsia="ja-JP"/>
        </w:rPr>
        <w:instrText xml:space="preserve"> ADDIN EN.CITE.DATA </w:instrText>
      </w:r>
      <w:r w:rsidR="00D431D5" w:rsidRPr="00D431D5">
        <w:rPr>
          <w:rFonts w:ascii="Arial" w:eastAsia="Times New Roman" w:hAnsi="Arial" w:cs="Arial"/>
          <w:color w:val="000000"/>
          <w:lang w:eastAsia="ja-JP"/>
        </w:rPr>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r>
      <w:r w:rsidR="00D431D5" w:rsidRPr="00D431D5">
        <w:rPr>
          <w:rFonts w:ascii="Arial" w:eastAsia="Times New Roman" w:hAnsi="Arial" w:cs="Arial"/>
          <w:color w:val="000000"/>
          <w:lang w:eastAsia="ja-JP"/>
        </w:rPr>
        <w:fldChar w:fldCharType="separate"/>
      </w:r>
      <w:r w:rsidR="00D431D5" w:rsidRPr="00D431D5">
        <w:rPr>
          <w:rFonts w:ascii="Arial" w:eastAsia="Times New Roman" w:hAnsi="Arial" w:cs="Arial"/>
          <w:color w:val="000000"/>
          <w:lang w:eastAsia="ja-JP"/>
        </w:rPr>
        <w:t>(Rudall et al., 2013)</w:t>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t xml:space="preserve">. As well as being simple in their development it has been further suggested that </w:t>
      </w:r>
      <w:r w:rsidR="00D431D5" w:rsidRPr="00D431D5">
        <w:rPr>
          <w:rFonts w:ascii="Arial" w:eastAsia="Times New Roman" w:hAnsi="Arial" w:cs="Arial"/>
          <w:i/>
          <w:color w:val="000000"/>
          <w:lang w:eastAsia="ja-JP"/>
        </w:rPr>
        <w:t xml:space="preserve">P. patens </w:t>
      </w:r>
      <w:r w:rsidR="00D431D5" w:rsidRPr="00D431D5">
        <w:rPr>
          <w:rFonts w:ascii="Arial" w:eastAsia="Times New Roman" w:hAnsi="Arial" w:cs="Arial"/>
          <w:color w:val="000000"/>
          <w:lang w:eastAsia="ja-JP"/>
        </w:rPr>
        <w:t xml:space="preserve">stomata are anomocytic because they are not bordered by specialised subsidiary cells </w:t>
      </w:r>
      <w:r w:rsidR="00D431D5" w:rsidRPr="00D431D5">
        <w:rPr>
          <w:rFonts w:ascii="Arial" w:eastAsia="Times New Roman" w:hAnsi="Arial" w:cs="Arial"/>
          <w:color w:val="000000"/>
          <w:lang w:eastAsia="ja-JP"/>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SURUZXh0PjxEaXNwbGF5VGV4dD4oUnVkYWxsIGV0IGFsLiwgMjAxMyk8L0Rpc3BsYXlUZXh0Pjxy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</w:fldData>
        </w:fldChar>
      </w:r>
      <w:r w:rsidR="00D431D5" w:rsidRPr="00D431D5">
        <w:rPr>
          <w:rFonts w:ascii="Arial" w:eastAsia="Times New Roman" w:hAnsi="Arial" w:cs="Arial"/>
          <w:color w:val="000000"/>
          <w:lang w:eastAsia="ja-JP"/>
        </w:rPr>
        <w:instrText xml:space="preserve"> ADDIN EN.CITE </w:instrText>
      </w:r>
      <w:r w:rsidR="00D431D5" w:rsidRPr="00D431D5">
        <w:rPr>
          <w:rFonts w:ascii="Arial" w:eastAsia="Times New Roman" w:hAnsi="Arial" w:cs="Arial"/>
          <w:color w:val="000000"/>
          <w:lang w:eastAsia="ja-JP"/>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SURUZXh0PjxEaXNwbGF5VGV4dD4oUnVkYWxsIGV0IGFsLiwgMjAxMyk8L0Rpc3BsYXlUZXh0Pjxy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</w:fldData>
        </w:fldChar>
      </w:r>
      <w:r w:rsidR="00D431D5" w:rsidRPr="00D431D5">
        <w:rPr>
          <w:rFonts w:ascii="Arial" w:eastAsia="Times New Roman" w:hAnsi="Arial" w:cs="Arial"/>
          <w:color w:val="000000"/>
          <w:lang w:eastAsia="ja-JP"/>
        </w:rPr>
        <w:instrText xml:space="preserve"> ADDIN EN.CITE.DATA </w:instrText>
      </w:r>
      <w:r w:rsidR="00D431D5" w:rsidRPr="00D431D5">
        <w:rPr>
          <w:rFonts w:ascii="Arial" w:eastAsia="Times New Roman" w:hAnsi="Arial" w:cs="Arial"/>
          <w:color w:val="000000"/>
          <w:lang w:eastAsia="ja-JP"/>
        </w:rPr>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r>
      <w:r w:rsidR="00D431D5" w:rsidRPr="00D431D5">
        <w:rPr>
          <w:rFonts w:ascii="Arial" w:eastAsia="Times New Roman" w:hAnsi="Arial" w:cs="Arial"/>
          <w:color w:val="000000"/>
          <w:lang w:eastAsia="ja-JP"/>
        </w:rPr>
        <w:fldChar w:fldCharType="separate"/>
      </w:r>
      <w:r w:rsidR="00D431D5" w:rsidRPr="00D431D5">
        <w:rPr>
          <w:rFonts w:ascii="Arial" w:eastAsia="Times New Roman" w:hAnsi="Arial" w:cs="Arial"/>
          <w:color w:val="000000"/>
          <w:lang w:eastAsia="ja-JP"/>
        </w:rPr>
        <w:t>(Rudall et al., 2013)</w:t>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t xml:space="preserve">. To verify the assumptions made regarding </w:t>
      </w:r>
      <w:r w:rsidR="00D431D5" w:rsidRPr="00D431D5">
        <w:rPr>
          <w:rFonts w:ascii="Arial" w:eastAsia="Times New Roman" w:hAnsi="Arial" w:cs="Arial"/>
          <w:i/>
          <w:color w:val="000000"/>
          <w:lang w:eastAsia="ja-JP"/>
        </w:rPr>
        <w:t xml:space="preserve">P. patens </w:t>
      </w:r>
      <w:r w:rsidR="00D431D5" w:rsidRPr="00D431D5">
        <w:rPr>
          <w:rFonts w:ascii="Arial" w:eastAsia="Times New Roman" w:hAnsi="Arial" w:cs="Arial"/>
          <w:color w:val="000000"/>
          <w:lang w:eastAsia="ja-JP"/>
        </w:rPr>
        <w:t xml:space="preserve">stomatal development and to try to identify whether any stomatal lineage cells precede GMC formation akin to meristemoid or MMC cells in Arabidopsis observations have been undertaken to more clearly understand how </w:t>
      </w:r>
      <w:r w:rsidR="00D431D5" w:rsidRPr="00D431D5">
        <w:rPr>
          <w:rFonts w:ascii="Arial" w:eastAsia="Times New Roman" w:hAnsi="Arial" w:cs="Arial"/>
          <w:i/>
          <w:color w:val="000000"/>
          <w:lang w:eastAsia="ja-JP"/>
        </w:rPr>
        <w:t xml:space="preserve">P. patens </w:t>
      </w:r>
      <w:r w:rsidR="00D431D5" w:rsidRPr="00D431D5">
        <w:rPr>
          <w:rFonts w:ascii="Arial" w:eastAsia="Times New Roman" w:hAnsi="Arial" w:cs="Arial"/>
          <w:color w:val="000000"/>
          <w:lang w:eastAsia="ja-JP"/>
        </w:rPr>
        <w:t>stomata actually develop (</w:t>
      </w:r>
      <w:r w:rsidR="00D431D5" w:rsidRPr="00D431D5">
        <w:rPr>
          <w:rFonts w:ascii="Arial" w:eastAsia="Times New Roman" w:hAnsi="Arial" w:cs="Arial"/>
          <w:b/>
          <w:color w:val="000000"/>
          <w:lang w:eastAsia="ja-JP"/>
        </w:rPr>
        <w:t>Fig. 3</w:t>
      </w:r>
      <w:r w:rsidR="00D431D5" w:rsidRPr="00D431D5">
        <w:rPr>
          <w:rFonts w:ascii="Arial" w:eastAsia="Times New Roman" w:hAnsi="Arial" w:cs="Arial"/>
          <w:color w:val="000000"/>
          <w:lang w:eastAsia="ja-JP"/>
        </w:rPr>
        <w:commentReference w:id="3"/>
      </w:r>
      <w:r w:rsidR="00D431D5" w:rsidRPr="00D431D5">
        <w:rPr>
          <w:rFonts w:ascii="Arial" w:eastAsia="Times New Roman" w:hAnsi="Arial" w:cs="Arial"/>
          <w:color w:val="000000"/>
          <w:lang w:eastAsia="ja-JP"/>
        </w:rPr>
        <w:t>).</w:t>
      </w:r>
    </w:p>
    <w:p w14:paraId="4F903AC6"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To try to verify exactly when stomata development first occurs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and to try to capture the first traces of stomatal lineage activity very immature developing sporophytes were dissected and the central calyptra was excised (</w:t>
      </w:r>
      <w:r w:rsidRPr="00D431D5">
        <w:rPr>
          <w:rFonts w:ascii="Arial" w:eastAsia="Times New Roman" w:hAnsi="Arial" w:cs="Arial"/>
          <w:b/>
          <w:color w:val="000000"/>
          <w:lang w:eastAsia="ja-JP"/>
        </w:rPr>
        <w:t xml:space="preserve">Fig. 3a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 xml:space="preserve">3b, </w:t>
      </w:r>
      <w:r w:rsidRPr="00D431D5">
        <w:rPr>
          <w:rFonts w:ascii="Arial" w:eastAsia="Times New Roman" w:hAnsi="Arial" w:cs="Arial"/>
          <w:color w:val="000000"/>
          <w:lang w:eastAsia="ja-JP"/>
        </w:rPr>
        <w:t xml:space="preserve">sporophyte equivalent to </w:t>
      </w:r>
      <w:r w:rsidRPr="00D431D5">
        <w:rPr>
          <w:rFonts w:ascii="Arial" w:eastAsia="Times New Roman" w:hAnsi="Arial" w:cs="Arial"/>
          <w:b/>
          <w:color w:val="000000"/>
          <w:lang w:eastAsia="ja-JP"/>
        </w:rPr>
        <w:t>Fig. 2B</w:t>
      </w:r>
      <w:r w:rsidRPr="00D431D5">
        <w:rPr>
          <w:rFonts w:ascii="Arial" w:eastAsia="Times New Roman" w:hAnsi="Arial" w:cs="Arial"/>
          <w:color w:val="000000"/>
          <w:lang w:eastAsia="ja-JP"/>
        </w:rPr>
        <w:t xml:space="preserve">). At this very early stage of sporophyte development there are no clearly visible GMCs or apparent pre-cursor cells. Next, slightly larger sporophytes which had further elongated from the parental gametophore which were just beginning to expand where studied in relation to their stomatal development (sporophytes ranging in size from </w:t>
      </w:r>
      <w:r w:rsidRPr="00D431D5">
        <w:rPr>
          <w:rFonts w:ascii="Arial" w:eastAsia="Times New Roman" w:hAnsi="Arial" w:cs="Arial"/>
          <w:b/>
          <w:color w:val="000000"/>
          <w:lang w:eastAsia="ja-JP"/>
        </w:rPr>
        <w:t xml:space="preserve">Fig. 2C </w:t>
      </w:r>
      <w:r w:rsidRPr="00D431D5">
        <w:rPr>
          <w:rFonts w:ascii="Arial" w:eastAsia="Times New Roman" w:hAnsi="Arial" w:cs="Arial"/>
          <w:color w:val="000000"/>
          <w:lang w:eastAsia="ja-JP"/>
        </w:rPr>
        <w:t xml:space="preserve">to </w:t>
      </w:r>
      <w:r w:rsidRPr="00D431D5">
        <w:rPr>
          <w:rFonts w:ascii="Arial" w:eastAsia="Times New Roman" w:hAnsi="Arial" w:cs="Arial"/>
          <w:b/>
          <w:color w:val="000000"/>
          <w:lang w:eastAsia="ja-JP"/>
        </w:rPr>
        <w:t>2D</w:t>
      </w:r>
      <w:r w:rsidRPr="00D431D5">
        <w:rPr>
          <w:rFonts w:ascii="Arial" w:eastAsia="Times New Roman" w:hAnsi="Arial" w:cs="Arial"/>
          <w:color w:val="000000"/>
          <w:lang w:eastAsia="ja-JP"/>
        </w:rPr>
        <w:t xml:space="preserve"> and </w:t>
      </w:r>
      <w:r w:rsidRPr="00D431D5">
        <w:rPr>
          <w:rFonts w:ascii="Arial" w:eastAsia="Times New Roman" w:hAnsi="Arial" w:cs="Arial"/>
          <w:b/>
          <w:color w:val="000000"/>
          <w:lang w:eastAsia="ja-JP"/>
        </w:rPr>
        <w:t>Fig. 3c</w:t>
      </w:r>
      <w:r w:rsidRPr="00D431D5">
        <w:rPr>
          <w:rFonts w:ascii="Arial" w:eastAsia="Times New Roman" w:hAnsi="Arial" w:cs="Arial"/>
          <w:color w:val="000000"/>
          <w:lang w:eastAsia="ja-JP"/>
        </w:rPr>
        <w:t xml:space="preserve"> and </w:t>
      </w:r>
      <w:r w:rsidRPr="00D431D5">
        <w:rPr>
          <w:rFonts w:ascii="Arial" w:eastAsia="Times New Roman" w:hAnsi="Arial" w:cs="Arial"/>
          <w:b/>
          <w:color w:val="000000"/>
          <w:lang w:eastAsia="ja-JP"/>
        </w:rPr>
        <w:t>3d</w:t>
      </w:r>
      <w:r w:rsidRPr="00D431D5">
        <w:rPr>
          <w:rFonts w:ascii="Arial" w:eastAsia="Times New Roman" w:hAnsi="Arial" w:cs="Arial"/>
          <w:color w:val="000000"/>
          <w:lang w:eastAsia="ja-JP"/>
        </w:rPr>
        <w:t>). It was found at this developmental stage that, as well as nascent stomata, a range of other apparent stomatal lineage cell types were apparent (</w:t>
      </w:r>
      <w:r w:rsidRPr="00D431D5">
        <w:rPr>
          <w:rFonts w:ascii="Arial" w:eastAsia="Times New Roman" w:hAnsi="Arial" w:cs="Arial"/>
          <w:b/>
          <w:color w:val="000000"/>
          <w:lang w:eastAsia="ja-JP"/>
        </w:rPr>
        <w:t>Fig. 3e</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 These putatively included smaller round cells that had not expanded which were neighboured by epidermal cells that were placed radially to the small central rounded cell (</w:t>
      </w:r>
      <w:r w:rsidRPr="00D431D5">
        <w:rPr>
          <w:rFonts w:ascii="Arial" w:eastAsia="Times New Roman" w:hAnsi="Arial" w:cs="Arial"/>
          <w:b/>
          <w:color w:val="000000"/>
          <w:lang w:eastAsia="ja-JP"/>
        </w:rPr>
        <w:t xml:space="preserve">Fig. 3e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3i</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3l</w:t>
      </w:r>
      <w:r w:rsidRPr="00D431D5">
        <w:rPr>
          <w:rFonts w:ascii="Arial" w:eastAsia="Times New Roman" w:hAnsi="Arial" w:cs="Arial"/>
          <w:color w:val="000000"/>
          <w:lang w:eastAsia="ja-JP"/>
        </w:rPr>
        <w:t xml:space="preserve"> (blue dots)) and expanded GMC cells also with neatly placed neighbouring epidermal cells (</w:t>
      </w:r>
      <w:r w:rsidRPr="00D431D5">
        <w:rPr>
          <w:rFonts w:ascii="Arial" w:eastAsia="Times New Roman" w:hAnsi="Arial" w:cs="Arial"/>
          <w:b/>
          <w:color w:val="000000"/>
          <w:lang w:eastAsia="ja-JP"/>
        </w:rPr>
        <w:t>Fig. 3f</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h</w:t>
      </w:r>
      <w:r w:rsidRPr="00D431D5">
        <w:rPr>
          <w:rFonts w:ascii="Arial" w:eastAsia="Times New Roman" w:hAnsi="Arial" w:cs="Arial"/>
          <w:color w:val="000000"/>
          <w:lang w:eastAsia="ja-JP"/>
        </w:rPr>
        <w:t xml:space="preserve"> and </w:t>
      </w:r>
      <w:r w:rsidRPr="00D431D5">
        <w:rPr>
          <w:rFonts w:ascii="Arial" w:eastAsia="Times New Roman" w:hAnsi="Arial" w:cs="Arial"/>
          <w:b/>
          <w:color w:val="000000"/>
          <w:lang w:eastAsia="ja-JP"/>
        </w:rPr>
        <w:t>Fig. 3i</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 xml:space="preserve"> (yellow and green dots)). Using the available resources, it was not possible to determine whether cells such as those in </w:t>
      </w:r>
      <w:r w:rsidRPr="00D431D5">
        <w:rPr>
          <w:rFonts w:ascii="Arial" w:eastAsia="Times New Roman" w:hAnsi="Arial" w:cs="Arial"/>
          <w:b/>
          <w:bCs/>
          <w:color w:val="000000"/>
          <w:lang w:eastAsia="ja-JP"/>
        </w:rPr>
        <w:t xml:space="preserve">Fig. 3e </w:t>
      </w:r>
      <w:r w:rsidRPr="00D431D5">
        <w:rPr>
          <w:rFonts w:ascii="Arial" w:eastAsia="Times New Roman" w:hAnsi="Arial" w:cs="Arial"/>
          <w:color w:val="000000"/>
          <w:lang w:eastAsia="ja-JP"/>
        </w:rPr>
        <w:t>are stomatal lineage or whether they are just non-specific epidermal cells. </w:t>
      </w:r>
    </w:p>
    <w:p w14:paraId="6B2B90DF" w14:textId="77A86A8B"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The GMCs found during sporophyte development were all enlarged and had a distinctively round shape (</w:t>
      </w:r>
      <w:r w:rsidRPr="00D431D5">
        <w:rPr>
          <w:rFonts w:ascii="Arial" w:eastAsia="Times New Roman" w:hAnsi="Arial" w:cs="Arial"/>
          <w:b/>
          <w:color w:val="000000"/>
          <w:lang w:eastAsia="ja-JP"/>
        </w:rPr>
        <w:t>Fig. 3f</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h</w:t>
      </w:r>
      <w:r w:rsidRPr="00D431D5">
        <w:rPr>
          <w:rFonts w:ascii="Arial" w:eastAsia="Times New Roman" w:hAnsi="Arial" w:cs="Arial"/>
          <w:color w:val="000000"/>
          <w:lang w:eastAsia="ja-JP"/>
        </w:rPr>
        <w:t xml:space="preserve"> and </w:t>
      </w:r>
      <w:r w:rsidRPr="00D431D5">
        <w:rPr>
          <w:rFonts w:ascii="Arial" w:eastAsia="Times New Roman" w:hAnsi="Arial" w:cs="Arial"/>
          <w:b/>
          <w:color w:val="000000"/>
          <w:lang w:eastAsia="ja-JP"/>
        </w:rPr>
        <w:t>3i</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3j</w:t>
      </w:r>
      <w:r w:rsidRPr="00D431D5">
        <w:rPr>
          <w:rFonts w:ascii="Arial" w:eastAsia="Times New Roman" w:hAnsi="Arial" w:cs="Arial"/>
          <w:color w:val="000000"/>
          <w:lang w:eastAsia="ja-JP"/>
        </w:rPr>
        <w:t>) (yellow and green dots)). There were GMC cells with large radially orientated organelles that had aggregated (</w:t>
      </w:r>
      <w:r w:rsidRPr="00D431D5">
        <w:rPr>
          <w:rFonts w:ascii="Arial" w:eastAsia="Times New Roman" w:hAnsi="Arial" w:cs="Arial"/>
          <w:b/>
          <w:color w:val="000000"/>
          <w:lang w:eastAsia="ja-JP"/>
        </w:rPr>
        <w:t xml:space="preserve">Fig. 3f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Fig. 3i</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3j</w:t>
      </w:r>
      <w:r w:rsidRPr="00D431D5">
        <w:rPr>
          <w:rFonts w:ascii="Arial" w:eastAsia="Times New Roman" w:hAnsi="Arial" w:cs="Arial"/>
          <w:color w:val="000000"/>
          <w:lang w:eastAsia="ja-JP"/>
        </w:rPr>
        <w:t xml:space="preserve"> (green dots)), GMC cells where the organelles had predominantly dissipated (</w:t>
      </w:r>
      <w:r w:rsidRPr="00D431D5">
        <w:rPr>
          <w:rFonts w:ascii="Arial" w:eastAsia="Times New Roman" w:hAnsi="Arial" w:cs="Arial"/>
          <w:b/>
          <w:color w:val="000000"/>
          <w:lang w:eastAsia="ja-JP"/>
        </w:rPr>
        <w:t>Fig. 3g</w:t>
      </w:r>
      <w:r w:rsidRPr="00D431D5">
        <w:rPr>
          <w:rFonts w:ascii="Arial" w:eastAsia="Times New Roman" w:hAnsi="Arial" w:cs="Arial"/>
          <w:color w:val="000000"/>
          <w:lang w:eastAsia="ja-JP"/>
        </w:rPr>
        <w:t>) and GMC cells where the organelles had fragmented with indentations sometimes visible in the central region (</w:t>
      </w:r>
      <w:r w:rsidRPr="00D431D5">
        <w:rPr>
          <w:rFonts w:ascii="Arial" w:eastAsia="Times New Roman" w:hAnsi="Arial" w:cs="Arial"/>
          <w:b/>
          <w:color w:val="000000"/>
          <w:lang w:eastAsia="ja-JP"/>
        </w:rPr>
        <w:t>Fig. 3h</w:t>
      </w:r>
      <w:r w:rsidRPr="00D431D5">
        <w:rPr>
          <w:rFonts w:ascii="Arial" w:eastAsia="Times New Roman" w:hAnsi="Arial" w:cs="Arial"/>
          <w:color w:val="000000"/>
          <w:lang w:eastAsia="ja-JP"/>
        </w:rPr>
        <w:t xml:space="preserve"> and </w:t>
      </w:r>
      <w:r w:rsidRPr="00D431D5">
        <w:rPr>
          <w:rFonts w:ascii="Arial" w:eastAsia="Times New Roman" w:hAnsi="Arial" w:cs="Arial"/>
          <w:b/>
          <w:color w:val="000000"/>
          <w:lang w:eastAsia="ja-JP"/>
        </w:rPr>
        <w:t>Fig. 3i</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3l</w:t>
      </w:r>
      <w:r w:rsidRPr="00D431D5">
        <w:rPr>
          <w:rFonts w:ascii="Arial" w:eastAsia="Times New Roman" w:hAnsi="Arial" w:cs="Arial"/>
          <w:color w:val="000000"/>
          <w:lang w:eastAsia="ja-JP"/>
        </w:rPr>
        <w:t xml:space="preserve"> (yellow dots)). Using bright-field microscopy clear evidence relating to pore </w:t>
      </w:r>
      <w:r w:rsidRPr="00D431D5">
        <w:rPr>
          <w:rFonts w:ascii="Arial" w:eastAsia="Times New Roman" w:hAnsi="Arial" w:cs="Arial"/>
          <w:color w:val="000000"/>
          <w:lang w:eastAsia="ja-JP"/>
        </w:rPr>
        <w:lastRenderedPageBreak/>
        <w:t>formation was not easily discernible in the above described GMCs. To try to identify which of the GMC cell conformations represented earlier and later stages of the stomatal lineage, the epidermises of developing sporophytes were also inspected under UV fluorescence. It was found using this method that cells that had fragmented organelles displayed fluorescence in the pores whereas those with aggregated organelles did not (</w:t>
      </w:r>
      <w:r w:rsidRPr="00D431D5">
        <w:rPr>
          <w:rFonts w:ascii="Arial" w:eastAsia="Times New Roman" w:hAnsi="Arial" w:cs="Arial"/>
          <w:b/>
          <w:color w:val="000000"/>
          <w:lang w:eastAsia="ja-JP"/>
        </w:rPr>
        <w:t>Fig. 3i</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3l</w:t>
      </w:r>
      <w:r w:rsidRPr="00D431D5">
        <w:rPr>
          <w:rFonts w:ascii="Arial" w:eastAsia="Times New Roman" w:hAnsi="Arial" w:cs="Arial"/>
          <w:color w:val="000000"/>
          <w:lang w:eastAsia="ja-JP"/>
        </w:rPr>
        <w:t xml:space="preserve">, fragmented GMC (yellow dots), aggregated GMC (green dots)). Such use of fluorescence to detect pore formation has also been used in a recent hornwort study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&lt;EndNote&gt;&lt;Cite&gt;&lt;Author&gt;Pressel&lt;/Author&gt;&lt;Year&gt;2014&lt;/Year&gt;&lt;IDText&gt;Stomatal differentiation and abnormal stomata in hornworts&lt;/IDText&gt;&lt;DisplayText&gt;(Pressel et al., 2014)&lt;/DisplayText&gt;&lt;record&gt;&lt;dates&gt;&lt;pub-dates&gt;&lt;date&gt;Jun&lt;/date&gt;&lt;/pub-dates&gt;&lt;year&gt;2014&lt;/year&gt;&lt;/dates&gt;&lt;keywords&gt;&lt;keyword&gt;Anthocerotophyta&lt;/keyword&gt;&lt;keyword&gt;Capsule dehiscence&lt;/keyword&gt;&lt;keyword&gt;Desiccation biology&lt;/keyword&gt;&lt;keyword&gt;Guard cells&lt;/keyword&gt;&lt;keyword&gt;Stomatal evolution&lt;/keyword&gt;&lt;keyword&gt;early land plants&lt;/keyword&gt;&lt;keyword&gt;abscisic-acid&lt;/keyword&gt;&lt;keyword&gt;division polarity&lt;/keyword&gt;&lt;keyword&gt;atmospheric co2&lt;/keyword&gt;&lt;keyword&gt;carbon-dioxide&lt;/keyword&gt;&lt;keyword&gt;density&lt;/keyword&gt;&lt;keyword&gt;evolution&lt;/keyword&gt;&lt;keyword&gt;sporophytes&lt;/keyword&gt;&lt;keyword&gt;fluorescence&lt;/keyword&gt;&lt;keyword&gt;bryophytes&lt;/keyword&gt;&lt;keyword&gt;Plant Sciences&lt;/keyword&gt;&lt;/keywords&gt;&lt;urls&gt;&lt;related-urls&gt;&lt;url&gt;&amp;lt;Go to ISI&amp;gt;://WOS:000337099400001&lt;/url&gt;&lt;/related-urls&gt;&lt;/urls&gt;&lt;isbn&gt;0373-6687&lt;/isbn&gt;&lt;work-type&gt;Article&lt;/work-type&gt;&lt;titles&gt;&lt;title&gt;Stomatal differentiation and abnormal stomata in hornworts&lt;/title&gt;&lt;secondary-title&gt;Journal of Bryology&lt;/secondary-title&gt;&lt;/titles&gt;&lt;pages&gt;87-103&lt;/pages&gt;&lt;contributors&gt;&lt;authors&gt;&lt;author&gt;Pressel, S.&lt;/author&gt;&lt;author&gt;Goral, T.&lt;/author&gt;&lt;author&gt;Duckett, J. G.&lt;/author&gt;&lt;/authors&gt;&lt;/contributors&gt;&lt;language&gt;English&lt;/language&gt;&lt;added-date format="utc"&gt;1431376663&lt;/added-date&gt;&lt;ref-type name="Journal Article"&gt;17&lt;/ref-type&gt;&lt;auth-address&gt;[Pressel, Silvia&amp;#xD;Duckett, Jeffrey G.] Nat Hist Museum, Dept Life Sci, London SW7 5BD, England. [Goral, Tomasz] Nat Hist Museum, Imaging &amp;amp; Anal Ctr, London SW7 5BD, England.&amp;#xD;Pressel, S (reprint author), Nat Hist Museum, Dept Life Sci, Cromwell Rd, London SW7 5BD, England.&amp;#xD;s.pressel@nhm.ac.uk&lt;/auth-address&gt;&lt;rec-number&gt;158&lt;/rec-number&gt;&lt;last-updated-date format="utc"&gt;1431376663&lt;/last-updated-date&gt;&lt;accession-num&gt;WOS:000337099400001&lt;/accession-num&gt;&lt;electronic-resource-num&gt;10.1179/1743282014y.0000000103&lt;/electronic-resource-num&gt;&lt;volume&gt;36&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(Pressel et al., 2014)</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GMCs where the fragmentary organelles were dissipated (</w:t>
      </w:r>
      <w:r w:rsidRPr="00D431D5">
        <w:rPr>
          <w:rFonts w:ascii="Arial" w:eastAsia="Times New Roman" w:hAnsi="Arial" w:cs="Arial"/>
          <w:b/>
          <w:color w:val="000000"/>
          <w:lang w:eastAsia="ja-JP"/>
        </w:rPr>
        <w:t>Fig. 3g</w:t>
      </w:r>
      <w:r w:rsidRPr="00D431D5">
        <w:rPr>
          <w:rFonts w:ascii="Arial" w:eastAsia="Times New Roman" w:hAnsi="Arial" w:cs="Arial"/>
          <w:color w:val="000000"/>
          <w:lang w:eastAsia="ja-JP"/>
        </w:rPr>
        <w:t>) also did not emit fluorescence (data not shown). Once pore formation was completed organelles re-aggregated and the nascent guard cells and organelles began to give off a yellow hue. To summarise GMC identity, the enlarged GMCs with aggregated organelles which displayed no fluorescence coming from the pore are early GMCs (</w:t>
      </w:r>
      <w:r w:rsidRPr="00D431D5">
        <w:rPr>
          <w:rFonts w:ascii="Arial" w:eastAsia="Times New Roman" w:hAnsi="Arial" w:cs="Arial"/>
          <w:b/>
          <w:color w:val="000000"/>
          <w:lang w:eastAsia="ja-JP"/>
        </w:rPr>
        <w:t xml:space="preserve">Fig. 3f </w:t>
      </w:r>
      <w:r w:rsidRPr="00D431D5">
        <w:rPr>
          <w:rFonts w:ascii="Arial" w:eastAsia="Times New Roman" w:hAnsi="Arial" w:cs="Arial"/>
          <w:color w:val="000000"/>
          <w:lang w:eastAsia="ja-JP"/>
        </w:rPr>
        <w:t xml:space="preserve">and green dots </w:t>
      </w:r>
      <w:r w:rsidRPr="00D431D5">
        <w:rPr>
          <w:rFonts w:ascii="Arial" w:eastAsia="Times New Roman" w:hAnsi="Arial" w:cs="Arial"/>
          <w:b/>
          <w:color w:val="000000"/>
          <w:lang w:eastAsia="ja-JP"/>
        </w:rPr>
        <w:t>Fig. 3i</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The GMCs with fragmented organelles and fluorescence coming from the pore appear to be committed to an incomplete symmetric</w:t>
      </w:r>
      <w:r w:rsidR="009B784F">
        <w:rPr>
          <w:rFonts w:ascii="Arial" w:eastAsia="Times New Roman" w:hAnsi="Arial" w:cs="Arial"/>
          <w:color w:val="000000"/>
          <w:lang w:eastAsia="ja-JP"/>
        </w:rPr>
        <w:t xml:space="preserve"> division</w:t>
      </w:r>
      <w:r w:rsidRPr="00D431D5">
        <w:rPr>
          <w:rFonts w:ascii="Arial" w:eastAsia="Times New Roman" w:hAnsi="Arial" w:cs="Arial"/>
          <w:color w:val="000000"/>
          <w:lang w:eastAsia="ja-JP"/>
        </w:rPr>
        <w:t xml:space="preserve"> are late GMCs (</w:t>
      </w:r>
      <w:r w:rsidRPr="00D431D5">
        <w:rPr>
          <w:rFonts w:ascii="Arial" w:eastAsia="Times New Roman" w:hAnsi="Arial" w:cs="Arial"/>
          <w:b/>
          <w:color w:val="000000"/>
          <w:lang w:eastAsia="ja-JP"/>
        </w:rPr>
        <w:t xml:space="preserve">Fig. 3h </w:t>
      </w:r>
      <w:r w:rsidRPr="00D431D5">
        <w:rPr>
          <w:rFonts w:ascii="Arial" w:eastAsia="Times New Roman" w:hAnsi="Arial" w:cs="Arial"/>
          <w:color w:val="000000"/>
          <w:lang w:eastAsia="ja-JP"/>
        </w:rPr>
        <w:t xml:space="preserve">and yellow dots </w:t>
      </w:r>
      <w:r w:rsidRPr="00D431D5">
        <w:rPr>
          <w:rFonts w:ascii="Arial" w:eastAsia="Times New Roman" w:hAnsi="Arial" w:cs="Arial"/>
          <w:b/>
          <w:color w:val="000000"/>
          <w:lang w:eastAsia="ja-JP"/>
        </w:rPr>
        <w:t>Fig. 3i</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w:t>
      </w:r>
      <w:r w:rsidR="009B784F">
        <w:rPr>
          <w:rFonts w:ascii="Arial" w:eastAsia="Times New Roman" w:hAnsi="Arial" w:cs="Arial"/>
          <w:color w:val="000000"/>
          <w:lang w:eastAsia="ja-JP"/>
        </w:rPr>
        <w:t xml:space="preserve"> </w:t>
      </w:r>
      <w:r w:rsidR="009B784F" w:rsidRPr="00D431D5">
        <w:rPr>
          <w:rFonts w:ascii="Arial" w:eastAsia="Times New Roman" w:hAnsi="Arial" w:cs="Arial"/>
          <w:color w:val="000000"/>
          <w:lang w:eastAsia="ja-JP"/>
        </w:rPr>
        <w:t>It seems that the GMCs with dissipated organelles are probably developmentally between early to late GMC state (</w:t>
      </w:r>
      <w:r w:rsidR="009B784F" w:rsidRPr="00D431D5">
        <w:rPr>
          <w:rFonts w:ascii="Arial" w:eastAsia="Times New Roman" w:hAnsi="Arial" w:cs="Arial"/>
          <w:b/>
          <w:color w:val="000000"/>
          <w:lang w:eastAsia="ja-JP"/>
        </w:rPr>
        <w:t>Fig. 3g</w:t>
      </w:r>
      <w:r w:rsidR="009B784F" w:rsidRPr="00D431D5">
        <w:rPr>
          <w:rFonts w:ascii="Arial" w:eastAsia="Times New Roman" w:hAnsi="Arial" w:cs="Arial"/>
          <w:color w:val="000000"/>
          <w:lang w:eastAsia="ja-JP"/>
        </w:rPr>
        <w:t>).</w:t>
      </w:r>
      <w:r w:rsidR="009B784F">
        <w:rPr>
          <w:rFonts w:ascii="Arial" w:eastAsia="Times New Roman" w:hAnsi="Arial" w:cs="Arial"/>
          <w:color w:val="000000"/>
          <w:lang w:eastAsia="ja-JP"/>
        </w:rPr>
        <w:t>Once the symmetric division has occurred, organelles are reformed with fluorescence coming from the internal ledges of the pore (</w:t>
      </w:r>
      <w:r w:rsidR="009B784F">
        <w:rPr>
          <w:rFonts w:ascii="Arial" w:eastAsia="Times New Roman" w:hAnsi="Arial" w:cs="Arial"/>
          <w:b/>
          <w:color w:val="000000"/>
          <w:lang w:eastAsia="ja-JP"/>
        </w:rPr>
        <w:t>Fig. 3m</w:t>
      </w:r>
      <w:r w:rsidR="009B784F">
        <w:rPr>
          <w:rFonts w:ascii="Arial" w:eastAsia="Times New Roman" w:hAnsi="Arial" w:cs="Arial"/>
          <w:color w:val="000000"/>
          <w:lang w:eastAsia="ja-JP"/>
        </w:rPr>
        <w:t>-</w:t>
      </w:r>
      <w:r w:rsidR="009B784F">
        <w:rPr>
          <w:rFonts w:ascii="Arial" w:eastAsia="Times New Roman" w:hAnsi="Arial" w:cs="Arial"/>
          <w:b/>
          <w:color w:val="000000"/>
          <w:lang w:eastAsia="ja-JP"/>
        </w:rPr>
        <w:t>n</w:t>
      </w:r>
      <w:r w:rsidR="009B784F">
        <w:rPr>
          <w:rFonts w:ascii="Arial" w:eastAsia="Times New Roman" w:hAnsi="Arial" w:cs="Arial"/>
          <w:color w:val="000000"/>
          <w:lang w:eastAsia="ja-JP"/>
        </w:rPr>
        <w:t xml:space="preserve">). </w:t>
      </w:r>
    </w:p>
    <w:p w14:paraId="0161BE24"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In relation to stomatal-lineage related pre-GMC activity like an entry asymmetric division, owing to the small number of incidences that such an event might occur (only approximately 14 stomata per capsule develop) coupled with the variability in cell shape, size and orientation at the base of the developing sporophyte it is unclear as to whether such a mechanism might occur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close to the start of the stomatal lineage, although it seems unlikely.</w:t>
      </w:r>
    </w:p>
    <w:p w14:paraId="1DC819C3"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3C7F2E21" w14:textId="77777777" w:rsidR="008653D0" w:rsidRDefault="00D431D5" w:rsidP="00D431D5">
      <w:pPr>
        <w:tabs>
          <w:tab w:val="left" w:pos="6663"/>
        </w:tabs>
        <w:spacing w:after="160" w:line="360" w:lineRule="auto"/>
        <w:rPr>
          <w:rFonts w:ascii="Arial" w:eastAsia="Times New Roman" w:hAnsi="Arial" w:cs="Arial"/>
          <w:b/>
          <w:color w:val="000000"/>
          <w:lang w:eastAsia="ja-JP"/>
        </w:rPr>
      </w:pPr>
      <w:r w:rsidRPr="00D431D5">
        <w:rPr>
          <w:rFonts w:ascii="Arial" w:eastAsia="Times New Roman" w:hAnsi="Arial" w:cs="Arial"/>
          <w:noProof/>
          <w:color w:val="000000"/>
          <w:lang w:eastAsia="ja-JP"/>
        </w:rPr>
        <w:lastRenderedPageBreak/>
        <w:drawing>
          <wp:inline distT="0" distB="0" distL="0" distR="0" wp14:anchorId="0CF9D927" wp14:editId="680C612B">
            <wp:extent cx="5205730" cy="563499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05730" cy="5634990"/>
                    </a:xfrm>
                    <a:prstGeom prst="rect">
                      <a:avLst/>
                    </a:prstGeom>
                  </pic:spPr>
                </pic:pic>
              </a:graphicData>
            </a:graphic>
          </wp:inline>
        </w:drawing>
      </w:r>
    </w:p>
    <w:p w14:paraId="2091078A" w14:textId="6CBD7D5C" w:rsidR="00D431D5" w:rsidRPr="00D431D5" w:rsidRDefault="00D431D5" w:rsidP="00D431D5">
      <w:pPr>
        <w:tabs>
          <w:tab w:val="left" w:pos="6663"/>
        </w:tabs>
        <w:spacing w:after="160" w:line="360" w:lineRule="auto"/>
        <w:rPr>
          <w:rFonts w:ascii="Arial" w:eastAsia="Times New Roman" w:hAnsi="Arial" w:cs="Arial"/>
          <w:color w:val="000000"/>
          <w:u w:val="single"/>
          <w:lang w:eastAsia="ja-JP"/>
        </w:rPr>
      </w:pPr>
      <w:r w:rsidRPr="00D431D5">
        <w:rPr>
          <w:rFonts w:ascii="Arial" w:eastAsia="Times New Roman" w:hAnsi="Arial" w:cs="Arial"/>
          <w:b/>
          <w:color w:val="000000"/>
          <w:lang w:eastAsia="ja-JP"/>
        </w:rPr>
        <w:t>Figure 3</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Discerning stomatal lineage cells during stomatal development in </w:t>
      </w:r>
      <w:r w:rsidRPr="00D431D5">
        <w:rPr>
          <w:rFonts w:ascii="Arial" w:eastAsia="Times New Roman" w:hAnsi="Arial" w:cs="Arial"/>
          <w:b/>
          <w:i/>
          <w:color w:val="000000"/>
          <w:lang w:eastAsia="ja-JP"/>
        </w:rPr>
        <w:t>P. patens</w:t>
      </w:r>
      <w:r w:rsidRPr="00D431D5">
        <w:rPr>
          <w:rFonts w:ascii="Arial" w:eastAsia="Times New Roman" w:hAnsi="Arial" w:cs="Arial"/>
          <w:b/>
          <w:color w:val="000000"/>
          <w:lang w:eastAsia="ja-JP"/>
        </w:rPr>
        <w:t>.</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xml:space="preserve">) An excised apical portion of an expanding sporophyte, with calyptra removed, equivalent in size to the sporophyte in </w:t>
      </w:r>
      <w:r w:rsidRPr="00D431D5">
        <w:rPr>
          <w:rFonts w:ascii="Arial" w:eastAsia="Times New Roman" w:hAnsi="Arial" w:cs="Arial"/>
          <w:b/>
          <w:color w:val="000000"/>
          <w:lang w:eastAsia="ja-JP"/>
        </w:rPr>
        <w:t>Fig.</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2B</w:t>
      </w:r>
      <w:r w:rsidRPr="00D431D5">
        <w:rPr>
          <w:rFonts w:ascii="Arial" w:eastAsia="Times New Roman" w:hAnsi="Arial" w:cs="Arial"/>
          <w:color w:val="000000"/>
          <w:lang w:eastAsia="ja-JP"/>
        </w:rPr>
        <w:t>. No stomata were visible at this developmental stage.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Fluorescence image of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xml:space="preserve">) Representative elongating sporophyte capsule beginning to expand which is equivalent to a sporophyte between stages </w:t>
      </w:r>
      <w:r w:rsidRPr="00D431D5">
        <w:rPr>
          <w:rFonts w:ascii="Arial" w:eastAsia="Times New Roman" w:hAnsi="Arial" w:cs="Arial"/>
          <w:b/>
          <w:color w:val="000000"/>
          <w:lang w:eastAsia="ja-JP"/>
        </w:rPr>
        <w:t xml:space="preserve">Fig. 2C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2D</w:t>
      </w:r>
      <w:r w:rsidRPr="00D431D5">
        <w:rPr>
          <w:rFonts w:ascii="Arial" w:eastAsia="Times New Roman" w:hAnsi="Arial" w:cs="Arial"/>
          <w:color w:val="000000"/>
          <w:lang w:eastAsia="ja-JP"/>
        </w:rPr>
        <w:t xml:space="preserve">. A nascent guard cell can be seen in the central basal region of the sporophyte capsule. More apically and to the right a Guard mother cell (GMC) can also be seen. Note. Capsules equivalent to </w:t>
      </w:r>
      <w:r w:rsidRPr="00D431D5">
        <w:rPr>
          <w:rFonts w:ascii="Arial" w:eastAsia="Times New Roman" w:hAnsi="Arial" w:cs="Arial"/>
          <w:b/>
          <w:color w:val="000000"/>
          <w:lang w:eastAsia="ja-JP"/>
        </w:rPr>
        <w:t xml:space="preserve">Fig. 2C </w:t>
      </w:r>
      <w:r w:rsidRPr="00D431D5">
        <w:rPr>
          <w:rFonts w:ascii="Arial" w:eastAsia="Times New Roman" w:hAnsi="Arial" w:cs="Arial"/>
          <w:color w:val="000000"/>
          <w:lang w:eastAsia="ja-JP"/>
        </w:rPr>
        <w:t>were also used during these observations and nascent stomata were found by this development stage. (</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 Fluorescent image of the same sporophyte as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containing a white autofluorescence coming from the open central open pore of the nascent guard cell but no fluorescence was detected coming from the GMC located more apically and to the right. (</w:t>
      </w:r>
      <w:r w:rsidRPr="00D431D5">
        <w:rPr>
          <w:rFonts w:ascii="Arial" w:eastAsia="Times New Roman" w:hAnsi="Arial" w:cs="Arial"/>
          <w:b/>
          <w:color w:val="000000"/>
          <w:lang w:eastAsia="ja-JP"/>
        </w:rPr>
        <w:t>e-l</w:t>
      </w:r>
      <w:r w:rsidRPr="00D431D5">
        <w:rPr>
          <w:rFonts w:ascii="Arial" w:eastAsia="Times New Roman" w:hAnsi="Arial" w:cs="Arial"/>
          <w:color w:val="000000"/>
          <w:lang w:eastAsia="ja-JP"/>
        </w:rPr>
        <w:t xml:space="preserve">) images taken from sporophytes ranging in size from sporophytes equivalent to </w:t>
      </w:r>
      <w:r w:rsidRPr="00D431D5">
        <w:rPr>
          <w:rFonts w:ascii="Arial" w:eastAsia="Times New Roman" w:hAnsi="Arial" w:cs="Arial"/>
          <w:b/>
          <w:color w:val="000000"/>
          <w:lang w:eastAsia="ja-JP"/>
        </w:rPr>
        <w:t xml:space="preserve">Fig. 2C </w:t>
      </w:r>
      <w:r w:rsidRPr="00D431D5">
        <w:rPr>
          <w:rFonts w:ascii="Arial" w:eastAsia="Times New Roman" w:hAnsi="Arial" w:cs="Arial"/>
          <w:color w:val="000000"/>
          <w:lang w:eastAsia="ja-JP"/>
        </w:rPr>
        <w:lastRenderedPageBreak/>
        <w:t xml:space="preserve">through to </w:t>
      </w:r>
      <w:r w:rsidRPr="00D431D5">
        <w:rPr>
          <w:rFonts w:ascii="Arial" w:eastAsia="Times New Roman" w:hAnsi="Arial" w:cs="Arial"/>
          <w:b/>
          <w:color w:val="000000"/>
          <w:lang w:eastAsia="ja-JP"/>
        </w:rPr>
        <w:t>Fig. 2D</w:t>
      </w:r>
      <w:r w:rsidRPr="00D431D5">
        <w:rPr>
          <w:rFonts w:ascii="Arial" w:eastAsia="Times New Roman" w:hAnsi="Arial" w:cs="Arial"/>
          <w:color w:val="000000"/>
          <w:lang w:eastAsia="ja-JP"/>
        </w:rPr>
        <w:t xml:space="preserve"> where sporophytes were still elongating and beginning to expand. In most cases a neatly arranged group of cells exists around the central stomatal lineage cells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 A smaller circular cell. (</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 An expanded GMC with organelles radially aligned at the cell perimeter and a central pre-prophase band. (</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Expanded GMC with partially fragmented organelles in one location that are dissipating and a very pronounced pre-prophase band. (</w:t>
      </w:r>
      <w:r w:rsidRPr="00D431D5">
        <w:rPr>
          <w:rFonts w:ascii="Arial" w:eastAsia="Times New Roman" w:hAnsi="Arial" w:cs="Arial"/>
          <w:b/>
          <w:color w:val="000000"/>
          <w:lang w:eastAsia="ja-JP"/>
        </w:rPr>
        <w:t>h</w:t>
      </w:r>
      <w:r w:rsidRPr="00D431D5">
        <w:rPr>
          <w:rFonts w:ascii="Arial" w:eastAsia="Times New Roman" w:hAnsi="Arial" w:cs="Arial"/>
          <w:color w:val="000000"/>
          <w:lang w:eastAsia="ja-JP"/>
        </w:rPr>
        <w:t>) Expanded GMC with fragmented organelles and a central indented region. (</w:t>
      </w:r>
      <w:r w:rsidRPr="00D431D5">
        <w:rPr>
          <w:rFonts w:ascii="Arial" w:eastAsia="Times New Roman" w:hAnsi="Arial" w:cs="Arial"/>
          <w:b/>
          <w:color w:val="000000"/>
          <w:lang w:eastAsia="ja-JP"/>
        </w:rPr>
        <w:t>i</w:t>
      </w:r>
      <w:r w:rsidRPr="00D431D5">
        <w:rPr>
          <w:rFonts w:ascii="Arial" w:eastAsia="Times New Roman" w:hAnsi="Arial" w:cs="Arial"/>
          <w:color w:val="000000"/>
          <w:lang w:eastAsia="ja-JP"/>
        </w:rPr>
        <w:t xml:space="preserve">) Bright-field image illustrating a GMC with fragmented organelles (yellow dot), A GMC with aggregated organelles (green dot) and a circular cell with </w:t>
      </w:r>
      <w:r w:rsidR="009B784F">
        <w:rPr>
          <w:rFonts w:ascii="Arial" w:eastAsia="Times New Roman" w:hAnsi="Arial" w:cs="Arial"/>
          <w:color w:val="000000"/>
          <w:lang w:eastAsia="ja-JP"/>
        </w:rPr>
        <w:t xml:space="preserve">organelles </w:t>
      </w:r>
      <w:r w:rsidRPr="00D431D5">
        <w:rPr>
          <w:rFonts w:ascii="Arial" w:eastAsia="Times New Roman" w:hAnsi="Arial" w:cs="Arial"/>
          <w:color w:val="000000"/>
          <w:lang w:eastAsia="ja-JP"/>
        </w:rPr>
        <w:t>circulating around the cell perimeter (blue dot). (</w:t>
      </w:r>
      <w:r w:rsidRPr="00D431D5">
        <w:rPr>
          <w:rFonts w:ascii="Arial" w:eastAsia="Times New Roman" w:hAnsi="Arial" w:cs="Arial"/>
          <w:b/>
          <w:color w:val="000000"/>
          <w:lang w:eastAsia="ja-JP"/>
        </w:rPr>
        <w:t>j</w:t>
      </w:r>
      <w:r w:rsidRPr="00D431D5">
        <w:rPr>
          <w:rFonts w:ascii="Arial" w:eastAsia="Times New Roman" w:hAnsi="Arial" w:cs="Arial"/>
          <w:color w:val="000000"/>
          <w:lang w:eastAsia="ja-JP"/>
        </w:rPr>
        <w:t>) Depth of field adjusted comparatively to image (</w:t>
      </w:r>
      <w:r w:rsidRPr="00D431D5">
        <w:rPr>
          <w:rFonts w:ascii="Arial" w:eastAsia="Times New Roman" w:hAnsi="Arial" w:cs="Arial"/>
          <w:b/>
          <w:color w:val="000000"/>
          <w:lang w:eastAsia="ja-JP"/>
        </w:rPr>
        <w:t>i</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k</w:t>
      </w:r>
      <w:r w:rsidRPr="00D431D5">
        <w:rPr>
          <w:rFonts w:ascii="Arial" w:eastAsia="Times New Roman" w:hAnsi="Arial" w:cs="Arial"/>
          <w:color w:val="000000"/>
          <w:lang w:eastAsia="ja-JP"/>
        </w:rPr>
        <w:t xml:space="preserve"> and </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 Fluorescence images of (</w:t>
      </w:r>
      <w:r w:rsidRPr="00D431D5">
        <w:rPr>
          <w:rFonts w:ascii="Arial" w:eastAsia="Times New Roman" w:hAnsi="Arial" w:cs="Arial"/>
          <w:b/>
          <w:color w:val="000000"/>
          <w:lang w:eastAsia="ja-JP"/>
        </w:rPr>
        <w:t>i</w:t>
      </w:r>
      <w:r w:rsidRPr="00D431D5">
        <w:rPr>
          <w:rFonts w:ascii="Arial" w:eastAsia="Times New Roman" w:hAnsi="Arial" w:cs="Arial"/>
          <w:color w:val="000000"/>
          <w:lang w:eastAsia="ja-JP"/>
        </w:rPr>
        <w:t>) and (</w:t>
      </w:r>
      <w:r w:rsidRPr="00D431D5">
        <w:rPr>
          <w:rFonts w:ascii="Arial" w:eastAsia="Times New Roman" w:hAnsi="Arial" w:cs="Arial"/>
          <w:b/>
          <w:color w:val="000000"/>
          <w:lang w:eastAsia="ja-JP"/>
        </w:rPr>
        <w:t>j</w:t>
      </w:r>
      <w:r w:rsidRPr="00D431D5">
        <w:rPr>
          <w:rFonts w:ascii="Arial" w:eastAsia="Times New Roman" w:hAnsi="Arial" w:cs="Arial"/>
          <w:color w:val="000000"/>
          <w:lang w:eastAsia="ja-JP"/>
        </w:rPr>
        <w:t>) illustrating a fluorescent material in the pores of the GMC with fragmenting organelles (yellow dot), but not in the cell with aggregating organelles (greed dot) or the smaller circular undifferentiated cell (blue dot). The fluorescence material is a marker for pore formation in the fragmenting organelle GMC which is not present in the aggregating organelle GMC or the smaller circular cell. (</w:t>
      </w:r>
      <w:r w:rsidRPr="00D431D5">
        <w:rPr>
          <w:rFonts w:ascii="Arial" w:eastAsia="Times New Roman" w:hAnsi="Arial" w:cs="Arial"/>
          <w:b/>
          <w:color w:val="000000"/>
          <w:lang w:eastAsia="ja-JP"/>
        </w:rPr>
        <w:t>m</w:t>
      </w:r>
      <w:r w:rsidRPr="00D431D5">
        <w:rPr>
          <w:rFonts w:ascii="Arial" w:eastAsia="Times New Roman" w:hAnsi="Arial" w:cs="Arial"/>
          <w:color w:val="000000"/>
          <w:lang w:eastAsia="ja-JP"/>
        </w:rPr>
        <w:t>) Once the organelles have finished fragmenting the pore is formed leading to the reformation of aggregated organelles and a yellow to orange hue beginning to occur inside the developing guard cell. (</w:t>
      </w:r>
      <w:r w:rsidRPr="00D431D5">
        <w:rPr>
          <w:rFonts w:ascii="Arial" w:eastAsia="Times New Roman" w:hAnsi="Arial" w:cs="Arial"/>
          <w:b/>
          <w:color w:val="000000"/>
          <w:lang w:eastAsia="ja-JP"/>
        </w:rPr>
        <w:t>n</w:t>
      </w:r>
      <w:r w:rsidRPr="00D431D5">
        <w:rPr>
          <w:rFonts w:ascii="Arial" w:eastAsia="Times New Roman" w:hAnsi="Arial" w:cs="Arial"/>
          <w:color w:val="000000"/>
          <w:lang w:eastAsia="ja-JP"/>
        </w:rPr>
        <w:t>) Fluorescence image of (</w:t>
      </w:r>
      <w:r w:rsidRPr="00D431D5">
        <w:rPr>
          <w:rFonts w:ascii="Arial" w:eastAsia="Times New Roman" w:hAnsi="Arial" w:cs="Arial"/>
          <w:b/>
          <w:color w:val="000000"/>
          <w:lang w:eastAsia="ja-JP"/>
        </w:rPr>
        <w:t>m</w:t>
      </w:r>
      <w:r w:rsidRPr="00D431D5">
        <w:rPr>
          <w:rFonts w:ascii="Arial" w:eastAsia="Times New Roman" w:hAnsi="Arial" w:cs="Arial"/>
          <w:color w:val="000000"/>
          <w:lang w:eastAsia="ja-JP"/>
        </w:rPr>
        <w:t>) illustrating fluorescence material lining the pore lips. Scale bars are 50µm for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 and 15µm for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n</w:t>
      </w:r>
      <w:r w:rsidRPr="00D431D5">
        <w:rPr>
          <w:rFonts w:ascii="Arial" w:eastAsia="Times New Roman" w:hAnsi="Arial" w:cs="Arial"/>
          <w:color w:val="000000"/>
          <w:lang w:eastAsia="ja-JP"/>
        </w:rPr>
        <w:t>).</w:t>
      </w:r>
    </w:p>
    <w:p w14:paraId="76DAF2DD" w14:textId="77777777" w:rsidR="00D431D5" w:rsidRPr="00D431D5" w:rsidRDefault="00D431D5" w:rsidP="00D431D5">
      <w:pPr>
        <w:tabs>
          <w:tab w:val="left" w:pos="6663"/>
        </w:tabs>
        <w:spacing w:after="160" w:line="360" w:lineRule="auto"/>
        <w:rPr>
          <w:rFonts w:ascii="Arial" w:eastAsia="Times New Roman" w:hAnsi="Arial" w:cs="Arial"/>
          <w:i/>
          <w:color w:val="000000"/>
          <w:u w:val="single"/>
          <w:lang w:eastAsia="ja-JP"/>
        </w:rPr>
      </w:pPr>
      <w:r w:rsidRPr="00D431D5">
        <w:rPr>
          <w:rFonts w:ascii="Arial" w:eastAsia="Times New Roman" w:hAnsi="Arial" w:cs="Arial"/>
          <w:color w:val="000000"/>
          <w:u w:val="single"/>
          <w:lang w:eastAsia="ja-JP"/>
        </w:rPr>
        <w:t xml:space="preserve">3.2.3 Stomatal spacing mechanisms in </w:t>
      </w:r>
      <w:r w:rsidRPr="00D431D5">
        <w:rPr>
          <w:rFonts w:ascii="Arial" w:eastAsia="Times New Roman" w:hAnsi="Arial" w:cs="Arial"/>
          <w:i/>
          <w:color w:val="000000"/>
          <w:u w:val="single"/>
          <w:lang w:eastAsia="ja-JP"/>
        </w:rPr>
        <w:t>P. patens</w:t>
      </w:r>
    </w:p>
    <w:p w14:paraId="48A3F38B" w14:textId="2431B155"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To identify whether stomatal spacing mechanisms operated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during stomatal lineage transitions and or divisions further studies were carried out on young sporophytes equivalent in size to those in </w:t>
      </w:r>
      <w:r w:rsidRPr="00D431D5">
        <w:rPr>
          <w:rFonts w:ascii="Arial" w:eastAsia="Times New Roman" w:hAnsi="Arial" w:cs="Arial"/>
          <w:b/>
          <w:color w:val="000000"/>
          <w:lang w:eastAsia="ja-JP"/>
        </w:rPr>
        <w:t xml:space="preserve">Fig. 2C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2</w:t>
      </w:r>
      <w:commentRangeStart w:id="4"/>
      <w:r w:rsidRPr="00D431D5">
        <w:rPr>
          <w:rFonts w:ascii="Arial" w:eastAsia="Times New Roman" w:hAnsi="Arial" w:cs="Arial"/>
          <w:b/>
          <w:color w:val="000000"/>
          <w:lang w:eastAsia="ja-JP"/>
        </w:rPr>
        <w:t>D</w:t>
      </w:r>
      <w:commentRangeEnd w:id="4"/>
      <w:r w:rsidRPr="00D431D5">
        <w:rPr>
          <w:rFonts w:ascii="Arial" w:eastAsia="Times New Roman" w:hAnsi="Arial" w:cs="Arial"/>
          <w:color w:val="000000"/>
          <w:lang w:eastAsia="ja-JP"/>
        </w:rPr>
        <w:commentReference w:id="4"/>
      </w:r>
      <w:r w:rsidRPr="00D431D5">
        <w:rPr>
          <w:rFonts w:ascii="Arial" w:eastAsia="Times New Roman" w:hAnsi="Arial" w:cs="Arial"/>
          <w:color w:val="000000"/>
          <w:lang w:eastAsia="ja-JP"/>
        </w:rPr>
        <w:t>. The current opinion relating to moss</w:t>
      </w:r>
      <w:r w:rsidR="00847DDD">
        <w:rPr>
          <w:rFonts w:ascii="Arial" w:eastAsia="Times New Roman" w:hAnsi="Arial" w:cs="Arial"/>
          <w:color w:val="000000"/>
          <w:lang w:eastAsia="ja-JP"/>
        </w:rPr>
        <w:t xml:space="preserve"> stomatal developmental ontogeny</w:t>
      </w:r>
      <w:r w:rsidRPr="00D431D5">
        <w:rPr>
          <w:rFonts w:ascii="Arial" w:eastAsia="Times New Roman" w:hAnsi="Arial" w:cs="Arial"/>
          <w:color w:val="000000"/>
          <w:lang w:eastAsia="ja-JP"/>
        </w:rPr>
        <w:t xml:space="preserve"> is that moss stomata are derived entirely from a GMC pre-cursor and therefore are perigenous because no non-stomatal progeny cells are formed from the stomatal lineage cells during the formation</w:t>
      </w:r>
      <w:r w:rsidR="009B784F">
        <w:rPr>
          <w:rFonts w:ascii="Arial" w:eastAsia="Times New Roman" w:hAnsi="Arial" w:cs="Arial"/>
          <w:color w:val="000000"/>
          <w:lang w:eastAsia="ja-JP"/>
        </w:rPr>
        <w:t xml:space="preserve"> OF</w:t>
      </w:r>
      <w:r w:rsidRPr="00D431D5">
        <w:rPr>
          <w:rFonts w:ascii="Arial" w:eastAsia="Times New Roman" w:hAnsi="Arial" w:cs="Arial"/>
          <w:color w:val="000000"/>
          <w:lang w:eastAsia="ja-JP"/>
        </w:rPr>
        <w:t xml:space="preserve"> stomata </w:t>
      </w:r>
      <w:r w:rsidRPr="00D431D5">
        <w:rPr>
          <w:rFonts w:ascii="Arial" w:eastAsia="Times New Roman" w:hAnsi="Arial" w:cs="Arial"/>
          <w:color w:val="000000"/>
          <w:lang w:eastAsia="ja-JP"/>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SURUZXh0PjxEaXNwbGF5VGV4dD4oTWVyY2VkIGFuZCBSZW56YWdsaWEsIDIwMTY7IFJ1ZGFsbCBl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</w:fldData>
        </w:fldChar>
      </w:r>
      <w:r w:rsidR="001D2DA0">
        <w:rPr>
          <w:rFonts w:ascii="Arial" w:eastAsia="Times New Roman" w:hAnsi="Arial" w:cs="Arial"/>
          <w:color w:val="000000"/>
          <w:lang w:eastAsia="ja-JP"/>
        </w:rPr>
        <w:instrText xml:space="preserve"> ADDIN EN.CITE </w:instrText>
      </w:r>
      <w:r w:rsidR="001D2DA0">
        <w:rPr>
          <w:rFonts w:ascii="Arial" w:eastAsia="Times New Roman" w:hAnsi="Arial" w:cs="Arial"/>
          <w:color w:val="000000"/>
          <w:lang w:eastAsia="ja-JP"/>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SURUZXh0PjxEaXNwbGF5VGV4dD4oTWVyY2VkIGFuZCBSZW56YWdsaWEsIDIwMTY7IFJ1ZGFsbCBl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</w:fldData>
        </w:fldChar>
      </w:r>
      <w:r w:rsidR="001D2DA0">
        <w:rPr>
          <w:rFonts w:ascii="Arial" w:eastAsia="Times New Roman" w:hAnsi="Arial" w:cs="Arial"/>
          <w:color w:val="000000"/>
          <w:lang w:eastAsia="ja-JP"/>
        </w:rPr>
        <w:instrText xml:space="preserve"> ADDIN EN.CITE.DATA </w:instrText>
      </w:r>
      <w:r w:rsidR="001D2DA0">
        <w:rPr>
          <w:rFonts w:ascii="Arial" w:eastAsia="Times New Roman" w:hAnsi="Arial" w:cs="Arial"/>
          <w:color w:val="000000"/>
          <w:lang w:eastAsia="ja-JP"/>
        </w:rPr>
      </w:r>
      <w:r w:rsidR="001D2DA0">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001D2DA0">
        <w:rPr>
          <w:rFonts w:ascii="Arial" w:eastAsia="Times New Roman" w:hAnsi="Arial" w:cs="Arial"/>
          <w:noProof/>
          <w:color w:val="000000"/>
          <w:lang w:eastAsia="ja-JP"/>
        </w:rPr>
        <w:t>(Merced and Renzaglia, 2016; Rudall et al., 2013; Vaten and Bergmann, 2012)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Strikingly, it was found that when GMCs formed close together,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was capable of orchestrating a spacing division that separated the two formerly neighbouring stomatal lineage cells by an epidermal cell (</w:t>
      </w:r>
      <w:r w:rsidRPr="00D431D5">
        <w:rPr>
          <w:rFonts w:ascii="Arial" w:eastAsia="Times New Roman" w:hAnsi="Arial" w:cs="Arial"/>
          <w:b/>
          <w:color w:val="000000"/>
          <w:lang w:eastAsia="ja-JP"/>
        </w:rPr>
        <w:t xml:space="preserve">Fig. 4, </w:t>
      </w:r>
      <w:r w:rsidRPr="00D431D5">
        <w:rPr>
          <w:rFonts w:ascii="Arial" w:eastAsia="Times New Roman" w:hAnsi="Arial" w:cs="Arial"/>
          <w:color w:val="000000"/>
          <w:lang w:eastAsia="ja-JP"/>
        </w:rPr>
        <w:t xml:space="preserve">see also </w:t>
      </w:r>
      <w:r w:rsidRPr="00D431D5">
        <w:rPr>
          <w:rFonts w:ascii="Arial" w:eastAsia="Times New Roman" w:hAnsi="Arial" w:cs="Arial"/>
          <w:b/>
          <w:color w:val="000000"/>
          <w:lang w:eastAsia="ja-JP"/>
        </w:rPr>
        <w:t>Fig. 3</w:t>
      </w:r>
      <w:r w:rsidRPr="00D431D5">
        <w:rPr>
          <w:rFonts w:ascii="Arial" w:eastAsia="Times New Roman" w:hAnsi="Arial" w:cs="Arial"/>
          <w:color w:val="000000"/>
          <w:lang w:eastAsia="ja-JP"/>
        </w:rPr>
        <w:t xml:space="preserve">). </w:t>
      </w:r>
    </w:p>
    <w:p w14:paraId="75CED7B7" w14:textId="77777777" w:rsidR="008653D0"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During the initial stages of the aforementioned spacing division both GMC cells had aggregated organelles with pre-prophase bands but no fluorescence being emitted from the central region thereby suggesting that both cells were of an early GMC identity (</w:t>
      </w:r>
      <w:r w:rsidRPr="00D431D5">
        <w:rPr>
          <w:rFonts w:ascii="Arial" w:eastAsia="Times New Roman" w:hAnsi="Arial" w:cs="Arial"/>
          <w:b/>
          <w:color w:val="000000"/>
          <w:lang w:eastAsia="ja-JP"/>
        </w:rPr>
        <w:t>Fig. 4a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xml:space="preserve">, see also </w:t>
      </w:r>
      <w:r w:rsidRPr="00D431D5">
        <w:rPr>
          <w:rFonts w:ascii="Arial" w:eastAsia="Times New Roman" w:hAnsi="Arial" w:cs="Arial"/>
          <w:b/>
          <w:color w:val="000000"/>
          <w:lang w:eastAsia="ja-JP"/>
        </w:rPr>
        <w:t>Fig. 3f</w:t>
      </w:r>
      <w:r w:rsidRPr="00D431D5">
        <w:rPr>
          <w:rFonts w:ascii="Arial" w:eastAsia="Times New Roman" w:hAnsi="Arial" w:cs="Arial"/>
          <w:color w:val="000000"/>
          <w:lang w:eastAsia="ja-JP"/>
        </w:rPr>
        <w:t>). In the included example one of the GMCs was oval in shape (left sided GMC</w:t>
      </w:r>
      <w:r w:rsidRPr="00D431D5">
        <w:rPr>
          <w:rFonts w:ascii="Arial" w:eastAsia="Times New Roman" w:hAnsi="Arial" w:cs="Arial"/>
          <w:b/>
          <w:color w:val="000000"/>
          <w:lang w:eastAsia="ja-JP"/>
        </w:rPr>
        <w:t>, Fig. 4a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xml:space="preserve">) whilst the other exhibited a more irregular shape and appeared to </w:t>
      </w:r>
      <w:r w:rsidR="00D57BED">
        <w:rPr>
          <w:rFonts w:ascii="Arial" w:eastAsia="Times New Roman" w:hAnsi="Arial" w:cs="Arial"/>
          <w:color w:val="000000"/>
          <w:lang w:eastAsia="ja-JP"/>
        </w:rPr>
        <w:t xml:space="preserve">be undergoing a spacing division </w:t>
      </w:r>
      <w:r w:rsidRPr="00D431D5">
        <w:rPr>
          <w:rFonts w:ascii="Arial" w:eastAsia="Times New Roman" w:hAnsi="Arial" w:cs="Arial"/>
          <w:color w:val="000000"/>
          <w:lang w:eastAsia="ja-JP"/>
        </w:rPr>
        <w:t xml:space="preserve">with </w:t>
      </w:r>
      <w:r w:rsidR="00D57BED">
        <w:rPr>
          <w:rFonts w:ascii="Arial" w:eastAsia="Times New Roman" w:hAnsi="Arial" w:cs="Arial"/>
          <w:color w:val="000000"/>
          <w:lang w:eastAsia="ja-JP"/>
        </w:rPr>
        <w:t xml:space="preserve">a </w:t>
      </w:r>
      <w:r w:rsidRPr="00D431D5">
        <w:rPr>
          <w:rFonts w:ascii="Arial" w:eastAsia="Times New Roman" w:hAnsi="Arial" w:cs="Arial"/>
          <w:color w:val="000000"/>
          <w:lang w:eastAsia="ja-JP"/>
        </w:rPr>
        <w:t xml:space="preserve">pre-prophase band orientated at a different angle </w:t>
      </w:r>
      <w:r w:rsidR="00D57BED">
        <w:rPr>
          <w:rFonts w:ascii="Arial" w:eastAsia="Times New Roman" w:hAnsi="Arial" w:cs="Arial"/>
          <w:color w:val="000000"/>
          <w:lang w:eastAsia="ja-JP"/>
        </w:rPr>
        <w:t xml:space="preserve">on </w:t>
      </w:r>
      <w:r w:rsidRPr="00D431D5">
        <w:rPr>
          <w:rFonts w:ascii="Arial" w:eastAsia="Times New Roman" w:hAnsi="Arial" w:cs="Arial"/>
          <w:color w:val="000000"/>
          <w:lang w:eastAsia="ja-JP"/>
        </w:rPr>
        <w:lastRenderedPageBreak/>
        <w:t>the left sided GMC (right sided GMC</w:t>
      </w:r>
      <w:r w:rsidRPr="00D431D5">
        <w:rPr>
          <w:rFonts w:ascii="Arial" w:eastAsia="Times New Roman" w:hAnsi="Arial" w:cs="Arial"/>
          <w:b/>
          <w:color w:val="000000"/>
          <w:lang w:eastAsia="ja-JP"/>
        </w:rPr>
        <w:t>, Fig. 4a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The two nascent GMC cells identified were followed over 2 hours to understand how stomatal development unfolded in such a situation (</w:t>
      </w:r>
      <w:r w:rsidRPr="00D431D5">
        <w:rPr>
          <w:rFonts w:ascii="Arial" w:eastAsia="Times New Roman" w:hAnsi="Arial" w:cs="Arial"/>
          <w:b/>
          <w:color w:val="000000"/>
          <w:lang w:eastAsia="ja-JP"/>
        </w:rPr>
        <w:t>Fig. 4c</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4h</w:t>
      </w:r>
      <w:r w:rsidRPr="00D431D5">
        <w:rPr>
          <w:rFonts w:ascii="Arial" w:eastAsia="Times New Roman" w:hAnsi="Arial" w:cs="Arial"/>
          <w:color w:val="000000"/>
          <w:lang w:eastAsia="ja-JP"/>
        </w:rPr>
        <w:t>). In the case of both GMCs, from being initially aggregated, the organelles either dissipated (left sided GMC, (</w:t>
      </w:r>
      <w:r w:rsidRPr="00D431D5">
        <w:rPr>
          <w:rFonts w:ascii="Arial" w:eastAsia="Times New Roman" w:hAnsi="Arial" w:cs="Arial"/>
          <w:b/>
          <w:color w:val="000000"/>
          <w:lang w:eastAsia="ja-JP"/>
        </w:rPr>
        <w:t>Fig. 4c</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4d</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 xml:space="preserve">or became fragmented and dispersed throughout the cell (right sided budding GMC, </w:t>
      </w:r>
      <w:r w:rsidRPr="00D431D5">
        <w:rPr>
          <w:rFonts w:ascii="Arial" w:eastAsia="Times New Roman" w:hAnsi="Arial" w:cs="Arial"/>
          <w:b/>
          <w:color w:val="000000"/>
          <w:lang w:eastAsia="ja-JP"/>
        </w:rPr>
        <w:t>Fig. 4c</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4d</w:t>
      </w:r>
      <w:r w:rsidRPr="00D431D5">
        <w:rPr>
          <w:rFonts w:ascii="Arial" w:eastAsia="Times New Roman" w:hAnsi="Arial" w:cs="Arial"/>
          <w:color w:val="000000"/>
          <w:lang w:eastAsia="ja-JP"/>
        </w:rPr>
        <w:t>). During organelle fragmentation the budding GMC on the right began to separate into two independent cells with the fragmented organelles moving to cell located furthest away from the more regularly shaped oval GMC with dissipated organelles on left (</w:t>
      </w:r>
      <w:r w:rsidRPr="00D431D5">
        <w:rPr>
          <w:rFonts w:ascii="Arial" w:eastAsia="Times New Roman" w:hAnsi="Arial" w:cs="Arial"/>
          <w:b/>
          <w:color w:val="000000"/>
          <w:lang w:eastAsia="ja-JP"/>
        </w:rPr>
        <w:t>Fig. 4c</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4h</w:t>
      </w:r>
      <w:r w:rsidRPr="00D431D5">
        <w:rPr>
          <w:rFonts w:ascii="Arial" w:eastAsia="Times New Roman" w:hAnsi="Arial" w:cs="Arial"/>
          <w:color w:val="000000"/>
          <w:lang w:eastAsia="ja-JP"/>
        </w:rPr>
        <w:t>). The cell that formed in between the oval GMC and new cell with the fragmented organelles appeared to have little visible content and looked like a standard epidermal cell. At no time during this sequence was a fluorescence emission detected from the central regions of either of the GMCs concerned which suggests that the cells being observed were not entering the final symmetric division stage of forming a pore.</w:t>
      </w:r>
    </w:p>
    <w:p w14:paraId="1724865A" w14:textId="77777777" w:rsidR="008653D0"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 </w:t>
      </w:r>
      <w:r w:rsidRPr="00D431D5">
        <w:rPr>
          <w:rFonts w:ascii="Arial" w:eastAsia="Times New Roman" w:hAnsi="Arial" w:cs="Arial"/>
          <w:noProof/>
          <w:color w:val="000000"/>
          <w:lang w:eastAsia="ja-JP"/>
        </w:rPr>
        <w:drawing>
          <wp:inline distT="0" distB="0" distL="0" distR="0" wp14:anchorId="3DF88AB5" wp14:editId="5DB90CBB">
            <wp:extent cx="5684655" cy="2605178"/>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95482" cy="2610140"/>
                    </a:xfrm>
                    <a:prstGeom prst="rect">
                      <a:avLst/>
                    </a:prstGeom>
                  </pic:spPr>
                </pic:pic>
              </a:graphicData>
            </a:graphic>
          </wp:inline>
        </w:drawing>
      </w:r>
    </w:p>
    <w:p w14:paraId="54C30944" w14:textId="0F73FA21" w:rsidR="00D431D5" w:rsidRPr="008653D0" w:rsidRDefault="00D431D5" w:rsidP="00D431D5">
      <w:pPr>
        <w:tabs>
          <w:tab w:val="left" w:pos="6663"/>
        </w:tabs>
        <w:spacing w:after="160" w:line="360" w:lineRule="auto"/>
        <w:rPr>
          <w:rFonts w:ascii="Arial" w:eastAsia="Times New Roman" w:hAnsi="Arial" w:cs="Arial"/>
          <w:b/>
          <w:color w:val="000000"/>
          <w:lang w:eastAsia="ja-JP"/>
        </w:rPr>
      </w:pPr>
      <w:r w:rsidRPr="00D431D5">
        <w:rPr>
          <w:rFonts w:ascii="Arial" w:eastAsia="Times New Roman" w:hAnsi="Arial" w:cs="Arial"/>
          <w:b/>
          <w:color w:val="000000"/>
          <w:lang w:eastAsia="ja-JP"/>
        </w:rPr>
        <w:t xml:space="preserve">Figure 4. Evidence for mesoperigenous stomatal development in </w:t>
      </w:r>
      <w:r w:rsidRPr="00D431D5">
        <w:rPr>
          <w:rFonts w:ascii="Arial" w:eastAsia="Times New Roman" w:hAnsi="Arial" w:cs="Arial"/>
          <w:b/>
          <w:i/>
          <w:color w:val="000000"/>
          <w:lang w:eastAsia="ja-JP"/>
        </w:rPr>
        <w:t>P. patens</w:t>
      </w:r>
      <w:r w:rsidRPr="00D431D5">
        <w:rPr>
          <w:rFonts w:ascii="Arial" w:eastAsia="Times New Roman" w:hAnsi="Arial" w:cs="Arial"/>
          <w:b/>
          <w:color w:val="000000"/>
          <w:lang w:eastAsia="ja-JP"/>
        </w:rPr>
        <w:t>.</w:t>
      </w:r>
      <w:r w:rsidRPr="00D431D5">
        <w:rPr>
          <w:rFonts w:ascii="Arial" w:eastAsia="Times New Roman" w:hAnsi="Arial" w:cs="Arial"/>
          <w:color w:val="000000"/>
          <w:lang w:eastAsia="ja-JP"/>
        </w:rPr>
        <w:t xml:space="preserve"> A montage of images taken over approximately 2 hours illustrating changes in stomatal lineage cell conformation during an early GMC division.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xml:space="preserve">) Bright-field image illustrating two neighbouring GMC cells with aggregated cellular organelles. The right GMC is budding off and undergoing an apparent </w:t>
      </w:r>
      <w:r w:rsidR="00D57BED">
        <w:rPr>
          <w:rFonts w:ascii="Arial" w:eastAsia="Times New Roman" w:hAnsi="Arial" w:cs="Arial"/>
          <w:color w:val="000000"/>
          <w:lang w:eastAsia="ja-JP"/>
        </w:rPr>
        <w:t>a</w:t>
      </w:r>
      <w:r w:rsidRPr="00D431D5">
        <w:rPr>
          <w:rFonts w:ascii="Arial" w:eastAsia="Times New Roman" w:hAnsi="Arial" w:cs="Arial"/>
          <w:color w:val="000000"/>
          <w:lang w:eastAsia="ja-JP"/>
        </w:rPr>
        <w:t xml:space="preserve">symmetric </w:t>
      </w:r>
      <w:r w:rsidR="00D57BED">
        <w:rPr>
          <w:rFonts w:ascii="Arial" w:eastAsia="Times New Roman" w:hAnsi="Arial" w:cs="Arial"/>
          <w:color w:val="000000"/>
          <w:lang w:eastAsia="ja-JP"/>
        </w:rPr>
        <w:t xml:space="preserve">spacing </w:t>
      </w:r>
      <w:r w:rsidRPr="00D431D5">
        <w:rPr>
          <w:rFonts w:ascii="Arial" w:eastAsia="Times New Roman" w:hAnsi="Arial" w:cs="Arial"/>
          <w:color w:val="000000"/>
          <w:lang w:eastAsia="ja-JP"/>
        </w:rPr>
        <w:t>division. Pre-prophase bands can be seen in both GMCs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Fluorescence image of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xml:space="preserve">) with no visible build-up of fluorescence material in central pore regions of either cell suggestive of both cells being early GMCs (sell also </w:t>
      </w:r>
      <w:r w:rsidRPr="00D431D5">
        <w:rPr>
          <w:rFonts w:ascii="Arial" w:eastAsia="Times New Roman" w:hAnsi="Arial" w:cs="Arial"/>
          <w:b/>
          <w:color w:val="000000"/>
          <w:lang w:eastAsia="ja-JP"/>
        </w:rPr>
        <w:t>Fig. 3</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The previously pronounced organelles in both GMC cells have dissipated in the left sided GMC, and have fragmented in an equally distributed pattern within the right sided cell. (</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 Fluorescence image of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still displaying no evidence of fluorescent material associated with pore formation. A number of the cells including the GMCs now appear darker than previously observed in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xml:space="preserve">) Over time as cell division is continuing the fragmented </w:t>
      </w:r>
      <w:r w:rsidRPr="00D431D5">
        <w:rPr>
          <w:rFonts w:ascii="Arial" w:eastAsia="Times New Roman" w:hAnsi="Arial" w:cs="Arial"/>
          <w:color w:val="000000"/>
          <w:lang w:eastAsia="ja-JP"/>
        </w:rPr>
        <w:lastRenderedPageBreak/>
        <w:t>organelles seem to migrate past the pre-prophase band and become concentrated in the right of two newly forming cells. (</w:t>
      </w:r>
      <w:r w:rsidRPr="00D431D5">
        <w:rPr>
          <w:rFonts w:ascii="Arial" w:eastAsia="Times New Roman" w:hAnsi="Arial" w:cs="Arial"/>
          <w:b/>
          <w:color w:val="000000"/>
          <w:lang w:eastAsia="ja-JP"/>
        </w:rPr>
        <w:t>h</w:t>
      </w:r>
      <w:r w:rsidRPr="00D431D5">
        <w:rPr>
          <w:rFonts w:ascii="Arial" w:eastAsia="Times New Roman" w:hAnsi="Arial" w:cs="Arial"/>
          <w:color w:val="000000"/>
          <w:lang w:eastAsia="ja-JP"/>
        </w:rPr>
        <w:t>) Fluorescence image of (</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xml:space="preserve">) still with no visible build-up in either the left sided GMC or </w:t>
      </w:r>
      <w:r w:rsidR="00D57BED">
        <w:rPr>
          <w:rFonts w:ascii="Arial" w:eastAsia="Times New Roman" w:hAnsi="Arial" w:cs="Arial"/>
          <w:color w:val="000000"/>
          <w:lang w:eastAsia="ja-JP"/>
        </w:rPr>
        <w:t xml:space="preserve">either of </w:t>
      </w:r>
      <w:r w:rsidRPr="00D431D5">
        <w:rPr>
          <w:rFonts w:ascii="Arial" w:eastAsia="Times New Roman" w:hAnsi="Arial" w:cs="Arial"/>
          <w:color w:val="000000"/>
          <w:lang w:eastAsia="ja-JP"/>
        </w:rPr>
        <w:t xml:space="preserve">the two </w:t>
      </w:r>
      <w:r w:rsidR="00D57BED">
        <w:rPr>
          <w:rFonts w:ascii="Arial" w:eastAsia="Times New Roman" w:hAnsi="Arial" w:cs="Arial"/>
          <w:color w:val="000000"/>
          <w:lang w:eastAsia="ja-JP"/>
        </w:rPr>
        <w:t xml:space="preserve">daughter </w:t>
      </w:r>
      <w:r w:rsidRPr="00D431D5">
        <w:rPr>
          <w:rFonts w:ascii="Arial" w:eastAsia="Times New Roman" w:hAnsi="Arial" w:cs="Arial"/>
          <w:color w:val="000000"/>
          <w:lang w:eastAsia="ja-JP"/>
        </w:rPr>
        <w:t xml:space="preserve">cells formed from the </w:t>
      </w:r>
      <w:r w:rsidR="00D57BED">
        <w:rPr>
          <w:rFonts w:ascii="Arial" w:eastAsia="Times New Roman" w:hAnsi="Arial" w:cs="Arial"/>
          <w:color w:val="000000"/>
          <w:lang w:eastAsia="ja-JP"/>
        </w:rPr>
        <w:t xml:space="preserve">spacing division of the right-sided </w:t>
      </w:r>
      <w:r w:rsidRPr="00D431D5">
        <w:rPr>
          <w:rFonts w:ascii="Arial" w:eastAsia="Times New Roman" w:hAnsi="Arial" w:cs="Arial"/>
          <w:color w:val="000000"/>
          <w:lang w:eastAsia="ja-JP"/>
        </w:rPr>
        <w:t>GMC parental cell. Scale bars equates to 15µm.</w:t>
      </w:r>
    </w:p>
    <w:p w14:paraId="59475383" w14:textId="77777777" w:rsidR="00D431D5" w:rsidRPr="00D431D5" w:rsidRDefault="00D431D5" w:rsidP="00D431D5">
      <w:pPr>
        <w:tabs>
          <w:tab w:val="left" w:pos="6663"/>
        </w:tabs>
        <w:spacing w:after="160" w:line="360" w:lineRule="auto"/>
        <w:rPr>
          <w:rFonts w:ascii="Arial" w:eastAsia="Times New Roman" w:hAnsi="Arial" w:cs="Arial"/>
          <w:i/>
          <w:color w:val="000000"/>
          <w:u w:val="single"/>
          <w:lang w:eastAsia="ja-JP"/>
        </w:rPr>
      </w:pPr>
      <w:r w:rsidRPr="00D431D5">
        <w:rPr>
          <w:rFonts w:ascii="Arial" w:eastAsia="Times New Roman" w:hAnsi="Arial" w:cs="Arial"/>
          <w:color w:val="000000"/>
          <w:u w:val="single"/>
          <w:lang w:eastAsia="ja-JP"/>
        </w:rPr>
        <w:t xml:space="preserve">3.2.4 Mature stomata in </w:t>
      </w:r>
      <w:r w:rsidRPr="00D431D5">
        <w:rPr>
          <w:rFonts w:ascii="Arial" w:eastAsia="Times New Roman" w:hAnsi="Arial" w:cs="Arial"/>
          <w:i/>
          <w:color w:val="000000"/>
          <w:u w:val="single"/>
          <w:lang w:eastAsia="ja-JP"/>
        </w:rPr>
        <w:t xml:space="preserve">P. </w:t>
      </w:r>
      <w:commentRangeStart w:id="5"/>
      <w:r w:rsidRPr="00D431D5">
        <w:rPr>
          <w:rFonts w:ascii="Arial" w:eastAsia="Times New Roman" w:hAnsi="Arial" w:cs="Arial"/>
          <w:i/>
          <w:color w:val="000000"/>
          <w:u w:val="single"/>
          <w:lang w:eastAsia="ja-JP"/>
        </w:rPr>
        <w:t>patens</w:t>
      </w:r>
      <w:commentRangeEnd w:id="5"/>
      <w:r w:rsidRPr="00D431D5">
        <w:rPr>
          <w:rFonts w:ascii="Arial" w:eastAsia="Times New Roman" w:hAnsi="Arial" w:cs="Arial"/>
          <w:color w:val="000000"/>
          <w:u w:val="single"/>
          <w:lang w:eastAsia="ja-JP"/>
        </w:rPr>
        <w:commentReference w:id="5"/>
      </w:r>
    </w:p>
    <w:p w14:paraId="205BB251" w14:textId="2D5B4E9B"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The mature stomata of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like in other family members of the Funariaceae, typically consist of a single guard cell that surrounds a central pore which connects the sub-stomatal cavity with the outside environment (</w:t>
      </w:r>
      <w:r w:rsidRPr="00D431D5">
        <w:rPr>
          <w:rFonts w:ascii="Arial" w:eastAsia="Times New Roman" w:hAnsi="Arial" w:cs="Arial"/>
          <w:b/>
          <w:color w:val="000000"/>
          <w:lang w:eastAsia="ja-JP"/>
        </w:rPr>
        <w:t xml:space="preserve">Fig. 5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6</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fldData xml:space="preserve">PEVuZE5vdGU+PENpdGU+PEF1dGhvcj5GaWVsZDwvQXV0aG9yPjxZZWFyPjIwMTU8L1llYXI+PElE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=
</w:fldData>
        </w:fldChar>
      </w:r>
      <w:r w:rsidR="001D2DA0">
        <w:rPr>
          <w:rFonts w:ascii="Arial" w:eastAsia="Times New Roman" w:hAnsi="Arial" w:cs="Arial"/>
          <w:color w:val="000000"/>
          <w:lang w:eastAsia="ja-JP"/>
        </w:rPr>
        <w:instrText xml:space="preserve"> ADDIN EN.CITE </w:instrText>
      </w:r>
      <w:r w:rsidR="001D2DA0">
        <w:rPr>
          <w:rFonts w:ascii="Arial" w:eastAsia="Times New Roman" w:hAnsi="Arial" w:cs="Arial"/>
          <w:color w:val="000000"/>
          <w:lang w:eastAsia="ja-JP"/>
        </w:rPr>
        <w:fldChar w:fldCharType="begin">
          <w:fldData xml:space="preserve">PEVuZE5vdGU+PENpdGU+PEF1dGhvcj5GaWVsZDwvQXV0aG9yPjxZZWFyPjIwMTU8L1llYXI+PElE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=
</w:fldData>
        </w:fldChar>
      </w:r>
      <w:r w:rsidR="001D2DA0">
        <w:rPr>
          <w:rFonts w:ascii="Arial" w:eastAsia="Times New Roman" w:hAnsi="Arial" w:cs="Arial"/>
          <w:color w:val="000000"/>
          <w:lang w:eastAsia="ja-JP"/>
        </w:rPr>
        <w:instrText xml:space="preserve"> ADDIN EN.CITE.DATA </w:instrText>
      </w:r>
      <w:r w:rsidR="001D2DA0">
        <w:rPr>
          <w:rFonts w:ascii="Arial" w:eastAsia="Times New Roman" w:hAnsi="Arial" w:cs="Arial"/>
          <w:color w:val="000000"/>
          <w:lang w:eastAsia="ja-JP"/>
        </w:rPr>
      </w:r>
      <w:r w:rsidR="001D2DA0">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001D2DA0">
        <w:rPr>
          <w:rFonts w:ascii="Arial" w:eastAsia="Times New Roman" w:hAnsi="Arial" w:cs="Arial"/>
          <w:noProof/>
          <w:color w:val="000000"/>
          <w:lang w:eastAsia="ja-JP"/>
        </w:rPr>
        <w:t>(Field et al., 2015; Merced and Renzaglia, 2016)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In the closely related </w:t>
      </w:r>
      <w:r w:rsidRPr="00D431D5">
        <w:rPr>
          <w:rFonts w:ascii="Arial" w:eastAsia="Times New Roman" w:hAnsi="Arial" w:cs="Arial"/>
          <w:i/>
          <w:color w:val="000000"/>
          <w:lang w:eastAsia="ja-JP"/>
        </w:rPr>
        <w:t xml:space="preserve">F. hygrometrica </w:t>
      </w:r>
      <w:r w:rsidRPr="00D431D5">
        <w:rPr>
          <w:rFonts w:ascii="Arial" w:eastAsia="Times New Roman" w:hAnsi="Arial" w:cs="Arial"/>
          <w:color w:val="000000"/>
          <w:lang w:eastAsia="ja-JP"/>
        </w:rPr>
        <w:t xml:space="preserve">this occurs due to incomplete cytokinesis during the symmetric division of the GMC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&lt;EndNote&gt;&lt;Cite&gt;&lt;Author&gt;Sack&lt;/Author&gt;&lt;Year&gt;1985&lt;/Year&gt;&lt;IDText&gt;Incomplete cytokinesis in Funaria stomata&lt;/IDText&gt;&lt;DisplayText&gt;(Sack and Paolillo, 1985)&lt;/DisplayText&gt;&lt;record&gt;&lt;keywords&gt;&lt;keyword&gt;Plant Sciences&lt;/keyword&gt;&lt;/keywords&gt;&lt;isbn&gt;0002-9122&lt;/isbn&gt;&lt;work-type&gt;Article&lt;/work-type&gt;&lt;titles&gt;&lt;title&gt;&lt;style font="default" size="100%"&gt;Incomplete cytokinesis in &lt;/style&gt;&lt;style face="italic" font="default" size="100%"&gt;Funaria&lt;/style&gt;&lt;style font="default" size="100%"&gt; stomata&lt;/style&gt;&lt;/title&gt;&lt;secondary-title&gt;American Journal of Botany&lt;/secondary-title&gt;&lt;/titles&gt;&lt;pages&gt;1325-1333&lt;/pages&gt;&lt;number&gt;9&lt;/number&gt;&lt;contributors&gt;&lt;authors&gt;&lt;author&gt;Sack, F. D.&lt;/author&gt;&lt;author&gt;Paolillo, D. J.&lt;/author&gt;&lt;/authors&gt;&lt;/contributors&gt;&lt;language&gt;English&lt;/language&gt;&lt;added-date format="utc"&gt;1444738425&lt;/added-date&gt;&lt;ref-type name="Journal Article"&gt;17&lt;/ref-type&gt;&lt;auth-address&gt;CORNELL UNIV,PLANT BIOL SECT,ITHACA,NY 14853.&lt;/auth-address&gt;&lt;dates&gt;&lt;year&gt;1985&lt;/year&gt;&lt;/dates&gt;&lt;rec-number&gt;174&lt;/rec-number&gt;&lt;last-updated-date format="utc"&gt;1452244954&lt;/last-updated-date&gt;&lt;accession-num&gt;WOS:A1985AVK0800001&lt;/accession-num&gt;&lt;electronic-resource-num&gt;10.2307/2443504&lt;/electronic-resource-num&gt;&lt;volume&gt;72&lt;/volume&gt;&lt;/record&gt;&lt;/Cite&gt;&lt;/EndNote&gt;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(Sack and Paolillo, 1985)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As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stomata developing they change in colour from being initially being a green-to-yellow colour to orange and then finally brown ((</w:t>
      </w:r>
      <w:r w:rsidRPr="00D431D5">
        <w:rPr>
          <w:rFonts w:ascii="Arial" w:eastAsia="Times New Roman" w:hAnsi="Arial" w:cs="Arial"/>
          <w:b/>
          <w:color w:val="000000"/>
          <w:lang w:eastAsia="ja-JP"/>
        </w:rPr>
        <w:t>Fig. 5b</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 xml:space="preserve">see also </w:t>
      </w:r>
      <w:r w:rsidRPr="00D431D5">
        <w:rPr>
          <w:rFonts w:ascii="Arial" w:eastAsia="Times New Roman" w:hAnsi="Arial" w:cs="Arial"/>
          <w:b/>
          <w:color w:val="000000"/>
          <w:lang w:eastAsia="ja-JP"/>
        </w:rPr>
        <w:t>Fig. 2c</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xml:space="preserve">). The neighbouring epidermal cells around an individual guard cell appear to be predominantly derived from non-stomatal lineage epidermal cells, however, amongst such cells it is also possible that a cell produced </w:t>
      </w:r>
      <w:r w:rsidR="00D57BED">
        <w:rPr>
          <w:rFonts w:ascii="Arial" w:eastAsia="Times New Roman" w:hAnsi="Arial" w:cs="Arial"/>
          <w:color w:val="000000"/>
          <w:lang w:eastAsia="ja-JP"/>
        </w:rPr>
        <w:t xml:space="preserve">from a </w:t>
      </w:r>
      <w:r w:rsidRPr="00D431D5">
        <w:rPr>
          <w:rFonts w:ascii="Arial" w:eastAsia="Times New Roman" w:hAnsi="Arial" w:cs="Arial"/>
          <w:color w:val="000000"/>
          <w:lang w:eastAsia="ja-JP"/>
        </w:rPr>
        <w:t>GMC spacing division might also be present (</w:t>
      </w:r>
      <w:r w:rsidRPr="00D431D5">
        <w:rPr>
          <w:rFonts w:ascii="Arial" w:eastAsia="Times New Roman" w:hAnsi="Arial" w:cs="Arial"/>
          <w:b/>
          <w:color w:val="000000"/>
          <w:lang w:eastAsia="ja-JP"/>
        </w:rPr>
        <w:t>Fig. 5c</w:t>
      </w:r>
      <w:r w:rsidRPr="00D431D5">
        <w:rPr>
          <w:rFonts w:ascii="Arial" w:eastAsia="Times New Roman" w:hAnsi="Arial" w:cs="Arial"/>
          <w:color w:val="000000"/>
          <w:lang w:eastAsia="ja-JP"/>
        </w:rPr>
        <w:t xml:space="preserve">, see also </w:t>
      </w:r>
      <w:r w:rsidRPr="00D431D5">
        <w:rPr>
          <w:rFonts w:ascii="Arial" w:eastAsia="Times New Roman" w:hAnsi="Arial" w:cs="Arial"/>
          <w:b/>
          <w:color w:val="000000"/>
          <w:lang w:eastAsia="ja-JP"/>
        </w:rPr>
        <w:t>Fig. 4</w:t>
      </w:r>
      <w:r w:rsidRPr="00D431D5">
        <w:rPr>
          <w:rFonts w:ascii="Arial" w:eastAsia="Times New Roman" w:hAnsi="Arial" w:cs="Arial"/>
          <w:color w:val="000000"/>
          <w:lang w:eastAsia="ja-JP"/>
        </w:rPr>
        <w:t xml:space="preserve">). Each mature guard cell is typically bordered by 2 or 3 epidermal cells both basally and apically and a further 1 or 2 on either side. Whilst the epidermal cells around each stomate are display similar patterns there is no obvious sign of such cells aiding in stomatal function and thus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stomata are probably anomocytic. Generally, the guard cells are spaced to avoid stomatal clusters around the base of the spore capsule directly above the seta (See </w:t>
      </w:r>
      <w:r w:rsidRPr="00D431D5">
        <w:rPr>
          <w:rFonts w:ascii="Arial" w:eastAsia="Times New Roman" w:hAnsi="Arial" w:cs="Arial"/>
          <w:b/>
          <w:color w:val="000000"/>
          <w:lang w:eastAsia="ja-JP"/>
        </w:rPr>
        <w:t xml:space="preserve">Fig. 2F, 2f, 2G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 xml:space="preserve">2g </w:t>
      </w:r>
      <w:r w:rsidRPr="00D431D5">
        <w:rPr>
          <w:rFonts w:ascii="Arial" w:eastAsia="Times New Roman" w:hAnsi="Arial" w:cs="Arial"/>
          <w:color w:val="000000"/>
          <w:lang w:eastAsia="ja-JP"/>
        </w:rPr>
        <w:t>and</w:t>
      </w:r>
      <w:r w:rsidRPr="00D431D5">
        <w:rPr>
          <w:rFonts w:ascii="Arial" w:eastAsia="Times New Roman" w:hAnsi="Arial" w:cs="Arial"/>
          <w:b/>
          <w:color w:val="000000"/>
          <w:lang w:eastAsia="ja-JP"/>
        </w:rPr>
        <w:t xml:space="preserve"> 6b</w:t>
      </w:r>
      <w:r w:rsidRPr="00D431D5">
        <w:rPr>
          <w:rFonts w:ascii="Arial" w:eastAsia="Times New Roman" w:hAnsi="Arial" w:cs="Arial"/>
          <w:color w:val="000000"/>
          <w:lang w:eastAsia="ja-JP"/>
        </w:rPr>
        <w:t xml:space="preserve">). </w:t>
      </w:r>
    </w:p>
    <w:p w14:paraId="0F99F53F" w14:textId="77777777" w:rsidR="008653D0"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In a number of mosses with large sporophytes the region where the stomata form is referred to as the apophysis. Beneath the epidermis of species with such sporophytes it has been shown that an increased build-up of photosynthetic spongy tissue and air spaces exists which may be involved in permitting the uptake of carbon into the sporophyte via the stomata and also subsequent fixation </w:t>
      </w:r>
      <w:r w:rsidRPr="00D431D5">
        <w:rPr>
          <w:rFonts w:ascii="Arial" w:eastAsia="Times New Roman" w:hAnsi="Arial" w:cs="Arial"/>
          <w:color w:val="000000"/>
          <w:lang w:eastAsia="ja-JP"/>
        </w:rPr>
        <w:fldChar w:fldCharType="begin">
          <w:fldData xml:space="preserve">PEVuZE5vdGU+PENpdGU+PEF1dGhvcj5NZXJjZWQ8L0F1dGhvcj48WWVhcj4yMDEzPC9ZZWFyPjxJ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</w:fldData>
        </w:fldChar>
      </w:r>
      <w:r w:rsidR="001D2DA0">
        <w:rPr>
          <w:rFonts w:ascii="Arial" w:eastAsia="Times New Roman" w:hAnsi="Arial" w:cs="Arial"/>
          <w:color w:val="000000"/>
          <w:lang w:eastAsia="ja-JP"/>
        </w:rPr>
        <w:instrText xml:space="preserve"> ADDIN EN.CITE </w:instrText>
      </w:r>
      <w:r w:rsidR="001D2DA0">
        <w:rPr>
          <w:rFonts w:ascii="Arial" w:eastAsia="Times New Roman" w:hAnsi="Arial" w:cs="Arial"/>
          <w:color w:val="000000"/>
          <w:lang w:eastAsia="ja-JP"/>
        </w:rPr>
        <w:fldChar w:fldCharType="begin">
          <w:fldData xml:space="preserve">PEVuZE5vdGU+PENpdGU+PEF1dGhvcj5NZXJjZWQ8L0F1dGhvcj48WWVhcj4yMDEzPC9ZZWFyPjxJ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</w:fldData>
        </w:fldChar>
      </w:r>
      <w:r w:rsidR="001D2DA0">
        <w:rPr>
          <w:rFonts w:ascii="Arial" w:eastAsia="Times New Roman" w:hAnsi="Arial" w:cs="Arial"/>
          <w:color w:val="000000"/>
          <w:lang w:eastAsia="ja-JP"/>
        </w:rPr>
        <w:instrText xml:space="preserve"> ADDIN EN.CITE.DATA </w:instrText>
      </w:r>
      <w:r w:rsidR="001D2DA0">
        <w:rPr>
          <w:rFonts w:ascii="Arial" w:eastAsia="Times New Roman" w:hAnsi="Arial" w:cs="Arial"/>
          <w:color w:val="000000"/>
          <w:lang w:eastAsia="ja-JP"/>
        </w:rPr>
      </w:r>
      <w:r w:rsidR="001D2DA0">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001D2DA0">
        <w:rPr>
          <w:rFonts w:ascii="Arial" w:eastAsia="Times New Roman" w:hAnsi="Arial" w:cs="Arial"/>
          <w:noProof/>
          <w:color w:val="000000"/>
          <w:lang w:eastAsia="ja-JP"/>
        </w:rPr>
        <w:t>(Merced and Renzaglia, 2013; Merced and Renzaglia, 2016)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In contrast to the observations on larger sporophytes,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the apophysis and underlying areas are reduced and so for what function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stomata and sub-tending tissue function for is less clear.</w:t>
      </w:r>
    </w:p>
    <w:p w14:paraId="7889A363" w14:textId="77777777" w:rsidR="008653D0" w:rsidRDefault="008653D0" w:rsidP="00D431D5">
      <w:pPr>
        <w:tabs>
          <w:tab w:val="left" w:pos="6663"/>
        </w:tabs>
        <w:spacing w:after="160" w:line="360" w:lineRule="auto"/>
        <w:rPr>
          <w:rFonts w:ascii="Arial" w:eastAsia="Times New Roman" w:hAnsi="Arial" w:cs="Arial"/>
          <w:color w:val="000000"/>
          <w:lang w:eastAsia="ja-JP"/>
        </w:rPr>
      </w:pPr>
    </w:p>
    <w:p w14:paraId="78D48C36" w14:textId="508424EE"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noProof/>
          <w:color w:val="000000"/>
          <w:lang w:eastAsia="ja-JP"/>
        </w:rPr>
        <w:lastRenderedPageBreak/>
        <w:drawing>
          <wp:inline distT="0" distB="0" distL="0" distR="0" wp14:anchorId="0501383F" wp14:editId="0BFF6A57">
            <wp:extent cx="5708864" cy="1535502"/>
            <wp:effectExtent l="0" t="0" r="635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9modded.png"/>
                    <pic:cNvPicPr/>
                  </pic:nvPicPr>
                  <pic:blipFill rotWithShape="1">
                    <a:blip r:embed="rId25" cstate="print">
                      <a:extLst>
                        <a:ext uri="{28A0092B-C50C-407E-A947-70E740481C1C}">
                          <a14:useLocalDpi xmlns:a14="http://schemas.microsoft.com/office/drawing/2010/main" val="0"/>
                        </a:ext>
                      </a:extLst>
                    </a:blip>
                    <a:srcRect t="12071" b="19684"/>
                    <a:stretch/>
                  </pic:blipFill>
                  <pic:spPr bwMode="auto">
                    <a:xfrm>
                      <a:off x="0" y="0"/>
                      <a:ext cx="5737110" cy="154309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inline>
        </w:drawing>
      </w:r>
    </w:p>
    <w:p w14:paraId="0D13FC11" w14:textId="59FF5452"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b/>
          <w:color w:val="000000"/>
          <w:lang w:eastAsia="ja-JP"/>
        </w:rPr>
        <w:t>Figure 5</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Stomata and spacing on the fully expanded </w:t>
      </w:r>
      <w:r w:rsidRPr="00D431D5">
        <w:rPr>
          <w:rFonts w:ascii="Arial" w:eastAsia="Times New Roman" w:hAnsi="Arial" w:cs="Arial"/>
          <w:b/>
          <w:i/>
          <w:color w:val="000000"/>
          <w:lang w:eastAsia="ja-JP"/>
        </w:rPr>
        <w:t>P. patens</w:t>
      </w:r>
      <w:r w:rsidRPr="00D431D5">
        <w:rPr>
          <w:rFonts w:ascii="Arial" w:eastAsia="Times New Roman" w:hAnsi="Arial" w:cs="Arial"/>
          <w:b/>
          <w:color w:val="000000"/>
          <w:lang w:eastAsia="ja-JP"/>
        </w:rPr>
        <w:t xml:space="preserve"> sporophyte capsule.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A Technovit sectioned mature sporophyte capsule illustrating a stomate with accompanying sub-stomatal cavity and underlying reduced spongy tissue.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A bright-field close-up image of a developed guard cell on a fully expanded yellow sporophyte capsule grown under moist conditions. Note the occluded central pore.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xml:space="preserve">) Schematic illustrating the typical layout of stomata on the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epidermis. Whilst most cells that border guard cells are not derived from the stomatal lineage it may be possible for one of the neighbouring epidermal cells to have arisen from the same stomatal lineage as </w:t>
      </w:r>
      <w:r w:rsidR="00D57BED">
        <w:rPr>
          <w:rFonts w:ascii="Arial" w:eastAsia="Times New Roman" w:hAnsi="Arial" w:cs="Arial"/>
          <w:color w:val="000000"/>
          <w:lang w:eastAsia="ja-JP"/>
        </w:rPr>
        <w:t xml:space="preserve">a result of a GMC spacing division </w:t>
      </w:r>
      <w:r w:rsidRPr="00D431D5">
        <w:rPr>
          <w:rFonts w:ascii="Arial" w:eastAsia="Times New Roman" w:hAnsi="Arial" w:cs="Arial"/>
          <w:color w:val="000000"/>
          <w:lang w:eastAsia="ja-JP"/>
        </w:rPr>
        <w:t xml:space="preserve">(see also </w:t>
      </w:r>
      <w:r w:rsidRPr="00D431D5">
        <w:rPr>
          <w:rFonts w:ascii="Arial" w:eastAsia="Times New Roman" w:hAnsi="Arial" w:cs="Arial"/>
          <w:b/>
          <w:color w:val="000000"/>
          <w:lang w:eastAsia="ja-JP"/>
        </w:rPr>
        <w:t>Fig. 4</w:t>
      </w:r>
      <w:r w:rsidRPr="00D431D5">
        <w:rPr>
          <w:rFonts w:ascii="Arial" w:eastAsia="Times New Roman" w:hAnsi="Arial" w:cs="Arial"/>
          <w:color w:val="000000"/>
          <w:lang w:eastAsia="ja-JP"/>
        </w:rPr>
        <w:t>). Red asterisks denote cells putatively derived from the same early GMC. Scale bars equal 25µm.</w:t>
      </w:r>
    </w:p>
    <w:p w14:paraId="52B9C2CF" w14:textId="1CD15449"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To further understand how stomata development was integrated into sporophyte development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the total number of stomata in expanding sporophytes (sized between sporophytes in </w:t>
      </w:r>
      <w:r w:rsidRPr="00D431D5">
        <w:rPr>
          <w:rFonts w:ascii="Arial" w:eastAsia="Times New Roman" w:hAnsi="Arial" w:cs="Arial"/>
          <w:b/>
          <w:color w:val="000000"/>
          <w:lang w:eastAsia="ja-JP"/>
        </w:rPr>
        <w:t xml:space="preserve">Fig. 2D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 xml:space="preserve">2E) </w:t>
      </w:r>
      <w:r w:rsidRPr="00D431D5">
        <w:rPr>
          <w:rFonts w:ascii="Arial" w:eastAsia="Times New Roman" w:hAnsi="Arial" w:cs="Arial"/>
          <w:color w:val="000000"/>
          <w:lang w:eastAsia="ja-JP"/>
        </w:rPr>
        <w:t>were compared against fully expanded mature orange to brown sporophytes (</w:t>
      </w:r>
      <w:r w:rsidRPr="00D431D5">
        <w:rPr>
          <w:rFonts w:ascii="Arial" w:eastAsia="Times New Roman" w:hAnsi="Arial" w:cs="Arial"/>
          <w:b/>
          <w:color w:val="000000"/>
          <w:lang w:eastAsia="ja-JP"/>
        </w:rPr>
        <w:t>Fig. 6a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xml:space="preserve">, for sporophyte size example see </w:t>
      </w:r>
      <w:r w:rsidRPr="00D431D5">
        <w:rPr>
          <w:rFonts w:ascii="Arial" w:eastAsia="Times New Roman" w:hAnsi="Arial" w:cs="Arial"/>
          <w:b/>
          <w:color w:val="000000"/>
          <w:lang w:eastAsia="ja-JP"/>
        </w:rPr>
        <w:t>Fig. 2G</w:t>
      </w:r>
      <w:r w:rsidRPr="00D431D5">
        <w:rPr>
          <w:rFonts w:ascii="Arial" w:eastAsia="Times New Roman" w:hAnsi="Arial" w:cs="Arial"/>
          <w:color w:val="000000"/>
          <w:lang w:eastAsia="ja-JP"/>
        </w:rPr>
        <w:t xml:space="preserve">). It was found that rather than occurring in a short burst, the integration of stomatal development in the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sporophyte capsule is fluid occurring first as capsules are still elongating (see also </w:t>
      </w:r>
      <w:r w:rsidRPr="00D431D5">
        <w:rPr>
          <w:rFonts w:ascii="Arial" w:eastAsia="Times New Roman" w:hAnsi="Arial" w:cs="Arial"/>
          <w:b/>
          <w:color w:val="000000"/>
          <w:lang w:eastAsia="ja-JP"/>
        </w:rPr>
        <w:t xml:space="preserve">Fig. 2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3</w:t>
      </w:r>
      <w:r w:rsidRPr="00D431D5">
        <w:rPr>
          <w:rFonts w:ascii="Arial" w:eastAsia="Times New Roman" w:hAnsi="Arial" w:cs="Arial"/>
          <w:color w:val="000000"/>
          <w:lang w:eastAsia="ja-JP"/>
        </w:rPr>
        <w:t>) and continues as the capsule expand outwards. Analysis of stomatal clustering on fully expanded wild-type sporophytes showed that on occasion stomatal clusters containing either two (a 2-er) or three (a 3-er) stomata sometimes occurred (</w:t>
      </w:r>
      <w:r w:rsidRPr="00D431D5">
        <w:rPr>
          <w:rFonts w:ascii="Arial" w:eastAsia="Times New Roman" w:hAnsi="Arial" w:cs="Arial"/>
          <w:b/>
          <w:color w:val="000000"/>
          <w:lang w:eastAsia="ja-JP"/>
        </w:rPr>
        <w:t>Fig. 6d</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 There was no evidence of stomatal clustering in the expanding sporophytes (</w:t>
      </w:r>
      <w:r w:rsidRPr="00D431D5">
        <w:rPr>
          <w:rFonts w:ascii="Arial" w:eastAsia="Times New Roman" w:hAnsi="Arial" w:cs="Arial"/>
          <w:b/>
          <w:color w:val="000000"/>
          <w:lang w:eastAsia="ja-JP"/>
        </w:rPr>
        <w:t>Fig. 6f</w:t>
      </w:r>
      <w:r w:rsidRPr="00D431D5">
        <w:rPr>
          <w:rFonts w:ascii="Arial" w:eastAsia="Times New Roman" w:hAnsi="Arial" w:cs="Arial"/>
          <w:color w:val="000000"/>
          <w:lang w:eastAsia="ja-JP"/>
        </w:rPr>
        <w:t>). Whilst stomatal patterning was generally fairly equally spaced on expanded sporophytes there were on occasion small areas of the epidermis where no stomata formed (</w:t>
      </w:r>
      <w:r w:rsidRPr="00D431D5">
        <w:rPr>
          <w:rFonts w:ascii="Arial" w:eastAsia="Times New Roman" w:hAnsi="Arial" w:cs="Arial"/>
          <w:b/>
          <w:color w:val="000000"/>
          <w:lang w:eastAsia="ja-JP"/>
        </w:rPr>
        <w:t>Fig. 6g</w:t>
      </w:r>
      <w:r w:rsidRPr="00D431D5">
        <w:rPr>
          <w:rFonts w:ascii="Arial" w:eastAsia="Times New Roman" w:hAnsi="Arial" w:cs="Arial"/>
          <w:color w:val="000000"/>
          <w:lang w:eastAsia="ja-JP"/>
        </w:rPr>
        <w:t>). As well as such instances, there were also instances of arrested cells which may have transiently been of GMC identity which subsequently failed to develop a central pore (</w:t>
      </w:r>
      <w:r w:rsidRPr="00D431D5">
        <w:rPr>
          <w:rFonts w:ascii="Arial" w:eastAsia="Times New Roman" w:hAnsi="Arial" w:cs="Arial"/>
          <w:b/>
          <w:color w:val="000000"/>
          <w:lang w:eastAsia="ja-JP"/>
        </w:rPr>
        <w:t>Fig. 6h</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6j</w:t>
      </w:r>
      <w:r w:rsidRPr="00D431D5">
        <w:rPr>
          <w:rFonts w:ascii="Arial" w:eastAsia="Times New Roman" w:hAnsi="Arial" w:cs="Arial"/>
          <w:color w:val="000000"/>
          <w:lang w:eastAsia="ja-JP"/>
        </w:rPr>
        <w:t>). These included enlarged oval cells that were opaque (</w:t>
      </w:r>
      <w:r w:rsidRPr="00D431D5">
        <w:rPr>
          <w:rFonts w:ascii="Arial" w:eastAsia="Times New Roman" w:hAnsi="Arial" w:cs="Arial"/>
          <w:b/>
          <w:color w:val="000000"/>
          <w:lang w:eastAsia="ja-JP"/>
        </w:rPr>
        <w:t>Fig. 6h</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6i</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and enlarged oval cells that contained an intracellular orange to brown substance akin to that found in mature guard cells (</w:t>
      </w:r>
      <w:r w:rsidRPr="00D431D5">
        <w:rPr>
          <w:rFonts w:ascii="Arial" w:eastAsia="Times New Roman" w:hAnsi="Arial" w:cs="Arial"/>
          <w:b/>
          <w:color w:val="000000"/>
          <w:lang w:eastAsia="ja-JP"/>
        </w:rPr>
        <w:t>Fig. 6j</w:t>
      </w:r>
      <w:r w:rsidRPr="00D431D5">
        <w:rPr>
          <w:rFonts w:ascii="Arial" w:eastAsia="Times New Roman" w:hAnsi="Arial" w:cs="Arial"/>
          <w:color w:val="000000"/>
          <w:lang w:eastAsia="ja-JP"/>
        </w:rPr>
        <w:t xml:space="preserve">). Evidently, like in the closely related moss </w:t>
      </w:r>
      <w:r w:rsidRPr="00D431D5">
        <w:rPr>
          <w:rFonts w:ascii="Arial" w:eastAsia="Times New Roman" w:hAnsi="Arial" w:cs="Arial"/>
          <w:i/>
          <w:color w:val="000000"/>
          <w:lang w:eastAsia="ja-JP"/>
        </w:rPr>
        <w:t xml:space="preserve">F. hygrometrica </w:t>
      </w:r>
      <w:r w:rsidRPr="00D431D5">
        <w:rPr>
          <w:rFonts w:ascii="Arial" w:eastAsia="Times New Roman" w:hAnsi="Arial" w:cs="Arial"/>
          <w:color w:val="000000"/>
          <w:lang w:eastAsia="ja-JP"/>
        </w:rPr>
        <w:t xml:space="preserve">it appears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has the ability to regulate stomatal development by aborting the stomatal lineage cells at the GMC stage </w:t>
      </w:r>
      <w:r w:rsidRPr="00D431D5">
        <w:rPr>
          <w:rFonts w:ascii="Arial" w:eastAsia="Times New Roman" w:hAnsi="Arial" w:cs="Arial"/>
          <w:color w:val="000000"/>
          <w:lang w:eastAsia="ja-JP"/>
        </w:rPr>
        <w:fldChar w:fldCharType="begin"/>
      </w:r>
      <w:r w:rsidR="001D2DA0">
        <w:rPr>
          <w:rFonts w:ascii="Arial" w:eastAsia="Times New Roman" w:hAnsi="Arial" w:cs="Arial"/>
          <w:color w:val="000000"/>
          <w:lang w:eastAsia="ja-JP"/>
        </w:rPr>
        <w:instrText xml:space="preserve"> ADDIN EN.CITE &lt;EndNote&gt;&lt;Cite&gt;&lt;Author&gt;Merced&lt;/Author&gt;&lt;Year&gt;2016&lt;/Year&gt;&lt;IDText&gt;Patterning of stomata in the moss Funaria: a simple way to space guard cells&lt;/IDText&gt;&lt;DisplayText&gt;(Merced and Renzaglia, 2016)&lt;/DisplayText&gt;&lt;record&gt;&lt;dates&gt;&lt;pub-dates&gt;&lt;date&gt;May&lt;/date&gt;&lt;/pub-dates&gt;&lt;year&gt;2016&lt;/year&gt;&lt;/dates&gt;&lt;keywords&gt;&lt;keyword&gt;Funaria&lt;/keyword&gt;&lt;keyword&gt;GMC&lt;/keyword&gt;&lt;keyword&gt;guard cell&lt;/keyword&gt;&lt;keyword&gt;LM19&lt;/keyword&gt;&lt;keyword&gt;mosses&lt;/keyword&gt;&lt;keyword&gt;immunolocalization&lt;/keyword&gt;&lt;keyword&gt;stomata&lt;/keyword&gt;&lt;keyword&gt;stomatal development&lt;/keyword&gt;&lt;keyword&gt;stomatal patterning&lt;/keyword&gt;&lt;keyword&gt;ultrastructure&lt;/keyword&gt;&lt;keyword&gt;land plants&lt;/keyword&gt;&lt;keyword&gt;mother cell&lt;/keyword&gt;&lt;keyword&gt;evolution&lt;/keyword&gt;&lt;keyword&gt;arabidopsis&lt;/keyword&gt;&lt;keyword&gt;sporophyte&lt;/keyword&gt;&lt;keyword&gt;calyptra&lt;/keyword&gt;&lt;keyword&gt;cuticle&lt;/keyword&gt;&lt;keyword&gt;hygrometrica&lt;/keyword&gt;&lt;keyword&gt;angiosperms&lt;/keyword&gt;&lt;keyword&gt;hornworts&lt;/keyword&gt;&lt;keyword&gt;Plant Sciences&lt;/keyword&gt;&lt;/keywords&gt;&lt;urls&gt;&lt;related-urls&gt;&lt;url&gt;&amp;lt;Go to ISI&amp;gt;://WOS:000376655400004&lt;/url&gt;&lt;/related-urls&gt;&lt;/urls&gt;&lt;isbn&gt;0305-7364&lt;/isbn&gt;&lt;work-type&gt;Article&lt;/work-type&gt;&lt;titles&gt;&lt;title&gt;Patterning of stomata in the moss Funaria: a simple way to space guard cells&lt;/title&gt;&lt;secondary-title&gt;Annals of Botany&lt;/secondary-title&gt;&lt;/titles&gt;&lt;pages&gt;985-994&lt;/pages&gt;&lt;number&gt;6&lt;/number&gt;&lt;contributors&gt;&lt;authors&gt;&lt;author&gt;Merced, A.&lt;/author&gt;&lt;author&gt;Renzaglia, K. S.&lt;/author&gt;&lt;/authors&gt;&lt;/contributors&gt;&lt;language&gt;English&lt;/language&gt;&lt;added-date format="utc"&gt;1472795758&lt;/added-date&gt;&lt;ref-type name="Journal Article"&gt;17&lt;/ref-type&gt;&lt;auth-address&gt;[Merced, Amelia&amp;#xD;Renzaglia, Karen S.] So Illinois Univ, Dept Plant Biol, Carbondale, IL 62901 USA.&amp;#xD;Merced, A (reprint author), So Illinois Univ, Dept Plant Biol, Carbondale, IL 62901 USA.&amp;#xD;ameliamerced@siu.edu&lt;/auth-address&gt;&lt;rec-number&gt;1338&lt;/rec-number&gt;&lt;last-updated-date format="utc"&gt;1472795758&lt;/last-updated-date&gt;&lt;accession-num&gt;WOS:000376655400004&lt;/accession-num&gt;&lt;electronic-resource-num&gt;10.1093/aob/mcw029&lt;/electronic-resource-num&gt;&lt;volume&gt;117&lt;/volume&gt;&lt;/record&gt;&lt;/Cite&gt;&lt;/EndNote&gt;</w:instrText>
      </w:r>
      <w:r w:rsidRPr="00D431D5">
        <w:rPr>
          <w:rFonts w:ascii="Arial" w:eastAsia="Times New Roman" w:hAnsi="Arial" w:cs="Arial"/>
          <w:color w:val="000000"/>
          <w:lang w:eastAsia="ja-JP"/>
        </w:rPr>
        <w:fldChar w:fldCharType="separate"/>
      </w:r>
      <w:r w:rsidR="001D2DA0">
        <w:rPr>
          <w:rFonts w:ascii="Arial" w:eastAsia="Times New Roman" w:hAnsi="Arial" w:cs="Arial"/>
          <w:noProof/>
          <w:color w:val="000000"/>
          <w:lang w:eastAsia="ja-JP"/>
        </w:rPr>
        <w:t>(Merced and Renzaglia, 2016)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t>
      </w:r>
    </w:p>
    <w:p w14:paraId="507D7B49" w14:textId="77777777" w:rsidR="008653D0"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noProof/>
          <w:color w:val="000000"/>
          <w:lang w:eastAsia="ja-JP"/>
        </w:rPr>
        <w:lastRenderedPageBreak/>
        <w:drawing>
          <wp:inline distT="0" distB="0" distL="0" distR="0" wp14:anchorId="57BC8519" wp14:editId="60D38CC1">
            <wp:extent cx="5727940" cy="4178923"/>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9.png"/>
                    <pic:cNvPicPr/>
                  </pic:nvPicPr>
                  <pic:blipFill>
                    <a:blip r:embed="rId26">
                      <a:extLst>
                        <a:ext uri="{28A0092B-C50C-407E-A947-70E740481C1C}">
                          <a14:useLocalDpi xmlns:a14="http://schemas.microsoft.com/office/drawing/2010/main" val="0"/>
                        </a:ext>
                      </a:extLst>
                    </a:blip>
                    <a:stretch>
                      <a:fillRect/>
                    </a:stretch>
                  </pic:blipFill>
                  <pic:spPr>
                    <a:xfrm>
                      <a:off x="0" y="0"/>
                      <a:ext cx="5736279" cy="4185007"/>
                    </a:xfrm>
                    <a:prstGeom prst="rect">
                      <a:avLst/>
                    </a:prstGeom>
                  </pic:spPr>
                </pic:pic>
              </a:graphicData>
            </a:graphic>
          </wp:inline>
        </w:drawing>
      </w:r>
      <w:r w:rsidRPr="00D431D5">
        <w:rPr>
          <w:rFonts w:ascii="Arial" w:eastAsia="Times New Roman" w:hAnsi="Arial" w:cs="Arial"/>
          <w:color w:val="000000"/>
          <w:lang w:eastAsia="ja-JP"/>
        </w:rPr>
        <w:t xml:space="preserve"> </w:t>
      </w:r>
    </w:p>
    <w:p w14:paraId="3B73669A" w14:textId="32F3DD4C"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b/>
          <w:color w:val="000000"/>
          <w:lang w:eastAsia="ja-JP"/>
        </w:rPr>
        <w:t>Figure 6. Stomatal formation during capsule expansion and in fully expanded mature capsules.</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xml:space="preserve">) A Stacked and flattened image of an early expanding sporophyte capsule dissected and faced-up. The capsules surveyed were equivalent in size to sporophytes including and between growth stages in </w:t>
      </w:r>
      <w:r w:rsidRPr="00D431D5">
        <w:rPr>
          <w:rFonts w:ascii="Arial" w:eastAsia="Times New Roman" w:hAnsi="Arial" w:cs="Arial"/>
          <w:b/>
          <w:color w:val="000000"/>
          <w:lang w:eastAsia="ja-JP"/>
        </w:rPr>
        <w:t>Fig. 2D</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xml:space="preserve">) A Stacked and flattened image of an equivalent fully expanded mature brown spore capsule equivalent to </w:t>
      </w:r>
      <w:r w:rsidRPr="00D431D5">
        <w:rPr>
          <w:rFonts w:ascii="Arial" w:eastAsia="Times New Roman" w:hAnsi="Arial" w:cs="Arial"/>
          <w:b/>
          <w:color w:val="000000"/>
          <w:lang w:eastAsia="ja-JP"/>
        </w:rPr>
        <w:t>Fig. 2G</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Stomatal number counts in expanding sporophyte capsules and mature brown capsules. A two-tailed T-test suggests that</w:t>
      </w:r>
      <w:r w:rsidR="009B784F">
        <w:rPr>
          <w:rFonts w:ascii="Arial" w:eastAsia="Times New Roman" w:hAnsi="Arial" w:cs="Arial"/>
          <w:color w:val="000000"/>
          <w:lang w:eastAsia="ja-JP"/>
        </w:rPr>
        <w:t xml:space="preserve"> there</w:t>
      </w:r>
      <w:r w:rsidRPr="00D431D5">
        <w:rPr>
          <w:rFonts w:ascii="Arial" w:eastAsia="Times New Roman" w:hAnsi="Arial" w:cs="Arial"/>
          <w:color w:val="000000"/>
          <w:lang w:eastAsia="ja-JP"/>
        </w:rPr>
        <w:t xml:space="preserve"> are significantly more stomata on mature brown capsules to at least the P &lt; 0.01 significance level. (</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 A stomatal cluster consisting of two stomata (2-er) on a mature browned wild-type sporophyte capsule.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 A stomatal cluster consisting of three stomata (3-er) on a mature wild-type capsule. (</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 The number of instances of clustering in expanding and mature brown capsules. Non-clustering stomata are counted as 1-ers. (</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n</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All images taken from mature brown fixed capsules. (</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An Epidermal area with an absence of stomata. (</w:t>
      </w:r>
      <w:r w:rsidRPr="00D431D5">
        <w:rPr>
          <w:rFonts w:ascii="Arial" w:eastAsia="Times New Roman" w:hAnsi="Arial" w:cs="Arial"/>
          <w:b/>
          <w:color w:val="000000"/>
          <w:lang w:eastAsia="ja-JP"/>
        </w:rPr>
        <w:t>h</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i</w:t>
      </w:r>
      <w:r w:rsidRPr="00D431D5">
        <w:rPr>
          <w:rFonts w:ascii="Arial" w:eastAsia="Times New Roman" w:hAnsi="Arial" w:cs="Arial"/>
          <w:color w:val="000000"/>
          <w:lang w:eastAsia="ja-JP"/>
        </w:rPr>
        <w:t>) Enlarged round possibly aborted GMC cells (see arrows). (</w:t>
      </w:r>
      <w:r w:rsidRPr="00D431D5">
        <w:rPr>
          <w:rFonts w:ascii="Arial" w:eastAsia="Times New Roman" w:hAnsi="Arial" w:cs="Arial"/>
          <w:b/>
          <w:color w:val="000000"/>
          <w:lang w:eastAsia="ja-JP"/>
        </w:rPr>
        <w:t>j</w:t>
      </w:r>
      <w:r w:rsidRPr="00D431D5">
        <w:rPr>
          <w:rFonts w:ascii="Arial" w:eastAsia="Times New Roman" w:hAnsi="Arial" w:cs="Arial"/>
          <w:color w:val="000000"/>
          <w:lang w:eastAsia="ja-JP"/>
        </w:rPr>
        <w:t>) An further advanced aborted GMC which has the characteristic orange to brown hue akin to mature guard cells but without the central pore (see arrow). The scales in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)and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equate to 50µm, for (</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 and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 and (</w:t>
      </w:r>
      <w:r w:rsidR="009B784F">
        <w:rPr>
          <w:rFonts w:ascii="Arial" w:eastAsia="Times New Roman" w:hAnsi="Arial" w:cs="Arial"/>
          <w:b/>
          <w:color w:val="000000"/>
          <w:lang w:eastAsia="ja-JP"/>
        </w:rPr>
        <w:t>g-j</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scales are 15µm. For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and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 error bars equate to one standard error.</w:t>
      </w:r>
    </w:p>
    <w:p w14:paraId="2D24E9D2" w14:textId="77777777" w:rsidR="008653D0" w:rsidRDefault="008653D0" w:rsidP="00D431D5">
      <w:pPr>
        <w:tabs>
          <w:tab w:val="left" w:pos="6663"/>
        </w:tabs>
        <w:spacing w:after="160" w:line="360" w:lineRule="auto"/>
        <w:rPr>
          <w:rFonts w:ascii="Arial" w:eastAsia="Times New Roman" w:hAnsi="Arial" w:cs="Arial"/>
          <w:color w:val="000000"/>
          <w:u w:val="single"/>
          <w:lang w:eastAsia="ja-JP"/>
        </w:rPr>
      </w:pPr>
    </w:p>
    <w:p w14:paraId="5533EEE5" w14:textId="00E6B11A"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u w:val="single"/>
          <w:lang w:eastAsia="ja-JP"/>
        </w:rPr>
        <w:lastRenderedPageBreak/>
        <w:t xml:space="preserve">3.2.5 Phylogenetic analysis of </w:t>
      </w:r>
      <w:r w:rsidRPr="00D431D5">
        <w:rPr>
          <w:rFonts w:ascii="Arial" w:eastAsia="Times New Roman" w:hAnsi="Arial" w:cs="Arial"/>
          <w:i/>
          <w:color w:val="000000"/>
          <w:u w:val="single"/>
          <w:lang w:eastAsia="ja-JP"/>
        </w:rPr>
        <w:t xml:space="preserve">SMF </w:t>
      </w:r>
      <w:r w:rsidRPr="00D431D5">
        <w:rPr>
          <w:rFonts w:ascii="Arial" w:eastAsia="Times New Roman" w:hAnsi="Arial" w:cs="Arial"/>
          <w:color w:val="000000"/>
          <w:u w:val="single"/>
          <w:lang w:eastAsia="ja-JP"/>
        </w:rPr>
        <w:t xml:space="preserve">and </w:t>
      </w:r>
      <w:r w:rsidRPr="00D431D5">
        <w:rPr>
          <w:rFonts w:ascii="Arial" w:eastAsia="Times New Roman" w:hAnsi="Arial" w:cs="Arial"/>
          <w:i/>
          <w:color w:val="000000"/>
          <w:u w:val="single"/>
          <w:lang w:eastAsia="ja-JP"/>
        </w:rPr>
        <w:t xml:space="preserve">ICE/SCRM </w:t>
      </w:r>
      <w:r w:rsidRPr="00D431D5">
        <w:rPr>
          <w:rFonts w:ascii="Arial" w:eastAsia="Times New Roman" w:hAnsi="Arial" w:cs="Arial"/>
          <w:color w:val="000000"/>
          <w:u w:val="single"/>
          <w:lang w:eastAsia="ja-JP"/>
        </w:rPr>
        <w:t>stomatal development genes from selected species from the plant kingdom</w:t>
      </w:r>
    </w:p>
    <w:p w14:paraId="4460B5EF" w14:textId="77777777" w:rsidR="00D431D5" w:rsidRPr="00D431D5" w:rsidRDefault="00D431D5" w:rsidP="00D431D5">
      <w:pPr>
        <w:tabs>
          <w:tab w:val="left" w:pos="6663"/>
        </w:tabs>
        <w:spacing w:after="160" w:line="360" w:lineRule="auto"/>
        <w:rPr>
          <w:rFonts w:ascii="Arial" w:eastAsia="Times New Roman" w:hAnsi="Arial" w:cs="Arial"/>
          <w:i/>
          <w:color w:val="000000"/>
          <w:lang w:eastAsia="ja-JP"/>
        </w:rPr>
      </w:pPr>
      <w:r w:rsidRPr="00D431D5">
        <w:rPr>
          <w:rFonts w:ascii="Arial" w:eastAsia="Times New Roman" w:hAnsi="Arial" w:cs="Arial"/>
          <w:color w:val="000000"/>
          <w:lang w:eastAsia="ja-JP"/>
        </w:rPr>
        <w:t xml:space="preserve">To illustrate the deeply conserved nature of </w:t>
      </w:r>
      <w:r w:rsidRPr="00D431D5">
        <w:rPr>
          <w:rFonts w:ascii="Arial" w:eastAsia="Times New Roman" w:hAnsi="Arial" w:cs="Arial"/>
          <w:i/>
          <w:color w:val="000000"/>
          <w:lang w:eastAsia="ja-JP"/>
        </w:rPr>
        <w:t>SMF</w:t>
      </w:r>
      <w:r w:rsidRPr="00D431D5">
        <w:rPr>
          <w:rFonts w:ascii="Arial" w:eastAsia="Times New Roman" w:hAnsi="Arial" w:cs="Arial"/>
          <w:color w:val="000000"/>
          <w:lang w:eastAsia="ja-JP"/>
        </w:rPr>
        <w:t xml:space="preserve"> and </w:t>
      </w:r>
      <w:r w:rsidRPr="00D431D5">
        <w:rPr>
          <w:rFonts w:ascii="Arial" w:eastAsia="Times New Roman" w:hAnsi="Arial" w:cs="Arial"/>
          <w:i/>
          <w:color w:val="000000"/>
          <w:lang w:eastAsia="ja-JP"/>
        </w:rPr>
        <w:t xml:space="preserve">ICE/SCRM </w:t>
      </w:r>
      <w:r w:rsidRPr="00D431D5">
        <w:rPr>
          <w:rFonts w:ascii="Arial" w:eastAsia="Times New Roman" w:hAnsi="Arial" w:cs="Arial"/>
          <w:color w:val="000000"/>
          <w:lang w:eastAsia="ja-JP"/>
        </w:rPr>
        <w:t xml:space="preserve">genes new phylogenetic analyses using the most up-to-date amino acid sequence data were undertaken from a range of species across the plant kingdom. Representatives which have stomata included: the moss </w:t>
      </w:r>
      <w:r w:rsidRPr="00D431D5">
        <w:rPr>
          <w:rFonts w:ascii="Arial" w:eastAsia="Times New Roman" w:hAnsi="Arial" w:cs="Arial"/>
          <w:i/>
          <w:color w:val="000000"/>
          <w:lang w:eastAsia="ja-JP"/>
        </w:rPr>
        <w:t>Physcomitrella patens</w:t>
      </w:r>
      <w:r w:rsidRPr="00D431D5">
        <w:rPr>
          <w:rFonts w:ascii="Arial" w:eastAsia="Times New Roman" w:hAnsi="Arial" w:cs="Arial"/>
          <w:color w:val="000000"/>
          <w:lang w:eastAsia="ja-JP"/>
        </w:rPr>
        <w:t xml:space="preserve">, the lycophyte </w:t>
      </w:r>
      <w:r w:rsidRPr="00D431D5">
        <w:rPr>
          <w:rFonts w:ascii="Arial" w:eastAsia="Times New Roman" w:hAnsi="Arial" w:cs="Arial"/>
          <w:i/>
          <w:color w:val="000000"/>
          <w:lang w:eastAsia="ja-JP"/>
        </w:rPr>
        <w:t xml:space="preserve">Selaginella moellendorffii, </w:t>
      </w:r>
      <w:r w:rsidRPr="00D431D5">
        <w:rPr>
          <w:rFonts w:ascii="Arial" w:eastAsia="Times New Roman" w:hAnsi="Arial" w:cs="Arial"/>
          <w:color w:val="000000"/>
          <w:lang w:eastAsia="ja-JP"/>
        </w:rPr>
        <w:t xml:space="preserve">the monocot and rice </w:t>
      </w:r>
      <w:r w:rsidRPr="00D431D5">
        <w:rPr>
          <w:rFonts w:ascii="Arial" w:eastAsia="Times New Roman" w:hAnsi="Arial" w:cs="Arial"/>
          <w:i/>
          <w:color w:val="000000"/>
          <w:lang w:eastAsia="ja-JP"/>
        </w:rPr>
        <w:t xml:space="preserve">Oryza sativa </w:t>
      </w:r>
      <w:r w:rsidRPr="00D431D5">
        <w:rPr>
          <w:rFonts w:ascii="Arial" w:eastAsia="Times New Roman" w:hAnsi="Arial" w:cs="Arial"/>
          <w:color w:val="000000"/>
          <w:lang w:eastAsia="ja-JP"/>
        </w:rPr>
        <w:t>and the dicots</w:t>
      </w:r>
      <w:r w:rsidRPr="00D431D5">
        <w:rPr>
          <w:rFonts w:ascii="Arial" w:eastAsia="Times New Roman" w:hAnsi="Arial" w:cs="Arial"/>
          <w:i/>
          <w:color w:val="000000"/>
          <w:lang w:eastAsia="ja-JP"/>
        </w:rPr>
        <w:t xml:space="preserve"> Eucalyptus grandis </w:t>
      </w:r>
      <w:r w:rsidRPr="00D431D5">
        <w:rPr>
          <w:rFonts w:ascii="Arial" w:eastAsia="Times New Roman" w:hAnsi="Arial" w:cs="Arial"/>
          <w:color w:val="000000"/>
          <w:lang w:eastAsia="ja-JP"/>
        </w:rPr>
        <w:t>and</w:t>
      </w:r>
      <w:r w:rsidRPr="00D431D5">
        <w:rPr>
          <w:rFonts w:ascii="Arial" w:eastAsia="Times New Roman" w:hAnsi="Arial" w:cs="Arial"/>
          <w:i/>
          <w:color w:val="000000"/>
          <w:lang w:eastAsia="ja-JP"/>
        </w:rPr>
        <w:t xml:space="preserve"> Arabidopsis thaliana</w:t>
      </w:r>
      <w:r w:rsidRPr="00D431D5">
        <w:rPr>
          <w:rFonts w:ascii="Arial" w:eastAsia="Times New Roman" w:hAnsi="Arial" w:cs="Arial"/>
          <w:color w:val="000000"/>
          <w:lang w:eastAsia="ja-JP"/>
        </w:rPr>
        <w:t xml:space="preserve">. Additionally, two extant plant species that do not have stomata: the alga </w:t>
      </w:r>
      <w:r w:rsidRPr="00D431D5">
        <w:rPr>
          <w:rFonts w:ascii="Arial" w:eastAsia="Times New Roman" w:hAnsi="Arial" w:cs="Arial"/>
          <w:i/>
          <w:color w:val="000000"/>
          <w:lang w:eastAsia="ja-JP"/>
        </w:rPr>
        <w:t>Chladymonas reinhardtii</w:t>
      </w:r>
      <w:r w:rsidRPr="00D431D5">
        <w:rPr>
          <w:rFonts w:ascii="Arial" w:eastAsia="Times New Roman" w:hAnsi="Arial" w:cs="Arial"/>
          <w:color w:val="000000"/>
          <w:lang w:eastAsia="ja-JP"/>
        </w:rPr>
        <w:t xml:space="preserve"> and a second moss species belonging to sphagnum genus, </w:t>
      </w:r>
      <w:r w:rsidRPr="00D431D5">
        <w:rPr>
          <w:rFonts w:ascii="Arial" w:eastAsia="Times New Roman" w:hAnsi="Arial" w:cs="Arial"/>
          <w:i/>
          <w:color w:val="000000"/>
          <w:lang w:eastAsia="ja-JP"/>
        </w:rPr>
        <w:t>Sphagnum fallax</w:t>
      </w:r>
      <w:r w:rsidRPr="00D431D5">
        <w:rPr>
          <w:rFonts w:ascii="Arial" w:eastAsia="Times New Roman" w:hAnsi="Arial" w:cs="Arial"/>
          <w:color w:val="000000"/>
          <w:lang w:eastAsia="ja-JP"/>
        </w:rPr>
        <w:t xml:space="preserve"> were also included. Members of the sphagnum genus have pseudo stomata rather than true stomata which lack sub-stomatal chambers and primarily function to assist in capsule dehiscence (lysis) by permitting water loss </w:t>
      </w:r>
      <w:r w:rsidRPr="00D431D5">
        <w:rPr>
          <w:rFonts w:ascii="Arial" w:eastAsia="Times New Roman" w:hAnsi="Arial" w:cs="Arial"/>
          <w:color w:val="000000"/>
          <w:lang w:eastAsia="ja-JP"/>
        </w:rPr>
        <w:fldChar w:fldCharType="begin">
          <w:fldData xml:space="preserve">PEVuZE5vdGU+PENpdGU+PEF1dGhvcj5NZXJjZWQ8L0F1dGhvcj48WWVhcj4yMDE1PC9ZZWFyPjxJ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PEVuZE5vdGU+PENpdGU+PEF1dGhvcj5NZXJjZWQ8L0F1dGhvcj48WWVhcj4yMDE1PC9ZZWFyPjxJ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(Duckett et al., 2009; Merced, 2015; Sundberg, 2010)</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It is unclear whether such structures are derived from stomata or whether they evolved from a separate evolutionary event.</w:t>
      </w:r>
    </w:p>
    <w:p w14:paraId="4D307D7F" w14:textId="2E37D9EF"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Phylogenetic analysis of </w:t>
      </w:r>
      <w:r w:rsidRPr="00D431D5">
        <w:rPr>
          <w:rFonts w:ascii="Arial" w:eastAsia="Times New Roman" w:hAnsi="Arial" w:cs="Arial"/>
          <w:i/>
          <w:color w:val="000000"/>
          <w:lang w:eastAsia="ja-JP"/>
        </w:rPr>
        <w:t>SMF</w:t>
      </w:r>
      <w:r w:rsidRPr="00D431D5">
        <w:rPr>
          <w:rFonts w:ascii="Arial" w:eastAsia="Times New Roman" w:hAnsi="Arial" w:cs="Arial"/>
          <w:color w:val="000000"/>
          <w:lang w:eastAsia="ja-JP"/>
        </w:rPr>
        <w:t xml:space="preserve"> genes revealed that a distinct clade formed containing </w:t>
      </w:r>
      <w:r w:rsidRPr="00D431D5">
        <w:rPr>
          <w:rFonts w:ascii="Arial" w:eastAsia="Times New Roman" w:hAnsi="Arial" w:cs="Arial"/>
          <w:i/>
          <w:color w:val="000000"/>
          <w:lang w:eastAsia="ja-JP"/>
        </w:rPr>
        <w:t xml:space="preserve">SPCH, MUTE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FAMA </w:t>
      </w:r>
      <w:r w:rsidRPr="00D431D5">
        <w:rPr>
          <w:rFonts w:ascii="Arial" w:eastAsia="Times New Roman" w:hAnsi="Arial" w:cs="Arial"/>
          <w:color w:val="000000"/>
          <w:lang w:eastAsia="ja-JP"/>
        </w:rPr>
        <w:t>orthologues (</w:t>
      </w:r>
      <w:r w:rsidRPr="00D431D5">
        <w:rPr>
          <w:rFonts w:ascii="Arial" w:eastAsia="Times New Roman" w:hAnsi="Arial" w:cs="Arial"/>
          <w:b/>
          <w:color w:val="000000"/>
          <w:lang w:eastAsia="ja-JP"/>
        </w:rPr>
        <w:t>Fig. 7a</w:t>
      </w:r>
      <w:r w:rsidRPr="00D431D5">
        <w:rPr>
          <w:rFonts w:ascii="Arial" w:eastAsia="Times New Roman" w:hAnsi="Arial" w:cs="Arial"/>
          <w:color w:val="000000"/>
          <w:lang w:eastAsia="ja-JP"/>
        </w:rPr>
        <w:t xml:space="preserve">). For the earlier diverging land plant representatives </w:t>
      </w:r>
      <w:r w:rsidRPr="00D431D5">
        <w:rPr>
          <w:rFonts w:ascii="Arial" w:eastAsia="Times New Roman" w:hAnsi="Arial" w:cs="Arial"/>
          <w:i/>
          <w:color w:val="000000"/>
          <w:lang w:eastAsia="ja-JP"/>
        </w:rPr>
        <w:t xml:space="preserve">S. moellendorffii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only </w:t>
      </w:r>
      <w:r w:rsidRPr="00D431D5">
        <w:rPr>
          <w:rFonts w:ascii="Arial" w:eastAsia="Times New Roman" w:hAnsi="Arial" w:cs="Arial"/>
          <w:i/>
          <w:color w:val="000000"/>
          <w:lang w:eastAsia="ja-JP"/>
        </w:rPr>
        <w:t>FAMA-like</w:t>
      </w:r>
      <w:r w:rsidRPr="00D431D5">
        <w:rPr>
          <w:rFonts w:ascii="Arial" w:eastAsia="Times New Roman" w:hAnsi="Arial" w:cs="Arial"/>
          <w:color w:val="000000"/>
          <w:lang w:eastAsia="ja-JP"/>
        </w:rPr>
        <w:t xml:space="preserve"> genes were detected, but for </w:t>
      </w:r>
      <w:r w:rsidRPr="00D431D5">
        <w:rPr>
          <w:rFonts w:ascii="Arial" w:eastAsia="Times New Roman" w:hAnsi="Arial" w:cs="Arial"/>
          <w:i/>
          <w:color w:val="000000"/>
          <w:lang w:eastAsia="ja-JP"/>
        </w:rPr>
        <w:t xml:space="preserve">S. fallax </w:t>
      </w:r>
      <w:r w:rsidRPr="00D431D5">
        <w:rPr>
          <w:rFonts w:ascii="Arial" w:eastAsia="Times New Roman" w:hAnsi="Arial" w:cs="Arial"/>
          <w:color w:val="000000"/>
          <w:lang w:eastAsia="ja-JP"/>
        </w:rPr>
        <w:t xml:space="preserve">no homologue was detected that clustered with the other </w:t>
      </w:r>
      <w:r w:rsidRPr="00D431D5">
        <w:rPr>
          <w:rFonts w:ascii="Arial" w:eastAsia="Times New Roman" w:hAnsi="Arial" w:cs="Arial"/>
          <w:i/>
          <w:color w:val="000000"/>
          <w:lang w:eastAsia="ja-JP"/>
        </w:rPr>
        <w:t xml:space="preserve">SMF </w:t>
      </w:r>
      <w:r w:rsidRPr="00D431D5">
        <w:rPr>
          <w:rFonts w:ascii="Arial" w:eastAsia="Times New Roman" w:hAnsi="Arial" w:cs="Arial"/>
          <w:color w:val="000000"/>
          <w:lang w:eastAsia="ja-JP"/>
        </w:rPr>
        <w:t xml:space="preserve">genes, only a sister gene was detected. Overall, it seems that during land plant evolution at least two duplication events have arisen which has resulted in three independently functioning genes: </w:t>
      </w:r>
      <w:r w:rsidRPr="00D431D5">
        <w:rPr>
          <w:rFonts w:ascii="Arial" w:eastAsia="Times New Roman" w:hAnsi="Arial" w:cs="Arial"/>
          <w:i/>
          <w:color w:val="000000"/>
          <w:lang w:eastAsia="ja-JP"/>
        </w:rPr>
        <w:t>SPCH</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MUTE</w:t>
      </w:r>
      <w:r w:rsidRPr="00D431D5">
        <w:rPr>
          <w:rFonts w:ascii="Arial" w:eastAsia="Times New Roman" w:hAnsi="Arial" w:cs="Arial"/>
          <w:color w:val="000000"/>
          <w:lang w:eastAsia="ja-JP"/>
        </w:rPr>
        <w:t xml:space="preserve"> and </w:t>
      </w:r>
      <w:r w:rsidRPr="00D431D5">
        <w:rPr>
          <w:rFonts w:ascii="Arial" w:eastAsia="Times New Roman" w:hAnsi="Arial" w:cs="Arial"/>
          <w:i/>
          <w:color w:val="000000"/>
          <w:lang w:eastAsia="ja-JP"/>
        </w:rPr>
        <w:t>FAMA</w:t>
      </w:r>
      <w:r w:rsidRPr="00D431D5">
        <w:rPr>
          <w:rFonts w:ascii="Arial" w:eastAsia="Times New Roman" w:hAnsi="Arial" w:cs="Arial"/>
          <w:color w:val="000000"/>
          <w:lang w:eastAsia="ja-JP"/>
        </w:rPr>
        <w:t xml:space="preserve"> which are derived from a single ancestral gene most closely resembling modern-day </w:t>
      </w:r>
      <w:r w:rsidRPr="00D431D5">
        <w:rPr>
          <w:rFonts w:ascii="Arial" w:eastAsia="Times New Roman" w:hAnsi="Arial" w:cs="Arial"/>
          <w:i/>
          <w:color w:val="000000"/>
          <w:lang w:eastAsia="ja-JP"/>
        </w:rPr>
        <w:t xml:space="preserve">FAMA  </w:t>
      </w:r>
      <w:r w:rsidRPr="00D431D5">
        <w:rPr>
          <w:rFonts w:ascii="Arial" w:eastAsia="Times New Roman" w:hAnsi="Arial" w:cs="Arial"/>
          <w:color w:val="000000"/>
          <w:lang w:eastAsia="ja-JP"/>
        </w:rPr>
        <w:fldChar w:fldCharType="begin">
          <w:fldData xml:space="preserve">PEVuZE5vdGU+PENpdGU+PEF1dGhvcj5SYW48L0F1dGhvcj48WWVhcj4yMDEzPC9ZZWFyPjxJRFRl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</w:fldData>
        </w:fldChar>
      </w:r>
      <w:r w:rsidR="009B784F">
        <w:rPr>
          <w:rFonts w:ascii="Arial" w:eastAsia="Times New Roman" w:hAnsi="Arial" w:cs="Arial"/>
          <w:color w:val="000000"/>
          <w:lang w:eastAsia="ja-JP"/>
        </w:rPr>
        <w:instrText xml:space="preserve"> ADDIN EN.CITE </w:instrText>
      </w:r>
      <w:r w:rsidR="009B784F">
        <w:rPr>
          <w:rFonts w:ascii="Arial" w:eastAsia="Times New Roman" w:hAnsi="Arial" w:cs="Arial"/>
          <w:color w:val="000000"/>
          <w:lang w:eastAsia="ja-JP"/>
        </w:rPr>
        <w:fldChar w:fldCharType="begin">
          <w:fldData xml:space="preserve">PEVuZE5vdGU+PENpdGU+PEF1dGhvcj5SYW48L0F1dGhvcj48WWVhcj4yMDEzPC9ZZWFyPjxJRFRl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</w:fldData>
        </w:fldChar>
      </w:r>
      <w:r w:rsidR="009B784F">
        <w:rPr>
          <w:rFonts w:ascii="Arial" w:eastAsia="Times New Roman" w:hAnsi="Arial" w:cs="Arial"/>
          <w:color w:val="000000"/>
          <w:lang w:eastAsia="ja-JP"/>
        </w:rPr>
        <w:instrText xml:space="preserve"> ADDIN EN.CITE.DATA </w:instrText>
      </w:r>
      <w:r w:rsidR="009B784F">
        <w:rPr>
          <w:rFonts w:ascii="Arial" w:eastAsia="Times New Roman" w:hAnsi="Arial" w:cs="Arial"/>
          <w:color w:val="000000"/>
          <w:lang w:eastAsia="ja-JP"/>
        </w:rPr>
      </w:r>
      <w:r w:rsidR="009B784F">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009B784F">
        <w:rPr>
          <w:rFonts w:ascii="Arial" w:eastAsia="Times New Roman" w:hAnsi="Arial" w:cs="Arial"/>
          <w:noProof/>
          <w:color w:val="000000"/>
          <w:lang w:eastAsia="ja-JP"/>
        </w:rPr>
        <w:t>(Davies and Bergmann, 2014; Ran et al., 2013)</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For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as expected and illustrated in previous studies, there were two </w:t>
      </w:r>
      <w:r w:rsidRPr="00D431D5">
        <w:rPr>
          <w:rFonts w:ascii="Arial" w:eastAsia="Times New Roman" w:hAnsi="Arial" w:cs="Arial"/>
          <w:i/>
          <w:color w:val="000000"/>
          <w:lang w:eastAsia="ja-JP"/>
        </w:rPr>
        <w:t>FAMA-like</w:t>
      </w:r>
      <w:r w:rsidRPr="00D431D5">
        <w:rPr>
          <w:rFonts w:ascii="Arial" w:eastAsia="Times New Roman" w:hAnsi="Arial" w:cs="Arial"/>
          <w:color w:val="000000"/>
          <w:lang w:eastAsia="ja-JP"/>
        </w:rPr>
        <w:t xml:space="preserve"> genes detected: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 xml:space="preserve">which share high sequence similarity which could potentially function during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stomatal development </w:t>
      </w:r>
      <w:r w:rsidRPr="00D431D5">
        <w:rPr>
          <w:rFonts w:ascii="Arial" w:eastAsia="Times New Roman" w:hAnsi="Arial" w:cs="Arial"/>
          <w:color w:val="000000"/>
          <w:lang w:eastAsia="ja-JP"/>
        </w:rPr>
        <w:fldChar w:fldCharType="begin">
          <w:fldData xml:space="preserve">PEVuZE5vdGU+PENpdGU+PEF1dGhvcj5NYWNBbGlzdGVyPC9BdXRob3I+PFllYXI+MjAxMTwvWWVh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PEVuZE5vdGU+PENpdGU+PEF1dGhvcj5NYWNBbGlzdGVyPC9BdXRob3I+PFllYXI+MjAxMTwvWWVh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(MacAlister and Bergmann, 2011; Peterson et al., 2010; Ran et al., 2013)</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Such similarity in sequence has probably arisen due to a relatively recent genome duplication in an ancestor of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between 30 and 60 million years ago. </w:t>
      </w:r>
      <w:r w:rsidRPr="00D431D5">
        <w:rPr>
          <w:rFonts w:ascii="Arial" w:eastAsia="Times New Roman" w:hAnsi="Arial" w:cs="Arial"/>
          <w:color w:val="000000"/>
          <w:lang w:eastAsia="ja-JP"/>
        </w:rPr>
        <w:fldChar w:fldCharType="begin">
          <w:fldData xml:space="preserve">PEVuZE5vdGU+PENpdGU+PEF1dGhvcj5SZW5zaW5nPC9BdXRob3I+PFllYXI+MjAwNzwvWWVhcj48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==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PEVuZE5vdGU+PENpdGU+PEF1dGhvcj5SZW5zaW5nPC9BdXRob3I+PFllYXI+MjAwNzwvWWVhcj48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==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(Rensing et al., 2007)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To ascertain whether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were present during sporophyte development, qPCR was performed to assess transcript level in the sporophyte relative to the protonemal tissue</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Fig. 7b</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xml:space="preserve">). For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a large upregulation was found with little to no expression detected in protonemal tissue (</w:t>
      </w:r>
      <w:r w:rsidRPr="00D431D5">
        <w:rPr>
          <w:rFonts w:ascii="Arial" w:eastAsia="Times New Roman" w:hAnsi="Arial" w:cs="Arial"/>
          <w:b/>
          <w:color w:val="000000"/>
          <w:lang w:eastAsia="ja-JP"/>
        </w:rPr>
        <w:t>Fig. 7b</w:t>
      </w:r>
      <w:r w:rsidRPr="00D431D5">
        <w:rPr>
          <w:rFonts w:ascii="Arial" w:eastAsia="Times New Roman" w:hAnsi="Arial" w:cs="Arial"/>
          <w:color w:val="000000"/>
          <w:lang w:eastAsia="ja-JP"/>
        </w:rPr>
        <w:t xml:space="preserve">). A more modest level of upregulation was detected in </w:t>
      </w:r>
      <w:r w:rsidRPr="00D431D5">
        <w:rPr>
          <w:rFonts w:ascii="Arial" w:eastAsia="Times New Roman" w:hAnsi="Arial" w:cs="Arial"/>
          <w:i/>
          <w:color w:val="000000"/>
          <w:lang w:eastAsia="ja-JP"/>
        </w:rPr>
        <w:t>PpSMF2</w:t>
      </w:r>
      <w:r w:rsidRPr="00D431D5">
        <w:rPr>
          <w:rFonts w:ascii="Arial" w:eastAsia="Times New Roman" w:hAnsi="Arial" w:cs="Arial"/>
          <w:color w:val="000000"/>
          <w:lang w:eastAsia="ja-JP"/>
        </w:rPr>
        <w:t xml:space="preserve"> with transcript levels found to be quite low in both tissue types (</w:t>
      </w:r>
      <w:r w:rsidRPr="00D431D5">
        <w:rPr>
          <w:rFonts w:ascii="Arial" w:eastAsia="Times New Roman" w:hAnsi="Arial" w:cs="Arial"/>
          <w:b/>
          <w:color w:val="000000"/>
          <w:lang w:eastAsia="ja-JP"/>
        </w:rPr>
        <w:t>Fig. 7c</w:t>
      </w:r>
      <w:r w:rsidRPr="00D431D5">
        <w:rPr>
          <w:rFonts w:ascii="Arial" w:eastAsia="Times New Roman" w:hAnsi="Arial" w:cs="Arial"/>
          <w:color w:val="000000"/>
          <w:lang w:eastAsia="ja-JP"/>
        </w:rPr>
        <w:t xml:space="preserve">). In summary, the presented phylogeny and qPCR data combined suggests that homologues of vascular land plant </w:t>
      </w:r>
      <w:r w:rsidRPr="00D431D5">
        <w:rPr>
          <w:rFonts w:ascii="Arial" w:eastAsia="Times New Roman" w:hAnsi="Arial" w:cs="Arial"/>
          <w:i/>
          <w:color w:val="000000"/>
          <w:lang w:eastAsia="ja-JP"/>
        </w:rPr>
        <w:t>SMF</w:t>
      </w:r>
      <w:r w:rsidRPr="00D431D5">
        <w:rPr>
          <w:rFonts w:ascii="Arial" w:eastAsia="Times New Roman" w:hAnsi="Arial" w:cs="Arial"/>
          <w:color w:val="000000"/>
          <w:lang w:eastAsia="ja-JP"/>
        </w:rPr>
        <w:t xml:space="preserve"> genes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PpSMF2</w:t>
      </w:r>
      <w:r w:rsidRPr="00D431D5">
        <w:rPr>
          <w:rFonts w:ascii="Arial" w:eastAsia="Times New Roman" w:hAnsi="Arial" w:cs="Arial"/>
          <w:color w:val="000000"/>
          <w:lang w:eastAsia="ja-JP"/>
        </w:rPr>
        <w:t xml:space="preserve">) are present and expressed during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sporophyte development and thus present key candidates for future study in relation to stomatal development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w:t>
      </w:r>
    </w:p>
    <w:p w14:paraId="584B4BA6" w14:textId="77777777" w:rsidR="00D431D5" w:rsidRPr="00D431D5" w:rsidRDefault="00D431D5" w:rsidP="00D431D5">
      <w:pPr>
        <w:tabs>
          <w:tab w:val="left" w:pos="6663"/>
        </w:tabs>
        <w:spacing w:after="160" w:line="360" w:lineRule="auto"/>
        <w:rPr>
          <w:rFonts w:ascii="Arial" w:eastAsia="Times New Roman" w:hAnsi="Arial" w:cs="Arial"/>
          <w:b/>
          <w:bCs/>
          <w:color w:val="000000"/>
          <w:lang w:eastAsia="ja-JP"/>
        </w:rPr>
      </w:pPr>
      <w:r w:rsidRPr="00D431D5">
        <w:rPr>
          <w:rFonts w:ascii="Arial" w:eastAsia="Times New Roman" w:hAnsi="Arial" w:cs="Arial"/>
          <w:bCs/>
          <w:noProof/>
          <w:color w:val="000000"/>
          <w:lang w:eastAsia="ja-JP"/>
        </w:rPr>
        <w:lastRenderedPageBreak/>
        <w:drawing>
          <wp:inline distT="0" distB="0" distL="0" distR="0" wp14:anchorId="325D4B8C" wp14:editId="40280E4E">
            <wp:extent cx="4985657" cy="6755999"/>
            <wp:effectExtent l="0" t="0" r="571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nal tree no more edits.png"/>
                    <pic:cNvPicPr/>
                  </pic:nvPicPr>
                  <pic:blipFill>
                    <a:blip r:embed="rId27">
                      <a:extLst>
                        <a:ext uri="{28A0092B-C50C-407E-A947-70E740481C1C}">
                          <a14:useLocalDpi xmlns:a14="http://schemas.microsoft.com/office/drawing/2010/main" val="0"/>
                        </a:ext>
                      </a:extLst>
                    </a:blip>
                    <a:stretch>
                      <a:fillRect/>
                    </a:stretch>
                  </pic:blipFill>
                  <pic:spPr>
                    <a:xfrm>
                      <a:off x="0" y="0"/>
                      <a:ext cx="5016048" cy="6797181"/>
                    </a:xfrm>
                    <a:prstGeom prst="rect">
                      <a:avLst/>
                    </a:prstGeom>
                  </pic:spPr>
                </pic:pic>
              </a:graphicData>
            </a:graphic>
          </wp:inline>
        </w:drawing>
      </w:r>
    </w:p>
    <w:p w14:paraId="5BA20954"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b/>
          <w:bCs/>
          <w:color w:val="000000"/>
          <w:lang w:eastAsia="ja-JP"/>
        </w:rPr>
        <w:t xml:space="preserve">Figure 7. Phylogenetic relationships of </w:t>
      </w:r>
      <w:r w:rsidRPr="00D431D5">
        <w:rPr>
          <w:rFonts w:ascii="Arial" w:eastAsia="Times New Roman" w:hAnsi="Arial" w:cs="Arial"/>
          <w:b/>
          <w:bCs/>
          <w:i/>
          <w:color w:val="000000"/>
          <w:lang w:eastAsia="ja-JP"/>
        </w:rPr>
        <w:t>SPCH</w:t>
      </w:r>
      <w:r w:rsidRPr="00D431D5">
        <w:rPr>
          <w:rFonts w:ascii="Arial" w:eastAsia="Times New Roman" w:hAnsi="Arial" w:cs="Arial"/>
          <w:b/>
          <w:bCs/>
          <w:color w:val="000000"/>
          <w:lang w:eastAsia="ja-JP"/>
        </w:rPr>
        <w:t xml:space="preserve">, </w:t>
      </w:r>
      <w:r w:rsidRPr="00D431D5">
        <w:rPr>
          <w:rFonts w:ascii="Arial" w:eastAsia="Times New Roman" w:hAnsi="Arial" w:cs="Arial"/>
          <w:b/>
          <w:bCs/>
          <w:i/>
          <w:color w:val="000000"/>
          <w:lang w:eastAsia="ja-JP"/>
        </w:rPr>
        <w:t>MUTE</w:t>
      </w:r>
      <w:r w:rsidRPr="00D431D5">
        <w:rPr>
          <w:rFonts w:ascii="Arial" w:eastAsia="Times New Roman" w:hAnsi="Arial" w:cs="Arial"/>
          <w:b/>
          <w:bCs/>
          <w:color w:val="000000"/>
          <w:lang w:eastAsia="ja-JP"/>
        </w:rPr>
        <w:t xml:space="preserve"> and </w:t>
      </w:r>
      <w:r w:rsidRPr="00D431D5">
        <w:rPr>
          <w:rFonts w:ascii="Arial" w:eastAsia="Times New Roman" w:hAnsi="Arial" w:cs="Arial"/>
          <w:b/>
          <w:bCs/>
          <w:i/>
          <w:color w:val="000000"/>
          <w:lang w:eastAsia="ja-JP"/>
        </w:rPr>
        <w:t>FAMA</w:t>
      </w:r>
      <w:r w:rsidRPr="00D431D5">
        <w:rPr>
          <w:rFonts w:ascii="Arial" w:eastAsia="Times New Roman" w:hAnsi="Arial" w:cs="Arial"/>
          <w:b/>
          <w:bCs/>
          <w:color w:val="000000"/>
          <w:lang w:eastAsia="ja-JP"/>
        </w:rPr>
        <w:t xml:space="preserve"> gene orthologues taken from vascular and non-vascular land plant representatives</w:t>
      </w:r>
      <w:r w:rsidRPr="00D431D5">
        <w:rPr>
          <w:rFonts w:ascii="Arial" w:eastAsia="Times New Roman" w:hAnsi="Arial" w:cs="Arial"/>
          <w:bCs/>
          <w:color w:val="000000"/>
          <w:lang w:eastAsia="ja-JP"/>
        </w:rPr>
        <w:t xml:space="preserve">. </w:t>
      </w:r>
      <w:r w:rsidRPr="00D431D5">
        <w:rPr>
          <w:rFonts w:ascii="Arial" w:eastAsia="Times New Roman" w:hAnsi="Arial" w:cs="Arial"/>
          <w:color w:val="000000"/>
          <w:lang w:eastAsia="ja-JP"/>
        </w:rPr>
        <w:t xml:space="preserve">Sequences were obtained by blasting the full </w:t>
      </w:r>
      <w:r w:rsidRPr="00D431D5">
        <w:rPr>
          <w:rFonts w:ascii="Arial" w:eastAsia="Times New Roman" w:hAnsi="Arial" w:cs="Arial"/>
          <w:bCs/>
          <w:color w:val="000000"/>
          <w:lang w:eastAsia="ja-JP"/>
        </w:rPr>
        <w:t xml:space="preserve">PpSMF1 amino acid sequence against the proteomes of </w:t>
      </w:r>
      <w:r w:rsidRPr="00D431D5">
        <w:rPr>
          <w:rFonts w:ascii="Arial" w:eastAsia="Times New Roman" w:hAnsi="Arial" w:cs="Arial"/>
          <w:bCs/>
          <w:i/>
          <w:color w:val="000000"/>
          <w:lang w:eastAsia="ja-JP"/>
        </w:rPr>
        <w:t xml:space="preserve">Physcomitrella patens </w:t>
      </w:r>
      <w:r w:rsidRPr="00D431D5">
        <w:rPr>
          <w:rFonts w:ascii="Arial" w:eastAsia="Times New Roman" w:hAnsi="Arial" w:cs="Arial"/>
          <w:bCs/>
          <w:color w:val="000000"/>
          <w:lang w:eastAsia="ja-JP"/>
        </w:rPr>
        <w:t xml:space="preserve">(Pp), </w:t>
      </w:r>
      <w:r w:rsidRPr="00D431D5">
        <w:rPr>
          <w:rFonts w:ascii="Arial" w:eastAsia="Times New Roman" w:hAnsi="Arial" w:cs="Arial"/>
          <w:bCs/>
          <w:i/>
          <w:color w:val="000000"/>
          <w:lang w:eastAsia="ja-JP"/>
        </w:rPr>
        <w:t xml:space="preserve">Sphagnum fallax </w:t>
      </w:r>
      <w:r w:rsidRPr="00D431D5">
        <w:rPr>
          <w:rFonts w:ascii="Arial" w:eastAsia="Times New Roman" w:hAnsi="Arial" w:cs="Arial"/>
          <w:bCs/>
          <w:color w:val="000000"/>
          <w:lang w:eastAsia="ja-JP"/>
        </w:rPr>
        <w:t xml:space="preserve">(Sf), </w:t>
      </w:r>
      <w:r w:rsidRPr="00D431D5">
        <w:rPr>
          <w:rFonts w:ascii="Arial" w:eastAsia="Times New Roman" w:hAnsi="Arial" w:cs="Arial"/>
          <w:bCs/>
          <w:i/>
          <w:color w:val="000000"/>
          <w:lang w:eastAsia="ja-JP"/>
        </w:rPr>
        <w:t xml:space="preserve">Selaginella moellendorffii </w:t>
      </w:r>
      <w:r w:rsidRPr="00D431D5">
        <w:rPr>
          <w:rFonts w:ascii="Arial" w:eastAsia="Times New Roman" w:hAnsi="Arial" w:cs="Arial"/>
          <w:bCs/>
          <w:color w:val="000000"/>
          <w:lang w:eastAsia="ja-JP"/>
        </w:rPr>
        <w:t xml:space="preserve">(Sm), </w:t>
      </w:r>
      <w:r w:rsidRPr="00D431D5">
        <w:rPr>
          <w:rFonts w:ascii="Arial" w:eastAsia="Times New Roman" w:hAnsi="Arial" w:cs="Arial"/>
          <w:bCs/>
          <w:i/>
          <w:color w:val="000000"/>
          <w:lang w:eastAsia="ja-JP"/>
        </w:rPr>
        <w:t>Oryza sativa</w:t>
      </w:r>
      <w:r w:rsidRPr="00D431D5">
        <w:rPr>
          <w:rFonts w:ascii="Arial" w:eastAsia="Times New Roman" w:hAnsi="Arial" w:cs="Arial"/>
          <w:bCs/>
          <w:color w:val="000000"/>
          <w:lang w:eastAsia="ja-JP"/>
        </w:rPr>
        <w:t xml:space="preserve"> (Os), </w:t>
      </w:r>
      <w:r w:rsidRPr="00D431D5">
        <w:rPr>
          <w:rFonts w:ascii="Arial" w:eastAsia="Times New Roman" w:hAnsi="Arial" w:cs="Arial"/>
          <w:bCs/>
          <w:i/>
          <w:color w:val="000000"/>
          <w:lang w:eastAsia="ja-JP"/>
        </w:rPr>
        <w:t xml:space="preserve">Eucalyptus grandis </w:t>
      </w:r>
      <w:r w:rsidRPr="00D431D5">
        <w:rPr>
          <w:rFonts w:ascii="Arial" w:eastAsia="Times New Roman" w:hAnsi="Arial" w:cs="Arial"/>
          <w:bCs/>
          <w:color w:val="000000"/>
          <w:lang w:eastAsia="ja-JP"/>
        </w:rPr>
        <w:t xml:space="preserve">(Eg) and </w:t>
      </w:r>
      <w:r w:rsidRPr="00D431D5">
        <w:rPr>
          <w:rFonts w:ascii="Arial" w:eastAsia="Times New Roman" w:hAnsi="Arial" w:cs="Arial"/>
          <w:bCs/>
          <w:i/>
          <w:color w:val="000000"/>
          <w:lang w:eastAsia="ja-JP"/>
        </w:rPr>
        <w:t xml:space="preserve">Arabidopsis thaliana </w:t>
      </w:r>
      <w:r w:rsidRPr="00D431D5">
        <w:rPr>
          <w:rFonts w:ascii="Arial" w:eastAsia="Times New Roman" w:hAnsi="Arial" w:cs="Arial"/>
          <w:bCs/>
          <w:color w:val="000000"/>
          <w:lang w:eastAsia="ja-JP"/>
        </w:rPr>
        <w:t xml:space="preserve">(At) using Phytozome version 11 </w:t>
      </w:r>
      <w:r w:rsidRPr="00D431D5">
        <w:rPr>
          <w:rFonts w:ascii="Arial" w:eastAsia="Times New Roman" w:hAnsi="Arial" w:cs="Arial"/>
          <w:bCs/>
          <w:color w:val="000000"/>
          <w:lang w:eastAsia="ja-JP"/>
        </w:rPr>
        <w:fldChar w:fldCharType="begin"/>
      </w:r>
      <w:r w:rsidRPr="00D431D5">
        <w:rPr>
          <w:rFonts w:ascii="Arial" w:eastAsia="Times New Roman" w:hAnsi="Arial" w:cs="Arial"/>
          <w:bCs/>
          <w:color w:val="000000"/>
          <w:lang w:eastAsia="ja-JP"/>
        </w:rPr>
        <w:instrText xml:space="preserve"> ADDIN EN.CITE &lt;EndNote&gt;&lt;Cite&gt;&lt;Author&gt;Goodstein&lt;/Author&gt;&lt;Year&gt;2012&lt;/Year&gt;&lt;IDText&gt;Phytozome: a comparative platform for green plant genomics&lt;/IDText&gt;&lt;DisplayText&gt;(Goodstein et al., 2012)&lt;/DisplayText&gt;&lt;record&gt;&lt;dates&gt;&lt;pub-dates&gt;&lt;date&gt;2012//&lt;/date&gt;&lt;/pub-dates&gt;&lt;year&gt;2012&lt;/year&gt;&lt;/dates&gt;&lt;urls&gt;&lt;related-urls&gt;&lt;url&gt;http://dx.doi.org/10.1093/nar/gkr944&lt;/url&gt;&lt;/related-urls&gt;&lt;/urls&gt;&lt;titles&gt;&lt;title&gt;Phytozome: a comparative platform for green plant genomics&lt;/title&gt;&lt;secondary-title&gt;Nucleic Acids Res&lt;/secondary-title&gt;&lt;/titles&gt;&lt;contributors&gt;&lt;authors&gt;&lt;author&gt;Goodstein, D. M.&lt;/author&gt;&lt;author&gt;Shu, S.&lt;/author&gt;&lt;author&gt;Howson, R.&lt;/author&gt;&lt;author&gt;Neupane, R.&lt;/author&gt;&lt;author&gt;Hayes, R. D.&lt;/author&gt;&lt;author&gt;Fazo, J.&lt;/author&gt;&lt;author&gt;Mitros, T.&lt;/author&gt;&lt;author&gt;Dirks, W.&lt;/author&gt;&lt;author&gt;Hellsten, U.&lt;/author&gt;&lt;author&gt;Putnam, N.&lt;/author&gt;&lt;author&gt;Rokhsar, D. S.&lt;/author&gt;&lt;/authors&gt;&lt;/contributors&gt;&lt;added-date format="utc"&gt;1454072695&lt;/added-date&gt;&lt;ref-type name="Journal Article"&gt;17&lt;/ref-type&gt;&lt;rec-number&gt;496&lt;/rec-number&gt;&lt;last-updated-date format="utc"&gt;1454072695&lt;/last-updated-date&gt;&lt;electronic-resource-num&gt;10.1093/nar/gkr944&lt;/electronic-resource-num&gt;&lt;volume&gt;40&lt;/volume&gt;&lt;/record&gt;&lt;/Cite&gt;&lt;/EndNote&gt;</w:instrText>
      </w:r>
      <w:r w:rsidRPr="00D431D5">
        <w:rPr>
          <w:rFonts w:ascii="Arial" w:eastAsia="Times New Roman" w:hAnsi="Arial" w:cs="Arial"/>
          <w:bCs/>
          <w:color w:val="000000"/>
          <w:lang w:eastAsia="ja-JP"/>
        </w:rPr>
        <w:fldChar w:fldCharType="separate"/>
      </w:r>
      <w:r w:rsidRPr="00D431D5">
        <w:rPr>
          <w:rFonts w:ascii="Arial" w:eastAsia="Times New Roman" w:hAnsi="Arial" w:cs="Arial"/>
          <w:bCs/>
          <w:color w:val="000000"/>
          <w:lang w:eastAsia="ja-JP"/>
        </w:rPr>
        <w:t>(Goodstein et al., 2012)</w:t>
      </w:r>
      <w:r w:rsidRPr="00D431D5">
        <w:rPr>
          <w:rFonts w:ascii="Arial" w:eastAsia="Times New Roman" w:hAnsi="Arial" w:cs="Arial"/>
          <w:color w:val="000000"/>
          <w:lang w:eastAsia="ja-JP"/>
        </w:rPr>
        <w:fldChar w:fldCharType="end"/>
      </w:r>
      <w:r w:rsidRPr="00D431D5">
        <w:rPr>
          <w:rFonts w:ascii="Arial" w:eastAsia="Times New Roman" w:hAnsi="Arial" w:cs="Arial"/>
          <w:bCs/>
          <w:color w:val="000000"/>
          <w:lang w:eastAsia="ja-JP"/>
        </w:rPr>
        <w:t xml:space="preserve">. All retrieved sequences with a blast score of 80 or above were aligned using the MUSCLE </w:t>
      </w:r>
      <w:r w:rsidRPr="00D431D5">
        <w:rPr>
          <w:rFonts w:ascii="Arial" w:eastAsia="Times New Roman" w:hAnsi="Arial" w:cs="Arial"/>
          <w:bCs/>
          <w:color w:val="000000"/>
          <w:lang w:eastAsia="ja-JP"/>
        </w:rPr>
        <w:fldChar w:fldCharType="begin"/>
      </w:r>
      <w:r w:rsidRPr="00D431D5">
        <w:rPr>
          <w:rFonts w:ascii="Arial" w:eastAsia="Times New Roman" w:hAnsi="Arial" w:cs="Arial"/>
          <w:bCs/>
          <w:color w:val="000000"/>
          <w:lang w:eastAsia="ja-JP"/>
        </w:rPr>
        <w:instrText xml:space="preserve"> ADDIN EN.CITE &lt;EndNote&gt;&lt;Cite&gt;&lt;Author&gt;Edgar&lt;/Author&gt;&lt;Year&gt;2004&lt;/Year&gt;&lt;IDText&gt;MUSCLE: a multiple sequence alignment method with reduced time and space complexity&lt;/IDText&gt;&lt;DisplayText&gt;(Edgar, 2004)&lt;/DisplayText&gt;&lt;record&gt;&lt;dates&gt;&lt;pub-dates&gt;&lt;date&gt;Aug 19&lt;/date&gt;&lt;/pub-dates&gt;&lt;year&gt;2004&lt;/year&gt;&lt;/dates&gt;&lt;keywords&gt;&lt;keyword&gt;Cluster Analysis&lt;/keyword&gt;&lt;keyword&gt;Computational Biology/methods/statistics &amp;amp; numerical data/trends&lt;/keyword&gt;&lt;keyword&gt;Phylogeny&lt;/keyword&gt;&lt;keyword&gt;Sequence Alignment/*methods/statistics &amp;amp; numerical data/*trends&lt;/keyword&gt;&lt;keyword&gt;*Software&lt;/keyword&gt;&lt;keyword&gt;Software Design&lt;/keyword&gt;&lt;keyword&gt;Time Factors&lt;/keyword&gt;&lt;/keywords&gt;&lt;isbn&gt;1471-2105&lt;/isbn&gt;&lt;custom2&gt;PMC517706&lt;/custom2&gt;&lt;titles&gt;&lt;title&gt;MUSCLE: a multiple sequence alignment method with reduced time and space complexity&lt;/title&gt;&lt;secondary-title&gt;BMC Bioinformatics&lt;/secondary-title&gt;&lt;alt-title&gt;BMC bioinformatics&lt;/alt-title&gt;&lt;/titles&gt;&lt;pages&gt;113&lt;/pages&gt;&lt;contributors&gt;&lt;authors&gt;&lt;author&gt;Edgar, R. C.&lt;/author&gt;&lt;/authors&gt;&lt;/contributors&gt;&lt;edition&gt;2004/08/21&lt;/edition&gt;&lt;language&gt;eng&lt;/language&gt;&lt;added-date format="utc"&gt;1452355510&lt;/added-date&gt;&lt;ref-type name="Journal Article"&gt;17&lt;/ref-type&gt;&lt;auth-address&gt;Department of Plant and Microbial Biology, 461 Koshland Hall, University of California, Berkeley, CA 94720-3102, USA. bob@drive5.com&lt;/auth-address&gt;&lt;remote-database-provider&gt;NLM&lt;/remote-database-provider&gt;&lt;rec-number&gt;420&lt;/rec-number&gt;&lt;last-updated-date format="utc"&gt;1452355510&lt;/last-updated-date&gt;&lt;accession-num&gt;15318951&lt;/accession-num&gt;&lt;electronic-resource-num&gt;10.1186/1471-2105-5-113&lt;/electronic-resource-num&gt;&lt;volume&gt;5&lt;/volume&gt;&lt;/record&gt;&lt;/Cite&gt;&lt;/EndNote&gt;</w:instrText>
      </w:r>
      <w:r w:rsidRPr="00D431D5">
        <w:rPr>
          <w:rFonts w:ascii="Arial" w:eastAsia="Times New Roman" w:hAnsi="Arial" w:cs="Arial"/>
          <w:bCs/>
          <w:color w:val="000000"/>
          <w:lang w:eastAsia="ja-JP"/>
        </w:rPr>
        <w:fldChar w:fldCharType="separate"/>
      </w:r>
      <w:r w:rsidRPr="00D431D5">
        <w:rPr>
          <w:rFonts w:ascii="Arial" w:eastAsia="Times New Roman" w:hAnsi="Arial" w:cs="Arial"/>
          <w:bCs/>
          <w:color w:val="000000"/>
          <w:lang w:eastAsia="ja-JP"/>
        </w:rPr>
        <w:t>(Edgar, 2004)</w:t>
      </w:r>
      <w:r w:rsidRPr="00D431D5">
        <w:rPr>
          <w:rFonts w:ascii="Arial" w:eastAsia="Times New Roman" w:hAnsi="Arial" w:cs="Arial"/>
          <w:color w:val="000000"/>
          <w:lang w:eastAsia="ja-JP"/>
        </w:rPr>
        <w:fldChar w:fldCharType="end"/>
      </w:r>
      <w:r w:rsidRPr="00D431D5">
        <w:rPr>
          <w:rFonts w:ascii="Arial" w:eastAsia="Times New Roman" w:hAnsi="Arial" w:cs="Arial"/>
          <w:bCs/>
          <w:color w:val="000000"/>
          <w:lang w:eastAsia="ja-JP"/>
        </w:rPr>
        <w:t xml:space="preserve"> alignment algorithm in MEGA6 </w:t>
      </w:r>
      <w:r w:rsidRPr="00D431D5">
        <w:rPr>
          <w:rFonts w:ascii="Arial" w:eastAsia="Times New Roman" w:hAnsi="Arial" w:cs="Arial"/>
          <w:bCs/>
          <w:color w:val="000000"/>
          <w:lang w:eastAsia="ja-JP"/>
        </w:rPr>
        <w:fldChar w:fldCharType="begin"/>
      </w:r>
      <w:r w:rsidRPr="00D431D5">
        <w:rPr>
          <w:rFonts w:ascii="Arial" w:eastAsia="Times New Roman" w:hAnsi="Arial" w:cs="Arial"/>
          <w:bCs/>
          <w:color w:val="000000"/>
          <w:lang w:eastAsia="ja-JP"/>
        </w:rPr>
        <w:instrText xml:space="preserve"> ADDIN EN.CITE &lt;EndNote&gt;&lt;Cite&gt;&lt;Author&gt;Tamura&lt;/Author&gt;&lt;Year&gt;2013&lt;/Year&gt;&lt;IDText&gt;MEGA6: Molecular Evolutionary Genetics Analysis version 6.0&lt;/IDText&gt;&lt;DisplayText&gt;(Tamura et al., 2013)&lt;/DisplayText&gt;&lt;record&gt;&lt;dates&gt;&lt;pub-dates&gt;&lt;date&gt;Dec&lt;/date&gt;&lt;/pub-dates&gt;&lt;year&gt;2013&lt;/year&gt;&lt;/dates&gt;&lt;keywords&gt;&lt;keyword&gt;Algorithms&lt;/keyword&gt;&lt;keyword&gt;Databases, Genetic&lt;/keyword&gt;&lt;keyword&gt;*Evolution, Molecular&lt;/keyword&gt;&lt;keyword&gt;Internet&lt;/keyword&gt;&lt;keyword&gt;Phylogeny&lt;/keyword&gt;&lt;keyword&gt;*Software&lt;/keyword&gt;&lt;keyword&gt;*User-Computer Interface&lt;/keyword&gt;&lt;keyword&gt;phylogeny&lt;/keyword&gt;&lt;keyword&gt;relaxed clocks&lt;/keyword&gt;&lt;keyword&gt;software&lt;/keyword&gt;&lt;/keywords&gt;&lt;isbn&gt;0737-4038&lt;/isbn&gt;&lt;custom2&gt;PMC3840312&lt;/custom2&gt;&lt;titles&gt;&lt;title&gt;MEGA6: Molecular Evolutionary Genetics Analysis version 6.0&lt;/title&gt;&lt;secondary-title&gt;Mol Biol Evol&lt;/secondary-title&gt;&lt;alt-title&gt;Molecular biology and evolution&lt;/alt-title&gt;&lt;/titles&gt;&lt;pages&gt;2725-9&lt;/pages&gt;&lt;number&gt;12&lt;/number&gt;&lt;contributors&gt;&lt;authors&gt;&lt;author&gt;Tamura, K.&lt;/author&gt;&lt;author&gt;Stecher, G.&lt;/author&gt;&lt;author&gt;Peterson, D.&lt;/author&gt;&lt;author&gt;Filipski, A.&lt;/author&gt;&lt;author&gt;Kumar, S.&lt;/author&gt;&lt;/authors&gt;&lt;/contributors&gt;&lt;edition&gt;2013/10/18&lt;/edition&gt;&lt;language&gt;eng&lt;/language&gt;&lt;added-date format="utc"&gt;1453907986&lt;/added-date&gt;&lt;ref-type name="Journal Article"&gt;17&lt;/ref-type&gt;&lt;auth-address&gt;Research Center for Genomics and Bioinformatics, Tokyo Metropolitan University, Hachioji, Tokyo, Japan.&lt;/auth-address&gt;&lt;remote-database-provider&gt;NLM&lt;/remote-database-provider&gt;&lt;rec-number&gt;455&lt;/rec-number&gt;&lt;last-updated-date format="utc"&gt;1453907986&lt;/last-updated-date&gt;&lt;accession-num&gt;24132122&lt;/accession-num&gt;&lt;electronic-resource-num&gt;10.1093/molbev/mst197&lt;/electronic-resource-num&gt;&lt;volume&gt;30&lt;/volume&gt;&lt;/record&gt;&lt;/Cite&gt;&lt;/EndNote&gt;</w:instrText>
      </w:r>
      <w:r w:rsidRPr="00D431D5">
        <w:rPr>
          <w:rFonts w:ascii="Arial" w:eastAsia="Times New Roman" w:hAnsi="Arial" w:cs="Arial"/>
          <w:bCs/>
          <w:color w:val="000000"/>
          <w:lang w:eastAsia="ja-JP"/>
        </w:rPr>
        <w:fldChar w:fldCharType="separate"/>
      </w:r>
      <w:r w:rsidRPr="00D431D5">
        <w:rPr>
          <w:rFonts w:ascii="Arial" w:eastAsia="Times New Roman" w:hAnsi="Arial" w:cs="Arial"/>
          <w:bCs/>
          <w:color w:val="000000"/>
          <w:lang w:eastAsia="ja-JP"/>
        </w:rPr>
        <w:t>(Tamura et al., 2013)</w:t>
      </w:r>
      <w:r w:rsidRPr="00D431D5">
        <w:rPr>
          <w:rFonts w:ascii="Arial" w:eastAsia="Times New Roman" w:hAnsi="Arial" w:cs="Arial"/>
          <w:color w:val="000000"/>
          <w:lang w:eastAsia="ja-JP"/>
        </w:rPr>
        <w:fldChar w:fldCharType="end"/>
      </w:r>
      <w:r w:rsidRPr="00D431D5">
        <w:rPr>
          <w:rFonts w:ascii="Arial" w:eastAsia="Times New Roman" w:hAnsi="Arial" w:cs="Arial"/>
          <w:bCs/>
          <w:color w:val="000000"/>
          <w:lang w:eastAsia="ja-JP"/>
        </w:rPr>
        <w:t xml:space="preserve">. No equivalent bHLH homologue in </w:t>
      </w:r>
      <w:r w:rsidRPr="00D431D5">
        <w:rPr>
          <w:rFonts w:ascii="Arial" w:eastAsia="Times New Roman" w:hAnsi="Arial" w:cs="Arial"/>
          <w:bCs/>
          <w:i/>
          <w:color w:val="000000"/>
          <w:lang w:eastAsia="ja-JP"/>
        </w:rPr>
        <w:t>Chladymonas reinhardtii</w:t>
      </w:r>
      <w:r w:rsidRPr="00D431D5">
        <w:rPr>
          <w:rFonts w:ascii="Arial" w:eastAsia="Times New Roman" w:hAnsi="Arial" w:cs="Arial"/>
          <w:bCs/>
          <w:color w:val="000000"/>
          <w:lang w:eastAsia="ja-JP"/>
        </w:rPr>
        <w:t xml:space="preserve"> was found via blast </w:t>
      </w:r>
      <w:r w:rsidRPr="00D431D5">
        <w:rPr>
          <w:rFonts w:ascii="Arial" w:eastAsia="Times New Roman" w:hAnsi="Arial" w:cs="Arial"/>
          <w:bCs/>
          <w:color w:val="000000"/>
          <w:lang w:eastAsia="ja-JP"/>
        </w:rPr>
        <w:lastRenderedPageBreak/>
        <w:t xml:space="preserve">searching even with a score below the set threshold of 80. </w:t>
      </w:r>
      <w:r w:rsidRPr="00D431D5">
        <w:rPr>
          <w:rFonts w:ascii="Arial" w:eastAsia="Times New Roman" w:hAnsi="Arial" w:cs="Arial"/>
          <w:color w:val="000000"/>
          <w:lang w:eastAsia="ja-JP"/>
        </w:rPr>
        <w:t xml:space="preserve">To construct the phylogenetic tree the Neighbour-Joining method was used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&lt;EndNote&gt;&lt;Cite&gt;&lt;Author&gt;Saitou&lt;/Author&gt;&lt;Year&gt;1987&lt;/Year&gt;&lt;IDText&gt;The neighbor-joining method: a new method for reconstructing phylogenetic trees&lt;/IDText&gt;&lt;DisplayText&gt;(Saitou and Nei, 1987)&lt;/DisplayText&gt;&lt;record&gt;&lt;dates&gt;&lt;pub-dates&gt;&lt;date&gt;Jul&lt;/date&gt;&lt;/pub-dates&gt;&lt;year&gt;1987&lt;/year&gt;&lt;/dates&gt;&lt;keywords&gt;&lt;keyword&gt;Animals&lt;/keyword&gt;&lt;keyword&gt;Biological Evolution&lt;/keyword&gt;&lt;keyword&gt;Biometry&lt;/keyword&gt;&lt;keyword&gt;*Models, Genetic&lt;/keyword&gt;&lt;keyword&gt;*Phylogeny&lt;/keyword&gt;&lt;keyword&gt;Ranidae/*genetics&lt;/keyword&gt;&lt;/keywords&gt;&lt;isbn&gt;0737-4038 (Print)&amp;#xD;0737-4038&lt;/isbn&gt;&lt;titles&gt;&lt;title&gt;The neighbor-joining method: a new method for reconstructing phylogenetic trees&lt;/title&gt;&lt;secondary-title&gt;Mol Biol Evol&lt;/secondary-title&gt;&lt;alt-title&gt;Molecular biology and evolution&lt;/alt-title&gt;&lt;/titles&gt;&lt;pages&gt;406-25&lt;/pages&gt;&lt;number&gt;4&lt;/number&gt;&lt;contributors&gt;&lt;authors&gt;&lt;author&gt;Saitou, N.&lt;/author&gt;&lt;author&gt;Nei, M.&lt;/author&gt;&lt;/authors&gt;&lt;/contributors&gt;&lt;edition&gt;1987/07/01&lt;/edition&gt;&lt;language&gt;eng&lt;/language&gt;&lt;added-date format="utc"&gt;1453907563&lt;/added-date&gt;&lt;ref-type name="Journal Article"&gt;17&lt;/ref-type&gt;&lt;auth-address&gt;Center for Demographic and Population Genetics, University of Texas Health Science Center, Houston 77225.&lt;/auth-address&gt;&lt;remote-database-provider&gt;NLM&lt;/remote-database-provider&gt;&lt;rec-number&gt;451&lt;/rec-number&gt;&lt;last-updated-date format="utc"&gt;1453907563&lt;/last-updated-date&gt;&lt;accession-num&gt;3447015&lt;/accession-num&gt;&lt;volume&gt;4&lt;/volume&gt;&lt;/record&gt;&lt;/Cite&gt;&lt;/EndNote&gt;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(Saitou and Nei, 1987)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 bootstrap test (1000 replicates) was performed, with percentages generated listed next to branches to illustrate how often associated taxa cluster together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&lt;EndNote&gt;&lt;Cite&gt;&lt;Author&gt;Felsenstein&lt;/Author&gt;&lt;Year&gt;1985&lt;/Year&gt;&lt;IDText&gt;Confidence Limits on Phylogenies: An Approach Using the Bootstrap&lt;/IDText&gt;&lt;DisplayText&gt;(Felsenstein, 1985)&lt;/DisplayText&gt;&lt;record&gt;&lt;urls&gt;&lt;related-urls&gt;&lt;url&gt;http://www.jstor.org/stable/2408678&lt;/url&gt;&lt;/related-urls&gt;&lt;/urls&gt;&lt;isbn&gt;00143820, 15585646&lt;/isbn&gt;&lt;custom1&gt;Full publication date: Jul., 1985&lt;/custom1&gt;&lt;titles&gt;&lt;title&gt;Confidence Limits on Phylogenies: An Approach Using the Bootstrap&lt;/title&gt;&lt;secondary-title&gt;Evolution&lt;/secondary-title&gt;&lt;/titles&gt;&lt;pages&gt;783-791&lt;/pages&gt;&lt;number&gt;4&lt;/number&gt;&lt;contributors&gt;&lt;authors&gt;&lt;author&gt;Felsenstein, Joseph&lt;/author&gt;&lt;/authors&gt;&lt;/contributors&gt;&lt;added-date format="utc"&gt;1453907641&lt;/added-date&gt;&lt;ref-type name="Journal Article"&gt;17&lt;/ref-type&gt;&lt;dates&gt;&lt;year&gt;1985&lt;/year&gt;&lt;/dates&gt;&lt;rec-number&gt;452&lt;/rec-number&gt;&lt;publisher&gt;[Society for the Study of Evolution, Wiley]&lt;/publisher&gt;&lt;last-updated-date format="utc"&gt;1453907641&lt;/last-updated-date&gt;&lt;electronic-resource-num&gt;10.2307/2408678&lt;/electronic-resource-num&gt;&lt;volume&gt;39&lt;/volume&gt;&lt;/record&gt;&lt;/Cite&gt;&lt;/EndNote&gt;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(Felsenstein, 1985)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The Poisson correction method was used to compute evolutionary distances with units equating to the number of amino acid substitutions per site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&lt;EndNote&gt;&lt;Cite&gt;&lt;Author&gt;Zuckerkandl&lt;/Author&gt;&lt;Year&gt;1965&lt;/Year&gt;&lt;IDText&gt;Molecules as documents of evolutionary history&lt;/IDText&gt;&lt;DisplayText&gt;(Zuckerkandl and Pauling, 1965)&lt;/DisplayText&gt;&lt;record&gt;&lt;dates&gt;&lt;pub-dates&gt;&lt;date&gt;Mar&lt;/date&gt;&lt;/pub-dates&gt;&lt;year&gt;1965&lt;/year&gt;&lt;/dates&gt;&lt;keywords&gt;&lt;keyword&gt;Amino Acid Sequence&lt;/keyword&gt;&lt;keyword&gt;*Biological Evolution&lt;/keyword&gt;&lt;keyword&gt;*Genes&lt;/keyword&gt;&lt;keyword&gt;*Genetic Code&lt;/keyword&gt;&lt;keyword&gt;*Macromolecular Substances&lt;/keyword&gt;&lt;keyword&gt;Nucleic Acids&lt;/keyword&gt;&lt;keyword&gt;*RNA, Messenger&lt;/keyword&gt;&lt;/keywords&gt;&lt;isbn&gt;0022-5193 (Print)&amp;#xD;0022-5193&lt;/isbn&gt;&lt;titles&gt;&lt;title&gt;Molecules as documents of evolutionary history&lt;/title&gt;&lt;secondary-title&gt;J Theor Biol&lt;/secondary-title&gt;&lt;alt-title&gt;Journal of theoretical biology&lt;/alt-title&gt;&lt;/titles&gt;&lt;pages&gt;357-66&lt;/pages&gt;&lt;number&gt;2&lt;/number&gt;&lt;contributors&gt;&lt;authors&gt;&lt;author&gt;Zuckerkandl, E.&lt;/author&gt;&lt;author&gt;Pauling, L.&lt;/author&gt;&lt;/authors&gt;&lt;/contributors&gt;&lt;edition&gt;1965/03/01&lt;/edition&gt;&lt;language&gt;eng&lt;/language&gt;&lt;added-date format="utc"&gt;1453907838&lt;/added-date&gt;&lt;ref-type name="Journal Article"&gt;17&lt;/ref-type&gt;&lt;remote-database-provider&gt;NLM&lt;/remote-database-provider&gt;&lt;rec-number&gt;454&lt;/rec-number&gt;&lt;last-updated-date format="utc"&gt;1453907838&lt;/last-updated-date&gt;&lt;accession-num&gt;5876245&lt;/accession-num&gt;&lt;volume&gt;8&lt;/volume&gt;&lt;/record&gt;&lt;/Cite&gt;&lt;/EndNote&gt;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(Zuckerkandl and Pauling, 1965)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All positions containing gaps and missing data were eliminated. The phylogenetic trees were constructed in MEGA6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&lt;EndNote&gt;&lt;Cite&gt;&lt;Author&gt;Tamura&lt;/Author&gt;&lt;Year&gt;2013&lt;/Year&gt;&lt;IDText&gt;MEGA6: Molecular Evolutionary Genetics Analysis version 6.0&lt;/IDText&gt;&lt;DisplayText&gt;(Tamura et al., 2013)&lt;/DisplayText&gt;&lt;record&gt;&lt;dates&gt;&lt;pub-dates&gt;&lt;date&gt;Dec&lt;/date&gt;&lt;/pub-dates&gt;&lt;year&gt;2013&lt;/year&gt;&lt;/dates&gt;&lt;keywords&gt;&lt;keyword&gt;Algorithms&lt;/keyword&gt;&lt;keyword&gt;Databases, Genetic&lt;/keyword&gt;&lt;keyword&gt;*Evolution, Molecular&lt;/keyword&gt;&lt;keyword&gt;Internet&lt;/keyword&gt;&lt;keyword&gt;Phylogeny&lt;/keyword&gt;&lt;keyword&gt;*Software&lt;/keyword&gt;&lt;keyword&gt;*User-Computer Interface&lt;/keyword&gt;&lt;keyword&gt;phylogeny&lt;/keyword&gt;&lt;keyword&gt;relaxed clocks&lt;/keyword&gt;&lt;keyword&gt;software&lt;/keyword&gt;&lt;/keywords&gt;&lt;isbn&gt;0737-4038&lt;/isbn&gt;&lt;custom2&gt;PMC3840312&lt;/custom2&gt;&lt;titles&gt;&lt;title&gt;MEGA6: Molecular Evolutionary Genetics Analysis version 6.0&lt;/title&gt;&lt;secondary-title&gt;Mol Biol Evol&lt;/secondary-title&gt;&lt;alt-title&gt;Molecular biology and evolution&lt;/alt-title&gt;&lt;/titles&gt;&lt;pages&gt;2725-9&lt;/pages&gt;&lt;number&gt;12&lt;/number&gt;&lt;contributors&gt;&lt;authors&gt;&lt;author&gt;Tamura, K.&lt;/author&gt;&lt;author&gt;Stecher, G.&lt;/author&gt;&lt;author&gt;Peterson, D.&lt;/author&gt;&lt;author&gt;Filipski, A.&lt;/author&gt;&lt;author&gt;Kumar, S.&lt;/author&gt;&lt;/authors&gt;&lt;/contributors&gt;&lt;edition&gt;2013/10/18&lt;/edition&gt;&lt;language&gt;eng&lt;/language&gt;&lt;added-date format="utc"&gt;1453907986&lt;/added-date&gt;&lt;ref-type name="Journal Article"&gt;17&lt;/ref-type&gt;&lt;auth-address&gt;Research Center for Genomics and Bioinformatics, Tokyo Metropolitan University, Hachioji, Tokyo, Japan.&lt;/auth-address&gt;&lt;remote-database-provider&gt;NLM&lt;/remote-database-provider&gt;&lt;rec-number&gt;455&lt;/rec-number&gt;&lt;last-updated-date format="utc"&gt;1453907986&lt;/last-updated-date&gt;&lt;accession-num&gt;24132122&lt;/accession-num&gt;&lt;electronic-resource-num&gt;10.1093/molbev/mst197&lt;/electronic-resource-num&gt;&lt;volume&gt;30&lt;/volume&gt;&lt;/record&gt;&lt;/Cite&gt;&lt;/EndNote&gt;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(Tamura et al., 2013)</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For accession numbers relating to abbreviated gene names see </w:t>
      </w:r>
      <w:r w:rsidRPr="00D431D5">
        <w:rPr>
          <w:rFonts w:ascii="Arial" w:eastAsia="Times New Roman" w:hAnsi="Arial" w:cs="Arial"/>
          <w:b/>
          <w:color w:val="000000"/>
          <w:lang w:eastAsia="ja-JP"/>
        </w:rPr>
        <w:t>appendix 1</w:t>
      </w:r>
      <w:r w:rsidRPr="00D431D5">
        <w:rPr>
          <w:rFonts w:ascii="Arial" w:eastAsia="Times New Roman" w:hAnsi="Arial" w:cs="Arial"/>
          <w:color w:val="000000"/>
          <w:lang w:eastAsia="ja-JP"/>
        </w:rPr>
        <w:t xml:space="preserve">. Relative qPCR analysis illustrating the upregulation of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xml:space="preserve">) and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xml:space="preserve">) in sporophyte tissue of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relative to protonemal tissue. For both sporophyte and protonemal samples, 3 biological replicates and 2 technical replicates were performed. Error bars = s.e.m. </w:t>
      </w:r>
    </w:p>
    <w:p w14:paraId="724CB62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As with the </w:t>
      </w:r>
      <w:r w:rsidRPr="00D431D5">
        <w:rPr>
          <w:rFonts w:ascii="Arial" w:eastAsia="Times New Roman" w:hAnsi="Arial" w:cs="Arial"/>
          <w:i/>
          <w:color w:val="000000"/>
          <w:lang w:eastAsia="ja-JP"/>
        </w:rPr>
        <w:t>SMF</w:t>
      </w:r>
      <w:r w:rsidRPr="00D431D5">
        <w:rPr>
          <w:rFonts w:ascii="Arial" w:eastAsia="Times New Roman" w:hAnsi="Arial" w:cs="Arial"/>
          <w:color w:val="000000"/>
          <w:lang w:eastAsia="ja-JP"/>
        </w:rPr>
        <w:t xml:space="preserve"> genes, a clear </w:t>
      </w:r>
      <w:r w:rsidRPr="00D431D5">
        <w:rPr>
          <w:rFonts w:ascii="Arial" w:eastAsia="Times New Roman" w:hAnsi="Arial" w:cs="Arial"/>
          <w:i/>
          <w:color w:val="000000"/>
          <w:lang w:eastAsia="ja-JP"/>
        </w:rPr>
        <w:t>ICE/SCRM</w:t>
      </w:r>
      <w:r w:rsidRPr="00D431D5">
        <w:rPr>
          <w:rFonts w:ascii="Arial" w:eastAsia="Times New Roman" w:hAnsi="Arial" w:cs="Arial"/>
          <w:color w:val="000000"/>
          <w:lang w:eastAsia="ja-JP"/>
        </w:rPr>
        <w:t xml:space="preserve"> gene clade emerged within land plants when a phylogenetic analysis was undertaken using amino acid sequences that shared high similarity with PpSCRM1 (</w:t>
      </w:r>
      <w:r w:rsidRPr="00D431D5">
        <w:rPr>
          <w:rFonts w:ascii="Arial" w:eastAsia="Times New Roman" w:hAnsi="Arial" w:cs="Arial"/>
          <w:b/>
          <w:color w:val="000000"/>
          <w:lang w:eastAsia="ja-JP"/>
        </w:rPr>
        <w:t>Fig. 8a</w:t>
      </w:r>
      <w:r w:rsidRPr="00D431D5">
        <w:rPr>
          <w:rFonts w:ascii="Arial" w:eastAsia="Times New Roman" w:hAnsi="Arial" w:cs="Arial"/>
          <w:color w:val="000000"/>
          <w:lang w:eastAsia="ja-JP"/>
        </w:rPr>
        <w:t xml:space="preserve">). For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besides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three other </w:t>
      </w:r>
      <w:r w:rsidRPr="00D431D5">
        <w:rPr>
          <w:rFonts w:ascii="Arial" w:eastAsia="Times New Roman" w:hAnsi="Arial" w:cs="Arial"/>
          <w:i/>
          <w:color w:val="000000"/>
          <w:lang w:eastAsia="ja-JP"/>
        </w:rPr>
        <w:t>PpSCRM</w:t>
      </w:r>
      <w:r w:rsidRPr="00D431D5">
        <w:rPr>
          <w:rFonts w:ascii="Arial" w:eastAsia="Times New Roman" w:hAnsi="Arial" w:cs="Arial"/>
          <w:color w:val="000000"/>
          <w:lang w:eastAsia="ja-JP"/>
        </w:rPr>
        <w:t xml:space="preserve"> genes were detected: </w:t>
      </w:r>
      <w:r w:rsidRPr="00D431D5">
        <w:rPr>
          <w:rFonts w:ascii="Arial" w:eastAsia="Times New Roman" w:hAnsi="Arial" w:cs="Arial"/>
          <w:i/>
          <w:color w:val="000000"/>
          <w:lang w:eastAsia="ja-JP"/>
        </w:rPr>
        <w:t>PpSCRM2-4</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which like with </w:t>
      </w:r>
      <w:r w:rsidRPr="00D431D5">
        <w:rPr>
          <w:rFonts w:ascii="Arial" w:eastAsia="Times New Roman" w:hAnsi="Arial" w:cs="Arial"/>
          <w:i/>
          <w:color w:val="000000"/>
          <w:lang w:eastAsia="ja-JP"/>
        </w:rPr>
        <w:t xml:space="preserve">PpSMF </w:t>
      </w:r>
      <w:r w:rsidRPr="00D431D5">
        <w:rPr>
          <w:rFonts w:ascii="Arial" w:eastAsia="Times New Roman" w:hAnsi="Arial" w:cs="Arial"/>
          <w:color w:val="000000"/>
          <w:lang w:eastAsia="ja-JP"/>
        </w:rPr>
        <w:t>gene in-paralogues,</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might have increased in number partly due to a recent genome duplication event in a relatively recent ancestor of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fldData xml:space="preserve">PEVuZE5vdGU+PENpdGU+PEF1dGhvcj5SZW5zaW5nPC9BdXRob3I+PFllYXI+MjAwNzwvWWVhcj48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==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PEVuZE5vdGU+PENpdGU+PEF1dGhvcj5SZW5zaW5nPC9BdXRob3I+PFllYXI+MjAwNzwvWWVhcj48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==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(Rensing et al., 2007)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Interestingly and oppositely to the </w:t>
      </w:r>
      <w:r w:rsidRPr="00D431D5">
        <w:rPr>
          <w:rFonts w:ascii="Arial" w:eastAsia="Times New Roman" w:hAnsi="Arial" w:cs="Arial"/>
          <w:i/>
          <w:color w:val="000000"/>
          <w:lang w:eastAsia="ja-JP"/>
        </w:rPr>
        <w:t xml:space="preserve">SMF </w:t>
      </w:r>
      <w:r w:rsidRPr="00D431D5">
        <w:rPr>
          <w:rFonts w:ascii="Arial" w:eastAsia="Times New Roman" w:hAnsi="Arial" w:cs="Arial"/>
          <w:color w:val="000000"/>
          <w:lang w:eastAsia="ja-JP"/>
        </w:rPr>
        <w:t xml:space="preserve">phylogenetic analysis, a closely related gene was also detected which was closely related to other </w:t>
      </w:r>
      <w:r w:rsidRPr="00D431D5">
        <w:rPr>
          <w:rFonts w:ascii="Arial" w:eastAsia="Times New Roman" w:hAnsi="Arial" w:cs="Arial"/>
          <w:i/>
          <w:color w:val="000000"/>
          <w:lang w:eastAsia="ja-JP"/>
        </w:rPr>
        <w:t xml:space="preserve">ICE/SCRM </w:t>
      </w:r>
      <w:r w:rsidRPr="00D431D5">
        <w:rPr>
          <w:rFonts w:ascii="Arial" w:eastAsia="Times New Roman" w:hAnsi="Arial" w:cs="Arial"/>
          <w:color w:val="000000"/>
          <w:lang w:eastAsia="ja-JP"/>
        </w:rPr>
        <w:t xml:space="preserve">genes in the genome of </w:t>
      </w:r>
      <w:r w:rsidRPr="00D431D5">
        <w:rPr>
          <w:rFonts w:ascii="Arial" w:eastAsia="Times New Roman" w:hAnsi="Arial" w:cs="Arial"/>
          <w:i/>
          <w:color w:val="000000"/>
          <w:lang w:eastAsia="ja-JP"/>
        </w:rPr>
        <w:t xml:space="preserve">Sphagnum fallax </w:t>
      </w:r>
      <w:r w:rsidRPr="00D431D5">
        <w:rPr>
          <w:rFonts w:ascii="Arial" w:eastAsia="Times New Roman" w:hAnsi="Arial" w:cs="Arial"/>
          <w:color w:val="000000"/>
          <w:lang w:eastAsia="ja-JP"/>
        </w:rPr>
        <w:t xml:space="preserve">which has pseudostomata. In this analysis a distant sister bHLH was also detected in the algae </w:t>
      </w:r>
      <w:r w:rsidRPr="00D431D5">
        <w:rPr>
          <w:rFonts w:ascii="Arial" w:eastAsia="Times New Roman" w:hAnsi="Arial" w:cs="Arial"/>
          <w:i/>
          <w:color w:val="000000"/>
          <w:lang w:eastAsia="ja-JP"/>
        </w:rPr>
        <w:t>C. reinhardtii</w:t>
      </w:r>
      <w:r w:rsidRPr="00D431D5">
        <w:rPr>
          <w:rFonts w:ascii="Arial" w:eastAsia="Times New Roman" w:hAnsi="Arial" w:cs="Arial"/>
          <w:color w:val="000000"/>
          <w:lang w:eastAsia="ja-JP"/>
        </w:rPr>
        <w:t xml:space="preserve">. Given the previous discussions relating to the other functions of </w:t>
      </w:r>
      <w:r w:rsidRPr="00D431D5">
        <w:rPr>
          <w:rFonts w:ascii="Arial" w:eastAsia="Times New Roman" w:hAnsi="Arial" w:cs="Arial"/>
          <w:i/>
          <w:color w:val="000000"/>
          <w:lang w:eastAsia="ja-JP"/>
        </w:rPr>
        <w:t>ICE</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SCRM</w:t>
      </w:r>
      <w:r w:rsidRPr="00D431D5">
        <w:rPr>
          <w:rFonts w:ascii="Arial" w:eastAsia="Times New Roman" w:hAnsi="Arial" w:cs="Arial"/>
          <w:color w:val="000000"/>
          <w:lang w:eastAsia="ja-JP"/>
        </w:rPr>
        <w:t xml:space="preserve"> genes in Arabidopsis (see section) the current phylogeny re-affirms that </w:t>
      </w:r>
      <w:r w:rsidRPr="00D431D5">
        <w:rPr>
          <w:rFonts w:ascii="Arial" w:eastAsia="Times New Roman" w:hAnsi="Arial" w:cs="Arial"/>
          <w:i/>
          <w:color w:val="000000"/>
          <w:lang w:eastAsia="ja-JP"/>
        </w:rPr>
        <w:t>ICE</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SCRM </w:t>
      </w:r>
      <w:r w:rsidRPr="00D431D5">
        <w:rPr>
          <w:rFonts w:ascii="Arial" w:eastAsia="Times New Roman" w:hAnsi="Arial" w:cs="Arial"/>
          <w:color w:val="000000"/>
          <w:lang w:eastAsia="ja-JP"/>
        </w:rPr>
        <w:t>genes and their ancestors probably functioned in processes even before stomata evolved.</w:t>
      </w:r>
    </w:p>
    <w:p w14:paraId="03F5D450" w14:textId="77777777" w:rsidR="00D431D5" w:rsidRPr="00D431D5" w:rsidRDefault="00D431D5" w:rsidP="00D431D5">
      <w:pPr>
        <w:tabs>
          <w:tab w:val="left" w:pos="6663"/>
        </w:tabs>
        <w:spacing w:after="160" w:line="360" w:lineRule="auto"/>
        <w:rPr>
          <w:rFonts w:ascii="Arial" w:eastAsia="Times New Roman" w:hAnsi="Arial" w:cs="Arial"/>
          <w:i/>
          <w:color w:val="000000"/>
          <w:lang w:eastAsia="ja-JP"/>
        </w:rPr>
      </w:pPr>
      <w:r w:rsidRPr="00D431D5">
        <w:rPr>
          <w:rFonts w:ascii="Arial" w:eastAsia="Times New Roman" w:hAnsi="Arial" w:cs="Arial"/>
          <w:color w:val="000000"/>
          <w:lang w:eastAsia="ja-JP"/>
        </w:rPr>
        <w:t xml:space="preserve">Of the four </w:t>
      </w:r>
      <w:r w:rsidRPr="00D431D5">
        <w:rPr>
          <w:rFonts w:ascii="Arial" w:eastAsia="Times New Roman" w:hAnsi="Arial" w:cs="Arial"/>
          <w:i/>
          <w:color w:val="000000"/>
          <w:lang w:eastAsia="ja-JP"/>
        </w:rPr>
        <w:t xml:space="preserve">PpSCRM </w:t>
      </w:r>
      <w:r w:rsidRPr="00D431D5">
        <w:rPr>
          <w:rFonts w:ascii="Arial" w:eastAsia="Times New Roman" w:hAnsi="Arial" w:cs="Arial"/>
          <w:color w:val="000000"/>
          <w:lang w:eastAsia="ja-JP"/>
        </w:rPr>
        <w:t xml:space="preserve">genes identified,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is the highest expressed in the sporophyte based on newly published microarray data and this gene has also previously been identified as being significantly upregulated in sporophyte </w:t>
      </w:r>
      <w:r w:rsidRPr="00D431D5">
        <w:rPr>
          <w:rFonts w:ascii="Arial" w:eastAsia="Times New Roman" w:hAnsi="Arial" w:cs="Arial"/>
          <w:color w:val="000000"/>
          <w:lang w:eastAsia="ja-JP"/>
        </w:rPr>
        <w:fldChar w:fldCharType="begin">
          <w:fldData xml:space="preserve">PEVuZE5vdGU+PENpdGU+PEF1dGhvcj5PJmFwb3M7RG9ub2dodWU8L0F1dGhvcj48WWVhcj4yMDEz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PEVuZE5vdGU+PENpdGU+PEF1dGhvcj5PJmFwb3M7RG9ub2dodWU8L0F1dGhvcj48WWVhcj4yMDEz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(O'Donoghue et al., 2013; Ortiz-Ramírez et al., 2015)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This upregulation was subsequently verified via qPCR thereby confirming the expression of this key stomatal gene during the time when stomata normally develop (</w:t>
      </w:r>
      <w:r w:rsidRPr="00D431D5">
        <w:rPr>
          <w:rFonts w:ascii="Arial" w:eastAsia="Times New Roman" w:hAnsi="Arial" w:cs="Arial"/>
          <w:b/>
          <w:color w:val="000000"/>
          <w:lang w:eastAsia="ja-JP"/>
        </w:rPr>
        <w:t>Fig. 8b</w:t>
      </w:r>
      <w:r w:rsidRPr="00D431D5">
        <w:rPr>
          <w:rFonts w:ascii="Arial" w:eastAsia="Times New Roman" w:hAnsi="Arial" w:cs="Arial"/>
          <w:color w:val="000000"/>
          <w:lang w:eastAsia="ja-JP"/>
        </w:rPr>
        <w:t xml:space="preserve">). The other </w:t>
      </w:r>
      <w:r w:rsidRPr="00D431D5">
        <w:rPr>
          <w:rFonts w:ascii="Arial" w:eastAsia="Times New Roman" w:hAnsi="Arial" w:cs="Arial"/>
          <w:i/>
          <w:color w:val="000000"/>
          <w:lang w:eastAsia="ja-JP"/>
        </w:rPr>
        <w:t>PpSCRM</w:t>
      </w:r>
      <w:r w:rsidRPr="00D431D5">
        <w:rPr>
          <w:rFonts w:ascii="Arial" w:eastAsia="Times New Roman" w:hAnsi="Arial" w:cs="Arial"/>
          <w:color w:val="000000"/>
          <w:lang w:eastAsia="ja-JP"/>
        </w:rPr>
        <w:t xml:space="preserve"> genes (</w:t>
      </w:r>
      <w:r w:rsidRPr="00D431D5">
        <w:rPr>
          <w:rFonts w:ascii="Arial" w:eastAsia="Times New Roman" w:hAnsi="Arial" w:cs="Arial"/>
          <w:i/>
          <w:color w:val="000000"/>
          <w:lang w:eastAsia="ja-JP"/>
        </w:rPr>
        <w:t>PpSCRM2-4</w:t>
      </w:r>
      <w:r w:rsidRPr="00D431D5">
        <w:rPr>
          <w:rFonts w:ascii="Arial" w:eastAsia="Times New Roman" w:hAnsi="Arial" w:cs="Arial"/>
          <w:color w:val="000000"/>
          <w:lang w:eastAsia="ja-JP"/>
        </w:rPr>
        <w:t xml:space="preserve">) are also upregulated in the sporophyte but not to the same level as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&lt;EndNote&gt;&lt;Cite&gt;&lt;Author&gt;Ortiz-Ramírez&lt;/Author&gt;&lt;Year&gt;2015&lt;/Year&gt;&lt;IDText&gt;A transcriptome atlas of Physcomitrella patens provides insights into the evolution and development of land plants&lt;/IDText&gt;&lt;DisplayText&gt;(Ortiz-Ramírez et al., 2015)&lt;/DisplayText&gt;&lt;record&gt;&lt;urls&gt;&lt;related-urls&gt;&lt;url&gt;http://dx.doi.org/10.1016/j.molp.2015.12.002&lt;/url&gt;&lt;/related-urls&gt;&lt;/urls&gt;&lt;isbn&gt;1674-2052&lt;/isbn&gt;&lt;titles&gt;&lt;title&gt;&lt;style font="default" size="100%"&gt;A transcriptome atlas of &lt;/style&gt;&lt;style face="italic" font="default" size="100%"&gt;Physcomitrella patens&lt;/style&gt;&lt;style font="default" size="100%"&gt; provides insights into the evolution and development of land plants&lt;/style&gt;&lt;/title&gt;&lt;secondary-title&gt;Molecular Plant&lt;/secondary-title&gt;&lt;/titles&gt;&lt;access-date&gt;2015/12/29&lt;/access-date&gt;&lt;contributors&gt;&lt;authors&gt;&lt;author&gt;Ortiz-Ramírez, Carlos&lt;/author&gt;&lt;author&gt;Hernandez-Coronado, Marcela&lt;/author&gt;&lt;author&gt;Thamm, Anna&lt;/author&gt;&lt;author&gt;Catarino, Bruno&lt;/author&gt;&lt;author&gt;Wang, Mingyi&lt;/author&gt;&lt;author&gt;Dolan, Liam&lt;/author&gt;&lt;author&gt;Feijó, José A.&lt;/author&gt;&lt;author&gt;Becker, Jörg D.&lt;/author&gt;&lt;/authors&gt;&lt;/contributors&gt;&lt;added-date format="utc"&gt;1451406955&lt;/added-date&gt;&lt;ref-type name="Journal Article"&gt;17&lt;/ref-type&gt;&lt;dates&gt;&lt;year&gt;2015&lt;/year&gt;&lt;/dates&gt;&lt;rec-number&gt;211&lt;/rec-number&gt;&lt;publisher&gt;Elsevier&lt;/publisher&gt;&lt;last-updated-date format="utc"&gt;1452159642&lt;/last-updated-date&gt;&lt;electronic-resource-num&gt;10.1016/j.molp.2015.12.002&lt;/electronic-resource-num&gt;&lt;/record&gt;&lt;/Cite&gt;&lt;/EndNote&gt;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(Ortiz-Ramírez et al., 2015)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These other </w:t>
      </w:r>
      <w:r w:rsidRPr="00D431D5">
        <w:rPr>
          <w:rFonts w:ascii="Arial" w:eastAsia="Times New Roman" w:hAnsi="Arial" w:cs="Arial"/>
          <w:i/>
          <w:color w:val="000000"/>
          <w:lang w:eastAsia="ja-JP"/>
        </w:rPr>
        <w:t xml:space="preserve">PpSCRM </w:t>
      </w:r>
      <w:r w:rsidRPr="00D431D5">
        <w:rPr>
          <w:rFonts w:ascii="Arial" w:eastAsia="Times New Roman" w:hAnsi="Arial" w:cs="Arial"/>
          <w:color w:val="000000"/>
          <w:lang w:eastAsia="ja-JP"/>
        </w:rPr>
        <w:t xml:space="preserve">genes were not studied during the course of PhD in the most part owing to the strong phenotype associated with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mutants (see later). It is possible that these other genes also function during stomatal development.</w:t>
      </w:r>
    </w:p>
    <w:p w14:paraId="08DEAD33" w14:textId="77777777" w:rsidR="00D431D5" w:rsidRPr="00D431D5" w:rsidRDefault="00D431D5" w:rsidP="00D431D5">
      <w:pPr>
        <w:tabs>
          <w:tab w:val="left" w:pos="6663"/>
        </w:tabs>
        <w:spacing w:after="160" w:line="360" w:lineRule="auto"/>
        <w:rPr>
          <w:rFonts w:ascii="Arial" w:eastAsia="Times New Roman" w:hAnsi="Arial" w:cs="Arial"/>
          <w:b/>
          <w:bCs/>
          <w:color w:val="000000"/>
          <w:lang w:eastAsia="ja-JP"/>
        </w:rPr>
      </w:pPr>
      <w:r w:rsidRPr="00D431D5">
        <w:rPr>
          <w:rFonts w:ascii="Arial" w:eastAsia="Times New Roman" w:hAnsi="Arial" w:cs="Arial"/>
          <w:b/>
          <w:bCs/>
          <w:noProof/>
          <w:color w:val="000000"/>
          <w:lang w:eastAsia="ja-JP"/>
        </w:rPr>
        <w:lastRenderedPageBreak/>
        <w:drawing>
          <wp:inline distT="0" distB="0" distL="0" distR="0" wp14:anchorId="5BB99502" wp14:editId="79966349">
            <wp:extent cx="4624297" cy="803910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pdated larger text SCRM.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26194" cy="8042398"/>
                    </a:xfrm>
                    <a:prstGeom prst="rect">
                      <a:avLst/>
                    </a:prstGeom>
                  </pic:spPr>
                </pic:pic>
              </a:graphicData>
            </a:graphic>
          </wp:inline>
        </w:drawing>
      </w:r>
    </w:p>
    <w:p w14:paraId="61A7307A" w14:textId="74B40E80"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b/>
          <w:bCs/>
          <w:color w:val="000000"/>
          <w:lang w:eastAsia="ja-JP"/>
        </w:rPr>
        <w:t xml:space="preserve">Figure 8. Phylogenetic relationship of </w:t>
      </w:r>
      <w:r w:rsidRPr="00D431D5">
        <w:rPr>
          <w:rFonts w:ascii="Arial" w:eastAsia="Times New Roman" w:hAnsi="Arial" w:cs="Arial"/>
          <w:b/>
          <w:bCs/>
          <w:i/>
          <w:color w:val="000000"/>
          <w:lang w:eastAsia="ja-JP"/>
        </w:rPr>
        <w:t>ICE/SCRM</w:t>
      </w:r>
      <w:r w:rsidRPr="00D431D5">
        <w:rPr>
          <w:rFonts w:ascii="Arial" w:eastAsia="Times New Roman" w:hAnsi="Arial" w:cs="Arial"/>
          <w:b/>
          <w:bCs/>
          <w:color w:val="000000"/>
          <w:lang w:eastAsia="ja-JP"/>
        </w:rPr>
        <w:t xml:space="preserve"> genes based on amino acid sequences taken from a range of vascular and non-vascular land plant </w:t>
      </w:r>
      <w:r w:rsidRPr="00D431D5">
        <w:rPr>
          <w:rFonts w:ascii="Arial" w:eastAsia="Times New Roman" w:hAnsi="Arial" w:cs="Arial"/>
          <w:b/>
          <w:bCs/>
          <w:color w:val="000000"/>
          <w:lang w:eastAsia="ja-JP"/>
        </w:rPr>
        <w:lastRenderedPageBreak/>
        <w:t>representatives. a</w:t>
      </w:r>
      <w:r w:rsidRPr="00D431D5">
        <w:rPr>
          <w:rFonts w:ascii="Arial" w:eastAsia="Times New Roman" w:hAnsi="Arial" w:cs="Arial"/>
          <w:bCs/>
          <w:color w:val="000000"/>
          <w:lang w:eastAsia="ja-JP"/>
        </w:rPr>
        <w:t xml:space="preserve">) </w:t>
      </w:r>
      <w:r w:rsidRPr="00D431D5">
        <w:rPr>
          <w:rFonts w:ascii="Arial" w:eastAsia="Times New Roman" w:hAnsi="Arial" w:cs="Arial"/>
          <w:color w:val="000000"/>
          <w:lang w:eastAsia="ja-JP"/>
        </w:rPr>
        <w:t xml:space="preserve">Sequences were obtained by blasting the </w:t>
      </w:r>
      <w:r w:rsidRPr="00D431D5">
        <w:rPr>
          <w:rFonts w:ascii="Arial" w:eastAsia="Times New Roman" w:hAnsi="Arial" w:cs="Arial"/>
          <w:bCs/>
          <w:color w:val="000000"/>
          <w:lang w:eastAsia="ja-JP"/>
        </w:rPr>
        <w:t xml:space="preserve">PpSCRM1 amino acid sequence against the proteomes of </w:t>
      </w:r>
      <w:r w:rsidRPr="00D431D5">
        <w:rPr>
          <w:rFonts w:ascii="Arial" w:eastAsia="Times New Roman" w:hAnsi="Arial" w:cs="Arial"/>
          <w:bCs/>
          <w:i/>
          <w:color w:val="000000"/>
          <w:lang w:eastAsia="ja-JP"/>
        </w:rPr>
        <w:t xml:space="preserve">Physcomitrella patens </w:t>
      </w:r>
      <w:r w:rsidRPr="00D431D5">
        <w:rPr>
          <w:rFonts w:ascii="Arial" w:eastAsia="Times New Roman" w:hAnsi="Arial" w:cs="Arial"/>
          <w:bCs/>
          <w:color w:val="000000"/>
          <w:lang w:eastAsia="ja-JP"/>
        </w:rPr>
        <w:t xml:space="preserve">(Pp), </w:t>
      </w:r>
      <w:r w:rsidRPr="00D431D5">
        <w:rPr>
          <w:rFonts w:ascii="Arial" w:eastAsia="Times New Roman" w:hAnsi="Arial" w:cs="Arial"/>
          <w:bCs/>
          <w:i/>
          <w:color w:val="000000"/>
          <w:lang w:eastAsia="ja-JP"/>
        </w:rPr>
        <w:t xml:space="preserve">Sphagnum fallax </w:t>
      </w:r>
      <w:r w:rsidRPr="00D431D5">
        <w:rPr>
          <w:rFonts w:ascii="Arial" w:eastAsia="Times New Roman" w:hAnsi="Arial" w:cs="Arial"/>
          <w:bCs/>
          <w:color w:val="000000"/>
          <w:lang w:eastAsia="ja-JP"/>
        </w:rPr>
        <w:t xml:space="preserve">(Sf), </w:t>
      </w:r>
      <w:r w:rsidRPr="00D431D5">
        <w:rPr>
          <w:rFonts w:ascii="Arial" w:eastAsia="Times New Roman" w:hAnsi="Arial" w:cs="Arial"/>
          <w:bCs/>
          <w:i/>
          <w:color w:val="000000"/>
          <w:lang w:eastAsia="ja-JP"/>
        </w:rPr>
        <w:t xml:space="preserve">Selaginella moellendorffii </w:t>
      </w:r>
      <w:r w:rsidRPr="00D431D5">
        <w:rPr>
          <w:rFonts w:ascii="Arial" w:eastAsia="Times New Roman" w:hAnsi="Arial" w:cs="Arial"/>
          <w:bCs/>
          <w:color w:val="000000"/>
          <w:lang w:eastAsia="ja-JP"/>
        </w:rPr>
        <w:t xml:space="preserve">(Sm), </w:t>
      </w:r>
      <w:r w:rsidRPr="00D431D5">
        <w:rPr>
          <w:rFonts w:ascii="Arial" w:eastAsia="Times New Roman" w:hAnsi="Arial" w:cs="Arial"/>
          <w:bCs/>
          <w:i/>
          <w:color w:val="000000"/>
          <w:lang w:eastAsia="ja-JP"/>
        </w:rPr>
        <w:t>Oryza sativa</w:t>
      </w:r>
      <w:r w:rsidRPr="00D431D5">
        <w:rPr>
          <w:rFonts w:ascii="Arial" w:eastAsia="Times New Roman" w:hAnsi="Arial" w:cs="Arial"/>
          <w:bCs/>
          <w:color w:val="000000"/>
          <w:lang w:eastAsia="ja-JP"/>
        </w:rPr>
        <w:t xml:space="preserve"> (Os), </w:t>
      </w:r>
      <w:r w:rsidRPr="00D431D5">
        <w:rPr>
          <w:rFonts w:ascii="Arial" w:eastAsia="Times New Roman" w:hAnsi="Arial" w:cs="Arial"/>
          <w:bCs/>
          <w:i/>
          <w:color w:val="000000"/>
          <w:lang w:eastAsia="ja-JP"/>
        </w:rPr>
        <w:t xml:space="preserve">Eucalyptus grandis </w:t>
      </w:r>
      <w:r w:rsidRPr="00D431D5">
        <w:rPr>
          <w:rFonts w:ascii="Arial" w:eastAsia="Times New Roman" w:hAnsi="Arial" w:cs="Arial"/>
          <w:bCs/>
          <w:color w:val="000000"/>
          <w:lang w:eastAsia="ja-JP"/>
        </w:rPr>
        <w:t xml:space="preserve">(Eg), </w:t>
      </w:r>
      <w:r w:rsidRPr="00D431D5">
        <w:rPr>
          <w:rFonts w:ascii="Arial" w:eastAsia="Times New Roman" w:hAnsi="Arial" w:cs="Arial"/>
          <w:bCs/>
          <w:i/>
          <w:color w:val="000000"/>
          <w:lang w:eastAsia="ja-JP"/>
        </w:rPr>
        <w:t xml:space="preserve">Arabidopsis thaliana </w:t>
      </w:r>
      <w:r w:rsidRPr="00D431D5">
        <w:rPr>
          <w:rFonts w:ascii="Arial" w:eastAsia="Times New Roman" w:hAnsi="Arial" w:cs="Arial"/>
          <w:bCs/>
          <w:color w:val="000000"/>
          <w:lang w:eastAsia="ja-JP"/>
        </w:rPr>
        <w:t xml:space="preserve">(At) and </w:t>
      </w:r>
      <w:r w:rsidRPr="00D431D5">
        <w:rPr>
          <w:rFonts w:ascii="Arial" w:eastAsia="Times New Roman" w:hAnsi="Arial" w:cs="Arial"/>
          <w:bCs/>
          <w:i/>
          <w:color w:val="000000"/>
          <w:lang w:eastAsia="ja-JP"/>
        </w:rPr>
        <w:t>Chladymonas reinhardtii</w:t>
      </w:r>
      <w:r w:rsidRPr="00D431D5">
        <w:rPr>
          <w:rFonts w:ascii="Arial" w:eastAsia="Times New Roman" w:hAnsi="Arial" w:cs="Arial"/>
          <w:bCs/>
          <w:color w:val="000000"/>
          <w:lang w:eastAsia="ja-JP"/>
        </w:rPr>
        <w:t xml:space="preserve"> using Phytozome version 11</w:t>
      </w:r>
      <w:r w:rsidRPr="00D431D5">
        <w:rPr>
          <w:rFonts w:ascii="Arial" w:eastAsia="Times New Roman" w:hAnsi="Arial" w:cs="Arial"/>
          <w:bCs/>
          <w:color w:val="000000"/>
          <w:lang w:eastAsia="ja-JP"/>
        </w:rPr>
        <w:fldChar w:fldCharType="begin"/>
      </w:r>
      <w:r w:rsidRPr="00D431D5">
        <w:rPr>
          <w:rFonts w:ascii="Arial" w:eastAsia="Times New Roman" w:hAnsi="Arial" w:cs="Arial"/>
          <w:bCs/>
          <w:color w:val="000000"/>
          <w:lang w:eastAsia="ja-JP"/>
        </w:rPr>
        <w:instrText xml:space="preserve"> ADDIN EN.CITE &lt;EndNote&gt;&lt;Cite&gt;&lt;Author&gt;Goodstein&lt;/Author&gt;&lt;Year&gt;2012&lt;/Year&gt;&lt;IDText&gt;Phytozome: a comparative platform for green plant genomics&lt;/IDText&gt;&lt;DisplayText&gt;(Goodstein et al., 2012)&lt;/DisplayText&gt;&lt;record&gt;&lt;dates&gt;&lt;pub-dates&gt;&lt;date&gt;2012//&lt;/date&gt;&lt;/pub-dates&gt;&lt;year&gt;2012&lt;/year&gt;&lt;/dates&gt;&lt;urls&gt;&lt;related-urls&gt;&lt;url&gt;http://dx.doi.org/10.1093/nar/gkr944&lt;/url&gt;&lt;/related-urls&gt;&lt;/urls&gt;&lt;titles&gt;&lt;title&gt;Phytozome: a comparative platform for green plant genomics&lt;/title&gt;&lt;secondary-title&gt;Nucleic Acids Res&lt;/secondary-title&gt;&lt;/titles&gt;&lt;contributors&gt;&lt;authors&gt;&lt;author&gt;Goodstein, D. M.&lt;/author&gt;&lt;author&gt;Shu, S.&lt;/author&gt;&lt;author&gt;Howson, R.&lt;/author&gt;&lt;author&gt;Neupane, R.&lt;/author&gt;&lt;author&gt;Hayes, R. D.&lt;/author&gt;&lt;author&gt;Fazo, J.&lt;/author&gt;&lt;author&gt;Mitros, T.&lt;/author&gt;&lt;author&gt;Dirks, W.&lt;/author&gt;&lt;author&gt;Hellsten, U.&lt;/author&gt;&lt;author&gt;Putnam, N.&lt;/author&gt;&lt;author&gt;Rokhsar, D. S.&lt;/author&gt;&lt;/authors&gt;&lt;/contributors&gt;&lt;added-date format="utc"&gt;1454072695&lt;/added-date&gt;&lt;ref-type name="Journal Article"&gt;17&lt;/ref-type&gt;&lt;rec-number&gt;496&lt;/rec-number&gt;&lt;last-updated-date format="utc"&gt;1454072695&lt;/last-updated-date&gt;&lt;electronic-resource-num&gt;10.1093/nar/gkr944&lt;/electronic-resource-num&gt;&lt;volume&gt;40&lt;/volume&gt;&lt;/record&gt;&lt;/Cite&gt;&lt;/EndNote&gt;</w:instrText>
      </w:r>
      <w:r w:rsidRPr="00D431D5">
        <w:rPr>
          <w:rFonts w:ascii="Arial" w:eastAsia="Times New Roman" w:hAnsi="Arial" w:cs="Arial"/>
          <w:bCs/>
          <w:color w:val="000000"/>
          <w:lang w:eastAsia="ja-JP"/>
        </w:rPr>
        <w:fldChar w:fldCharType="separate"/>
      </w:r>
      <w:r w:rsidRPr="00D431D5">
        <w:rPr>
          <w:rFonts w:ascii="Arial" w:eastAsia="Times New Roman" w:hAnsi="Arial" w:cs="Arial"/>
          <w:bCs/>
          <w:color w:val="000000"/>
          <w:lang w:eastAsia="ja-JP"/>
        </w:rPr>
        <w:t>(Goodstein et al., 2012)</w:t>
      </w:r>
      <w:r w:rsidRPr="00D431D5">
        <w:rPr>
          <w:rFonts w:ascii="Arial" w:eastAsia="Times New Roman" w:hAnsi="Arial" w:cs="Arial"/>
          <w:color w:val="000000"/>
          <w:lang w:eastAsia="ja-JP"/>
        </w:rPr>
        <w:fldChar w:fldCharType="end"/>
      </w:r>
      <w:r w:rsidRPr="00D431D5">
        <w:rPr>
          <w:rFonts w:ascii="Arial" w:eastAsia="Times New Roman" w:hAnsi="Arial" w:cs="Arial"/>
          <w:bCs/>
          <w:color w:val="000000"/>
          <w:lang w:eastAsia="ja-JP"/>
        </w:rPr>
        <w:t xml:space="preserve">. All retrieved sequences had a blast score of at least 95 except in the case of the </w:t>
      </w:r>
      <w:r w:rsidRPr="00D431D5">
        <w:rPr>
          <w:rFonts w:ascii="Arial" w:eastAsia="Times New Roman" w:hAnsi="Arial" w:cs="Arial"/>
          <w:bCs/>
          <w:i/>
          <w:color w:val="000000"/>
          <w:lang w:eastAsia="ja-JP"/>
        </w:rPr>
        <w:t xml:space="preserve">C. reinhardtii </w:t>
      </w:r>
      <w:r w:rsidRPr="00D431D5">
        <w:rPr>
          <w:rFonts w:ascii="Arial" w:eastAsia="Times New Roman" w:hAnsi="Arial" w:cs="Arial"/>
          <w:bCs/>
          <w:color w:val="000000"/>
          <w:lang w:eastAsia="ja-JP"/>
        </w:rPr>
        <w:t xml:space="preserve">representative which was 46.6. Sequences were aligned using the MUSCLE alignment algorithm </w:t>
      </w:r>
      <w:r w:rsidRPr="00D431D5">
        <w:rPr>
          <w:rFonts w:ascii="Arial" w:eastAsia="Times New Roman" w:hAnsi="Arial" w:cs="Arial"/>
          <w:bCs/>
          <w:color w:val="000000"/>
          <w:lang w:eastAsia="ja-JP"/>
        </w:rPr>
        <w:fldChar w:fldCharType="begin"/>
      </w:r>
      <w:r w:rsidRPr="00D431D5">
        <w:rPr>
          <w:rFonts w:ascii="Arial" w:eastAsia="Times New Roman" w:hAnsi="Arial" w:cs="Arial"/>
          <w:bCs/>
          <w:color w:val="000000"/>
          <w:lang w:eastAsia="ja-JP"/>
        </w:rPr>
        <w:instrText xml:space="preserve"> ADDIN EN.CITE &lt;EndNote&gt;&lt;Cite&gt;&lt;Author&gt;Edgar&lt;/Author&gt;&lt;Year&gt;2004&lt;/Year&gt;&lt;IDText&gt;MUSCLE: a multiple sequence alignment method with reduced time and space complexity&lt;/IDText&gt;&lt;DisplayText&gt;(Edgar, 2004)&lt;/DisplayText&gt;&lt;record&gt;&lt;dates&gt;&lt;pub-dates&gt;&lt;date&gt;Aug 19&lt;/date&gt;&lt;/pub-dates&gt;&lt;year&gt;2004&lt;/year&gt;&lt;/dates&gt;&lt;keywords&gt;&lt;keyword&gt;Cluster Analysis&lt;/keyword&gt;&lt;keyword&gt;Computational Biology/methods/statistics &amp;amp; numerical data/trends&lt;/keyword&gt;&lt;keyword&gt;Phylogeny&lt;/keyword&gt;&lt;keyword&gt;Sequence Alignment/*methods/statistics &amp;amp; numerical data/*trends&lt;/keyword&gt;&lt;keyword&gt;*Software&lt;/keyword&gt;&lt;keyword&gt;Software Design&lt;/keyword&gt;&lt;keyword&gt;Time Factors&lt;/keyword&gt;&lt;/keywords&gt;&lt;isbn&gt;1471-2105&lt;/isbn&gt;&lt;custom2&gt;PMC517706&lt;/custom2&gt;&lt;titles&gt;&lt;title&gt;MUSCLE: a multiple sequence alignment method with reduced time and space complexity&lt;/title&gt;&lt;secondary-title&gt;BMC Bioinformatics&lt;/secondary-title&gt;&lt;alt-title&gt;BMC bioinformatics&lt;/alt-title&gt;&lt;/titles&gt;&lt;pages&gt;113&lt;/pages&gt;&lt;contributors&gt;&lt;authors&gt;&lt;author&gt;Edgar, R. C.&lt;/author&gt;&lt;/authors&gt;&lt;/contributors&gt;&lt;edition&gt;2004/08/21&lt;/edition&gt;&lt;language&gt;eng&lt;/language&gt;&lt;added-date format="utc"&gt;1452355510&lt;/added-date&gt;&lt;ref-type name="Journal Article"&gt;17&lt;/ref-type&gt;&lt;auth-address&gt;Department of Plant and Microbial Biology, 461 Koshland Hall, University of California, Berkeley, CA 94720-3102, USA. bob@drive5.com&lt;/auth-address&gt;&lt;remote-database-provider&gt;NLM&lt;/remote-database-provider&gt;&lt;rec-number&gt;420&lt;/rec-number&gt;&lt;last-updated-date format="utc"&gt;1452355510&lt;/last-updated-date&gt;&lt;accession-num&gt;15318951&lt;/accession-num&gt;&lt;electronic-resource-num&gt;10.1186/1471-2105-5-113&lt;/electronic-resource-num&gt;&lt;volume&gt;5&lt;/volume&gt;&lt;/record&gt;&lt;/Cite&gt;&lt;/EndNote&gt;</w:instrText>
      </w:r>
      <w:r w:rsidRPr="00D431D5">
        <w:rPr>
          <w:rFonts w:ascii="Arial" w:eastAsia="Times New Roman" w:hAnsi="Arial" w:cs="Arial"/>
          <w:bCs/>
          <w:color w:val="000000"/>
          <w:lang w:eastAsia="ja-JP"/>
        </w:rPr>
        <w:fldChar w:fldCharType="separate"/>
      </w:r>
      <w:r w:rsidRPr="00D431D5">
        <w:rPr>
          <w:rFonts w:ascii="Arial" w:eastAsia="Times New Roman" w:hAnsi="Arial" w:cs="Arial"/>
          <w:bCs/>
          <w:color w:val="000000"/>
          <w:lang w:eastAsia="ja-JP"/>
        </w:rPr>
        <w:t>(Edgar, 2004)</w:t>
      </w:r>
      <w:r w:rsidRPr="00D431D5">
        <w:rPr>
          <w:rFonts w:ascii="Arial" w:eastAsia="Times New Roman" w:hAnsi="Arial" w:cs="Arial"/>
          <w:color w:val="000000"/>
          <w:lang w:eastAsia="ja-JP"/>
        </w:rPr>
        <w:fldChar w:fldCharType="end"/>
      </w:r>
      <w:r w:rsidRPr="00D431D5">
        <w:rPr>
          <w:rFonts w:ascii="Arial" w:eastAsia="Times New Roman" w:hAnsi="Arial" w:cs="Arial"/>
          <w:bCs/>
          <w:color w:val="000000"/>
          <w:lang w:eastAsia="ja-JP"/>
        </w:rPr>
        <w:t xml:space="preserve"> in MEGA6 </w:t>
      </w:r>
      <w:r w:rsidRPr="00D431D5">
        <w:rPr>
          <w:rFonts w:ascii="Arial" w:eastAsia="Times New Roman" w:hAnsi="Arial" w:cs="Arial"/>
          <w:bCs/>
          <w:color w:val="000000"/>
          <w:lang w:eastAsia="ja-JP"/>
        </w:rPr>
        <w:fldChar w:fldCharType="begin"/>
      </w:r>
      <w:r w:rsidRPr="00D431D5">
        <w:rPr>
          <w:rFonts w:ascii="Arial" w:eastAsia="Times New Roman" w:hAnsi="Arial" w:cs="Arial"/>
          <w:bCs/>
          <w:color w:val="000000"/>
          <w:lang w:eastAsia="ja-JP"/>
        </w:rPr>
        <w:instrText xml:space="preserve"> ADDIN EN.CITE &lt;EndNote&gt;&lt;Cite&gt;&lt;Author&gt;Tamura&lt;/Author&gt;&lt;Year&gt;2013&lt;/Year&gt;&lt;IDText&gt;MEGA6: Molecular Evolutionary Genetics Analysis version 6.0&lt;/IDText&gt;&lt;DisplayText&gt;(Tamura et al., 2013)&lt;/DisplayText&gt;&lt;record&gt;&lt;dates&gt;&lt;pub-dates&gt;&lt;date&gt;Dec&lt;/date&gt;&lt;/pub-dates&gt;&lt;year&gt;2013&lt;/year&gt;&lt;/dates&gt;&lt;keywords&gt;&lt;keyword&gt;Algorithms&lt;/keyword&gt;&lt;keyword&gt;Databases, Genetic&lt;/keyword&gt;&lt;keyword&gt;*Evolution, Molecular&lt;/keyword&gt;&lt;keyword&gt;Internet&lt;/keyword&gt;&lt;keyword&gt;Phylogeny&lt;/keyword&gt;&lt;keyword&gt;*Software&lt;/keyword&gt;&lt;keyword&gt;*User-Computer Interface&lt;/keyword&gt;&lt;keyword&gt;phylogeny&lt;/keyword&gt;&lt;keyword&gt;relaxed clocks&lt;/keyword&gt;&lt;keyword&gt;software&lt;/keyword&gt;&lt;/keywords&gt;&lt;isbn&gt;0737-4038&lt;/isbn&gt;&lt;custom2&gt;PMC3840312&lt;/custom2&gt;&lt;titles&gt;&lt;title&gt;MEGA6: Molecular Evolutionary Genetics Analysis version 6.0&lt;/title&gt;&lt;secondary-title&gt;Mol Biol Evol&lt;/secondary-title&gt;&lt;alt-title&gt;Molecular biology and evolution&lt;/alt-title&gt;&lt;/titles&gt;&lt;pages&gt;2725-9&lt;/pages&gt;&lt;number&gt;12&lt;/number&gt;&lt;contributors&gt;&lt;authors&gt;&lt;author&gt;Tamura, K.&lt;/author&gt;&lt;author&gt;Stecher, G.&lt;/author&gt;&lt;author&gt;Peterson, D.&lt;/author&gt;&lt;author&gt;Filipski, A.&lt;/author&gt;&lt;author&gt;Kumar, S.&lt;/author&gt;&lt;/authors&gt;&lt;/contributors&gt;&lt;edition&gt;2013/10/18&lt;/edition&gt;&lt;language&gt;eng&lt;/language&gt;&lt;added-date format="utc"&gt;1453907986&lt;/added-date&gt;&lt;ref-type name="Journal Article"&gt;17&lt;/ref-type&gt;&lt;auth-address&gt;Research Center for Genomics and Bioinformatics, Tokyo Metropolitan University, Hachioji, Tokyo, Japan.&lt;/auth-address&gt;&lt;remote-database-provider&gt;NLM&lt;/remote-database-provider&gt;&lt;rec-number&gt;455&lt;/rec-number&gt;&lt;last-updated-date format="utc"&gt;1453907986&lt;/last-updated-date&gt;&lt;accession-num&gt;24132122&lt;/accession-num&gt;&lt;electronic-resource-num&gt;10.1093/molbev/mst197&lt;/electronic-resource-num&gt;&lt;volume&gt;30&lt;/volume&gt;&lt;/record&gt;&lt;/Cite&gt;&lt;/EndNote&gt;</w:instrText>
      </w:r>
      <w:r w:rsidRPr="00D431D5">
        <w:rPr>
          <w:rFonts w:ascii="Arial" w:eastAsia="Times New Roman" w:hAnsi="Arial" w:cs="Arial"/>
          <w:bCs/>
          <w:color w:val="000000"/>
          <w:lang w:eastAsia="ja-JP"/>
        </w:rPr>
        <w:fldChar w:fldCharType="separate"/>
      </w:r>
      <w:r w:rsidRPr="00D431D5">
        <w:rPr>
          <w:rFonts w:ascii="Arial" w:eastAsia="Times New Roman" w:hAnsi="Arial" w:cs="Arial"/>
          <w:bCs/>
          <w:color w:val="000000"/>
          <w:lang w:eastAsia="ja-JP"/>
        </w:rPr>
        <w:t>(Tamura et al., 2013)</w:t>
      </w:r>
      <w:r w:rsidRPr="00D431D5">
        <w:rPr>
          <w:rFonts w:ascii="Arial" w:eastAsia="Times New Roman" w:hAnsi="Arial" w:cs="Arial"/>
          <w:color w:val="000000"/>
          <w:lang w:eastAsia="ja-JP"/>
        </w:rPr>
        <w:fldChar w:fldCharType="end"/>
      </w:r>
      <w:r w:rsidRPr="00D431D5">
        <w:rPr>
          <w:rFonts w:ascii="Arial" w:eastAsia="Times New Roman" w:hAnsi="Arial" w:cs="Arial"/>
          <w:bCs/>
          <w:color w:val="000000"/>
          <w:lang w:eastAsia="ja-JP"/>
        </w:rPr>
        <w:t xml:space="preserve">. </w:t>
      </w:r>
      <w:r w:rsidRPr="00D431D5">
        <w:rPr>
          <w:rFonts w:ascii="Arial" w:eastAsia="Times New Roman" w:hAnsi="Arial" w:cs="Arial"/>
          <w:color w:val="000000"/>
          <w:lang w:eastAsia="ja-JP"/>
        </w:rPr>
        <w:t xml:space="preserve">To construct the phylogenetic tree the Neighbour-Joining method was used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&lt;EndNote&gt;&lt;Cite&gt;&lt;Author&gt;Saitou&lt;/Author&gt;&lt;Year&gt;1987&lt;/Year&gt;&lt;IDText&gt;The neighbor-joining method: a new method for reconstructing phylogenetic trees&lt;/IDText&gt;&lt;DisplayText&gt;(Saitou and Nei, 1987)&lt;/DisplayText&gt;&lt;record&gt;&lt;dates&gt;&lt;pub-dates&gt;&lt;date&gt;Jul&lt;/date&gt;&lt;/pub-dates&gt;&lt;year&gt;1987&lt;/year&gt;&lt;/dates&gt;&lt;keywords&gt;&lt;keyword&gt;Animals&lt;/keyword&gt;&lt;keyword&gt;Biological Evolution&lt;/keyword&gt;&lt;keyword&gt;Biometry&lt;/keyword&gt;&lt;keyword&gt;*Models, Genetic&lt;/keyword&gt;&lt;keyword&gt;*Phylogeny&lt;/keyword&gt;&lt;keyword&gt;Ranidae/*genetics&lt;/keyword&gt;&lt;/keywords&gt;&lt;isbn&gt;0737-4038 (Print)&amp;#xD;0737-4038&lt;/isbn&gt;&lt;titles&gt;&lt;title&gt;The neighbor-joining method: a new method for reconstructing phylogenetic trees&lt;/title&gt;&lt;secondary-title&gt;Mol Biol Evol&lt;/secondary-title&gt;&lt;alt-title&gt;Molecular biology and evolution&lt;/alt-title&gt;&lt;/titles&gt;&lt;pages&gt;406-25&lt;/pages&gt;&lt;number&gt;4&lt;/number&gt;&lt;contributors&gt;&lt;authors&gt;&lt;author&gt;Saitou, N.&lt;/author&gt;&lt;author&gt;Nei, M.&lt;/author&gt;&lt;/authors&gt;&lt;/contributors&gt;&lt;edition&gt;1987/07/01&lt;/edition&gt;&lt;language&gt;eng&lt;/language&gt;&lt;added-date format="utc"&gt;1453907563&lt;/added-date&gt;&lt;ref-type name="Journal Article"&gt;17&lt;/ref-type&gt;&lt;auth-address&gt;Center for Demographic and Population Genetics, University of Texas Health Science Center, Houston 77225.&lt;/auth-address&gt;&lt;remote-database-provider&gt;NLM&lt;/remote-database-provider&gt;&lt;rec-number&gt;451&lt;/rec-number&gt;&lt;last-updated-date format="utc"&gt;1453907563&lt;/last-updated-date&gt;&lt;accession-num&gt;3447015&lt;/accession-num&gt;&lt;volume&gt;4&lt;/volume&gt;&lt;/record&gt;&lt;/Cite&gt;&lt;/EndNote&gt;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(Saitou and Nei, 1987)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 bootstrap test (1000 replicates) was performed, with percentages generated listed next to branches to illustrate how often associated taxa cluster together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&lt;EndNote&gt;&lt;Cite&gt;&lt;Author&gt;Felsenstein&lt;/Author&gt;&lt;Year&gt;1985&lt;/Year&gt;&lt;IDText&gt;Confidence Limits on Phylogenies: An Approach Using the Bootstrap&lt;/IDText&gt;&lt;DisplayText&gt;(Felsenstein, 1985)&lt;/DisplayText&gt;&lt;record&gt;&lt;urls&gt;&lt;related-urls&gt;&lt;url&gt;http://www.jstor.org/stable/2408678&lt;/url&gt;&lt;/related-urls&gt;&lt;/urls&gt;&lt;isbn&gt;00143820, 15585646&lt;/isbn&gt;&lt;custom1&gt;Full publication date: Jul., 1985&lt;/custom1&gt;&lt;titles&gt;&lt;title&gt;Confidence Limits on Phylogenies: An Approach Using the Bootstrap&lt;/title&gt;&lt;secondary-title&gt;Evolution&lt;/secondary-title&gt;&lt;/titles&gt;&lt;pages&gt;783-791&lt;/pages&gt;&lt;number&gt;4&lt;/number&gt;&lt;contributors&gt;&lt;authors&gt;&lt;author&gt;Felsenstein, Joseph&lt;/author&gt;&lt;/authors&gt;&lt;/contributors&gt;&lt;added-date format="utc"&gt;1453907641&lt;/added-date&gt;&lt;ref-type name="Journal Article"&gt;17&lt;/ref-type&gt;&lt;dates&gt;&lt;year&gt;1985&lt;/year&gt;&lt;/dates&gt;&lt;rec-number&gt;452&lt;/rec-number&gt;&lt;publisher&gt;[Society for the Study of Evolution, Wiley]&lt;/publisher&gt;&lt;last-updated-date format="utc"&gt;1453907641&lt;/last-updated-date&gt;&lt;electronic-resource-num&gt;10.2307/2408678&lt;/electronic-resource-num&gt;&lt;volume&gt;39&lt;/volume&gt;&lt;/record&gt;&lt;/Cite&gt;&lt;/EndNote&gt;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(Felsenstein, 1985)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The Poisson correction method was used to compute evolutionary distances with units equating to the number of amino acid substitutions per site applied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&lt;EndNote&gt;&lt;Cite&gt;&lt;Author&gt;Zuckerkandl&lt;/Author&gt;&lt;Year&gt;1965&lt;/Year&gt;&lt;IDText&gt;Molecules as documents of evolutionary history&lt;/IDText&gt;&lt;DisplayText&gt;(Zuckerkandl and Pauling, 1965)&lt;/DisplayText&gt;&lt;record&gt;&lt;dates&gt;&lt;pub-dates&gt;&lt;date&gt;Mar&lt;/date&gt;&lt;/pub-dates&gt;&lt;year&gt;1965&lt;/year&gt;&lt;/dates&gt;&lt;keywords&gt;&lt;keyword&gt;Amino Acid Sequence&lt;/keyword&gt;&lt;keyword&gt;*Biological Evolution&lt;/keyword&gt;&lt;keyword&gt;*Genes&lt;/keyword&gt;&lt;keyword&gt;*Genetic Code&lt;/keyword&gt;&lt;keyword&gt;*Macromolecular Substances&lt;/keyword&gt;&lt;keyword&gt;Nucleic Acids&lt;/keyword&gt;&lt;keyword&gt;*RNA, Messenger&lt;/keyword&gt;&lt;/keywords&gt;&lt;isbn&gt;0022-5193 (Print)&amp;#xD;0022-5193&lt;/isbn&gt;&lt;titles&gt;&lt;title&gt;Molecules as documents of evolutionary history&lt;/title&gt;&lt;secondary-title&gt;J Theor Biol&lt;/secondary-title&gt;&lt;alt-title&gt;Journal of theoretical biology&lt;/alt-title&gt;&lt;/titles&gt;&lt;pages&gt;357-66&lt;/pages&gt;&lt;number&gt;2&lt;/number&gt;&lt;contributors&gt;&lt;authors&gt;&lt;author&gt;Zuckerkandl, E.&lt;/author&gt;&lt;author&gt;Pauling, L.&lt;/author&gt;&lt;/authors&gt;&lt;/contributors&gt;&lt;edition&gt;1965/03/01&lt;/edition&gt;&lt;language&gt;eng&lt;/language&gt;&lt;added-date format="utc"&gt;1453907838&lt;/added-date&gt;&lt;ref-type name="Journal Article"&gt;17&lt;/ref-type&gt;&lt;remote-database-provider&gt;NLM&lt;/remote-database-provider&gt;&lt;rec-number&gt;454&lt;/rec-number&gt;&lt;last-updated-date format="utc"&gt;1453907838&lt;/last-updated-date&gt;&lt;accession-num&gt;5876245&lt;/accession-num&gt;&lt;volume&gt;8&lt;/volume&gt;&lt;/record&gt;&lt;/Cite&gt;&lt;/EndNote&gt;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(Zuckerkandl and Pauling, 1965)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All positions containing gaps and missing data were eliminated. The phylogenetic trees were constructed in MEGA6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&lt;EndNote&gt;&lt;Cite&gt;&lt;Author&gt;Tamura&lt;/Author&gt;&lt;Year&gt;2013&lt;/Year&gt;&lt;IDText&gt;MEGA6: Molecular Evolutionary Genetics Analysis version 6.0&lt;/IDText&gt;&lt;DisplayText&gt;(Tamura et al., 2013)&lt;/DisplayText&gt;&lt;record&gt;&lt;dates&gt;&lt;pub-dates&gt;&lt;date&gt;Dec&lt;/date&gt;&lt;/pub-dates&gt;&lt;year&gt;2013&lt;/year&gt;&lt;/dates&gt;&lt;keywords&gt;&lt;keyword&gt;Algorithms&lt;/keyword&gt;&lt;keyword&gt;Databases, Genetic&lt;/keyword&gt;&lt;keyword&gt;*Evolution, Molecular&lt;/keyword&gt;&lt;keyword&gt;Internet&lt;/keyword&gt;&lt;keyword&gt;Phylogeny&lt;/keyword&gt;&lt;keyword&gt;*Software&lt;/keyword&gt;&lt;keyword&gt;*User-Computer Interface&lt;/keyword&gt;&lt;keyword&gt;phylogeny&lt;/keyword&gt;&lt;keyword&gt;relaxed clocks&lt;/keyword&gt;&lt;keyword&gt;software&lt;/keyword&gt;&lt;/keywords&gt;&lt;isbn&gt;0737-4038&lt;/isbn&gt;&lt;custom2&gt;PMC3840312&lt;/custom2&gt;&lt;titles&gt;&lt;title&gt;MEGA6: Molecular Evolutionary Genetics Analysis version 6.0&lt;/title&gt;&lt;secondary-title&gt;Mol Biol Evol&lt;/secondary-title&gt;&lt;alt-title&gt;Molecular biology and evolution&lt;/alt-title&gt;&lt;/titles&gt;&lt;pages&gt;2725-9&lt;/pages&gt;&lt;number&gt;12&lt;/number&gt;&lt;contributors&gt;&lt;authors&gt;&lt;author&gt;Tamura, K.&lt;/author&gt;&lt;author&gt;Stecher, G.&lt;/author&gt;&lt;author&gt;Peterson, D.&lt;/author&gt;&lt;author&gt;Filipski, A.&lt;/author&gt;&lt;author&gt;Kumar, S.&lt;/author&gt;&lt;/authors&gt;&lt;/contributors&gt;&lt;edition&gt;2013/10/18&lt;/edition&gt;&lt;language&gt;eng&lt;/language&gt;&lt;added-date format="utc"&gt;1453907986&lt;/added-date&gt;&lt;ref-type name="Journal Article"&gt;17&lt;/ref-type&gt;&lt;auth-address&gt;Research Center for Genomics and Bioinformatics, Tokyo Metropolitan University, Hachioji, Tokyo, Japan.&lt;/auth-address&gt;&lt;remote-database-provider&gt;NLM&lt;/remote-database-provider&gt;&lt;rec-number&gt;455&lt;/rec-number&gt;&lt;last-updated-date format="utc"&gt;1453907986&lt;/last-updated-date&gt;&lt;accession-num&gt;24132122&lt;/accession-num&gt;&lt;electronic-resource-num&gt;10.1093/molbev/mst197&lt;/electronic-resource-num&gt;&lt;volume&gt;30&lt;/volume&gt;&lt;/record&gt;&lt;/Cite&gt;&lt;/EndNote&gt;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(Tamura et al., 2013)</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The Arabidopsis genes NO FLOWERING IN SHORT DAY and ABORTED MICROSPORES are abbreviated to AtNFL and AtAMS. For accession details relating to abbreviated gene names see </w:t>
      </w:r>
      <w:r w:rsidRPr="00D431D5">
        <w:rPr>
          <w:rFonts w:ascii="Arial" w:eastAsia="Times New Roman" w:hAnsi="Arial" w:cs="Arial"/>
          <w:b/>
          <w:color w:val="000000"/>
          <w:lang w:eastAsia="ja-JP"/>
        </w:rPr>
        <w:t>appendix 1</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w:t>
      </w:r>
      <w:r w:rsidR="00945127">
        <w:rPr>
          <w:rFonts w:ascii="Arial" w:eastAsia="Times New Roman" w:hAnsi="Arial" w:cs="Arial"/>
          <w:color w:val="000000"/>
          <w:lang w:eastAsia="ja-JP"/>
        </w:rPr>
        <w:t xml:space="preserve"> Relative</w:t>
      </w:r>
      <w:r w:rsidRPr="00D431D5">
        <w:rPr>
          <w:rFonts w:ascii="Arial" w:eastAsia="Times New Roman" w:hAnsi="Arial" w:cs="Arial"/>
          <w:color w:val="000000"/>
          <w:lang w:eastAsia="ja-JP"/>
        </w:rPr>
        <w:t xml:space="preserve"> qPCR analysis illustrating the upregulation of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in the sporophyte tissue of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relative to protonemal tissue. For both sporophyte and protonemal samples, 3 biological replicates and 2 technical replicates were performed. Error bars = s.e.m.  </w:t>
      </w:r>
    </w:p>
    <w:p w14:paraId="65FBA5F0" w14:textId="49986582" w:rsidR="00D431D5" w:rsidRPr="00D431D5" w:rsidRDefault="00D431D5" w:rsidP="00D431D5">
      <w:pPr>
        <w:tabs>
          <w:tab w:val="left" w:pos="6663"/>
        </w:tabs>
        <w:spacing w:after="160" w:line="360" w:lineRule="auto"/>
        <w:rPr>
          <w:rFonts w:ascii="Arial" w:eastAsia="Times New Roman" w:hAnsi="Arial" w:cs="Arial"/>
          <w:color w:val="000000"/>
          <w:u w:val="single"/>
          <w:lang w:eastAsia="ja-JP"/>
        </w:rPr>
      </w:pPr>
      <w:r w:rsidRPr="00D431D5">
        <w:rPr>
          <w:rFonts w:ascii="Arial" w:eastAsia="Times New Roman" w:hAnsi="Arial" w:cs="Arial"/>
          <w:color w:val="000000"/>
          <w:u w:val="single"/>
          <w:lang w:eastAsia="ja-JP"/>
        </w:rPr>
        <w:t>3.2.6 bHLH functioning and</w:t>
      </w:r>
      <w:r w:rsidR="00FA2FE3">
        <w:rPr>
          <w:rFonts w:ascii="Arial" w:eastAsia="Times New Roman" w:hAnsi="Arial" w:cs="Arial"/>
          <w:color w:val="000000"/>
          <w:u w:val="single"/>
          <w:lang w:eastAsia="ja-JP"/>
        </w:rPr>
        <w:t xml:space="preserve"> s</w:t>
      </w:r>
      <w:r w:rsidR="00C7050F">
        <w:rPr>
          <w:rFonts w:ascii="Arial" w:eastAsia="Times New Roman" w:hAnsi="Arial" w:cs="Arial"/>
          <w:color w:val="000000"/>
          <w:u w:val="single"/>
          <w:lang w:eastAsia="ja-JP"/>
        </w:rPr>
        <w:t>tomatal developmental ontogeny</w:t>
      </w:r>
      <w:r w:rsidRPr="00D431D5">
        <w:rPr>
          <w:rFonts w:ascii="Arial" w:eastAsia="Times New Roman" w:hAnsi="Arial" w:cs="Arial"/>
          <w:color w:val="000000"/>
          <w:u w:val="single"/>
          <w:lang w:eastAsia="ja-JP"/>
        </w:rPr>
        <w:t xml:space="preserve"> in land plants</w:t>
      </w:r>
    </w:p>
    <w:p w14:paraId="0219DE6E" w14:textId="47BA17FF" w:rsidR="00D431D5" w:rsidRPr="00D431D5" w:rsidRDefault="00C7050F" w:rsidP="00D431D5">
      <w:pPr>
        <w:tabs>
          <w:tab w:val="left" w:pos="6663"/>
        </w:tabs>
        <w:spacing w:after="160" w:line="360" w:lineRule="auto"/>
        <w:rPr>
          <w:rFonts w:ascii="Arial" w:eastAsia="Times New Roman" w:hAnsi="Arial" w:cs="Arial"/>
          <w:color w:val="000000"/>
          <w:lang w:eastAsia="ja-JP"/>
        </w:rPr>
      </w:pPr>
      <w:r>
        <w:rPr>
          <w:rFonts w:ascii="Arial" w:eastAsia="Times New Roman" w:hAnsi="Arial" w:cs="Arial"/>
          <w:color w:val="000000"/>
          <w:lang w:eastAsia="ja-JP"/>
        </w:rPr>
        <w:t>The ontogeny</w:t>
      </w:r>
      <w:r w:rsidR="00D431D5" w:rsidRPr="00D431D5">
        <w:rPr>
          <w:rFonts w:ascii="Arial" w:eastAsia="Times New Roman" w:hAnsi="Arial" w:cs="Arial"/>
          <w:color w:val="000000"/>
          <w:lang w:eastAsia="ja-JP"/>
        </w:rPr>
        <w:t xml:space="preserve"> of stomatal development in non-vascular land plants, like the moss </w:t>
      </w:r>
      <w:r w:rsidR="00D431D5" w:rsidRPr="00D431D5">
        <w:rPr>
          <w:rFonts w:ascii="Arial" w:eastAsia="Times New Roman" w:hAnsi="Arial" w:cs="Arial"/>
          <w:i/>
          <w:color w:val="000000"/>
          <w:lang w:eastAsia="ja-JP"/>
        </w:rPr>
        <w:t xml:space="preserve">P. patens </w:t>
      </w:r>
      <w:r w:rsidR="00D431D5" w:rsidRPr="00D431D5">
        <w:rPr>
          <w:rFonts w:ascii="Arial" w:eastAsia="Times New Roman" w:hAnsi="Arial" w:cs="Arial"/>
          <w:color w:val="000000"/>
          <w:lang w:eastAsia="ja-JP"/>
        </w:rPr>
        <w:t>(</w:t>
      </w:r>
      <w:r w:rsidR="00D431D5" w:rsidRPr="00D431D5">
        <w:rPr>
          <w:rFonts w:ascii="Arial" w:eastAsia="Times New Roman" w:hAnsi="Arial" w:cs="Arial"/>
          <w:b/>
          <w:color w:val="000000"/>
          <w:lang w:eastAsia="ja-JP"/>
        </w:rPr>
        <w:t xml:space="preserve">Fig. 3 </w:t>
      </w:r>
      <w:r w:rsidR="00D431D5" w:rsidRPr="00D431D5">
        <w:rPr>
          <w:rFonts w:ascii="Arial" w:eastAsia="Times New Roman" w:hAnsi="Arial" w:cs="Arial"/>
          <w:color w:val="000000"/>
          <w:lang w:eastAsia="ja-JP"/>
        </w:rPr>
        <w:t xml:space="preserve">and </w:t>
      </w:r>
      <w:r w:rsidR="00D431D5" w:rsidRPr="00D431D5">
        <w:rPr>
          <w:rFonts w:ascii="Arial" w:eastAsia="Times New Roman" w:hAnsi="Arial" w:cs="Arial"/>
          <w:b/>
          <w:color w:val="000000"/>
          <w:lang w:eastAsia="ja-JP"/>
        </w:rPr>
        <w:t>4</w:t>
      </w:r>
      <w:r w:rsidR="00D431D5" w:rsidRPr="00D431D5">
        <w:rPr>
          <w:rFonts w:ascii="Arial" w:eastAsia="Times New Roman" w:hAnsi="Arial" w:cs="Arial"/>
          <w:color w:val="000000"/>
          <w:lang w:eastAsia="ja-JP"/>
        </w:rPr>
        <w:t>)</w:t>
      </w:r>
      <w:r w:rsidR="00D431D5" w:rsidRPr="00D431D5">
        <w:rPr>
          <w:rFonts w:ascii="Arial" w:eastAsia="Times New Roman" w:hAnsi="Arial" w:cs="Arial"/>
          <w:i/>
          <w:color w:val="000000"/>
          <w:lang w:eastAsia="ja-JP"/>
        </w:rPr>
        <w:t xml:space="preserve">, </w:t>
      </w:r>
      <w:r w:rsidR="00D431D5" w:rsidRPr="00D431D5">
        <w:rPr>
          <w:rFonts w:ascii="Arial" w:eastAsia="Times New Roman" w:hAnsi="Arial" w:cs="Arial"/>
          <w:color w:val="000000"/>
          <w:lang w:eastAsia="ja-JP"/>
        </w:rPr>
        <w:t xml:space="preserve">has previously been suggested to involve less transitional stages than in vascular land plant equivalents </w:t>
      </w:r>
      <w:r w:rsidR="00D431D5" w:rsidRPr="00D431D5">
        <w:rPr>
          <w:rFonts w:ascii="Arial" w:eastAsia="Times New Roman" w:hAnsi="Arial" w:cs="Arial"/>
          <w:color w:val="000000"/>
          <w:lang w:eastAsia="ja-JP"/>
        </w:rPr>
        <w:fldChar w:fldCharType="begin">
          <w:fldData xml:space="preserve">PEVuZE5vdGU+PENpdGU+PEF1dGhvcj5QYXluZTwvQXV0aG9yPjxZZWFyPjE5Nzk8L1llYXI+PElE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</w:fldData>
        </w:fldChar>
      </w:r>
      <w:r w:rsidR="00D431D5" w:rsidRPr="00D431D5">
        <w:rPr>
          <w:rFonts w:ascii="Arial" w:eastAsia="Times New Roman" w:hAnsi="Arial" w:cs="Arial"/>
          <w:color w:val="000000"/>
          <w:lang w:eastAsia="ja-JP"/>
        </w:rPr>
        <w:instrText xml:space="preserve"> ADDIN EN.CITE </w:instrText>
      </w:r>
      <w:r w:rsidR="00D431D5" w:rsidRPr="00D431D5">
        <w:rPr>
          <w:rFonts w:ascii="Arial" w:eastAsia="Times New Roman" w:hAnsi="Arial" w:cs="Arial"/>
          <w:color w:val="000000"/>
          <w:lang w:eastAsia="ja-JP"/>
        </w:rPr>
        <w:fldChar w:fldCharType="begin">
          <w:fldData xml:space="preserve">PEVuZE5vdGU+PENpdGU+PEF1dGhvcj5QYXluZTwvQXV0aG9yPjxZZWFyPjE5Nzk8L1llYXI+PElE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</w:fldData>
        </w:fldChar>
      </w:r>
      <w:r w:rsidR="00D431D5" w:rsidRPr="00D431D5">
        <w:rPr>
          <w:rFonts w:ascii="Arial" w:eastAsia="Times New Roman" w:hAnsi="Arial" w:cs="Arial"/>
          <w:color w:val="000000"/>
          <w:lang w:eastAsia="ja-JP"/>
        </w:rPr>
        <w:instrText xml:space="preserve"> ADDIN EN.CITE.DATA </w:instrText>
      </w:r>
      <w:r w:rsidR="00D431D5" w:rsidRPr="00D431D5">
        <w:rPr>
          <w:rFonts w:ascii="Arial" w:eastAsia="Times New Roman" w:hAnsi="Arial" w:cs="Arial"/>
          <w:color w:val="000000"/>
          <w:lang w:eastAsia="ja-JP"/>
        </w:rPr>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r>
      <w:r w:rsidR="00D431D5" w:rsidRPr="00D431D5">
        <w:rPr>
          <w:rFonts w:ascii="Arial" w:eastAsia="Times New Roman" w:hAnsi="Arial" w:cs="Arial"/>
          <w:color w:val="000000"/>
          <w:lang w:eastAsia="ja-JP"/>
        </w:rPr>
        <w:fldChar w:fldCharType="separate"/>
      </w:r>
      <w:r w:rsidR="00D431D5" w:rsidRPr="00D431D5">
        <w:rPr>
          <w:rFonts w:ascii="Arial" w:eastAsia="Times New Roman" w:hAnsi="Arial" w:cs="Arial"/>
          <w:color w:val="000000"/>
          <w:lang w:eastAsia="ja-JP"/>
        </w:rPr>
        <w:t>(Payne, 1979; Peterson et al., 2010; Ran et al., 2013; Rudall et al., 2013; Vaten and Bergmann, 2012)</w:t>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t xml:space="preserve"> (</w:t>
      </w:r>
      <w:r w:rsidR="00D431D5" w:rsidRPr="00D431D5">
        <w:rPr>
          <w:rFonts w:ascii="Arial" w:eastAsia="Times New Roman" w:hAnsi="Arial" w:cs="Arial"/>
          <w:b/>
          <w:color w:val="000000"/>
          <w:lang w:eastAsia="ja-JP"/>
        </w:rPr>
        <w:t>Fig. 4</w:t>
      </w:r>
      <w:r w:rsidR="00D431D5" w:rsidRPr="00D431D5">
        <w:rPr>
          <w:rFonts w:ascii="Arial" w:eastAsia="Times New Roman" w:hAnsi="Arial" w:cs="Arial"/>
          <w:color w:val="000000"/>
          <w:lang w:eastAsia="ja-JP"/>
        </w:rPr>
        <w:t xml:space="preserve">). For </w:t>
      </w:r>
      <w:r w:rsidR="00D431D5" w:rsidRPr="00D431D5">
        <w:rPr>
          <w:rFonts w:ascii="Arial" w:eastAsia="Times New Roman" w:hAnsi="Arial" w:cs="Arial"/>
          <w:i/>
          <w:color w:val="000000"/>
          <w:lang w:eastAsia="ja-JP"/>
        </w:rPr>
        <w:t xml:space="preserve">P. patens, F. hygrometrica </w:t>
      </w:r>
      <w:r w:rsidR="00D431D5" w:rsidRPr="00D431D5">
        <w:rPr>
          <w:rFonts w:ascii="Arial" w:eastAsia="Times New Roman" w:hAnsi="Arial" w:cs="Arial"/>
          <w:color w:val="000000"/>
          <w:lang w:eastAsia="ja-JP"/>
        </w:rPr>
        <w:t>and some hornwort species it has been observed that rather than an entry asymmetric division the stomatal lineage begins with a transition from an unspecified cell to a GMC (otherwise termed Stomatal mother cells in honworts) ( (</w:t>
      </w:r>
      <w:r w:rsidR="00D431D5" w:rsidRPr="00D431D5">
        <w:rPr>
          <w:rFonts w:ascii="Arial" w:eastAsia="Times New Roman" w:hAnsi="Arial" w:cs="Arial"/>
          <w:b/>
          <w:color w:val="000000"/>
          <w:lang w:eastAsia="ja-JP"/>
        </w:rPr>
        <w:t>Fig. 4a</w:t>
      </w:r>
      <w:r w:rsidR="00D431D5" w:rsidRPr="00D431D5">
        <w:rPr>
          <w:rFonts w:ascii="Arial" w:eastAsia="Times New Roman" w:hAnsi="Arial" w:cs="Arial"/>
          <w:color w:val="000000"/>
          <w:lang w:eastAsia="ja-JP"/>
        </w:rPr>
        <w:t xml:space="preserve">) </w:t>
      </w:r>
      <w:r w:rsidR="00D431D5" w:rsidRPr="00D431D5">
        <w:rPr>
          <w:rFonts w:ascii="Arial" w:eastAsia="Times New Roman" w:hAnsi="Arial" w:cs="Arial"/>
          <w:color w:val="000000"/>
          <w:lang w:eastAsia="ja-JP"/>
        </w:rPr>
        <w:fldChar w:fldCharType="begin">
          <w:fldData xml:space="preserve">PEVuZE5vdGU+PENpdGU+PEF1dGhvcj5TYWNrPC9BdXRob3I+PFllYXI+MTk4NTwvWWVhcj48SURU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==
</w:fldData>
        </w:fldChar>
      </w:r>
      <w:r w:rsidR="001D2DA0">
        <w:rPr>
          <w:rFonts w:ascii="Arial" w:eastAsia="Times New Roman" w:hAnsi="Arial" w:cs="Arial"/>
          <w:color w:val="000000"/>
          <w:lang w:eastAsia="ja-JP"/>
        </w:rPr>
        <w:instrText xml:space="preserve"> ADDIN EN.CITE </w:instrText>
      </w:r>
      <w:r w:rsidR="001D2DA0">
        <w:rPr>
          <w:rFonts w:ascii="Arial" w:eastAsia="Times New Roman" w:hAnsi="Arial" w:cs="Arial"/>
          <w:color w:val="000000"/>
          <w:lang w:eastAsia="ja-JP"/>
        </w:rPr>
        <w:fldChar w:fldCharType="begin">
          <w:fldData xml:space="preserve">PEVuZE5vdGU+PENpdGU+PEF1dGhvcj5TYWNrPC9BdXRob3I+PFllYXI+MTk4NTwvWWVhcj48SURU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==
</w:fldData>
        </w:fldChar>
      </w:r>
      <w:r w:rsidR="001D2DA0">
        <w:rPr>
          <w:rFonts w:ascii="Arial" w:eastAsia="Times New Roman" w:hAnsi="Arial" w:cs="Arial"/>
          <w:color w:val="000000"/>
          <w:lang w:eastAsia="ja-JP"/>
        </w:rPr>
        <w:instrText xml:space="preserve"> ADDIN EN.CITE.DATA </w:instrText>
      </w:r>
      <w:r w:rsidR="001D2DA0">
        <w:rPr>
          <w:rFonts w:ascii="Arial" w:eastAsia="Times New Roman" w:hAnsi="Arial" w:cs="Arial"/>
          <w:color w:val="000000"/>
          <w:lang w:eastAsia="ja-JP"/>
        </w:rPr>
      </w:r>
      <w:r w:rsidR="001D2DA0">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r>
      <w:r w:rsidR="00D431D5" w:rsidRPr="00D431D5">
        <w:rPr>
          <w:rFonts w:ascii="Arial" w:eastAsia="Times New Roman" w:hAnsi="Arial" w:cs="Arial"/>
          <w:color w:val="000000"/>
          <w:lang w:eastAsia="ja-JP"/>
        </w:rPr>
        <w:fldChar w:fldCharType="separate"/>
      </w:r>
      <w:r w:rsidR="001D2DA0">
        <w:rPr>
          <w:rFonts w:ascii="Arial" w:eastAsia="Times New Roman" w:hAnsi="Arial" w:cs="Arial"/>
          <w:noProof/>
          <w:color w:val="000000"/>
          <w:lang w:eastAsia="ja-JP"/>
        </w:rPr>
        <w:t>(Merced and Renzaglia, 2016; Pressel et al., 2014; Sack and Paolillo, 1985)</w:t>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t xml:space="preserve">. In the case of </w:t>
      </w:r>
      <w:r w:rsidR="00D431D5" w:rsidRPr="00D431D5">
        <w:rPr>
          <w:rFonts w:ascii="Arial" w:eastAsia="Times New Roman" w:hAnsi="Arial" w:cs="Arial"/>
          <w:i/>
          <w:color w:val="000000"/>
          <w:lang w:eastAsia="ja-JP"/>
        </w:rPr>
        <w:t xml:space="preserve">F. hygrometrica </w:t>
      </w:r>
      <w:r w:rsidR="00D431D5" w:rsidRPr="00D431D5">
        <w:rPr>
          <w:rFonts w:ascii="Arial" w:eastAsia="Times New Roman" w:hAnsi="Arial" w:cs="Arial"/>
          <w:color w:val="000000"/>
          <w:lang w:eastAsia="ja-JP"/>
        </w:rPr>
        <w:t xml:space="preserve">and certain hornwort species representatives the GMC then undergoes a symmetric division leading to either a single undivided guard cell in </w:t>
      </w:r>
      <w:r w:rsidR="00D431D5" w:rsidRPr="00D431D5">
        <w:rPr>
          <w:rFonts w:ascii="Arial" w:eastAsia="Times New Roman" w:hAnsi="Arial" w:cs="Arial"/>
          <w:i/>
          <w:color w:val="000000"/>
          <w:lang w:eastAsia="ja-JP"/>
        </w:rPr>
        <w:t xml:space="preserve">F. hygrometrica </w:t>
      </w:r>
      <w:r w:rsidR="00D431D5" w:rsidRPr="00D431D5">
        <w:rPr>
          <w:rFonts w:ascii="Arial" w:eastAsia="Times New Roman" w:hAnsi="Arial" w:cs="Arial"/>
          <w:color w:val="000000"/>
          <w:lang w:eastAsia="ja-JP"/>
        </w:rPr>
        <w:t xml:space="preserve">or a pair of guard cells in hornworts </w:t>
      </w:r>
      <w:r w:rsidR="00D431D5" w:rsidRPr="00D431D5">
        <w:rPr>
          <w:rFonts w:ascii="Arial" w:eastAsia="Times New Roman" w:hAnsi="Arial" w:cs="Arial"/>
          <w:color w:val="000000"/>
          <w:lang w:eastAsia="ja-JP"/>
        </w:rPr>
        <w:fldChar w:fldCharType="begin">
          <w:fldData xml:space="preserve">PEVuZE5vdGU+PENpdGU+PEF1dGhvcj5TYWNrPC9BdXRob3I+PFllYXI+MTk4NTwvWWVhcj48SURU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==
</w:fldData>
        </w:fldChar>
      </w:r>
      <w:r w:rsidR="001D2DA0">
        <w:rPr>
          <w:rFonts w:ascii="Arial" w:eastAsia="Times New Roman" w:hAnsi="Arial" w:cs="Arial"/>
          <w:color w:val="000000"/>
          <w:lang w:eastAsia="ja-JP"/>
        </w:rPr>
        <w:instrText xml:space="preserve"> ADDIN EN.CITE </w:instrText>
      </w:r>
      <w:r w:rsidR="001D2DA0">
        <w:rPr>
          <w:rFonts w:ascii="Arial" w:eastAsia="Times New Roman" w:hAnsi="Arial" w:cs="Arial"/>
          <w:color w:val="000000"/>
          <w:lang w:eastAsia="ja-JP"/>
        </w:rPr>
        <w:fldChar w:fldCharType="begin">
          <w:fldData xml:space="preserve">PEVuZE5vdGU+PENpdGU+PEF1dGhvcj5TYWNrPC9BdXRob3I+PFllYXI+MTk4NTwvWWVhcj48SURU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==
</w:fldData>
        </w:fldChar>
      </w:r>
      <w:r w:rsidR="001D2DA0">
        <w:rPr>
          <w:rFonts w:ascii="Arial" w:eastAsia="Times New Roman" w:hAnsi="Arial" w:cs="Arial"/>
          <w:color w:val="000000"/>
          <w:lang w:eastAsia="ja-JP"/>
        </w:rPr>
        <w:instrText xml:space="preserve"> ADDIN EN.CITE.DATA </w:instrText>
      </w:r>
      <w:r w:rsidR="001D2DA0">
        <w:rPr>
          <w:rFonts w:ascii="Arial" w:eastAsia="Times New Roman" w:hAnsi="Arial" w:cs="Arial"/>
          <w:color w:val="000000"/>
          <w:lang w:eastAsia="ja-JP"/>
        </w:rPr>
      </w:r>
      <w:r w:rsidR="001D2DA0">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r>
      <w:r w:rsidR="00D431D5" w:rsidRPr="00D431D5">
        <w:rPr>
          <w:rFonts w:ascii="Arial" w:eastAsia="Times New Roman" w:hAnsi="Arial" w:cs="Arial"/>
          <w:color w:val="000000"/>
          <w:lang w:eastAsia="ja-JP"/>
        </w:rPr>
        <w:fldChar w:fldCharType="separate"/>
      </w:r>
      <w:r w:rsidR="001D2DA0">
        <w:rPr>
          <w:rFonts w:ascii="Arial" w:eastAsia="Times New Roman" w:hAnsi="Arial" w:cs="Arial"/>
          <w:noProof/>
          <w:color w:val="000000"/>
          <w:lang w:eastAsia="ja-JP"/>
        </w:rPr>
        <w:t>(Merced and Renzaglia, 2016; Pressel et al., 2014; Sack and Paolillo, 1985)</w:t>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t xml:space="preserve">. This may be the case also in </w:t>
      </w:r>
      <w:r w:rsidR="00D431D5" w:rsidRPr="00D431D5">
        <w:rPr>
          <w:rFonts w:ascii="Arial" w:eastAsia="Times New Roman" w:hAnsi="Arial" w:cs="Arial"/>
          <w:i/>
          <w:color w:val="000000"/>
          <w:lang w:eastAsia="ja-JP"/>
        </w:rPr>
        <w:t>P. patens</w:t>
      </w:r>
      <w:r w:rsidR="00D431D5" w:rsidRPr="00D431D5">
        <w:rPr>
          <w:rFonts w:ascii="Arial" w:eastAsia="Times New Roman" w:hAnsi="Arial" w:cs="Arial"/>
          <w:color w:val="000000"/>
          <w:lang w:eastAsia="ja-JP"/>
        </w:rPr>
        <w:t>,</w:t>
      </w:r>
      <w:r w:rsidR="00D431D5" w:rsidRPr="00D431D5">
        <w:rPr>
          <w:rFonts w:ascii="Arial" w:eastAsia="Times New Roman" w:hAnsi="Arial" w:cs="Arial"/>
          <w:i/>
          <w:color w:val="000000"/>
          <w:lang w:eastAsia="ja-JP"/>
        </w:rPr>
        <w:t xml:space="preserve"> </w:t>
      </w:r>
      <w:r w:rsidR="00D431D5" w:rsidRPr="00D431D5">
        <w:rPr>
          <w:rFonts w:ascii="Arial" w:eastAsia="Times New Roman" w:hAnsi="Arial" w:cs="Arial"/>
          <w:color w:val="000000"/>
          <w:lang w:eastAsia="ja-JP"/>
        </w:rPr>
        <w:t xml:space="preserve">however, the work presented in </w:t>
      </w:r>
      <w:r w:rsidR="00D431D5" w:rsidRPr="00D431D5">
        <w:rPr>
          <w:rFonts w:ascii="Arial" w:eastAsia="Times New Roman" w:hAnsi="Arial" w:cs="Arial"/>
          <w:b/>
          <w:color w:val="000000"/>
          <w:lang w:eastAsia="ja-JP"/>
        </w:rPr>
        <w:t xml:space="preserve">Fig. 4 </w:t>
      </w:r>
      <w:r w:rsidR="00D431D5" w:rsidRPr="00D431D5">
        <w:rPr>
          <w:rFonts w:ascii="Arial" w:eastAsia="Times New Roman" w:hAnsi="Arial" w:cs="Arial"/>
          <w:color w:val="000000"/>
          <w:lang w:eastAsia="ja-JP"/>
        </w:rPr>
        <w:t xml:space="preserve">shows that under certain situations </w:t>
      </w:r>
      <w:r w:rsidR="00D431D5" w:rsidRPr="00D431D5">
        <w:rPr>
          <w:rFonts w:ascii="Arial" w:eastAsia="Times New Roman" w:hAnsi="Arial" w:cs="Arial"/>
          <w:i/>
          <w:color w:val="000000"/>
          <w:lang w:eastAsia="ja-JP"/>
        </w:rPr>
        <w:t>P. patens</w:t>
      </w:r>
      <w:r w:rsidR="00D431D5" w:rsidRPr="00D431D5">
        <w:rPr>
          <w:rFonts w:ascii="Arial" w:eastAsia="Times New Roman" w:hAnsi="Arial" w:cs="Arial"/>
          <w:color w:val="000000"/>
          <w:lang w:eastAsia="ja-JP"/>
        </w:rPr>
        <w:t xml:space="preserve"> GMCs have the capability of dividing asymmetrically resulting in the formation of two distinct cells when two early GMC cells form in close proximity </w:t>
      </w:r>
      <w:r w:rsidR="00D431D5" w:rsidRPr="00D431D5">
        <w:rPr>
          <w:rFonts w:ascii="Arial" w:eastAsia="Times New Roman" w:hAnsi="Arial" w:cs="Arial"/>
          <w:b/>
          <w:color w:val="000000"/>
          <w:lang w:eastAsia="ja-JP"/>
        </w:rPr>
        <w:t>(Fig.3</w:t>
      </w:r>
      <w:r w:rsidR="00D431D5" w:rsidRPr="00D431D5">
        <w:rPr>
          <w:rFonts w:ascii="Arial" w:eastAsia="Times New Roman" w:hAnsi="Arial" w:cs="Arial"/>
          <w:color w:val="000000"/>
          <w:lang w:eastAsia="ja-JP"/>
        </w:rPr>
        <w:t xml:space="preserve">, </w:t>
      </w:r>
      <w:r w:rsidR="00D431D5" w:rsidRPr="00D431D5">
        <w:rPr>
          <w:rFonts w:ascii="Arial" w:eastAsia="Times New Roman" w:hAnsi="Arial" w:cs="Arial"/>
          <w:b/>
          <w:color w:val="000000"/>
          <w:lang w:eastAsia="ja-JP"/>
        </w:rPr>
        <w:t xml:space="preserve">4 </w:t>
      </w:r>
      <w:r w:rsidR="00D431D5" w:rsidRPr="00D431D5">
        <w:rPr>
          <w:rFonts w:ascii="Arial" w:eastAsia="Times New Roman" w:hAnsi="Arial" w:cs="Arial"/>
          <w:color w:val="000000"/>
          <w:lang w:eastAsia="ja-JP"/>
        </w:rPr>
        <w:t xml:space="preserve">and </w:t>
      </w:r>
      <w:r w:rsidR="00D431D5" w:rsidRPr="00D431D5">
        <w:rPr>
          <w:rFonts w:ascii="Arial" w:eastAsia="Times New Roman" w:hAnsi="Arial" w:cs="Arial"/>
          <w:b/>
          <w:color w:val="000000"/>
          <w:lang w:eastAsia="ja-JP"/>
        </w:rPr>
        <w:t>Fig. 9a</w:t>
      </w:r>
      <w:r w:rsidR="00D431D5" w:rsidRPr="00D431D5">
        <w:rPr>
          <w:rFonts w:ascii="Arial" w:eastAsia="Times New Roman" w:hAnsi="Arial" w:cs="Arial"/>
          <w:color w:val="000000"/>
          <w:lang w:eastAsia="ja-JP"/>
        </w:rPr>
        <w:t>). Whether or not PpSMF1/2 or any of the PpSCRMs</w:t>
      </w:r>
      <w:r w:rsidR="00D431D5" w:rsidRPr="00D431D5">
        <w:rPr>
          <w:rFonts w:ascii="Arial" w:eastAsia="Times New Roman" w:hAnsi="Arial" w:cs="Arial"/>
          <w:i/>
          <w:color w:val="000000"/>
          <w:lang w:eastAsia="ja-JP"/>
        </w:rPr>
        <w:t xml:space="preserve"> </w:t>
      </w:r>
      <w:r w:rsidR="00D431D5" w:rsidRPr="00D431D5">
        <w:rPr>
          <w:rFonts w:ascii="Arial" w:eastAsia="Times New Roman" w:hAnsi="Arial" w:cs="Arial"/>
          <w:color w:val="000000"/>
          <w:lang w:eastAsia="ja-JP"/>
        </w:rPr>
        <w:t xml:space="preserve">function during GMC formation or spacing in a similar manner to SMF and SCRM homologs in Arabidopsis has yet to be </w:t>
      </w:r>
      <w:r w:rsidR="00D431D5" w:rsidRPr="00D431D5">
        <w:rPr>
          <w:rFonts w:ascii="Arial" w:eastAsia="Times New Roman" w:hAnsi="Arial" w:cs="Arial"/>
          <w:color w:val="000000"/>
          <w:lang w:eastAsia="ja-JP"/>
        </w:rPr>
        <w:lastRenderedPageBreak/>
        <w:t xml:space="preserve">determined (see </w:t>
      </w:r>
      <w:r w:rsidR="00D431D5" w:rsidRPr="00D431D5">
        <w:rPr>
          <w:rFonts w:ascii="Arial" w:eastAsia="Times New Roman" w:hAnsi="Arial" w:cs="Arial"/>
          <w:b/>
          <w:color w:val="000000"/>
          <w:lang w:eastAsia="ja-JP"/>
        </w:rPr>
        <w:t>Fig. 1</w:t>
      </w:r>
      <w:r w:rsidR="00D431D5" w:rsidRPr="00D431D5">
        <w:rPr>
          <w:rFonts w:ascii="Arial" w:eastAsia="Times New Roman" w:hAnsi="Arial" w:cs="Arial"/>
          <w:color w:val="000000"/>
          <w:lang w:eastAsia="ja-JP"/>
        </w:rPr>
        <w:t>,</w:t>
      </w:r>
      <w:r w:rsidR="00D431D5" w:rsidRPr="00D431D5">
        <w:rPr>
          <w:rFonts w:ascii="Arial" w:eastAsia="Times New Roman" w:hAnsi="Arial" w:cs="Arial"/>
          <w:b/>
          <w:color w:val="000000"/>
          <w:lang w:eastAsia="ja-JP"/>
        </w:rPr>
        <w:t xml:space="preserve"> 4</w:t>
      </w:r>
      <w:r w:rsidR="00D431D5" w:rsidRPr="00D431D5">
        <w:rPr>
          <w:rFonts w:ascii="Arial" w:eastAsia="Times New Roman" w:hAnsi="Arial" w:cs="Arial"/>
          <w:color w:val="000000"/>
          <w:lang w:eastAsia="ja-JP"/>
        </w:rPr>
        <w:t>,</w:t>
      </w:r>
      <w:r w:rsidR="00D431D5" w:rsidRPr="00D431D5">
        <w:rPr>
          <w:rFonts w:ascii="Arial" w:eastAsia="Times New Roman" w:hAnsi="Arial" w:cs="Arial"/>
          <w:b/>
          <w:color w:val="000000"/>
          <w:lang w:eastAsia="ja-JP"/>
        </w:rPr>
        <w:t xml:space="preserve"> 7</w:t>
      </w:r>
      <w:r w:rsidR="00D431D5" w:rsidRPr="00D431D5">
        <w:rPr>
          <w:rFonts w:ascii="Arial" w:eastAsia="Times New Roman" w:hAnsi="Arial" w:cs="Arial"/>
          <w:color w:val="000000"/>
          <w:lang w:eastAsia="ja-JP"/>
        </w:rPr>
        <w:t>,</w:t>
      </w:r>
      <w:r w:rsidR="00D431D5" w:rsidRPr="00D431D5">
        <w:rPr>
          <w:rFonts w:ascii="Arial" w:eastAsia="Times New Roman" w:hAnsi="Arial" w:cs="Arial"/>
          <w:b/>
          <w:color w:val="000000"/>
          <w:lang w:eastAsia="ja-JP"/>
        </w:rPr>
        <w:t xml:space="preserve"> 8 </w:t>
      </w:r>
      <w:r w:rsidR="00D431D5" w:rsidRPr="00D431D5">
        <w:rPr>
          <w:rFonts w:ascii="Arial" w:eastAsia="Times New Roman" w:hAnsi="Arial" w:cs="Arial"/>
          <w:color w:val="000000"/>
          <w:lang w:eastAsia="ja-JP"/>
        </w:rPr>
        <w:t>and</w:t>
      </w:r>
      <w:r w:rsidR="00D431D5" w:rsidRPr="00D431D5">
        <w:rPr>
          <w:rFonts w:ascii="Arial" w:eastAsia="Times New Roman" w:hAnsi="Arial" w:cs="Arial"/>
          <w:b/>
          <w:color w:val="000000"/>
          <w:lang w:eastAsia="ja-JP"/>
        </w:rPr>
        <w:t xml:space="preserve"> 9</w:t>
      </w:r>
      <w:r w:rsidR="00D431D5" w:rsidRPr="00D431D5">
        <w:rPr>
          <w:rFonts w:ascii="Arial" w:eastAsia="Times New Roman" w:hAnsi="Arial" w:cs="Arial"/>
          <w:color w:val="000000"/>
          <w:lang w:eastAsia="ja-JP"/>
        </w:rPr>
        <w:t xml:space="preserve">). As previously mentioned however, it has been shown in complementation experiments in Arabidopsis </w:t>
      </w:r>
      <w:r w:rsidR="00D431D5" w:rsidRPr="00D431D5">
        <w:rPr>
          <w:rFonts w:ascii="Arial" w:eastAsia="Times New Roman" w:hAnsi="Arial" w:cs="Arial"/>
          <w:i/>
          <w:color w:val="000000"/>
          <w:lang w:eastAsia="ja-JP"/>
        </w:rPr>
        <w:t xml:space="preserve">mute </w:t>
      </w:r>
      <w:r w:rsidR="00D431D5" w:rsidRPr="00D431D5">
        <w:rPr>
          <w:rFonts w:ascii="Arial" w:eastAsia="Times New Roman" w:hAnsi="Arial" w:cs="Arial"/>
          <w:color w:val="000000"/>
          <w:lang w:eastAsia="ja-JP"/>
        </w:rPr>
        <w:t xml:space="preserve">and </w:t>
      </w:r>
      <w:r w:rsidR="00D431D5" w:rsidRPr="00D431D5">
        <w:rPr>
          <w:rFonts w:ascii="Arial" w:eastAsia="Times New Roman" w:hAnsi="Arial" w:cs="Arial"/>
          <w:i/>
          <w:color w:val="000000"/>
          <w:lang w:eastAsia="ja-JP"/>
        </w:rPr>
        <w:t>fama</w:t>
      </w:r>
      <w:r w:rsidR="00D431D5" w:rsidRPr="00D431D5">
        <w:rPr>
          <w:rFonts w:ascii="Arial" w:eastAsia="Times New Roman" w:hAnsi="Arial" w:cs="Arial"/>
          <w:color w:val="000000"/>
          <w:lang w:eastAsia="ja-JP"/>
        </w:rPr>
        <w:t xml:space="preserve"> that </w:t>
      </w:r>
      <w:r w:rsidR="00D431D5" w:rsidRPr="00D431D5">
        <w:rPr>
          <w:rFonts w:ascii="Arial" w:eastAsia="Times New Roman" w:hAnsi="Arial" w:cs="Arial"/>
          <w:i/>
          <w:color w:val="000000"/>
          <w:lang w:eastAsia="ja-JP"/>
        </w:rPr>
        <w:t xml:space="preserve">PpSMF1 </w:t>
      </w:r>
      <w:r w:rsidR="00D431D5" w:rsidRPr="00D431D5">
        <w:rPr>
          <w:rFonts w:ascii="Arial" w:eastAsia="Times New Roman" w:hAnsi="Arial" w:cs="Arial"/>
          <w:color w:val="000000"/>
          <w:lang w:eastAsia="ja-JP"/>
        </w:rPr>
        <w:t xml:space="preserve">and to a lesser degree </w:t>
      </w:r>
      <w:r w:rsidR="00D431D5" w:rsidRPr="00D431D5">
        <w:rPr>
          <w:rFonts w:ascii="Arial" w:eastAsia="Times New Roman" w:hAnsi="Arial" w:cs="Arial"/>
          <w:i/>
          <w:color w:val="000000"/>
          <w:lang w:eastAsia="ja-JP"/>
        </w:rPr>
        <w:t xml:space="preserve">PpSMF2 </w:t>
      </w:r>
      <w:r w:rsidR="00D431D5" w:rsidRPr="00D431D5">
        <w:rPr>
          <w:rFonts w:ascii="Arial" w:eastAsia="Times New Roman" w:hAnsi="Arial" w:cs="Arial"/>
          <w:color w:val="000000"/>
          <w:lang w:eastAsia="ja-JP"/>
        </w:rPr>
        <w:t xml:space="preserve">can partake in stomatal development thus suggesting that such genes and their encoded proteins might be operational during </w:t>
      </w:r>
      <w:r w:rsidR="00D431D5" w:rsidRPr="00D431D5">
        <w:rPr>
          <w:rFonts w:ascii="Arial" w:eastAsia="Times New Roman" w:hAnsi="Arial" w:cs="Arial"/>
          <w:i/>
          <w:color w:val="000000"/>
          <w:lang w:eastAsia="ja-JP"/>
        </w:rPr>
        <w:t>P. patens</w:t>
      </w:r>
      <w:r w:rsidR="00D431D5" w:rsidRPr="00D431D5">
        <w:rPr>
          <w:rFonts w:ascii="Arial" w:eastAsia="Times New Roman" w:hAnsi="Arial" w:cs="Arial"/>
          <w:color w:val="000000"/>
          <w:lang w:eastAsia="ja-JP"/>
        </w:rPr>
        <w:t xml:space="preserve"> stomatal development </w:t>
      </w:r>
      <w:r w:rsidR="00D431D5" w:rsidRPr="00D431D5">
        <w:rPr>
          <w:rFonts w:ascii="Arial" w:eastAsia="Times New Roman" w:hAnsi="Arial" w:cs="Arial"/>
          <w:color w:val="000000"/>
          <w:lang w:eastAsia="ja-JP"/>
        </w:rPr>
        <w:fldChar w:fldCharType="begin"/>
      </w:r>
      <w:r w:rsidR="00D431D5" w:rsidRPr="00D431D5">
        <w:rPr>
          <w:rFonts w:ascii="Arial" w:eastAsia="Times New Roman" w:hAnsi="Arial" w:cs="Arial"/>
          <w:color w:val="000000"/>
          <w:lang w:eastAsia="ja-JP"/>
        </w:rPr>
        <w:instrText xml:space="preserve"> ADDIN EN.CITE &lt;EndNote&gt;&lt;Cite&gt;&lt;Author&gt;MacAlister&lt;/Author&gt;&lt;Year&gt;2011&lt;/Year&gt;&lt;IDText&gt;Sequence and function of basic helix-loop-helix proteins required for stomatal development in Arabidopsis are deeply conserved in land plants&lt;/IDText&gt;&lt;DisplayText&gt;(MacAlister and Bergmann, 2011)&lt;/DisplayText&gt;&lt;record&gt;&lt;dates&gt;&lt;pub-dates&gt;&lt;date&gt;Mar-Apr&lt;/date&gt;&lt;/pub-dates&gt;&lt;year&gt;2011&lt;/year&gt;&lt;/dates&gt;&lt;keywords&gt;&lt;keyword&gt;TRANSCRIPTION FACTOR FAMILY&lt;/keyword&gt;&lt;keyword&gt;MONOCOT-DICOT DIVERGENCE&lt;/keyword&gt;&lt;keyword&gt;EVOLUTION&lt;/keyword&gt;&lt;keyword&gt;DIVERSITY&lt;/keyword&gt;&lt;keyword&gt;GENES&lt;/keyword&gt;&lt;keyword&gt;DIFFERENTIATION&lt;/keyword&gt;&lt;keyword&gt;THALIANA&lt;/keyword&gt;&lt;keyword&gt;MUTANTS&lt;/keyword&gt;&lt;keyword&gt;GENOMES&lt;/keyword&gt;&lt;keyword&gt;CASCADE&lt;/keyword&gt;&lt;/keywords&gt;&lt;urls&gt;&lt;related-urls&gt;&lt;url&gt;&amp;lt;Go to ISI&amp;gt;://WOS:000288502600007&lt;/url&gt;&lt;/related-urls&gt;&lt;/urls&gt;&lt;isbn&gt;1520-541X&lt;/isbn&gt;&lt;work-type&gt;Article&lt;/work-type&gt;&lt;titles&gt;&lt;title&gt;Sequence and function of basic helix-loop-helix proteins required for stomatal development in Arabidopsis are deeply conserved in land plants&lt;/title&gt;&lt;secondary-title&gt;Evolution &amp;amp; Development&lt;/secondary-title&gt;&lt;alt-title&gt;Evol. Dev.&lt;/alt-title&gt;&lt;/titles&gt;&lt;pages&gt;182-192&lt;/pages&gt;&lt;number&gt;2&lt;/number&gt;&lt;contributors&gt;&lt;authors&gt;&lt;author&gt;MacAlister, C. A.&lt;/author&gt;&lt;author&gt;Bergmann, D. C.&lt;/author&gt;&lt;/authors&gt;&lt;/contributors&gt;&lt;language&gt;English&lt;/language&gt;&lt;added-date format="utc"&gt;1354083840&lt;/added-date&gt;&lt;ref-type name="Journal Article"&gt;17&lt;/ref-type&gt;&lt;auth-address&gt;[MacAlister, Cora A.&amp;#xD;Bergmann, Dominique C.] Stanford Univ, Dept Biol, Stanford, CA 94305 USA.&amp;#xD;MacAlister, CA (reprint author), Cold Spring Harbor Lab, POB 100, Cold Spring Harbor, NY 11724 USA.&amp;#xD;cmacalis@cshl.edu&lt;/auth-address&gt;&lt;rec-number&gt;61&lt;/rec-number&gt;&lt;last-updated-date format="utc"&gt;1354083840&lt;/last-updated-date&gt;&lt;accession-num&gt;WOS:000288502600007&lt;/accession-num&gt;&lt;electronic-resource-num&gt;10.1111/j.1525-142X.2011.00468.x&lt;/electronic-resource-num&gt;&lt;volume&gt;13&lt;/volume&gt;&lt;/record&gt;&lt;/Cite&gt;&lt;/EndNote&gt;</w:instrText>
      </w:r>
      <w:r w:rsidR="00D431D5" w:rsidRPr="00D431D5">
        <w:rPr>
          <w:rFonts w:ascii="Arial" w:eastAsia="Times New Roman" w:hAnsi="Arial" w:cs="Arial"/>
          <w:color w:val="000000"/>
          <w:lang w:eastAsia="ja-JP"/>
        </w:rPr>
        <w:fldChar w:fldCharType="separate"/>
      </w:r>
      <w:r w:rsidR="00D431D5" w:rsidRPr="00D431D5">
        <w:rPr>
          <w:rFonts w:ascii="Arial" w:eastAsia="Times New Roman" w:hAnsi="Arial" w:cs="Arial"/>
          <w:color w:val="000000"/>
          <w:lang w:eastAsia="ja-JP"/>
        </w:rPr>
        <w:t>(MacAlister and Bergmann, 2011)</w:t>
      </w:r>
      <w:r w:rsidR="00D431D5" w:rsidRPr="00D431D5">
        <w:rPr>
          <w:rFonts w:ascii="Arial" w:eastAsia="Times New Roman" w:hAnsi="Arial" w:cs="Arial"/>
          <w:color w:val="000000"/>
          <w:lang w:eastAsia="ja-JP"/>
        </w:rPr>
        <w:fldChar w:fldCharType="end"/>
      </w:r>
      <w:r w:rsidR="00D431D5" w:rsidRPr="00D431D5">
        <w:rPr>
          <w:rFonts w:ascii="Arial" w:eastAsia="Times New Roman" w:hAnsi="Arial" w:cs="Arial"/>
          <w:color w:val="000000"/>
          <w:lang w:eastAsia="ja-JP"/>
        </w:rPr>
        <w:t xml:space="preserve">. </w:t>
      </w:r>
    </w:p>
    <w:p w14:paraId="3576C734"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In more latterly diverging rice a slightly better understanding of development is known but the genes underpinning such processes are only partially understood </w:t>
      </w:r>
      <w:r w:rsidRPr="00D431D5">
        <w:rPr>
          <w:rFonts w:ascii="Arial" w:eastAsia="Times New Roman" w:hAnsi="Arial" w:cs="Arial"/>
          <w:color w:val="000000"/>
          <w:lang w:eastAsia="ja-JP"/>
        </w:rPr>
        <w:fldChar w:fldCharType="begin">
          <w:fldData xml:space="preserve">PEVuZE5vdGU+PENpdGU+PEF1dGhvcj5MaXU8L0F1dGhvcj48WWVhcj4yMDA5PC9ZZWFyPjxJRFRl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PEVuZE5vdGU+PENpdGU+PEF1dGhvcj5MaXU8L0F1dGhvcj48WWVhcj4yMDA5PC9ZZWFyPjxJRFRl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(Liu et al., 2009; Luo et al., 2012)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Fig. 9b</w:t>
      </w:r>
      <w:r w:rsidRPr="00D431D5">
        <w:rPr>
          <w:rFonts w:ascii="Arial" w:eastAsia="Times New Roman" w:hAnsi="Arial" w:cs="Arial"/>
          <w:color w:val="000000"/>
          <w:lang w:eastAsia="ja-JP"/>
        </w:rPr>
        <w:t xml:space="preserve">). Early on in stomatal development perhaps prior to stomatal lineage cell formation it has been suggested that OsSPCH1 and or OSPCH2 may initially function to specify which cells will go on to enter the stomatal lineage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&lt;EndNote&gt;&lt;Cite&gt;&lt;Author&gt;Liu&lt;/Author&gt;&lt;Year&gt;2009&lt;/Year&gt;&lt;IDText&gt;Orthologs of Arabidopsis thaliana stomatal bHLH genes and regulation of stomatal development in grasses&lt;/IDText&gt;&lt;DisplayText&gt;(Liu et al., 2009)&lt;/DisplayText&gt;&lt;record&gt;&lt;dates&gt;&lt;pub-dates&gt;&lt;date&gt;Jul&lt;/date&gt;&lt;/pub-dates&gt;&lt;year&gt;2009&lt;/year&gt;&lt;/dates&gt;&lt;keywords&gt;&lt;keyword&gt;Stomata&lt;/keyword&gt;&lt;keyword&gt;Monocotyledon&lt;/keyword&gt;&lt;keyword&gt;Rice&lt;/keyword&gt;&lt;keyword&gt;Arabidopsis&lt;/keyword&gt;&lt;keyword&gt;Maize&lt;/keyword&gt;&lt;keyword&gt;bHLH&lt;/keyword&gt;&lt;keyword&gt;ASYMMETRIC CELL DIVISIONS&lt;/keyword&gt;&lt;keyword&gt;DIFFERENTIATION&lt;/keyword&gt;&lt;keyword&gt;PROTEIN&lt;/keyword&gt;&lt;keyword&gt;COMPLEX&lt;/keyword&gt;&lt;keyword&gt;PLANTS&lt;/keyword&gt;&lt;keyword&gt;RICE&lt;/keyword&gt;&lt;/keywords&gt;&lt;urls&gt;&lt;related-urls&gt;&lt;url&gt;&amp;lt;Go to ISI&amp;gt;://WOS:000266731800013&lt;/url&gt;&lt;/related-urls&gt;&lt;/urls&gt;&lt;isbn&gt;0950-1991&lt;/isbn&gt;&lt;work-type&gt;Article&lt;/work-type&gt;&lt;titles&gt;&lt;title&gt;Orthologs of Arabidopsis thaliana stomatal bHLH genes and regulation of stomatal development in grasses&lt;/title&gt;&lt;secondary-title&gt;Development&lt;/secondary-title&gt;&lt;alt-title&gt;Development&lt;/alt-title&gt;&lt;/titles&gt;&lt;pages&gt;2265-2276&lt;/pages&gt;&lt;number&gt;13&lt;/number&gt;&lt;contributors&gt;&lt;authors&gt;&lt;author&gt;Liu, T.&lt;/author&gt;&lt;author&gt;Ohashi-Ito, K.&lt;/author&gt;&lt;author&gt;Bergmann, D. C.&lt;/author&gt;&lt;/authors&gt;&lt;/contributors&gt;&lt;language&gt;English&lt;/language&gt;&lt;added-date format="utc"&gt;1353740162&lt;/added-date&gt;&lt;ref-type name="Journal Article"&gt;17&lt;/ref-type&gt;&lt;auth-address&gt;[Liu, Tie&amp;#xD;Ohashi-Ito, Kyoko&amp;#xD;Bergmann, Dominique C.] Stanford Univ, Dept Biol, Stanford, CA 94305 USA. [Ohashi-Ito, Kyoko] Univ Tokyo, Grad Sch Sci, Dept Biol Sci, Tokyo 1130033, Japan.&amp;#xD;Bergmann, DC (reprint author), Stanford Univ, Dept Biol, 371 Serra Mall, Stanford, CA 94305 USA.&amp;#xD;dbergmann@stanford.edu&lt;/auth-address&gt;&lt;rec-number&gt;42&lt;/rec-number&gt;&lt;last-updated-date format="utc"&gt;1353740162&lt;/last-updated-date&gt;&lt;accession-num&gt;WOS:000266731800013&lt;/accession-num&gt;&lt;electronic-resource-num&gt;10.1242/dev.032938&lt;/electronic-resource-num&gt;&lt;volume&gt;136&lt;/volume&gt;&lt;/record&gt;&lt;/Cite&gt;&lt;/EndNote&gt;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(Liu et al., 2009)</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OsSPCH2 has then been shown to be responsible actually permitting entry. How OsMUTE functions in rice is not clear, but it may have further roles in addition to promoting GMC formation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&lt;EndNote&gt;&lt;Cite&gt;&lt;Author&gt;Liu&lt;/Author&gt;&lt;Year&gt;2009&lt;/Year&gt;&lt;IDText&gt;Orthologs of Arabidopsis thaliana stomatal bHLH genes and regulation of stomatal development in grasses&lt;/IDText&gt;&lt;DisplayText&gt;(Liu et al., 2009)&lt;/DisplayText&gt;&lt;record&gt;&lt;dates&gt;&lt;pub-dates&gt;&lt;date&gt;Jul&lt;/date&gt;&lt;/pub-dates&gt;&lt;year&gt;2009&lt;/year&gt;&lt;/dates&gt;&lt;keywords&gt;&lt;keyword&gt;Stomata&lt;/keyword&gt;&lt;keyword&gt;Monocotyledon&lt;/keyword&gt;&lt;keyword&gt;Rice&lt;/keyword&gt;&lt;keyword&gt;Arabidopsis&lt;/keyword&gt;&lt;keyword&gt;Maize&lt;/keyword&gt;&lt;keyword&gt;bHLH&lt;/keyword&gt;&lt;keyword&gt;ASYMMETRIC CELL DIVISIONS&lt;/keyword&gt;&lt;keyword&gt;DIFFERENTIATION&lt;/keyword&gt;&lt;keyword&gt;PROTEIN&lt;/keyword&gt;&lt;keyword&gt;COMPLEX&lt;/keyword&gt;&lt;keyword&gt;PLANTS&lt;/keyword&gt;&lt;keyword&gt;RICE&lt;/keyword&gt;&lt;/keywords&gt;&lt;urls&gt;&lt;related-urls&gt;&lt;url&gt;&amp;lt;Go to ISI&amp;gt;://WOS:000266731800013&lt;/url&gt;&lt;/related-urls&gt;&lt;/urls&gt;&lt;isbn&gt;0950-1991&lt;/isbn&gt;&lt;work-type&gt;Article&lt;/work-type&gt;&lt;titles&gt;&lt;title&gt;Orthologs of Arabidopsis thaliana stomatal bHLH genes and regulation of stomatal development in grasses&lt;/title&gt;&lt;secondary-title&gt;Development&lt;/secondary-title&gt;&lt;alt-title&gt;Development&lt;/alt-title&gt;&lt;/titles&gt;&lt;pages&gt;2265-2276&lt;/pages&gt;&lt;number&gt;13&lt;/number&gt;&lt;contributors&gt;&lt;authors&gt;&lt;author&gt;Liu, T.&lt;/author&gt;&lt;author&gt;Ohashi-Ito, K.&lt;/author&gt;&lt;author&gt;Bergmann, D. C.&lt;/author&gt;&lt;/authors&gt;&lt;/contributors&gt;&lt;language&gt;English&lt;/language&gt;&lt;added-date format="utc"&gt;1353740162&lt;/added-date&gt;&lt;ref-type name="Journal Article"&gt;17&lt;/ref-type&gt;&lt;auth-address&gt;[Liu, Tie&amp;#xD;Ohashi-Ito, Kyoko&amp;#xD;Bergmann, Dominique C.] Stanford Univ, Dept Biol, Stanford, CA 94305 USA. [Ohashi-Ito, Kyoko] Univ Tokyo, Grad Sch Sci, Dept Biol Sci, Tokyo 1130033, Japan.&amp;#xD;Bergmann, DC (reprint author), Stanford Univ, Dept Biol, 371 Serra Mall, Stanford, CA 94305 USA.&amp;#xD;dbergmann@stanford.edu&lt;/auth-address&gt;&lt;rec-number&gt;42&lt;/rec-number&gt;&lt;last-updated-date format="utc"&gt;1353740162&lt;/last-updated-date&gt;&lt;accession-num&gt;WOS:000266731800013&lt;/accession-num&gt;&lt;electronic-resource-num&gt;10.1242/dev.032938&lt;/electronic-resource-num&gt;&lt;volume&gt;136&lt;/volume&gt;&lt;/record&gt;&lt;/Cite&gt;&lt;/EndNote&gt;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(Liu et al., 2009)</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As with Arabidopsis FAMA, OsFAMA in rice is involved in permitting the correct identity of guard cells as loss of function </w:t>
      </w:r>
      <w:r w:rsidRPr="00D431D5">
        <w:rPr>
          <w:rFonts w:ascii="Arial" w:eastAsia="Times New Roman" w:hAnsi="Arial" w:cs="Arial"/>
          <w:i/>
          <w:color w:val="000000"/>
          <w:lang w:eastAsia="ja-JP"/>
        </w:rPr>
        <w:t xml:space="preserve">osfama </w:t>
      </w:r>
      <w:r w:rsidRPr="00D431D5">
        <w:rPr>
          <w:rFonts w:ascii="Arial" w:eastAsia="Times New Roman" w:hAnsi="Arial" w:cs="Arial"/>
          <w:color w:val="000000"/>
          <w:lang w:eastAsia="ja-JP"/>
        </w:rPr>
        <w:t xml:space="preserve">mutant plants exhibited mishaped guard cell complexes </w:t>
      </w:r>
      <w:r w:rsidRPr="00D431D5">
        <w:rPr>
          <w:rFonts w:ascii="Arial" w:eastAsia="Times New Roman" w:hAnsi="Arial" w:cs="Arial"/>
          <w:color w:val="000000"/>
          <w:lang w:eastAsia="ja-JP"/>
        </w:rPr>
        <w:fldChar w:fldCharType="begin">
          <w:fldData xml:space="preserve">PEVuZE5vdGU+PENpdGU+PEF1dGhvcj5MaXU8L0F1dGhvcj48WWVhcj4yMDA5PC9ZZWFyPjxJRFRl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PEVuZE5vdGU+PENpdGU+PEF1dGhvcj5MaXU8L0F1dGhvcj48WWVhcj4yMDA5PC9ZZWFyPjxJRFRl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(Liu et al., 2009; Ohashi-Ito and Bergmann, 2006)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Whether rice utilises OsSCRMs to partner OsSMFs is unclear but phylogenetic analysis suggest that there are two </w:t>
      </w:r>
      <w:r w:rsidRPr="00D431D5">
        <w:rPr>
          <w:rFonts w:ascii="Arial" w:eastAsia="Times New Roman" w:hAnsi="Arial" w:cs="Arial"/>
          <w:i/>
          <w:color w:val="000000"/>
          <w:lang w:eastAsia="ja-JP"/>
        </w:rPr>
        <w:t>OsSCRMs</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OsSCRM</w:t>
      </w:r>
      <w:r w:rsidRPr="00D431D5">
        <w:rPr>
          <w:rFonts w:ascii="Arial" w:eastAsia="Times New Roman" w:hAnsi="Arial" w:cs="Arial"/>
          <w:color w:val="000000"/>
          <w:lang w:eastAsia="ja-JP"/>
        </w:rPr>
        <w:t xml:space="preserve"> and </w:t>
      </w:r>
      <w:r w:rsidRPr="00D431D5">
        <w:rPr>
          <w:rFonts w:ascii="Arial" w:eastAsia="Times New Roman" w:hAnsi="Arial" w:cs="Arial"/>
          <w:i/>
          <w:color w:val="000000"/>
          <w:lang w:eastAsia="ja-JP"/>
        </w:rPr>
        <w:t>OsSCRM2</w:t>
      </w:r>
      <w:r w:rsidRPr="00D431D5">
        <w:rPr>
          <w:rFonts w:ascii="Arial" w:eastAsia="Times New Roman" w:hAnsi="Arial" w:cs="Arial"/>
          <w:color w:val="000000"/>
          <w:lang w:eastAsia="ja-JP"/>
        </w:rPr>
        <w:t xml:space="preserve"> which are closely related to Arabidopsis equivalents (</w:t>
      </w:r>
      <w:r w:rsidRPr="00D431D5">
        <w:rPr>
          <w:rFonts w:ascii="Arial" w:eastAsia="Times New Roman" w:hAnsi="Arial" w:cs="Arial"/>
          <w:b/>
          <w:color w:val="000000"/>
          <w:lang w:eastAsia="ja-JP"/>
        </w:rPr>
        <w:t>Fig. 8</w:t>
      </w:r>
      <w:r w:rsidRPr="00D431D5">
        <w:rPr>
          <w:rFonts w:ascii="Arial" w:eastAsia="Times New Roman" w:hAnsi="Arial" w:cs="Arial"/>
          <w:color w:val="000000"/>
          <w:lang w:eastAsia="ja-JP"/>
        </w:rPr>
        <w:t xml:space="preserve">). </w:t>
      </w:r>
    </w:p>
    <w:p w14:paraId="28C4D3EF"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2169F1E6" w14:textId="77777777" w:rsidR="008653D0" w:rsidRDefault="00D431D5" w:rsidP="00D431D5">
      <w:pPr>
        <w:tabs>
          <w:tab w:val="left" w:pos="6663"/>
        </w:tabs>
        <w:spacing w:after="160" w:line="360" w:lineRule="auto"/>
        <w:rPr>
          <w:rFonts w:ascii="Arial" w:eastAsia="Times New Roman" w:hAnsi="Arial" w:cs="Arial"/>
          <w:b/>
          <w:color w:val="000000"/>
          <w:lang w:eastAsia="ja-JP"/>
        </w:rPr>
      </w:pPr>
      <w:r w:rsidRPr="00D431D5">
        <w:rPr>
          <w:rFonts w:ascii="Arial" w:eastAsia="Times New Roman" w:hAnsi="Arial" w:cs="Arial"/>
          <w:b/>
          <w:noProof/>
          <w:color w:val="000000"/>
          <w:lang w:eastAsia="ja-JP"/>
        </w:rPr>
        <w:lastRenderedPageBreak/>
        <w:drawing>
          <wp:inline distT="0" distB="0" distL="0" distR="0" wp14:anchorId="196BE780" wp14:editId="6C38BE05">
            <wp:extent cx="5605670" cy="567610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4moded.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10513" cy="5681004"/>
                    </a:xfrm>
                    <a:prstGeom prst="rect">
                      <a:avLst/>
                    </a:prstGeom>
                  </pic:spPr>
                </pic:pic>
              </a:graphicData>
            </a:graphic>
          </wp:inline>
        </w:drawing>
      </w:r>
    </w:p>
    <w:p w14:paraId="22035197" w14:textId="41E5A14E"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b/>
          <w:color w:val="000000"/>
          <w:lang w:eastAsia="ja-JP"/>
        </w:rPr>
        <w:t>Figure 9. The Function of genes underpinning stomatal developmental onto</w:t>
      </w:r>
      <w:r w:rsidR="00C7050F">
        <w:rPr>
          <w:rFonts w:ascii="Arial" w:eastAsia="Times New Roman" w:hAnsi="Arial" w:cs="Arial"/>
          <w:b/>
          <w:color w:val="000000"/>
          <w:lang w:eastAsia="ja-JP"/>
        </w:rPr>
        <w:t xml:space="preserve">geny </w:t>
      </w:r>
      <w:r w:rsidRPr="00D431D5">
        <w:rPr>
          <w:rFonts w:ascii="Arial" w:eastAsia="Times New Roman" w:hAnsi="Arial" w:cs="Arial"/>
          <w:b/>
          <w:color w:val="000000"/>
          <w:lang w:eastAsia="ja-JP"/>
        </w:rPr>
        <w:t xml:space="preserve">in representative non-vascular and vascular land plants adapted from Vaten and  Bergmann </w:t>
      </w:r>
      <w:r w:rsidRPr="00D431D5">
        <w:rPr>
          <w:rFonts w:ascii="Arial" w:eastAsia="Times New Roman" w:hAnsi="Arial" w:cs="Arial"/>
          <w:b/>
          <w:color w:val="000000"/>
          <w:lang w:eastAsia="ja-JP"/>
        </w:rPr>
        <w:fldChar w:fldCharType="begin">
          <w:fldData xml:space="preserve">PEVuZE5vdGU+PENpdGUgRXhjbHVkZUF1dGg9IjEiPjxBdXRob3I+VmF0ZW48L0F1dGhvcj48WWVh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</w:fldData>
        </w:fldChar>
      </w:r>
      <w:r w:rsidRPr="00D431D5">
        <w:rPr>
          <w:rFonts w:ascii="Arial" w:eastAsia="Times New Roman" w:hAnsi="Arial" w:cs="Arial"/>
          <w:b/>
          <w:color w:val="000000"/>
          <w:lang w:eastAsia="ja-JP"/>
        </w:rPr>
        <w:instrText xml:space="preserve"> ADDIN EN.CITE </w:instrText>
      </w:r>
      <w:r w:rsidRPr="00D431D5">
        <w:rPr>
          <w:rFonts w:ascii="Arial" w:eastAsia="Times New Roman" w:hAnsi="Arial" w:cs="Arial"/>
          <w:b/>
          <w:color w:val="000000"/>
          <w:lang w:eastAsia="ja-JP"/>
        </w:rPr>
        <w:fldChar w:fldCharType="begin">
          <w:fldData xml:space="preserve">PEVuZE5vdGU+PENpdGUgRXhjbHVkZUF1dGg9IjEiPjxBdXRob3I+VmF0ZW48L0F1dGhvcj48WWVh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</w:fldData>
        </w:fldChar>
      </w:r>
      <w:r w:rsidRPr="00D431D5">
        <w:rPr>
          <w:rFonts w:ascii="Arial" w:eastAsia="Times New Roman" w:hAnsi="Arial" w:cs="Arial"/>
          <w:b/>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b/>
          <w:color w:val="000000"/>
          <w:lang w:eastAsia="ja-JP"/>
        </w:rPr>
      </w:r>
      <w:r w:rsidRPr="00D431D5">
        <w:rPr>
          <w:rFonts w:ascii="Arial" w:eastAsia="Times New Roman" w:hAnsi="Arial" w:cs="Arial"/>
          <w:b/>
          <w:color w:val="000000"/>
          <w:lang w:eastAsia="ja-JP"/>
        </w:rPr>
        <w:fldChar w:fldCharType="separate"/>
      </w:r>
      <w:r w:rsidRPr="00D431D5">
        <w:rPr>
          <w:rFonts w:ascii="Arial" w:eastAsia="Times New Roman" w:hAnsi="Arial" w:cs="Arial"/>
          <w:b/>
          <w:color w:val="000000"/>
          <w:lang w:eastAsia="ja-JP"/>
        </w:rPr>
        <w:t>(2012)</w:t>
      </w:r>
      <w:r w:rsidRPr="00D431D5">
        <w:rPr>
          <w:rFonts w:ascii="Arial" w:eastAsia="Times New Roman" w:hAnsi="Arial" w:cs="Arial"/>
          <w:color w:val="000000"/>
          <w:lang w:eastAsia="ja-JP"/>
        </w:rPr>
        <w:fldChar w:fldCharType="end"/>
      </w:r>
      <w:r w:rsidRPr="00D431D5">
        <w:rPr>
          <w:rFonts w:ascii="Arial" w:eastAsia="Times New Roman" w:hAnsi="Arial" w:cs="Arial"/>
          <w:b/>
          <w:color w:val="000000"/>
          <w:lang w:eastAsia="ja-JP"/>
        </w:rPr>
        <w:t xml:space="preserve"> and Liu et al </w:t>
      </w:r>
      <w:r w:rsidRPr="00D431D5">
        <w:rPr>
          <w:rFonts w:ascii="Arial" w:eastAsia="Times New Roman" w:hAnsi="Arial" w:cs="Arial"/>
          <w:b/>
          <w:color w:val="000000"/>
          <w:lang w:eastAsia="ja-JP"/>
        </w:rPr>
        <w:fldChar w:fldCharType="begin"/>
      </w:r>
      <w:r w:rsidRPr="00D431D5">
        <w:rPr>
          <w:rFonts w:ascii="Arial" w:eastAsia="Times New Roman" w:hAnsi="Arial" w:cs="Arial"/>
          <w:b/>
          <w:color w:val="000000"/>
          <w:lang w:eastAsia="ja-JP"/>
        </w:rPr>
        <w:instrText xml:space="preserve"> ADDIN EN.CITE &lt;EndNote&gt;&lt;Cite&gt;&lt;Author&gt;Liu&lt;/Author&gt;&lt;Year&gt;2009&lt;/Year&gt;&lt;IDText&gt;Orthologs of Arabidopsis thaliana stomatal bHLH genes and regulation of stomatal development in grasses&lt;/IDText&gt;&lt;DisplayText&gt;(Liu et al., 2009)&lt;/DisplayText&gt;&lt;record&gt;&lt;dates&gt;&lt;pub-dates&gt;&lt;date&gt;Jul&lt;/date&gt;&lt;/pub-dates&gt;&lt;year&gt;2009&lt;/year&gt;&lt;/dates&gt;&lt;keywords&gt;&lt;keyword&gt;Stomata&lt;/keyword&gt;&lt;keyword&gt;Monocotyledon&lt;/keyword&gt;&lt;keyword&gt;Rice&lt;/keyword&gt;&lt;keyword&gt;Arabidopsis&lt;/keyword&gt;&lt;keyword&gt;Maize&lt;/keyword&gt;&lt;keyword&gt;bHLH&lt;/keyword&gt;&lt;keyword&gt;ASYMMETRIC CELL DIVISIONS&lt;/keyword&gt;&lt;keyword&gt;DIFFERENTIATION&lt;/keyword&gt;&lt;keyword&gt;PROTEIN&lt;/keyword&gt;&lt;keyword&gt;COMPLEX&lt;/keyword&gt;&lt;keyword&gt;PLANTS&lt;/keyword&gt;&lt;keyword&gt;RICE&lt;/keyword&gt;&lt;/keywords&gt;&lt;urls&gt;&lt;related-urls&gt;&lt;url&gt;&amp;lt;Go to ISI&amp;gt;://WOS:000266731800013&lt;/url&gt;&lt;/related-urls&gt;&lt;/urls&gt;&lt;isbn&gt;0950-1991&lt;/isbn&gt;&lt;work-type&gt;Article&lt;/work-type&gt;&lt;titles&gt;&lt;title&gt;Orthologs of Arabidopsis thaliana stomatal bHLH genes and regulation of stomatal development in grasses&lt;/title&gt;&lt;secondary-title&gt;Development&lt;/secondary-title&gt;&lt;alt-title&gt;Development&lt;/alt-title&gt;&lt;/titles&gt;&lt;pages&gt;2265-2276&lt;/pages&gt;&lt;number&gt;13&lt;/number&gt;&lt;contributors&gt;&lt;authors&gt;&lt;author&gt;Liu, T.&lt;/author&gt;&lt;author&gt;Ohashi-Ito, K.&lt;/author&gt;&lt;author&gt;Bergmann, D. C.&lt;/author&gt;&lt;/authors&gt;&lt;/contributors&gt;&lt;language&gt;English&lt;/language&gt;&lt;added-date format="utc"&gt;1353740162&lt;/added-date&gt;&lt;ref-type name="Journal Article"&gt;17&lt;/ref-type&gt;&lt;auth-address&gt;[Liu, Tie&amp;#xD;Ohashi-Ito, Kyoko&amp;#xD;Bergmann, Dominique C.] Stanford Univ, Dept Biol, Stanford, CA 94305 USA. [Ohashi-Ito, Kyoko] Univ Tokyo, Grad Sch Sci, Dept Biol Sci, Tokyo 1130033, Japan.&amp;#xD;Bergmann, DC (reprint author), Stanford Univ, Dept Biol, 371 Serra Mall, Stanford, CA 94305 USA.&amp;#xD;dbergmann@stanford.edu&lt;/auth-address&gt;&lt;rec-number&gt;42&lt;/rec-number&gt;&lt;last-updated-date format="utc"&gt;1353740162&lt;/last-updated-date&gt;&lt;accession-num&gt;WOS:000266731800013&lt;/accession-num&gt;&lt;electronic-resource-num&gt;10.1242/dev.032938&lt;/electronic-resource-num&gt;&lt;volume&gt;136&lt;/volume&gt;&lt;/record&gt;&lt;/Cite&gt;&lt;/EndNote&gt;</w:instrText>
      </w:r>
      <w:r w:rsidRPr="00D431D5">
        <w:rPr>
          <w:rFonts w:ascii="Arial" w:eastAsia="Times New Roman" w:hAnsi="Arial" w:cs="Arial"/>
          <w:b/>
          <w:color w:val="000000"/>
          <w:lang w:eastAsia="ja-JP"/>
        </w:rPr>
        <w:fldChar w:fldCharType="separate"/>
      </w:r>
      <w:r w:rsidRPr="00D431D5">
        <w:rPr>
          <w:rFonts w:ascii="Arial" w:eastAsia="Times New Roman" w:hAnsi="Arial" w:cs="Arial"/>
          <w:b/>
          <w:color w:val="000000"/>
          <w:lang w:eastAsia="ja-JP"/>
        </w:rPr>
        <w:t>(Liu et al., 2009)</w:t>
      </w:r>
      <w:r w:rsidRPr="00D431D5">
        <w:rPr>
          <w:rFonts w:ascii="Arial" w:eastAsia="Times New Roman" w:hAnsi="Arial" w:cs="Arial"/>
          <w:color w:val="000000"/>
          <w:lang w:eastAsia="ja-JP"/>
        </w:rPr>
        <w:fldChar w:fldCharType="end"/>
      </w:r>
      <w:r w:rsidRPr="00D431D5">
        <w:rPr>
          <w:rFonts w:ascii="Arial" w:eastAsia="Times New Roman" w:hAnsi="Arial" w:cs="Arial"/>
          <w:b/>
          <w:color w:val="000000"/>
          <w:lang w:eastAsia="ja-JP"/>
        </w:rPr>
        <w:t>.</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(a) </w:t>
      </w:r>
      <w:r w:rsidRPr="00D431D5">
        <w:rPr>
          <w:rFonts w:ascii="Arial" w:eastAsia="Times New Roman" w:hAnsi="Arial" w:cs="Arial"/>
          <w:color w:val="000000"/>
          <w:lang w:eastAsia="ja-JP"/>
        </w:rPr>
        <w:t xml:space="preserve">For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stomatal development, a protodermal cell first acquires early guard mother cell (GMC) identity, which is followed by a transition that culminates in what might be an incomplete symmetric division leading to the production of a single guard cell (red oval) and central pore </w:t>
      </w:r>
      <w:r w:rsidRPr="00D431D5">
        <w:rPr>
          <w:rFonts w:ascii="Arial" w:eastAsia="Times New Roman" w:hAnsi="Arial" w:cs="Arial"/>
          <w:color w:val="000000"/>
          <w:lang w:eastAsia="ja-JP"/>
        </w:rPr>
        <w:fldChar w:fldCharType="begin">
          <w:fldData xml:space="preserve">PEVuZE5vdGU+PENpdGU+PEF1dGhvcj5WYXRlbjwvQXV0aG9yPjxZZWFyPjIwMTI8L1llYXI+PElE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PEVuZE5vdGU+PENpdGU+PEF1dGhvcj5WYXRlbjwvQXV0aG9yPjxZZWFyPjIwMTI8L1llYXI+PElE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(Sack and Paolillo, 1985; Vaten and Bergmann, 2012)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It is unknown whether PpSMF1/2 or PpSCRM1/2/3/4 function during these processes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Under certain conditions the GMC can divide asymmetrically which appears to space stomatal lineage cells. It is also unknown as to whether PpSMF1/2 or PpSCRM1/2/3/4 genes are involved in regulating spacing divisions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(b) </w:t>
      </w:r>
      <w:r w:rsidRPr="00D431D5">
        <w:rPr>
          <w:rFonts w:ascii="Arial" w:eastAsia="Times New Roman" w:hAnsi="Arial" w:cs="Arial"/>
          <w:color w:val="000000"/>
          <w:lang w:eastAsia="ja-JP"/>
        </w:rPr>
        <w:t xml:space="preserve">In rice, where genes involved with stomatal development are partially understood it has been shown that </w:t>
      </w:r>
      <w:r w:rsidRPr="00D431D5">
        <w:rPr>
          <w:rFonts w:ascii="Arial" w:eastAsia="Times New Roman" w:hAnsi="Arial" w:cs="Arial"/>
          <w:i/>
          <w:color w:val="000000"/>
          <w:lang w:eastAsia="ja-JP"/>
        </w:rPr>
        <w:t xml:space="preserve">SMF </w:t>
      </w:r>
      <w:r w:rsidRPr="00D431D5">
        <w:rPr>
          <w:rFonts w:ascii="Arial" w:eastAsia="Times New Roman" w:hAnsi="Arial" w:cs="Arial"/>
          <w:color w:val="000000"/>
          <w:lang w:eastAsia="ja-JP"/>
        </w:rPr>
        <w:t xml:space="preserve">orthologues are present and in some cases </w:t>
      </w:r>
      <w:r w:rsidR="00945127">
        <w:rPr>
          <w:rFonts w:ascii="Arial" w:eastAsia="Times New Roman" w:hAnsi="Arial" w:cs="Arial"/>
          <w:color w:val="000000"/>
          <w:lang w:eastAsia="ja-JP"/>
        </w:rPr>
        <w:t xml:space="preserve">have been shown to be </w:t>
      </w:r>
      <w:r w:rsidRPr="00D431D5">
        <w:rPr>
          <w:rFonts w:ascii="Arial" w:eastAsia="Times New Roman" w:hAnsi="Arial" w:cs="Arial"/>
          <w:color w:val="000000"/>
          <w:lang w:eastAsia="ja-JP"/>
        </w:rPr>
        <w:t>function</w:t>
      </w:r>
      <w:r w:rsidR="00945127">
        <w:rPr>
          <w:rFonts w:ascii="Arial" w:eastAsia="Times New Roman" w:hAnsi="Arial" w:cs="Arial"/>
          <w:color w:val="000000"/>
          <w:lang w:eastAsia="ja-JP"/>
        </w:rPr>
        <w:t xml:space="preserve">al </w:t>
      </w:r>
      <w:r w:rsidR="00945127">
        <w:rPr>
          <w:rFonts w:ascii="Arial" w:eastAsia="Times New Roman" w:hAnsi="Arial" w:cs="Arial"/>
          <w:color w:val="000000"/>
          <w:lang w:eastAsia="ja-JP"/>
        </w:rPr>
        <w:fldChar w:fldCharType="begin"/>
      </w:r>
      <w:r w:rsidR="00945127">
        <w:rPr>
          <w:rFonts w:ascii="Arial" w:eastAsia="Times New Roman" w:hAnsi="Arial" w:cs="Arial"/>
          <w:color w:val="000000"/>
          <w:lang w:eastAsia="ja-JP"/>
        </w:rPr>
        <w:instrText xml:space="preserve"> ADDIN EN.CITE &lt;EndNote&gt;&lt;Cite&gt;&lt;Author&gt;Liu&lt;/Author&gt;&lt;Year&gt;2009&lt;/Year&gt;&lt;IDText&gt;Orthologs of Arabidopsis thaliana stomatal bHLH genes and regulation of stomatal development in grasses&lt;/IDText&gt;&lt;DisplayText&gt;(Liu et al., 2009)&lt;/DisplayText&gt;&lt;record&gt;&lt;dates&gt;&lt;pub-dates&gt;&lt;date&gt;Jul&lt;/date&gt;&lt;/pub-dates&gt;&lt;year&gt;2009&lt;/year&gt;&lt;/dates&gt;&lt;keywords&gt;&lt;keyword&gt;Stomata&lt;/keyword&gt;&lt;keyword&gt;Monocotyledon&lt;/keyword&gt;&lt;keyword&gt;Rice&lt;/keyword&gt;&lt;keyword&gt;Arabidopsis&lt;/keyword&gt;&lt;keyword&gt;Maize&lt;/keyword&gt;&lt;keyword&gt;bHLH&lt;/keyword&gt;&lt;keyword&gt;ASYMMETRIC CELL DIVISIONS&lt;/keyword&gt;&lt;keyword&gt;DIFFERENTIATION&lt;/keyword&gt;&lt;keyword&gt;PROTEIN&lt;/keyword&gt;&lt;keyword&gt;COMPLEX&lt;/keyword&gt;&lt;keyword&gt;PLANTS&lt;/keyword&gt;&lt;keyword&gt;RICE&lt;/keyword&gt;&lt;/keywords&gt;&lt;urls&gt;&lt;related-urls&gt;&lt;url&gt;&amp;lt;Go to ISI&amp;gt;://WOS:000266731800013&lt;/url&gt;&lt;/related-urls&gt;&lt;/urls&gt;&lt;isbn&gt;0950-1991&lt;/isbn&gt;&lt;work-type&gt;Article&lt;/work-type&gt;&lt;titles&gt;&lt;title&gt;Orthologs of Arabidopsis thaliana stomatal bHLH genes and regulation of stomatal development in grasses&lt;/title&gt;&lt;secondary-title&gt;Development&lt;/secondary-title&gt;&lt;alt-title&gt;Development&lt;/alt-title&gt;&lt;/titles&gt;&lt;pages&gt;2265-2276&lt;/pages&gt;&lt;number&gt;13&lt;/number&gt;&lt;contributors&gt;&lt;authors&gt;&lt;author&gt;Liu, T.&lt;/author&gt;&lt;author&gt;Ohashi-Ito, K.&lt;/author&gt;&lt;author&gt;Bergmann, D. C.&lt;/author&gt;&lt;/authors&gt;&lt;/contributors&gt;&lt;language&gt;English&lt;/language&gt;&lt;added-date format="utc"&gt;1353740162&lt;/added-date&gt;&lt;ref-type name="Journal Article"&gt;17&lt;/ref-type&gt;&lt;auth-address&gt;[Liu, Tie&amp;#xD;Ohashi-Ito, Kyoko&amp;#xD;Bergmann, Dominique C.] Stanford Univ, Dept Biol, Stanford, CA 94305 USA. [Ohashi-Ito, Kyoko] Univ Tokyo, Grad Sch Sci, Dept Biol Sci, Tokyo 1130033, Japan.&amp;#xD;Bergmann, DC (reprint author), Stanford Univ, Dept Biol, 371 Serra Mall, Stanford, CA 94305 USA.&amp;#xD;dbergmann@stanford.edu&lt;/auth-address&gt;&lt;rec-number&gt;42&lt;/rec-number&gt;&lt;last-updated-date format="utc"&gt;1353740162&lt;/last-updated-date&gt;&lt;accession-num&gt;WOS:000266731800013&lt;/accession-num&gt;&lt;electronic-resource-num&gt;10.1242/dev.032938&lt;/electronic-resource-num&gt;&lt;volume&gt;136&lt;/volume&gt;&lt;/record&gt;&lt;/Cite&gt;&lt;/EndNote&gt;</w:instrText>
      </w:r>
      <w:r w:rsidR="00945127">
        <w:rPr>
          <w:rFonts w:ascii="Arial" w:eastAsia="Times New Roman" w:hAnsi="Arial" w:cs="Arial"/>
          <w:color w:val="000000"/>
          <w:lang w:eastAsia="ja-JP"/>
        </w:rPr>
        <w:fldChar w:fldCharType="separate"/>
      </w:r>
      <w:r w:rsidR="00945127">
        <w:rPr>
          <w:rFonts w:ascii="Arial" w:eastAsia="Times New Roman" w:hAnsi="Arial" w:cs="Arial"/>
          <w:noProof/>
          <w:color w:val="000000"/>
          <w:lang w:eastAsia="ja-JP"/>
        </w:rPr>
        <w:t xml:space="preserve">(Liu </w:t>
      </w:r>
      <w:r w:rsidR="00945127">
        <w:rPr>
          <w:rFonts w:ascii="Arial" w:eastAsia="Times New Roman" w:hAnsi="Arial" w:cs="Arial"/>
          <w:noProof/>
          <w:color w:val="000000"/>
          <w:lang w:eastAsia="ja-JP"/>
        </w:rPr>
        <w:lastRenderedPageBreak/>
        <w:t>et al., 2009)</w:t>
      </w:r>
      <w:r w:rsidR="00945127">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Initially, cells may first be specified (double lined cell) which then undergo an asymmetric division to form a GMC, a process at least partially regulated by OsSPCH2. The GMC then begins to develop and the specialised subsidiary cells develop adjacently from asymmetric divisions in neighbouring cell files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&lt;EndNote&gt;&lt;Cite&gt;&lt;Author&gt;Luo&lt;/Author&gt;&lt;Year&gt;2012&lt;/Year&gt;&lt;IDText&gt;The development of stomata and other epidermal cells on the rice leaves&lt;/IDText&gt;&lt;DisplayText&gt;(Luo et al., 2012)&lt;/DisplayText&gt;&lt;record&gt;&lt;dates&gt;&lt;pub-dates&gt;&lt;date&gt;2012//&lt;/date&gt;&lt;/pub-dates&gt;&lt;year&gt;2012&lt;/year&gt;&lt;/dates&gt;&lt;urls&gt;&lt;related-urls&gt;&lt;url&gt;http://dx.doi.org/10.1007/s10535-012-0045-y&lt;/url&gt;&lt;/related-urls&gt;&lt;/urls&gt;&lt;isbn&gt;1573-8264&lt;/isbn&gt;&lt;titles&gt;&lt;title&gt;The development of stomata and other epidermal cells on the rice leaves&lt;/title&gt;&lt;secondary-title&gt;Biologia Plantarum&lt;/secondary-title&gt;&lt;/titles&gt;&lt;pages&gt;521-527&lt;/pages&gt;&lt;number&gt;3&lt;/number&gt;&lt;contributors&gt;&lt;authors&gt;&lt;author&gt;Luo, L.&lt;/author&gt;&lt;author&gt;Zhou, W. Q.&lt;/author&gt;&lt;author&gt;Liu, P.&lt;/author&gt;&lt;author&gt;Li, C. X.&lt;/author&gt;&lt;author&gt;Hou, S. W.&lt;/author&gt;&lt;/authors&gt;&lt;/contributors&gt;&lt;added-date format="utc"&gt;1459330670&lt;/added-date&gt;&lt;ref-type name="Journal Article"&gt;17&lt;/ref-type&gt;&lt;rec-number&gt;1268&lt;/rec-number&gt;&lt;last-updated-date format="utc"&gt;1459330670&lt;/last-updated-date&gt;&lt;electronic-resource-num&gt;10.1007/s10535-012-0045-y&lt;/electronic-resource-num&gt;&lt;volume&gt;56&lt;/volume&gt;&lt;/record&gt;&lt;/Cite&gt;&lt;/EndNote&gt;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(Luo et al., 2012)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Whether OsSPCH1 and OsMUTE1 are involved in such process are not known in rice. It has been shown that OsFAMA functions late on encourage guard cell identity once a symmetric division of the GMC has occurred. How and if OsSCRM1/2 operate during stomatal development has yet to be determined but related genes to appear to exist when phylogeny is considered (</w:t>
      </w:r>
      <w:r w:rsidRPr="00D431D5">
        <w:rPr>
          <w:rFonts w:ascii="Arial" w:eastAsia="Times New Roman" w:hAnsi="Arial" w:cs="Arial"/>
          <w:b/>
          <w:color w:val="000000"/>
          <w:lang w:eastAsia="ja-JP"/>
        </w:rPr>
        <w:t>Fig. 8a</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xml:space="preserve">) In Arabidopsis (See also </w:t>
      </w:r>
      <w:r w:rsidRPr="00D431D5">
        <w:rPr>
          <w:rFonts w:ascii="Arial" w:eastAsia="Times New Roman" w:hAnsi="Arial" w:cs="Arial"/>
          <w:b/>
          <w:color w:val="000000"/>
          <w:lang w:eastAsia="ja-JP"/>
        </w:rPr>
        <w:t xml:space="preserve">Fig. </w:t>
      </w:r>
      <w:r w:rsidRPr="00D431D5">
        <w:rPr>
          <w:rFonts w:ascii="Arial" w:eastAsia="Times New Roman" w:hAnsi="Arial" w:cs="Arial"/>
          <w:color w:val="000000"/>
          <w:lang w:eastAsia="ja-JP"/>
        </w:rPr>
        <w:t xml:space="preserve">1), MMC cells are specified and encouraged to undergo an asymmetric entry division via the actions of Arabidopsis SPCH and SCRM/2. Such a division promotes the formation of a smaller meristemoid and a larger SLGC </w:t>
      </w:r>
      <w:r w:rsidRPr="00D431D5">
        <w:rPr>
          <w:rFonts w:ascii="Arial" w:eastAsia="Times New Roman" w:hAnsi="Arial" w:cs="Arial"/>
          <w:color w:val="000000"/>
          <w:lang w:eastAsia="ja-JP"/>
        </w:rPr>
        <w:fldChar w:fldCharType="begin">
          <w:fldData xml:space="preserve">PEVuZE5vdGU+PENpdGU+PEF1dGhvcj5NYWNBbGlzdGVyPC9BdXRob3I+PFllYXI+MjAwNzwvWWVh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PEVuZE5vdGU+PENpdGU+PEF1dGhvcj5NYWNBbGlzdGVyPC9BdXRob3I+PFllYXI+MjAwNzwvWWVh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(Kanaoka et al., 2008; MacAlister et al., 2007; Zhao and Sack, 1999)</w:t>
      </w:r>
      <w:r w:rsidRPr="00D431D5">
        <w:rPr>
          <w:rFonts w:ascii="Arial" w:eastAsia="Times New Roman" w:hAnsi="Arial" w:cs="Arial"/>
          <w:color w:val="000000"/>
          <w:lang w:eastAsia="ja-JP"/>
        </w:rPr>
        <w:fldChar w:fldCharType="end"/>
      </w:r>
      <w:r w:rsidRPr="00D431D5">
        <w:rPr>
          <w:rFonts w:ascii="Arial" w:eastAsia="Times New Roman" w:hAnsi="Arial" w:cs="Arial"/>
          <w:i/>
          <w:color w:val="000000"/>
          <w:lang w:eastAsia="ja-JP"/>
        </w:rPr>
        <w:t>.</w:t>
      </w:r>
      <w:r w:rsidRPr="00D431D5">
        <w:rPr>
          <w:rFonts w:ascii="Arial" w:eastAsia="Times New Roman" w:hAnsi="Arial" w:cs="Arial"/>
          <w:color w:val="000000"/>
          <w:lang w:eastAsia="ja-JP"/>
        </w:rPr>
        <w:t xml:space="preserve"> The SLGC can also undergo spacing asymmetric divisions which generate satellite meristemoids again via the actions of SPCH and SCRM/2. The resulting meristemoids can then either be renewed via amplification divisions via the actions of SPCH-SCRM/2 (See also </w:t>
      </w:r>
      <w:r w:rsidRPr="00D431D5">
        <w:rPr>
          <w:rFonts w:ascii="Arial" w:eastAsia="Times New Roman" w:hAnsi="Arial" w:cs="Arial"/>
          <w:b/>
          <w:color w:val="000000"/>
          <w:lang w:eastAsia="ja-JP"/>
        </w:rPr>
        <w:t>Fig. 1</w:t>
      </w:r>
      <w:r w:rsidRPr="00D431D5">
        <w:rPr>
          <w:rFonts w:ascii="Arial" w:eastAsia="Times New Roman" w:hAnsi="Arial" w:cs="Arial"/>
          <w:color w:val="000000"/>
          <w:lang w:eastAsia="ja-JP"/>
        </w:rPr>
        <w:t xml:space="preserve">) or can transition to a GMC via the actions of MUTE-SCRM/2 </w:t>
      </w:r>
      <w:r w:rsidRPr="00D431D5">
        <w:rPr>
          <w:rFonts w:ascii="Arial" w:eastAsia="Times New Roman" w:hAnsi="Arial" w:cs="Arial"/>
          <w:color w:val="000000"/>
          <w:lang w:eastAsia="ja-JP"/>
        </w:rPr>
        <w:fldChar w:fldCharType="begin">
          <w:fldData xml:space="preserve">PEVuZE5vdGU+PENpdGU+PEF1dGhvcj5aaGFvPC9BdXRob3I+PFllYXI+MTk5OTwvWWVhcj48SURU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=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PEVuZE5vdGU+PENpdGU+PEF1dGhvcj5aaGFvPC9BdXRob3I+PFllYXI+MTk5OTwvWWVhcj48SURU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=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(Kanaoka et al., 2008; MacAlister et al., 2007; Pillitteri et al., 2007; Zhao and Sack, 1999)</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The penultimate stage of stomatal development is overseen by FAMA-SCRM/2 heterodimers which together permit the correct timing of the final symmetric cell division and identity changes that leads to the formation of a pair of guard cells </w:t>
      </w:r>
      <w:r w:rsidRPr="00D431D5">
        <w:rPr>
          <w:rFonts w:ascii="Arial" w:eastAsia="Times New Roman" w:hAnsi="Arial" w:cs="Arial"/>
          <w:color w:val="000000"/>
          <w:lang w:eastAsia="ja-JP"/>
        </w:rPr>
        <w:fldChar w:fldCharType="begin">
          <w:fldData xml:space="preserve">PEVuZE5vdGU+PENpdGU+PEF1dGhvcj5PaGFzaGktSXRvPC9BdXRob3I+PFllYXI+MjAwNjwvWWVh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PEVuZE5vdGU+PENpdGU+PEF1dGhvcj5PaGFzaGktSXRvPC9BdXRob3I+PFllYXI+MjAwNjwvWWVh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(Kanaoka et al., 2008; Ohashi-Ito and Bergmann, 2006)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Cells with colouring represent: MMC, green; meristemoid, yellow; GMC, orange; guard cell/s, red; subsidiary cells; dark blue. </w:t>
      </w:r>
    </w:p>
    <w:p w14:paraId="745DD88E"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Interestingly it has very recently been shown in another grass </w:t>
      </w:r>
      <w:r w:rsidRPr="00D431D5">
        <w:rPr>
          <w:rFonts w:ascii="Arial" w:eastAsia="Times New Roman" w:hAnsi="Arial" w:cs="Arial"/>
          <w:i/>
          <w:color w:val="000000"/>
          <w:lang w:eastAsia="ja-JP"/>
        </w:rPr>
        <w:t xml:space="preserve">Brachypodium distachyon </w:t>
      </w:r>
      <w:r w:rsidRPr="00D431D5">
        <w:rPr>
          <w:rFonts w:ascii="Arial" w:eastAsia="Times New Roman" w:hAnsi="Arial" w:cs="Arial"/>
          <w:color w:val="000000"/>
          <w:lang w:eastAsia="ja-JP"/>
        </w:rPr>
        <w:t xml:space="preserve">that two orthologues of the </w:t>
      </w:r>
      <w:r w:rsidRPr="00D431D5">
        <w:rPr>
          <w:rFonts w:ascii="Arial" w:eastAsia="Times New Roman" w:hAnsi="Arial" w:cs="Arial"/>
          <w:i/>
          <w:color w:val="000000"/>
          <w:lang w:eastAsia="ja-JP"/>
        </w:rPr>
        <w:t>OsSCRMs</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 xml:space="preserve">BdICE1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BdSCRM2</w:t>
      </w:r>
      <w:r w:rsidRPr="00D431D5">
        <w:rPr>
          <w:rFonts w:ascii="Arial" w:eastAsia="Times New Roman" w:hAnsi="Arial" w:cs="Arial"/>
          <w:color w:val="000000"/>
          <w:lang w:eastAsia="ja-JP"/>
        </w:rPr>
        <w:t xml:space="preserve"> function during stomatal development but rather than acting redundantly as in Arabidopsis, the </w:t>
      </w:r>
      <w:r w:rsidRPr="00D431D5">
        <w:rPr>
          <w:rFonts w:ascii="Arial" w:eastAsia="Times New Roman" w:hAnsi="Arial" w:cs="Arial"/>
          <w:i/>
          <w:color w:val="000000"/>
          <w:lang w:eastAsia="ja-JP"/>
        </w:rPr>
        <w:t xml:space="preserve">BdSCRMs </w:t>
      </w:r>
      <w:r w:rsidRPr="00D431D5">
        <w:rPr>
          <w:rFonts w:ascii="Arial" w:eastAsia="Times New Roman" w:hAnsi="Arial" w:cs="Arial"/>
          <w:color w:val="000000"/>
          <w:lang w:eastAsia="ja-JP"/>
        </w:rPr>
        <w:t xml:space="preserve">function at distinct points during stomatal development, with </w:t>
      </w:r>
      <w:r w:rsidRPr="00D431D5">
        <w:rPr>
          <w:rFonts w:ascii="Arial" w:eastAsia="Times New Roman" w:hAnsi="Arial" w:cs="Arial"/>
          <w:i/>
          <w:color w:val="000000"/>
          <w:lang w:eastAsia="ja-JP"/>
        </w:rPr>
        <w:t xml:space="preserve">BdICE1 </w:t>
      </w:r>
      <w:r w:rsidRPr="00D431D5">
        <w:rPr>
          <w:rFonts w:ascii="Arial" w:eastAsia="Times New Roman" w:hAnsi="Arial" w:cs="Arial"/>
          <w:color w:val="000000"/>
          <w:lang w:eastAsia="ja-JP"/>
        </w:rPr>
        <w:t xml:space="preserve">function during the asymmetric division stage and </w:t>
      </w:r>
      <w:r w:rsidRPr="00D431D5">
        <w:rPr>
          <w:rFonts w:ascii="Arial" w:eastAsia="Times New Roman" w:hAnsi="Arial" w:cs="Arial"/>
          <w:i/>
          <w:color w:val="000000"/>
          <w:lang w:eastAsia="ja-JP"/>
        </w:rPr>
        <w:t xml:space="preserve">BdSCRM2 </w:t>
      </w:r>
      <w:r w:rsidRPr="00D431D5">
        <w:rPr>
          <w:rFonts w:ascii="Arial" w:eastAsia="Times New Roman" w:hAnsi="Arial" w:cs="Arial"/>
          <w:color w:val="000000"/>
          <w:lang w:eastAsia="ja-JP"/>
        </w:rPr>
        <w:t xml:space="preserve">functioning to confer guard cell identify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&lt;EndNote&gt;&lt;Cite&gt;&lt;Author&gt;Raissig&lt;/Author&gt;&lt;Year&gt;2016&lt;/Year&gt;&lt;IDText&gt;Grasses use an alternatively wired bHLH transcription factor network to establish stomatal identity&lt;/IDText&gt;&lt;DisplayText&gt;(Raissig et al., 2016)&lt;/DisplayText&gt;&lt;record&gt;&lt;urls&gt;&lt;related-urls&gt;&lt;url&gt;http://www.pnas.org/content/113/29/8326.abstract&lt;/url&gt;&lt;/related-urls&gt;&lt;/urls&gt;&lt;titles&gt;&lt;title&gt;Grasses use an alternatively wired bHLH transcription factor network to establish stomatal identity&lt;/title&gt;&lt;secondary-title&gt;Proceedings of the National Academy of Sciences&lt;/secondary-title&gt;&lt;/titles&gt;&lt;pages&gt;8326-8331&lt;/pages&gt;&lt;number&gt;29&lt;/number&gt;&lt;contributors&gt;&lt;authors&gt;&lt;author&gt;Raissig, Michael T.&lt;/author&gt;&lt;author&gt;Abrash, Emily&lt;/author&gt;&lt;author&gt;Bettadapur, Akhila&lt;/author&gt;&lt;author&gt;Vogel, John P.&lt;/author&gt;&lt;author&gt;Bergmann, Dominique C.&lt;/author&gt;&lt;/authors&gt;&lt;/contributors&gt;&lt;added-date format="utc"&gt;1470228710&lt;/added-date&gt;&lt;ref-type name="Journal Article"&gt;17&lt;/ref-type&gt;&lt;dates&gt;&lt;year&gt;2016&lt;/year&gt;&lt;/dates&gt;&lt;rec-number&gt;1330&lt;/rec-number&gt;&lt;last-updated-date format="utc"&gt;1470228710&lt;/last-updated-date&gt;&lt;volume&gt;113&lt;/volume&gt;&lt;/record&gt;&lt;/Cite&gt;&lt;/EndNote&gt;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(Raissig et al., 2016)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Raissig and colleagues also showed that </w:t>
      </w:r>
      <w:r w:rsidRPr="00D431D5">
        <w:rPr>
          <w:rFonts w:ascii="Arial" w:eastAsia="Times New Roman" w:hAnsi="Arial" w:cs="Arial"/>
          <w:i/>
          <w:color w:val="000000"/>
          <w:lang w:eastAsia="ja-JP"/>
        </w:rPr>
        <w:t xml:space="preserve">B. distachyon </w:t>
      </w:r>
      <w:r w:rsidRPr="00D431D5">
        <w:rPr>
          <w:rFonts w:ascii="Arial" w:eastAsia="Times New Roman" w:hAnsi="Arial" w:cs="Arial"/>
          <w:color w:val="000000"/>
          <w:lang w:eastAsia="ja-JP"/>
        </w:rPr>
        <w:t>has</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orthologues of the </w:t>
      </w:r>
      <w:r w:rsidRPr="00D431D5">
        <w:rPr>
          <w:rFonts w:ascii="Arial" w:eastAsia="Times New Roman" w:hAnsi="Arial" w:cs="Arial"/>
          <w:i/>
          <w:color w:val="000000"/>
          <w:lang w:eastAsia="ja-JP"/>
        </w:rPr>
        <w:t>OsSPCHs</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 xml:space="preserve">BdSPCH1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BdSPCH2</w:t>
      </w:r>
      <w:r w:rsidRPr="00D431D5">
        <w:rPr>
          <w:rFonts w:ascii="Arial" w:eastAsia="Times New Roman" w:hAnsi="Arial" w:cs="Arial"/>
          <w:color w:val="000000"/>
          <w:lang w:eastAsia="ja-JP"/>
        </w:rPr>
        <w:t xml:space="preserve">, which are partially redundant, which like </w:t>
      </w:r>
      <w:r w:rsidRPr="00D431D5">
        <w:rPr>
          <w:rFonts w:ascii="Arial" w:eastAsia="Times New Roman" w:hAnsi="Arial" w:cs="Arial"/>
          <w:i/>
          <w:color w:val="000000"/>
          <w:lang w:eastAsia="ja-JP"/>
        </w:rPr>
        <w:t xml:space="preserve">OsSPCH2 </w:t>
      </w:r>
      <w:r w:rsidRPr="00D431D5">
        <w:rPr>
          <w:rFonts w:ascii="Arial" w:eastAsia="Times New Roman" w:hAnsi="Arial" w:cs="Arial"/>
          <w:color w:val="000000"/>
          <w:lang w:eastAsia="ja-JP"/>
        </w:rPr>
        <w:t>primarily act in establishing cell fate via regulation over entry asymmetric divisions. In Arabidopsis, regulation over the different stages of stomatal development is considerably better understood (</w:t>
      </w:r>
      <w:r w:rsidRPr="00D431D5">
        <w:rPr>
          <w:rFonts w:ascii="Arial" w:eastAsia="Times New Roman" w:hAnsi="Arial" w:cs="Arial"/>
          <w:b/>
          <w:color w:val="000000"/>
          <w:lang w:eastAsia="ja-JP"/>
        </w:rPr>
        <w:t>Fig. 9c</w:t>
      </w:r>
      <w:r w:rsidRPr="00D431D5">
        <w:rPr>
          <w:rFonts w:ascii="Arial" w:eastAsia="Times New Roman" w:hAnsi="Arial" w:cs="Arial"/>
          <w:color w:val="000000"/>
          <w:lang w:eastAsia="ja-JP"/>
        </w:rPr>
        <w:t xml:space="preserve">, sell also </w:t>
      </w:r>
      <w:r w:rsidRPr="00D431D5">
        <w:rPr>
          <w:rFonts w:ascii="Arial" w:eastAsia="Times New Roman" w:hAnsi="Arial" w:cs="Arial"/>
          <w:b/>
          <w:color w:val="000000"/>
          <w:lang w:eastAsia="ja-JP"/>
        </w:rPr>
        <w:t>Fig 1</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fldChar w:fldCharType="begin">
          <w:fldData xml:space="preserve">PEVuZE5vdGU+PENpdGU+PEF1dGhvcj5TaW1tb25zPC9BdXRob3I+PFllYXI+MjAxNjwvWWVhcj48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PEVuZE5vdGU+PENpdGU+PEF1dGhvcj5TaW1tb25zPC9BdXRob3I+PFllYXI+MjAxNjwvWWVhcj48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(Pillitteri et al., 2011; Pillitteri and Torii, 2012; Simmons and Bergmann, 2016)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Briefly, the SPCH-SCRM/2 specified meristemoid mother cell (MMC) undergoes an asymmetric entry divisions to produce meristemoid and a stomatal lineage ground cell (SLGC) </w:t>
      </w:r>
      <w:r w:rsidRPr="00D431D5">
        <w:rPr>
          <w:rFonts w:ascii="Arial" w:eastAsia="Times New Roman" w:hAnsi="Arial" w:cs="Arial"/>
          <w:color w:val="000000"/>
          <w:lang w:eastAsia="ja-JP"/>
        </w:rPr>
        <w:fldChar w:fldCharType="begin">
          <w:fldData xml:space="preserve">PEVuZE5vdGU+PENpdGU+PEF1dGhvcj5ZYW5nPC9BdXRob3I+PFllYXI+MjAxNDwvWWVhcj48SURU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PEVuZE5vdGU+PENpdGU+PEF1dGhvcj5ZYW5nPC9BdXRob3I+PFllYXI+MjAxNDwvWWVhcj48SURU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(MacAlister et al., 2007; Yang et al., 2014b)</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Meristemoids can undergo amplifying divisions via the actions of SPCH-SCRM/2. SLGCs can either undergo </w:t>
      </w:r>
      <w:r w:rsidRPr="00D431D5">
        <w:rPr>
          <w:rFonts w:ascii="Arial" w:eastAsia="Times New Roman" w:hAnsi="Arial" w:cs="Arial"/>
          <w:color w:val="000000"/>
          <w:lang w:eastAsia="ja-JP"/>
        </w:rPr>
        <w:lastRenderedPageBreak/>
        <w:t xml:space="preserve">asymmetric spacing divisions to yield satellite meristemoids or de-differentiate into pavement cells. A MUTE-SCRM/2 heterodimer can then advance meristemoids to the GMC stage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&lt;EndNote&gt;&lt;Cite&gt;&lt;Author&gt;Pillitteri&lt;/Author&gt;&lt;Year&gt;2007&lt;/Year&gt;&lt;IDText&gt;Termination of asymmetric cell division and differentiation of stomata&lt;/IDText&gt;&lt;DisplayText&gt;(Pillitteri et al., 2007)&lt;/DisplayText&gt;&lt;record&gt;&lt;dates&gt;&lt;pub-dates&gt;&lt;date&gt;Feb&lt;/date&gt;&lt;/pub-dates&gt;&lt;year&gt;2007&lt;/year&gt;&lt;/dates&gt;&lt;urls&gt;&lt;related-urls&gt;&lt;url&gt;&amp;lt;Go to ISI&amp;gt;://WOS:000243867300035&lt;/url&gt;&lt;/related-urls&gt;&lt;/urls&gt;&lt;isbn&gt;0028-0836&lt;/isbn&gt;&lt;titles&gt;&lt;title&gt;Termination of asymmetric cell division and differentiation of stomata&lt;/title&gt;&lt;secondary-title&gt;Nature&lt;/secondary-title&gt;&lt;/titles&gt;&lt;pages&gt;501-505&lt;/pages&gt;&lt;number&gt;7127&lt;/number&gt;&lt;contributors&gt;&lt;authors&gt;&lt;author&gt;Pillitteri, L. J.&lt;/author&gt;&lt;author&gt;Sloan, D. B.&lt;/author&gt;&lt;author&gt;Bogenschutz, N. L.&lt;/author&gt;&lt;author&gt;Torii, K. U.&lt;/author&gt;&lt;/authors&gt;&lt;/contributors&gt;&lt;added-date format="utc"&gt;1380382218&lt;/added-date&gt;&lt;ref-type name="Journal Article"&gt;17&lt;/ref-type&gt;&lt;rec-number&gt;129&lt;/rec-number&gt;&lt;last-updated-date format="utc"&gt;1380382218&lt;/last-updated-date&gt;&lt;accession-num&gt;WOS:000243867300035&lt;/accession-num&gt;&lt;electronic-resource-num&gt;10.1038/nature05467&lt;/electronic-resource-num&gt;&lt;volume&gt;445&lt;/volume&gt;&lt;/record&gt;&lt;/Cite&gt;&lt;/EndNote&gt;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(Pillitteri et al., 2007)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At the penultimate stage, a FAMA-SCRM/2 overseas the correct formation of a pair of differentiated guard cells from the parental GMC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&lt;EndNote&gt;&lt;Cite&gt;&lt;Author&gt;Ohashi-Ito&lt;/Author&gt;&lt;Year&gt;2006&lt;/Year&gt;&lt;IDText&gt;Arabidopsis FAMA controls the final proliferation/differentiation switch during stomatal development&lt;/IDText&gt;&lt;DisplayText&gt;(Ohashi-Ito and Bergmann, 2006)&lt;/DisplayText&gt;&lt;record&gt;&lt;dates&gt;&lt;pub-dates&gt;&lt;date&gt;Oct&lt;/date&gt;&lt;/pub-dates&gt;&lt;year&gt;2006&lt;/year&gt;&lt;/dates&gt;&lt;keywords&gt;&lt;keyword&gt;TRANSCRIPTION FACTOR FAMILY&lt;/keyword&gt;&lt;keyword&gt;REPRESSION DOMAIN&lt;/keyword&gt;&lt;keyword&gt;CELL LINEAGE&lt;/keyword&gt;&lt;keyword&gt;MAPKK&lt;/keyword&gt;&lt;keyword&gt;KINASE&lt;/keyword&gt;&lt;keyword&gt;MYOD FAMILY&lt;/keyword&gt;&lt;keyword&gt;GENE&lt;/keyword&gt;&lt;keyword&gt;PROTEINS&lt;/keyword&gt;&lt;keyword&gt;DIFFERENTIATION&lt;/keyword&gt;&lt;keyword&gt;THALIANA&lt;/keyword&gt;&lt;keyword&gt;EXPRESSION&lt;/keyword&gt;&lt;/keywords&gt;&lt;urls&gt;&lt;related-urls&gt;&lt;url&gt;&amp;lt;Go to ISI&amp;gt;://WOS:000241818300008&lt;/url&gt;&lt;/related-urls&gt;&lt;/urls&gt;&lt;isbn&gt;1040-4651&lt;/isbn&gt;&lt;work-type&gt;Article&lt;/work-type&gt;&lt;titles&gt;&lt;title&gt;Arabidopsis FAMA controls the final proliferation/differentiation switch during stomatal development&lt;/title&gt;&lt;secondary-title&gt;Plant Cell&lt;/secondary-title&gt;&lt;alt-title&gt;Plant Cell&lt;/alt-title&gt;&lt;/titles&gt;&lt;pages&gt;2493-2505&lt;/pages&gt;&lt;number&gt;10&lt;/number&gt;&lt;contributors&gt;&lt;authors&gt;&lt;author&gt;Ohashi-Ito, K.&lt;/author&gt;&lt;author&gt;Bergmann, D. C.&lt;/author&gt;&lt;/authors&gt;&lt;/contributors&gt;&lt;language&gt;English&lt;/language&gt;&lt;added-date format="utc"&gt;1354198528&lt;/added-date&gt;&lt;ref-type name="Journal Article"&gt;17&lt;/ref-type&gt;&lt;auth-address&gt;Stanford Univ, Dept Biol Sci, Stanford, CA 94305 USA.&amp;#xD;Bergmann, DC (reprint author), Stanford Univ, Dept Biol Sci, Stanford, CA 94305 USA.&amp;#xD;dbergmann@stanford.edu&lt;/auth-address&gt;&lt;rec-number&gt;64&lt;/rec-number&gt;&lt;last-updated-date format="utc"&gt;1354198528&lt;/last-updated-date&gt;&lt;accession-num&gt;WOS:000241818300008&lt;/accession-num&gt;&lt;electronic-resource-num&gt;10.1105/tpc.106.046136&lt;/electronic-resource-num&gt;&lt;volume&gt;18&lt;/volume&gt;&lt;/record&gt;&lt;/Cite&gt;&lt;/EndNote&gt;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(Ohashi-Ito and Bergmann, 2006)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t>
      </w:r>
    </w:p>
    <w:p w14:paraId="4F49C376" w14:textId="77777777" w:rsidR="00D431D5" w:rsidRPr="00D431D5" w:rsidRDefault="00D431D5" w:rsidP="00D431D5">
      <w:pPr>
        <w:tabs>
          <w:tab w:val="left" w:pos="6663"/>
        </w:tabs>
        <w:spacing w:after="160" w:line="360" w:lineRule="auto"/>
        <w:rPr>
          <w:rFonts w:ascii="Arial" w:eastAsia="Times New Roman" w:hAnsi="Arial" w:cs="Arial"/>
          <w:color w:val="000000"/>
          <w:u w:val="single"/>
          <w:lang w:eastAsia="ja-JP"/>
        </w:rPr>
      </w:pPr>
      <w:r w:rsidRPr="00D431D5">
        <w:rPr>
          <w:rFonts w:ascii="Arial" w:eastAsia="Times New Roman" w:hAnsi="Arial" w:cs="Arial"/>
          <w:b/>
          <w:color w:val="000000"/>
          <w:u w:val="single"/>
          <w:lang w:eastAsia="ja-JP"/>
        </w:rPr>
        <w:t xml:space="preserve">3.2.7 </w:t>
      </w:r>
      <w:r w:rsidRPr="00D431D5">
        <w:rPr>
          <w:rFonts w:ascii="Arial" w:eastAsia="Times New Roman" w:hAnsi="Arial" w:cs="Arial"/>
          <w:i/>
          <w:color w:val="000000"/>
          <w:u w:val="single"/>
          <w:lang w:eastAsia="ja-JP"/>
        </w:rPr>
        <w:t>PpSMF1:</w:t>
      </w:r>
      <w:r w:rsidRPr="00D431D5">
        <w:rPr>
          <w:rFonts w:ascii="Arial" w:eastAsia="Times New Roman" w:hAnsi="Arial" w:cs="Arial"/>
          <w:color w:val="000000"/>
          <w:u w:val="single"/>
          <w:lang w:eastAsia="ja-JP"/>
        </w:rPr>
        <w:t xml:space="preserve"> an orthologous gene to vascular land plant </w:t>
      </w:r>
      <w:r w:rsidRPr="00D431D5">
        <w:rPr>
          <w:rFonts w:ascii="Arial" w:eastAsia="Times New Roman" w:hAnsi="Arial" w:cs="Arial"/>
          <w:i/>
          <w:color w:val="000000"/>
          <w:u w:val="single"/>
          <w:lang w:eastAsia="ja-JP"/>
        </w:rPr>
        <w:t>SPCH</w:t>
      </w:r>
      <w:r w:rsidRPr="00D431D5">
        <w:rPr>
          <w:rFonts w:ascii="Arial" w:eastAsia="Times New Roman" w:hAnsi="Arial" w:cs="Arial"/>
          <w:color w:val="000000"/>
          <w:u w:val="single"/>
          <w:lang w:eastAsia="ja-JP"/>
        </w:rPr>
        <w:t xml:space="preserve">, </w:t>
      </w:r>
      <w:r w:rsidRPr="00D431D5">
        <w:rPr>
          <w:rFonts w:ascii="Arial" w:eastAsia="Times New Roman" w:hAnsi="Arial" w:cs="Arial"/>
          <w:i/>
          <w:color w:val="000000"/>
          <w:u w:val="single"/>
          <w:lang w:eastAsia="ja-JP"/>
        </w:rPr>
        <w:t>MUTE</w:t>
      </w:r>
      <w:r w:rsidRPr="00D431D5">
        <w:rPr>
          <w:rFonts w:ascii="Arial" w:eastAsia="Times New Roman" w:hAnsi="Arial" w:cs="Arial"/>
          <w:color w:val="000000"/>
          <w:u w:val="single"/>
          <w:lang w:eastAsia="ja-JP"/>
        </w:rPr>
        <w:t xml:space="preserve"> and </w:t>
      </w:r>
      <w:r w:rsidRPr="00D431D5">
        <w:rPr>
          <w:rFonts w:ascii="Arial" w:eastAsia="Times New Roman" w:hAnsi="Arial" w:cs="Arial"/>
          <w:i/>
          <w:color w:val="000000"/>
          <w:u w:val="single"/>
          <w:lang w:eastAsia="ja-JP"/>
        </w:rPr>
        <w:t>FAMA</w:t>
      </w:r>
      <w:r w:rsidRPr="00D431D5">
        <w:rPr>
          <w:rFonts w:ascii="Arial" w:eastAsia="Times New Roman" w:hAnsi="Arial" w:cs="Arial"/>
          <w:color w:val="000000"/>
          <w:u w:val="single"/>
          <w:lang w:eastAsia="ja-JP"/>
        </w:rPr>
        <w:t xml:space="preserve"> that is essential for the formation of stomata in </w:t>
      </w:r>
      <w:r w:rsidRPr="00D431D5">
        <w:rPr>
          <w:rFonts w:ascii="Arial" w:eastAsia="Times New Roman" w:hAnsi="Arial" w:cs="Arial"/>
          <w:i/>
          <w:color w:val="000000"/>
          <w:u w:val="single"/>
          <w:lang w:eastAsia="ja-JP"/>
        </w:rPr>
        <w:t>P. patens</w:t>
      </w:r>
    </w:p>
    <w:p w14:paraId="5BDC53B7"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To study the functions of the previously identified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 xml:space="preserve">genes knock-out (KO) mutant lines of both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 xml:space="preserve">were produced via homologous recombination </w:t>
      </w:r>
      <w:r w:rsidRPr="00D431D5">
        <w:rPr>
          <w:rFonts w:ascii="Arial" w:eastAsia="Times New Roman" w:hAnsi="Arial" w:cs="Arial"/>
          <w:color w:val="000000"/>
          <w:lang w:eastAsia="ja-JP"/>
        </w:rPr>
        <w:fldChar w:fldCharType="begin">
          <w:fldData xml:space="preserve">PEVuZE5vdGU+PENpdGU+PEF1dGhvcj5LYW1pc3VnaTwvQXV0aG9yPjxZZWFyPjIwMDY8L1llYXI+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PEVuZE5vdGU+PENpdGU+PEF1dGhvcj5LYW1pc3VnaTwvQXV0aG9yPjxZZWFyPjIwMDY8L1llYXI+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(Chater et al., 2016; Kamisugi et al., 2006)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For each of the three independent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mutant KO lines, genomic template PCR was performed to show that targeted integration of the transgene had occurred at the 5’ and 3’ end regions of the </w:t>
      </w:r>
      <w:r w:rsidRPr="00D431D5">
        <w:rPr>
          <w:rFonts w:ascii="Arial" w:eastAsia="Times New Roman" w:hAnsi="Arial" w:cs="Arial"/>
          <w:i/>
          <w:color w:val="000000"/>
          <w:lang w:eastAsia="ja-JP"/>
        </w:rPr>
        <w:t>SMF1</w:t>
      </w:r>
      <w:r w:rsidRPr="00D431D5">
        <w:rPr>
          <w:rFonts w:ascii="Arial" w:eastAsia="Times New Roman" w:hAnsi="Arial" w:cs="Arial"/>
          <w:color w:val="000000"/>
          <w:lang w:eastAsia="ja-JP"/>
        </w:rPr>
        <w:t xml:space="preserve"> locus in the mutant lines (</w:t>
      </w:r>
      <w:r w:rsidRPr="00D431D5">
        <w:rPr>
          <w:rFonts w:ascii="Arial" w:eastAsia="Times New Roman" w:hAnsi="Arial" w:cs="Arial"/>
          <w:b/>
          <w:color w:val="000000"/>
          <w:lang w:eastAsia="ja-JP"/>
        </w:rPr>
        <w:t xml:space="preserve">Fig. 10 </w:t>
      </w:r>
      <w:r w:rsidRPr="00D431D5">
        <w:rPr>
          <w:rFonts w:ascii="Arial" w:eastAsia="Times New Roman" w:hAnsi="Arial" w:cs="Arial"/>
          <w:color w:val="000000"/>
          <w:lang w:eastAsia="ja-JP"/>
        </w:rPr>
        <w:t>and</w:t>
      </w:r>
      <w:r w:rsidRPr="00D431D5">
        <w:rPr>
          <w:rFonts w:ascii="Arial" w:eastAsia="Times New Roman" w:hAnsi="Arial" w:cs="Arial"/>
          <w:b/>
          <w:color w:val="000000"/>
          <w:lang w:eastAsia="ja-JP"/>
        </w:rPr>
        <w:t xml:space="preserve"> Fig. 11a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xml:space="preserve">). To verify the absence of a transcript in these samples, RT-PCR was also performed using cDNA derived from sporophyte and gametophyte tissue which targeted the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gene. For each cDNA sample small rubisco sub-unit (RbcS) controls were also run (</w:t>
      </w:r>
      <w:r w:rsidRPr="00D431D5">
        <w:rPr>
          <w:rFonts w:ascii="Arial" w:eastAsia="Times New Roman" w:hAnsi="Arial" w:cs="Arial"/>
          <w:b/>
          <w:color w:val="000000"/>
          <w:lang w:eastAsia="ja-JP"/>
        </w:rPr>
        <w:t>Fig. 11c</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 Of the 3 mutant lines with phenotypes that were produced, the two which displayed no excess bands during genomic PCR testing (</w:t>
      </w:r>
      <w:r w:rsidRPr="00D431D5">
        <w:rPr>
          <w:rFonts w:ascii="Arial" w:eastAsia="Times New Roman" w:hAnsi="Arial" w:cs="Arial"/>
          <w:i/>
          <w:color w:val="000000"/>
          <w:lang w:eastAsia="ja-JP"/>
        </w:rPr>
        <w:t xml:space="preserve">ppsmf1-12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ppsmf1-14</w:t>
      </w:r>
      <w:r w:rsidRPr="00D431D5">
        <w:rPr>
          <w:rFonts w:ascii="Arial" w:eastAsia="Times New Roman" w:hAnsi="Arial" w:cs="Arial"/>
          <w:color w:val="000000"/>
          <w:lang w:eastAsia="ja-JP"/>
        </w:rPr>
        <w:t xml:space="preserve">) were used for downstream phenotyping presented in </w:t>
      </w:r>
      <w:r w:rsidRPr="00D431D5">
        <w:rPr>
          <w:rFonts w:ascii="Arial" w:eastAsia="Times New Roman" w:hAnsi="Arial" w:cs="Arial"/>
          <w:b/>
          <w:color w:val="000000"/>
          <w:lang w:eastAsia="ja-JP"/>
        </w:rPr>
        <w:t>Fig. 11.</w:t>
      </w:r>
      <w:r w:rsidRPr="00D431D5">
        <w:rPr>
          <w:rFonts w:ascii="Arial" w:eastAsia="Times New Roman" w:hAnsi="Arial" w:cs="Arial"/>
          <w:color w:val="000000"/>
          <w:lang w:eastAsia="ja-JP"/>
        </w:rPr>
        <w:t xml:space="preserve"> </w:t>
      </w:r>
    </w:p>
    <w:p w14:paraId="2E84891F"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2D8D247C"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r w:rsidRPr="00D431D5">
        <w:rPr>
          <w:rFonts w:ascii="Arial" w:eastAsia="Times New Roman" w:hAnsi="Arial" w:cs="Arial"/>
          <w:b/>
          <w:noProof/>
          <w:color w:val="000000"/>
          <w:lang w:eastAsia="ja-JP"/>
        </w:rPr>
        <w:drawing>
          <wp:inline distT="0" distB="0" distL="0" distR="0" wp14:anchorId="2AD4D475" wp14:editId="41E7599B">
            <wp:extent cx="5205730" cy="10572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pdated integration schematic.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05730" cy="1057275"/>
                    </a:xfrm>
                    <a:prstGeom prst="rect">
                      <a:avLst/>
                    </a:prstGeom>
                  </pic:spPr>
                </pic:pic>
              </a:graphicData>
            </a:graphic>
          </wp:inline>
        </w:drawing>
      </w:r>
    </w:p>
    <w:p w14:paraId="1ABD61B2"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b/>
          <w:color w:val="000000"/>
          <w:lang w:eastAsia="ja-JP"/>
        </w:rPr>
        <w:t xml:space="preserve">Figure 10. Verification of integration of the transgene resistance cassette at the targeted genomic locus. </w:t>
      </w:r>
      <w:r w:rsidRPr="00D431D5">
        <w:rPr>
          <w:rFonts w:ascii="Arial" w:eastAsia="Times New Roman" w:hAnsi="Arial" w:cs="Arial"/>
          <w:color w:val="000000"/>
          <w:lang w:eastAsia="ja-JP"/>
        </w:rPr>
        <w:t>To verify the disruption of a targeted locus with the knock-out (KO) construct containing the transgene resistance cassette, 2 separate PCR reactions were performed. To check for 5’ locus integration, a forward primer (F) complementary to the 5’ genomic sequence upstream of the ‘5 recombination site and a reverse primer (R) complementary to the opposing strand at the beginning of the transgene resistance cassette were used on a genomic DNA template. For 3’ integration, an F primer complementary to the latter regions of the transgene resistance cassette and a R primer complementary to the opposing strand of the 3’ of the genomic locus downstream of the 3’ recombination site was used. Putative mutant lines with PCR products of the correct size in both reactions were deemed to have integration of the transgene.</w:t>
      </w:r>
    </w:p>
    <w:p w14:paraId="2942BD7B" w14:textId="77777777" w:rsidR="008653D0" w:rsidRDefault="00D431D5" w:rsidP="00D431D5">
      <w:pPr>
        <w:tabs>
          <w:tab w:val="left" w:pos="6663"/>
        </w:tabs>
        <w:spacing w:after="160" w:line="360" w:lineRule="auto"/>
        <w:rPr>
          <w:rFonts w:ascii="Arial" w:eastAsia="Times New Roman" w:hAnsi="Arial" w:cs="Arial"/>
          <w:b/>
          <w:color w:val="000000"/>
          <w:lang w:eastAsia="ja-JP"/>
        </w:rPr>
      </w:pPr>
      <w:r w:rsidRPr="00D431D5">
        <w:rPr>
          <w:rFonts w:ascii="Arial" w:eastAsia="Times New Roman" w:hAnsi="Arial" w:cs="Arial"/>
          <w:b/>
          <w:noProof/>
          <w:color w:val="000000"/>
          <w:lang w:eastAsia="ja-JP"/>
        </w:rPr>
        <w:lastRenderedPageBreak/>
        <w:drawing>
          <wp:inline distT="0" distB="0" distL="0" distR="0" wp14:anchorId="636565A0" wp14:editId="43F88E8E">
            <wp:extent cx="5205730" cy="771207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MF1 fig for thesis arrow adj.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05730" cy="7712075"/>
                    </a:xfrm>
                    <a:prstGeom prst="rect">
                      <a:avLst/>
                    </a:prstGeom>
                  </pic:spPr>
                </pic:pic>
              </a:graphicData>
            </a:graphic>
          </wp:inline>
        </w:drawing>
      </w:r>
    </w:p>
    <w:p w14:paraId="6E59A96D" w14:textId="311FBA81"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b/>
          <w:color w:val="000000"/>
          <w:lang w:eastAsia="ja-JP"/>
        </w:rPr>
        <w:t xml:space="preserve">Figure 11. The deeply conserved </w:t>
      </w:r>
      <w:r w:rsidRPr="00D431D5">
        <w:rPr>
          <w:rFonts w:ascii="Arial" w:eastAsia="Times New Roman" w:hAnsi="Arial" w:cs="Arial"/>
          <w:b/>
          <w:i/>
          <w:color w:val="000000"/>
          <w:lang w:eastAsia="ja-JP"/>
        </w:rPr>
        <w:t xml:space="preserve">PpSMF1 </w:t>
      </w:r>
      <w:r w:rsidRPr="00D431D5">
        <w:rPr>
          <w:rFonts w:ascii="Arial" w:eastAsia="Times New Roman" w:hAnsi="Arial" w:cs="Arial"/>
          <w:b/>
          <w:color w:val="000000"/>
          <w:lang w:eastAsia="ja-JP"/>
        </w:rPr>
        <w:t xml:space="preserve">gene is integral for initiating stomatal formation in the </w:t>
      </w:r>
      <w:r w:rsidRPr="00D431D5">
        <w:rPr>
          <w:rFonts w:ascii="Arial" w:eastAsia="Times New Roman" w:hAnsi="Arial" w:cs="Arial"/>
          <w:b/>
          <w:i/>
          <w:color w:val="000000"/>
          <w:lang w:eastAsia="ja-JP"/>
        </w:rPr>
        <w:t xml:space="preserve">P. patens.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xml:space="preserve">) Genomic DNA extract PCR illustrating three independent lines of </w:t>
      </w:r>
      <w:r w:rsidRPr="00D431D5">
        <w:rPr>
          <w:rFonts w:ascii="Arial" w:eastAsia="Times New Roman" w:hAnsi="Arial" w:cs="Arial"/>
          <w:i/>
          <w:color w:val="000000"/>
          <w:lang w:eastAsia="ja-JP"/>
        </w:rPr>
        <w:t>ppsmf1</w:t>
      </w:r>
      <w:r w:rsidRPr="00D431D5">
        <w:rPr>
          <w:rFonts w:ascii="Arial" w:eastAsia="Times New Roman" w:hAnsi="Arial" w:cs="Arial"/>
          <w:color w:val="000000"/>
          <w:lang w:eastAsia="ja-JP"/>
        </w:rPr>
        <w:t xml:space="preserve"> </w:t>
      </w:r>
      <w:r w:rsidR="00945127">
        <w:rPr>
          <w:rFonts w:ascii="Arial" w:eastAsia="Times New Roman" w:hAnsi="Arial" w:cs="Arial"/>
          <w:color w:val="000000"/>
          <w:lang w:eastAsia="ja-JP"/>
        </w:rPr>
        <w:t>with</w:t>
      </w:r>
      <w:r w:rsidRPr="00D431D5">
        <w:rPr>
          <w:rFonts w:ascii="Arial" w:eastAsia="Times New Roman" w:hAnsi="Arial" w:cs="Arial"/>
          <w:color w:val="000000"/>
          <w:lang w:eastAsia="ja-JP"/>
        </w:rPr>
        <w:t xml:space="preserve"> a transgene integration at the ‘5 region of the </w:t>
      </w:r>
      <w:r w:rsidRPr="00D431D5">
        <w:rPr>
          <w:rFonts w:ascii="Arial" w:eastAsia="Times New Roman" w:hAnsi="Arial" w:cs="Arial"/>
          <w:i/>
          <w:color w:val="000000"/>
          <w:lang w:eastAsia="ja-JP"/>
        </w:rPr>
        <w:t>PpSMF1</w:t>
      </w:r>
      <w:r w:rsidRPr="00D431D5">
        <w:rPr>
          <w:rFonts w:ascii="Arial" w:eastAsia="Times New Roman" w:hAnsi="Arial" w:cs="Arial"/>
          <w:color w:val="000000"/>
          <w:lang w:eastAsia="ja-JP"/>
        </w:rPr>
        <w:t xml:space="preserve"> locus.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xml:space="preserve">) Accompanying PCR illustrating the transgene integration at the ‘3 region of the </w:t>
      </w:r>
      <w:r w:rsidRPr="00D431D5">
        <w:rPr>
          <w:rFonts w:ascii="Arial" w:eastAsia="Times New Roman" w:hAnsi="Arial" w:cs="Arial"/>
          <w:i/>
          <w:color w:val="000000"/>
          <w:lang w:eastAsia="ja-JP"/>
        </w:rPr>
        <w:t>PpSMF1</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lastRenderedPageBreak/>
        <w:t xml:space="preserve">locus in three independent lines. Note, the </w:t>
      </w:r>
      <w:r w:rsidRPr="00D431D5">
        <w:rPr>
          <w:rFonts w:ascii="Arial" w:eastAsia="Times New Roman" w:hAnsi="Arial" w:cs="Arial"/>
          <w:i/>
          <w:color w:val="000000"/>
          <w:lang w:eastAsia="ja-JP"/>
        </w:rPr>
        <w:t xml:space="preserve">ppsmf1-10 </w:t>
      </w:r>
      <w:r w:rsidRPr="00D431D5">
        <w:rPr>
          <w:rFonts w:ascii="Arial" w:eastAsia="Times New Roman" w:hAnsi="Arial" w:cs="Arial"/>
          <w:color w:val="000000"/>
          <w:lang w:eastAsia="ja-JP"/>
        </w:rPr>
        <w:t xml:space="preserve">line has a genotype that is suggestive of multiple integration of the transgene at the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locus. The two lines where only a single band was detected (</w:t>
      </w:r>
      <w:r w:rsidRPr="00D431D5">
        <w:rPr>
          <w:rFonts w:ascii="Arial" w:eastAsia="Times New Roman" w:hAnsi="Arial" w:cs="Arial"/>
          <w:i/>
          <w:color w:val="000000"/>
          <w:lang w:eastAsia="ja-JP"/>
        </w:rPr>
        <w:t xml:space="preserve">ppsmf1-12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ppsmf1-14</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were used for the phenotyping studies presented within in this figure.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xml:space="preserve">) Three independent lines of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have no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transcript present when RT-PCR was performed using cDNA generated from sporophyte/ gametophyte mix mRNA. (</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 A Rubisco small sub-unit (RbcS) control for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xml:space="preserve">) highlighting the presence of cDNA in all samples assayed. Note for </w:t>
      </w:r>
      <w:r w:rsidRPr="00D431D5">
        <w:rPr>
          <w:rFonts w:ascii="Arial" w:eastAsia="Times New Roman" w:hAnsi="Arial" w:cs="Arial"/>
          <w:b/>
          <w:color w:val="000000"/>
          <w:lang w:eastAsia="ja-JP"/>
        </w:rPr>
        <w:t>a-d</w:t>
      </w:r>
      <w:r w:rsidRPr="00D431D5">
        <w:rPr>
          <w:rFonts w:ascii="Arial" w:eastAsia="Times New Roman" w:hAnsi="Arial" w:cs="Arial"/>
          <w:color w:val="000000"/>
          <w:lang w:eastAsia="ja-JP"/>
        </w:rPr>
        <w:t xml:space="preserve">, Vx is the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wild-type Villersexel K3 sample and W is the water sample.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 A Villersexel K3 wild-type spore capsule with stomata radiating around the base (see black arrows for representative stomata). (</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 xml:space="preserve">) A representative </w:t>
      </w:r>
      <w:r w:rsidRPr="00D431D5">
        <w:rPr>
          <w:rFonts w:ascii="Arial" w:eastAsia="Times New Roman" w:hAnsi="Arial" w:cs="Arial"/>
          <w:i/>
          <w:color w:val="000000"/>
          <w:lang w:eastAsia="ja-JP"/>
        </w:rPr>
        <w:t xml:space="preserve">ppsmf1-12 </w:t>
      </w:r>
      <w:r w:rsidRPr="00D431D5">
        <w:rPr>
          <w:rFonts w:ascii="Arial" w:eastAsia="Times New Roman" w:hAnsi="Arial" w:cs="Arial"/>
          <w:color w:val="000000"/>
          <w:lang w:eastAsia="ja-JP"/>
        </w:rPr>
        <w:t>capsule with no stomata. (</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Quantification of the number of stomata on 7 individual sporophyte capsules of equivalent size taken from the wild-type and the two mutant lines. (</w:t>
      </w:r>
      <w:r w:rsidRPr="00D431D5">
        <w:rPr>
          <w:rFonts w:ascii="Arial" w:eastAsia="Times New Roman" w:hAnsi="Arial" w:cs="Arial"/>
          <w:b/>
          <w:color w:val="000000"/>
          <w:lang w:eastAsia="ja-JP"/>
        </w:rPr>
        <w:t>h-k</w:t>
      </w:r>
      <w:r w:rsidRPr="00D431D5">
        <w:rPr>
          <w:rFonts w:ascii="Arial" w:eastAsia="Times New Roman" w:hAnsi="Arial" w:cs="Arial"/>
          <w:color w:val="000000"/>
          <w:lang w:eastAsia="ja-JP"/>
        </w:rPr>
        <w:t>) Close up representative images of the spore capsule epidermis taken from Villersexel K3 (</w:t>
      </w:r>
      <w:r w:rsidRPr="00D431D5">
        <w:rPr>
          <w:rFonts w:ascii="Arial" w:eastAsia="Times New Roman" w:hAnsi="Arial" w:cs="Arial"/>
          <w:b/>
          <w:color w:val="000000"/>
          <w:lang w:eastAsia="ja-JP"/>
        </w:rPr>
        <w:t>h</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 xml:space="preserve">ppsmf1-12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i</w:t>
      </w:r>
      <w:r w:rsidRPr="00D431D5">
        <w:rPr>
          <w:rFonts w:ascii="Arial" w:eastAsia="Times New Roman" w:hAnsi="Arial" w:cs="Arial"/>
          <w:color w:val="000000"/>
          <w:lang w:eastAsia="ja-JP"/>
        </w:rPr>
        <w:t xml:space="preserve">) and </w:t>
      </w:r>
      <w:r w:rsidRPr="00D431D5">
        <w:rPr>
          <w:rFonts w:ascii="Arial" w:eastAsia="Times New Roman" w:hAnsi="Arial" w:cs="Arial"/>
          <w:i/>
          <w:color w:val="000000"/>
          <w:lang w:eastAsia="ja-JP"/>
        </w:rPr>
        <w:t>ppsmf1-14</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j </w:t>
      </w:r>
      <w:r w:rsidRPr="00D431D5">
        <w:rPr>
          <w:rFonts w:ascii="Arial" w:eastAsia="Times New Roman" w:hAnsi="Arial" w:cs="Arial"/>
          <w:color w:val="000000"/>
          <w:lang w:eastAsia="ja-JP"/>
        </w:rPr>
        <w:t>and</w:t>
      </w:r>
      <w:r w:rsidRPr="00D431D5">
        <w:rPr>
          <w:rFonts w:ascii="Arial" w:eastAsia="Times New Roman" w:hAnsi="Arial" w:cs="Arial"/>
          <w:b/>
          <w:color w:val="000000"/>
          <w:lang w:eastAsia="ja-JP"/>
        </w:rPr>
        <w:t xml:space="preserve"> k</w:t>
      </w:r>
      <w:r w:rsidRPr="00D431D5">
        <w:rPr>
          <w:rFonts w:ascii="Arial" w:eastAsia="Times New Roman" w:hAnsi="Arial" w:cs="Arial"/>
          <w:color w:val="000000"/>
          <w:lang w:eastAsia="ja-JP"/>
        </w:rPr>
        <w:t>). Blue circles represent epidermal cells surrounding either a stomata or a putative stomatal lineage pre-cursor, red circles represent cells in files, green and purple circles represents small and larger cells which that could have formed from a single parent cell and a yellow circle represents perhaps a</w:t>
      </w:r>
      <w:r w:rsidR="00E552D9">
        <w:rPr>
          <w:rFonts w:ascii="Arial" w:eastAsia="Times New Roman" w:hAnsi="Arial" w:cs="Arial"/>
          <w:color w:val="000000"/>
          <w:lang w:eastAsia="ja-JP"/>
        </w:rPr>
        <w:t xml:space="preserve"> putative </w:t>
      </w:r>
      <w:r w:rsidRPr="00D431D5">
        <w:rPr>
          <w:rFonts w:ascii="Arial" w:eastAsia="Times New Roman" w:hAnsi="Arial" w:cs="Arial"/>
          <w:color w:val="000000"/>
          <w:lang w:eastAsia="ja-JP"/>
        </w:rPr>
        <w:t>aborted stomatal lineage cell akin to an aborted GMC. (</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 A technovit sectioned, toluidine blue-stained Villersexel K3 spore capsule with arrows illustrating stomata. Note the underlying dark liquid in the sub-stomatal cavity. (</w:t>
      </w:r>
      <w:r w:rsidRPr="00D431D5">
        <w:rPr>
          <w:rFonts w:ascii="Arial" w:eastAsia="Times New Roman" w:hAnsi="Arial" w:cs="Arial"/>
          <w:b/>
          <w:color w:val="000000"/>
          <w:lang w:eastAsia="ja-JP"/>
        </w:rPr>
        <w:t>m</w:t>
      </w:r>
      <w:r w:rsidRPr="00D431D5">
        <w:rPr>
          <w:rFonts w:ascii="Arial" w:eastAsia="Times New Roman" w:hAnsi="Arial" w:cs="Arial"/>
          <w:color w:val="000000"/>
          <w:lang w:eastAsia="ja-JP"/>
        </w:rPr>
        <w:t xml:space="preserve">) A representative </w:t>
      </w:r>
      <w:r w:rsidRPr="00D431D5">
        <w:rPr>
          <w:rFonts w:ascii="Arial" w:eastAsia="Times New Roman" w:hAnsi="Arial" w:cs="Arial"/>
          <w:i/>
          <w:color w:val="000000"/>
          <w:lang w:eastAsia="ja-JP"/>
        </w:rPr>
        <w:t xml:space="preserve">ppsmf1-12 </w:t>
      </w:r>
      <w:r w:rsidRPr="00D431D5">
        <w:rPr>
          <w:rFonts w:ascii="Arial" w:eastAsia="Times New Roman" w:hAnsi="Arial" w:cs="Arial"/>
          <w:color w:val="000000"/>
          <w:lang w:eastAsia="ja-JP"/>
        </w:rPr>
        <w:t>equivalent to (</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 without stomata or underlying sub-stomatal canopy. (</w:t>
      </w:r>
      <w:r w:rsidRPr="00D431D5">
        <w:rPr>
          <w:rFonts w:ascii="Arial" w:eastAsia="Times New Roman" w:hAnsi="Arial" w:cs="Arial"/>
          <w:b/>
          <w:color w:val="000000"/>
          <w:lang w:eastAsia="ja-JP"/>
        </w:rPr>
        <w:t>n</w:t>
      </w:r>
      <w:r w:rsidRPr="00D431D5">
        <w:rPr>
          <w:rFonts w:ascii="Arial" w:eastAsia="Times New Roman" w:hAnsi="Arial" w:cs="Arial"/>
          <w:color w:val="000000"/>
          <w:lang w:eastAsia="ja-JP"/>
        </w:rPr>
        <w:t xml:space="preserve">) The one-dimensional area of 50 mature spore capsules for Villersexel and the two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lines. No statistical significances were detected when a one-way ANOVA using multiple comparisons corrected using a Dunnett’s test was performed. For the production of images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and (</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 xml:space="preserve">), multiple images were taken of each sample which were stacked and subsequently flattened using the Z projection, Min Intensity function on imageJ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&lt;EndNote&gt;&lt;Cite&gt;&lt;Author&gt;Schneider&lt;/Author&gt;&lt;Year&gt;2012&lt;/Year&gt;&lt;IDText&gt;NIH Image to ImageJ: 25 years of image analysis&lt;/IDText&gt;&lt;DisplayText&gt;(Schneider et al., 2012)&lt;/DisplayText&gt;&lt;record&gt;&lt;dates&gt;&lt;pub-dates&gt;&lt;date&gt;Jul&lt;/date&gt;&lt;/pub-dates&gt;&lt;year&gt;2012&lt;/year&gt;&lt;/dates&gt;&lt;keywords&gt;&lt;keyword&gt;*Computational Biology/history/methods/trends&lt;/keyword&gt;&lt;keyword&gt;History, 20th Century&lt;/keyword&gt;&lt;keyword&gt;History, 21st Century&lt;/keyword&gt;&lt;keyword&gt;Image Processing, Computer-Assisted/*methods&lt;/keyword&gt;&lt;keyword&gt;National Institutes of Health (U.S.)&lt;/keyword&gt;&lt;keyword&gt;Software/*history/trends&lt;/keyword&gt;&lt;keyword&gt;United States&lt;/keyword&gt;&lt;/keywords&gt;&lt;isbn&gt;1548-7091&lt;/isbn&gt;&lt;titles&gt;&lt;title&gt;NIH Image to ImageJ: 25 years of image analysis&lt;/title&gt;&lt;secondary-title&gt;Nat Methods&lt;/secondary-title&gt;&lt;alt-title&gt;Nature methods&lt;/alt-title&gt;&lt;/titles&gt;&lt;pages&gt;671-5&lt;/pages&gt;&lt;number&gt;7&lt;/number&gt;&lt;contributors&gt;&lt;authors&gt;&lt;author&gt;Schneider, C. A.&lt;/author&gt;&lt;author&gt;Rasband, W. S.&lt;/author&gt;&lt;author&gt;Eliceiri, K. W.&lt;/author&gt;&lt;/authors&gt;&lt;/contributors&gt;&lt;edition&gt;2012/08/30&lt;/edition&gt;&lt;language&gt;eng&lt;/language&gt;&lt;added-date format="utc"&gt;1455184195&lt;/added-date&gt;&lt;ref-type name="Journal Article"&gt;17&lt;/ref-type&gt;&lt;auth-address&gt;Laboratory for Optical and Computational Instrumentation, University of Wisconsin at Madison, Madison, Wisconsin, USA.&lt;/auth-address&gt;&lt;remote-database-provider&gt;NLM&lt;/remote-database-provider&gt;&lt;rec-number&gt;824&lt;/rec-number&gt;&lt;last-updated-date format="utc"&gt;1455184195&lt;/last-updated-date&gt;&lt;accession-num&gt;22930834&lt;/accession-num&gt;&lt;volume&gt;9&lt;/volume&gt;&lt;/record&gt;&lt;/Cite&gt;&lt;/EndNote&gt;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(Schneider et al., 2012)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Scale bars are as follows: </w:t>
      </w:r>
      <w:r w:rsidRPr="00D431D5">
        <w:rPr>
          <w:rFonts w:ascii="Arial" w:eastAsia="Times New Roman" w:hAnsi="Arial" w:cs="Arial"/>
          <w:b/>
          <w:color w:val="000000"/>
          <w:lang w:eastAsia="ja-JP"/>
        </w:rPr>
        <w:t xml:space="preserve">e </w:t>
      </w:r>
      <w:r w:rsidRPr="00D431D5">
        <w:rPr>
          <w:rFonts w:ascii="Arial" w:eastAsia="Times New Roman" w:hAnsi="Arial" w:cs="Arial"/>
          <w:color w:val="000000"/>
          <w:lang w:eastAsia="ja-JP"/>
        </w:rPr>
        <w:t>and</w:t>
      </w:r>
      <w:r w:rsidRPr="00D431D5">
        <w:rPr>
          <w:rFonts w:ascii="Arial" w:eastAsia="Times New Roman" w:hAnsi="Arial" w:cs="Arial"/>
          <w:b/>
          <w:color w:val="000000"/>
          <w:lang w:eastAsia="ja-JP"/>
        </w:rPr>
        <w:t xml:space="preserve"> f</w:t>
      </w:r>
      <w:r w:rsidRPr="00D431D5">
        <w:rPr>
          <w:rFonts w:ascii="Arial" w:eastAsia="Times New Roman" w:hAnsi="Arial" w:cs="Arial"/>
          <w:color w:val="000000"/>
          <w:lang w:eastAsia="ja-JP"/>
        </w:rPr>
        <w:t xml:space="preserve">, 100µm, </w:t>
      </w:r>
      <w:r w:rsidRPr="00D431D5">
        <w:rPr>
          <w:rFonts w:ascii="Arial" w:eastAsia="Times New Roman" w:hAnsi="Arial" w:cs="Arial"/>
          <w:b/>
          <w:color w:val="000000"/>
          <w:lang w:eastAsia="ja-JP"/>
        </w:rPr>
        <w:t>h-k</w:t>
      </w:r>
      <w:r w:rsidRPr="00D431D5">
        <w:rPr>
          <w:rFonts w:ascii="Arial" w:eastAsia="Times New Roman" w:hAnsi="Arial" w:cs="Arial"/>
          <w:color w:val="000000"/>
          <w:lang w:eastAsia="ja-JP"/>
        </w:rPr>
        <w:t xml:space="preserve">, 25µm and </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 xml:space="preserve"> and </w:t>
      </w:r>
      <w:r w:rsidRPr="00D431D5">
        <w:rPr>
          <w:rFonts w:ascii="Arial" w:eastAsia="Times New Roman" w:hAnsi="Arial" w:cs="Arial"/>
          <w:b/>
          <w:color w:val="000000"/>
          <w:lang w:eastAsia="ja-JP"/>
        </w:rPr>
        <w:t>m</w:t>
      </w:r>
      <w:r w:rsidRPr="00D431D5">
        <w:rPr>
          <w:rFonts w:ascii="Arial" w:eastAsia="Times New Roman" w:hAnsi="Arial" w:cs="Arial"/>
          <w:color w:val="000000"/>
          <w:lang w:eastAsia="ja-JP"/>
        </w:rPr>
        <w:t xml:space="preserve"> 50µm. Error bars = s.e.m.</w:t>
      </w:r>
    </w:p>
    <w:p w14:paraId="00C5AA8B" w14:textId="5845DB56"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Phenotypic analysis of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sporophytes revealed a striking absence of stomata on the base mutant capsules (</w:t>
      </w:r>
      <w:r w:rsidRPr="00D431D5">
        <w:rPr>
          <w:rFonts w:ascii="Arial" w:eastAsia="Times New Roman" w:hAnsi="Arial" w:cs="Arial"/>
          <w:b/>
          <w:color w:val="000000"/>
          <w:lang w:eastAsia="ja-JP"/>
        </w:rPr>
        <w:t>Fig. 11e</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 xml:space="preserve">). Quantification of stomatal number on 7 equally sized sporophytes from the wild-type and the two isolated mutant lines confirmed these observations, as not a single stomate was found on any spore capsule in either of the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lines (</w:t>
      </w:r>
      <w:r w:rsidRPr="00D431D5">
        <w:rPr>
          <w:rFonts w:ascii="Arial" w:eastAsia="Times New Roman" w:hAnsi="Arial" w:cs="Arial"/>
          <w:b/>
          <w:color w:val="000000"/>
          <w:lang w:eastAsia="ja-JP"/>
        </w:rPr>
        <w:t>Fig. 11g</w:t>
      </w:r>
      <w:r w:rsidRPr="00D431D5">
        <w:rPr>
          <w:rFonts w:ascii="Arial" w:eastAsia="Times New Roman" w:hAnsi="Arial" w:cs="Arial"/>
          <w:color w:val="000000"/>
          <w:lang w:eastAsia="ja-JP"/>
        </w:rPr>
        <w:t>). In the wild-type, stomata are</w:t>
      </w:r>
      <w:r w:rsidR="00E552D9">
        <w:rPr>
          <w:rFonts w:ascii="Arial" w:eastAsia="Times New Roman" w:hAnsi="Arial" w:cs="Arial"/>
          <w:color w:val="000000"/>
          <w:lang w:eastAsia="ja-JP"/>
        </w:rPr>
        <w:t xml:space="preserve"> routinely spaced by at least</w:t>
      </w:r>
      <w:r w:rsidRPr="00D431D5">
        <w:rPr>
          <w:rFonts w:ascii="Arial" w:eastAsia="Times New Roman" w:hAnsi="Arial" w:cs="Arial"/>
          <w:color w:val="000000"/>
          <w:lang w:eastAsia="ja-JP"/>
        </w:rPr>
        <w:t xml:space="preserve"> one epidermal cell which often results in a rosette of pavement cells radiating around the guard cell (</w:t>
      </w:r>
      <w:r w:rsidRPr="00D431D5">
        <w:rPr>
          <w:rFonts w:ascii="Arial" w:eastAsia="Times New Roman" w:hAnsi="Arial" w:cs="Arial"/>
          <w:b/>
          <w:color w:val="000000"/>
          <w:lang w:eastAsia="ja-JP"/>
        </w:rPr>
        <w:t xml:space="preserve">Fig. 11h, </w:t>
      </w:r>
      <w:r w:rsidRPr="00D431D5">
        <w:rPr>
          <w:rFonts w:ascii="Arial" w:eastAsia="Times New Roman" w:hAnsi="Arial" w:cs="Arial"/>
          <w:color w:val="000000"/>
          <w:lang w:eastAsia="ja-JP"/>
        </w:rPr>
        <w:t xml:space="preserve">blue circles). To investigate the cellular morphology of the epidermal cells in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mutants, closer observations of cells at the base of the spore capsule were carried out (</w:t>
      </w:r>
      <w:r w:rsidRPr="00D431D5">
        <w:rPr>
          <w:rFonts w:ascii="Arial" w:eastAsia="Times New Roman" w:hAnsi="Arial" w:cs="Arial"/>
          <w:b/>
          <w:color w:val="000000"/>
          <w:lang w:eastAsia="ja-JP"/>
        </w:rPr>
        <w:t>Fig. 11i-k</w:t>
      </w:r>
      <w:r w:rsidRPr="00D431D5">
        <w:rPr>
          <w:rFonts w:ascii="Arial" w:eastAsia="Times New Roman" w:hAnsi="Arial" w:cs="Arial"/>
          <w:color w:val="000000"/>
          <w:lang w:eastAsia="ja-JP"/>
        </w:rPr>
        <w:t xml:space="preserve">). A number of different cell shapes and sizes were observed that were </w:t>
      </w:r>
      <w:r w:rsidRPr="00D431D5">
        <w:rPr>
          <w:rFonts w:ascii="Arial" w:eastAsia="Times New Roman" w:hAnsi="Arial" w:cs="Arial"/>
          <w:color w:val="000000"/>
          <w:lang w:eastAsia="ja-JP"/>
        </w:rPr>
        <w:lastRenderedPageBreak/>
        <w:t>arranged in a variety of orientations. In some instances, lines of parallel cells formed that appear to have developed in the absence of any stimuli that might have ordinarily altered cellular orientation (</w:t>
      </w:r>
      <w:r w:rsidRPr="00D431D5">
        <w:rPr>
          <w:rFonts w:ascii="Arial" w:eastAsia="Times New Roman" w:hAnsi="Arial" w:cs="Arial"/>
          <w:b/>
          <w:color w:val="000000"/>
          <w:lang w:eastAsia="ja-JP"/>
        </w:rPr>
        <w:t>Fig. 11i, red circles</w:t>
      </w:r>
      <w:r w:rsidRPr="00D431D5">
        <w:rPr>
          <w:rFonts w:ascii="Arial" w:eastAsia="Times New Roman" w:hAnsi="Arial" w:cs="Arial"/>
          <w:color w:val="000000"/>
          <w:lang w:eastAsia="ja-JP"/>
        </w:rPr>
        <w:t xml:space="preserve">), On rare occasions, small cells were observed next to larger cells that may have come from a single parent cell akin to a </w:t>
      </w:r>
      <w:r w:rsidRPr="00D431D5">
        <w:rPr>
          <w:rFonts w:ascii="Arial" w:eastAsia="Times New Roman" w:hAnsi="Arial" w:cs="Arial"/>
          <w:i/>
          <w:color w:val="000000"/>
          <w:lang w:eastAsia="ja-JP"/>
        </w:rPr>
        <w:t xml:space="preserve">mute </w:t>
      </w:r>
      <w:r w:rsidRPr="00D431D5">
        <w:rPr>
          <w:rFonts w:ascii="Arial" w:eastAsia="Times New Roman" w:hAnsi="Arial" w:cs="Arial"/>
          <w:color w:val="000000"/>
          <w:lang w:eastAsia="ja-JP"/>
        </w:rPr>
        <w:t xml:space="preserve">phenotype in Arabidopsis where a meristemoid had aborted after the initial asymmetric division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&lt;EndNote&gt;&lt;Cite&gt;&lt;Author&gt;Pillitteri&lt;/Author&gt;&lt;Year&gt;2008&lt;/Year&gt;&lt;IDText&gt;The bHLH protein, MUTE, controls differentiation of stomata and the hydathode pore in Arabidopsis&lt;/IDText&gt;&lt;DisplayText&gt;(Pillitteri et al., 2008)&lt;/DisplayText&gt;&lt;record&gt;&lt;dates&gt;&lt;pub-dates&gt;&lt;date&gt;Jun&lt;/date&gt;&lt;/pub-dates&gt;&lt;year&gt;2008&lt;/year&gt;&lt;/dates&gt;&lt;keywords&gt;&lt;keyword&gt;Arabidopsis/genetics/*metabolism&lt;/keyword&gt;&lt;keyword&gt;Arabidopsis Proteins/genetics/*metabolism&lt;/keyword&gt;&lt;keyword&gt;Basic Helix-Loop-Helix Transcription Factors/genetics/*metabolism&lt;/keyword&gt;&lt;keyword&gt;Cell Differentiation&lt;/keyword&gt;&lt;keyword&gt;Gene Expression Regulation, Plant/*physiology&lt;/keyword&gt;&lt;keyword&gt;Mutation&lt;/keyword&gt;&lt;keyword&gt;Plant Stomata/*cytology/metabolism&lt;/keyword&gt;&lt;keyword&gt;Plants, Genetically Modified&lt;/keyword&gt;&lt;/keywords&gt;&lt;isbn&gt;0032-0781&lt;/isbn&gt;&lt;titles&gt;&lt;title&gt;The bHLH protein, MUTE, controls differentiation of stomata and the hydathode pore in Arabidopsis&lt;/title&gt;&lt;secondary-title&gt;Plant Cell Physiol&lt;/secondary-title&gt;&lt;alt-title&gt;Plant &amp;amp; cell physiology&lt;/alt-title&gt;&lt;/titles&gt;&lt;pages&gt;934-43&lt;/pages&gt;&lt;number&gt;6&lt;/number&gt;&lt;contributors&gt;&lt;authors&gt;&lt;author&gt;Pillitteri, L. J.&lt;/author&gt;&lt;author&gt;Bogenschutz, N. L.&lt;/author&gt;&lt;author&gt;Torii, K. U.&lt;/author&gt;&lt;/authors&gt;&lt;/contributors&gt;&lt;edition&gt;2008/05/03&lt;/edition&gt;&lt;language&gt;eng&lt;/language&gt;&lt;added-date format="utc"&gt;1452092485&lt;/added-date&gt;&lt;ref-type name="Journal Article"&gt;17&lt;/ref-type&gt;&lt;auth-address&gt;Department of Biology, University of Washington, Seattle, WA 98195, USA.&lt;/auth-address&gt;&lt;remote-database-provider&gt;NLM&lt;/remote-database-provider&gt;&lt;rec-number&gt;412&lt;/rec-number&gt;&lt;last-updated-date format="utc"&gt;1452092485&lt;/last-updated-date&gt;&lt;accession-num&gt;18450784&lt;/accession-num&gt;&lt;electronic-resource-num&gt;10.1093/pcp/pcn067&lt;/electronic-resource-num&gt;&lt;volume&gt;49&lt;/volume&gt;&lt;/record&gt;&lt;/Cite&gt;&lt;/EndNote&gt;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(Pillitteri et al., 2008)</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Fig. 11j, </w:t>
      </w:r>
      <w:r w:rsidRPr="00D431D5">
        <w:rPr>
          <w:rFonts w:ascii="Arial" w:eastAsia="Times New Roman" w:hAnsi="Arial" w:cs="Arial"/>
          <w:color w:val="000000"/>
          <w:lang w:eastAsia="ja-JP"/>
        </w:rPr>
        <w:t>small cell, green circle, larger cell, purple circle). On other occasions larger ovoid cells formed that were surrounded radially by other epidermal cells which were suggestive of some form of placement of epidermal cells around a central cell that may or may not have transiently entered the stomatal lineage by briefly becoming a GMC (</w:t>
      </w:r>
      <w:r w:rsidRPr="00D431D5">
        <w:rPr>
          <w:rFonts w:ascii="Arial" w:eastAsia="Times New Roman" w:hAnsi="Arial" w:cs="Arial"/>
          <w:b/>
          <w:color w:val="000000"/>
          <w:lang w:eastAsia="ja-JP"/>
        </w:rPr>
        <w:t xml:space="preserve">Fig. 11k, </w:t>
      </w:r>
      <w:r w:rsidRPr="00D431D5">
        <w:rPr>
          <w:rFonts w:ascii="Arial" w:eastAsia="Times New Roman" w:hAnsi="Arial" w:cs="Arial"/>
          <w:color w:val="000000"/>
          <w:lang w:eastAsia="ja-JP"/>
        </w:rPr>
        <w:t xml:space="preserve">ovoid cell, yellow circle, other epidermal cells, blue circles). The highlighted cell conformations may represent epidermal conformations that arose due to an absence of </w:t>
      </w:r>
      <w:r w:rsidRPr="00D431D5">
        <w:rPr>
          <w:rFonts w:ascii="Arial" w:eastAsia="Times New Roman" w:hAnsi="Arial" w:cs="Arial"/>
          <w:i/>
          <w:color w:val="000000"/>
          <w:lang w:eastAsia="ja-JP"/>
        </w:rPr>
        <w:t>PpSMF1</w:t>
      </w:r>
      <w:r w:rsidRPr="00D431D5">
        <w:rPr>
          <w:rFonts w:ascii="Arial" w:eastAsia="Times New Roman" w:hAnsi="Arial" w:cs="Arial"/>
          <w:color w:val="000000"/>
          <w:lang w:eastAsia="ja-JP"/>
        </w:rPr>
        <w:t>, however,</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without molecular markers to confirm specific cell identities and the expression pattern of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such observations require further scientific experimentation to confirm as it is possible that they arose by chance due to changes in cell patterning because of no stomata. In some instances, similar conformations such as those observed in </w:t>
      </w:r>
      <w:r w:rsidRPr="00D431D5">
        <w:rPr>
          <w:rFonts w:ascii="Arial" w:eastAsia="Times New Roman" w:hAnsi="Arial" w:cs="Arial"/>
          <w:b/>
          <w:color w:val="000000"/>
          <w:lang w:eastAsia="ja-JP"/>
        </w:rPr>
        <w:t xml:space="preserve">Fig. 11k </w:t>
      </w:r>
      <w:r w:rsidRPr="00D431D5">
        <w:rPr>
          <w:rFonts w:ascii="Arial" w:eastAsia="Times New Roman" w:hAnsi="Arial" w:cs="Arial"/>
          <w:color w:val="000000"/>
          <w:lang w:eastAsia="ja-JP"/>
        </w:rPr>
        <w:t xml:space="preserve">can sometimes occur in the wild-type which further complicates how to interpret the phenotypes observed (for wild-type examples see putative aborted GMCs in </w:t>
      </w:r>
      <w:r w:rsidRPr="00D431D5">
        <w:rPr>
          <w:rFonts w:ascii="Arial" w:eastAsia="Times New Roman" w:hAnsi="Arial" w:cs="Arial"/>
          <w:b/>
          <w:color w:val="000000"/>
          <w:lang w:eastAsia="ja-JP"/>
        </w:rPr>
        <w:t>Fig. 6h</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j</w:t>
      </w:r>
      <w:r w:rsidRPr="00D431D5">
        <w:rPr>
          <w:rFonts w:ascii="Arial" w:eastAsia="Times New Roman" w:hAnsi="Arial" w:cs="Arial"/>
          <w:color w:val="000000"/>
          <w:lang w:eastAsia="ja-JP"/>
        </w:rPr>
        <w:t>).</w:t>
      </w:r>
    </w:p>
    <w:p w14:paraId="3A2C585C" w14:textId="72B81052"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To ascertain whether a failure to produce stomata impacted on other aspects of capsule morph</w:t>
      </w:r>
      <w:r w:rsidR="005B2645">
        <w:rPr>
          <w:rFonts w:ascii="Arial" w:eastAsia="Times New Roman" w:hAnsi="Arial" w:cs="Arial"/>
          <w:color w:val="000000"/>
          <w:lang w:eastAsia="ja-JP"/>
        </w:rPr>
        <w:t xml:space="preserve">ology, sections were performed </w:t>
      </w:r>
      <w:r w:rsidR="00E552D9">
        <w:rPr>
          <w:rFonts w:ascii="Arial" w:eastAsia="Times New Roman" w:hAnsi="Arial" w:cs="Arial"/>
          <w:color w:val="000000"/>
          <w:lang w:eastAsia="ja-JP"/>
        </w:rPr>
        <w:t xml:space="preserve">on </w:t>
      </w:r>
      <w:r w:rsidR="005B2645">
        <w:rPr>
          <w:rFonts w:ascii="Arial" w:eastAsia="Times New Roman" w:hAnsi="Arial" w:cs="Arial"/>
          <w:color w:val="000000"/>
          <w:lang w:eastAsia="ja-JP"/>
        </w:rPr>
        <w:t>e</w:t>
      </w:r>
      <w:r w:rsidRPr="00D431D5">
        <w:rPr>
          <w:rFonts w:ascii="Arial" w:eastAsia="Times New Roman" w:hAnsi="Arial" w:cs="Arial"/>
          <w:color w:val="000000"/>
          <w:lang w:eastAsia="ja-JP"/>
        </w:rPr>
        <w:t xml:space="preserve">mbedded mature sporophyte capsules of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and the wild-type (</w:t>
      </w:r>
      <w:r w:rsidRPr="00D431D5">
        <w:rPr>
          <w:rFonts w:ascii="Arial" w:eastAsia="Times New Roman" w:hAnsi="Arial" w:cs="Arial"/>
          <w:b/>
          <w:color w:val="000000"/>
          <w:lang w:eastAsia="ja-JP"/>
        </w:rPr>
        <w:t>Fig. 11l</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m</w:t>
      </w:r>
      <w:r w:rsidRPr="00D431D5">
        <w:rPr>
          <w:rFonts w:ascii="Arial" w:eastAsia="Times New Roman" w:hAnsi="Arial" w:cs="Arial"/>
          <w:color w:val="000000"/>
          <w:lang w:eastAsia="ja-JP"/>
        </w:rPr>
        <w:t>). In the wild-type, it was clear that beneath stomata, sub-stomatal cavities formed that were filled with a dark substance, perhaps mucilage (</w:t>
      </w:r>
      <w:r w:rsidRPr="00D431D5">
        <w:rPr>
          <w:rFonts w:ascii="Arial" w:eastAsia="Times New Roman" w:hAnsi="Arial" w:cs="Arial"/>
          <w:b/>
          <w:color w:val="000000"/>
          <w:lang w:eastAsia="ja-JP"/>
        </w:rPr>
        <w:t>Fig. 11l</w:t>
      </w:r>
      <w:r w:rsidRPr="00D431D5">
        <w:rPr>
          <w:rFonts w:ascii="Arial" w:eastAsia="Times New Roman" w:hAnsi="Arial" w:cs="Arial"/>
          <w:color w:val="000000"/>
          <w:lang w:eastAsia="ja-JP"/>
        </w:rPr>
        <w:t xml:space="preserve">), akin to recent observations performed in hornworts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&lt;EndNote&gt;&lt;Cite&gt;&lt;Author&gt;Pressel&lt;/Author&gt;&lt;Year&gt;2014&lt;/Year&gt;&lt;IDText&gt;Stomatal differentiation and abnormal stomata in hornworts&lt;/IDText&gt;&lt;DisplayText&gt;(Pressel et al., 2014)&lt;/DisplayText&gt;&lt;record&gt;&lt;dates&gt;&lt;pub-dates&gt;&lt;date&gt;Jun&lt;/date&gt;&lt;/pub-dates&gt;&lt;year&gt;2014&lt;/year&gt;&lt;/dates&gt;&lt;keywords&gt;&lt;keyword&gt;Anthocerotophyta&lt;/keyword&gt;&lt;keyword&gt;Capsule dehiscence&lt;/keyword&gt;&lt;keyword&gt;Desiccation biology&lt;/keyword&gt;&lt;keyword&gt;Guard cells&lt;/keyword&gt;&lt;keyword&gt;Stomatal evolution&lt;/keyword&gt;&lt;keyword&gt;early land plants&lt;/keyword&gt;&lt;keyword&gt;abscisic-acid&lt;/keyword&gt;&lt;keyword&gt;division polarity&lt;/keyword&gt;&lt;keyword&gt;atmospheric co2&lt;/keyword&gt;&lt;keyword&gt;carbon-dioxide&lt;/keyword&gt;&lt;keyword&gt;density&lt;/keyword&gt;&lt;keyword&gt;evolution&lt;/keyword&gt;&lt;keyword&gt;sporophytes&lt;/keyword&gt;&lt;keyword&gt;fluorescence&lt;/keyword&gt;&lt;keyword&gt;bryophytes&lt;/keyword&gt;&lt;keyword&gt;Plant Sciences&lt;/keyword&gt;&lt;/keywords&gt;&lt;urls&gt;&lt;related-urls&gt;&lt;url&gt;&amp;lt;Go to ISI&amp;gt;://WOS:000337099400001&lt;/url&gt;&lt;/related-urls&gt;&lt;/urls&gt;&lt;isbn&gt;0373-6687&lt;/isbn&gt;&lt;work-type&gt;Article&lt;/work-type&gt;&lt;titles&gt;&lt;title&gt;Stomatal differentiation and abnormal stomata in hornworts&lt;/title&gt;&lt;secondary-title&gt;Journal of Bryology&lt;/secondary-title&gt;&lt;/titles&gt;&lt;pages&gt;87-103&lt;/pages&gt;&lt;contributors&gt;&lt;authors&gt;&lt;author&gt;Pressel, S.&lt;/author&gt;&lt;author&gt;Goral, T.&lt;/author&gt;&lt;author&gt;Duckett, J. G.&lt;/author&gt;&lt;/authors&gt;&lt;/contributors&gt;&lt;language&gt;English&lt;/language&gt;&lt;added-date format="utc"&gt;1431376663&lt;/added-date&gt;&lt;ref-type name="Journal Article"&gt;17&lt;/ref-type&gt;&lt;auth-address&gt;[Pressel, Silvia&amp;#xD;Duckett, Jeffrey G.] Nat Hist Museum, Dept Life Sci, London SW7 5BD, England. [Goral, Tomasz] Nat Hist Museum, Imaging &amp;amp; Anal Ctr, London SW7 5BD, England.&amp;#xD;Pressel, S (reprint author), Nat Hist Museum, Dept Life Sci, Cromwell Rd, London SW7 5BD, England.&amp;#xD;s.pressel@nhm.ac.uk&lt;/auth-address&gt;&lt;rec-number&gt;158&lt;/rec-number&gt;&lt;last-updated-date format="utc"&gt;1431376663&lt;/last-updated-date&gt;&lt;accession-num&gt;WOS:000337099400001&lt;/accession-num&gt;&lt;electronic-resource-num&gt;10.1179/1743282014y.0000000103&lt;/electronic-resource-num&gt;&lt;volume&gt;36&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(Pressel et al., 2014)</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Interestingly, in the stomata-less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capsules, no cavity formation occurred neither was a darker material akin to mucilage accumulation visible (</w:t>
      </w:r>
      <w:r w:rsidRPr="00D431D5">
        <w:rPr>
          <w:rFonts w:ascii="Arial" w:eastAsia="Times New Roman" w:hAnsi="Arial" w:cs="Arial"/>
          <w:b/>
          <w:color w:val="000000"/>
          <w:lang w:eastAsia="ja-JP"/>
        </w:rPr>
        <w:t>Fig. 11m</w:t>
      </w:r>
      <w:r w:rsidRPr="00D431D5">
        <w:rPr>
          <w:rFonts w:ascii="Arial" w:eastAsia="Times New Roman" w:hAnsi="Arial" w:cs="Arial"/>
          <w:color w:val="000000"/>
          <w:lang w:eastAsia="ja-JP"/>
        </w:rPr>
        <w:t xml:space="preserve">). Owing to the lack of stomatal formation or underlying cavity in the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lines the epidermis were relatively flat and did not protrude comparatively to the epidermis of the wild-type (</w:t>
      </w:r>
      <w:r w:rsidRPr="00D431D5">
        <w:rPr>
          <w:rFonts w:ascii="Arial" w:eastAsia="Times New Roman" w:hAnsi="Arial" w:cs="Arial"/>
          <w:b/>
          <w:color w:val="000000"/>
          <w:lang w:eastAsia="ja-JP"/>
        </w:rPr>
        <w:t>Fig. 11l-m</w:t>
      </w:r>
      <w:r w:rsidRPr="00D431D5">
        <w:rPr>
          <w:rFonts w:ascii="Arial" w:eastAsia="Times New Roman" w:hAnsi="Arial" w:cs="Arial"/>
          <w:color w:val="000000"/>
          <w:lang w:eastAsia="ja-JP"/>
        </w:rPr>
        <w:t xml:space="preserve">). To investigate whether the absence of stomata had an effect on the size of sporophyte capsules, 50 mature brown sporophyte capsules were collected from both the wild-type and the two mutant lines and the one-dimensional capsule area was measured using imageJ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&lt;EndNote&gt;&lt;Cite&gt;&lt;Author&gt;Schneider&lt;/Author&gt;&lt;Year&gt;2012&lt;/Year&gt;&lt;IDText&gt;NIH Image to ImageJ: 25 years of image analysis&lt;/IDText&gt;&lt;DisplayText&gt;(Schneider et al., 2012)&lt;/DisplayText&gt;&lt;record&gt;&lt;dates&gt;&lt;pub-dates&gt;&lt;date&gt;Jul&lt;/date&gt;&lt;/pub-dates&gt;&lt;year&gt;2012&lt;/year&gt;&lt;/dates&gt;&lt;keywords&gt;&lt;keyword&gt;*Computational Biology/history/methods/trends&lt;/keyword&gt;&lt;keyword&gt;History, 20th Century&lt;/keyword&gt;&lt;keyword&gt;History, 21st Century&lt;/keyword&gt;&lt;keyword&gt;Image Processing, Computer-Assisted/*methods&lt;/keyword&gt;&lt;keyword&gt;National Institutes of Health (U.S.)&lt;/keyword&gt;&lt;keyword&gt;Software/*history/trends&lt;/keyword&gt;&lt;keyword&gt;United States&lt;/keyword&gt;&lt;/keywords&gt;&lt;isbn&gt;1548-7091&lt;/isbn&gt;&lt;titles&gt;&lt;title&gt;NIH Image to ImageJ: 25 years of image analysis&lt;/title&gt;&lt;secondary-title&gt;Nat Methods&lt;/secondary-title&gt;&lt;alt-title&gt;Nature methods&lt;/alt-title&gt;&lt;/titles&gt;&lt;pages&gt;671-5&lt;/pages&gt;&lt;number&gt;7&lt;/number&gt;&lt;contributors&gt;&lt;authors&gt;&lt;author&gt;Schneider, C. A.&lt;/author&gt;&lt;author&gt;Rasband, W. S.&lt;/author&gt;&lt;author&gt;Eliceiri, K. W.&lt;/author&gt;&lt;/authors&gt;&lt;/contributors&gt;&lt;edition&gt;2012/08/30&lt;/edition&gt;&lt;language&gt;eng&lt;/language&gt;&lt;added-date format="utc"&gt;1455184195&lt;/added-date&gt;&lt;ref-type name="Journal Article"&gt;17&lt;/ref-type&gt;&lt;auth-address&gt;Laboratory for Optical and Computational Instrumentation, University of Wisconsin at Madison, Madison, Wisconsin, USA.&lt;/auth-address&gt;&lt;remote-database-provider&gt;NLM&lt;/remote-database-provider&gt;&lt;rec-number&gt;824&lt;/rec-number&gt;&lt;last-updated-date format="utc"&gt;1455184195&lt;/last-updated-date&gt;&lt;accession-num&gt;22930834&lt;/accession-num&gt;&lt;volume&gt;9&lt;/volume&gt;&lt;/record&gt;&lt;/Cite&gt;&lt;/EndNote&gt;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(Schneider et al., 2012)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Despite the flatter epidermis at the base of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capsules no overall size difference was detected between the mutant lines and the wild-type sporophytes (</w:t>
      </w:r>
      <w:r w:rsidRPr="00D431D5">
        <w:rPr>
          <w:rFonts w:ascii="Arial" w:eastAsia="Times New Roman" w:hAnsi="Arial" w:cs="Arial"/>
          <w:b/>
          <w:color w:val="000000"/>
          <w:lang w:eastAsia="ja-JP"/>
        </w:rPr>
        <w:t>Fig. 11n</w:t>
      </w:r>
      <w:r w:rsidRPr="00D431D5">
        <w:rPr>
          <w:rFonts w:ascii="Arial" w:eastAsia="Times New Roman" w:hAnsi="Arial" w:cs="Arial"/>
          <w:color w:val="000000"/>
          <w:lang w:eastAsia="ja-JP"/>
        </w:rPr>
        <w:t>).</w:t>
      </w:r>
    </w:p>
    <w:p w14:paraId="52468E4C" w14:textId="77777777" w:rsidR="00D431D5" w:rsidRPr="00D431D5" w:rsidRDefault="00D431D5" w:rsidP="00D431D5">
      <w:pPr>
        <w:tabs>
          <w:tab w:val="left" w:pos="6663"/>
        </w:tabs>
        <w:spacing w:after="160" w:line="360" w:lineRule="auto"/>
        <w:rPr>
          <w:rFonts w:ascii="Arial" w:eastAsia="Times New Roman" w:hAnsi="Arial" w:cs="Arial"/>
          <w:i/>
          <w:color w:val="000000"/>
          <w:u w:val="single"/>
          <w:lang w:eastAsia="ja-JP"/>
        </w:rPr>
      </w:pPr>
      <w:r w:rsidRPr="00D431D5">
        <w:rPr>
          <w:rFonts w:ascii="Arial" w:eastAsia="Times New Roman" w:hAnsi="Arial" w:cs="Arial"/>
          <w:color w:val="000000"/>
          <w:u w:val="single"/>
          <w:lang w:eastAsia="ja-JP"/>
        </w:rPr>
        <w:t xml:space="preserve">3.2.8 </w:t>
      </w:r>
      <w:r w:rsidRPr="00D431D5">
        <w:rPr>
          <w:rFonts w:ascii="Arial" w:eastAsia="Times New Roman" w:hAnsi="Arial" w:cs="Arial"/>
          <w:i/>
          <w:color w:val="000000"/>
          <w:u w:val="single"/>
          <w:lang w:eastAsia="ja-JP"/>
        </w:rPr>
        <w:t>PpSMF2</w:t>
      </w:r>
      <w:r w:rsidRPr="00D431D5">
        <w:rPr>
          <w:rFonts w:ascii="Arial" w:eastAsia="Times New Roman" w:hAnsi="Arial" w:cs="Arial"/>
          <w:color w:val="000000"/>
          <w:u w:val="single"/>
          <w:lang w:eastAsia="ja-JP"/>
        </w:rPr>
        <w:t xml:space="preserve">: a homologous gene to vascular land plant </w:t>
      </w:r>
      <w:r w:rsidRPr="00D431D5">
        <w:rPr>
          <w:rFonts w:ascii="Arial" w:eastAsia="Times New Roman" w:hAnsi="Arial" w:cs="Arial"/>
          <w:i/>
          <w:color w:val="000000"/>
          <w:u w:val="single"/>
          <w:lang w:eastAsia="ja-JP"/>
        </w:rPr>
        <w:t>SPCH</w:t>
      </w:r>
      <w:r w:rsidRPr="00D431D5">
        <w:rPr>
          <w:rFonts w:ascii="Arial" w:eastAsia="Times New Roman" w:hAnsi="Arial" w:cs="Arial"/>
          <w:color w:val="000000"/>
          <w:u w:val="single"/>
          <w:lang w:eastAsia="ja-JP"/>
        </w:rPr>
        <w:t xml:space="preserve">, </w:t>
      </w:r>
      <w:r w:rsidRPr="00D431D5">
        <w:rPr>
          <w:rFonts w:ascii="Arial" w:eastAsia="Times New Roman" w:hAnsi="Arial" w:cs="Arial"/>
          <w:i/>
          <w:color w:val="000000"/>
          <w:u w:val="single"/>
          <w:lang w:eastAsia="ja-JP"/>
        </w:rPr>
        <w:t>MUTE</w:t>
      </w:r>
      <w:r w:rsidRPr="00D431D5">
        <w:rPr>
          <w:rFonts w:ascii="Arial" w:eastAsia="Times New Roman" w:hAnsi="Arial" w:cs="Arial"/>
          <w:color w:val="000000"/>
          <w:u w:val="single"/>
          <w:lang w:eastAsia="ja-JP"/>
        </w:rPr>
        <w:t xml:space="preserve"> and </w:t>
      </w:r>
      <w:r w:rsidRPr="00D431D5">
        <w:rPr>
          <w:rFonts w:ascii="Arial" w:eastAsia="Times New Roman" w:hAnsi="Arial" w:cs="Arial"/>
          <w:i/>
          <w:color w:val="000000"/>
          <w:u w:val="single"/>
          <w:lang w:eastAsia="ja-JP"/>
        </w:rPr>
        <w:t>FAMA</w:t>
      </w:r>
      <w:r w:rsidRPr="00D431D5">
        <w:rPr>
          <w:rFonts w:ascii="Arial" w:eastAsia="Times New Roman" w:hAnsi="Arial" w:cs="Arial"/>
          <w:color w:val="000000"/>
          <w:u w:val="single"/>
          <w:lang w:eastAsia="ja-JP"/>
        </w:rPr>
        <w:t xml:space="preserve"> which does not contribute to stomatal formation in </w:t>
      </w:r>
      <w:r w:rsidRPr="00D431D5">
        <w:rPr>
          <w:rFonts w:ascii="Arial" w:eastAsia="Times New Roman" w:hAnsi="Arial" w:cs="Arial"/>
          <w:i/>
          <w:color w:val="000000"/>
          <w:u w:val="single"/>
          <w:lang w:eastAsia="ja-JP"/>
        </w:rPr>
        <w:t>P. patens</w:t>
      </w:r>
    </w:p>
    <w:p w14:paraId="77CDECD9" w14:textId="729F8533"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To ascertain if </w:t>
      </w:r>
      <w:r w:rsidRPr="00D431D5">
        <w:rPr>
          <w:rFonts w:ascii="Arial" w:eastAsia="Times New Roman" w:hAnsi="Arial" w:cs="Arial"/>
          <w:i/>
          <w:color w:val="000000"/>
          <w:lang w:eastAsia="ja-JP"/>
        </w:rPr>
        <w:t>PpSMF2</w:t>
      </w:r>
      <w:r w:rsidRPr="00D431D5">
        <w:rPr>
          <w:rFonts w:ascii="Arial" w:eastAsia="Times New Roman" w:hAnsi="Arial" w:cs="Arial"/>
          <w:color w:val="000000"/>
          <w:lang w:eastAsia="ja-JP"/>
        </w:rPr>
        <w:t xml:space="preserve"> also functioned during stomatal development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as was the case with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Fig. 11</w:t>
      </w:r>
      <w:r w:rsidRPr="00D431D5">
        <w:rPr>
          <w:rFonts w:ascii="Arial" w:eastAsia="Times New Roman" w:hAnsi="Arial" w:cs="Arial"/>
          <w:color w:val="000000"/>
          <w:lang w:eastAsia="ja-JP"/>
        </w:rPr>
        <w:t xml:space="preserve">), three independent KO lines were isolated via homologous </w:t>
      </w:r>
      <w:r w:rsidRPr="00D431D5">
        <w:rPr>
          <w:rFonts w:ascii="Arial" w:eastAsia="Times New Roman" w:hAnsi="Arial" w:cs="Arial"/>
          <w:color w:val="000000"/>
          <w:lang w:eastAsia="ja-JP"/>
        </w:rPr>
        <w:lastRenderedPageBreak/>
        <w:t xml:space="preserve">recombination </w:t>
      </w:r>
      <w:r w:rsidRPr="00D431D5">
        <w:rPr>
          <w:rFonts w:ascii="Arial" w:eastAsia="Times New Roman" w:hAnsi="Arial" w:cs="Arial"/>
          <w:color w:val="000000"/>
          <w:lang w:eastAsia="ja-JP"/>
        </w:rPr>
        <w:fldChar w:fldCharType="begin">
          <w:fldData xml:space="preserve">PEVuZE5vdGU+PENpdGU+PEF1dGhvcj5LYW1pc3VnaTwvQXV0aG9yPjxZZWFyPjIwMDY8L1llYXI+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PEVuZE5vdGU+PENpdGU+PEF1dGhvcj5LYW1pc3VnaTwvQXV0aG9yPjxZZWFyPjIwMDY8L1llYXI+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(Kamisugi et al., 2006)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and subsequent genotypic screening. As with the screening of KO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lines,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 xml:space="preserve">KO lines were confirmed by performing genomic extract PCR genotyping to show that targeted integration of a transgene at the 5’ and 3’ ends of the </w:t>
      </w:r>
      <w:r w:rsidRPr="00D431D5">
        <w:rPr>
          <w:rFonts w:ascii="Arial" w:eastAsia="Times New Roman" w:hAnsi="Arial" w:cs="Arial"/>
          <w:i/>
          <w:color w:val="000000"/>
          <w:lang w:eastAsia="ja-JP"/>
        </w:rPr>
        <w:t>SMF2</w:t>
      </w:r>
      <w:r w:rsidRPr="00D431D5">
        <w:rPr>
          <w:rFonts w:ascii="Arial" w:eastAsia="Times New Roman" w:hAnsi="Arial" w:cs="Arial"/>
          <w:color w:val="000000"/>
          <w:lang w:eastAsia="ja-JP"/>
        </w:rPr>
        <w:t xml:space="preserve"> locus had occurred (</w:t>
      </w:r>
      <w:r w:rsidRPr="00D431D5">
        <w:rPr>
          <w:rFonts w:ascii="Arial" w:eastAsia="Times New Roman" w:hAnsi="Arial" w:cs="Arial"/>
          <w:b/>
          <w:color w:val="000000"/>
          <w:lang w:eastAsia="ja-JP"/>
        </w:rPr>
        <w:t>Fig. 10</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Fig. 12a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xml:space="preserve">). To verify the absence of a transcript in these samples, like with </w:t>
      </w:r>
      <w:r w:rsidRPr="00D431D5">
        <w:rPr>
          <w:rFonts w:ascii="Arial" w:eastAsia="Times New Roman" w:hAnsi="Arial" w:cs="Arial"/>
          <w:i/>
          <w:color w:val="000000"/>
          <w:lang w:eastAsia="ja-JP"/>
        </w:rPr>
        <w:t>PpSMF1</w:t>
      </w:r>
      <w:r w:rsidRPr="00D431D5">
        <w:rPr>
          <w:rFonts w:ascii="Arial" w:eastAsia="Times New Roman" w:hAnsi="Arial" w:cs="Arial"/>
          <w:color w:val="000000"/>
          <w:lang w:eastAsia="ja-JP"/>
        </w:rPr>
        <w:t xml:space="preserve">, RT-PCR was performed on cDNA derived from sporophyte and gametophyte tissue which targeted the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 xml:space="preserve">transcript in the wild-type and the putative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lines (</w:t>
      </w:r>
      <w:r w:rsidRPr="00D431D5">
        <w:rPr>
          <w:rFonts w:ascii="Arial" w:eastAsia="Times New Roman" w:hAnsi="Arial" w:cs="Arial"/>
          <w:b/>
          <w:color w:val="000000"/>
          <w:lang w:eastAsia="ja-JP"/>
        </w:rPr>
        <w:t>Fig. 12c</w:t>
      </w:r>
      <w:r w:rsidRPr="00D431D5">
        <w:rPr>
          <w:rFonts w:ascii="Arial" w:eastAsia="Times New Roman" w:hAnsi="Arial" w:cs="Arial"/>
          <w:color w:val="000000"/>
          <w:lang w:eastAsia="ja-JP"/>
        </w:rPr>
        <w:t xml:space="preserve">). </w:t>
      </w:r>
      <w:r w:rsidR="00E552D9">
        <w:rPr>
          <w:rFonts w:ascii="Arial" w:eastAsia="Times New Roman" w:hAnsi="Arial" w:cs="Arial"/>
          <w:color w:val="000000"/>
          <w:lang w:eastAsia="ja-JP"/>
        </w:rPr>
        <w:t>In the wild-type t</w:t>
      </w:r>
      <w:r w:rsidRPr="00D431D5">
        <w:rPr>
          <w:rFonts w:ascii="Arial" w:eastAsia="Times New Roman" w:hAnsi="Arial" w:cs="Arial"/>
          <w:color w:val="000000"/>
          <w:lang w:eastAsia="ja-JP"/>
        </w:rPr>
        <w:t>wo products were detected with the smaller 239bp product the expected amplicon size. For each cDNA sample small rubisco sub-unit (RbcS) controls were also run (</w:t>
      </w:r>
      <w:r w:rsidRPr="00D431D5">
        <w:rPr>
          <w:rFonts w:ascii="Arial" w:eastAsia="Times New Roman" w:hAnsi="Arial" w:cs="Arial"/>
          <w:b/>
          <w:color w:val="000000"/>
          <w:lang w:eastAsia="ja-JP"/>
        </w:rPr>
        <w:t>Fig. 12d</w:t>
      </w:r>
      <w:r w:rsidRPr="00D431D5">
        <w:rPr>
          <w:rFonts w:ascii="Arial" w:eastAsia="Times New Roman" w:hAnsi="Arial" w:cs="Arial"/>
          <w:color w:val="000000"/>
          <w:lang w:eastAsia="ja-JP"/>
        </w:rPr>
        <w:t>).</w:t>
      </w:r>
    </w:p>
    <w:p w14:paraId="3204289C"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r w:rsidRPr="00D431D5">
        <w:rPr>
          <w:rFonts w:ascii="Arial" w:eastAsia="Times New Roman" w:hAnsi="Arial" w:cs="Arial"/>
          <w:b/>
          <w:noProof/>
          <w:color w:val="000000"/>
          <w:lang w:eastAsia="ja-JP"/>
        </w:rPr>
        <w:drawing>
          <wp:inline distT="0" distB="0" distL="0" distR="0" wp14:anchorId="3181B8DA" wp14:editId="589D3FD0">
            <wp:extent cx="5136542" cy="4766872"/>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mf2 updated with brightening.png"/>
                    <pic:cNvPicPr/>
                  </pic:nvPicPr>
                  <pic:blipFill>
                    <a:blip r:embed="rId32">
                      <a:extLst>
                        <a:ext uri="{28A0092B-C50C-407E-A947-70E740481C1C}">
                          <a14:useLocalDpi xmlns:a14="http://schemas.microsoft.com/office/drawing/2010/main" val="0"/>
                        </a:ext>
                      </a:extLst>
                    </a:blip>
                    <a:stretch>
                      <a:fillRect/>
                    </a:stretch>
                  </pic:blipFill>
                  <pic:spPr>
                    <a:xfrm>
                      <a:off x="0" y="0"/>
                      <a:ext cx="5149733" cy="4779113"/>
                    </a:xfrm>
                    <a:prstGeom prst="rect">
                      <a:avLst/>
                    </a:prstGeom>
                  </pic:spPr>
                </pic:pic>
              </a:graphicData>
            </a:graphic>
          </wp:inline>
        </w:drawing>
      </w:r>
    </w:p>
    <w:p w14:paraId="6496B22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b/>
          <w:color w:val="000000"/>
          <w:lang w:eastAsia="ja-JP"/>
        </w:rPr>
        <w:t xml:space="preserve">Figure 12. The </w:t>
      </w:r>
      <w:r w:rsidRPr="00D431D5">
        <w:rPr>
          <w:rFonts w:ascii="Arial" w:eastAsia="Times New Roman" w:hAnsi="Arial" w:cs="Arial"/>
          <w:b/>
          <w:i/>
          <w:color w:val="000000"/>
          <w:lang w:eastAsia="ja-JP"/>
        </w:rPr>
        <w:t xml:space="preserve">PpSMF2 </w:t>
      </w:r>
      <w:r w:rsidRPr="00D431D5">
        <w:rPr>
          <w:rFonts w:ascii="Arial" w:eastAsia="Times New Roman" w:hAnsi="Arial" w:cs="Arial"/>
          <w:b/>
          <w:color w:val="000000"/>
          <w:lang w:eastAsia="ja-JP"/>
        </w:rPr>
        <w:t xml:space="preserve">gene is not required for stomatal formation in </w:t>
      </w:r>
      <w:r w:rsidRPr="00D431D5">
        <w:rPr>
          <w:rFonts w:ascii="Arial" w:eastAsia="Times New Roman" w:hAnsi="Arial" w:cs="Arial"/>
          <w:b/>
          <w:i/>
          <w:color w:val="000000"/>
          <w:lang w:eastAsia="ja-JP"/>
        </w:rPr>
        <w:t xml:space="preserve">P. patens.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xml:space="preserve">) Genomic DNA extract PCR illustrating three independent lines of </w:t>
      </w:r>
      <w:r w:rsidRPr="00D431D5">
        <w:rPr>
          <w:rFonts w:ascii="Arial" w:eastAsia="Times New Roman" w:hAnsi="Arial" w:cs="Arial"/>
          <w:i/>
          <w:color w:val="000000"/>
          <w:lang w:eastAsia="ja-JP"/>
        </w:rPr>
        <w:t>ppsmf2</w:t>
      </w:r>
      <w:r w:rsidRPr="00D431D5">
        <w:rPr>
          <w:rFonts w:ascii="Arial" w:eastAsia="Times New Roman" w:hAnsi="Arial" w:cs="Arial"/>
          <w:color w:val="000000"/>
          <w:lang w:eastAsia="ja-JP"/>
        </w:rPr>
        <w:t xml:space="preserve"> which a transgene integration at the ‘5 region of the </w:t>
      </w:r>
      <w:r w:rsidRPr="00D431D5">
        <w:rPr>
          <w:rFonts w:ascii="Arial" w:eastAsia="Times New Roman" w:hAnsi="Arial" w:cs="Arial"/>
          <w:i/>
          <w:color w:val="000000"/>
          <w:lang w:eastAsia="ja-JP"/>
        </w:rPr>
        <w:t>SMF2</w:t>
      </w:r>
      <w:r w:rsidRPr="00D431D5">
        <w:rPr>
          <w:rFonts w:ascii="Arial" w:eastAsia="Times New Roman" w:hAnsi="Arial" w:cs="Arial"/>
          <w:color w:val="000000"/>
          <w:lang w:eastAsia="ja-JP"/>
        </w:rPr>
        <w:t xml:space="preserve"> locus.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xml:space="preserve">) Accompanying PCR illustrating the transgene integration at the ‘3 region of the </w:t>
      </w:r>
      <w:r w:rsidRPr="00D431D5">
        <w:rPr>
          <w:rFonts w:ascii="Arial" w:eastAsia="Times New Roman" w:hAnsi="Arial" w:cs="Arial"/>
          <w:i/>
          <w:color w:val="000000"/>
          <w:lang w:eastAsia="ja-JP"/>
        </w:rPr>
        <w:t>SMF2</w:t>
      </w:r>
      <w:r w:rsidRPr="00D431D5">
        <w:rPr>
          <w:rFonts w:ascii="Arial" w:eastAsia="Times New Roman" w:hAnsi="Arial" w:cs="Arial"/>
          <w:color w:val="000000"/>
          <w:lang w:eastAsia="ja-JP"/>
        </w:rPr>
        <w:t xml:space="preserve"> locus of the lines assayed in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xml:space="preserve">) Three independent lines of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 xml:space="preserve">have no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transcript present when RT-PCR was performed using cDNA generated from sporophyte/ gametophyte mix mRNA. (</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 A Rubisco small sub-unit (RbcS) control for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xml:space="preserve">) highlighting the presence of cDNA in all samples </w:t>
      </w:r>
      <w:r w:rsidRPr="00D431D5">
        <w:rPr>
          <w:rFonts w:ascii="Arial" w:eastAsia="Times New Roman" w:hAnsi="Arial" w:cs="Arial"/>
          <w:color w:val="000000"/>
          <w:lang w:eastAsia="ja-JP"/>
        </w:rPr>
        <w:lastRenderedPageBreak/>
        <w:t xml:space="preserve">assayed. Note for </w:t>
      </w:r>
      <w:r w:rsidRPr="00D431D5">
        <w:rPr>
          <w:rFonts w:ascii="Arial" w:eastAsia="Times New Roman" w:hAnsi="Arial" w:cs="Arial"/>
          <w:b/>
          <w:color w:val="000000"/>
          <w:lang w:eastAsia="ja-JP"/>
        </w:rPr>
        <w:t>a-d</w:t>
      </w:r>
      <w:r w:rsidRPr="00D431D5">
        <w:rPr>
          <w:rFonts w:ascii="Arial" w:eastAsia="Times New Roman" w:hAnsi="Arial" w:cs="Arial"/>
          <w:color w:val="000000"/>
          <w:lang w:eastAsia="ja-JP"/>
        </w:rPr>
        <w:t xml:space="preserve">, Gr is the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wild-type Gransden D12 strain and W is the water sample.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 Quantification of the number of stomata on 5 individual sporophyte capsules of equivalent size taken from the wild-type and three mutant lines. (</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 A Gransden D12 wild-type spore capsule with stomata radiating around the capsule base (see black arrows for representative stomata). (</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xml:space="preserve">) A representative </w:t>
      </w:r>
      <w:r w:rsidRPr="00D431D5">
        <w:rPr>
          <w:rFonts w:ascii="Arial" w:eastAsia="Times New Roman" w:hAnsi="Arial" w:cs="Arial"/>
          <w:i/>
          <w:color w:val="000000"/>
          <w:lang w:eastAsia="ja-JP"/>
        </w:rPr>
        <w:t xml:space="preserve">ppsmf2-17 </w:t>
      </w:r>
      <w:r w:rsidRPr="00D431D5">
        <w:rPr>
          <w:rFonts w:ascii="Arial" w:eastAsia="Times New Roman" w:hAnsi="Arial" w:cs="Arial"/>
          <w:color w:val="000000"/>
          <w:lang w:eastAsia="ja-JP"/>
        </w:rPr>
        <w:t xml:space="preserve">capsule with stomata comparable to </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h-k</w:t>
      </w:r>
      <w:r w:rsidRPr="00D431D5">
        <w:rPr>
          <w:rFonts w:ascii="Arial" w:eastAsia="Times New Roman" w:hAnsi="Arial" w:cs="Arial"/>
          <w:color w:val="000000"/>
          <w:lang w:eastAsia="ja-JP"/>
        </w:rPr>
        <w:t>) Close up representative images using bright-field and SEM of Gransden D12 (</w:t>
      </w:r>
      <w:r w:rsidRPr="00D431D5">
        <w:rPr>
          <w:rFonts w:ascii="Arial" w:eastAsia="Times New Roman" w:hAnsi="Arial" w:cs="Arial"/>
          <w:b/>
          <w:color w:val="000000"/>
          <w:lang w:eastAsia="ja-JP"/>
        </w:rPr>
        <w:t>h-i</w:t>
      </w:r>
      <w:r w:rsidRPr="00D431D5">
        <w:rPr>
          <w:rFonts w:ascii="Arial" w:eastAsia="Times New Roman" w:hAnsi="Arial" w:cs="Arial"/>
          <w:color w:val="000000"/>
          <w:lang w:eastAsia="ja-JP"/>
        </w:rPr>
        <w:t xml:space="preserve">), and </w:t>
      </w:r>
      <w:r w:rsidRPr="00D431D5">
        <w:rPr>
          <w:rFonts w:ascii="Arial" w:eastAsia="Times New Roman" w:hAnsi="Arial" w:cs="Arial"/>
          <w:i/>
          <w:color w:val="000000"/>
          <w:lang w:eastAsia="ja-JP"/>
        </w:rPr>
        <w:t xml:space="preserve">ppsmf2-17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j</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ppsmf2-20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k</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 A technovit sectioned, toluidine blue-stained Gransden D12 spore capsule with black arrow illustrating a stoma. (</w:t>
      </w:r>
      <w:r w:rsidRPr="00D431D5">
        <w:rPr>
          <w:rFonts w:ascii="Arial" w:eastAsia="Times New Roman" w:hAnsi="Arial" w:cs="Arial"/>
          <w:b/>
          <w:color w:val="000000"/>
          <w:lang w:eastAsia="ja-JP"/>
        </w:rPr>
        <w:t>m</w:t>
      </w:r>
      <w:r w:rsidRPr="00D431D5">
        <w:rPr>
          <w:rFonts w:ascii="Arial" w:eastAsia="Times New Roman" w:hAnsi="Arial" w:cs="Arial"/>
          <w:color w:val="000000"/>
          <w:lang w:eastAsia="ja-JP"/>
        </w:rPr>
        <w:t xml:space="preserve">) A representative </w:t>
      </w:r>
      <w:r w:rsidRPr="00D431D5">
        <w:rPr>
          <w:rFonts w:ascii="Arial" w:eastAsia="Times New Roman" w:hAnsi="Arial" w:cs="Arial"/>
          <w:i/>
          <w:color w:val="000000"/>
          <w:lang w:eastAsia="ja-JP"/>
        </w:rPr>
        <w:t xml:space="preserve">ppsmf2-18 </w:t>
      </w:r>
      <w:r w:rsidRPr="00D431D5">
        <w:rPr>
          <w:rFonts w:ascii="Arial" w:eastAsia="Times New Roman" w:hAnsi="Arial" w:cs="Arial"/>
          <w:color w:val="000000"/>
          <w:lang w:eastAsia="ja-JP"/>
        </w:rPr>
        <w:t>equivalent to (</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 xml:space="preserve">) also with a visible stoma. Note in both </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 xml:space="preserve"> and </w:t>
      </w:r>
      <w:r w:rsidRPr="00D431D5">
        <w:rPr>
          <w:rFonts w:ascii="Arial" w:eastAsia="Times New Roman" w:hAnsi="Arial" w:cs="Arial"/>
          <w:b/>
          <w:color w:val="000000"/>
          <w:lang w:eastAsia="ja-JP"/>
        </w:rPr>
        <w:t>m</w:t>
      </w:r>
      <w:r w:rsidRPr="00D431D5">
        <w:rPr>
          <w:rFonts w:ascii="Arial" w:eastAsia="Times New Roman" w:hAnsi="Arial" w:cs="Arial"/>
          <w:color w:val="000000"/>
          <w:lang w:eastAsia="ja-JP"/>
        </w:rPr>
        <w:t xml:space="preserve"> the underlying dark liquid in the sub-stomatal cavities. For </w:t>
      </w:r>
      <w:r w:rsidRPr="00D431D5">
        <w:rPr>
          <w:rFonts w:ascii="Arial" w:eastAsia="Times New Roman" w:hAnsi="Arial" w:cs="Arial"/>
          <w:b/>
          <w:color w:val="000000"/>
          <w:lang w:eastAsia="ja-JP"/>
        </w:rPr>
        <w:t xml:space="preserve">e </w:t>
      </w:r>
      <w:r w:rsidRPr="00D431D5">
        <w:rPr>
          <w:rFonts w:ascii="Arial" w:eastAsia="Times New Roman" w:hAnsi="Arial" w:cs="Arial"/>
          <w:color w:val="000000"/>
          <w:lang w:eastAsia="ja-JP"/>
        </w:rPr>
        <w:t xml:space="preserve">no statistical significances were detected between the wild-type and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 xml:space="preserve">lines when a one-way ANOVA using multiple comparisons corrected using a Dunnett’s test was performed. For the production of images </w:t>
      </w:r>
      <w:r w:rsidRPr="00D431D5">
        <w:rPr>
          <w:rFonts w:ascii="Arial" w:eastAsia="Times New Roman" w:hAnsi="Arial" w:cs="Arial"/>
          <w:b/>
          <w:color w:val="000000"/>
          <w:lang w:eastAsia="ja-JP"/>
        </w:rPr>
        <w:t xml:space="preserve">f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xml:space="preserve">, multiple images were taken of each sample which were stacked and subsequently flattened using the Z projection, Min Intensity function on imageJ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&lt;EndNote&gt;&lt;Cite&gt;&lt;Author&gt;Schneider&lt;/Author&gt;&lt;Year&gt;2012&lt;/Year&gt;&lt;IDText&gt;NIH Image to ImageJ: 25 years of image analysis&lt;/IDText&gt;&lt;DisplayText&gt;(Schneider et al., 2012)&lt;/DisplayText&gt;&lt;record&gt;&lt;dates&gt;&lt;pub-dates&gt;&lt;date&gt;Jul&lt;/date&gt;&lt;/pub-dates&gt;&lt;year&gt;2012&lt;/year&gt;&lt;/dates&gt;&lt;keywords&gt;&lt;keyword&gt;*Computational Biology/history/methods/trends&lt;/keyword&gt;&lt;keyword&gt;History, 20th Century&lt;/keyword&gt;&lt;keyword&gt;History, 21st Century&lt;/keyword&gt;&lt;keyword&gt;Image Processing, Computer-Assisted/*methods&lt;/keyword&gt;&lt;keyword&gt;National Institutes of Health (U.S.)&lt;/keyword&gt;&lt;keyword&gt;Software/*history/trends&lt;/keyword&gt;&lt;keyword&gt;United States&lt;/keyword&gt;&lt;/keywords&gt;&lt;isbn&gt;1548-7091&lt;/isbn&gt;&lt;titles&gt;&lt;title&gt;NIH Image to ImageJ: 25 years of image analysis&lt;/title&gt;&lt;secondary-title&gt;Nat Methods&lt;/secondary-title&gt;&lt;alt-title&gt;Nature methods&lt;/alt-title&gt;&lt;/titles&gt;&lt;pages&gt;671-5&lt;/pages&gt;&lt;number&gt;7&lt;/number&gt;&lt;contributors&gt;&lt;authors&gt;&lt;author&gt;Schneider, C. A.&lt;/author&gt;&lt;author&gt;Rasband, W. S.&lt;/author&gt;&lt;author&gt;Eliceiri, K. W.&lt;/author&gt;&lt;/authors&gt;&lt;/contributors&gt;&lt;edition&gt;2012/08/30&lt;/edition&gt;&lt;language&gt;eng&lt;/language&gt;&lt;added-date format="utc"&gt;1455184195&lt;/added-date&gt;&lt;ref-type name="Journal Article"&gt;17&lt;/ref-type&gt;&lt;auth-address&gt;Laboratory for Optical and Computational Instrumentation, University of Wisconsin at Madison, Madison, Wisconsin, USA.&lt;/auth-address&gt;&lt;remote-database-provider&gt;NLM&lt;/remote-database-provider&gt;&lt;rec-number&gt;824&lt;/rec-number&gt;&lt;last-updated-date format="utc"&gt;1455184195&lt;/last-updated-date&gt;&lt;accession-num&gt;22930834&lt;/accession-num&gt;&lt;volume&gt;9&lt;/volume&gt;&lt;/record&gt;&lt;/Cite&gt;&lt;/EndNote&gt;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(Schneider et al., 2012)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Scale bars are as follows: </w:t>
      </w:r>
      <w:r w:rsidRPr="00D431D5">
        <w:rPr>
          <w:rFonts w:ascii="Arial" w:eastAsia="Times New Roman" w:hAnsi="Arial" w:cs="Arial"/>
          <w:b/>
          <w:color w:val="000000"/>
          <w:lang w:eastAsia="ja-JP"/>
        </w:rPr>
        <w:t xml:space="preserve">f </w:t>
      </w:r>
      <w:r w:rsidRPr="00D431D5">
        <w:rPr>
          <w:rFonts w:ascii="Arial" w:eastAsia="Times New Roman" w:hAnsi="Arial" w:cs="Arial"/>
          <w:color w:val="000000"/>
          <w:lang w:eastAsia="ja-JP"/>
        </w:rPr>
        <w:t>and</w:t>
      </w:r>
      <w:r w:rsidRPr="00D431D5">
        <w:rPr>
          <w:rFonts w:ascii="Arial" w:eastAsia="Times New Roman" w:hAnsi="Arial" w:cs="Arial"/>
          <w:b/>
          <w:color w:val="000000"/>
          <w:lang w:eastAsia="ja-JP"/>
        </w:rPr>
        <w:t xml:space="preserve"> g</w:t>
      </w:r>
      <w:r w:rsidRPr="00D431D5">
        <w:rPr>
          <w:rFonts w:ascii="Arial" w:eastAsia="Times New Roman" w:hAnsi="Arial" w:cs="Arial"/>
          <w:color w:val="000000"/>
          <w:lang w:eastAsia="ja-JP"/>
        </w:rPr>
        <w:t xml:space="preserve">, 100µm, </w:t>
      </w:r>
      <w:r w:rsidRPr="00D431D5">
        <w:rPr>
          <w:rFonts w:ascii="Arial" w:eastAsia="Times New Roman" w:hAnsi="Arial" w:cs="Arial"/>
          <w:b/>
          <w:color w:val="000000"/>
          <w:lang w:eastAsia="ja-JP"/>
        </w:rPr>
        <w:t>h-k</w:t>
      </w:r>
      <w:r w:rsidRPr="00D431D5">
        <w:rPr>
          <w:rFonts w:ascii="Arial" w:eastAsia="Times New Roman" w:hAnsi="Arial" w:cs="Arial"/>
          <w:color w:val="000000"/>
          <w:lang w:eastAsia="ja-JP"/>
        </w:rPr>
        <w:t xml:space="preserve">, 25µm and </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 xml:space="preserve"> and </w:t>
      </w:r>
      <w:r w:rsidRPr="00D431D5">
        <w:rPr>
          <w:rFonts w:ascii="Arial" w:eastAsia="Times New Roman" w:hAnsi="Arial" w:cs="Arial"/>
          <w:b/>
          <w:color w:val="000000"/>
          <w:lang w:eastAsia="ja-JP"/>
        </w:rPr>
        <w:t>m</w:t>
      </w:r>
      <w:r w:rsidRPr="00D431D5">
        <w:rPr>
          <w:rFonts w:ascii="Arial" w:eastAsia="Times New Roman" w:hAnsi="Arial" w:cs="Arial"/>
          <w:color w:val="000000"/>
          <w:lang w:eastAsia="ja-JP"/>
        </w:rPr>
        <w:t xml:space="preserve"> 50µm. Error bars = s.e.m.  </w:t>
      </w:r>
    </w:p>
    <w:p w14:paraId="043E4975" w14:textId="55A37E79"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To quantify whether stomatal development was effected in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lines, the number of stomata on 5 capsules of equivalent size from the wild-type and the 3 mutant lines were counted (</w:t>
      </w:r>
      <w:r w:rsidRPr="00D431D5">
        <w:rPr>
          <w:rFonts w:ascii="Arial" w:eastAsia="Times New Roman" w:hAnsi="Arial" w:cs="Arial"/>
          <w:b/>
          <w:color w:val="000000"/>
          <w:lang w:eastAsia="ja-JP"/>
        </w:rPr>
        <w:t>Fig. 12e</w:t>
      </w:r>
      <w:r w:rsidRPr="00D431D5">
        <w:rPr>
          <w:rFonts w:ascii="Arial" w:eastAsia="Times New Roman" w:hAnsi="Arial" w:cs="Arial"/>
          <w:color w:val="000000"/>
          <w:lang w:eastAsia="ja-JP"/>
        </w:rPr>
        <w:t>). No significant differences were observed between the wild-type and any of the mutant lines when a one-way ANOVA was performed. Comparatively to the wild-type (</w:t>
      </w:r>
      <w:r w:rsidRPr="00D431D5">
        <w:rPr>
          <w:rFonts w:ascii="Arial" w:eastAsia="Times New Roman" w:hAnsi="Arial" w:cs="Arial"/>
          <w:b/>
          <w:color w:val="000000"/>
          <w:lang w:eastAsia="ja-JP"/>
        </w:rPr>
        <w:t>Fig. 12f</w:t>
      </w:r>
      <w:r w:rsidRPr="00D431D5">
        <w:rPr>
          <w:rFonts w:ascii="Arial" w:eastAsia="Times New Roman" w:hAnsi="Arial" w:cs="Arial"/>
          <w:color w:val="000000"/>
          <w:lang w:eastAsia="ja-JP"/>
        </w:rPr>
        <w:t xml:space="preserve">), there were also no discernible differences in the layout of guard cells on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capsules (</w:t>
      </w:r>
      <w:r w:rsidRPr="00D431D5">
        <w:rPr>
          <w:rFonts w:ascii="Arial" w:eastAsia="Times New Roman" w:hAnsi="Arial" w:cs="Arial"/>
          <w:b/>
          <w:color w:val="000000"/>
          <w:lang w:eastAsia="ja-JP"/>
        </w:rPr>
        <w:t>Fig. 12g</w:t>
      </w:r>
      <w:r w:rsidRPr="00D431D5">
        <w:rPr>
          <w:rFonts w:ascii="Arial" w:eastAsia="Times New Roman" w:hAnsi="Arial" w:cs="Arial"/>
          <w:color w:val="000000"/>
          <w:lang w:eastAsia="ja-JP"/>
        </w:rPr>
        <w:t>). When closer observations of stomata and surrounding cells were performed, again, comparatively to wild-type (</w:t>
      </w:r>
      <w:r w:rsidRPr="00D431D5">
        <w:rPr>
          <w:rFonts w:ascii="Arial" w:eastAsia="Times New Roman" w:hAnsi="Arial" w:cs="Arial"/>
          <w:b/>
          <w:color w:val="000000"/>
          <w:lang w:eastAsia="ja-JP"/>
        </w:rPr>
        <w:t>Fig. 12h</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i</w:t>
      </w:r>
      <w:r w:rsidRPr="00D431D5">
        <w:rPr>
          <w:rFonts w:ascii="Arial" w:eastAsia="Times New Roman" w:hAnsi="Arial" w:cs="Arial"/>
          <w:color w:val="000000"/>
          <w:lang w:eastAsia="ja-JP"/>
        </w:rPr>
        <w:t xml:space="preserve">), there were no obvious differences in the </w:t>
      </w:r>
      <w:r w:rsidRPr="00D431D5">
        <w:rPr>
          <w:rFonts w:ascii="Arial" w:eastAsia="Times New Roman" w:hAnsi="Arial" w:cs="Arial"/>
          <w:i/>
          <w:color w:val="000000"/>
          <w:lang w:eastAsia="ja-JP"/>
        </w:rPr>
        <w:t>ppsmf2</w:t>
      </w:r>
      <w:r w:rsidRPr="00D431D5">
        <w:rPr>
          <w:rFonts w:ascii="Arial" w:eastAsia="Times New Roman" w:hAnsi="Arial" w:cs="Arial"/>
          <w:color w:val="000000"/>
          <w:lang w:eastAsia="ja-JP"/>
        </w:rPr>
        <w:t xml:space="preserve"> lines (</w:t>
      </w:r>
      <w:r w:rsidRPr="00D431D5">
        <w:rPr>
          <w:rFonts w:ascii="Arial" w:eastAsia="Times New Roman" w:hAnsi="Arial" w:cs="Arial"/>
          <w:b/>
          <w:color w:val="000000"/>
          <w:lang w:eastAsia="ja-JP"/>
        </w:rPr>
        <w:t>Fig. 12j</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k</w:t>
      </w:r>
      <w:r w:rsidRPr="00D431D5">
        <w:rPr>
          <w:rFonts w:ascii="Arial" w:eastAsia="Times New Roman" w:hAnsi="Arial" w:cs="Arial"/>
          <w:color w:val="000000"/>
          <w:lang w:eastAsia="ja-JP"/>
        </w:rPr>
        <w:t xml:space="preserve">). To test whether sub-stomatal cavity formation was interrupted in </w:t>
      </w:r>
      <w:r w:rsidRPr="00D431D5">
        <w:rPr>
          <w:rFonts w:ascii="Arial" w:eastAsia="Times New Roman" w:hAnsi="Arial" w:cs="Arial"/>
          <w:i/>
          <w:color w:val="000000"/>
          <w:lang w:eastAsia="ja-JP"/>
        </w:rPr>
        <w:t>ppsmf2</w:t>
      </w:r>
      <w:r w:rsidRPr="00D431D5">
        <w:rPr>
          <w:rFonts w:ascii="Arial" w:eastAsia="Times New Roman" w:hAnsi="Arial" w:cs="Arial"/>
          <w:color w:val="000000"/>
          <w:lang w:eastAsia="ja-JP"/>
        </w:rPr>
        <w:t xml:space="preserve">, as was the case in </w:t>
      </w:r>
      <w:r w:rsidRPr="00D431D5">
        <w:rPr>
          <w:rFonts w:ascii="Arial" w:eastAsia="Times New Roman" w:hAnsi="Arial" w:cs="Arial"/>
          <w:i/>
          <w:color w:val="000000"/>
          <w:lang w:eastAsia="ja-JP"/>
        </w:rPr>
        <w:t>ppsmf1</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Fig. 12m</w:t>
      </w:r>
      <w:r w:rsidRPr="00D431D5">
        <w:rPr>
          <w:rFonts w:ascii="Arial" w:eastAsia="Times New Roman" w:hAnsi="Arial" w:cs="Arial"/>
          <w:color w:val="000000"/>
          <w:lang w:eastAsia="ja-JP"/>
        </w:rPr>
        <w:t>), mature Gransden D12 wild-type (</w:t>
      </w:r>
      <w:r w:rsidRPr="00D431D5">
        <w:rPr>
          <w:rFonts w:ascii="Arial" w:eastAsia="Times New Roman" w:hAnsi="Arial" w:cs="Arial"/>
          <w:b/>
          <w:color w:val="000000"/>
          <w:lang w:eastAsia="ja-JP"/>
        </w:rPr>
        <w:t>Fig. 12l</w:t>
      </w:r>
      <w:r w:rsidRPr="00D431D5">
        <w:rPr>
          <w:rFonts w:ascii="Arial" w:eastAsia="Times New Roman" w:hAnsi="Arial" w:cs="Arial"/>
          <w:color w:val="000000"/>
          <w:lang w:eastAsia="ja-JP"/>
        </w:rPr>
        <w:t xml:space="preserve">) and </w:t>
      </w:r>
      <w:r w:rsidRPr="00D431D5">
        <w:rPr>
          <w:rFonts w:ascii="Arial" w:eastAsia="Times New Roman" w:hAnsi="Arial" w:cs="Arial"/>
          <w:i/>
          <w:color w:val="000000"/>
          <w:lang w:eastAsia="ja-JP"/>
        </w:rPr>
        <w:t>ppsmf2</w:t>
      </w:r>
      <w:r w:rsidRPr="00D431D5">
        <w:rPr>
          <w:rFonts w:ascii="Arial" w:eastAsia="Times New Roman" w:hAnsi="Arial" w:cs="Arial"/>
          <w:color w:val="000000"/>
          <w:lang w:eastAsia="ja-JP"/>
        </w:rPr>
        <w:t xml:space="preserve"> capsules (</w:t>
      </w:r>
      <w:r w:rsidRPr="00D431D5">
        <w:rPr>
          <w:rFonts w:ascii="Arial" w:eastAsia="Times New Roman" w:hAnsi="Arial" w:cs="Arial"/>
          <w:b/>
          <w:color w:val="000000"/>
          <w:lang w:eastAsia="ja-JP"/>
        </w:rPr>
        <w:t>Fig. 12m</w:t>
      </w:r>
      <w:r w:rsidRPr="00D431D5">
        <w:rPr>
          <w:rFonts w:ascii="Arial" w:eastAsia="Times New Roman" w:hAnsi="Arial" w:cs="Arial"/>
          <w:color w:val="000000"/>
          <w:lang w:eastAsia="ja-JP"/>
        </w:rPr>
        <w:t xml:space="preserve">) were also sectioned. Unlike in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capsules, in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the formation of a sub-stomatal cavity developed akin to wild-type</w:t>
      </w:r>
      <w:r w:rsidR="00E552D9">
        <w:rPr>
          <w:rFonts w:ascii="Arial" w:eastAsia="Times New Roman" w:hAnsi="Arial" w:cs="Arial"/>
          <w:color w:val="000000"/>
          <w:lang w:eastAsia="ja-JP"/>
        </w:rPr>
        <w:t xml:space="preserve"> with accompanying mucillage</w:t>
      </w:r>
      <w:r w:rsidRPr="00D431D5">
        <w:rPr>
          <w:rFonts w:ascii="Arial" w:eastAsia="Times New Roman" w:hAnsi="Arial" w:cs="Arial"/>
          <w:color w:val="000000"/>
          <w:lang w:eastAsia="ja-JP"/>
        </w:rPr>
        <w:t>.</w:t>
      </w:r>
    </w:p>
    <w:p w14:paraId="6494D090" w14:textId="77777777" w:rsidR="00D431D5" w:rsidRPr="00D431D5" w:rsidRDefault="00D431D5" w:rsidP="00D431D5">
      <w:pPr>
        <w:tabs>
          <w:tab w:val="left" w:pos="6663"/>
        </w:tabs>
        <w:spacing w:after="160" w:line="360" w:lineRule="auto"/>
        <w:rPr>
          <w:rFonts w:ascii="Arial" w:eastAsia="Times New Roman" w:hAnsi="Arial" w:cs="Arial"/>
          <w:color w:val="000000"/>
          <w:u w:val="single"/>
          <w:lang w:eastAsia="ja-JP"/>
        </w:rPr>
      </w:pPr>
      <w:r w:rsidRPr="00D431D5">
        <w:rPr>
          <w:rFonts w:ascii="Arial" w:eastAsia="Times New Roman" w:hAnsi="Arial" w:cs="Arial"/>
          <w:color w:val="000000"/>
          <w:u w:val="single"/>
          <w:lang w:eastAsia="ja-JP"/>
        </w:rPr>
        <w:t xml:space="preserve">3.2.9 </w:t>
      </w:r>
      <w:r w:rsidRPr="00D431D5">
        <w:rPr>
          <w:rFonts w:ascii="Arial" w:eastAsia="Times New Roman" w:hAnsi="Arial" w:cs="Arial"/>
          <w:i/>
          <w:color w:val="000000"/>
          <w:u w:val="single"/>
          <w:lang w:eastAsia="ja-JP"/>
        </w:rPr>
        <w:t>PpSCRM1</w:t>
      </w:r>
      <w:r w:rsidRPr="00D431D5">
        <w:rPr>
          <w:rFonts w:ascii="Arial" w:eastAsia="Times New Roman" w:hAnsi="Arial" w:cs="Arial"/>
          <w:color w:val="000000"/>
          <w:u w:val="single"/>
          <w:lang w:eastAsia="ja-JP"/>
        </w:rPr>
        <w:t xml:space="preserve">: an orthologous gene to vascular land plant </w:t>
      </w:r>
      <w:r w:rsidRPr="00D431D5">
        <w:rPr>
          <w:rFonts w:ascii="Arial" w:eastAsia="Times New Roman" w:hAnsi="Arial" w:cs="Arial"/>
          <w:i/>
          <w:color w:val="000000"/>
          <w:u w:val="single"/>
          <w:lang w:eastAsia="ja-JP"/>
        </w:rPr>
        <w:t>ICE1/SCRM</w:t>
      </w:r>
      <w:r w:rsidRPr="00D431D5">
        <w:rPr>
          <w:rFonts w:ascii="Arial" w:eastAsia="Times New Roman" w:hAnsi="Arial" w:cs="Arial"/>
          <w:color w:val="000000"/>
          <w:u w:val="single"/>
          <w:lang w:eastAsia="ja-JP"/>
        </w:rPr>
        <w:t xml:space="preserve"> and </w:t>
      </w:r>
      <w:r w:rsidRPr="00D431D5">
        <w:rPr>
          <w:rFonts w:ascii="Arial" w:eastAsia="Times New Roman" w:hAnsi="Arial" w:cs="Arial"/>
          <w:i/>
          <w:color w:val="000000"/>
          <w:u w:val="single"/>
          <w:lang w:eastAsia="ja-JP"/>
        </w:rPr>
        <w:t>ICE2/SCRM2</w:t>
      </w:r>
      <w:r w:rsidRPr="00D431D5">
        <w:rPr>
          <w:rFonts w:ascii="Arial" w:eastAsia="Times New Roman" w:hAnsi="Arial" w:cs="Arial"/>
          <w:color w:val="000000"/>
          <w:u w:val="single"/>
          <w:lang w:eastAsia="ja-JP"/>
        </w:rPr>
        <w:t xml:space="preserve"> is fundamental for stomatal development to occur in </w:t>
      </w:r>
      <w:r w:rsidRPr="00D431D5">
        <w:rPr>
          <w:rFonts w:ascii="Arial" w:eastAsia="Times New Roman" w:hAnsi="Arial" w:cs="Arial"/>
          <w:i/>
          <w:color w:val="000000"/>
          <w:u w:val="single"/>
          <w:lang w:eastAsia="ja-JP"/>
        </w:rPr>
        <w:t>P. patens</w:t>
      </w:r>
    </w:p>
    <w:p w14:paraId="3C1213F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Unlike with </w:t>
      </w:r>
      <w:r w:rsidRPr="00D431D5">
        <w:rPr>
          <w:rFonts w:ascii="Arial" w:eastAsia="Times New Roman" w:hAnsi="Arial" w:cs="Arial"/>
          <w:i/>
          <w:color w:val="000000"/>
          <w:lang w:eastAsia="ja-JP"/>
        </w:rPr>
        <w:t>PpSMF1</w:t>
      </w:r>
      <w:r w:rsidRPr="00D431D5">
        <w:rPr>
          <w:rFonts w:ascii="Arial" w:eastAsia="Times New Roman" w:hAnsi="Arial" w:cs="Arial"/>
          <w:color w:val="000000"/>
          <w:lang w:eastAsia="ja-JP"/>
        </w:rPr>
        <w:t xml:space="preserve"> and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 xml:space="preserve">complementation experiments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&lt;EndNote&gt;&lt;Cite&gt;&lt;Author&gt;MacAlister&lt;/Author&gt;&lt;Year&gt;2011&lt;/Year&gt;&lt;IDText&gt;Sequence and function of basic helix-loop-helix proteins required for stomatal development in Arabidopsis are deeply conserved in land plants&lt;/IDText&gt;&lt;DisplayText&gt;(MacAlister and Bergmann, 2011)&lt;/DisplayText&gt;&lt;record&gt;&lt;dates&gt;&lt;pub-dates&gt;&lt;date&gt;Mar-Apr&lt;/date&gt;&lt;/pub-dates&gt;&lt;year&gt;2011&lt;/year&gt;&lt;/dates&gt;&lt;keywords&gt;&lt;keyword&gt;TRANSCRIPTION FACTOR FAMILY&lt;/keyword&gt;&lt;keyword&gt;MONOCOT-DICOT DIVERGENCE&lt;/keyword&gt;&lt;keyword&gt;EVOLUTION&lt;/keyword&gt;&lt;keyword&gt;DIVERSITY&lt;/keyword&gt;&lt;keyword&gt;GENES&lt;/keyword&gt;&lt;keyword&gt;DIFFERENTIATION&lt;/keyword&gt;&lt;keyword&gt;THALIANA&lt;/keyword&gt;&lt;keyword&gt;MUTANTS&lt;/keyword&gt;&lt;keyword&gt;GENOMES&lt;/keyword&gt;&lt;keyword&gt;CASCADE&lt;/keyword&gt;&lt;/keywords&gt;&lt;urls&gt;&lt;related-urls&gt;&lt;url&gt;&amp;lt;Go to ISI&amp;gt;://WOS:000288502600007&lt;/url&gt;&lt;/related-urls&gt;&lt;/urls&gt;&lt;isbn&gt;1520-541X&lt;/isbn&gt;&lt;work-type&gt;Article&lt;/work-type&gt;&lt;titles&gt;&lt;title&gt;Sequence and function of basic helix-loop-helix proteins required for stomatal development in Arabidopsis are deeply conserved in land plants&lt;/title&gt;&lt;secondary-title&gt;Evolution &amp;amp; Development&lt;/secondary-title&gt;&lt;alt-title&gt;Evol. Dev.&lt;/alt-title&gt;&lt;/titles&gt;&lt;pages&gt;182-192&lt;/pages&gt;&lt;number&gt;2&lt;/number&gt;&lt;contributors&gt;&lt;authors&gt;&lt;author&gt;MacAlister, C. A.&lt;/author&gt;&lt;author&gt;Bergmann, D. C.&lt;/author&gt;&lt;/authors&gt;&lt;/contributors&gt;&lt;language&gt;English&lt;/language&gt;&lt;added-date format="utc"&gt;1354083840&lt;/added-date&gt;&lt;ref-type name="Journal Article"&gt;17&lt;/ref-type&gt;&lt;auth-address&gt;[MacAlister, Cora A.&amp;#xD;Bergmann, Dominique C.] Stanford Univ, Dept Biol, Stanford, CA 94305 USA.&amp;#xD;MacAlister, CA (reprint author), Cold Spring Harbor Lab, POB 100, Cold Spring Harbor, NY 11724 USA.&amp;#xD;cmacalis@cshl.edu&lt;/auth-address&gt;&lt;rec-number&gt;61&lt;/rec-number&gt;&lt;last-updated-date format="utc"&gt;1354083840&lt;/last-updated-date&gt;&lt;accession-num&gt;WOS:000288502600007&lt;/accession-num&gt;&lt;electronic-resource-num&gt;10.1111/j.1525-142X.2011.00468.x&lt;/electronic-resource-num&gt;&lt;volume&gt;13&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(MacAlister and Bergmann, 2011)</w:t>
      </w:r>
      <w:r w:rsidRPr="00D431D5">
        <w:rPr>
          <w:rFonts w:ascii="Arial" w:eastAsia="Times New Roman" w:hAnsi="Arial" w:cs="Arial"/>
          <w:color w:val="000000"/>
          <w:lang w:eastAsia="ja-JP"/>
        </w:rPr>
        <w:fldChar w:fldCharType="end"/>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there has been no published evidence relating to the potential function of </w:t>
      </w:r>
      <w:r w:rsidRPr="00D431D5">
        <w:rPr>
          <w:rFonts w:ascii="Arial" w:eastAsia="Times New Roman" w:hAnsi="Arial" w:cs="Arial"/>
          <w:i/>
          <w:color w:val="000000"/>
          <w:lang w:eastAsia="ja-JP"/>
        </w:rPr>
        <w:t>ICE</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SCRM </w:t>
      </w:r>
      <w:r w:rsidRPr="00D431D5">
        <w:rPr>
          <w:rFonts w:ascii="Arial" w:eastAsia="Times New Roman" w:hAnsi="Arial" w:cs="Arial"/>
          <w:color w:val="000000"/>
          <w:lang w:eastAsia="ja-JP"/>
        </w:rPr>
        <w:t xml:space="preserve">orthologues in non-vascular land plants. To authenticate the no expression genotype of the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lines kindly provided by Dr Marta Tomek at the University of Freiburg, RT-PCR was performed to verify absence of the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transcript (</w:t>
      </w:r>
      <w:r w:rsidRPr="00D431D5">
        <w:rPr>
          <w:rFonts w:ascii="Arial" w:eastAsia="Times New Roman" w:hAnsi="Arial" w:cs="Arial"/>
          <w:b/>
          <w:color w:val="000000"/>
          <w:lang w:eastAsia="ja-JP"/>
        </w:rPr>
        <w:t>Fig. 13a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xml:space="preserve">). As expected no </w:t>
      </w:r>
      <w:r w:rsidRPr="00D431D5">
        <w:rPr>
          <w:rFonts w:ascii="Arial" w:eastAsia="Times New Roman" w:hAnsi="Arial" w:cs="Arial"/>
          <w:i/>
          <w:color w:val="000000"/>
          <w:lang w:eastAsia="ja-JP"/>
        </w:rPr>
        <w:t>PpSCRM1</w:t>
      </w:r>
      <w:r w:rsidRPr="00D431D5">
        <w:rPr>
          <w:rFonts w:ascii="Arial" w:eastAsia="Times New Roman" w:hAnsi="Arial" w:cs="Arial"/>
          <w:color w:val="000000"/>
          <w:lang w:eastAsia="ja-JP"/>
        </w:rPr>
        <w:t xml:space="preserve"> transcript was detected in the cDNA produced from mRNA </w:t>
      </w:r>
      <w:r w:rsidRPr="00D431D5">
        <w:rPr>
          <w:rFonts w:ascii="Arial" w:eastAsia="Times New Roman" w:hAnsi="Arial" w:cs="Arial"/>
          <w:color w:val="000000"/>
          <w:lang w:eastAsia="ja-JP"/>
        </w:rPr>
        <w:lastRenderedPageBreak/>
        <w:t xml:space="preserve">derived sporophyte and gametophyte mixed tissue samples. The RbcS control amplified correctly in all samples thereby reaffirming the result of an absence of transcript in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lines (</w:t>
      </w:r>
      <w:r w:rsidRPr="00D431D5">
        <w:rPr>
          <w:rFonts w:ascii="Arial" w:eastAsia="Times New Roman" w:hAnsi="Arial" w:cs="Arial"/>
          <w:b/>
          <w:color w:val="000000"/>
          <w:lang w:eastAsia="ja-JP"/>
        </w:rPr>
        <w:t>Fig. 13b</w:t>
      </w:r>
      <w:r w:rsidRPr="00D431D5">
        <w:rPr>
          <w:rFonts w:ascii="Arial" w:eastAsia="Times New Roman" w:hAnsi="Arial" w:cs="Arial"/>
          <w:color w:val="000000"/>
          <w:lang w:eastAsia="ja-JP"/>
        </w:rPr>
        <w:t>).</w:t>
      </w:r>
    </w:p>
    <w:p w14:paraId="1C946A3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As with the KO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lines (</w:t>
      </w:r>
      <w:r w:rsidRPr="00D431D5">
        <w:rPr>
          <w:rFonts w:ascii="Arial" w:eastAsia="Times New Roman" w:hAnsi="Arial" w:cs="Arial"/>
          <w:b/>
          <w:color w:val="000000"/>
          <w:lang w:eastAsia="ja-JP"/>
        </w:rPr>
        <w:t>Fig. 11e</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 xml:space="preserve">), the KO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lines also had a striking absence of stomata on the spore capsule base (</w:t>
      </w:r>
      <w:r w:rsidRPr="00D431D5">
        <w:rPr>
          <w:rFonts w:ascii="Arial" w:eastAsia="Times New Roman" w:hAnsi="Arial" w:cs="Arial"/>
          <w:b/>
          <w:color w:val="000000"/>
          <w:lang w:eastAsia="ja-JP"/>
        </w:rPr>
        <w:t>Fig. 13c</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 xml:space="preserve">). Quantification of stomatal number on 7 spore capsules from the wild-type and each of the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lines confirmed that no mature stomata were present on any of the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samples (</w:t>
      </w:r>
      <w:r w:rsidRPr="00D431D5">
        <w:rPr>
          <w:rFonts w:ascii="Arial" w:eastAsia="Times New Roman" w:hAnsi="Arial" w:cs="Arial"/>
          <w:b/>
          <w:color w:val="000000"/>
          <w:lang w:eastAsia="ja-JP"/>
        </w:rPr>
        <w:t>Fig. 13e</w:t>
      </w:r>
      <w:r w:rsidRPr="00D431D5">
        <w:rPr>
          <w:rFonts w:ascii="Arial" w:eastAsia="Times New Roman" w:hAnsi="Arial" w:cs="Arial"/>
          <w:color w:val="000000"/>
          <w:lang w:eastAsia="ja-JP"/>
        </w:rPr>
        <w:t xml:space="preserve">). As expected, a wild-type value of around 15 stomata per capsule observed here in the Gransden 2004 ecotype was quite similar to the values obtained for Villersexel K3 and Gransden D12 ecotypes used as background controls for the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Fig. 11g</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Fig. 12e</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mutants. Like with ppsmf1, the bases of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mutants were flatter than the wild-type equivalents which had stomata visibly protruding from the capsule base (</w:t>
      </w:r>
      <w:r w:rsidRPr="00D431D5">
        <w:rPr>
          <w:rFonts w:ascii="Arial" w:eastAsia="Times New Roman" w:hAnsi="Arial" w:cs="Arial"/>
          <w:b/>
          <w:color w:val="000000"/>
          <w:lang w:eastAsia="ja-JP"/>
        </w:rPr>
        <w:t>Fig. 13f</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xml:space="preserve">). Such changes of topography on the epidermis and the absence of stomata did not impact the overall size of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mutant sporophytes which were similar to the wild-type background (</w:t>
      </w:r>
      <w:r w:rsidRPr="00D431D5">
        <w:rPr>
          <w:rFonts w:ascii="Arial" w:eastAsia="Times New Roman" w:hAnsi="Arial" w:cs="Arial"/>
          <w:b/>
          <w:color w:val="000000"/>
          <w:lang w:eastAsia="ja-JP"/>
        </w:rPr>
        <w:t>Fig. 13h</w:t>
      </w:r>
      <w:r w:rsidRPr="00D431D5">
        <w:rPr>
          <w:rFonts w:ascii="Arial" w:eastAsia="Times New Roman" w:hAnsi="Arial" w:cs="Arial"/>
          <w:color w:val="000000"/>
          <w:lang w:eastAsia="ja-JP"/>
        </w:rPr>
        <w:t>).</w:t>
      </w:r>
    </w:p>
    <w:p w14:paraId="04BB42AF" w14:textId="77777777" w:rsidR="00D431D5" w:rsidRPr="00D431D5" w:rsidRDefault="00D431D5" w:rsidP="008653D0">
      <w:pPr>
        <w:tabs>
          <w:tab w:val="left" w:pos="6663"/>
        </w:tabs>
        <w:spacing w:after="160" w:line="360" w:lineRule="auto"/>
        <w:jc w:val="center"/>
        <w:rPr>
          <w:rFonts w:ascii="Arial" w:eastAsia="Times New Roman" w:hAnsi="Arial" w:cs="Arial"/>
          <w:color w:val="000000"/>
          <w:lang w:eastAsia="ja-JP"/>
        </w:rPr>
      </w:pPr>
      <w:r w:rsidRPr="00D431D5">
        <w:rPr>
          <w:rFonts w:ascii="Arial" w:eastAsia="Times New Roman" w:hAnsi="Arial" w:cs="Arial"/>
          <w:noProof/>
          <w:color w:val="000000"/>
          <w:lang w:eastAsia="ja-JP"/>
        </w:rPr>
        <w:lastRenderedPageBreak/>
        <w:drawing>
          <wp:inline distT="0" distB="0" distL="0" distR="0" wp14:anchorId="23A5E661" wp14:editId="2E83EC95">
            <wp:extent cx="4984750" cy="886333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odder.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984750" cy="8863330"/>
                    </a:xfrm>
                    <a:prstGeom prst="rect">
                      <a:avLst/>
                    </a:prstGeom>
                  </pic:spPr>
                </pic:pic>
              </a:graphicData>
            </a:graphic>
          </wp:inline>
        </w:drawing>
      </w:r>
    </w:p>
    <w:p w14:paraId="1EF9D55F"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b/>
          <w:color w:val="000000"/>
          <w:lang w:eastAsia="ja-JP"/>
        </w:rPr>
        <w:lastRenderedPageBreak/>
        <w:t xml:space="preserve">Figure 13. The deeply conserved </w:t>
      </w:r>
      <w:r w:rsidRPr="00D431D5">
        <w:rPr>
          <w:rFonts w:ascii="Arial" w:eastAsia="Times New Roman" w:hAnsi="Arial" w:cs="Arial"/>
          <w:b/>
          <w:i/>
          <w:color w:val="000000"/>
          <w:lang w:eastAsia="ja-JP"/>
        </w:rPr>
        <w:t xml:space="preserve">PpSCRM1 </w:t>
      </w:r>
      <w:r w:rsidRPr="00D431D5">
        <w:rPr>
          <w:rFonts w:ascii="Arial" w:eastAsia="Times New Roman" w:hAnsi="Arial" w:cs="Arial"/>
          <w:b/>
          <w:color w:val="000000"/>
          <w:lang w:eastAsia="ja-JP"/>
        </w:rPr>
        <w:t xml:space="preserve">gene is integral during stomatal development in </w:t>
      </w:r>
      <w:r w:rsidRPr="00D431D5">
        <w:rPr>
          <w:rFonts w:ascii="Arial" w:eastAsia="Times New Roman" w:hAnsi="Arial" w:cs="Arial"/>
          <w:b/>
          <w:i/>
          <w:color w:val="000000"/>
          <w:lang w:eastAsia="ja-JP"/>
        </w:rPr>
        <w:t xml:space="preserve">P. patens.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xml:space="preserve">) Two independent lines of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have no </w:t>
      </w:r>
      <w:r w:rsidRPr="00D431D5">
        <w:rPr>
          <w:rFonts w:ascii="Arial" w:eastAsia="Times New Roman" w:hAnsi="Arial" w:cs="Arial"/>
          <w:i/>
          <w:color w:val="000000"/>
          <w:lang w:eastAsia="ja-JP"/>
        </w:rPr>
        <w:t>PpSCRM1</w:t>
      </w:r>
      <w:r w:rsidRPr="00D431D5">
        <w:rPr>
          <w:rFonts w:ascii="Arial" w:eastAsia="Times New Roman" w:hAnsi="Arial" w:cs="Arial"/>
          <w:color w:val="000000"/>
          <w:lang w:eastAsia="ja-JP"/>
        </w:rPr>
        <w:t xml:space="preserve"> transcript present when RT-PCR was performed using cDNA generated from sporophyte/ gametophyte mix mRNA.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A Rubisco small sub-unit control (RbcS) for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xml:space="preserve">) highlighting the presence of cDNA in all samples assayed. Note for </w:t>
      </w:r>
      <w:r w:rsidRPr="00D431D5">
        <w:rPr>
          <w:rFonts w:ascii="Arial" w:eastAsia="Times New Roman" w:hAnsi="Arial" w:cs="Arial"/>
          <w:b/>
          <w:color w:val="000000"/>
          <w:lang w:eastAsia="ja-JP"/>
        </w:rPr>
        <w:t xml:space="preserve">a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xml:space="preserve">, Gr is the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Gransden 2004 ecotype wild-type and W is the water sample. Previous genomic PCR was carried out by Dr Marta Tomek to verify the integration of the transgene at the targeted locus. (Data not shown)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A Gransden 2004 wild-type spore capsule with stomata radiating around the capsule base (see black arrows for representative stomata). (</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 xml:space="preserve">) A representative </w:t>
      </w:r>
      <w:r w:rsidRPr="00D431D5">
        <w:rPr>
          <w:rFonts w:ascii="Arial" w:eastAsia="Times New Roman" w:hAnsi="Arial" w:cs="Arial"/>
          <w:i/>
          <w:color w:val="000000"/>
          <w:lang w:eastAsia="ja-JP"/>
        </w:rPr>
        <w:t xml:space="preserve">ppscrm1-172 </w:t>
      </w:r>
      <w:r w:rsidRPr="00D431D5">
        <w:rPr>
          <w:rFonts w:ascii="Arial" w:eastAsia="Times New Roman" w:hAnsi="Arial" w:cs="Arial"/>
          <w:color w:val="000000"/>
          <w:lang w:eastAsia="ja-JP"/>
        </w:rPr>
        <w:t xml:space="preserve">equivalent to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xml:space="preserve"> which is devoid of stomata.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 xml:space="preserve">) Quantification of the number of stomata on 7 individual sporophyte capsules of equivalent diameter taken from the wild-type and two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mutant lines. (</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 Mature browning fully expanding Gransden 2004 capsule with slightly protruding stomata positioned on the base of the sporophyte capsule (see black arrow) (</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xml:space="preserve">) A </w:t>
      </w:r>
      <w:r w:rsidRPr="00D431D5">
        <w:rPr>
          <w:rFonts w:ascii="Arial" w:eastAsia="Times New Roman" w:hAnsi="Arial" w:cs="Arial"/>
          <w:i/>
          <w:color w:val="000000"/>
          <w:lang w:eastAsia="ja-JP"/>
        </w:rPr>
        <w:t xml:space="preserve">ppscrm1-172 </w:t>
      </w:r>
      <w:r w:rsidRPr="00D431D5">
        <w:rPr>
          <w:rFonts w:ascii="Arial" w:eastAsia="Times New Roman" w:hAnsi="Arial" w:cs="Arial"/>
          <w:color w:val="000000"/>
          <w:lang w:eastAsia="ja-JP"/>
        </w:rPr>
        <w:t xml:space="preserve">capsule equivalent to </w:t>
      </w:r>
      <w:r w:rsidRPr="00D431D5">
        <w:rPr>
          <w:rFonts w:ascii="Arial" w:eastAsia="Times New Roman" w:hAnsi="Arial" w:cs="Arial"/>
          <w:b/>
          <w:color w:val="000000"/>
          <w:lang w:eastAsia="ja-JP"/>
        </w:rPr>
        <w:t xml:space="preserve">f </w:t>
      </w:r>
      <w:r w:rsidRPr="00D431D5">
        <w:rPr>
          <w:rFonts w:ascii="Arial" w:eastAsia="Times New Roman" w:hAnsi="Arial" w:cs="Arial"/>
          <w:color w:val="000000"/>
          <w:lang w:eastAsia="ja-JP"/>
        </w:rPr>
        <w:t>with no stomata. (</w:t>
      </w:r>
      <w:r w:rsidRPr="00D431D5">
        <w:rPr>
          <w:rFonts w:ascii="Arial" w:eastAsia="Times New Roman" w:hAnsi="Arial" w:cs="Arial"/>
          <w:b/>
          <w:color w:val="000000"/>
          <w:lang w:eastAsia="ja-JP"/>
        </w:rPr>
        <w:t>h</w:t>
      </w:r>
      <w:r w:rsidRPr="00D431D5">
        <w:rPr>
          <w:rFonts w:ascii="Arial" w:eastAsia="Times New Roman" w:hAnsi="Arial" w:cs="Arial"/>
          <w:color w:val="000000"/>
          <w:lang w:eastAsia="ja-JP"/>
        </w:rPr>
        <w:t xml:space="preserve">) The one-dimensional capsule area of 50 spore capsules minus the apical protruding region where the calyptra is normally present early on in development were measured for Gransden 2004 background and the two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lines. Note, normally 25 capsules were collected from 2 peat pellets inoculated with moss to obtain 50 capsules per line. However, for </w:t>
      </w:r>
      <w:r w:rsidRPr="00D431D5">
        <w:rPr>
          <w:rFonts w:ascii="Arial" w:eastAsia="Times New Roman" w:hAnsi="Arial" w:cs="Arial"/>
          <w:i/>
          <w:color w:val="000000"/>
          <w:lang w:eastAsia="ja-JP"/>
        </w:rPr>
        <w:t xml:space="preserve">ppscrm1-177 </w:t>
      </w:r>
      <w:r w:rsidRPr="00D431D5">
        <w:rPr>
          <w:rFonts w:ascii="Arial" w:eastAsia="Times New Roman" w:hAnsi="Arial" w:cs="Arial"/>
          <w:color w:val="000000"/>
          <w:lang w:eastAsia="ja-JP"/>
        </w:rPr>
        <w:t>only 25 capsules were used as only 1 of the two pots used had grown equivalently to the wild-type controls. No statistical significances were detected when a one-way ANOVA using multiple comparisons corrected using a Dunnett’s test was performed. (</w:t>
      </w:r>
      <w:r w:rsidRPr="00D431D5">
        <w:rPr>
          <w:rFonts w:ascii="Arial" w:eastAsia="Times New Roman" w:hAnsi="Arial" w:cs="Arial"/>
          <w:b/>
          <w:color w:val="000000"/>
          <w:lang w:eastAsia="ja-JP"/>
        </w:rPr>
        <w:t>i</w:t>
      </w:r>
      <w:r w:rsidRPr="00D431D5">
        <w:rPr>
          <w:rFonts w:ascii="Arial" w:eastAsia="Times New Roman" w:hAnsi="Arial" w:cs="Arial"/>
          <w:color w:val="000000"/>
          <w:lang w:eastAsia="ja-JP"/>
        </w:rPr>
        <w:t>) Gransden 2004 close-up representative image of a stomate being radially surrounded by epidermal cells (blue circle). (</w:t>
      </w:r>
      <w:r w:rsidRPr="00D431D5">
        <w:rPr>
          <w:rFonts w:ascii="Arial" w:eastAsia="Times New Roman" w:hAnsi="Arial" w:cs="Arial"/>
          <w:b/>
          <w:color w:val="000000"/>
          <w:lang w:eastAsia="ja-JP"/>
        </w:rPr>
        <w:t>j</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n</w:t>
      </w:r>
      <w:r w:rsidRPr="00D431D5">
        <w:rPr>
          <w:rFonts w:ascii="Arial" w:eastAsia="Times New Roman" w:hAnsi="Arial" w:cs="Arial"/>
          <w:color w:val="000000"/>
          <w:lang w:eastAsia="ja-JP"/>
        </w:rPr>
        <w:t xml:space="preserve">) Various </w:t>
      </w:r>
      <w:r w:rsidRPr="00D431D5">
        <w:rPr>
          <w:rFonts w:ascii="Arial" w:eastAsia="Times New Roman" w:hAnsi="Arial" w:cs="Arial"/>
          <w:i/>
          <w:color w:val="000000"/>
          <w:lang w:eastAsia="ja-JP"/>
        </w:rPr>
        <w:t>ppscrm1-172</w:t>
      </w:r>
      <w:r w:rsidRPr="00D431D5">
        <w:rPr>
          <w:rFonts w:ascii="Arial" w:eastAsia="Times New Roman" w:hAnsi="Arial" w:cs="Arial"/>
          <w:color w:val="000000"/>
          <w:lang w:eastAsia="ja-JP"/>
        </w:rPr>
        <w:t xml:space="preserve"> and </w:t>
      </w:r>
      <w:r w:rsidRPr="00D431D5">
        <w:rPr>
          <w:rFonts w:ascii="Arial" w:eastAsia="Times New Roman" w:hAnsi="Arial" w:cs="Arial"/>
          <w:i/>
          <w:color w:val="000000"/>
          <w:lang w:eastAsia="ja-JP"/>
        </w:rPr>
        <w:t xml:space="preserve">ppscrm1-177 </w:t>
      </w:r>
      <w:r w:rsidRPr="00D431D5">
        <w:rPr>
          <w:rFonts w:ascii="Arial" w:eastAsia="Times New Roman" w:hAnsi="Arial" w:cs="Arial"/>
          <w:color w:val="000000"/>
          <w:lang w:eastAsia="ja-JP"/>
        </w:rPr>
        <w:t xml:space="preserve">epidermal cell conformations akin to conformations observed on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mutant sporophyte capsules (</w:t>
      </w:r>
      <w:r w:rsidRPr="00D431D5">
        <w:rPr>
          <w:rFonts w:ascii="Arial" w:eastAsia="Times New Roman" w:hAnsi="Arial" w:cs="Arial"/>
          <w:b/>
          <w:color w:val="000000"/>
          <w:lang w:eastAsia="ja-JP"/>
        </w:rPr>
        <w:t>Fig. 11h</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k</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j</w:t>
      </w:r>
      <w:r w:rsidRPr="00D431D5">
        <w:rPr>
          <w:rFonts w:ascii="Arial" w:eastAsia="Times New Roman" w:hAnsi="Arial" w:cs="Arial"/>
          <w:color w:val="000000"/>
          <w:lang w:eastAsia="ja-JP"/>
        </w:rPr>
        <w:t>) At times parallel files of cells formed that developed in the absence of any apparent stimuli that might have ordinarily altered cellular orientation (red circles), (</w:t>
      </w:r>
      <w:r w:rsidRPr="00D431D5">
        <w:rPr>
          <w:rFonts w:ascii="Arial" w:eastAsia="Times New Roman" w:hAnsi="Arial" w:cs="Arial"/>
          <w:b/>
          <w:color w:val="000000"/>
          <w:lang w:eastAsia="ja-JP"/>
        </w:rPr>
        <w:t>k</w:t>
      </w:r>
      <w:r w:rsidRPr="00D431D5">
        <w:rPr>
          <w:rFonts w:ascii="Arial" w:eastAsia="Times New Roman" w:hAnsi="Arial" w:cs="Arial"/>
          <w:color w:val="000000"/>
          <w:lang w:eastAsia="ja-JP"/>
        </w:rPr>
        <w:t>) on other occasions, small cells (green circle) were observed next to larger cells (purple circle) that may have come from a single parent cell</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 ovoid cells (yellow circle) were also present that were surrounded radially by other epidermal cells (blue circle). (</w:t>
      </w:r>
      <w:r w:rsidRPr="00D431D5">
        <w:rPr>
          <w:rFonts w:ascii="Arial" w:eastAsia="Times New Roman" w:hAnsi="Arial" w:cs="Arial"/>
          <w:b/>
          <w:color w:val="000000"/>
          <w:lang w:eastAsia="ja-JP"/>
        </w:rPr>
        <w:t>m-n</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There were also occasions where aborted stomatal lineage cells appeared to be present that were surrounded radially by epidermal cells. (</w:t>
      </w:r>
      <w:r w:rsidRPr="00D431D5">
        <w:rPr>
          <w:rFonts w:ascii="Arial" w:eastAsia="Times New Roman" w:hAnsi="Arial" w:cs="Arial"/>
          <w:b/>
          <w:color w:val="000000"/>
          <w:lang w:eastAsia="ja-JP"/>
        </w:rPr>
        <w:t>o</w:t>
      </w:r>
      <w:r w:rsidRPr="00D431D5">
        <w:rPr>
          <w:rFonts w:ascii="Arial" w:eastAsia="Times New Roman" w:hAnsi="Arial" w:cs="Arial"/>
          <w:color w:val="000000"/>
          <w:lang w:eastAsia="ja-JP"/>
        </w:rPr>
        <w:t>) A sectioned Gransden 2004 spore capsule with black arrow illustrating a sub-stomatal cavitiy. (</w:t>
      </w:r>
      <w:r w:rsidRPr="00D431D5">
        <w:rPr>
          <w:rFonts w:ascii="Arial" w:eastAsia="Times New Roman" w:hAnsi="Arial" w:cs="Arial"/>
          <w:b/>
          <w:color w:val="000000"/>
          <w:lang w:eastAsia="ja-JP"/>
        </w:rPr>
        <w:t>p</w:t>
      </w:r>
      <w:r w:rsidRPr="00D431D5">
        <w:rPr>
          <w:rFonts w:ascii="Arial" w:eastAsia="Times New Roman" w:hAnsi="Arial" w:cs="Arial"/>
          <w:color w:val="000000"/>
          <w:lang w:eastAsia="ja-JP"/>
        </w:rPr>
        <w:t xml:space="preserve">) An equivalent </w:t>
      </w:r>
      <w:r w:rsidRPr="00D431D5">
        <w:rPr>
          <w:rFonts w:ascii="Arial" w:eastAsia="Times New Roman" w:hAnsi="Arial" w:cs="Arial"/>
          <w:i/>
          <w:color w:val="000000"/>
          <w:lang w:eastAsia="ja-JP"/>
        </w:rPr>
        <w:t xml:space="preserve">ppscrm1-177 </w:t>
      </w:r>
      <w:r w:rsidRPr="00D431D5">
        <w:rPr>
          <w:rFonts w:ascii="Arial" w:eastAsia="Times New Roman" w:hAnsi="Arial" w:cs="Arial"/>
          <w:color w:val="000000"/>
          <w:lang w:eastAsia="ja-JP"/>
        </w:rPr>
        <w:t>capsule to (</w:t>
      </w:r>
      <w:r w:rsidRPr="00D431D5">
        <w:rPr>
          <w:rFonts w:ascii="Arial" w:eastAsia="Times New Roman" w:hAnsi="Arial" w:cs="Arial"/>
          <w:b/>
          <w:color w:val="000000"/>
          <w:lang w:eastAsia="ja-JP"/>
        </w:rPr>
        <w:t>o</w:t>
      </w:r>
      <w:r w:rsidRPr="00D431D5">
        <w:rPr>
          <w:rFonts w:ascii="Arial" w:eastAsia="Times New Roman" w:hAnsi="Arial" w:cs="Arial"/>
          <w:color w:val="000000"/>
          <w:lang w:eastAsia="ja-JP"/>
        </w:rPr>
        <w:t>) with liquid filled cavity but with no discernible mature stomata. For (</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and (</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xml:space="preserve">), multiple images were taken of each sample which were stacked and subsequently flattened using the Z projection, Min Intensity function on imageJ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&lt;EndNote&gt;&lt;Cite&gt;&lt;Author&gt;Schneider&lt;/Author&gt;&lt;Year&gt;2012&lt;/Year&gt;&lt;IDText&gt;NIH Image to ImageJ: 25 years of image analysis&lt;/IDText&gt;&lt;DisplayText&gt;(Schneider et al., 2012)&lt;/DisplayText&gt;&lt;record&gt;&lt;dates&gt;&lt;pub-dates&gt;&lt;date&gt;Jul&lt;/date&gt;&lt;/pub-dates&gt;&lt;year&gt;2012&lt;/year&gt;&lt;/dates&gt;&lt;keywords&gt;&lt;keyword&gt;*Computational Biology/history/methods/trends&lt;/keyword&gt;&lt;keyword&gt;History, 20th Century&lt;/keyword&gt;&lt;keyword&gt;History, 21st Century&lt;/keyword&gt;&lt;keyword&gt;Image Processing, Computer-Assisted/*methods&lt;/keyword&gt;&lt;keyword&gt;National Institutes of Health (U.S.)&lt;/keyword&gt;&lt;keyword&gt;Software/*history/trends&lt;/keyword&gt;&lt;keyword&gt;United States&lt;/keyword&gt;&lt;/keywords&gt;&lt;isbn&gt;1548-7091&lt;/isbn&gt;&lt;titles&gt;&lt;title&gt;NIH Image to ImageJ: 25 years of image analysis&lt;/title&gt;&lt;secondary-title&gt;Nat Methods&lt;/secondary-title&gt;&lt;alt-title&gt;Nature methods&lt;/alt-title&gt;&lt;/titles&gt;&lt;pages&gt;671-5&lt;/pages&gt;&lt;number&gt;7&lt;/number&gt;&lt;contributors&gt;&lt;authors&gt;&lt;author&gt;Schneider, C. A.&lt;/author&gt;&lt;author&gt;Rasband, W. S.&lt;/author&gt;&lt;author&gt;Eliceiri, K. W.&lt;/author&gt;&lt;/authors&gt;&lt;/contributors&gt;&lt;edition&gt;2012/08/30&lt;/edition&gt;&lt;language&gt;eng&lt;/language&gt;&lt;added-date format="utc"&gt;1455184195&lt;/added-date&gt;&lt;ref-type name="Journal Article"&gt;17&lt;/ref-type&gt;&lt;auth-address&gt;Laboratory for Optical and Computational Instrumentation, University of Wisconsin at Madison, Madison, Wisconsin, USA.&lt;/auth-address&gt;&lt;remote-database-provider&gt;NLM&lt;/remote-database-provider&gt;&lt;rec-number&gt;824&lt;/rec-number&gt;&lt;last-updated-date format="utc"&gt;1455184195&lt;/last-updated-date&gt;&lt;accession-num&gt;22930834&lt;/accession-num&gt;&lt;volume&gt;9&lt;/volume&gt;&lt;/record&gt;&lt;/Cite&gt;&lt;/EndNote&gt;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(Schneider et al., 2012)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Scale bars are as follows: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d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xml:space="preserve">, 100µm, </w:t>
      </w:r>
      <w:r w:rsidRPr="00D431D5">
        <w:rPr>
          <w:rFonts w:ascii="Arial" w:eastAsia="Times New Roman" w:hAnsi="Arial" w:cs="Arial"/>
          <w:b/>
          <w:color w:val="000000"/>
          <w:lang w:eastAsia="ja-JP"/>
        </w:rPr>
        <w:t>i</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n</w:t>
      </w:r>
      <w:r w:rsidRPr="00D431D5">
        <w:rPr>
          <w:rFonts w:ascii="Arial" w:eastAsia="Times New Roman" w:hAnsi="Arial" w:cs="Arial"/>
          <w:color w:val="000000"/>
          <w:lang w:eastAsia="ja-JP"/>
        </w:rPr>
        <w:t xml:space="preserve">, 25µm, </w:t>
      </w:r>
      <w:r w:rsidRPr="00D431D5">
        <w:rPr>
          <w:rFonts w:ascii="Arial" w:eastAsia="Times New Roman" w:hAnsi="Arial" w:cs="Arial"/>
          <w:b/>
          <w:color w:val="000000"/>
          <w:lang w:eastAsia="ja-JP"/>
        </w:rPr>
        <w:t>o</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p</w:t>
      </w:r>
      <w:r w:rsidRPr="00D431D5">
        <w:rPr>
          <w:rFonts w:ascii="Arial" w:eastAsia="Times New Roman" w:hAnsi="Arial" w:cs="Arial"/>
          <w:color w:val="000000"/>
          <w:lang w:eastAsia="ja-JP"/>
        </w:rPr>
        <w:t xml:space="preserve">, 50µm. </w:t>
      </w:r>
    </w:p>
    <w:p w14:paraId="717B4DEA"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lastRenderedPageBreak/>
        <w:t xml:space="preserve">To further understand the role of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during stomatal development, a closer inspection of the epidermis at the base of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capsules comparatively to the wild-type background were performed (</w:t>
      </w:r>
      <w:r w:rsidRPr="00D431D5">
        <w:rPr>
          <w:rFonts w:ascii="Arial" w:eastAsia="Times New Roman" w:hAnsi="Arial" w:cs="Arial"/>
          <w:b/>
          <w:color w:val="000000"/>
          <w:lang w:eastAsia="ja-JP"/>
        </w:rPr>
        <w:t>Fig. 13i</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n</w:t>
      </w:r>
      <w:r w:rsidRPr="00D431D5">
        <w:rPr>
          <w:rFonts w:ascii="Arial" w:eastAsia="Times New Roman" w:hAnsi="Arial" w:cs="Arial"/>
          <w:color w:val="000000"/>
          <w:lang w:eastAsia="ja-JP"/>
        </w:rPr>
        <w:t xml:space="preserve">). Like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mutant observations (</w:t>
      </w:r>
      <w:r w:rsidRPr="00D431D5">
        <w:rPr>
          <w:rFonts w:ascii="Arial" w:eastAsia="Times New Roman" w:hAnsi="Arial" w:cs="Arial"/>
          <w:b/>
          <w:color w:val="000000"/>
          <w:lang w:eastAsia="ja-JP"/>
        </w:rPr>
        <w:t>Fig. 11i</w:t>
      </w:r>
      <w:r w:rsidRPr="00D431D5">
        <w:rPr>
          <w:rFonts w:ascii="Arial" w:eastAsia="Times New Roman" w:hAnsi="Arial" w:cs="Arial"/>
          <w:color w:val="000000"/>
          <w:lang w:eastAsia="ja-JP"/>
        </w:rPr>
        <w:t>), files of uniform cells were often observed which did not appear to have irregular division planes or cell shapes (</w:t>
      </w:r>
      <w:r w:rsidRPr="00D431D5">
        <w:rPr>
          <w:rFonts w:ascii="Arial" w:eastAsia="Times New Roman" w:hAnsi="Arial" w:cs="Arial"/>
          <w:b/>
          <w:color w:val="000000"/>
          <w:lang w:eastAsia="ja-JP"/>
        </w:rPr>
        <w:t>Fig. 13j</w:t>
      </w:r>
      <w:r w:rsidRPr="00D431D5">
        <w:rPr>
          <w:rFonts w:ascii="Arial" w:eastAsia="Times New Roman" w:hAnsi="Arial" w:cs="Arial"/>
          <w:color w:val="000000"/>
          <w:lang w:eastAsia="ja-JP"/>
        </w:rPr>
        <w:t xml:space="preserve">). Additionally, as was observed in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lines (</w:t>
      </w:r>
      <w:r w:rsidRPr="00D431D5">
        <w:rPr>
          <w:rFonts w:ascii="Arial" w:eastAsia="Times New Roman" w:hAnsi="Arial" w:cs="Arial"/>
          <w:b/>
          <w:color w:val="000000"/>
          <w:lang w:eastAsia="ja-JP"/>
        </w:rPr>
        <w:t>Fig</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11j</w:t>
      </w:r>
      <w:r w:rsidRPr="00D431D5">
        <w:rPr>
          <w:rFonts w:ascii="Arial" w:eastAsia="Times New Roman" w:hAnsi="Arial" w:cs="Arial"/>
          <w:color w:val="000000"/>
          <w:lang w:eastAsia="ja-JP"/>
        </w:rPr>
        <w:t xml:space="preserve">) and the </w:t>
      </w:r>
      <w:r w:rsidRPr="00D431D5">
        <w:rPr>
          <w:rFonts w:ascii="Arial" w:eastAsia="Times New Roman" w:hAnsi="Arial" w:cs="Arial"/>
          <w:i/>
          <w:color w:val="000000"/>
          <w:lang w:eastAsia="ja-JP"/>
        </w:rPr>
        <w:t xml:space="preserve">mute </w:t>
      </w:r>
      <w:r w:rsidRPr="00D431D5">
        <w:rPr>
          <w:rFonts w:ascii="Arial" w:eastAsia="Times New Roman" w:hAnsi="Arial" w:cs="Arial"/>
          <w:color w:val="000000"/>
          <w:lang w:eastAsia="ja-JP"/>
        </w:rPr>
        <w:t>phenotype in Arabidopsis there were instances of smaller cells and larger cells which may have originated from a single cell pre-cursor cell (</w:t>
      </w:r>
      <w:r w:rsidRPr="00D431D5">
        <w:rPr>
          <w:rFonts w:ascii="Arial" w:eastAsia="Times New Roman" w:hAnsi="Arial" w:cs="Arial"/>
          <w:b/>
          <w:color w:val="000000"/>
          <w:lang w:eastAsia="ja-JP"/>
        </w:rPr>
        <w:t>Fig. 13k</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&lt;EndNote&gt;&lt;Cite&gt;&lt;Author&gt;Pillitteri&lt;/Author&gt;&lt;Year&gt;2008&lt;/Year&gt;&lt;IDText&gt;The bHLH protein, MUTE, controls differentiation of stomata and the hydathode pore in Arabidopsis&lt;/IDText&gt;&lt;DisplayText&gt;(Pillitteri et al., 2008)&lt;/DisplayText&gt;&lt;record&gt;&lt;dates&gt;&lt;pub-dates&gt;&lt;date&gt;Jun&lt;/date&gt;&lt;/pub-dates&gt;&lt;year&gt;2008&lt;/year&gt;&lt;/dates&gt;&lt;keywords&gt;&lt;keyword&gt;Arabidopsis/genetics/*metabolism&lt;/keyword&gt;&lt;keyword&gt;Arabidopsis Proteins/genetics/*metabolism&lt;/keyword&gt;&lt;keyword&gt;Basic Helix-Loop-Helix Transcription Factors/genetics/*metabolism&lt;/keyword&gt;&lt;keyword&gt;Cell Differentiation&lt;/keyword&gt;&lt;keyword&gt;Gene Expression Regulation, Plant/*physiology&lt;/keyword&gt;&lt;keyword&gt;Mutation&lt;/keyword&gt;&lt;keyword&gt;Plant Stomata/*cytology/metabolism&lt;/keyword&gt;&lt;keyword&gt;Plants, Genetically Modified&lt;/keyword&gt;&lt;/keywords&gt;&lt;isbn&gt;0032-0781&lt;/isbn&gt;&lt;titles&gt;&lt;title&gt;The bHLH protein, MUTE, controls differentiation of stomata and the hydathode pore in Arabidopsis&lt;/title&gt;&lt;secondary-title&gt;Plant Cell Physiol&lt;/secondary-title&gt;&lt;alt-title&gt;Plant &amp;amp; cell physiology&lt;/alt-title&gt;&lt;/titles&gt;&lt;pages&gt;934-43&lt;/pages&gt;&lt;number&gt;6&lt;/number&gt;&lt;contributors&gt;&lt;authors&gt;&lt;author&gt;Pillitteri, L. J.&lt;/author&gt;&lt;author&gt;Bogenschutz, N. L.&lt;/author&gt;&lt;author&gt;Torii, K. U.&lt;/author&gt;&lt;/authors&gt;&lt;/contributors&gt;&lt;edition&gt;2008/05/03&lt;/edition&gt;&lt;language&gt;eng&lt;/language&gt;&lt;added-date format="utc"&gt;1452092485&lt;/added-date&gt;&lt;ref-type name="Journal Article"&gt;17&lt;/ref-type&gt;&lt;auth-address&gt;Department of Biology, University of Washington, Seattle, WA 98195, USA.&lt;/auth-address&gt;&lt;remote-database-provider&gt;NLM&lt;/remote-database-provider&gt;&lt;rec-number&gt;412&lt;/rec-number&gt;&lt;last-updated-date format="utc"&gt;1452092485&lt;/last-updated-date&gt;&lt;accession-num&gt;18450784&lt;/accession-num&gt;&lt;electronic-resource-num&gt;10.1093/pcp/pcn067&lt;/electronic-resource-num&gt;&lt;volume&gt;49&lt;/volume&gt;&lt;/record&gt;&lt;/Cite&gt;&lt;/EndNote&gt;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(Pillitteri et al., 2008)</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Also similarly to </w:t>
      </w:r>
      <w:r w:rsidRPr="00D431D5">
        <w:rPr>
          <w:rFonts w:ascii="Arial" w:eastAsia="Times New Roman" w:hAnsi="Arial" w:cs="Arial"/>
          <w:i/>
          <w:color w:val="000000"/>
          <w:lang w:eastAsia="ja-JP"/>
        </w:rPr>
        <w:t>ppsmf1</w:t>
      </w:r>
      <w:r w:rsidRPr="00D431D5">
        <w:rPr>
          <w:rFonts w:ascii="Arial" w:eastAsia="Times New Roman" w:hAnsi="Arial" w:cs="Arial"/>
          <w:color w:val="000000"/>
          <w:lang w:eastAsia="ja-JP"/>
        </w:rPr>
        <w:t>, larger cells surrounded by other epidermal cells were present that displayed a conformation not unlike the cells often seen radiating around stomata in the wild-type (</w:t>
      </w:r>
      <w:r w:rsidRPr="00D431D5">
        <w:rPr>
          <w:rFonts w:ascii="Arial" w:eastAsia="Times New Roman" w:hAnsi="Arial" w:cs="Arial"/>
          <w:b/>
          <w:color w:val="000000"/>
          <w:lang w:eastAsia="ja-JP"/>
        </w:rPr>
        <w:t xml:space="preserve">Fig. 13i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 xml:space="preserve">, see also </w:t>
      </w:r>
      <w:r w:rsidRPr="00D431D5">
        <w:rPr>
          <w:rFonts w:ascii="Arial" w:eastAsia="Times New Roman" w:hAnsi="Arial" w:cs="Arial"/>
          <w:b/>
          <w:color w:val="000000"/>
          <w:lang w:eastAsia="ja-JP"/>
        </w:rPr>
        <w:t>Fig. 6h-i).</w:t>
      </w:r>
      <w:r w:rsidRPr="00D431D5">
        <w:rPr>
          <w:rFonts w:ascii="Arial" w:eastAsia="Times New Roman" w:hAnsi="Arial" w:cs="Arial"/>
          <w:color w:val="000000"/>
          <w:lang w:eastAsia="ja-JP"/>
        </w:rPr>
        <w:t xml:space="preserve"> Also, very rarely (once per 7 capsules surveyed of each line), aborted stomatal lineage cells which appeared to have some guard cell identity were observed (</w:t>
      </w:r>
      <w:r w:rsidRPr="00D431D5">
        <w:rPr>
          <w:rFonts w:ascii="Arial" w:eastAsia="Times New Roman" w:hAnsi="Arial" w:cs="Arial"/>
          <w:b/>
          <w:color w:val="000000"/>
          <w:lang w:eastAsia="ja-JP"/>
        </w:rPr>
        <w:t xml:space="preserve">Fig. 13m </w:t>
      </w:r>
      <w:r w:rsidRPr="00D431D5">
        <w:rPr>
          <w:rFonts w:ascii="Arial" w:eastAsia="Times New Roman" w:hAnsi="Arial" w:cs="Arial"/>
          <w:color w:val="000000"/>
          <w:lang w:eastAsia="ja-JP"/>
        </w:rPr>
        <w:t>and</w:t>
      </w:r>
      <w:r w:rsidRPr="00D431D5">
        <w:rPr>
          <w:rFonts w:ascii="Arial" w:eastAsia="Times New Roman" w:hAnsi="Arial" w:cs="Arial"/>
          <w:b/>
          <w:color w:val="000000"/>
          <w:lang w:eastAsia="ja-JP"/>
        </w:rPr>
        <w:t xml:space="preserve"> n</w:t>
      </w:r>
      <w:r w:rsidRPr="00D431D5">
        <w:rPr>
          <w:rFonts w:ascii="Arial" w:eastAsia="Times New Roman" w:hAnsi="Arial" w:cs="Arial"/>
          <w:color w:val="000000"/>
          <w:lang w:eastAsia="ja-JP"/>
        </w:rPr>
        <w:t xml:space="preserve">). In summary, as with the images taken from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mutants, different conformations of cells were observed which could illustrate aborted stomatal developmental processes and patterning mechanisms which occurred during early stomatal development. However, again as with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lines, without molecular markers and expression profiling of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focusing on early stomatal lineage cells it is difficult to conclude that such conformations did not arise purely by chance owing to irregularities occurring during the formation of epidermis as a result of no stomata forming.</w:t>
      </w:r>
    </w:p>
    <w:p w14:paraId="2268F0E3"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To ascertain what the effects on the sub tending tissue,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spore capsules were also sectioned. On rare occasions fluid-filled cavities were detected which represented a phenotype not seen in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capsules (</w:t>
      </w:r>
      <w:r w:rsidRPr="00D431D5">
        <w:rPr>
          <w:rFonts w:ascii="Arial" w:eastAsia="Times New Roman" w:hAnsi="Arial" w:cs="Arial"/>
          <w:b/>
          <w:color w:val="000000"/>
          <w:lang w:eastAsia="ja-JP"/>
        </w:rPr>
        <w:t xml:space="preserve">Fig. 13p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o</w:t>
      </w:r>
      <w:r w:rsidRPr="00D431D5">
        <w:rPr>
          <w:rFonts w:ascii="Arial" w:eastAsia="Times New Roman" w:hAnsi="Arial" w:cs="Arial"/>
          <w:color w:val="000000"/>
          <w:lang w:eastAsia="ja-JP"/>
        </w:rPr>
        <w:t>).</w:t>
      </w:r>
    </w:p>
    <w:p w14:paraId="2EEDF714" w14:textId="77777777" w:rsidR="00D431D5" w:rsidRPr="00D431D5" w:rsidRDefault="00D431D5" w:rsidP="00D431D5">
      <w:pPr>
        <w:tabs>
          <w:tab w:val="left" w:pos="6663"/>
        </w:tabs>
        <w:spacing w:after="160" w:line="360" w:lineRule="auto"/>
        <w:rPr>
          <w:rFonts w:ascii="Arial" w:eastAsia="Times New Roman" w:hAnsi="Arial" w:cs="Arial"/>
          <w:color w:val="000000"/>
          <w:u w:val="single"/>
          <w:lang w:eastAsia="ja-JP"/>
        </w:rPr>
      </w:pPr>
      <w:r w:rsidRPr="00D431D5">
        <w:rPr>
          <w:rFonts w:ascii="Arial" w:eastAsia="Times New Roman" w:hAnsi="Arial" w:cs="Arial"/>
          <w:color w:val="000000"/>
          <w:u w:val="single"/>
          <w:lang w:eastAsia="ja-JP"/>
        </w:rPr>
        <w:t xml:space="preserve">3.2.10 Non-stomatal phenotypic observations of </w:t>
      </w:r>
      <w:r w:rsidRPr="00D431D5">
        <w:rPr>
          <w:rFonts w:ascii="Arial" w:eastAsia="Times New Roman" w:hAnsi="Arial" w:cs="Arial"/>
          <w:i/>
          <w:color w:val="000000"/>
          <w:u w:val="single"/>
          <w:lang w:eastAsia="ja-JP"/>
        </w:rPr>
        <w:t xml:space="preserve">ppsmf1, ppsmf2 </w:t>
      </w:r>
      <w:r w:rsidRPr="00D431D5">
        <w:rPr>
          <w:rFonts w:ascii="Arial" w:eastAsia="Times New Roman" w:hAnsi="Arial" w:cs="Arial"/>
          <w:color w:val="000000"/>
          <w:u w:val="single"/>
          <w:lang w:eastAsia="ja-JP"/>
        </w:rPr>
        <w:t xml:space="preserve">and </w:t>
      </w:r>
      <w:r w:rsidRPr="00D431D5">
        <w:rPr>
          <w:rFonts w:ascii="Arial" w:eastAsia="Times New Roman" w:hAnsi="Arial" w:cs="Arial"/>
          <w:i/>
          <w:color w:val="000000"/>
          <w:u w:val="single"/>
          <w:lang w:eastAsia="ja-JP"/>
        </w:rPr>
        <w:t xml:space="preserve">ppscrm1 </w:t>
      </w:r>
      <w:r w:rsidRPr="00D431D5">
        <w:rPr>
          <w:rFonts w:ascii="Arial" w:eastAsia="Times New Roman" w:hAnsi="Arial" w:cs="Arial"/>
          <w:color w:val="000000"/>
          <w:u w:val="single"/>
          <w:lang w:eastAsia="ja-JP"/>
        </w:rPr>
        <w:t>mutants</w:t>
      </w:r>
    </w:p>
    <w:p w14:paraId="7A2C8018" w14:textId="2D1DA3D8"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To ascertain whether </w:t>
      </w:r>
      <w:r w:rsidRPr="00D431D5">
        <w:rPr>
          <w:rFonts w:ascii="Arial" w:eastAsia="Times New Roman" w:hAnsi="Arial" w:cs="Arial"/>
          <w:i/>
          <w:color w:val="000000"/>
          <w:lang w:eastAsia="ja-JP"/>
        </w:rPr>
        <w:t xml:space="preserve">ppsmf1, ppsmf2 </w:t>
      </w:r>
      <w:r w:rsidRPr="00D431D5">
        <w:rPr>
          <w:rFonts w:ascii="Arial" w:eastAsia="Times New Roman" w:hAnsi="Arial" w:cs="Arial"/>
          <w:color w:val="000000"/>
          <w:lang w:eastAsia="ja-JP"/>
        </w:rPr>
        <w:t xml:space="preserve">or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had any other non-stomatal related changes in phenotype, protonema and gametophores were also observed in the various mutant backgrounds and no obvious discernible anatomical differences were observed (data not shown). Spore morphology was also checked in the various mutants and no differences detected comparably to the wild-type background (</w:t>
      </w:r>
      <w:r w:rsidRPr="00D431D5">
        <w:rPr>
          <w:rFonts w:ascii="Arial" w:eastAsia="Times New Roman" w:hAnsi="Arial" w:cs="Arial"/>
          <w:b/>
          <w:color w:val="000000"/>
          <w:lang w:eastAsia="ja-JP"/>
        </w:rPr>
        <w:t>Fig. 14</w:t>
      </w:r>
      <w:r w:rsidRPr="00D431D5">
        <w:rPr>
          <w:rFonts w:ascii="Arial" w:eastAsia="Times New Roman" w:hAnsi="Arial" w:cs="Arial"/>
          <w:color w:val="000000"/>
          <w:lang w:eastAsia="ja-JP"/>
        </w:rPr>
        <w:t xml:space="preserve">). </w:t>
      </w:r>
      <w:r w:rsidR="00E552D9">
        <w:rPr>
          <w:rFonts w:ascii="Arial" w:eastAsia="Times New Roman" w:hAnsi="Arial" w:cs="Arial"/>
          <w:color w:val="000000"/>
          <w:lang w:eastAsia="ja-JP"/>
        </w:rPr>
        <w:t>Furthermore germination assays revealed that</w:t>
      </w:r>
      <w:r w:rsidRPr="00D431D5">
        <w:rPr>
          <w:rFonts w:ascii="Arial" w:eastAsia="Times New Roman" w:hAnsi="Arial" w:cs="Arial"/>
          <w:color w:val="000000"/>
          <w:lang w:eastAsia="ja-JP"/>
        </w:rPr>
        <w:t xml:space="preserve"> the absence of stomata did not have a detrimental effect on spore germination in either mutant background relative to the corresponding wild-type</w:t>
      </w:r>
      <w:r w:rsidR="00E552D9">
        <w:rPr>
          <w:rFonts w:ascii="Arial" w:eastAsia="Times New Roman" w:hAnsi="Arial" w:cs="Arial"/>
          <w:color w:val="000000"/>
          <w:lang w:eastAsia="ja-JP"/>
        </w:rPr>
        <w:t xml:space="preserve"> </w:t>
      </w:r>
      <w:r w:rsidR="00E552D9">
        <w:rPr>
          <w:rFonts w:ascii="Arial" w:eastAsia="Times New Roman" w:hAnsi="Arial" w:cs="Arial"/>
          <w:color w:val="000000"/>
          <w:lang w:eastAsia="ja-JP"/>
        </w:rPr>
        <w:fldChar w:fldCharType="begin"/>
      </w:r>
      <w:r w:rsidR="00E552D9">
        <w:rPr>
          <w:rFonts w:ascii="Arial" w:eastAsia="Times New Roman" w:hAnsi="Arial" w:cs="Arial"/>
          <w:color w:val="000000"/>
          <w:lang w:eastAsia="ja-JP"/>
        </w:rPr>
        <w:instrText xml:space="preserve"> ADDIN EN.CITE &lt;EndNote&gt;&lt;Cite&gt;&lt;Author&gt;Chater&lt;/Author&gt;&lt;Year&gt;2016&lt;/Year&gt;&lt;IDText&gt;Origin and function of stomata in the moss Physcomitrella patens&lt;/IDText&gt;&lt;DisplayText&gt;(Chater et al., 2016)&lt;/DisplayText&gt;&lt;record&gt;&lt;dates&gt;&lt;pub-dates&gt;&lt;date&gt;2016 Nov&lt;/date&gt;&lt;/pub-dates&gt;&lt;year&gt;2016&lt;/year&gt;&lt;/dates&gt;&lt;urls&gt;&lt;related-urls&gt;&lt;url&gt;&amp;lt;Go to ISI&amp;gt;://MEDLINE:27892923&lt;/url&gt;&lt;/related-urls&gt;&lt;/urls&gt;&lt;titles&gt;&lt;title&gt;Origin and function of stomata in the moss Physcomitrella patens&lt;/title&gt;&lt;secondary-title&gt;Nature plants&lt;/secondary-title&gt;&lt;/titles&gt;&lt;pages&gt;16179-16179&lt;/pages&gt;&lt;contributors&gt;&lt;authors&gt;&lt;author&gt;Chater, Caspar C.&lt;/author&gt;&lt;author&gt;Caine, Robert S.&lt;/author&gt;&lt;author&gt;Tomek, Marta&lt;/author&gt;&lt;author&gt;Wallace, Simon&lt;/author&gt;&lt;author&gt;Kamisugi, Yasuko&lt;/author&gt;&lt;author&gt;Cuming, Andrew C.&lt;/author&gt;&lt;author&gt;Lang, Daniel&lt;/author&gt;&lt;author&gt;MacAlister, Cora A.&lt;/author&gt;&lt;author&gt;Casson, Stuart&lt;/author&gt;&lt;author&gt;Bergmann, Dominique C.&lt;/author&gt;&lt;author&gt;Decker, Eva L.&lt;/author&gt;&lt;author&gt;Frank, Wolfgang&lt;/author&gt;&lt;author&gt;Gray, Julie E.&lt;/author&gt;&lt;author&gt;Fleming, Andrew&lt;/author&gt;&lt;author&gt;Reski, Ralf&lt;/author&gt;&lt;author&gt;Beerling, David J.&lt;/author&gt;&lt;/authors&gt;&lt;/contributors&gt;&lt;added-date format="utc"&gt;1485254994&lt;/added-date&gt;&lt;ref-type name="Journal Article"&gt;17&lt;/ref-type&gt;&lt;rec-number&gt;1346&lt;/rec-number&gt;&lt;last-updated-date format="utc"&gt;1485254994&lt;/last-updated-date&gt;&lt;accession-num&gt;MEDLINE:27892923&lt;/accession-num&gt;&lt;electronic-resource-num&gt;10.1038/nplants.2016.179&lt;/electronic-resource-num&gt;&lt;volume&gt;2&lt;/volume&gt;&lt;/record&gt;&lt;/Cite&gt;&lt;/EndNote&gt;</w:instrText>
      </w:r>
      <w:r w:rsidR="00E552D9">
        <w:rPr>
          <w:rFonts w:ascii="Arial" w:eastAsia="Times New Roman" w:hAnsi="Arial" w:cs="Arial"/>
          <w:color w:val="000000"/>
          <w:lang w:eastAsia="ja-JP"/>
        </w:rPr>
        <w:fldChar w:fldCharType="separate"/>
      </w:r>
      <w:r w:rsidR="00E552D9">
        <w:rPr>
          <w:rFonts w:ascii="Arial" w:eastAsia="Times New Roman" w:hAnsi="Arial" w:cs="Arial"/>
          <w:noProof/>
          <w:color w:val="000000"/>
          <w:lang w:eastAsia="ja-JP"/>
        </w:rPr>
        <w:t>(Chater et al., 2016)</w:t>
      </w:r>
      <w:r w:rsidR="00E552D9">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No specific cold tolerance assays were performed on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lines at the University of Sheffield. It is unknown what if any effect the absence of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has on cold tolerance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w:t>
      </w:r>
    </w:p>
    <w:p w14:paraId="183B2403" w14:textId="77777777" w:rsidR="00D431D5" w:rsidRPr="00D431D5" w:rsidRDefault="00D431D5" w:rsidP="00D431D5">
      <w:pPr>
        <w:tabs>
          <w:tab w:val="left" w:pos="6663"/>
        </w:tabs>
        <w:spacing w:after="160" w:line="360" w:lineRule="auto"/>
        <w:rPr>
          <w:rFonts w:ascii="Arial" w:eastAsia="Times New Roman" w:hAnsi="Arial" w:cs="Arial"/>
          <w:color w:val="000000"/>
          <w:lang w:val="en-US" w:eastAsia="ja-JP"/>
        </w:rPr>
      </w:pPr>
      <w:r w:rsidRPr="00D431D5">
        <w:rPr>
          <w:rFonts w:ascii="Arial" w:eastAsia="Times New Roman" w:hAnsi="Arial" w:cs="Arial"/>
          <w:noProof/>
          <w:color w:val="000000"/>
          <w:lang w:eastAsia="ja-JP"/>
        </w:rPr>
        <w:lastRenderedPageBreak/>
        <w:drawing>
          <wp:inline distT="0" distB="0" distL="0" distR="0" wp14:anchorId="1617E5B3" wp14:editId="2DD3C823">
            <wp:extent cx="5143831" cy="22479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pore morphology fig9.png"/>
                    <pic:cNvPicPr/>
                  </pic:nvPicPr>
                  <pic:blipFill rotWithShape="1">
                    <a:blip r:embed="rId34" cstate="print">
                      <a:extLst>
                        <a:ext uri="{28A0092B-C50C-407E-A947-70E740481C1C}">
                          <a14:useLocalDpi xmlns:a14="http://schemas.microsoft.com/office/drawing/2010/main" val="0"/>
                        </a:ext>
                      </a:extLst>
                    </a:blip>
                    <a:srcRect t="4961" r="3757"/>
                    <a:stretch/>
                  </pic:blipFill>
                  <pic:spPr bwMode="auto">
                    <a:xfrm>
                      <a:off x="0" y="0"/>
                      <a:ext cx="5145616" cy="2248680"/>
                    </a:xfrm>
                    <a:prstGeom prst="rect">
                      <a:avLst/>
                    </a:prstGeom>
                    <a:ln>
                      <a:noFill/>
                    </a:ln>
                    <a:extLst>
                      <a:ext uri="{53640926-AAD7-44D8-BBD7-CCE9431645EC}">
                        <a14:shadowObscured xmlns:a14="http://schemas.microsoft.com/office/drawing/2010/main"/>
                      </a:ext>
                    </a:extLst>
                  </pic:spPr>
                </pic:pic>
              </a:graphicData>
            </a:graphic>
          </wp:inline>
        </w:drawing>
      </w:r>
    </w:p>
    <w:p w14:paraId="2FE15458" w14:textId="77777777" w:rsidR="00D431D5" w:rsidRPr="00D431D5" w:rsidRDefault="00D431D5" w:rsidP="00D431D5">
      <w:pPr>
        <w:tabs>
          <w:tab w:val="left" w:pos="6663"/>
        </w:tabs>
        <w:spacing w:after="160" w:line="360" w:lineRule="auto"/>
        <w:rPr>
          <w:rFonts w:ascii="Arial" w:eastAsia="Times New Roman" w:hAnsi="Arial" w:cs="Arial"/>
          <w:color w:val="000000"/>
          <w:lang w:val="en-US" w:eastAsia="ja-JP"/>
        </w:rPr>
      </w:pPr>
      <w:r w:rsidRPr="00D431D5">
        <w:rPr>
          <w:rFonts w:ascii="Arial" w:eastAsia="Times New Roman" w:hAnsi="Arial" w:cs="Arial"/>
          <w:b/>
          <w:bCs/>
          <w:color w:val="000000"/>
          <w:lang w:val="en-US" w:eastAsia="ja-JP"/>
        </w:rPr>
        <w:t xml:space="preserve">Figure 14.  Spore morphology mutant line </w:t>
      </w:r>
      <w:r w:rsidRPr="00D431D5">
        <w:rPr>
          <w:rFonts w:ascii="Arial" w:eastAsia="Times New Roman" w:hAnsi="Arial" w:cs="Arial"/>
          <w:b/>
          <w:bCs/>
          <w:i/>
          <w:color w:val="000000"/>
          <w:lang w:val="en-US" w:eastAsia="ja-JP"/>
        </w:rPr>
        <w:t xml:space="preserve">ppsmf1, ppsmf2 </w:t>
      </w:r>
      <w:r w:rsidRPr="00D431D5">
        <w:rPr>
          <w:rFonts w:ascii="Arial" w:eastAsia="Times New Roman" w:hAnsi="Arial" w:cs="Arial"/>
          <w:b/>
          <w:bCs/>
          <w:color w:val="000000"/>
          <w:lang w:val="en-US" w:eastAsia="ja-JP"/>
        </w:rPr>
        <w:t xml:space="preserve">and </w:t>
      </w:r>
      <w:r w:rsidRPr="00D431D5">
        <w:rPr>
          <w:rFonts w:ascii="Arial" w:eastAsia="Times New Roman" w:hAnsi="Arial" w:cs="Arial"/>
          <w:b/>
          <w:bCs/>
          <w:i/>
          <w:color w:val="000000"/>
          <w:lang w:val="en-US" w:eastAsia="ja-JP"/>
        </w:rPr>
        <w:t xml:space="preserve">ppscrm1 </w:t>
      </w:r>
      <w:r w:rsidRPr="00D431D5">
        <w:rPr>
          <w:rFonts w:ascii="Arial" w:eastAsia="Times New Roman" w:hAnsi="Arial" w:cs="Arial"/>
          <w:b/>
          <w:bCs/>
          <w:color w:val="000000"/>
          <w:lang w:val="en-US" w:eastAsia="ja-JP"/>
        </w:rPr>
        <w:t xml:space="preserve">mutant lines. </w:t>
      </w:r>
      <w:r w:rsidRPr="00D431D5">
        <w:rPr>
          <w:rFonts w:ascii="Arial" w:eastAsia="Times New Roman" w:hAnsi="Arial" w:cs="Arial"/>
          <w:color w:val="000000"/>
          <w:lang w:val="en-US" w:eastAsia="ja-JP"/>
        </w:rPr>
        <w:t>Light microscopy (</w:t>
      </w:r>
      <w:r w:rsidRPr="00D431D5">
        <w:rPr>
          <w:rFonts w:ascii="Arial" w:eastAsia="Times New Roman" w:hAnsi="Arial" w:cs="Arial"/>
          <w:i/>
          <w:color w:val="000000"/>
          <w:lang w:val="en-US" w:eastAsia="ja-JP"/>
        </w:rPr>
        <w:t>ppscrm1</w:t>
      </w:r>
      <w:r w:rsidRPr="00D431D5">
        <w:rPr>
          <w:rFonts w:ascii="Arial" w:eastAsia="Times New Roman" w:hAnsi="Arial" w:cs="Arial"/>
          <w:color w:val="000000"/>
          <w:lang w:val="en-US" w:eastAsia="ja-JP"/>
        </w:rPr>
        <w:t xml:space="preserve"> lines only) and electron scanning microscopy analyses showed no difference in size, shape or surface structure between wild types and mutant backgrounds. </w:t>
      </w:r>
      <w:r w:rsidRPr="00D431D5">
        <w:rPr>
          <w:rFonts w:ascii="Arial" w:eastAsia="Times New Roman" w:hAnsi="Arial" w:cs="Arial"/>
          <w:bCs/>
          <w:color w:val="000000"/>
          <w:lang w:val="en-US" w:eastAsia="ja-JP"/>
        </w:rPr>
        <w:t>(</w:t>
      </w:r>
      <w:r w:rsidRPr="00D431D5">
        <w:rPr>
          <w:rFonts w:ascii="Arial" w:eastAsia="Times New Roman" w:hAnsi="Arial" w:cs="Arial"/>
          <w:b/>
          <w:bCs/>
          <w:color w:val="000000"/>
          <w:lang w:val="en-US" w:eastAsia="ja-JP"/>
        </w:rPr>
        <w:t>a</w:t>
      </w:r>
      <w:r w:rsidRPr="00D431D5">
        <w:rPr>
          <w:rFonts w:ascii="Arial" w:eastAsia="Times New Roman" w:hAnsi="Arial" w:cs="Arial"/>
          <w:bCs/>
          <w:color w:val="000000"/>
          <w:lang w:val="en-US" w:eastAsia="ja-JP"/>
        </w:rPr>
        <w:t xml:space="preserve">) SEM images of wild-type and </w:t>
      </w:r>
      <w:r w:rsidRPr="00D431D5">
        <w:rPr>
          <w:rFonts w:ascii="Arial" w:eastAsia="Times New Roman" w:hAnsi="Arial" w:cs="Arial"/>
          <w:bCs/>
          <w:i/>
          <w:color w:val="000000"/>
          <w:lang w:val="en-US" w:eastAsia="ja-JP"/>
        </w:rPr>
        <w:t xml:space="preserve">smf1-12 </w:t>
      </w:r>
      <w:r w:rsidRPr="00D431D5">
        <w:rPr>
          <w:rFonts w:ascii="Arial" w:eastAsia="Times New Roman" w:hAnsi="Arial" w:cs="Arial"/>
          <w:bCs/>
          <w:color w:val="000000"/>
          <w:lang w:val="en-US" w:eastAsia="ja-JP"/>
        </w:rPr>
        <w:t>spores. (</w:t>
      </w:r>
      <w:r w:rsidRPr="00D431D5">
        <w:rPr>
          <w:rFonts w:ascii="Arial" w:eastAsia="Times New Roman" w:hAnsi="Arial" w:cs="Arial"/>
          <w:b/>
          <w:bCs/>
          <w:color w:val="000000"/>
          <w:lang w:val="en-US" w:eastAsia="ja-JP"/>
        </w:rPr>
        <w:t>b</w:t>
      </w:r>
      <w:r w:rsidRPr="00D431D5">
        <w:rPr>
          <w:rFonts w:ascii="Arial" w:eastAsia="Times New Roman" w:hAnsi="Arial" w:cs="Arial"/>
          <w:bCs/>
          <w:color w:val="000000"/>
          <w:lang w:val="en-US" w:eastAsia="ja-JP"/>
        </w:rPr>
        <w:t xml:space="preserve">) SEM images of wild-type and </w:t>
      </w:r>
      <w:r w:rsidRPr="00D431D5">
        <w:rPr>
          <w:rFonts w:ascii="Arial" w:eastAsia="Times New Roman" w:hAnsi="Arial" w:cs="Arial"/>
          <w:bCs/>
          <w:i/>
          <w:color w:val="000000"/>
          <w:lang w:val="en-US" w:eastAsia="ja-JP"/>
        </w:rPr>
        <w:t xml:space="preserve">smf2-17 </w:t>
      </w:r>
      <w:r w:rsidRPr="00D431D5">
        <w:rPr>
          <w:rFonts w:ascii="Arial" w:eastAsia="Times New Roman" w:hAnsi="Arial" w:cs="Arial"/>
          <w:bCs/>
          <w:color w:val="000000"/>
          <w:lang w:val="en-US" w:eastAsia="ja-JP"/>
        </w:rPr>
        <w:t>spores. (</w:t>
      </w:r>
      <w:r w:rsidRPr="00D431D5">
        <w:rPr>
          <w:rFonts w:ascii="Arial" w:eastAsia="Times New Roman" w:hAnsi="Arial" w:cs="Arial"/>
          <w:b/>
          <w:bCs/>
          <w:color w:val="000000"/>
          <w:lang w:val="en-US" w:eastAsia="ja-JP"/>
        </w:rPr>
        <w:t>c</w:t>
      </w:r>
      <w:r w:rsidRPr="00D431D5">
        <w:rPr>
          <w:rFonts w:ascii="Arial" w:eastAsia="Times New Roman" w:hAnsi="Arial" w:cs="Arial"/>
          <w:bCs/>
          <w:color w:val="000000"/>
          <w:lang w:val="en-US" w:eastAsia="ja-JP"/>
        </w:rPr>
        <w:t xml:space="preserve">) light microscopy images of wild-type, </w:t>
      </w:r>
      <w:r w:rsidRPr="00D431D5">
        <w:rPr>
          <w:rFonts w:ascii="Arial" w:eastAsia="Times New Roman" w:hAnsi="Arial" w:cs="Arial"/>
          <w:bCs/>
          <w:i/>
          <w:color w:val="000000"/>
          <w:lang w:val="en-US" w:eastAsia="ja-JP"/>
        </w:rPr>
        <w:t xml:space="preserve">scrm1-172 </w:t>
      </w:r>
      <w:r w:rsidRPr="00D431D5">
        <w:rPr>
          <w:rFonts w:ascii="Arial" w:eastAsia="Times New Roman" w:hAnsi="Arial" w:cs="Arial"/>
          <w:bCs/>
          <w:color w:val="000000"/>
          <w:lang w:val="en-US" w:eastAsia="ja-JP"/>
        </w:rPr>
        <w:t xml:space="preserve">and </w:t>
      </w:r>
      <w:r w:rsidRPr="00D431D5">
        <w:rPr>
          <w:rFonts w:ascii="Arial" w:eastAsia="Times New Roman" w:hAnsi="Arial" w:cs="Arial"/>
          <w:bCs/>
          <w:i/>
          <w:color w:val="000000"/>
          <w:lang w:val="en-US" w:eastAsia="ja-JP"/>
        </w:rPr>
        <w:t xml:space="preserve">scrm1-177 </w:t>
      </w:r>
      <w:r w:rsidRPr="00D431D5">
        <w:rPr>
          <w:rFonts w:ascii="Arial" w:eastAsia="Times New Roman" w:hAnsi="Arial" w:cs="Arial"/>
          <w:bCs/>
          <w:color w:val="000000"/>
          <w:lang w:val="en-US" w:eastAsia="ja-JP"/>
        </w:rPr>
        <w:t>spores. (</w:t>
      </w:r>
      <w:r w:rsidRPr="00D431D5">
        <w:rPr>
          <w:rFonts w:ascii="Arial" w:eastAsia="Times New Roman" w:hAnsi="Arial" w:cs="Arial"/>
          <w:b/>
          <w:bCs/>
          <w:color w:val="000000"/>
          <w:lang w:val="en-US" w:eastAsia="ja-JP"/>
        </w:rPr>
        <w:t>d</w:t>
      </w:r>
      <w:r w:rsidRPr="00D431D5">
        <w:rPr>
          <w:rFonts w:ascii="Arial" w:eastAsia="Times New Roman" w:hAnsi="Arial" w:cs="Arial"/>
          <w:bCs/>
          <w:color w:val="000000"/>
          <w:lang w:val="en-US" w:eastAsia="ja-JP"/>
        </w:rPr>
        <w:t xml:space="preserve">) SEM images of wild-type, </w:t>
      </w:r>
      <w:r w:rsidRPr="00D431D5">
        <w:rPr>
          <w:rFonts w:ascii="Arial" w:eastAsia="Times New Roman" w:hAnsi="Arial" w:cs="Arial"/>
          <w:bCs/>
          <w:i/>
          <w:color w:val="000000"/>
          <w:lang w:val="en-US" w:eastAsia="ja-JP"/>
        </w:rPr>
        <w:t xml:space="preserve">scrm1-172 </w:t>
      </w:r>
      <w:r w:rsidRPr="00D431D5">
        <w:rPr>
          <w:rFonts w:ascii="Arial" w:eastAsia="Times New Roman" w:hAnsi="Arial" w:cs="Arial"/>
          <w:bCs/>
          <w:color w:val="000000"/>
          <w:lang w:val="en-US" w:eastAsia="ja-JP"/>
        </w:rPr>
        <w:t xml:space="preserve">and </w:t>
      </w:r>
      <w:r w:rsidRPr="00D431D5">
        <w:rPr>
          <w:rFonts w:ascii="Arial" w:eastAsia="Times New Roman" w:hAnsi="Arial" w:cs="Arial"/>
          <w:bCs/>
          <w:i/>
          <w:color w:val="000000"/>
          <w:lang w:val="en-US" w:eastAsia="ja-JP"/>
        </w:rPr>
        <w:t xml:space="preserve">scrm1-177 </w:t>
      </w:r>
      <w:r w:rsidRPr="00D431D5">
        <w:rPr>
          <w:rFonts w:ascii="Arial" w:eastAsia="Times New Roman" w:hAnsi="Arial" w:cs="Arial"/>
          <w:bCs/>
          <w:color w:val="000000"/>
          <w:lang w:val="en-US" w:eastAsia="ja-JP"/>
        </w:rPr>
        <w:t>spores. Scale bars</w:t>
      </w:r>
      <w:r w:rsidRPr="00D431D5">
        <w:rPr>
          <w:rFonts w:ascii="Arial" w:eastAsia="Times New Roman" w:hAnsi="Arial" w:cs="Arial"/>
          <w:bCs/>
          <w:i/>
          <w:color w:val="000000"/>
          <w:lang w:val="en-US" w:eastAsia="ja-JP"/>
        </w:rPr>
        <w:t xml:space="preserve"> </w:t>
      </w:r>
      <w:r w:rsidRPr="00D431D5">
        <w:rPr>
          <w:rFonts w:ascii="Arial" w:eastAsia="Times New Roman" w:hAnsi="Arial" w:cs="Arial"/>
          <w:bCs/>
          <w:color w:val="000000"/>
          <w:lang w:val="en-US" w:eastAsia="ja-JP"/>
        </w:rPr>
        <w:t>= 10 µm.</w:t>
      </w:r>
      <w:r w:rsidRPr="00D431D5">
        <w:rPr>
          <w:rFonts w:ascii="Arial" w:eastAsia="Times New Roman" w:hAnsi="Arial" w:cs="Arial"/>
          <w:color w:val="000000"/>
          <w:lang w:val="en-US" w:eastAsia="ja-JP"/>
        </w:rPr>
        <w:t xml:space="preserve"> </w:t>
      </w:r>
    </w:p>
    <w:p w14:paraId="726D71DB" w14:textId="23868F9B" w:rsidR="00D431D5" w:rsidRPr="00D431D5" w:rsidRDefault="00D431D5" w:rsidP="00D431D5">
      <w:pPr>
        <w:tabs>
          <w:tab w:val="left" w:pos="6663"/>
        </w:tabs>
        <w:spacing w:after="160" w:line="360" w:lineRule="auto"/>
        <w:rPr>
          <w:rFonts w:ascii="Arial" w:eastAsia="Times New Roman" w:hAnsi="Arial" w:cs="Arial"/>
          <w:color w:val="000000"/>
          <w:u w:val="single"/>
          <w:lang w:eastAsia="ja-JP"/>
        </w:rPr>
      </w:pPr>
      <w:r w:rsidRPr="00D431D5">
        <w:rPr>
          <w:rFonts w:ascii="Arial" w:eastAsia="Times New Roman" w:hAnsi="Arial" w:cs="Arial"/>
          <w:color w:val="000000"/>
          <w:u w:val="single"/>
          <w:lang w:eastAsia="ja-JP"/>
        </w:rPr>
        <w:t>3.2.11 Stomatal developmental onto</w:t>
      </w:r>
      <w:r w:rsidR="00C7050F">
        <w:rPr>
          <w:rFonts w:ascii="Arial" w:eastAsia="Times New Roman" w:hAnsi="Arial" w:cs="Arial"/>
          <w:color w:val="000000"/>
          <w:u w:val="single"/>
          <w:lang w:eastAsia="ja-JP"/>
        </w:rPr>
        <w:t xml:space="preserve">geny </w:t>
      </w:r>
      <w:r w:rsidRPr="00D431D5">
        <w:rPr>
          <w:rFonts w:ascii="Arial" w:eastAsia="Times New Roman" w:hAnsi="Arial" w:cs="Arial"/>
          <w:color w:val="000000"/>
          <w:u w:val="single"/>
          <w:lang w:eastAsia="ja-JP"/>
        </w:rPr>
        <w:t xml:space="preserve">in </w:t>
      </w:r>
      <w:r w:rsidRPr="00D431D5">
        <w:rPr>
          <w:rFonts w:ascii="Arial" w:eastAsia="Times New Roman" w:hAnsi="Arial" w:cs="Arial"/>
          <w:i/>
          <w:color w:val="000000"/>
          <w:u w:val="single"/>
          <w:lang w:eastAsia="ja-JP"/>
        </w:rPr>
        <w:t xml:space="preserve">ppsmf1 </w:t>
      </w:r>
      <w:r w:rsidRPr="00D431D5">
        <w:rPr>
          <w:rFonts w:ascii="Arial" w:eastAsia="Times New Roman" w:hAnsi="Arial" w:cs="Arial"/>
          <w:color w:val="000000"/>
          <w:u w:val="single"/>
          <w:lang w:eastAsia="ja-JP"/>
        </w:rPr>
        <w:t xml:space="preserve">and </w:t>
      </w:r>
      <w:r w:rsidRPr="00D431D5">
        <w:rPr>
          <w:rFonts w:ascii="Arial" w:eastAsia="Times New Roman" w:hAnsi="Arial" w:cs="Arial"/>
          <w:i/>
          <w:color w:val="000000"/>
          <w:u w:val="single"/>
          <w:lang w:eastAsia="ja-JP"/>
        </w:rPr>
        <w:t>ppscrm1</w:t>
      </w:r>
      <w:r w:rsidRPr="00D431D5">
        <w:rPr>
          <w:rFonts w:ascii="Arial" w:eastAsia="Times New Roman" w:hAnsi="Arial" w:cs="Arial"/>
          <w:color w:val="000000"/>
          <w:u w:val="single"/>
          <w:lang w:eastAsia="ja-JP"/>
        </w:rPr>
        <w:t xml:space="preserve"> </w:t>
      </w:r>
    </w:p>
    <w:p w14:paraId="6BB5E01B" w14:textId="4EFCFCF2"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Having ascertained that stomatal development occurs during elongation and expansion of wild-type sporophytes (</w:t>
      </w:r>
      <w:r w:rsidRPr="00D431D5">
        <w:rPr>
          <w:rFonts w:ascii="Arial" w:eastAsia="Times New Roman" w:hAnsi="Arial" w:cs="Arial"/>
          <w:b/>
          <w:color w:val="000000"/>
          <w:lang w:eastAsia="ja-JP"/>
        </w:rPr>
        <w:t xml:space="preserve">Fig. 2, 3, 4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6</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capsules of similar developmental stages were assessed to better understand the early stages of stomatal development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Fig. 15</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 xml:space="preserve">See also </w:t>
      </w:r>
      <w:r w:rsidRPr="00D431D5">
        <w:rPr>
          <w:rFonts w:ascii="Arial" w:eastAsia="Times New Roman" w:hAnsi="Arial" w:cs="Arial"/>
          <w:b/>
          <w:color w:val="000000"/>
          <w:lang w:eastAsia="ja-JP"/>
        </w:rPr>
        <w:t>Fig.</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9</w:t>
      </w:r>
      <w:r w:rsidRPr="00D431D5">
        <w:rPr>
          <w:rFonts w:ascii="Arial" w:eastAsia="Times New Roman" w:hAnsi="Arial" w:cs="Arial"/>
          <w:color w:val="000000"/>
          <w:lang w:eastAsia="ja-JP"/>
        </w:rPr>
        <w:t xml:space="preserve">). Whilst some putative evidence for an early asymmetric division was detected in mature capsules of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Fig. 11j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 xml:space="preserve">13k) </w:t>
      </w:r>
      <w:r w:rsidRPr="00D431D5">
        <w:rPr>
          <w:rFonts w:ascii="Arial" w:eastAsia="Times New Roman" w:hAnsi="Arial" w:cs="Arial"/>
          <w:color w:val="000000"/>
          <w:lang w:eastAsia="ja-JP"/>
        </w:rPr>
        <w:t xml:space="preserve">such conformations of cells were not clearly apparent when fresh young immature sporophyte capsules were visualised either in the wild-type backgrounds or in mutant lines. However, what was strikingly apparent was that in both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capsules no early, mid or late GMC formation occurred implying that both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are both required for early GMC formation </w:t>
      </w:r>
      <w:r w:rsidRPr="00D431D5">
        <w:rPr>
          <w:rFonts w:ascii="Arial" w:eastAsia="Times New Roman" w:hAnsi="Arial" w:cs="Arial"/>
          <w:b/>
          <w:color w:val="000000"/>
          <w:lang w:eastAsia="ja-JP"/>
        </w:rPr>
        <w:t>(Fig. 15e</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h</w:t>
      </w:r>
      <w:r w:rsidRPr="00D431D5">
        <w:rPr>
          <w:rFonts w:ascii="Arial" w:eastAsia="Times New Roman" w:hAnsi="Arial" w:cs="Arial"/>
          <w:color w:val="000000"/>
          <w:lang w:eastAsia="ja-JP"/>
        </w:rPr>
        <w:t>). Lack of pore formation was verified using fluorescence microscopy in combination with bright-field observations (</w:t>
      </w:r>
      <w:r w:rsidRPr="00D431D5">
        <w:rPr>
          <w:rFonts w:ascii="Arial" w:eastAsia="Times New Roman" w:hAnsi="Arial" w:cs="Arial"/>
          <w:b/>
          <w:color w:val="000000"/>
          <w:lang w:eastAsia="ja-JP"/>
        </w:rPr>
        <w:t>Fig. 15f</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see also</w:t>
      </w:r>
      <w:r w:rsidRPr="00D431D5">
        <w:rPr>
          <w:rFonts w:ascii="Arial" w:eastAsia="Times New Roman" w:hAnsi="Arial" w:cs="Arial"/>
          <w:b/>
          <w:color w:val="000000"/>
          <w:lang w:eastAsia="ja-JP"/>
        </w:rPr>
        <w:t xml:space="preserve"> Fig. 3-4</w:t>
      </w:r>
      <w:r w:rsidRPr="00D431D5">
        <w:rPr>
          <w:rFonts w:ascii="Arial" w:eastAsia="Times New Roman" w:hAnsi="Arial" w:cs="Arial"/>
          <w:color w:val="000000"/>
          <w:lang w:eastAsia="ja-JP"/>
        </w:rPr>
        <w:t xml:space="preserve">). As GMCs did not form, it was also not possible to detect whether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or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function extended to the latter stages of stomatal development by assisting with</w:t>
      </w:r>
      <w:r w:rsidR="00E552D9">
        <w:rPr>
          <w:rFonts w:ascii="Arial" w:eastAsia="Times New Roman" w:hAnsi="Arial" w:cs="Arial"/>
          <w:color w:val="000000"/>
          <w:lang w:eastAsia="ja-JP"/>
        </w:rPr>
        <w:t xml:space="preserve"> GMC spacing divisions or</w:t>
      </w:r>
      <w:r w:rsidRPr="00D431D5">
        <w:rPr>
          <w:rFonts w:ascii="Arial" w:eastAsia="Times New Roman" w:hAnsi="Arial" w:cs="Arial"/>
          <w:color w:val="000000"/>
          <w:lang w:eastAsia="ja-JP"/>
        </w:rPr>
        <w:t xml:space="preserve"> the incomplete symmetric division of the GMC to produce a single guard. </w:t>
      </w:r>
    </w:p>
    <w:p w14:paraId="3B636E42" w14:textId="77777777" w:rsidR="00D431D5" w:rsidRPr="00D431D5" w:rsidRDefault="00D431D5" w:rsidP="008653D0">
      <w:pPr>
        <w:tabs>
          <w:tab w:val="left" w:pos="6663"/>
        </w:tabs>
        <w:spacing w:after="160" w:line="360" w:lineRule="auto"/>
        <w:jc w:val="center"/>
        <w:rPr>
          <w:rFonts w:ascii="Arial" w:eastAsia="Times New Roman" w:hAnsi="Arial" w:cs="Arial"/>
          <w:color w:val="000000"/>
          <w:lang w:eastAsia="ja-JP"/>
        </w:rPr>
      </w:pPr>
      <w:r w:rsidRPr="00D431D5">
        <w:rPr>
          <w:rFonts w:ascii="Arial" w:eastAsia="Times New Roman" w:hAnsi="Arial" w:cs="Arial"/>
          <w:noProof/>
          <w:color w:val="000000"/>
          <w:lang w:eastAsia="ja-JP"/>
        </w:rPr>
        <w:lastRenderedPageBreak/>
        <w:drawing>
          <wp:inline distT="0" distB="0" distL="0" distR="0" wp14:anchorId="30B1C4D3" wp14:editId="2ED8B1E3">
            <wp:extent cx="4839836" cy="788822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11reorg.png"/>
                    <pic:cNvPicPr/>
                  </pic:nvPicPr>
                  <pic:blipFill rotWithShape="1">
                    <a:blip r:embed="rId35">
                      <a:extLst>
                        <a:ext uri="{28A0092B-C50C-407E-A947-70E740481C1C}">
                          <a14:useLocalDpi xmlns:a14="http://schemas.microsoft.com/office/drawing/2010/main" val="0"/>
                        </a:ext>
                      </a:extLst>
                    </a:blip>
                    <a:srcRect b="1840"/>
                    <a:stretch/>
                  </pic:blipFill>
                  <pic:spPr bwMode="auto">
                    <a:xfrm>
                      <a:off x="0" y="0"/>
                      <a:ext cx="4840727" cy="7889676"/>
                    </a:xfrm>
                    <a:prstGeom prst="rect">
                      <a:avLst/>
                    </a:prstGeom>
                    <a:ln>
                      <a:noFill/>
                    </a:ln>
                    <a:extLst>
                      <a:ext uri="{53640926-AAD7-44D8-BBD7-CCE9431645EC}">
                        <a14:shadowObscured xmlns:a14="http://schemas.microsoft.com/office/drawing/2010/main"/>
                      </a:ext>
                    </a:extLst>
                  </pic:spPr>
                </pic:pic>
              </a:graphicData>
            </a:graphic>
          </wp:inline>
        </w:drawing>
      </w:r>
    </w:p>
    <w:p w14:paraId="7089BCF4" w14:textId="7761BCFA"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b/>
          <w:color w:val="000000"/>
          <w:lang w:eastAsia="ja-JP"/>
        </w:rPr>
        <w:t xml:space="preserve">Figure 15. </w:t>
      </w:r>
      <w:r w:rsidRPr="00D431D5">
        <w:rPr>
          <w:rFonts w:ascii="Arial" w:eastAsia="Times New Roman" w:hAnsi="Arial" w:cs="Arial"/>
          <w:b/>
          <w:i/>
          <w:color w:val="000000"/>
          <w:lang w:eastAsia="ja-JP"/>
        </w:rPr>
        <w:t xml:space="preserve">ppsmf1 </w:t>
      </w:r>
      <w:r w:rsidRPr="00D431D5">
        <w:rPr>
          <w:rFonts w:ascii="Arial" w:eastAsia="Times New Roman" w:hAnsi="Arial" w:cs="Arial"/>
          <w:b/>
          <w:color w:val="000000"/>
          <w:lang w:eastAsia="ja-JP"/>
        </w:rPr>
        <w:t xml:space="preserve">and </w:t>
      </w:r>
      <w:r w:rsidRPr="00D431D5">
        <w:rPr>
          <w:rFonts w:ascii="Arial" w:eastAsia="Times New Roman" w:hAnsi="Arial" w:cs="Arial"/>
          <w:b/>
          <w:i/>
          <w:color w:val="000000"/>
          <w:lang w:eastAsia="ja-JP"/>
        </w:rPr>
        <w:t xml:space="preserve">ppscrm1 </w:t>
      </w:r>
      <w:r w:rsidRPr="00D431D5">
        <w:rPr>
          <w:rFonts w:ascii="Arial" w:eastAsia="Times New Roman" w:hAnsi="Arial" w:cs="Arial"/>
          <w:b/>
          <w:color w:val="000000"/>
          <w:lang w:eastAsia="ja-JP"/>
        </w:rPr>
        <w:t xml:space="preserve">permit the formation of early GMCs during stomatal development. </w:t>
      </w:r>
      <w:r w:rsidRPr="00D431D5">
        <w:rPr>
          <w:rFonts w:ascii="Arial" w:eastAsia="Times New Roman" w:hAnsi="Arial" w:cs="Arial"/>
          <w:color w:val="000000"/>
          <w:lang w:eastAsia="ja-JP"/>
        </w:rPr>
        <w:t xml:space="preserve">All images displayed are taken from elongating early expanding sporophytes equivalent to those studied in </w:t>
      </w:r>
      <w:r w:rsidRPr="00D431D5">
        <w:rPr>
          <w:rFonts w:ascii="Arial" w:eastAsia="Times New Roman" w:hAnsi="Arial" w:cs="Arial"/>
          <w:b/>
          <w:color w:val="000000"/>
          <w:lang w:eastAsia="ja-JP"/>
        </w:rPr>
        <w:t>Fig. 3</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4</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xml:space="preserve">) Close-up Villersexel K3 image of the epidermis </w:t>
      </w:r>
      <w:r w:rsidRPr="00D431D5">
        <w:rPr>
          <w:rFonts w:ascii="Arial" w:eastAsia="Times New Roman" w:hAnsi="Arial" w:cs="Arial"/>
          <w:color w:val="000000"/>
          <w:lang w:eastAsia="ja-JP"/>
        </w:rPr>
        <w:lastRenderedPageBreak/>
        <w:t>with a GMC that has yet to undergo division.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Fl</w:t>
      </w:r>
      <w:r w:rsidR="00EE0DEA">
        <w:rPr>
          <w:rFonts w:ascii="Arial" w:eastAsia="Times New Roman" w:hAnsi="Arial" w:cs="Arial"/>
          <w:color w:val="000000"/>
          <w:lang w:eastAsia="ja-JP"/>
        </w:rPr>
        <w:t>u</w:t>
      </w:r>
      <w:r w:rsidRPr="00D431D5">
        <w:rPr>
          <w:rFonts w:ascii="Arial" w:eastAsia="Times New Roman" w:hAnsi="Arial" w:cs="Arial"/>
          <w:color w:val="000000"/>
          <w:lang w:eastAsia="ja-JP"/>
        </w:rPr>
        <w:t>orescent equivalent to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Representative close-up Gransden 2004 image with nascent guard cells that have re-aggregated organelles. (</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 xml:space="preserve">) </w:t>
      </w:r>
      <w:r w:rsidR="00EE0DEA">
        <w:rPr>
          <w:rFonts w:ascii="Arial" w:eastAsia="Times New Roman" w:hAnsi="Arial" w:cs="Arial"/>
          <w:color w:val="000000"/>
          <w:lang w:eastAsia="ja-JP"/>
        </w:rPr>
        <w:t>Fluorescent</w:t>
      </w:r>
      <w:r w:rsidRPr="00D431D5">
        <w:rPr>
          <w:rFonts w:ascii="Arial" w:eastAsia="Times New Roman" w:hAnsi="Arial" w:cs="Arial"/>
          <w:color w:val="000000"/>
          <w:lang w:eastAsia="ja-JP"/>
        </w:rPr>
        <w:t xml:space="preserve"> equivalent to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xml:space="preserve">). Note the </w:t>
      </w:r>
      <w:r w:rsidR="00EE0DEA">
        <w:rPr>
          <w:rFonts w:ascii="Arial" w:eastAsia="Times New Roman" w:hAnsi="Arial" w:cs="Arial"/>
          <w:color w:val="000000"/>
          <w:lang w:eastAsia="ja-JP"/>
        </w:rPr>
        <w:t>fluorescence</w:t>
      </w:r>
      <w:r w:rsidRPr="00D431D5">
        <w:rPr>
          <w:rFonts w:ascii="Arial" w:eastAsia="Times New Roman" w:hAnsi="Arial" w:cs="Arial"/>
          <w:color w:val="000000"/>
          <w:lang w:eastAsia="ja-JP"/>
        </w:rPr>
        <w:t xml:space="preserve"> being emitted from the pore region of newly formed guard cells where organelles have re-aggregated. In both wild-types a range of different stomatal lineage cell types were detected from early GMCs to nascent guard cells.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 xml:space="preserve">ppsmf1-14 </w:t>
      </w:r>
      <w:r w:rsidRPr="00D431D5">
        <w:rPr>
          <w:rFonts w:ascii="Arial" w:eastAsia="Times New Roman" w:hAnsi="Arial" w:cs="Arial"/>
          <w:color w:val="000000"/>
          <w:lang w:eastAsia="ja-JP"/>
        </w:rPr>
        <w:t>epidermis with epidermal cells loosely arranged in files equivalent to wild-type in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 xml:space="preserve">) </w:t>
      </w:r>
      <w:r w:rsidR="00EE0DEA">
        <w:rPr>
          <w:rFonts w:ascii="Arial" w:eastAsia="Times New Roman" w:hAnsi="Arial" w:cs="Arial"/>
          <w:color w:val="000000"/>
          <w:lang w:eastAsia="ja-JP"/>
        </w:rPr>
        <w:t>Fluorescent</w:t>
      </w:r>
      <w:r w:rsidRPr="00D431D5">
        <w:rPr>
          <w:rFonts w:ascii="Arial" w:eastAsia="Times New Roman" w:hAnsi="Arial" w:cs="Arial"/>
          <w:color w:val="000000"/>
          <w:lang w:eastAsia="ja-JP"/>
        </w:rPr>
        <w:t xml:space="preserve"> image of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 xml:space="preserve">ppscrm1-172 </w:t>
      </w:r>
      <w:r w:rsidRPr="00D431D5">
        <w:rPr>
          <w:rFonts w:ascii="Arial" w:eastAsia="Times New Roman" w:hAnsi="Arial" w:cs="Arial"/>
          <w:color w:val="000000"/>
          <w:lang w:eastAsia="ja-JP"/>
        </w:rPr>
        <w:t>epidermis with epidermal cells irregularly patterned equivalent to wild-type in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h</w:t>
      </w:r>
      <w:r w:rsidRPr="00D431D5">
        <w:rPr>
          <w:rFonts w:ascii="Arial" w:eastAsia="Times New Roman" w:hAnsi="Arial" w:cs="Arial"/>
          <w:color w:val="000000"/>
          <w:lang w:eastAsia="ja-JP"/>
        </w:rPr>
        <w:t xml:space="preserve">) </w:t>
      </w:r>
      <w:r w:rsidR="00EE0DEA">
        <w:rPr>
          <w:rFonts w:ascii="Arial" w:eastAsia="Times New Roman" w:hAnsi="Arial" w:cs="Arial"/>
          <w:color w:val="000000"/>
          <w:lang w:eastAsia="ja-JP"/>
        </w:rPr>
        <w:t>Fluorescent</w:t>
      </w:r>
      <w:r w:rsidRPr="00D431D5">
        <w:rPr>
          <w:rFonts w:ascii="Arial" w:eastAsia="Times New Roman" w:hAnsi="Arial" w:cs="Arial"/>
          <w:color w:val="000000"/>
          <w:lang w:eastAsia="ja-JP"/>
        </w:rPr>
        <w:t xml:space="preserve"> equivalent to (</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xml:space="preserve">). For both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mutant lines a range of different epidermal cell conformations were observed. Scale bars = 25µm. </w:t>
      </w:r>
    </w:p>
    <w:p w14:paraId="6F22DAD1" w14:textId="77777777" w:rsidR="00D431D5" w:rsidRPr="00D431D5" w:rsidRDefault="00D431D5" w:rsidP="00D431D5">
      <w:pPr>
        <w:tabs>
          <w:tab w:val="left" w:pos="6663"/>
        </w:tabs>
        <w:spacing w:after="160" w:line="360" w:lineRule="auto"/>
        <w:rPr>
          <w:rFonts w:ascii="Arial" w:eastAsia="Times New Roman" w:hAnsi="Arial" w:cs="Arial"/>
          <w:i/>
          <w:color w:val="000000"/>
          <w:u w:val="single"/>
          <w:lang w:eastAsia="ja-JP"/>
        </w:rPr>
      </w:pPr>
      <w:r w:rsidRPr="00D431D5">
        <w:rPr>
          <w:rFonts w:ascii="Arial" w:eastAsia="Times New Roman" w:hAnsi="Arial" w:cs="Arial"/>
          <w:color w:val="000000"/>
          <w:u w:val="single"/>
          <w:lang w:eastAsia="ja-JP"/>
        </w:rPr>
        <w:t xml:space="preserve">3.2.12 Understanding stomatal function in </w:t>
      </w:r>
      <w:r w:rsidRPr="00D431D5">
        <w:rPr>
          <w:rFonts w:ascii="Arial" w:eastAsia="Times New Roman" w:hAnsi="Arial" w:cs="Arial"/>
          <w:i/>
          <w:color w:val="000000"/>
          <w:u w:val="single"/>
          <w:lang w:eastAsia="ja-JP"/>
        </w:rPr>
        <w:t>P. patens</w:t>
      </w:r>
    </w:p>
    <w:p w14:paraId="27317FA2" w14:textId="60F0B841"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Stomata function in moss and hornwort non-vascular land plants has recently attracted considerable attention </w:t>
      </w:r>
      <w:commentRangeStart w:id="6"/>
      <w:r w:rsidRPr="00D431D5">
        <w:rPr>
          <w:rFonts w:ascii="Arial" w:eastAsia="Times New Roman" w:hAnsi="Arial" w:cs="Arial"/>
          <w:color w:val="000000"/>
          <w:lang w:eastAsia="ja-JP"/>
        </w:rPr>
        <w:fldChar w:fldCharType="begin">
          <w:fldData xml:space="preserve">PEVuZE5vdGU+PENpdGU+PEF1dGhvcj5QcmVzc2VsPC9BdXRob3I+PFllYXI+MjAxNDwvWWVhcj48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=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PEVuZE5vdGU+PENpdGU+PEF1dGhvcj5QcmVzc2VsPC9BdXRob3I+PFllYXI+MjAxNDwvWWVhcj48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=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(Chater et al., 2013; Duckett et al., 2009; Haig, 2013; Merced and Renzaglia, 2014; Pressel et al., 2014)</w:t>
      </w:r>
      <w:r w:rsidRPr="00D431D5">
        <w:rPr>
          <w:rFonts w:ascii="Arial" w:eastAsia="Times New Roman" w:hAnsi="Arial" w:cs="Arial"/>
          <w:color w:val="000000"/>
          <w:lang w:eastAsia="ja-JP"/>
        </w:rPr>
        <w:fldChar w:fldCharType="end"/>
      </w:r>
      <w:commentRangeEnd w:id="6"/>
      <w:r w:rsidRPr="00D431D5">
        <w:rPr>
          <w:rFonts w:ascii="Arial" w:eastAsia="Times New Roman" w:hAnsi="Arial" w:cs="Arial"/>
          <w:color w:val="000000"/>
          <w:lang w:eastAsia="ja-JP"/>
        </w:rPr>
        <w:commentReference w:id="6"/>
      </w:r>
      <w:r w:rsidRPr="00D431D5">
        <w:rPr>
          <w:rFonts w:ascii="Arial" w:eastAsia="Times New Roman" w:hAnsi="Arial" w:cs="Arial"/>
          <w:color w:val="000000"/>
          <w:lang w:eastAsia="ja-JP"/>
        </w:rPr>
        <w:t xml:space="preserve">. Some suggestions are that the primary function of stomata is to assist in capsule drying and dehiscence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&lt;EndNote&gt;&lt;Cite&gt;&lt;Author&gt;Duckett&lt;/Author&gt;&lt;Year&gt;2009&lt;/Year&gt;&lt;IDText&gt;Exploding a myth: the capsule dehiscence mechanism and the function of pseudostomata in Sphagnum&lt;/IDText&gt;&lt;DisplayText&gt;(Duckett et al., 2009)&lt;/DisplayText&gt;&lt;record&gt;&lt;urls&gt;&lt;related-urls&gt;&lt;url&gt;&amp;lt;Go to ISI&amp;gt;://WOS:000268855300014&lt;/url&gt;&lt;/related-urls&gt;&lt;/urls&gt;&lt;isbn&gt;0028-646X&lt;/isbn&gt;&lt;titles&gt;&lt;title&gt;Exploding a myth: the capsule dehiscence mechanism and the function of pseudostomata in Sphagnum&lt;/title&gt;&lt;secondary-title&gt;New Phytologist&lt;/secondary-title&gt;&lt;/titles&gt;&lt;pages&gt;1053-1063&lt;/pages&gt;&lt;number&gt;4&lt;/number&gt;&lt;contributors&gt;&lt;authors&gt;&lt;author&gt;Duckett, J. G.&lt;/author&gt;&lt;author&gt;Pressel, S.&lt;/author&gt;&lt;author&gt;P&amp;apos;ng, K. M. Y.&lt;/author&gt;&lt;author&gt;Renzaglia, K. S.&lt;/author&gt;&lt;/authors&gt;&lt;/contributors&gt;&lt;added-date format="utc"&gt;1380635976&lt;/added-date&gt;&lt;ref-type name="Journal Article"&gt;17&lt;/ref-type&gt;&lt;dates&gt;&lt;year&gt;2009&lt;/year&gt;&lt;/dates&gt;&lt;rec-number&gt;132&lt;/rec-number&gt;&lt;last-updated-date format="utc"&gt;1380635976&lt;/last-updated-date&gt;&lt;accession-num&gt;WOS:000268855300014&lt;/accession-num&gt;&lt;electronic-resource-num&gt;10.1111/j.1469-8137.2009.02905.x&lt;/electronic-resource-num&gt;&lt;volume&gt;183&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(Duckett et al., 2009)</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whilst other suggestions are that stomata primarily function permit water and nutrient uptake via transpiration and to perhaps assist in gaseous exchange as the nascent sporophyte expands </w:t>
      </w:r>
      <w:r w:rsidRPr="00D431D5">
        <w:rPr>
          <w:rFonts w:ascii="Arial" w:eastAsia="Times New Roman" w:hAnsi="Arial" w:cs="Arial"/>
          <w:color w:val="000000"/>
          <w:lang w:eastAsia="ja-JP"/>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bjwvSURUZXh0PjxEaXNwbGF5VGV4dD4oQ2hhdGVyIGV0IGFsLiwgMjAxMSk8L0Rpc3BsYXlUZXh0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bjwvSURUZXh0PjxEaXNwbGF5VGV4dD4oQ2hhdGVyIGV0IGFsLiwgMjAxMSk8L0Rpc3BsYXlUZXh0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(Chater et al., 2011)</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However, not all mosses and hornwort species have stomata </w:t>
      </w:r>
      <w:r w:rsidRPr="00D431D5">
        <w:rPr>
          <w:rFonts w:ascii="Arial" w:eastAsia="Times New Roman" w:hAnsi="Arial" w:cs="Arial"/>
          <w:color w:val="000000"/>
          <w:lang w:eastAsia="ja-JP"/>
        </w:rPr>
        <w:fldChar w:fldCharType="begin">
          <w:fldData xml:space="preserve">PEVuZE5vdGU+PENpdGU+PEF1dGhvcj5EdWNrZXR0PC9BdXRob3I+PFllYXI+MjAwOTwvWWVhcj48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PEVuZE5vdGU+PENpdGU+PEF1dGhvcj5EdWNrZXR0PC9BdXRob3I+PFllYXI+MjAwOTwvWWVhcj48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(Duckett et al., 2009; Pressel et al., 2014)</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which implies that in some species at least stomata are not fundamental for sporophyte development </w:t>
      </w:r>
      <w:r w:rsidR="00D57BED">
        <w:rPr>
          <w:rFonts w:ascii="Arial" w:eastAsia="Times New Roman" w:hAnsi="Arial" w:cs="Arial"/>
          <w:color w:val="000000"/>
          <w:lang w:eastAsia="ja-JP"/>
        </w:rPr>
        <w:t xml:space="preserve">and </w:t>
      </w:r>
      <w:r w:rsidRPr="00D431D5">
        <w:rPr>
          <w:rFonts w:ascii="Arial" w:eastAsia="Times New Roman" w:hAnsi="Arial" w:cs="Arial"/>
          <w:color w:val="000000"/>
          <w:lang w:eastAsia="ja-JP"/>
        </w:rPr>
        <w:t>subsequent spore dispersal.</w:t>
      </w:r>
    </w:p>
    <w:p w14:paraId="30FA3F7F"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To understand how stomata might function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the sporophytes of </w:t>
      </w:r>
      <w:r w:rsidRPr="00D431D5">
        <w:rPr>
          <w:rFonts w:ascii="Arial" w:eastAsia="Times New Roman" w:hAnsi="Arial" w:cs="Arial"/>
          <w:i/>
          <w:color w:val="000000"/>
          <w:lang w:eastAsia="ja-JP"/>
        </w:rPr>
        <w:t>ppsmf1</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and the corresponding wild-type were analysed during their development, maturation and subsequent lysis to see how having no stomata effects sporophyte development (</w:t>
      </w:r>
      <w:r w:rsidRPr="00D431D5">
        <w:rPr>
          <w:rFonts w:ascii="Arial" w:eastAsia="Times New Roman" w:hAnsi="Arial" w:cs="Arial"/>
          <w:b/>
          <w:color w:val="000000"/>
          <w:lang w:eastAsia="ja-JP"/>
        </w:rPr>
        <w:t>Fig. 16</w:t>
      </w:r>
      <w:r w:rsidRPr="00D431D5">
        <w:rPr>
          <w:rFonts w:ascii="Arial" w:eastAsia="Times New Roman" w:hAnsi="Arial" w:cs="Arial"/>
          <w:color w:val="000000"/>
          <w:lang w:eastAsia="ja-JP"/>
        </w:rPr>
        <w:t xml:space="preserve">). Plants were grown under sterile conditions in petri dishes half filled with Knop medium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&lt;EndNote&gt;&lt;Cite&gt;&lt;Author&gt;Reski&lt;/Author&gt;&lt;Year&gt;1985&lt;/Year&gt;&lt;IDText&gt;Induction of budding on choloronemata and caulonemata of the moss, Physcomitrella patens, using isopentenyladenine&lt;/IDText&gt;&lt;DisplayText&gt;(Reski and Abel, 1985)&lt;/DisplayText&gt;&lt;record&gt;&lt;keywords&gt;&lt;keyword&gt;Plant Sciences&lt;/keyword&gt;&lt;/keywords&gt;&lt;urls&gt;&lt;related-urls&gt;&lt;url&gt;&amp;lt;Go to ISI&amp;gt;://WOS:A1985APQ5900008&lt;/url&gt;&lt;/related-urls&gt;&lt;/urls&gt;&lt;isbn&gt;0032-0935&lt;/isbn&gt;&lt;work-type&gt;Article&lt;/work-type&gt;&lt;titles&gt;&lt;title&gt;&lt;style font="default" size="100%"&gt;Induction of budding on choloronemata and caulonemata of the moss, P&lt;/style&gt;&lt;style face="italic" font="default" size="100%"&gt;hyscomitrella patens,&lt;/style&gt;&lt;style font="default" size="100%"&gt; using isopentenyladenine&lt;/style&gt;&lt;/title&gt;&lt;secondary-title&gt;Planta&lt;/secondary-title&gt;&lt;/titles&gt;&lt;pages&gt;354-358&lt;/pages&gt;&lt;number&gt;3&lt;/number&gt;&lt;contributors&gt;&lt;authors&gt;&lt;author&gt;Reski, R.&lt;/author&gt;&lt;author&gt;Abel, W. O.&lt;/author&gt;&lt;/authors&gt;&lt;/contributors&gt;&lt;language&gt;English&lt;/language&gt;&lt;added-date format="utc"&gt;1455814313&lt;/added-date&gt;&lt;ref-type name="Journal Article"&gt;17&lt;/ref-type&gt;&lt;auth-address&gt;RESKI, R (reprint author), INST ALLGEMEINE BOT,OHNHORSTSTR 18,D-2000 HAMBURG 52,FED REP GER.&lt;/auth-address&gt;&lt;dates&gt;&lt;year&gt;1985&lt;/year&gt;&lt;/dates&gt;&lt;rec-number&gt;886&lt;/rec-number&gt;&lt;last-updated-date format="utc"&gt;1455814313&lt;/last-updated-date&gt;&lt;accession-num&gt;WOS:A1985APQ5900008&lt;/accession-num&gt;&lt;electronic-resource-num&gt;10.1007/bf00392232&lt;/electronic-resource-num&gt;&lt;volume&gt;165&lt;/volume&gt;&lt;/record&gt;&lt;/Cite&gt;&lt;/EndNote&gt;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(Reski and Abel, 1985)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which upon maturation of the gametophore were flooded to encourage fertilisation and subsequently drained five days later leading to relatively dry conditions during sporophyte development. It was found that strikingly both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mutant backgrounds showed delayed capsule dehiscence relative to the wild-type controls. </w:t>
      </w:r>
    </w:p>
    <w:p w14:paraId="0B62B638"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noProof/>
          <w:color w:val="000000"/>
          <w:lang w:eastAsia="ja-JP"/>
        </w:rPr>
        <w:lastRenderedPageBreak/>
        <mc:AlternateContent>
          <mc:Choice Requires="wps">
            <w:drawing>
              <wp:anchor distT="0" distB="0" distL="114300" distR="114300" simplePos="0" relativeHeight="251661312" behindDoc="0" locked="0" layoutInCell="1" allowOverlap="1" wp14:anchorId="4A2D2622" wp14:editId="411CC9EE">
                <wp:simplePos x="0" y="0"/>
                <wp:positionH relativeFrom="column">
                  <wp:posOffset>-6936</wp:posOffset>
                </wp:positionH>
                <wp:positionV relativeFrom="paragraph">
                  <wp:posOffset>3868420</wp:posOffset>
                </wp:positionV>
                <wp:extent cx="307731" cy="271940"/>
                <wp:effectExtent l="0" t="0" r="0" b="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731" cy="271940"/>
                        </a:xfrm>
                        <a:prstGeom prst="rect">
                          <a:avLst/>
                        </a:prstGeom>
                        <a:solidFill>
                          <a:srgbClr val="FFFFFF"/>
                        </a:solidFill>
                        <a:ln w="9525">
                          <a:noFill/>
                          <a:miter lim="800000"/>
                          <a:headEnd/>
                          <a:tailEnd/>
                        </a:ln>
                      </wps:spPr>
                      <wps:txbx>
                        <w:txbxContent>
                          <w:p w14:paraId="18D83766" w14:textId="77777777" w:rsidR="003104C5" w:rsidRPr="001C6050" w:rsidRDefault="003104C5" w:rsidP="00D431D5">
                            <w:pPr>
                              <w:rPr>
                                <w:rFonts w:cs="Arial"/>
                                <w:b/>
                                <w:sz w:val="24"/>
                              </w:rPr>
                            </w:pPr>
                            <w:r>
                              <w:rPr>
                                <w:rFonts w:cs="Arial"/>
                                <w:b/>
                                <w:sz w:val="24"/>
                              </w:rPr>
                              <w:t>(</w:t>
                            </w:r>
                            <w:r w:rsidRPr="00C06645">
                              <w:rPr>
                                <w:rFonts w:cs="Arial"/>
                                <w:b/>
                                <w:sz w:val="24"/>
                              </w:rPr>
                              <w:t>b</w:t>
                            </w:r>
                            <w:r w:rsidRPr="008D1D22">
                              <w:rPr>
                                <w:rFonts w:cs="Arial"/>
                                <w:b/>
                                <w:sz w:val="24"/>
                              </w:rPr>
                              <w:t>)</w:t>
                            </w:r>
                          </w:p>
                        </w:txbxContent>
                      </wps:txbx>
                      <wps:bodyPr rot="0" vert="horz" wrap="square" lIns="0" tIns="0" rIns="0" bIns="0" anchor="t" anchorCtr="0">
                        <a:noAutofit/>
                      </wps:bodyPr>
                    </wps:wsp>
                  </a:graphicData>
                </a:graphic>
                <wp14:sizeRelH relativeFrom="margin">
                  <wp14:pctWidth>0</wp14:pctWidth>
                </wp14:sizeRelH>
              </wp:anchor>
            </w:drawing>
          </mc:Choice>
          <mc:Fallback>
            <w:pict>
              <v:shapetype w14:anchorId="4A2D2622" id="_x0000_t202" coordsize="21600,21600" o:spt="202" path="m,l,21600r21600,l21600,xe">
                <v:stroke joinstyle="miter"/>
                <v:path gradientshapeok="t" o:connecttype="rect"/>
              </v:shapetype>
              <v:shape id="Text Box 2" o:spid="_x0000_s1026" type="#_x0000_t202" style="position:absolute;margin-left:-.55pt;margin-top:304.6pt;width:24.25pt;height:21.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" stroked="f">
                <v:textbox inset="0,0,0,0">
                  <w:txbxContent>
                    <w:p w14:paraId="18D83766" w14:textId="77777777" w:rsidR="003104C5" w:rsidRPr="001C6050" w:rsidRDefault="003104C5" w:rsidP="00D431D5">
                      <w:pPr>
                        <w:rPr>
                          <w:rFonts w:cs="Arial"/>
                          <w:b/>
                          <w:sz w:val="24"/>
                        </w:rPr>
                      </w:pPr>
                      <w:r>
                        <w:rPr>
                          <w:rFonts w:cs="Arial"/>
                          <w:b/>
                          <w:sz w:val="24"/>
                        </w:rPr>
                        <w:t>(</w:t>
                      </w:r>
                      <w:r w:rsidRPr="00C06645">
                        <w:rPr>
                          <w:rFonts w:cs="Arial"/>
                          <w:b/>
                          <w:sz w:val="24"/>
                        </w:rPr>
                        <w:t>b</w:t>
                      </w:r>
                      <w:r w:rsidRPr="008D1D22">
                        <w:rPr>
                          <w:rFonts w:cs="Arial"/>
                          <w:b/>
                          <w:sz w:val="24"/>
                        </w:rPr>
                        <w:t>)</w:t>
                      </w:r>
                    </w:p>
                  </w:txbxContent>
                </v:textbox>
              </v:shape>
            </w:pict>
          </mc:Fallback>
        </mc:AlternateContent>
      </w:r>
      <w:r w:rsidRPr="00D431D5">
        <w:rPr>
          <w:rFonts w:ascii="Arial" w:eastAsia="Times New Roman" w:hAnsi="Arial" w:cs="Arial"/>
          <w:noProof/>
          <w:color w:val="000000"/>
          <w:lang w:eastAsia="ja-JP"/>
        </w:rPr>
        <mc:AlternateContent>
          <mc:Choice Requires="wps">
            <w:drawing>
              <wp:anchor distT="0" distB="0" distL="114300" distR="114300" simplePos="0" relativeHeight="251660288" behindDoc="0" locked="0" layoutInCell="1" allowOverlap="1" wp14:anchorId="087B98AA" wp14:editId="089C6623">
                <wp:simplePos x="0" y="0"/>
                <wp:positionH relativeFrom="column">
                  <wp:posOffset>19343</wp:posOffset>
                </wp:positionH>
                <wp:positionV relativeFrom="paragraph">
                  <wp:posOffset>-8792</wp:posOffset>
                </wp:positionV>
                <wp:extent cx="246185" cy="211015"/>
                <wp:effectExtent l="0" t="0" r="1905" b="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185" cy="211015"/>
                        </a:xfrm>
                        <a:prstGeom prst="rect">
                          <a:avLst/>
                        </a:prstGeom>
                        <a:solidFill>
                          <a:srgbClr val="FFFFFF"/>
                        </a:solidFill>
                        <a:ln w="9525">
                          <a:noFill/>
                          <a:miter lim="800000"/>
                          <a:headEnd/>
                          <a:tailEnd/>
                        </a:ln>
                      </wps:spPr>
                      <wps:txbx>
                        <w:txbxContent>
                          <w:p w14:paraId="39D1F31C" w14:textId="77777777" w:rsidR="003104C5" w:rsidRPr="001C6050" w:rsidRDefault="003104C5" w:rsidP="00D431D5">
                            <w:pPr>
                              <w:rPr>
                                <w:rFonts w:cs="Arial"/>
                                <w:b/>
                                <w:sz w:val="24"/>
                              </w:rPr>
                            </w:pPr>
                            <w:r>
                              <w:rPr>
                                <w:rFonts w:cs="Arial"/>
                                <w:b/>
                                <w:sz w:val="24"/>
                              </w:rPr>
                              <w:t>(</w:t>
                            </w:r>
                            <w:r w:rsidRPr="008D1D22">
                              <w:rPr>
                                <w:rFonts w:cs="Arial"/>
                                <w:b/>
                                <w:sz w:val="24"/>
                              </w:rPr>
                              <w:t>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7B98AA" id="_x0000_s1027" type="#_x0000_t202" style="position:absolute;margin-left:1.5pt;margin-top:-.7pt;width:19.4pt;height:16.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" stroked="f">
                <v:textbox inset="0,0,0,0">
                  <w:txbxContent>
                    <w:p w14:paraId="39D1F31C" w14:textId="77777777" w:rsidR="003104C5" w:rsidRPr="001C6050" w:rsidRDefault="003104C5" w:rsidP="00D431D5">
                      <w:pPr>
                        <w:rPr>
                          <w:rFonts w:cs="Arial"/>
                          <w:b/>
                          <w:sz w:val="24"/>
                        </w:rPr>
                      </w:pPr>
                      <w:r>
                        <w:rPr>
                          <w:rFonts w:cs="Arial"/>
                          <w:b/>
                          <w:sz w:val="24"/>
                        </w:rPr>
                        <w:t>(</w:t>
                      </w:r>
                      <w:r w:rsidRPr="008D1D22">
                        <w:rPr>
                          <w:rFonts w:cs="Arial"/>
                          <w:b/>
                          <w:sz w:val="24"/>
                        </w:rPr>
                        <w:t>a)</w:t>
                      </w:r>
                    </w:p>
                  </w:txbxContent>
                </v:textbox>
              </v:shape>
            </w:pict>
          </mc:Fallback>
        </mc:AlternateContent>
      </w:r>
      <w:r w:rsidRPr="00D431D5">
        <w:rPr>
          <w:rFonts w:ascii="Arial" w:eastAsia="Times New Roman" w:hAnsi="Arial" w:cs="Arial"/>
          <w:b/>
          <w:bCs/>
          <w:noProof/>
          <w:color w:val="000000"/>
          <w:lang w:eastAsia="ja-JP"/>
        </w:rPr>
        <w:drawing>
          <wp:inline distT="0" distB="0" distL="0" distR="0" wp14:anchorId="7306FEEA" wp14:editId="6E6E4BAB">
            <wp:extent cx="5205674" cy="393221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S12.open.per_plate.jpg"/>
                    <pic:cNvPicPr/>
                  </pic:nvPicPr>
                  <pic:blipFill rotWithShape="1">
                    <a:blip r:embed="rId36" cstate="print">
                      <a:extLst>
                        <a:ext uri="{28A0092B-C50C-407E-A947-70E740481C1C}">
                          <a14:useLocalDpi xmlns:a14="http://schemas.microsoft.com/office/drawing/2010/main" val="0"/>
                        </a:ext>
                      </a:extLst>
                    </a:blip>
                    <a:srcRect l="6063" t="51926" r="5497" b="5804"/>
                    <a:stretch/>
                  </pic:blipFill>
                  <pic:spPr bwMode="auto">
                    <a:xfrm>
                      <a:off x="0" y="0"/>
                      <a:ext cx="5205730" cy="3932255"/>
                    </a:xfrm>
                    <a:prstGeom prst="rect">
                      <a:avLst/>
                    </a:prstGeom>
                    <a:ln>
                      <a:noFill/>
                    </a:ln>
                    <a:extLst>
                      <a:ext uri="{53640926-AAD7-44D8-BBD7-CCE9431645EC}">
                        <a14:shadowObscured xmlns:a14="http://schemas.microsoft.com/office/drawing/2010/main"/>
                      </a:ext>
                    </a:extLst>
                  </pic:spPr>
                </pic:pic>
              </a:graphicData>
            </a:graphic>
          </wp:inline>
        </w:drawing>
      </w:r>
      <w:r w:rsidRPr="00D431D5">
        <w:rPr>
          <w:rFonts w:ascii="Arial" w:eastAsia="Times New Roman" w:hAnsi="Arial" w:cs="Arial"/>
          <w:b/>
          <w:bCs/>
          <w:noProof/>
          <w:color w:val="000000"/>
          <w:lang w:eastAsia="ja-JP"/>
        </w:rPr>
        <w:drawing>
          <wp:inline distT="0" distB="0" distL="0" distR="0" wp14:anchorId="1859D848" wp14:editId="49CB110E">
            <wp:extent cx="5205674" cy="393221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S12.open.per_plate.jpg"/>
                    <pic:cNvPicPr/>
                  </pic:nvPicPr>
                  <pic:blipFill rotWithShape="1">
                    <a:blip r:embed="rId36" cstate="print">
                      <a:extLst>
                        <a:ext uri="{28A0092B-C50C-407E-A947-70E740481C1C}">
                          <a14:useLocalDpi xmlns:a14="http://schemas.microsoft.com/office/drawing/2010/main" val="0"/>
                        </a:ext>
                      </a:extLst>
                    </a:blip>
                    <a:srcRect l="6212" t="8255" r="5348" b="49475"/>
                    <a:stretch/>
                  </pic:blipFill>
                  <pic:spPr bwMode="auto">
                    <a:xfrm>
                      <a:off x="0" y="0"/>
                      <a:ext cx="5205730" cy="3932255"/>
                    </a:xfrm>
                    <a:prstGeom prst="rect">
                      <a:avLst/>
                    </a:prstGeom>
                    <a:ln>
                      <a:noFill/>
                    </a:ln>
                    <a:extLst>
                      <a:ext uri="{53640926-AAD7-44D8-BBD7-CCE9431645EC}">
                        <a14:shadowObscured xmlns:a14="http://schemas.microsoft.com/office/drawing/2010/main"/>
                      </a:ext>
                    </a:extLst>
                  </pic:spPr>
                </pic:pic>
              </a:graphicData>
            </a:graphic>
          </wp:inline>
        </w:drawing>
      </w:r>
    </w:p>
    <w:p w14:paraId="64F535F8"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b/>
          <w:color w:val="000000"/>
          <w:lang w:eastAsia="ja-JP"/>
        </w:rPr>
        <w:t>Figure 16</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Mutant </w:t>
      </w:r>
      <w:r w:rsidRPr="00D431D5">
        <w:rPr>
          <w:rFonts w:ascii="Arial" w:eastAsia="Times New Roman" w:hAnsi="Arial" w:cs="Arial"/>
          <w:b/>
          <w:i/>
          <w:color w:val="000000"/>
          <w:lang w:eastAsia="ja-JP"/>
        </w:rPr>
        <w:t xml:space="preserve">ppsmf1 </w:t>
      </w:r>
      <w:r w:rsidRPr="00D431D5">
        <w:rPr>
          <w:rFonts w:ascii="Arial" w:eastAsia="Times New Roman" w:hAnsi="Arial" w:cs="Arial"/>
          <w:b/>
          <w:color w:val="000000"/>
          <w:lang w:eastAsia="ja-JP"/>
        </w:rPr>
        <w:t xml:space="preserve">and </w:t>
      </w:r>
      <w:r w:rsidRPr="00D431D5">
        <w:rPr>
          <w:rFonts w:ascii="Arial" w:eastAsia="Times New Roman" w:hAnsi="Arial" w:cs="Arial"/>
          <w:b/>
          <w:i/>
          <w:color w:val="000000"/>
          <w:lang w:eastAsia="ja-JP"/>
        </w:rPr>
        <w:t xml:space="preserve">ppscrm1 </w:t>
      </w:r>
      <w:r w:rsidRPr="00D431D5">
        <w:rPr>
          <w:rFonts w:ascii="Arial" w:eastAsia="Times New Roman" w:hAnsi="Arial" w:cs="Arial"/>
          <w:b/>
          <w:color w:val="000000"/>
          <w:lang w:eastAsia="ja-JP"/>
        </w:rPr>
        <w:t>plants exhibit delayed sporophyte lysis relative to wild-type backgrounds</w:t>
      </w:r>
      <w:r w:rsidRPr="00D431D5">
        <w:rPr>
          <w:rFonts w:ascii="Arial" w:eastAsia="Times New Roman" w:hAnsi="Arial" w:cs="Arial"/>
          <w:color w:val="000000"/>
          <w:lang w:eastAsia="ja-JP"/>
        </w:rPr>
        <w:t>.  Box-whisker plots of the percentages of lysed sporophyte capsules in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and Villersexel K3 background and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and </w:t>
      </w:r>
      <w:r w:rsidRPr="00D431D5">
        <w:rPr>
          <w:rFonts w:ascii="Arial" w:eastAsia="Times New Roman" w:hAnsi="Arial" w:cs="Arial"/>
          <w:color w:val="000000"/>
          <w:lang w:eastAsia="ja-JP"/>
        </w:rPr>
        <w:lastRenderedPageBreak/>
        <w:t xml:space="preserve">Gransden 2004 background from between 2 and 7 weeks after the application of water. Horizontal lines within boxes mark the median. The boxes indicate the upper (75 %) and lower (25 %) quartiles. Whiskers indicate the ranges of the minimal and maximal values. For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samples, three KO lines were used to compile the values in </w:t>
      </w:r>
      <w:r w:rsidRPr="00D431D5">
        <w:rPr>
          <w:rFonts w:ascii="Arial" w:eastAsia="Times New Roman" w:hAnsi="Arial" w:cs="Arial"/>
          <w:b/>
          <w:color w:val="000000"/>
          <w:lang w:eastAsia="ja-JP"/>
        </w:rPr>
        <w:t xml:space="preserve">a </w:t>
      </w:r>
      <w:r w:rsidRPr="00D431D5">
        <w:rPr>
          <w:rFonts w:ascii="Arial" w:eastAsia="Times New Roman" w:hAnsi="Arial" w:cs="Arial"/>
          <w:color w:val="000000"/>
          <w:lang w:eastAsia="ja-JP"/>
        </w:rPr>
        <w:t xml:space="preserve">to produce the displayed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sample values (</w:t>
      </w:r>
      <w:r w:rsidRPr="00D431D5">
        <w:rPr>
          <w:rFonts w:ascii="Arial" w:eastAsia="Times New Roman" w:hAnsi="Arial" w:cs="Arial"/>
          <w:i/>
          <w:color w:val="000000"/>
          <w:lang w:eastAsia="ja-JP"/>
        </w:rPr>
        <w:t>ppsmf1-10, -12, 14</w:t>
      </w:r>
      <w:r w:rsidRPr="00D431D5">
        <w:rPr>
          <w:rFonts w:ascii="Arial" w:eastAsia="Times New Roman" w:hAnsi="Arial" w:cs="Arial"/>
          <w:color w:val="000000"/>
          <w:lang w:eastAsia="ja-JP"/>
        </w:rPr>
        <w:t xml:space="preserve">). Vx denotes Villersexel K3 ecotype. Note. as with </w:t>
      </w:r>
      <w:r w:rsidRPr="00D431D5">
        <w:rPr>
          <w:rFonts w:ascii="Arial" w:eastAsia="Times New Roman" w:hAnsi="Arial" w:cs="Arial"/>
          <w:i/>
          <w:color w:val="000000"/>
          <w:lang w:eastAsia="ja-JP"/>
        </w:rPr>
        <w:t xml:space="preserve">ppsmf1-12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ppsmf1-14 </w:t>
      </w:r>
      <w:r w:rsidRPr="00D431D5">
        <w:rPr>
          <w:rFonts w:ascii="Arial" w:eastAsia="Times New Roman" w:hAnsi="Arial" w:cs="Arial"/>
          <w:color w:val="000000"/>
          <w:lang w:eastAsia="ja-JP"/>
        </w:rPr>
        <w:t xml:space="preserve">no stomata were found on the sporophytes of the </w:t>
      </w:r>
      <w:r w:rsidRPr="00D431D5">
        <w:rPr>
          <w:rFonts w:ascii="Arial" w:eastAsia="Times New Roman" w:hAnsi="Arial" w:cs="Arial"/>
          <w:i/>
          <w:color w:val="000000"/>
          <w:lang w:eastAsia="ja-JP"/>
        </w:rPr>
        <w:t xml:space="preserve">ppsmf1-10 </w:t>
      </w:r>
      <w:r w:rsidRPr="00D431D5">
        <w:rPr>
          <w:rFonts w:ascii="Arial" w:eastAsia="Times New Roman" w:hAnsi="Arial" w:cs="Arial"/>
          <w:color w:val="000000"/>
          <w:lang w:eastAsia="ja-JP"/>
        </w:rPr>
        <w:t xml:space="preserve">mutant background. For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samples, the values of two previously identified lines: </w:t>
      </w:r>
      <w:r w:rsidRPr="00D431D5">
        <w:rPr>
          <w:rFonts w:ascii="Arial" w:eastAsia="Times New Roman" w:hAnsi="Arial" w:cs="Arial"/>
          <w:i/>
          <w:color w:val="000000"/>
          <w:lang w:eastAsia="ja-JP"/>
        </w:rPr>
        <w:t xml:space="preserve">ppscrm1-172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ppscrm1-177</w:t>
      </w:r>
      <w:r w:rsidRPr="00D431D5">
        <w:rPr>
          <w:rFonts w:ascii="Arial" w:eastAsia="Times New Roman" w:hAnsi="Arial" w:cs="Arial"/>
          <w:color w:val="000000"/>
          <w:lang w:eastAsia="ja-JP"/>
        </w:rPr>
        <w:t xml:space="preserve"> were compiled in </w:t>
      </w:r>
      <w:r w:rsidRPr="00D431D5">
        <w:rPr>
          <w:rFonts w:ascii="Arial" w:eastAsia="Times New Roman" w:hAnsi="Arial" w:cs="Arial"/>
          <w:b/>
          <w:color w:val="000000"/>
          <w:lang w:eastAsia="ja-JP"/>
        </w:rPr>
        <w:t xml:space="preserve">b </w:t>
      </w:r>
      <w:r w:rsidRPr="00D431D5">
        <w:rPr>
          <w:rFonts w:ascii="Arial" w:eastAsia="Times New Roman" w:hAnsi="Arial" w:cs="Arial"/>
          <w:color w:val="000000"/>
          <w:lang w:eastAsia="ja-JP"/>
        </w:rPr>
        <w:t xml:space="preserve">to produce the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sample values displayed. Gr denotes Gransden 2004 ecotype. For each individual line, and the corresponding wild-types, the percentage of lysed values of capsules from 6 to 8 plates were used to produce the graphs presented.</w:t>
      </w:r>
    </w:p>
    <w:p w14:paraId="2E244AB4"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r w:rsidRPr="00D431D5">
        <w:rPr>
          <w:rFonts w:ascii="Arial" w:eastAsia="Times New Roman" w:hAnsi="Arial" w:cs="Arial"/>
          <w:color w:val="000000"/>
          <w:lang w:eastAsia="ja-JP"/>
        </w:rPr>
        <w:t xml:space="preserve">To ascertain how stomata might be contributing to the observed quickened rate of dehiscence, sporophyte capsules from </w:t>
      </w:r>
      <w:r w:rsidRPr="00D431D5">
        <w:rPr>
          <w:rFonts w:ascii="Arial" w:eastAsia="Times New Roman" w:hAnsi="Arial" w:cs="Arial"/>
          <w:i/>
          <w:color w:val="000000"/>
          <w:lang w:eastAsia="ja-JP"/>
        </w:rPr>
        <w:t xml:space="preserve">ppsmf1-12 </w:t>
      </w:r>
      <w:r w:rsidRPr="00D431D5">
        <w:rPr>
          <w:rFonts w:ascii="Arial" w:eastAsia="Times New Roman" w:hAnsi="Arial" w:cs="Arial"/>
          <w:color w:val="000000"/>
          <w:lang w:eastAsia="ja-JP"/>
        </w:rPr>
        <w:t>and the corresponding wild-type were assessed that had either browned but not dehisced or browned and dehisced (</w:t>
      </w:r>
      <w:r w:rsidRPr="00D431D5">
        <w:rPr>
          <w:rFonts w:ascii="Arial" w:eastAsia="Times New Roman" w:hAnsi="Arial" w:cs="Arial"/>
          <w:b/>
          <w:color w:val="000000"/>
          <w:lang w:eastAsia="ja-JP"/>
        </w:rPr>
        <w:t>Fig. 17</w:t>
      </w:r>
      <w:r w:rsidRPr="00D431D5">
        <w:rPr>
          <w:rFonts w:ascii="Arial" w:eastAsia="Times New Roman" w:hAnsi="Arial" w:cs="Arial"/>
          <w:color w:val="000000"/>
          <w:lang w:eastAsia="ja-JP"/>
        </w:rPr>
        <w:t>). It was found that in the wild-type that both prior to and after lysis that many of the underlying sub-stomatal cavities had a blackened appearance (</w:t>
      </w:r>
      <w:r w:rsidRPr="00D431D5">
        <w:rPr>
          <w:rFonts w:ascii="Arial" w:eastAsia="Times New Roman" w:hAnsi="Arial" w:cs="Arial"/>
          <w:b/>
          <w:color w:val="000000"/>
          <w:lang w:eastAsia="ja-JP"/>
        </w:rPr>
        <w:t>Fig. 17a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h</w:t>
      </w:r>
      <w:r w:rsidRPr="00D431D5">
        <w:rPr>
          <w:rFonts w:ascii="Arial" w:eastAsia="Times New Roman" w:hAnsi="Arial" w:cs="Arial"/>
          <w:color w:val="000000"/>
          <w:lang w:eastAsia="ja-JP"/>
        </w:rPr>
        <w:t>). When the underneath of dissected capsules was removed and the sub-stomatal cavities further assessed it became apparent often the blackened regions were hollowed, perhaps due to the drying of a substance which had receded into the inner cavities akin to mechanisms that have recently been described in hornworts (</w:t>
      </w:r>
      <w:r w:rsidRPr="00D431D5">
        <w:rPr>
          <w:rFonts w:ascii="Arial" w:eastAsia="Times New Roman" w:hAnsi="Arial" w:cs="Arial"/>
          <w:b/>
          <w:color w:val="000000"/>
          <w:lang w:eastAsia="ja-JP"/>
        </w:rPr>
        <w:t xml:space="preserve">Fig. 17d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h</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&lt;EndNote&gt;&lt;Cite&gt;&lt;Author&gt;Pressel&lt;/Author&gt;&lt;Year&gt;2014&lt;/Year&gt;&lt;IDText&gt;Stomatal differentiation and abnormal stomata in hornworts&lt;/IDText&gt;&lt;DisplayText&gt;(Pressel et al., 2014)&lt;/DisplayText&gt;&lt;record&gt;&lt;dates&gt;&lt;pub-dates&gt;&lt;date&gt;Jun&lt;/date&gt;&lt;/pub-dates&gt;&lt;year&gt;2014&lt;/year&gt;&lt;/dates&gt;&lt;keywords&gt;&lt;keyword&gt;Anthocerotophyta&lt;/keyword&gt;&lt;keyword&gt;Capsule dehiscence&lt;/keyword&gt;&lt;keyword&gt;Desiccation biology&lt;/keyword&gt;&lt;keyword&gt;Guard cells&lt;/keyword&gt;&lt;keyword&gt;Stomatal evolution&lt;/keyword&gt;&lt;keyword&gt;early land plants&lt;/keyword&gt;&lt;keyword&gt;abscisic-acid&lt;/keyword&gt;&lt;keyword&gt;division polarity&lt;/keyword&gt;&lt;keyword&gt;atmospheric co2&lt;/keyword&gt;&lt;keyword&gt;carbon-dioxide&lt;/keyword&gt;&lt;keyword&gt;density&lt;/keyword&gt;&lt;keyword&gt;evolution&lt;/keyword&gt;&lt;keyword&gt;sporophytes&lt;/keyword&gt;&lt;keyword&gt;fluorescence&lt;/keyword&gt;&lt;keyword&gt;bryophytes&lt;/keyword&gt;&lt;keyword&gt;Plant Sciences&lt;/keyword&gt;&lt;/keywords&gt;&lt;urls&gt;&lt;related-urls&gt;&lt;url&gt;&amp;lt;Go to ISI&amp;gt;://WOS:000337099400001&lt;/url&gt;&lt;/related-urls&gt;&lt;/urls&gt;&lt;isbn&gt;0373-6687&lt;/isbn&gt;&lt;work-type&gt;Article&lt;/work-type&gt;&lt;titles&gt;&lt;title&gt;Stomatal differentiation and abnormal stomata in hornworts&lt;/title&gt;&lt;secondary-title&gt;Journal of Bryology&lt;/secondary-title&gt;&lt;/titles&gt;&lt;pages&gt;87-103&lt;/pages&gt;&lt;contributors&gt;&lt;authors&gt;&lt;author&gt;Pressel, S.&lt;/author&gt;&lt;author&gt;Goral, T.&lt;/author&gt;&lt;author&gt;Duckett, J. G.&lt;/author&gt;&lt;/authors&gt;&lt;/contributors&gt;&lt;language&gt;English&lt;/language&gt;&lt;added-date format="utc"&gt;1431376663&lt;/added-date&gt;&lt;ref-type name="Journal Article"&gt;17&lt;/ref-type&gt;&lt;auth-address&gt;[Pressel, Silvia&amp;#xD;Duckett, Jeffrey G.] Nat Hist Museum, Dept Life Sci, London SW7 5BD, England. [Goral, Tomasz] Nat Hist Museum, Imaging &amp;amp; Anal Ctr, London SW7 5BD, England.&amp;#xD;Pressel, S (reprint author), Nat Hist Museum, Dept Life Sci, Cromwell Rd, London SW7 5BD, England.&amp;#xD;s.pressel@nhm.ac.uk&lt;/auth-address&gt;&lt;rec-number&gt;158&lt;/rec-number&gt;&lt;last-updated-date format="utc"&gt;1431376663&lt;/last-updated-date&gt;&lt;accession-num&gt;WOS:000337099400001&lt;/accession-num&gt;&lt;electronic-resource-num&gt;10.1179/1743282014y.0000000103&lt;/electronic-resource-num&gt;&lt;volume&gt;36&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(Pressel et al., 2014)</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When the equivalent </w:t>
      </w:r>
      <w:r w:rsidRPr="00D431D5">
        <w:rPr>
          <w:rFonts w:ascii="Arial" w:eastAsia="Times New Roman" w:hAnsi="Arial" w:cs="Arial"/>
          <w:i/>
          <w:color w:val="000000"/>
          <w:lang w:eastAsia="ja-JP"/>
        </w:rPr>
        <w:t xml:space="preserve">ppsmf1-12 </w:t>
      </w:r>
      <w:r w:rsidRPr="00D431D5">
        <w:rPr>
          <w:rFonts w:ascii="Arial" w:eastAsia="Times New Roman" w:hAnsi="Arial" w:cs="Arial"/>
          <w:color w:val="000000"/>
          <w:lang w:eastAsia="ja-JP"/>
        </w:rPr>
        <w:t xml:space="preserve">lines were assessed no sub-stomatal cavities were detected and consequently no blackening material was observed </w:t>
      </w:r>
      <w:r w:rsidRPr="00D431D5">
        <w:rPr>
          <w:rFonts w:ascii="Arial" w:eastAsia="Times New Roman" w:hAnsi="Arial" w:cs="Arial"/>
          <w:b/>
          <w:color w:val="000000"/>
          <w:lang w:eastAsia="ja-JP"/>
        </w:rPr>
        <w:t>(Fig. 17i</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p</w:t>
      </w:r>
      <w:r w:rsidRPr="00D431D5">
        <w:rPr>
          <w:rFonts w:ascii="Arial" w:eastAsia="Times New Roman" w:hAnsi="Arial" w:cs="Arial"/>
          <w:color w:val="000000"/>
          <w:lang w:eastAsia="ja-JP"/>
        </w:rPr>
        <w:t>). This blackening of sub-stomatal cavities was not normally observed in the wild-types of any of the ecotypes studied when growth on peat pellets which were moist (</w:t>
      </w:r>
      <w:r w:rsidRPr="00D431D5">
        <w:rPr>
          <w:rFonts w:ascii="Arial" w:eastAsia="Times New Roman" w:hAnsi="Arial" w:cs="Arial"/>
          <w:b/>
          <w:color w:val="000000"/>
          <w:lang w:eastAsia="ja-JP"/>
        </w:rPr>
        <w:t>Fig. 17q</w:t>
      </w:r>
      <w:r w:rsidRPr="00D431D5">
        <w:rPr>
          <w:rFonts w:ascii="Arial" w:eastAsia="Times New Roman" w:hAnsi="Arial" w:cs="Arial"/>
          <w:color w:val="000000"/>
          <w:lang w:eastAsia="ja-JP"/>
        </w:rPr>
        <w:t>). However, on occasion, dry gametophore colonies were found in secluded areas of such peat pellets and it was often found sporophytes that developed under such conditions had water repellent sporophyte capsules which exhibited a blackening equivalent to that observed in the lysis experiment (</w:t>
      </w:r>
      <w:r w:rsidRPr="00D431D5">
        <w:rPr>
          <w:rFonts w:ascii="Arial" w:eastAsia="Times New Roman" w:hAnsi="Arial" w:cs="Arial"/>
          <w:b/>
          <w:color w:val="000000"/>
          <w:lang w:eastAsia="ja-JP"/>
        </w:rPr>
        <w:t>Fig. 17r</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see also</w:t>
      </w:r>
      <w:r w:rsidRPr="00D431D5">
        <w:rPr>
          <w:rFonts w:ascii="Arial" w:eastAsia="Times New Roman" w:hAnsi="Arial" w:cs="Arial"/>
          <w:b/>
          <w:color w:val="000000"/>
          <w:lang w:eastAsia="ja-JP"/>
        </w:rPr>
        <w:t xml:space="preserve"> Fig. 17a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p</w:t>
      </w:r>
      <w:r w:rsidRPr="00D431D5">
        <w:rPr>
          <w:rFonts w:ascii="Arial" w:eastAsia="Times New Roman" w:hAnsi="Arial" w:cs="Arial"/>
          <w:color w:val="000000"/>
          <w:lang w:eastAsia="ja-JP"/>
        </w:rPr>
        <w:t>).</w:t>
      </w:r>
    </w:p>
    <w:p w14:paraId="4152AC8A"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noProof/>
          <w:color w:val="000000"/>
          <w:lang w:eastAsia="ja-JP"/>
        </w:rPr>
        <w:lastRenderedPageBreak/>
        <w:drawing>
          <wp:inline distT="0" distB="0" distL="0" distR="0" wp14:anchorId="0E5A2A32" wp14:editId="3411670E">
            <wp:extent cx="5205730" cy="54902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updated drying fig.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05730" cy="5490210"/>
                    </a:xfrm>
                    <a:prstGeom prst="rect">
                      <a:avLst/>
                    </a:prstGeom>
                  </pic:spPr>
                </pic:pic>
              </a:graphicData>
            </a:graphic>
          </wp:inline>
        </w:drawing>
      </w:r>
    </w:p>
    <w:p w14:paraId="1BB1F91C"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b/>
          <w:color w:val="000000"/>
          <w:lang w:eastAsia="ja-JP"/>
        </w:rPr>
        <w:t>Figure 17</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Plants grown under dry conditions exhibited blackened hollow sub-stomatal cavities. </w:t>
      </w:r>
      <w:r w:rsidRPr="00D431D5">
        <w:rPr>
          <w:rFonts w:ascii="Arial" w:eastAsia="Times New Roman" w:hAnsi="Arial" w:cs="Arial"/>
          <w:color w:val="000000"/>
          <w:lang w:eastAsia="ja-JP"/>
        </w:rPr>
        <w:t>For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p</w:t>
      </w:r>
      <w:r w:rsidRPr="00D431D5">
        <w:rPr>
          <w:rFonts w:ascii="Arial" w:eastAsia="Times New Roman" w:hAnsi="Arial" w:cs="Arial"/>
          <w:color w:val="000000"/>
          <w:lang w:eastAsia="ja-JP"/>
        </w:rPr>
        <w:t xml:space="preserve">) plants and corresponding sporophytes were taken from plates grown under the conditions used in </w:t>
      </w:r>
      <w:r w:rsidRPr="00D431D5">
        <w:rPr>
          <w:rFonts w:ascii="Arial" w:eastAsia="Times New Roman" w:hAnsi="Arial" w:cs="Arial"/>
          <w:b/>
          <w:color w:val="000000"/>
          <w:lang w:eastAsia="ja-JP"/>
        </w:rPr>
        <w:t>Fig. 16</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Brown in-tact Villersexel K3 sporophyte capsule attached to parental gametophyte.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Sporophyte capsule base of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dissected and faced upwards.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Close-up of stomata from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illustrating blackening beneath the cavity. (</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 Same capsule as in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mounted upside down to observe underlying sub-stomatal cavity. The blackening can be seen lining the sub-stomatal cavity which extends into extends from the open pore into the base of capsule.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 Brown lysed Villersexel K3 sporophyte capsule attached to parental gametophyte. (</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 Sporophyte capsule base of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 dissected and faced upwards. (</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Close-up of stomata from (</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 illustrating blackening beneath the cavity. (</w:t>
      </w:r>
      <w:r w:rsidRPr="00D431D5">
        <w:rPr>
          <w:rFonts w:ascii="Arial" w:eastAsia="Times New Roman" w:hAnsi="Arial" w:cs="Arial"/>
          <w:b/>
          <w:color w:val="000000"/>
          <w:lang w:eastAsia="ja-JP"/>
        </w:rPr>
        <w:t>h</w:t>
      </w:r>
      <w:r w:rsidRPr="00D431D5">
        <w:rPr>
          <w:rFonts w:ascii="Arial" w:eastAsia="Times New Roman" w:hAnsi="Arial" w:cs="Arial"/>
          <w:color w:val="000000"/>
          <w:lang w:eastAsia="ja-JP"/>
        </w:rPr>
        <w:t>) Same capsule as in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g</w:t>
      </w:r>
      <w:r w:rsidRPr="00D431D5">
        <w:rPr>
          <w:rFonts w:ascii="Arial" w:eastAsia="Times New Roman" w:hAnsi="Arial" w:cs="Arial"/>
          <w:color w:val="000000"/>
          <w:lang w:eastAsia="ja-JP"/>
        </w:rPr>
        <w:t>) mounted upside down. Blackening can again be seen lining large portions of the cavities which underlie the stomata. (</w:t>
      </w:r>
      <w:r w:rsidRPr="00D431D5">
        <w:rPr>
          <w:rFonts w:ascii="Arial" w:eastAsia="Times New Roman" w:hAnsi="Arial" w:cs="Arial"/>
          <w:b/>
          <w:color w:val="000000"/>
          <w:lang w:eastAsia="ja-JP"/>
        </w:rPr>
        <w:t>i</w:t>
      </w:r>
      <w:r w:rsidRPr="00D431D5">
        <w:rPr>
          <w:rFonts w:ascii="Arial" w:eastAsia="Times New Roman" w:hAnsi="Arial" w:cs="Arial"/>
          <w:color w:val="000000"/>
          <w:lang w:eastAsia="ja-JP"/>
        </w:rPr>
        <w:t xml:space="preserve">) Brown in-tact </w:t>
      </w:r>
      <w:r w:rsidRPr="00D431D5">
        <w:rPr>
          <w:rFonts w:ascii="Arial" w:eastAsia="Times New Roman" w:hAnsi="Arial" w:cs="Arial"/>
          <w:i/>
          <w:color w:val="000000"/>
          <w:lang w:eastAsia="ja-JP"/>
        </w:rPr>
        <w:t xml:space="preserve">ppsmf1-12 </w:t>
      </w:r>
      <w:r w:rsidRPr="00D431D5">
        <w:rPr>
          <w:rFonts w:ascii="Arial" w:eastAsia="Times New Roman" w:hAnsi="Arial" w:cs="Arial"/>
          <w:color w:val="000000"/>
          <w:lang w:eastAsia="ja-JP"/>
        </w:rPr>
        <w:t>sporophyte capsule attached to the parental gametophyte. (</w:t>
      </w:r>
      <w:r w:rsidRPr="00D431D5">
        <w:rPr>
          <w:rFonts w:ascii="Arial" w:eastAsia="Times New Roman" w:hAnsi="Arial" w:cs="Arial"/>
          <w:b/>
          <w:color w:val="000000"/>
          <w:lang w:eastAsia="ja-JP"/>
        </w:rPr>
        <w:t>j</w:t>
      </w:r>
      <w:r w:rsidRPr="00D431D5">
        <w:rPr>
          <w:rFonts w:ascii="Arial" w:eastAsia="Times New Roman" w:hAnsi="Arial" w:cs="Arial"/>
          <w:color w:val="000000"/>
          <w:lang w:eastAsia="ja-JP"/>
        </w:rPr>
        <w:t xml:space="preserve">) Sporophyte </w:t>
      </w:r>
      <w:r w:rsidRPr="00D431D5">
        <w:rPr>
          <w:rFonts w:ascii="Arial" w:eastAsia="Times New Roman" w:hAnsi="Arial" w:cs="Arial"/>
          <w:color w:val="000000"/>
          <w:lang w:eastAsia="ja-JP"/>
        </w:rPr>
        <w:lastRenderedPageBreak/>
        <w:t>capsule base of (</w:t>
      </w:r>
      <w:r w:rsidRPr="00D431D5">
        <w:rPr>
          <w:rFonts w:ascii="Arial" w:eastAsia="Times New Roman" w:hAnsi="Arial" w:cs="Arial"/>
          <w:b/>
          <w:color w:val="000000"/>
          <w:lang w:eastAsia="ja-JP"/>
        </w:rPr>
        <w:t>i</w:t>
      </w:r>
      <w:r w:rsidRPr="00D431D5">
        <w:rPr>
          <w:rFonts w:ascii="Arial" w:eastAsia="Times New Roman" w:hAnsi="Arial" w:cs="Arial"/>
          <w:color w:val="000000"/>
          <w:lang w:eastAsia="ja-JP"/>
        </w:rPr>
        <w:t>) dissected and faced upwards. (</w:t>
      </w:r>
      <w:r w:rsidRPr="00D431D5">
        <w:rPr>
          <w:rFonts w:ascii="Arial" w:eastAsia="Times New Roman" w:hAnsi="Arial" w:cs="Arial"/>
          <w:b/>
          <w:color w:val="000000"/>
          <w:lang w:eastAsia="ja-JP"/>
        </w:rPr>
        <w:t>k</w:t>
      </w:r>
      <w:r w:rsidRPr="00D431D5">
        <w:rPr>
          <w:rFonts w:ascii="Arial" w:eastAsia="Times New Roman" w:hAnsi="Arial" w:cs="Arial"/>
          <w:color w:val="000000"/>
          <w:lang w:eastAsia="ja-JP"/>
        </w:rPr>
        <w:t>) Close-up of the astomate epidermis. (</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 Same capsule as in (</w:t>
      </w:r>
      <w:r w:rsidRPr="00D431D5">
        <w:rPr>
          <w:rFonts w:ascii="Arial" w:eastAsia="Times New Roman" w:hAnsi="Arial" w:cs="Arial"/>
          <w:b/>
          <w:color w:val="000000"/>
          <w:lang w:eastAsia="ja-JP"/>
        </w:rPr>
        <w:t>i</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k</w:t>
      </w:r>
      <w:r w:rsidRPr="00D431D5">
        <w:rPr>
          <w:rFonts w:ascii="Arial" w:eastAsia="Times New Roman" w:hAnsi="Arial" w:cs="Arial"/>
          <w:color w:val="000000"/>
          <w:lang w:eastAsia="ja-JP"/>
        </w:rPr>
        <w:t>) mounted upside down with no sub-stomatal cavities. (</w:t>
      </w:r>
      <w:r w:rsidRPr="00D431D5">
        <w:rPr>
          <w:rFonts w:ascii="Arial" w:eastAsia="Times New Roman" w:hAnsi="Arial" w:cs="Arial"/>
          <w:b/>
          <w:color w:val="000000"/>
          <w:lang w:eastAsia="ja-JP"/>
        </w:rPr>
        <w:t>m</w:t>
      </w:r>
      <w:r w:rsidRPr="00D431D5">
        <w:rPr>
          <w:rFonts w:ascii="Arial" w:eastAsia="Times New Roman" w:hAnsi="Arial" w:cs="Arial"/>
          <w:color w:val="000000"/>
          <w:lang w:eastAsia="ja-JP"/>
        </w:rPr>
        <w:t xml:space="preserve">) lysed </w:t>
      </w:r>
      <w:r w:rsidRPr="00D431D5">
        <w:rPr>
          <w:rFonts w:ascii="Arial" w:eastAsia="Times New Roman" w:hAnsi="Arial" w:cs="Arial"/>
          <w:i/>
          <w:color w:val="000000"/>
          <w:lang w:eastAsia="ja-JP"/>
        </w:rPr>
        <w:t xml:space="preserve">ppsmf1-12 </w:t>
      </w:r>
      <w:r w:rsidRPr="00D431D5">
        <w:rPr>
          <w:rFonts w:ascii="Arial" w:eastAsia="Times New Roman" w:hAnsi="Arial" w:cs="Arial"/>
          <w:color w:val="000000"/>
          <w:lang w:eastAsia="ja-JP"/>
        </w:rPr>
        <w:t>sporophyte capsule attached to the parental gametophyte. (</w:t>
      </w:r>
      <w:r w:rsidRPr="00D431D5">
        <w:rPr>
          <w:rFonts w:ascii="Arial" w:eastAsia="Times New Roman" w:hAnsi="Arial" w:cs="Arial"/>
          <w:b/>
          <w:color w:val="000000"/>
          <w:lang w:eastAsia="ja-JP"/>
        </w:rPr>
        <w:t>n</w:t>
      </w:r>
      <w:r w:rsidRPr="00D431D5">
        <w:rPr>
          <w:rFonts w:ascii="Arial" w:eastAsia="Times New Roman" w:hAnsi="Arial" w:cs="Arial"/>
          <w:color w:val="000000"/>
          <w:lang w:eastAsia="ja-JP"/>
        </w:rPr>
        <w:t>) Sporophyte capsule base of (</w:t>
      </w:r>
      <w:r w:rsidRPr="00D431D5">
        <w:rPr>
          <w:rFonts w:ascii="Arial" w:eastAsia="Times New Roman" w:hAnsi="Arial" w:cs="Arial"/>
          <w:b/>
          <w:color w:val="000000"/>
          <w:lang w:eastAsia="ja-JP"/>
        </w:rPr>
        <w:t>m</w:t>
      </w:r>
      <w:r w:rsidRPr="00D431D5">
        <w:rPr>
          <w:rFonts w:ascii="Arial" w:eastAsia="Times New Roman" w:hAnsi="Arial" w:cs="Arial"/>
          <w:color w:val="000000"/>
          <w:lang w:eastAsia="ja-JP"/>
        </w:rPr>
        <w:t>) dissected and faced upwards. (</w:t>
      </w:r>
      <w:r w:rsidRPr="00D431D5">
        <w:rPr>
          <w:rFonts w:ascii="Arial" w:eastAsia="Times New Roman" w:hAnsi="Arial" w:cs="Arial"/>
          <w:b/>
          <w:color w:val="000000"/>
          <w:lang w:eastAsia="ja-JP"/>
        </w:rPr>
        <w:t>o</w:t>
      </w:r>
      <w:r w:rsidRPr="00D431D5">
        <w:rPr>
          <w:rFonts w:ascii="Arial" w:eastAsia="Times New Roman" w:hAnsi="Arial" w:cs="Arial"/>
          <w:color w:val="000000"/>
          <w:lang w:eastAsia="ja-JP"/>
        </w:rPr>
        <w:t>) Close-up of the astomate epidermis. (</w:t>
      </w:r>
      <w:r w:rsidRPr="00D431D5">
        <w:rPr>
          <w:rFonts w:ascii="Arial" w:eastAsia="Times New Roman" w:hAnsi="Arial" w:cs="Arial"/>
          <w:b/>
          <w:color w:val="000000"/>
          <w:lang w:eastAsia="ja-JP"/>
        </w:rPr>
        <w:t>p</w:t>
      </w:r>
      <w:r w:rsidRPr="00D431D5">
        <w:rPr>
          <w:rFonts w:ascii="Arial" w:eastAsia="Times New Roman" w:hAnsi="Arial" w:cs="Arial"/>
          <w:color w:val="000000"/>
          <w:lang w:eastAsia="ja-JP"/>
        </w:rPr>
        <w:t>) Same capsule as in (</w:t>
      </w:r>
      <w:r w:rsidRPr="00D431D5">
        <w:rPr>
          <w:rFonts w:ascii="Arial" w:eastAsia="Times New Roman" w:hAnsi="Arial" w:cs="Arial"/>
          <w:b/>
          <w:color w:val="000000"/>
          <w:lang w:eastAsia="ja-JP"/>
        </w:rPr>
        <w:t>o</w:t>
      </w:r>
      <w:r w:rsidRPr="00D431D5">
        <w:rPr>
          <w:rFonts w:ascii="Arial" w:eastAsia="Times New Roman" w:hAnsi="Arial" w:cs="Arial"/>
          <w:color w:val="000000"/>
          <w:lang w:eastAsia="ja-JP"/>
        </w:rPr>
        <w:t>) mounted upside down with no sub-stomatal cavities. (</w:t>
      </w:r>
      <w:r w:rsidRPr="00D431D5">
        <w:rPr>
          <w:rFonts w:ascii="Arial" w:eastAsia="Times New Roman" w:hAnsi="Arial" w:cs="Arial"/>
          <w:b/>
          <w:color w:val="000000"/>
          <w:lang w:eastAsia="ja-JP"/>
        </w:rPr>
        <w:t>q</w:t>
      </w:r>
      <w:r w:rsidRPr="00D431D5">
        <w:rPr>
          <w:rFonts w:ascii="Arial" w:eastAsia="Times New Roman" w:hAnsi="Arial" w:cs="Arial"/>
          <w:color w:val="000000"/>
          <w:lang w:eastAsia="ja-JP"/>
        </w:rPr>
        <w:t>) Fully expanded Gransden D12 green capsule grown under moist conditions on peat pellets. (</w:t>
      </w:r>
      <w:r w:rsidRPr="00D431D5">
        <w:rPr>
          <w:rFonts w:ascii="Arial" w:eastAsia="Times New Roman" w:hAnsi="Arial" w:cs="Arial"/>
          <w:b/>
          <w:color w:val="000000"/>
          <w:lang w:eastAsia="ja-JP"/>
        </w:rPr>
        <w:t>r</w:t>
      </w:r>
      <w:r w:rsidRPr="00D431D5">
        <w:rPr>
          <w:rFonts w:ascii="Arial" w:eastAsia="Times New Roman" w:hAnsi="Arial" w:cs="Arial"/>
          <w:color w:val="000000"/>
          <w:lang w:eastAsia="ja-JP"/>
        </w:rPr>
        <w:t>) Equivalent to (</w:t>
      </w:r>
      <w:r w:rsidRPr="00D431D5">
        <w:rPr>
          <w:rFonts w:ascii="Arial" w:eastAsia="Times New Roman" w:hAnsi="Arial" w:cs="Arial"/>
          <w:b/>
          <w:color w:val="000000"/>
          <w:lang w:eastAsia="ja-JP"/>
        </w:rPr>
        <w:t>q</w:t>
      </w:r>
      <w:r w:rsidRPr="00D431D5">
        <w:rPr>
          <w:rFonts w:ascii="Arial" w:eastAsia="Times New Roman" w:hAnsi="Arial" w:cs="Arial"/>
          <w:color w:val="000000"/>
          <w:lang w:eastAsia="ja-JP"/>
        </w:rPr>
        <w:t>) of a rarely forming dry capsule with sub-stomatal cavity regions that are blackened. Note, the capsules presented in (</w:t>
      </w:r>
      <w:r w:rsidRPr="00D431D5">
        <w:rPr>
          <w:rFonts w:ascii="Arial" w:eastAsia="Times New Roman" w:hAnsi="Arial" w:cs="Arial"/>
          <w:b/>
          <w:color w:val="000000"/>
          <w:lang w:eastAsia="ja-JP"/>
        </w:rPr>
        <w:t>p</w:t>
      </w:r>
      <w:r w:rsidRPr="00D431D5">
        <w:rPr>
          <w:rFonts w:ascii="Arial" w:eastAsia="Times New Roman" w:hAnsi="Arial" w:cs="Arial"/>
          <w:color w:val="000000"/>
          <w:lang w:eastAsia="ja-JP"/>
        </w:rPr>
        <w:t>) and (</w:t>
      </w:r>
      <w:r w:rsidRPr="00D431D5">
        <w:rPr>
          <w:rFonts w:ascii="Arial" w:eastAsia="Times New Roman" w:hAnsi="Arial" w:cs="Arial"/>
          <w:b/>
          <w:color w:val="000000"/>
          <w:lang w:eastAsia="ja-JP"/>
        </w:rPr>
        <w:t>q</w:t>
      </w:r>
      <w:r w:rsidRPr="00D431D5">
        <w:rPr>
          <w:rFonts w:ascii="Arial" w:eastAsia="Times New Roman" w:hAnsi="Arial" w:cs="Arial"/>
          <w:color w:val="000000"/>
          <w:lang w:eastAsia="ja-JP"/>
        </w:rPr>
        <w:t>) were from the Gransden D12 ecotype but the same phenotypes have also been observed in the Villersexel K3 background grown on peat pellets. For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j</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n</w:t>
      </w:r>
      <w:r w:rsidRPr="00D431D5">
        <w:rPr>
          <w:rFonts w:ascii="Arial" w:eastAsia="Times New Roman" w:hAnsi="Arial" w:cs="Arial"/>
          <w:color w:val="000000"/>
          <w:lang w:eastAsia="ja-JP"/>
        </w:rPr>
        <w:t>), (</w:t>
      </w:r>
      <w:r w:rsidRPr="00D431D5">
        <w:rPr>
          <w:rFonts w:ascii="Arial" w:eastAsia="Times New Roman" w:hAnsi="Arial" w:cs="Arial"/>
          <w:b/>
          <w:color w:val="000000"/>
          <w:lang w:eastAsia="ja-JP"/>
        </w:rPr>
        <w:t>q</w:t>
      </w:r>
      <w:r w:rsidRPr="00D431D5">
        <w:rPr>
          <w:rFonts w:ascii="Arial" w:eastAsia="Times New Roman" w:hAnsi="Arial" w:cs="Arial"/>
          <w:color w:val="000000"/>
          <w:lang w:eastAsia="ja-JP"/>
        </w:rPr>
        <w:t>) and (</w:t>
      </w:r>
      <w:r w:rsidRPr="00D431D5">
        <w:rPr>
          <w:rFonts w:ascii="Arial" w:eastAsia="Times New Roman" w:hAnsi="Arial" w:cs="Arial"/>
          <w:b/>
          <w:color w:val="000000"/>
          <w:lang w:eastAsia="ja-JP"/>
        </w:rPr>
        <w:t>r</w:t>
      </w:r>
      <w:r w:rsidRPr="00D431D5">
        <w:rPr>
          <w:rFonts w:ascii="Arial" w:eastAsia="Times New Roman" w:hAnsi="Arial" w:cs="Arial"/>
          <w:color w:val="000000"/>
          <w:lang w:eastAsia="ja-JP"/>
        </w:rPr>
        <w:t xml:space="preserve">) multiple images were taken of each sample which were stacked and subsequently flattened using the Z projection, Min Intensity function on imageJ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&lt;EndNote&gt;&lt;Cite&gt;&lt;Author&gt;Schneider&lt;/Author&gt;&lt;Year&gt;2012&lt;/Year&gt;&lt;IDText&gt;NIH Image to ImageJ: 25 years of image analysis&lt;/IDText&gt;&lt;DisplayText&gt;(Schneider et al., 2012)&lt;/DisplayText&gt;&lt;record&gt;&lt;dates&gt;&lt;pub-dates&gt;&lt;date&gt;Jul&lt;/date&gt;&lt;/pub-dates&gt;&lt;year&gt;2012&lt;/year&gt;&lt;/dates&gt;&lt;keywords&gt;&lt;keyword&gt;*Computational Biology/history/methods/trends&lt;/keyword&gt;&lt;keyword&gt;History, 20th Century&lt;/keyword&gt;&lt;keyword&gt;History, 21st Century&lt;/keyword&gt;&lt;keyword&gt;Image Processing, Computer-Assisted/*methods&lt;/keyword&gt;&lt;keyword&gt;National Institutes of Health (U.S.)&lt;/keyword&gt;&lt;keyword&gt;Software/*history/trends&lt;/keyword&gt;&lt;keyword&gt;United States&lt;/keyword&gt;&lt;/keywords&gt;&lt;isbn&gt;1548-7091&lt;/isbn&gt;&lt;titles&gt;&lt;title&gt;NIH Image to ImageJ: 25 years of image analysis&lt;/title&gt;&lt;secondary-title&gt;Nat Methods&lt;/secondary-title&gt;&lt;alt-title&gt;Nature methods&lt;/alt-title&gt;&lt;/titles&gt;&lt;pages&gt;671-5&lt;/pages&gt;&lt;number&gt;7&lt;/number&gt;&lt;contributors&gt;&lt;authors&gt;&lt;author&gt;Schneider, C. A.&lt;/author&gt;&lt;author&gt;Rasband, W. S.&lt;/author&gt;&lt;author&gt;Eliceiri, K. W.&lt;/author&gt;&lt;/authors&gt;&lt;/contributors&gt;&lt;edition&gt;2012/08/30&lt;/edition&gt;&lt;language&gt;eng&lt;/language&gt;&lt;added-date format="utc"&gt;1455184195&lt;/added-date&gt;&lt;ref-type name="Journal Article"&gt;17&lt;/ref-type&gt;&lt;auth-address&gt;Laboratory for Optical and Computational Instrumentation, University of Wisconsin at Madison, Madison, Wisconsin, USA.&lt;/auth-address&gt;&lt;remote-database-provider&gt;NLM&lt;/remote-database-provider&gt;&lt;rec-number&gt;824&lt;/rec-number&gt;&lt;last-updated-date format="utc"&gt;1455184195&lt;/last-updated-date&gt;&lt;accession-num&gt;22930834&lt;/accession-num&gt;&lt;volume&gt;9&lt;/volume&gt;&lt;/record&gt;&lt;/Cite&gt;&lt;/EndNote&gt;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(Schneider et al., 2012)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Scale bars are as follows: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e</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I</w:t>
      </w:r>
      <w:r w:rsidRPr="00D431D5">
        <w:rPr>
          <w:rFonts w:ascii="Arial" w:eastAsia="Times New Roman" w:hAnsi="Arial" w:cs="Arial"/>
          <w:color w:val="000000"/>
          <w:lang w:eastAsia="ja-JP"/>
        </w:rPr>
        <w:t xml:space="preserve"> and </w:t>
      </w:r>
      <w:r w:rsidRPr="00D431D5">
        <w:rPr>
          <w:rFonts w:ascii="Arial" w:eastAsia="Times New Roman" w:hAnsi="Arial" w:cs="Arial"/>
          <w:b/>
          <w:color w:val="000000"/>
          <w:lang w:eastAsia="ja-JP"/>
        </w:rPr>
        <w:t xml:space="preserve">m </w:t>
      </w:r>
      <w:r w:rsidRPr="00D431D5">
        <w:rPr>
          <w:rFonts w:ascii="Arial" w:eastAsia="Times New Roman" w:hAnsi="Arial" w:cs="Arial"/>
          <w:color w:val="000000"/>
          <w:lang w:eastAsia="ja-JP"/>
        </w:rPr>
        <w:t xml:space="preserve">= 500µm,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f</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j</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n, q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r</w:t>
      </w:r>
      <w:r w:rsidRPr="00D431D5">
        <w:rPr>
          <w:rFonts w:ascii="Arial" w:eastAsia="Times New Roman" w:hAnsi="Arial" w:cs="Arial"/>
          <w:color w:val="000000"/>
          <w:lang w:eastAsia="ja-JP"/>
        </w:rPr>
        <w:t xml:space="preserve"> = 100µm,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g</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h</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k</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o</w:t>
      </w:r>
      <w:r w:rsidRPr="00D431D5">
        <w:rPr>
          <w:rFonts w:ascii="Arial" w:eastAsia="Times New Roman" w:hAnsi="Arial" w:cs="Arial"/>
          <w:color w:val="000000"/>
          <w:lang w:eastAsia="ja-JP"/>
        </w:rPr>
        <w:t xml:space="preserve"> and </w:t>
      </w:r>
      <w:r w:rsidRPr="00D431D5">
        <w:rPr>
          <w:rFonts w:ascii="Arial" w:eastAsia="Times New Roman" w:hAnsi="Arial" w:cs="Arial"/>
          <w:b/>
          <w:color w:val="000000"/>
          <w:lang w:eastAsia="ja-JP"/>
        </w:rPr>
        <w:t xml:space="preserve">p </w:t>
      </w:r>
      <w:r w:rsidRPr="00D431D5">
        <w:rPr>
          <w:rFonts w:ascii="Arial" w:eastAsia="Times New Roman" w:hAnsi="Arial" w:cs="Arial"/>
          <w:color w:val="000000"/>
          <w:lang w:eastAsia="ja-JP"/>
        </w:rPr>
        <w:t xml:space="preserve">= 25 µm. </w:t>
      </w:r>
    </w:p>
    <w:p w14:paraId="15AE6BE2" w14:textId="77777777" w:rsidR="00D431D5" w:rsidRPr="00D431D5" w:rsidRDefault="00D431D5" w:rsidP="00D431D5">
      <w:pPr>
        <w:tabs>
          <w:tab w:val="left" w:pos="6663"/>
        </w:tabs>
        <w:spacing w:after="160" w:line="360" w:lineRule="auto"/>
        <w:rPr>
          <w:rFonts w:ascii="Arial" w:eastAsia="Times New Roman" w:hAnsi="Arial" w:cs="Arial"/>
          <w:b/>
          <w:color w:val="000000"/>
          <w:u w:val="single"/>
          <w:lang w:eastAsia="ja-JP"/>
        </w:rPr>
      </w:pPr>
      <w:r w:rsidRPr="00D431D5">
        <w:rPr>
          <w:rFonts w:ascii="Arial" w:eastAsia="Times New Roman" w:hAnsi="Arial" w:cs="Arial"/>
          <w:b/>
          <w:color w:val="000000"/>
          <w:u w:val="single"/>
          <w:lang w:eastAsia="ja-JP"/>
        </w:rPr>
        <w:t>3.3 Discussion</w:t>
      </w:r>
    </w:p>
    <w:p w14:paraId="5F6D863B" w14:textId="23A8948F" w:rsidR="00D431D5" w:rsidRPr="00D431D5" w:rsidRDefault="00D431D5" w:rsidP="00D431D5">
      <w:pPr>
        <w:tabs>
          <w:tab w:val="left" w:pos="6663"/>
        </w:tabs>
        <w:spacing w:after="160" w:line="360" w:lineRule="auto"/>
        <w:rPr>
          <w:rFonts w:ascii="Arial" w:eastAsia="Times New Roman" w:hAnsi="Arial" w:cs="Arial"/>
          <w:i/>
          <w:color w:val="000000"/>
          <w:lang w:eastAsia="ja-JP"/>
        </w:rPr>
      </w:pPr>
      <w:r w:rsidRPr="00D431D5">
        <w:rPr>
          <w:rFonts w:ascii="Arial" w:eastAsia="Times New Roman" w:hAnsi="Arial" w:cs="Arial"/>
          <w:color w:val="000000"/>
          <w:lang w:eastAsia="ja-JP"/>
        </w:rPr>
        <w:t xml:space="preserve">Stomata have been present on land plants for a large </w:t>
      </w:r>
      <w:r w:rsidR="00515B07">
        <w:rPr>
          <w:rFonts w:ascii="Arial" w:eastAsia="Times New Roman" w:hAnsi="Arial" w:cs="Arial"/>
          <w:color w:val="000000"/>
          <w:lang w:eastAsia="ja-JP"/>
        </w:rPr>
        <w:t xml:space="preserve">part of land plant </w:t>
      </w:r>
      <w:r w:rsidRPr="00D431D5">
        <w:rPr>
          <w:rFonts w:ascii="Arial" w:eastAsia="Times New Roman" w:hAnsi="Arial" w:cs="Arial"/>
          <w:color w:val="000000"/>
          <w:lang w:eastAsia="ja-JP"/>
        </w:rPr>
        <w:t xml:space="preserve">evolutionary history and are seen as one of the key adaptation that have allowed plants to thrive on land </w:t>
      </w:r>
      <w:r w:rsidRPr="00D431D5">
        <w:rPr>
          <w:rFonts w:ascii="Arial" w:eastAsia="Times New Roman" w:hAnsi="Arial" w:cs="Arial"/>
          <w:color w:val="000000"/>
          <w:lang w:eastAsia="ja-JP"/>
        </w:rPr>
        <w:fldChar w:fldCharType="begin">
          <w:fldData xml:space="preserve">PEVuZE5vdGU+PENpdGU+PEF1dGhvcj5CZWVybGluZzwvQXV0aG9yPjxZZWFyPjIwMDc8L1llYXI+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PEVuZE5vdGU+PENpdGU+PEF1dGhvcj5CZWVybGluZzwvQXV0aG9yPjxZZWFyPjIwMDc8L1llYXI+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(Beerling, 2007; Berry et al., 2010)</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Whether they are monophyletic in origin has been, and is still a topic which is uncertain </w:t>
      </w:r>
      <w:r w:rsidRPr="00D431D5">
        <w:rPr>
          <w:rFonts w:ascii="Arial" w:eastAsia="Times New Roman" w:hAnsi="Arial" w:cs="Arial"/>
          <w:color w:val="000000"/>
          <w:lang w:eastAsia="ja-JP"/>
        </w:rPr>
        <w:fldChar w:fldCharType="begin">
          <w:fldData xml:space="preserve">PEVuZE5vdGU+PENpdGU+PEF1dGhvcj5DaGF0ZXI8L0F1dGhvcj48WWVhcj4yMDEzPC9ZZWFyPjxJ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PEVuZE5vdGU+PENpdGU+PEF1dGhvcj5DaGF0ZXI8L0F1dGhvcj48WWVhcj4yMDEzPC9ZZWFyPjxJ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(Chater et al., 2013; Duckett et al., 2009; Pressel et al., 2014)</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Recent molecular work suggests that some of the mechanisms that allow stomata to operate and permit the correct patterning of stomata on land plant surfaces are conserved between vascular and non-vascular plants thus re-affirming the idea of a monophyly of stomata </w:t>
      </w:r>
      <w:r w:rsidRPr="00D431D5">
        <w:rPr>
          <w:rFonts w:ascii="Arial" w:eastAsia="Times New Roman" w:hAnsi="Arial" w:cs="Arial"/>
          <w:color w:val="000000"/>
          <w:lang w:eastAsia="ja-JP"/>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bjwvSURUZXh0PjxEaXNwbGF5VGV4dD4oQ2FpbmUgZXQgYWwuLCAyMDE2OyBDaGF0ZXIgZXQgYWwu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</w:fldData>
        </w:fldChar>
      </w:r>
      <w:r w:rsidR="00DA38AC">
        <w:rPr>
          <w:rFonts w:ascii="Arial" w:eastAsia="Times New Roman" w:hAnsi="Arial" w:cs="Arial"/>
          <w:color w:val="000000"/>
          <w:lang w:eastAsia="ja-JP"/>
        </w:rPr>
        <w:instrText xml:space="preserve"> ADDIN EN.CITE </w:instrText>
      </w:r>
      <w:r w:rsidR="00DA38AC">
        <w:rPr>
          <w:rFonts w:ascii="Arial" w:eastAsia="Times New Roman" w:hAnsi="Arial" w:cs="Arial"/>
          <w:color w:val="000000"/>
          <w:lang w:eastAsia="ja-JP"/>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bjwvSURUZXh0PjxEaXNwbGF5VGV4dD4oQ2FpbmUgZXQgYWwuLCAyMDE2OyBDaGF0ZXIgZXQgYWwu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</w:fldData>
        </w:fldChar>
      </w:r>
      <w:r w:rsidR="00DA38AC">
        <w:rPr>
          <w:rFonts w:ascii="Arial" w:eastAsia="Times New Roman" w:hAnsi="Arial" w:cs="Arial"/>
          <w:color w:val="000000"/>
          <w:lang w:eastAsia="ja-JP"/>
        </w:rPr>
        <w:instrText xml:space="preserve"> ADDIN EN.CITE.DATA </w:instrText>
      </w:r>
      <w:r w:rsidR="00DA38AC">
        <w:rPr>
          <w:rFonts w:ascii="Arial" w:eastAsia="Times New Roman" w:hAnsi="Arial" w:cs="Arial"/>
          <w:color w:val="000000"/>
          <w:lang w:eastAsia="ja-JP"/>
        </w:rPr>
      </w:r>
      <w:r w:rsidR="00DA38AC">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00DA38AC">
        <w:rPr>
          <w:rFonts w:ascii="Arial" w:eastAsia="Times New Roman" w:hAnsi="Arial" w:cs="Arial"/>
          <w:noProof/>
          <w:color w:val="000000"/>
          <w:lang w:eastAsia="ja-JP"/>
        </w:rPr>
        <w:t>(Caine et al., 2016; Chater et al., 2011; Lind et al., 2015)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However, whether non-vascular and vascular land plants use conserved genes to instigate stomatal development has not until now been elucidated in non-vascular land plants</w:t>
      </w:r>
      <w:r w:rsidRPr="00D431D5">
        <w:rPr>
          <w:rFonts w:ascii="Arial" w:eastAsia="Times New Roman" w:hAnsi="Arial" w:cs="Arial"/>
          <w:i/>
          <w:color w:val="000000"/>
          <w:lang w:eastAsia="ja-JP"/>
        </w:rPr>
        <w:t xml:space="preserve">. </w:t>
      </w:r>
    </w:p>
    <w:p w14:paraId="07C36A11" w14:textId="2CFBB2E9"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To first understand stomatal development in wild-type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observations were carried out to understand when, where and how stomata developed on developing and mature sporophyte capsules (</w:t>
      </w:r>
      <w:r w:rsidRPr="00D431D5">
        <w:rPr>
          <w:rFonts w:ascii="Arial" w:eastAsia="Times New Roman" w:hAnsi="Arial" w:cs="Arial"/>
          <w:b/>
          <w:color w:val="000000"/>
          <w:lang w:eastAsia="ja-JP"/>
        </w:rPr>
        <w:t>Fig.</w:t>
      </w:r>
      <w:r w:rsidR="00515B07">
        <w:rPr>
          <w:rFonts w:ascii="Arial" w:eastAsia="Times New Roman" w:hAnsi="Arial" w:cs="Arial"/>
          <w:b/>
          <w:color w:val="000000"/>
          <w:lang w:eastAsia="ja-JP"/>
        </w:rPr>
        <w:t xml:space="preserve"> </w:t>
      </w:r>
      <w:r w:rsidRPr="00D431D5">
        <w:rPr>
          <w:rFonts w:ascii="Arial" w:eastAsia="Times New Roman" w:hAnsi="Arial" w:cs="Arial"/>
          <w:b/>
          <w:color w:val="000000"/>
          <w:lang w:eastAsia="ja-JP"/>
        </w:rPr>
        <w:t>2</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6</w:t>
      </w:r>
      <w:r w:rsidRPr="00D431D5">
        <w:rPr>
          <w:rFonts w:ascii="Arial" w:eastAsia="Times New Roman" w:hAnsi="Arial" w:cs="Arial"/>
          <w:color w:val="000000"/>
          <w:lang w:eastAsia="ja-JP"/>
        </w:rPr>
        <w:t xml:space="preserve">). Whilst most of the developmental processes observed were similar to what occurs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close relative </w:t>
      </w:r>
      <w:r w:rsidRPr="00D431D5">
        <w:rPr>
          <w:rFonts w:ascii="Arial" w:eastAsia="Times New Roman" w:hAnsi="Arial" w:cs="Arial"/>
          <w:i/>
          <w:color w:val="000000"/>
          <w:lang w:eastAsia="ja-JP"/>
        </w:rPr>
        <w:t>F. hygrometrica</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r>
      <w:r w:rsidR="001D2DA0">
        <w:rPr>
          <w:rFonts w:ascii="Arial" w:eastAsia="Times New Roman" w:hAnsi="Arial" w:cs="Arial"/>
          <w:color w:val="000000"/>
          <w:lang w:eastAsia="ja-JP"/>
        </w:rPr>
        <w:instrText xml:space="preserve"> ADDIN EN.CITE &lt;EndNote&gt;&lt;Cite ExcludeAuth="1"&gt;&lt;Author&gt;Merced&lt;/Author&gt;&lt;Year&gt;2016&lt;/Year&gt;&lt;IDText&gt;Patterning of stomata in the moss Funaria: a simple way to space guard cells&lt;/IDText&gt;&lt;DisplayText&gt;(2016)&lt;/DisplayText&gt;&lt;record&gt;&lt;dates&gt;&lt;pub-dates&gt;&lt;date&gt;May&lt;/date&gt;&lt;/pub-dates&gt;&lt;year&gt;2016&lt;/year&gt;&lt;/dates&gt;&lt;keywords&gt;&lt;keyword&gt;Funaria&lt;/keyword&gt;&lt;keyword&gt;GMC&lt;/keyword&gt;&lt;keyword&gt;guard cell&lt;/keyword&gt;&lt;keyword&gt;LM19&lt;/keyword&gt;&lt;keyword&gt;mosses&lt;/keyword&gt;&lt;keyword&gt;immunolocalization&lt;/keyword&gt;&lt;keyword&gt;stomata&lt;/keyword&gt;&lt;keyword&gt;stomatal development&lt;/keyword&gt;&lt;keyword&gt;stomatal patterning&lt;/keyword&gt;&lt;keyword&gt;ultrastructure&lt;/keyword&gt;&lt;keyword&gt;land plants&lt;/keyword&gt;&lt;keyword&gt;mother cell&lt;/keyword&gt;&lt;keyword&gt;evolution&lt;/keyword&gt;&lt;keyword&gt;arabidopsis&lt;/keyword&gt;&lt;keyword&gt;sporophyte&lt;/keyword&gt;&lt;keyword&gt;calyptra&lt;/keyword&gt;&lt;keyword&gt;cuticle&lt;/keyword&gt;&lt;keyword&gt;hygrometrica&lt;/keyword&gt;&lt;keyword&gt;angiosperms&lt;/keyword&gt;&lt;keyword&gt;hornworts&lt;/keyword&gt;&lt;keyword&gt;Plant Sciences&lt;/keyword&gt;&lt;/keywords&gt;&lt;urls&gt;&lt;related-urls&gt;&lt;url&gt;&amp;lt;Go to ISI&amp;gt;://WOS:000376655400004&lt;/url&gt;&lt;/related-urls&gt;&lt;/urls&gt;&lt;isbn&gt;0305-7364&lt;/isbn&gt;&lt;work-type&gt;Article&lt;/work-type&gt;&lt;titles&gt;&lt;title&gt;Patterning of stomata in the moss Funaria: a simple way to space guard cells&lt;/title&gt;&lt;secondary-title&gt;Annals of Botany&lt;/secondary-title&gt;&lt;/titles&gt;&lt;pages&gt;985-994&lt;/pages&gt;&lt;number&gt;6&lt;/number&gt;&lt;contributors&gt;&lt;authors&gt;&lt;author&gt;Merced, A.&lt;/author&gt;&lt;author&gt;Renzaglia, K. S.&lt;/author&gt;&lt;/authors&gt;&lt;/contributors&gt;&lt;language&gt;English&lt;/language&gt;&lt;added-date format="utc"&gt;1472795758&lt;/added-date&gt;&lt;ref-type name="Journal Article"&gt;17&lt;/ref-type&gt;&lt;auth-address&gt;[Merced, Amelia&amp;#xD;Renzaglia, Karen S.] So Illinois Univ, Dept Plant Biol, Carbondale, IL 62901 USA.&amp;#xD;Merced, A (reprint author), So Illinois Univ, Dept Plant Biol, Carbondale, IL 62901 USA.&amp;#xD;ameliamerced@siu.edu&lt;/auth-address&gt;&lt;rec-number&gt;1338&lt;/rec-number&gt;&lt;last-updated-date format="utc"&gt;1472795758&lt;/last-updated-date&gt;&lt;accession-num&gt;WOS:000376655400004&lt;/accession-num&gt;&lt;electronic-resource-num&gt;10.1093/aob/mcw029&lt;/electronic-resource-num&gt;&lt;volume&gt;117&lt;/volume&gt;&lt;/record&gt;&lt;/Cite&gt;&lt;/EndNote&gt;</w:instrText>
      </w:r>
      <w:r w:rsidRPr="00D431D5">
        <w:rPr>
          <w:rFonts w:ascii="Arial" w:eastAsia="Times New Roman" w:hAnsi="Arial" w:cs="Arial"/>
          <w:color w:val="000000"/>
          <w:lang w:eastAsia="ja-JP"/>
        </w:rPr>
        <w:fldChar w:fldCharType="separate"/>
      </w:r>
      <w:r w:rsidR="001D2DA0">
        <w:rPr>
          <w:rFonts w:ascii="Arial" w:eastAsia="Times New Roman" w:hAnsi="Arial" w:cs="Arial"/>
          <w:noProof/>
          <w:color w:val="000000"/>
          <w:lang w:eastAsia="ja-JP"/>
        </w:rPr>
        <w:t>(2016)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it was found that GMCs of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are capable of </w:t>
      </w:r>
      <w:r w:rsidR="00515B07">
        <w:rPr>
          <w:rFonts w:ascii="Arial" w:eastAsia="Times New Roman" w:hAnsi="Arial" w:cs="Arial"/>
          <w:color w:val="000000"/>
          <w:lang w:eastAsia="ja-JP"/>
        </w:rPr>
        <w:t>spacing divisions that enable GMCs to move</w:t>
      </w:r>
      <w:r w:rsidRPr="00D431D5">
        <w:rPr>
          <w:rFonts w:ascii="Arial" w:eastAsia="Times New Roman" w:hAnsi="Arial" w:cs="Arial"/>
          <w:color w:val="000000"/>
          <w:lang w:eastAsia="ja-JP"/>
        </w:rPr>
        <w:t xml:space="preserve"> away from each other when initially formed adjacently (</w:t>
      </w:r>
      <w:r w:rsidRPr="00D431D5">
        <w:rPr>
          <w:rFonts w:ascii="Arial" w:eastAsia="Times New Roman" w:hAnsi="Arial" w:cs="Arial"/>
          <w:b/>
          <w:color w:val="000000"/>
          <w:lang w:eastAsia="ja-JP"/>
        </w:rPr>
        <w:t>Fig. 4</w:t>
      </w:r>
      <w:r w:rsidRPr="00D431D5">
        <w:rPr>
          <w:rFonts w:ascii="Arial" w:eastAsia="Times New Roman" w:hAnsi="Arial" w:cs="Arial"/>
          <w:color w:val="000000"/>
          <w:lang w:eastAsia="ja-JP"/>
        </w:rPr>
        <w:t xml:space="preserve">). Taken together with the observations from </w:t>
      </w:r>
      <w:r w:rsidRPr="00D431D5">
        <w:rPr>
          <w:rFonts w:ascii="Arial" w:eastAsia="Times New Roman" w:hAnsi="Arial" w:cs="Arial"/>
          <w:b/>
          <w:color w:val="000000"/>
          <w:lang w:eastAsia="ja-JP"/>
        </w:rPr>
        <w:t>Fig. 3</w:t>
      </w:r>
      <w:r w:rsidRPr="00D431D5">
        <w:rPr>
          <w:rFonts w:ascii="Arial" w:eastAsia="Times New Roman" w:hAnsi="Arial" w:cs="Arial"/>
          <w:color w:val="000000"/>
          <w:lang w:eastAsia="ja-JP"/>
        </w:rPr>
        <w:t xml:space="preserve"> this illustrates that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may utilise a spacing mechanism in stomatal lineage cells to correctly pattern stomata (</w:t>
      </w:r>
      <w:r w:rsidRPr="00D431D5">
        <w:rPr>
          <w:rFonts w:ascii="Arial" w:eastAsia="Times New Roman" w:hAnsi="Arial" w:cs="Arial"/>
          <w:b/>
          <w:color w:val="000000"/>
          <w:lang w:eastAsia="ja-JP"/>
        </w:rPr>
        <w:t>Fig. 18</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This statement however does require further</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 xml:space="preserve">verification as it was not possible to follow the dividing cells through to the formation of a guard cell. Because of the striking movement and localisation of the fragmented organelles generated when a budding GMC divides away from another GMC, it seems that </w:t>
      </w:r>
      <w:r w:rsidRPr="00D431D5">
        <w:rPr>
          <w:rFonts w:ascii="Arial" w:eastAsia="Times New Roman" w:hAnsi="Arial" w:cs="Arial"/>
          <w:color w:val="000000"/>
          <w:lang w:eastAsia="ja-JP"/>
        </w:rPr>
        <w:lastRenderedPageBreak/>
        <w:t xml:space="preserve">two distinct cell types are formed from </w:t>
      </w:r>
      <w:r w:rsidR="00E552D9">
        <w:rPr>
          <w:rFonts w:ascii="Arial" w:eastAsia="Times New Roman" w:hAnsi="Arial" w:cs="Arial"/>
          <w:color w:val="000000"/>
          <w:lang w:eastAsia="ja-JP"/>
        </w:rPr>
        <w:t xml:space="preserve">a </w:t>
      </w:r>
      <w:r w:rsidRPr="00D431D5">
        <w:rPr>
          <w:rFonts w:ascii="Arial" w:eastAsia="Times New Roman" w:hAnsi="Arial" w:cs="Arial"/>
          <w:color w:val="000000"/>
          <w:lang w:eastAsia="ja-JP"/>
        </w:rPr>
        <w:t xml:space="preserve">GMC </w:t>
      </w:r>
      <w:r w:rsidR="00E552D9">
        <w:rPr>
          <w:rFonts w:ascii="Arial" w:eastAsia="Times New Roman" w:hAnsi="Arial" w:cs="Arial"/>
          <w:color w:val="000000"/>
          <w:lang w:eastAsia="ja-JP"/>
        </w:rPr>
        <w:t xml:space="preserve">spacing </w:t>
      </w:r>
      <w:r w:rsidRPr="00D431D5">
        <w:rPr>
          <w:rFonts w:ascii="Arial" w:eastAsia="Times New Roman" w:hAnsi="Arial" w:cs="Arial"/>
          <w:color w:val="000000"/>
          <w:lang w:eastAsia="ja-JP"/>
        </w:rPr>
        <w:t>division (</w:t>
      </w:r>
      <w:r w:rsidRPr="00D431D5">
        <w:rPr>
          <w:rFonts w:ascii="Arial" w:eastAsia="Times New Roman" w:hAnsi="Arial" w:cs="Arial"/>
          <w:b/>
          <w:color w:val="000000"/>
          <w:lang w:eastAsia="ja-JP"/>
        </w:rPr>
        <w:t xml:space="preserve">Fig. 4 </w:t>
      </w:r>
      <w:r w:rsidRPr="00D431D5">
        <w:rPr>
          <w:rFonts w:ascii="Arial" w:eastAsia="Times New Roman" w:hAnsi="Arial" w:cs="Arial"/>
          <w:color w:val="000000"/>
          <w:lang w:eastAsia="ja-JP"/>
        </w:rPr>
        <w:t>and</w:t>
      </w:r>
      <w:r w:rsidRPr="00D431D5">
        <w:rPr>
          <w:rFonts w:ascii="Arial" w:eastAsia="Times New Roman" w:hAnsi="Arial" w:cs="Arial"/>
          <w:b/>
          <w:color w:val="000000"/>
          <w:lang w:eastAsia="ja-JP"/>
        </w:rPr>
        <w:t xml:space="preserve"> 18</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 xml:space="preserve">By definition this suggests that an asymmetric division has occurred (despite similar cell sizes of the two newly forming cells) as two distinct cell types produced from the early GMC </w:t>
      </w:r>
      <w:r w:rsidRPr="00D431D5">
        <w:rPr>
          <w:rFonts w:ascii="Arial" w:eastAsia="Times New Roman" w:hAnsi="Arial" w:cs="Arial"/>
          <w:color w:val="000000"/>
          <w:lang w:eastAsia="ja-JP"/>
        </w:rPr>
        <w:fldChar w:fldCharType="begin">
          <w:fldData xml:space="preserve">PEVuZE5vdGU+PENpdGU+PEF1dGhvcj5Nb3JyaXNvbjwvQXV0aG9yPjxZZWFyPjIwMDY8L1llYXI+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PEVuZE5vdGU+PENpdGU+PEF1dGhvcj5Nb3JyaXNvbjwvQXV0aG9yPjxZZWFyPjIwMDY8L1llYXI+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(Knoblich, 2008; Morrison and Kimble, 2006)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Whether the asymmetric divisions observed in higher land plants (</w:t>
      </w:r>
      <w:r w:rsidRPr="00D431D5">
        <w:rPr>
          <w:rFonts w:ascii="Arial" w:eastAsia="Times New Roman" w:hAnsi="Arial" w:cs="Arial"/>
          <w:b/>
          <w:color w:val="000000"/>
          <w:lang w:eastAsia="ja-JP"/>
        </w:rPr>
        <w:t>Fig. 9</w:t>
      </w:r>
      <w:r w:rsidRPr="00D431D5">
        <w:rPr>
          <w:rFonts w:ascii="Arial" w:eastAsia="Times New Roman" w:hAnsi="Arial" w:cs="Arial"/>
          <w:color w:val="000000"/>
          <w:lang w:eastAsia="ja-JP"/>
        </w:rPr>
        <w:t xml:space="preserve">) are derived from an ancestral mechanism such has been observed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GMCs is a question that requires further study. </w:t>
      </w:r>
    </w:p>
    <w:p w14:paraId="26669918" w14:textId="7BB9A6A5"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As some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stomata are not entirely surrounded by epidermal cells it seems then that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stomata development may well be mesoperigenous rather than perigenous as has previously been suggested </w:t>
      </w:r>
      <w:r w:rsidRPr="00D431D5">
        <w:rPr>
          <w:rFonts w:ascii="Arial" w:eastAsia="Times New Roman" w:hAnsi="Arial" w:cs="Arial"/>
          <w:color w:val="000000"/>
          <w:lang w:eastAsia="ja-JP"/>
        </w:rPr>
        <w:fldChar w:fldCharType="begin">
          <w:fldData xml:space="preserve">PEVuZE5vdGU+PENpdGU+PEF1dGhvcj5WYXRlbjwvQXV0aG9yPjxZZWFyPjIwMTI8L1llYXI+PElE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PEVuZE5vdGU+PENpdGU+PEF1dGhvcj5WYXRlbjwvQXV0aG9yPjxZZWFyPjIwMTI8L1llYXI+PElE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(Rudall et al., 2013; Vaten and Bergmann, 2012)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Although Payne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 ExcludeAuth="1"&gt;&lt;Author&gt;Payne&lt;/Author&gt;&lt;Year&gt;1979&lt;/Year&gt;&lt;IDText&gt;Stomatal patterns in embyrophytes - Their evolution, ontogeny and interpretation&lt;/IDText&gt;&lt;DisplayText&gt;(1979)&lt;/DisplayText&gt;&lt;record&gt;&lt;urls&gt;&lt;related-urls&gt;&lt;url&gt;&amp;lt;Go to ISI&amp;gt;://WOS:A1979GS81200017&lt;/url&gt;&lt;/related-urls&gt;&lt;/urls&gt;&lt;isbn&gt;0040-0262&lt;/isbn&gt;&lt;work-type&gt;Article&lt;/work-type&gt;&lt;titles&gt;&lt;title&gt;Stomatal patterns in embyrophytes - Their evolution, ontogeny and interpretation&lt;/title&gt;&lt;secondary-title&gt;Taxon&lt;/secondary-title&gt;&lt;alt-title&gt;Taxon&lt;/alt-title&gt;&lt;/titles&gt;&lt;pages&gt;117-132&lt;/pages&gt;&lt;number&gt;1-3&lt;/number&gt;&lt;contributors&gt;&lt;authors&gt;&lt;author&gt;Payne, W. W.&lt;/author&gt;&lt;/authors&gt;&lt;/contributors&gt;&lt;language&gt;English&lt;/language&gt;&lt;added-date format="utc"&gt;1354648675&lt;/added-date&gt;&lt;ref-type name="Journal Article"&gt;17&lt;/ref-type&gt;&lt;auth-address&gt;FAIRCHILD TROP GARDEN,MIAMI,FL 33156.&amp;#xD;PAYNE, WW (reprint author), NEW YORK BOT GARDEN,CARY ARBORETUM,BOX AB,MILLBROOK,NY 12545, USA.&lt;/auth-address&gt;&lt;dates&gt;&lt;year&gt;1979&lt;/year&gt;&lt;/dates&gt;&lt;rec-number&gt;91&lt;/rec-number&gt;&lt;last-updated-date format="utc"&gt;1465018399&lt;/last-updated-date&gt;&lt;accession-num&gt;WOS:A1979GS81200017&lt;/accession-num&gt;&lt;electronic-resource-num&gt;10.2307/1219566&lt;/electronic-resource-num&gt;&lt;volume&gt;28&lt;/volume&gt;&lt;/record&gt;&lt;/Cite&gt;&lt;/EndNote&gt;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(1979)</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has previously suggested that such a capability to divide to space stomata during the stomatal lineage is indeed a feature present in the mosses, such a mechanism has not been illustrated in other studies published relating to stomatal development in non-vascular land plants </w:t>
      </w:r>
      <w:r w:rsidRPr="00D431D5">
        <w:rPr>
          <w:rFonts w:ascii="Arial" w:eastAsia="Times New Roman" w:hAnsi="Arial" w:cs="Arial"/>
          <w:color w:val="000000"/>
          <w:lang w:eastAsia="ja-JP"/>
        </w:rPr>
        <w:fldChar w:fldCharType="begin">
          <w:fldData xml:space="preserve">PEVuZE5vdGU+PENpdGU+PEF1dGhvcj5NZXJjZWQ8L0F1dGhvcj48WWVhcj4yMDE2PC9ZZWFyPjxJ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=
</w:fldData>
        </w:fldChar>
      </w:r>
      <w:r w:rsidR="001D2DA0">
        <w:rPr>
          <w:rFonts w:ascii="Arial" w:eastAsia="Times New Roman" w:hAnsi="Arial" w:cs="Arial"/>
          <w:color w:val="000000"/>
          <w:lang w:eastAsia="ja-JP"/>
        </w:rPr>
        <w:instrText xml:space="preserve"> ADDIN EN.CITE </w:instrText>
      </w:r>
      <w:r w:rsidR="001D2DA0">
        <w:rPr>
          <w:rFonts w:ascii="Arial" w:eastAsia="Times New Roman" w:hAnsi="Arial" w:cs="Arial"/>
          <w:color w:val="000000"/>
          <w:lang w:eastAsia="ja-JP"/>
        </w:rPr>
        <w:fldChar w:fldCharType="begin">
          <w:fldData xml:space="preserve">PEVuZE5vdGU+PENpdGU+PEF1dGhvcj5NZXJjZWQ8L0F1dGhvcj48WWVhcj4yMDE2PC9ZZWFyPjxJ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=
</w:fldData>
        </w:fldChar>
      </w:r>
      <w:r w:rsidR="001D2DA0">
        <w:rPr>
          <w:rFonts w:ascii="Arial" w:eastAsia="Times New Roman" w:hAnsi="Arial" w:cs="Arial"/>
          <w:color w:val="000000"/>
          <w:lang w:eastAsia="ja-JP"/>
        </w:rPr>
        <w:instrText xml:space="preserve"> ADDIN EN.CITE.DATA </w:instrText>
      </w:r>
      <w:r w:rsidR="001D2DA0">
        <w:rPr>
          <w:rFonts w:ascii="Arial" w:eastAsia="Times New Roman" w:hAnsi="Arial" w:cs="Arial"/>
          <w:color w:val="000000"/>
          <w:lang w:eastAsia="ja-JP"/>
        </w:rPr>
      </w:r>
      <w:r w:rsidR="001D2DA0">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001D2DA0">
        <w:rPr>
          <w:rFonts w:ascii="Arial" w:eastAsia="Times New Roman" w:hAnsi="Arial" w:cs="Arial"/>
          <w:noProof/>
          <w:color w:val="000000"/>
          <w:lang w:eastAsia="ja-JP"/>
        </w:rPr>
        <w:t>(Merced and Renzaglia, 2016; Pressel et al., 2014)</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t>
      </w:r>
    </w:p>
    <w:p w14:paraId="490BE53E" w14:textId="0D2C2977" w:rsidR="00D431D5" w:rsidRPr="00D431D5" w:rsidRDefault="00824D02" w:rsidP="00D431D5">
      <w:pPr>
        <w:tabs>
          <w:tab w:val="left" w:pos="6663"/>
        </w:tabs>
        <w:spacing w:after="160" w:line="360" w:lineRule="auto"/>
        <w:rPr>
          <w:rFonts w:ascii="Arial" w:eastAsia="Times New Roman" w:hAnsi="Arial" w:cs="Arial"/>
          <w:b/>
          <w:color w:val="000000"/>
          <w:lang w:eastAsia="ja-JP"/>
        </w:rPr>
      </w:pPr>
      <w:r w:rsidRPr="00D431D5">
        <w:rPr>
          <w:rFonts w:ascii="Arial" w:eastAsia="Times New Roman" w:hAnsi="Arial" w:cs="Arial"/>
          <w:b/>
          <w:noProof/>
          <w:color w:val="000000"/>
          <w:lang w:eastAsia="ja-JP"/>
        </w:rPr>
        <mc:AlternateContent>
          <mc:Choice Requires="wps">
            <w:drawing>
              <wp:anchor distT="0" distB="0" distL="114300" distR="114300" simplePos="0" relativeHeight="251671552" behindDoc="0" locked="0" layoutInCell="1" allowOverlap="1" wp14:anchorId="1AAB41FB" wp14:editId="6D54755E">
                <wp:simplePos x="0" y="0"/>
                <wp:positionH relativeFrom="column">
                  <wp:posOffset>1734011</wp:posOffset>
                </wp:positionH>
                <wp:positionV relativeFrom="paragraph">
                  <wp:posOffset>642147</wp:posOffset>
                </wp:positionV>
                <wp:extent cx="291210" cy="623190"/>
                <wp:effectExtent l="0" t="0" r="13970" b="24765"/>
                <wp:wrapNone/>
                <wp:docPr id="5" name="Rectangle 5"/>
                <wp:cNvGraphicFramePr/>
                <a:graphic xmlns:a="http://schemas.openxmlformats.org/drawingml/2006/main">
                  <a:graphicData uri="http://schemas.microsoft.com/office/word/2010/wordprocessingShape">
                    <wps:wsp>
                      <wps:cNvSpPr/>
                      <wps:spPr>
                        <a:xfrm>
                          <a:off x="0" y="0"/>
                          <a:ext cx="291210" cy="62319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D4D23" id="Rectangle 5" o:spid="_x0000_s1026" style="position:absolute;margin-left:136.55pt;margin-top:50.55pt;width:22.95pt;height:49.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" fillcolor="white [3212]" strokecolor="white [3212]" strokeweight="2pt"/>
            </w:pict>
          </mc:Fallback>
        </mc:AlternateContent>
      </w:r>
      <w:r w:rsidRPr="00D431D5">
        <w:rPr>
          <w:rFonts w:ascii="Arial" w:eastAsia="Times New Roman" w:hAnsi="Arial" w:cs="Arial"/>
          <w:b/>
          <w:noProof/>
          <w:color w:val="000000"/>
          <w:lang w:eastAsia="ja-JP"/>
        </w:rPr>
        <mc:AlternateContent>
          <mc:Choice Requires="wps">
            <w:drawing>
              <wp:anchor distT="45720" distB="45720" distL="114300" distR="114300" simplePos="0" relativeHeight="251679744" behindDoc="0" locked="0" layoutInCell="1" allowOverlap="1" wp14:anchorId="2CB95C09" wp14:editId="7EF4F42F">
                <wp:simplePos x="0" y="0"/>
                <wp:positionH relativeFrom="column">
                  <wp:posOffset>1972871</wp:posOffset>
                </wp:positionH>
                <wp:positionV relativeFrom="paragraph">
                  <wp:posOffset>830418</wp:posOffset>
                </wp:positionV>
                <wp:extent cx="1204595" cy="563525"/>
                <wp:effectExtent l="0" t="0" r="0" b="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4595" cy="563525"/>
                        </a:xfrm>
                        <a:prstGeom prst="rect">
                          <a:avLst/>
                        </a:prstGeom>
                        <a:noFill/>
                        <a:ln w="9525">
                          <a:noFill/>
                          <a:miter lim="800000"/>
                          <a:headEnd/>
                          <a:tailEnd/>
                        </a:ln>
                      </wps:spPr>
                      <wps:txbx>
                        <w:txbxContent>
                          <w:p w14:paraId="2D64926F" w14:textId="77777777" w:rsidR="003104C5" w:rsidRPr="006B18B2" w:rsidRDefault="003104C5" w:rsidP="00824D02">
                            <w:pPr>
                              <w:spacing w:after="0" w:line="240" w:lineRule="auto"/>
                              <w:jc w:val="center"/>
                              <w:rPr>
                                <w:rFonts w:cs="Arial"/>
                                <w:sz w:val="18"/>
                              </w:rPr>
                            </w:pPr>
                            <w:r w:rsidRPr="006B18B2">
                              <w:rPr>
                                <w:rFonts w:cs="Arial"/>
                                <w:sz w:val="18"/>
                              </w:rPr>
                              <w:t>PpSMF1</w:t>
                            </w:r>
                            <w:r>
                              <w:rPr>
                                <w:rFonts w:cs="Arial"/>
                                <w:sz w:val="18"/>
                              </w:rPr>
                              <w:t>/2?</w:t>
                            </w:r>
                          </w:p>
                          <w:p w14:paraId="06526B6B" w14:textId="77777777" w:rsidR="003104C5" w:rsidRPr="006B18B2" w:rsidRDefault="003104C5" w:rsidP="00824D02">
                            <w:pPr>
                              <w:spacing w:after="0" w:line="240" w:lineRule="auto"/>
                              <w:jc w:val="center"/>
                              <w:rPr>
                                <w:rFonts w:cs="Arial"/>
                                <w:sz w:val="18"/>
                              </w:rPr>
                            </w:pPr>
                            <w:r w:rsidRPr="006B18B2">
                              <w:rPr>
                                <w:rFonts w:cs="Arial"/>
                                <w:sz w:val="18"/>
                              </w:rPr>
                              <w:t>PpSCRM1</w:t>
                            </w:r>
                            <w:r>
                              <w:rPr>
                                <w:rFonts w:cs="Arial"/>
                                <w:sz w:val="18"/>
                              </w:rPr>
                              <w:t>/2/3/4?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B95C09" id="_x0000_s1028" type="#_x0000_t202" style="position:absolute;margin-left:155.35pt;margin-top:65.4pt;width:94.85pt;height:44.3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" filled="f" stroked="f">
                <v:textbox>
                  <w:txbxContent>
                    <w:p w14:paraId="2D64926F" w14:textId="77777777" w:rsidR="003104C5" w:rsidRPr="006B18B2" w:rsidRDefault="003104C5" w:rsidP="00824D02">
                      <w:pPr>
                        <w:spacing w:after="0" w:line="240" w:lineRule="auto"/>
                        <w:jc w:val="center"/>
                        <w:rPr>
                          <w:rFonts w:cs="Arial"/>
                          <w:sz w:val="18"/>
                        </w:rPr>
                      </w:pPr>
                      <w:r w:rsidRPr="006B18B2">
                        <w:rPr>
                          <w:rFonts w:cs="Arial"/>
                          <w:sz w:val="18"/>
                        </w:rPr>
                        <w:t>PpSMF1</w:t>
                      </w:r>
                      <w:r>
                        <w:rPr>
                          <w:rFonts w:cs="Arial"/>
                          <w:sz w:val="18"/>
                        </w:rPr>
                        <w:t>/2?</w:t>
                      </w:r>
                    </w:p>
                    <w:p w14:paraId="06526B6B" w14:textId="77777777" w:rsidR="003104C5" w:rsidRPr="006B18B2" w:rsidRDefault="003104C5" w:rsidP="00824D02">
                      <w:pPr>
                        <w:spacing w:after="0" w:line="240" w:lineRule="auto"/>
                        <w:jc w:val="center"/>
                        <w:rPr>
                          <w:rFonts w:cs="Arial"/>
                          <w:sz w:val="18"/>
                        </w:rPr>
                      </w:pPr>
                      <w:r w:rsidRPr="006B18B2">
                        <w:rPr>
                          <w:rFonts w:cs="Arial"/>
                          <w:sz w:val="18"/>
                        </w:rPr>
                        <w:t>PpSCRM1</w:t>
                      </w:r>
                      <w:r>
                        <w:rPr>
                          <w:rFonts w:cs="Arial"/>
                          <w:sz w:val="18"/>
                        </w:rPr>
                        <w:t>/2/3/4?</w:t>
                      </w:r>
                    </w:p>
                  </w:txbxContent>
                </v:textbox>
              </v:shape>
            </w:pict>
          </mc:Fallback>
        </mc:AlternateContent>
      </w:r>
      <w:r w:rsidR="00D431D5" w:rsidRPr="00D431D5">
        <w:rPr>
          <w:rFonts w:ascii="Arial" w:eastAsia="Times New Roman" w:hAnsi="Arial" w:cs="Arial"/>
          <w:b/>
          <w:noProof/>
          <w:color w:val="000000"/>
          <w:lang w:eastAsia="ja-JP"/>
        </w:rPr>
        <mc:AlternateContent>
          <mc:Choice Requires="wps">
            <w:drawing>
              <wp:anchor distT="45720" distB="45720" distL="114300" distR="114300" simplePos="0" relativeHeight="251677696" behindDoc="0" locked="0" layoutInCell="1" allowOverlap="1" wp14:anchorId="52F3FBBD" wp14:editId="750D5D98">
                <wp:simplePos x="0" y="0"/>
                <wp:positionH relativeFrom="column">
                  <wp:posOffset>1389081</wp:posOffset>
                </wp:positionH>
                <wp:positionV relativeFrom="paragraph">
                  <wp:posOffset>819710</wp:posOffset>
                </wp:positionV>
                <wp:extent cx="796066" cy="42989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066" cy="429895"/>
                        </a:xfrm>
                        <a:prstGeom prst="rect">
                          <a:avLst/>
                        </a:prstGeom>
                        <a:noFill/>
                        <a:ln w="9525">
                          <a:noFill/>
                          <a:miter lim="800000"/>
                          <a:headEnd/>
                          <a:tailEnd/>
                        </a:ln>
                      </wps:spPr>
                      <wps:txbx>
                        <w:txbxContent>
                          <w:p w14:paraId="466855B5" w14:textId="77777777" w:rsidR="003104C5" w:rsidRPr="006B18B2" w:rsidRDefault="003104C5" w:rsidP="00824D02">
                            <w:pPr>
                              <w:spacing w:after="0" w:line="240" w:lineRule="auto"/>
                              <w:jc w:val="center"/>
                              <w:rPr>
                                <w:rFonts w:cs="Arial"/>
                                <w:sz w:val="18"/>
                              </w:rPr>
                            </w:pPr>
                            <w:r w:rsidRPr="006B18B2">
                              <w:rPr>
                                <w:rFonts w:cs="Arial"/>
                                <w:sz w:val="18"/>
                              </w:rPr>
                              <w:t>PpSMF1</w:t>
                            </w:r>
                          </w:p>
                          <w:p w14:paraId="2BACE71C" w14:textId="77777777" w:rsidR="003104C5" w:rsidRPr="006B18B2" w:rsidRDefault="003104C5" w:rsidP="00824D02">
                            <w:pPr>
                              <w:spacing w:after="0" w:line="240" w:lineRule="auto"/>
                              <w:jc w:val="center"/>
                              <w:rPr>
                                <w:rFonts w:cs="Arial"/>
                                <w:sz w:val="18"/>
                              </w:rPr>
                            </w:pPr>
                            <w:r w:rsidRPr="006B18B2">
                              <w:rPr>
                                <w:rFonts w:cs="Arial"/>
                                <w:sz w:val="18"/>
                              </w:rPr>
                              <w:t>PpSCRM1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3FBBD" id="_x0000_s1029" type="#_x0000_t202" style="position:absolute;margin-left:109.4pt;margin-top:64.55pt;width:62.7pt;height:33.8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" filled="f" stroked="f">
                <v:textbox>
                  <w:txbxContent>
                    <w:p w14:paraId="466855B5" w14:textId="77777777" w:rsidR="003104C5" w:rsidRPr="006B18B2" w:rsidRDefault="003104C5" w:rsidP="00824D02">
                      <w:pPr>
                        <w:spacing w:after="0" w:line="240" w:lineRule="auto"/>
                        <w:jc w:val="center"/>
                        <w:rPr>
                          <w:rFonts w:cs="Arial"/>
                          <w:sz w:val="18"/>
                        </w:rPr>
                      </w:pPr>
                      <w:r w:rsidRPr="006B18B2">
                        <w:rPr>
                          <w:rFonts w:cs="Arial"/>
                          <w:sz w:val="18"/>
                        </w:rPr>
                        <w:t>PpSMF1</w:t>
                      </w:r>
                    </w:p>
                    <w:p w14:paraId="2BACE71C" w14:textId="77777777" w:rsidR="003104C5" w:rsidRPr="006B18B2" w:rsidRDefault="003104C5" w:rsidP="00824D02">
                      <w:pPr>
                        <w:spacing w:after="0" w:line="240" w:lineRule="auto"/>
                        <w:jc w:val="center"/>
                        <w:rPr>
                          <w:rFonts w:cs="Arial"/>
                          <w:sz w:val="18"/>
                        </w:rPr>
                      </w:pPr>
                      <w:r w:rsidRPr="006B18B2">
                        <w:rPr>
                          <w:rFonts w:cs="Arial"/>
                          <w:sz w:val="18"/>
                        </w:rPr>
                        <w:t>PpSCRM1</w:t>
                      </w:r>
                    </w:p>
                  </w:txbxContent>
                </v:textbox>
              </v:shape>
            </w:pict>
          </mc:Fallback>
        </mc:AlternateContent>
      </w:r>
      <w:r w:rsidR="00D431D5" w:rsidRPr="00D431D5">
        <w:rPr>
          <w:rFonts w:ascii="Arial" w:eastAsia="Times New Roman" w:hAnsi="Arial" w:cs="Arial"/>
          <w:b/>
          <w:noProof/>
          <w:color w:val="000000"/>
          <w:lang w:eastAsia="ja-JP"/>
        </w:rPr>
        <mc:AlternateContent>
          <mc:Choice Requires="wps">
            <w:drawing>
              <wp:anchor distT="0" distB="0" distL="114300" distR="114300" simplePos="0" relativeHeight="251680768" behindDoc="0" locked="0" layoutInCell="1" allowOverlap="1" wp14:anchorId="1CCC8B8E" wp14:editId="6E127976">
                <wp:simplePos x="0" y="0"/>
                <wp:positionH relativeFrom="column">
                  <wp:posOffset>4017645</wp:posOffset>
                </wp:positionH>
                <wp:positionV relativeFrom="paragraph">
                  <wp:posOffset>582295</wp:posOffset>
                </wp:positionV>
                <wp:extent cx="0" cy="203200"/>
                <wp:effectExtent l="76200" t="38100" r="57150" b="25400"/>
                <wp:wrapNone/>
                <wp:docPr id="245" name="Straight Arrow Connector 245"/>
                <wp:cNvGraphicFramePr/>
                <a:graphic xmlns:a="http://schemas.openxmlformats.org/drawingml/2006/main">
                  <a:graphicData uri="http://schemas.microsoft.com/office/word/2010/wordprocessingShape">
                    <wps:wsp>
                      <wps:cNvCnPr/>
                      <wps:spPr>
                        <a:xfrm flipV="1">
                          <a:off x="0" y="0"/>
                          <a:ext cx="0" cy="203200"/>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C9AF133" id="_x0000_t32" coordsize="21600,21600" o:spt="32" o:oned="t" path="m,l21600,21600e" filled="f">
                <v:path arrowok="t" fillok="f" o:connecttype="none"/>
                <o:lock v:ext="edit" shapetype="t"/>
              </v:shapetype>
              <v:shape id="Straight Arrow Connector 245" o:spid="_x0000_s1026" type="#_x0000_t32" style="position:absolute;margin-left:316.35pt;margin-top:45.85pt;width:0;height:16pt;flip: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" strokecolor="black [3213]">
                <v:stroke endarrow="classic"/>
              </v:shape>
            </w:pict>
          </mc:Fallback>
        </mc:AlternateContent>
      </w:r>
      <w:r w:rsidR="00D431D5" w:rsidRPr="00D431D5">
        <w:rPr>
          <w:rFonts w:ascii="Arial" w:eastAsia="Times New Roman" w:hAnsi="Arial" w:cs="Arial"/>
          <w:b/>
          <w:noProof/>
          <w:color w:val="000000"/>
          <w:lang w:eastAsia="ja-JP"/>
        </w:rPr>
        <mc:AlternateContent>
          <mc:Choice Requires="wps">
            <w:drawing>
              <wp:anchor distT="45720" distB="45720" distL="114300" distR="114300" simplePos="0" relativeHeight="251681792" behindDoc="0" locked="0" layoutInCell="1" allowOverlap="1" wp14:anchorId="55CA8A85" wp14:editId="4BDA7D9E">
                <wp:simplePos x="0" y="0"/>
                <wp:positionH relativeFrom="column">
                  <wp:posOffset>3431540</wp:posOffset>
                </wp:positionH>
                <wp:positionV relativeFrom="paragraph">
                  <wp:posOffset>808318</wp:posOffset>
                </wp:positionV>
                <wp:extent cx="1204595" cy="429895"/>
                <wp:effectExtent l="0" t="0" r="0" b="0"/>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4595" cy="429895"/>
                        </a:xfrm>
                        <a:prstGeom prst="rect">
                          <a:avLst/>
                        </a:prstGeom>
                        <a:noFill/>
                        <a:ln w="9525">
                          <a:noFill/>
                          <a:miter lim="800000"/>
                          <a:headEnd/>
                          <a:tailEnd/>
                        </a:ln>
                      </wps:spPr>
                      <wps:txbx>
                        <w:txbxContent>
                          <w:p w14:paraId="232AD54C" w14:textId="77777777" w:rsidR="003104C5" w:rsidRPr="006B18B2" w:rsidRDefault="003104C5" w:rsidP="00824D02">
                            <w:pPr>
                              <w:spacing w:after="0" w:line="240" w:lineRule="auto"/>
                              <w:jc w:val="center"/>
                              <w:rPr>
                                <w:rFonts w:cs="Arial"/>
                                <w:sz w:val="18"/>
                              </w:rPr>
                            </w:pPr>
                            <w:r w:rsidRPr="006B18B2">
                              <w:rPr>
                                <w:rFonts w:cs="Arial"/>
                                <w:sz w:val="18"/>
                              </w:rPr>
                              <w:t>PpSMF1</w:t>
                            </w:r>
                            <w:r>
                              <w:rPr>
                                <w:rFonts w:cs="Arial"/>
                                <w:sz w:val="18"/>
                              </w:rPr>
                              <w:t>/2?</w:t>
                            </w:r>
                          </w:p>
                          <w:p w14:paraId="3D4579F5" w14:textId="77777777" w:rsidR="003104C5" w:rsidRPr="006B18B2" w:rsidRDefault="003104C5" w:rsidP="00824D02">
                            <w:pPr>
                              <w:spacing w:after="0" w:line="240" w:lineRule="auto"/>
                              <w:jc w:val="center"/>
                              <w:rPr>
                                <w:rFonts w:cs="Arial"/>
                                <w:sz w:val="18"/>
                              </w:rPr>
                            </w:pPr>
                            <w:r w:rsidRPr="006B18B2">
                              <w:rPr>
                                <w:rFonts w:cs="Arial"/>
                                <w:sz w:val="18"/>
                              </w:rPr>
                              <w:t>PpSCRM1</w:t>
                            </w:r>
                            <w:r>
                              <w:rPr>
                                <w:rFonts w:cs="Arial"/>
                                <w:sz w:val="18"/>
                              </w:rPr>
                              <w:t>/2/3/4?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CA8A85" id="_x0000_s1030" type="#_x0000_t202" style="position:absolute;margin-left:270.2pt;margin-top:63.65pt;width:94.85pt;height:33.8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" filled="f" stroked="f">
                <v:textbox>
                  <w:txbxContent>
                    <w:p w14:paraId="232AD54C" w14:textId="77777777" w:rsidR="003104C5" w:rsidRPr="006B18B2" w:rsidRDefault="003104C5" w:rsidP="00824D02">
                      <w:pPr>
                        <w:spacing w:after="0" w:line="240" w:lineRule="auto"/>
                        <w:jc w:val="center"/>
                        <w:rPr>
                          <w:rFonts w:cs="Arial"/>
                          <w:sz w:val="18"/>
                        </w:rPr>
                      </w:pPr>
                      <w:r w:rsidRPr="006B18B2">
                        <w:rPr>
                          <w:rFonts w:cs="Arial"/>
                          <w:sz w:val="18"/>
                        </w:rPr>
                        <w:t>PpSMF1</w:t>
                      </w:r>
                      <w:r>
                        <w:rPr>
                          <w:rFonts w:cs="Arial"/>
                          <w:sz w:val="18"/>
                        </w:rPr>
                        <w:t>/2?</w:t>
                      </w:r>
                    </w:p>
                    <w:p w14:paraId="3D4579F5" w14:textId="77777777" w:rsidR="003104C5" w:rsidRPr="006B18B2" w:rsidRDefault="003104C5" w:rsidP="00824D02">
                      <w:pPr>
                        <w:spacing w:after="0" w:line="240" w:lineRule="auto"/>
                        <w:jc w:val="center"/>
                        <w:rPr>
                          <w:rFonts w:cs="Arial"/>
                          <w:sz w:val="18"/>
                        </w:rPr>
                      </w:pPr>
                      <w:r w:rsidRPr="006B18B2">
                        <w:rPr>
                          <w:rFonts w:cs="Arial"/>
                          <w:sz w:val="18"/>
                        </w:rPr>
                        <w:t>PpSCRM1</w:t>
                      </w:r>
                      <w:r>
                        <w:rPr>
                          <w:rFonts w:cs="Arial"/>
                          <w:sz w:val="18"/>
                        </w:rPr>
                        <w:t>/2/3/4?</w:t>
                      </w:r>
                    </w:p>
                  </w:txbxContent>
                </v:textbox>
              </v:shape>
            </w:pict>
          </mc:Fallback>
        </mc:AlternateContent>
      </w:r>
      <w:r w:rsidR="00D431D5" w:rsidRPr="00D431D5">
        <w:rPr>
          <w:rFonts w:ascii="Arial" w:eastAsia="Times New Roman" w:hAnsi="Arial" w:cs="Arial"/>
          <w:b/>
          <w:noProof/>
          <w:color w:val="000000"/>
          <w:lang w:eastAsia="ja-JP"/>
        </w:rPr>
        <mc:AlternateContent>
          <mc:Choice Requires="wps">
            <w:drawing>
              <wp:anchor distT="0" distB="0" distL="114300" distR="114300" simplePos="0" relativeHeight="251678720" behindDoc="0" locked="0" layoutInCell="1" allowOverlap="1" wp14:anchorId="20613EF9" wp14:editId="4DB9A14F">
                <wp:simplePos x="0" y="0"/>
                <wp:positionH relativeFrom="column">
                  <wp:posOffset>2562860</wp:posOffset>
                </wp:positionH>
                <wp:positionV relativeFrom="paragraph">
                  <wp:posOffset>609637</wp:posOffset>
                </wp:positionV>
                <wp:extent cx="0" cy="203593"/>
                <wp:effectExtent l="76200" t="38100" r="57150" b="25400"/>
                <wp:wrapNone/>
                <wp:docPr id="243" name="Straight Arrow Connector 243"/>
                <wp:cNvGraphicFramePr/>
                <a:graphic xmlns:a="http://schemas.openxmlformats.org/drawingml/2006/main">
                  <a:graphicData uri="http://schemas.microsoft.com/office/word/2010/wordprocessingShape">
                    <wps:wsp>
                      <wps:cNvCnPr/>
                      <wps:spPr>
                        <a:xfrm flipV="1">
                          <a:off x="0" y="0"/>
                          <a:ext cx="0" cy="203593"/>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34C9EF" id="Straight Arrow Connector 243" o:spid="_x0000_s1026" type="#_x0000_t32" style="position:absolute;margin-left:201.8pt;margin-top:48pt;width:0;height:16.05pt;flip: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" strokecolor="black [3213]">
                <v:stroke endarrow="classic"/>
              </v:shape>
            </w:pict>
          </mc:Fallback>
        </mc:AlternateContent>
      </w:r>
      <w:r w:rsidR="00D431D5" w:rsidRPr="00D431D5">
        <w:rPr>
          <w:rFonts w:ascii="Arial" w:eastAsia="Times New Roman" w:hAnsi="Arial" w:cs="Arial"/>
          <w:b/>
          <w:noProof/>
          <w:color w:val="000000"/>
          <w:lang w:eastAsia="ja-JP"/>
        </w:rPr>
        <mc:AlternateContent>
          <mc:Choice Requires="wps">
            <w:drawing>
              <wp:anchor distT="0" distB="0" distL="114300" distR="114300" simplePos="0" relativeHeight="251676672" behindDoc="0" locked="0" layoutInCell="1" allowOverlap="1" wp14:anchorId="656E3F25" wp14:editId="51795A6A">
                <wp:simplePos x="0" y="0"/>
                <wp:positionH relativeFrom="column">
                  <wp:posOffset>1763395</wp:posOffset>
                </wp:positionH>
                <wp:positionV relativeFrom="paragraph">
                  <wp:posOffset>615913</wp:posOffset>
                </wp:positionV>
                <wp:extent cx="0" cy="203593"/>
                <wp:effectExtent l="76200" t="38100" r="57150" b="25400"/>
                <wp:wrapNone/>
                <wp:docPr id="242" name="Straight Arrow Connector 242"/>
                <wp:cNvGraphicFramePr/>
                <a:graphic xmlns:a="http://schemas.openxmlformats.org/drawingml/2006/main">
                  <a:graphicData uri="http://schemas.microsoft.com/office/word/2010/wordprocessingShape">
                    <wps:wsp>
                      <wps:cNvCnPr/>
                      <wps:spPr>
                        <a:xfrm flipV="1">
                          <a:off x="0" y="0"/>
                          <a:ext cx="0" cy="203593"/>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4522FF1" id="Straight Arrow Connector 242" o:spid="_x0000_s1026" type="#_x0000_t32" style="position:absolute;margin-left:138.85pt;margin-top:48.5pt;width:0;height:16.05pt;flip: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" strokecolor="black [3213]">
                <v:stroke endarrow="classic"/>
              </v:shape>
            </w:pict>
          </mc:Fallback>
        </mc:AlternateContent>
      </w:r>
      <w:r w:rsidR="00D431D5" w:rsidRPr="00D431D5">
        <w:rPr>
          <w:rFonts w:ascii="Arial" w:eastAsia="Times New Roman" w:hAnsi="Arial" w:cs="Arial"/>
          <w:b/>
          <w:noProof/>
          <w:color w:val="000000"/>
          <w:lang w:eastAsia="ja-JP"/>
        </w:rPr>
        <mc:AlternateContent>
          <mc:Choice Requires="wps">
            <w:drawing>
              <wp:anchor distT="0" distB="0" distL="114300" distR="114300" simplePos="0" relativeHeight="251675648" behindDoc="0" locked="0" layoutInCell="1" allowOverlap="1" wp14:anchorId="378E6488" wp14:editId="6CB38EF1">
                <wp:simplePos x="0" y="0"/>
                <wp:positionH relativeFrom="column">
                  <wp:posOffset>3873490</wp:posOffset>
                </wp:positionH>
                <wp:positionV relativeFrom="paragraph">
                  <wp:posOffset>646983</wp:posOffset>
                </wp:positionV>
                <wp:extent cx="377581" cy="292940"/>
                <wp:effectExtent l="4127" t="0" r="26988" b="26987"/>
                <wp:wrapNone/>
                <wp:docPr id="241" name="Rectangle 241"/>
                <wp:cNvGraphicFramePr/>
                <a:graphic xmlns:a="http://schemas.openxmlformats.org/drawingml/2006/main">
                  <a:graphicData uri="http://schemas.microsoft.com/office/word/2010/wordprocessingShape">
                    <wps:wsp>
                      <wps:cNvSpPr/>
                      <wps:spPr>
                        <a:xfrm rot="5400000">
                          <a:off x="0" y="0"/>
                          <a:ext cx="377581" cy="2929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62957" id="Rectangle 241" o:spid="_x0000_s1026" style="position:absolute;margin-left:305pt;margin-top:50.95pt;width:29.75pt;height:23.05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" fillcolor="white [3212]" strokecolor="white [3212]" strokeweight="2pt"/>
            </w:pict>
          </mc:Fallback>
        </mc:AlternateContent>
      </w:r>
      <w:r w:rsidR="00D431D5" w:rsidRPr="00D431D5">
        <w:rPr>
          <w:rFonts w:ascii="Arial" w:eastAsia="Times New Roman" w:hAnsi="Arial" w:cs="Arial"/>
          <w:b/>
          <w:noProof/>
          <w:color w:val="000000"/>
          <w:lang w:eastAsia="ja-JP"/>
        </w:rPr>
        <mc:AlternateContent>
          <mc:Choice Requires="wps">
            <w:drawing>
              <wp:anchor distT="0" distB="0" distL="114300" distR="114300" simplePos="0" relativeHeight="251674624" behindDoc="0" locked="0" layoutInCell="1" allowOverlap="1" wp14:anchorId="3F7FB614" wp14:editId="2178E0EE">
                <wp:simplePos x="0" y="0"/>
                <wp:positionH relativeFrom="column">
                  <wp:posOffset>3898508</wp:posOffset>
                </wp:positionH>
                <wp:positionV relativeFrom="paragraph">
                  <wp:posOffset>526359</wp:posOffset>
                </wp:positionV>
                <wp:extent cx="322729" cy="1027094"/>
                <wp:effectExtent l="0" t="9208" r="11113" b="11112"/>
                <wp:wrapNone/>
                <wp:docPr id="240" name="Rectangle 240"/>
                <wp:cNvGraphicFramePr/>
                <a:graphic xmlns:a="http://schemas.openxmlformats.org/drawingml/2006/main">
                  <a:graphicData uri="http://schemas.microsoft.com/office/word/2010/wordprocessingShape">
                    <wps:wsp>
                      <wps:cNvSpPr/>
                      <wps:spPr>
                        <a:xfrm rot="5400000">
                          <a:off x="0" y="0"/>
                          <a:ext cx="322729" cy="102709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795326" id="Rectangle 240" o:spid="_x0000_s1026" style="position:absolute;margin-left:306.95pt;margin-top:41.45pt;width:25.4pt;height:80.85pt;rotation:90;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" fillcolor="white [3212]" strokecolor="white [3212]" strokeweight="2pt"/>
            </w:pict>
          </mc:Fallback>
        </mc:AlternateContent>
      </w:r>
      <w:r w:rsidR="00D431D5" w:rsidRPr="00D431D5">
        <w:rPr>
          <w:rFonts w:ascii="Arial" w:eastAsia="Times New Roman" w:hAnsi="Arial" w:cs="Arial"/>
          <w:b/>
          <w:noProof/>
          <w:color w:val="000000"/>
          <w:lang w:eastAsia="ja-JP"/>
        </w:rPr>
        <mc:AlternateContent>
          <mc:Choice Requires="wps">
            <w:drawing>
              <wp:anchor distT="0" distB="0" distL="114300" distR="114300" simplePos="0" relativeHeight="251673600" behindDoc="0" locked="0" layoutInCell="1" allowOverlap="1" wp14:anchorId="3559BEC3" wp14:editId="4EF81070">
                <wp:simplePos x="0" y="0"/>
                <wp:positionH relativeFrom="column">
                  <wp:posOffset>2339938</wp:posOffset>
                </wp:positionH>
                <wp:positionV relativeFrom="paragraph">
                  <wp:posOffset>692785</wp:posOffset>
                </wp:positionV>
                <wp:extent cx="325063" cy="295574"/>
                <wp:effectExtent l="0" t="4445" r="13970" b="13970"/>
                <wp:wrapNone/>
                <wp:docPr id="239" name="Rectangle 239"/>
                <wp:cNvGraphicFramePr/>
                <a:graphic xmlns:a="http://schemas.openxmlformats.org/drawingml/2006/main">
                  <a:graphicData uri="http://schemas.microsoft.com/office/word/2010/wordprocessingShape">
                    <wps:wsp>
                      <wps:cNvSpPr/>
                      <wps:spPr>
                        <a:xfrm rot="5400000">
                          <a:off x="0" y="0"/>
                          <a:ext cx="325063" cy="29557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A9478" id="Rectangle 239" o:spid="_x0000_s1026" style="position:absolute;margin-left:184.25pt;margin-top:54.55pt;width:25.6pt;height:23.2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" fillcolor="white [3212]" strokecolor="white [3212]" strokeweight="2pt"/>
            </w:pict>
          </mc:Fallback>
        </mc:AlternateContent>
      </w:r>
      <w:r w:rsidR="00D431D5" w:rsidRPr="00D431D5">
        <w:rPr>
          <w:rFonts w:ascii="Arial" w:eastAsia="Times New Roman" w:hAnsi="Arial" w:cs="Arial"/>
          <w:b/>
          <w:noProof/>
          <w:color w:val="000000"/>
          <w:lang w:eastAsia="ja-JP"/>
        </w:rPr>
        <mc:AlternateContent>
          <mc:Choice Requires="wps">
            <w:drawing>
              <wp:anchor distT="0" distB="0" distL="114300" distR="114300" simplePos="0" relativeHeight="251672576" behindDoc="0" locked="0" layoutInCell="1" allowOverlap="1" wp14:anchorId="1D9B6B1C" wp14:editId="6E68E384">
                <wp:simplePos x="0" y="0"/>
                <wp:positionH relativeFrom="column">
                  <wp:posOffset>2088552</wp:posOffset>
                </wp:positionH>
                <wp:positionV relativeFrom="paragraph">
                  <wp:posOffset>582818</wp:posOffset>
                </wp:positionV>
                <wp:extent cx="322729" cy="903343"/>
                <wp:effectExtent l="0" t="4445" r="15875" b="15875"/>
                <wp:wrapNone/>
                <wp:docPr id="197" name="Rectangle 197"/>
                <wp:cNvGraphicFramePr/>
                <a:graphic xmlns:a="http://schemas.openxmlformats.org/drawingml/2006/main">
                  <a:graphicData uri="http://schemas.microsoft.com/office/word/2010/wordprocessingShape">
                    <wps:wsp>
                      <wps:cNvSpPr/>
                      <wps:spPr>
                        <a:xfrm rot="5400000">
                          <a:off x="0" y="0"/>
                          <a:ext cx="322729" cy="90334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D51E06" id="Rectangle 197" o:spid="_x0000_s1026" style="position:absolute;margin-left:164.45pt;margin-top:45.9pt;width:25.4pt;height:71.15pt;rotation:90;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" fillcolor="white [3212]" strokecolor="white [3212]" strokeweight="2pt"/>
            </w:pict>
          </mc:Fallback>
        </mc:AlternateContent>
      </w:r>
      <w:r w:rsidR="00D431D5" w:rsidRPr="00D431D5">
        <w:rPr>
          <w:rFonts w:ascii="Arial" w:eastAsia="Times New Roman" w:hAnsi="Arial" w:cs="Arial"/>
          <w:b/>
          <w:noProof/>
          <w:color w:val="000000"/>
          <w:lang w:eastAsia="ja-JP"/>
        </w:rPr>
        <w:drawing>
          <wp:inline distT="0" distB="0" distL="0" distR="0" wp14:anchorId="48ED30B2" wp14:editId="4A8EC586">
            <wp:extent cx="5201282" cy="1073888"/>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4moded.jpg"/>
                    <pic:cNvPicPr/>
                  </pic:nvPicPr>
                  <pic:blipFill rotWithShape="1">
                    <a:blip r:embed="rId29" cstate="print">
                      <a:extLst>
                        <a:ext uri="{28A0092B-C50C-407E-A947-70E740481C1C}">
                          <a14:useLocalDpi xmlns:a14="http://schemas.microsoft.com/office/drawing/2010/main" val="0"/>
                        </a:ext>
                      </a:extLst>
                    </a:blip>
                    <a:srcRect b="79610"/>
                    <a:stretch/>
                  </pic:blipFill>
                  <pic:spPr bwMode="auto">
                    <a:xfrm>
                      <a:off x="0" y="0"/>
                      <a:ext cx="5205730" cy="1074806"/>
                    </a:xfrm>
                    <a:prstGeom prst="rect">
                      <a:avLst/>
                    </a:prstGeom>
                    <a:ln>
                      <a:noFill/>
                    </a:ln>
                    <a:extLst>
                      <a:ext uri="{53640926-AAD7-44D8-BBD7-CCE9431645EC}">
                        <a14:shadowObscured xmlns:a14="http://schemas.microsoft.com/office/drawing/2010/main"/>
                      </a:ext>
                    </a:extLst>
                  </pic:spPr>
                </pic:pic>
              </a:graphicData>
            </a:graphic>
          </wp:inline>
        </w:drawing>
      </w:r>
    </w:p>
    <w:p w14:paraId="686645DA" w14:textId="2A635604"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b/>
          <w:color w:val="000000"/>
          <w:lang w:eastAsia="ja-JP"/>
        </w:rPr>
        <w:t xml:space="preserve">Figure 18. Model of stomatal development in </w:t>
      </w:r>
      <w:r w:rsidRPr="00D431D5">
        <w:rPr>
          <w:rFonts w:ascii="Arial" w:eastAsia="Times New Roman" w:hAnsi="Arial" w:cs="Arial"/>
          <w:b/>
          <w:i/>
          <w:color w:val="000000"/>
          <w:lang w:eastAsia="ja-JP"/>
        </w:rPr>
        <w:t xml:space="preserve">P. patens </w:t>
      </w:r>
      <w:r w:rsidRPr="00D431D5">
        <w:rPr>
          <w:rFonts w:ascii="Arial" w:eastAsia="Times New Roman" w:hAnsi="Arial" w:cs="Arial"/>
          <w:b/>
          <w:color w:val="000000"/>
          <w:lang w:eastAsia="ja-JP"/>
        </w:rPr>
        <w:t xml:space="preserve">with regulation via PpSMFs and PpSCRMs. </w:t>
      </w:r>
      <w:r w:rsidRPr="00D431D5">
        <w:rPr>
          <w:rFonts w:ascii="Arial" w:eastAsia="Times New Roman" w:hAnsi="Arial" w:cs="Arial"/>
          <w:i/>
          <w:color w:val="000000"/>
          <w:lang w:eastAsia="ja-JP"/>
        </w:rPr>
        <w:t>P. patens</w:t>
      </w:r>
      <w:r w:rsidRPr="00D431D5">
        <w:rPr>
          <w:rFonts w:ascii="Arial" w:eastAsia="Times New Roman" w:hAnsi="Arial" w:cs="Arial"/>
          <w:b/>
          <w:i/>
          <w:color w:val="000000"/>
          <w:lang w:eastAsia="ja-JP"/>
        </w:rPr>
        <w:t xml:space="preserve"> </w:t>
      </w:r>
      <w:r w:rsidRPr="00D431D5">
        <w:rPr>
          <w:rFonts w:ascii="Arial" w:eastAsia="Times New Roman" w:hAnsi="Arial" w:cs="Arial"/>
          <w:color w:val="000000"/>
          <w:lang w:eastAsia="ja-JP"/>
        </w:rPr>
        <w:t xml:space="preserve">stomatal development begins when an undifferentiated cell expands and becomes an early guard mother cell (GMC). PpSMF1 and PpSCRM1 are both responsible for the formation of the early GMC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The early GMC then transitions to a late GMC and undergoes a probable incomplete division to yield a single guard cell. Whether the function of PpSMF1/2 or PpSCRM1/2/3/4 extends to promoting the final incomplete symmetric division is unclear from the present study. When two early GMCs form in close proximity a </w:t>
      </w:r>
      <w:r w:rsidR="00515B07">
        <w:rPr>
          <w:rFonts w:ascii="Arial" w:eastAsia="Times New Roman" w:hAnsi="Arial" w:cs="Arial"/>
          <w:color w:val="000000"/>
          <w:lang w:eastAsia="ja-JP"/>
        </w:rPr>
        <w:t xml:space="preserve">asymmetric </w:t>
      </w:r>
      <w:r w:rsidRPr="00D431D5">
        <w:rPr>
          <w:rFonts w:ascii="Arial" w:eastAsia="Times New Roman" w:hAnsi="Arial" w:cs="Arial"/>
          <w:color w:val="000000"/>
          <w:lang w:eastAsia="ja-JP"/>
        </w:rPr>
        <w:t xml:space="preserve">spacing division can occur when one of the GMCs buds off to produce two daughter cells of different identities. The cell which forms furthest from the undivided GMC appears to maintain stomatal identify as it maintains the fragmented </w:t>
      </w:r>
      <w:r w:rsidR="009B784F">
        <w:rPr>
          <w:rFonts w:ascii="Arial" w:eastAsia="Times New Roman" w:hAnsi="Arial" w:cs="Arial"/>
          <w:color w:val="000000"/>
          <w:lang w:eastAsia="ja-JP"/>
        </w:rPr>
        <w:t>organelle</w:t>
      </w:r>
      <w:r w:rsidRPr="00D431D5">
        <w:rPr>
          <w:rFonts w:ascii="Arial" w:eastAsia="Times New Roman" w:hAnsi="Arial" w:cs="Arial"/>
          <w:color w:val="000000"/>
          <w:lang w:eastAsia="ja-JP"/>
        </w:rPr>
        <w:t xml:space="preserve">s. It is unclear as to whether PpSMF1/2 or PpSCRM1/2/3/4 have a role in such a process. </w:t>
      </w:r>
    </w:p>
    <w:p w14:paraId="36929D3A" w14:textId="52D2EC72"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In relation to the study of </w:t>
      </w:r>
      <w:r w:rsidRPr="00D431D5">
        <w:rPr>
          <w:rFonts w:ascii="Arial" w:eastAsia="Times New Roman" w:hAnsi="Arial" w:cs="Arial"/>
          <w:i/>
          <w:color w:val="000000"/>
          <w:lang w:eastAsia="ja-JP"/>
        </w:rPr>
        <w:t xml:space="preserve">SMF </w:t>
      </w:r>
      <w:r w:rsidRPr="00D431D5">
        <w:rPr>
          <w:rFonts w:ascii="Arial" w:eastAsia="Times New Roman" w:hAnsi="Arial" w:cs="Arial"/>
          <w:color w:val="000000"/>
          <w:lang w:eastAsia="ja-JP"/>
        </w:rPr>
        <w:t xml:space="preserve">genes, when the phylogenetic analysis presented in </w:t>
      </w:r>
      <w:r w:rsidRPr="00D431D5">
        <w:rPr>
          <w:rFonts w:ascii="Arial" w:eastAsia="Times New Roman" w:hAnsi="Arial" w:cs="Arial"/>
          <w:b/>
          <w:color w:val="000000"/>
          <w:lang w:eastAsia="ja-JP"/>
        </w:rPr>
        <w:t xml:space="preserve">Fig. 7 </w:t>
      </w:r>
      <w:r w:rsidRPr="00D431D5">
        <w:rPr>
          <w:rFonts w:ascii="Arial" w:eastAsia="Times New Roman" w:hAnsi="Arial" w:cs="Arial"/>
          <w:color w:val="000000"/>
          <w:lang w:eastAsia="ja-JP"/>
        </w:rPr>
        <w:t xml:space="preserve">is considered in combination with the KO data in </w:t>
      </w:r>
      <w:r w:rsidRPr="00D431D5">
        <w:rPr>
          <w:rFonts w:ascii="Arial" w:eastAsia="Times New Roman" w:hAnsi="Arial" w:cs="Arial"/>
          <w:b/>
          <w:color w:val="000000"/>
          <w:lang w:eastAsia="ja-JP"/>
        </w:rPr>
        <w:t>Fig. 11</w:t>
      </w:r>
      <w:r w:rsidRPr="00D431D5">
        <w:rPr>
          <w:rFonts w:ascii="Arial" w:eastAsia="Times New Roman" w:hAnsi="Arial" w:cs="Arial"/>
          <w:color w:val="000000"/>
          <w:lang w:eastAsia="ja-JP"/>
        </w:rPr>
        <w:t xml:space="preserve">, it can be confirmed that at least one ancestral </w:t>
      </w:r>
      <w:r w:rsidRPr="00D431D5">
        <w:rPr>
          <w:rFonts w:ascii="Arial" w:eastAsia="Times New Roman" w:hAnsi="Arial" w:cs="Arial"/>
          <w:i/>
          <w:color w:val="000000"/>
          <w:lang w:eastAsia="ja-JP"/>
        </w:rPr>
        <w:t xml:space="preserve">SMF </w:t>
      </w:r>
      <w:r w:rsidRPr="00D431D5">
        <w:rPr>
          <w:rFonts w:ascii="Arial" w:eastAsia="Times New Roman" w:hAnsi="Arial" w:cs="Arial"/>
          <w:color w:val="000000"/>
          <w:lang w:eastAsia="ja-JP"/>
        </w:rPr>
        <w:t xml:space="preserve">gene was shared by the common ancestor of modern day mosses and other vascular land plants. A definitive function of PpSMF1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is to orchestrate and maintain the formation of early GMC cells (</w:t>
      </w:r>
      <w:r w:rsidRPr="00D431D5">
        <w:rPr>
          <w:rFonts w:ascii="Arial" w:eastAsia="Times New Roman" w:hAnsi="Arial" w:cs="Arial"/>
          <w:b/>
          <w:color w:val="000000"/>
          <w:lang w:eastAsia="ja-JP"/>
        </w:rPr>
        <w:t>Fig. 15</w:t>
      </w:r>
      <w:r w:rsidRPr="00D431D5">
        <w:rPr>
          <w:rFonts w:ascii="Arial" w:eastAsia="Times New Roman" w:hAnsi="Arial" w:cs="Arial"/>
          <w:color w:val="000000"/>
          <w:lang w:eastAsia="ja-JP"/>
        </w:rPr>
        <w:t xml:space="preserve">). In some regards this function is akin to </w:t>
      </w:r>
      <w:r w:rsidRPr="00D431D5">
        <w:rPr>
          <w:rFonts w:ascii="Arial" w:eastAsia="Times New Roman" w:hAnsi="Arial" w:cs="Arial"/>
          <w:color w:val="000000"/>
          <w:lang w:eastAsia="ja-JP"/>
        </w:rPr>
        <w:lastRenderedPageBreak/>
        <w:t xml:space="preserve">Arabidopsis SPCH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&lt;EndNote&gt;&lt;Cite&gt;&lt;Author&gt;MacAlister&lt;/Author&gt;&lt;Year&gt;2007&lt;/Year&gt;&lt;IDText&gt;Transcription factor control of asymmetric cell divisions that establish the stomatal lineage&lt;/IDText&gt;&lt;DisplayText&gt;(MacAlister et al., 2007)&lt;/DisplayText&gt;&lt;record&gt;&lt;dates&gt;&lt;pub-dates&gt;&lt;date&gt;Feb&lt;/date&gt;&lt;/pub-dates&gt;&lt;year&gt;2007&lt;/year&gt;&lt;/dates&gt;&lt;keywords&gt;&lt;keyword&gt;MAPKK KINASE&lt;/keyword&gt;&lt;keyword&gt;ARABIDOPSIS&lt;/keyword&gt;&lt;keyword&gt;MOUTHS&lt;/keyword&gt;&lt;keyword&gt;TOO&lt;/keyword&gt;&lt;keyword&gt;MUTANTS&lt;/keyword&gt;&lt;keyword&gt;PATTERN&lt;/keyword&gt;&lt;keyword&gt;4-LIPS&lt;/keyword&gt;&lt;/keywords&gt;&lt;urls&gt;&lt;related-urls&gt;&lt;url&gt;&amp;lt;Go to ISI&amp;gt;://WOS:000243867300043&lt;/url&gt;&lt;/related-urls&gt;&lt;/urls&gt;&lt;isbn&gt;0028-0836&lt;/isbn&gt;&lt;work-type&gt;Article&lt;/work-type&gt;&lt;titles&gt;&lt;title&gt;Transcription factor control of asymmetric cell divisions that establish the stomatal lineage&lt;/title&gt;&lt;secondary-title&gt;Nature&lt;/secondary-title&gt;&lt;alt-title&gt;Nature&lt;/alt-title&gt;&lt;/titles&gt;&lt;pages&gt;537-540&lt;/pages&gt;&lt;number&gt;7127&lt;/number&gt;&lt;contributors&gt;&lt;authors&gt;&lt;author&gt;MacAlister, C. A.&lt;/author&gt;&lt;author&gt;Ohashi-Ito, K.&lt;/author&gt;&lt;author&gt;Bergmann, D. C.&lt;/author&gt;&lt;/authors&gt;&lt;/contributors&gt;&lt;language&gt;English&lt;/language&gt;&lt;added-date format="utc"&gt;1352217000&lt;/added-date&gt;&lt;ref-type name="Journal Article"&gt;17&lt;/ref-type&gt;&lt;auth-address&gt;Stanford Univ, Dept Biol Sci, Stanford, CA 94305 USA.&amp;#xD;Bergmann, DC (reprint author), Stanford Univ, Dept Biol Sci, Stanford, CA 94305 USA.&amp;#xD;dbergmann@stanford.edu&lt;/auth-address&gt;&lt;rec-number&gt;25&lt;/rec-number&gt;&lt;last-updated-date format="utc"&gt;1352217000&lt;/last-updated-date&gt;&lt;accession-num&gt;WOS:000243867300043&lt;/accession-num&gt;&lt;electronic-resource-num&gt;10.1038/nature05491&lt;/electronic-resource-num&gt;&lt;volume&gt;445&lt;/volume&gt;&lt;/record&gt;&lt;/Cite&gt;&lt;/EndNote&gt;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(MacAlister et al., 2007)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in that PpSMF1 presence is required for the formation of the first definitive stomatal lineage cell type </w:t>
      </w:r>
      <w:r w:rsidR="00515B07">
        <w:rPr>
          <w:rFonts w:ascii="Arial" w:eastAsia="Times New Roman" w:hAnsi="Arial" w:cs="Arial"/>
          <w:color w:val="000000"/>
          <w:lang w:eastAsia="ja-JP"/>
        </w:rPr>
        <w:t xml:space="preserve">in </w:t>
      </w:r>
      <w:r w:rsidR="00515B07" w:rsidRPr="00515B07">
        <w:rPr>
          <w:rFonts w:ascii="Arial" w:eastAsia="Times New Roman" w:hAnsi="Arial" w:cs="Arial"/>
          <w:i/>
          <w:color w:val="000000"/>
          <w:lang w:eastAsia="ja-JP"/>
        </w:rPr>
        <w:t>P. patens</w:t>
      </w:r>
      <w:r w:rsidR="00515B07">
        <w:rPr>
          <w:rFonts w:ascii="Arial" w:eastAsia="Times New Roman" w:hAnsi="Arial" w:cs="Arial"/>
          <w:color w:val="000000"/>
          <w:lang w:eastAsia="ja-JP"/>
        </w:rPr>
        <w:t xml:space="preserve">, </w:t>
      </w:r>
      <w:r w:rsidRPr="00515B07">
        <w:rPr>
          <w:rFonts w:ascii="Arial" w:eastAsia="Times New Roman" w:hAnsi="Arial" w:cs="Arial"/>
          <w:color w:val="000000"/>
          <w:lang w:eastAsia="ja-JP"/>
        </w:rPr>
        <w:t>the</w:t>
      </w:r>
      <w:r w:rsidRPr="00D431D5">
        <w:rPr>
          <w:rFonts w:ascii="Arial" w:eastAsia="Times New Roman" w:hAnsi="Arial" w:cs="Arial"/>
          <w:color w:val="000000"/>
          <w:lang w:eastAsia="ja-JP"/>
        </w:rPr>
        <w:t xml:space="preserve"> early GMC (see also </w:t>
      </w:r>
      <w:r w:rsidRPr="00D431D5">
        <w:rPr>
          <w:rFonts w:ascii="Arial" w:eastAsia="Times New Roman" w:hAnsi="Arial" w:cs="Arial"/>
          <w:b/>
          <w:color w:val="000000"/>
          <w:lang w:eastAsia="ja-JP"/>
        </w:rPr>
        <w:t xml:space="preserve">Fig. 1, 3, 4, 9 </w:t>
      </w:r>
      <w:r w:rsidRPr="00D431D5">
        <w:rPr>
          <w:rFonts w:ascii="Arial" w:eastAsia="Times New Roman" w:hAnsi="Arial" w:cs="Arial"/>
          <w:color w:val="000000"/>
          <w:lang w:eastAsia="ja-JP"/>
        </w:rPr>
        <w:t>and</w:t>
      </w:r>
      <w:r w:rsidRPr="00D431D5">
        <w:rPr>
          <w:rFonts w:ascii="Arial" w:eastAsia="Times New Roman" w:hAnsi="Arial" w:cs="Arial"/>
          <w:b/>
          <w:color w:val="000000"/>
          <w:lang w:eastAsia="ja-JP"/>
        </w:rPr>
        <w:t xml:space="preserve"> 18</w:t>
      </w:r>
      <w:r w:rsidRPr="00D431D5">
        <w:rPr>
          <w:rFonts w:ascii="Arial" w:eastAsia="Times New Roman" w:hAnsi="Arial" w:cs="Arial"/>
          <w:color w:val="000000"/>
          <w:lang w:eastAsia="ja-JP"/>
        </w:rPr>
        <w:t xml:space="preserve">). GMC formation in Arabidopsis is governed by MUTE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&lt;EndNote&gt;&lt;Cite&gt;&lt;Author&gt;Pillitteri&lt;/Author&gt;&lt;Year&gt;2007&lt;/Year&gt;&lt;IDText&gt;Termination of asymmetric cell division and differentiation of stomata&lt;/IDText&gt;&lt;DisplayText&gt;(Pillitteri et al., 2007)&lt;/DisplayText&gt;&lt;record&gt;&lt;dates&gt;&lt;pub-dates&gt;&lt;date&gt;Feb&lt;/date&gt;&lt;/pub-dates&gt;&lt;year&gt;2007&lt;/year&gt;&lt;/dates&gt;&lt;urls&gt;&lt;related-urls&gt;&lt;url&gt;&amp;lt;Go to ISI&amp;gt;://WOS:000243867300035&lt;/url&gt;&lt;/related-urls&gt;&lt;/urls&gt;&lt;isbn&gt;0028-0836&lt;/isbn&gt;&lt;titles&gt;&lt;title&gt;Termination of asymmetric cell division and differentiation of stomata&lt;/title&gt;&lt;secondary-title&gt;Nature&lt;/secondary-title&gt;&lt;/titles&gt;&lt;pages&gt;501-505&lt;/pages&gt;&lt;number&gt;7127&lt;/number&gt;&lt;contributors&gt;&lt;authors&gt;&lt;author&gt;Pillitteri, L. J.&lt;/author&gt;&lt;author&gt;Sloan, D. B.&lt;/author&gt;&lt;author&gt;Bogenschutz, N. L.&lt;/author&gt;&lt;author&gt;Torii, K. U.&lt;/author&gt;&lt;/authors&gt;&lt;/contributors&gt;&lt;added-date format="utc"&gt;1380382218&lt;/added-date&gt;&lt;ref-type name="Journal Article"&gt;17&lt;/ref-type&gt;&lt;rec-number&gt;129&lt;/rec-number&gt;&lt;last-updated-date format="utc"&gt;1380382218&lt;/last-updated-date&gt;&lt;accession-num&gt;WOS:000243867300035&lt;/accession-num&gt;&lt;electronic-resource-num&gt;10.1038/nature05467&lt;/electronic-resource-num&gt;&lt;volume&gt;445&lt;/volume&gt;&lt;/record&gt;&lt;/Cite&gt;&lt;/EndNote&gt;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(Pillitteri et al., 2007)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and so it is probably more appropriate to suggest that PpSMF1 shares a closer functional orthology with this bHLH than with SPCH. Whether or not PpSMF1 can under some instances instigate an entry asymmetric division prior to the formation of early GMCs, resulting in an Arabidopsis </w:t>
      </w:r>
      <w:r w:rsidRPr="00D431D5">
        <w:rPr>
          <w:rFonts w:ascii="Arial" w:eastAsia="Times New Roman" w:hAnsi="Arial" w:cs="Arial"/>
          <w:i/>
          <w:color w:val="000000"/>
          <w:lang w:eastAsia="ja-JP"/>
        </w:rPr>
        <w:t>mute</w:t>
      </w:r>
      <w:r w:rsidRPr="00D431D5">
        <w:rPr>
          <w:rFonts w:ascii="Arial" w:eastAsia="Times New Roman" w:hAnsi="Arial" w:cs="Arial"/>
          <w:color w:val="000000"/>
          <w:lang w:eastAsia="ja-JP"/>
        </w:rPr>
        <w:t>-like</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phenotype </w:t>
      </w:r>
      <w:r w:rsidRPr="00D431D5">
        <w:rPr>
          <w:rFonts w:ascii="Arial" w:eastAsia="Times New Roman" w:hAnsi="Arial" w:cs="Arial"/>
          <w:color w:val="000000"/>
          <w:lang w:eastAsia="ja-JP"/>
        </w:rPr>
        <w:fldChar w:fldCharType="begin">
          <w:fldData xml:space="preserve">PEVuZE5vdGU+PENpdGU+PEF1dGhvcj5QaWxsaXR0ZXJpPC9BdXRob3I+PFllYXI+MjAwODwvWWVh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=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PEVuZE5vdGU+PENpdGU+PEF1dGhvcj5QaWxsaXR0ZXJpPC9BdXRob3I+PFllYXI+MjAwODwvWWVh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=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(Pillitteri et al., 2008; Pillitteri et al., 2007)</w:t>
      </w:r>
      <w:r w:rsidRPr="00D431D5">
        <w:rPr>
          <w:rFonts w:ascii="Arial" w:eastAsia="Times New Roman" w:hAnsi="Arial" w:cs="Arial"/>
          <w:color w:val="000000"/>
          <w:lang w:eastAsia="ja-JP"/>
        </w:rPr>
        <w:fldChar w:fldCharType="end"/>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is difficult to absolutely conclude, as cell conformations observed on nascent sporophytes were very variable in the absence of stomata. When instances of perceived asymmetric divisions did arise prior to GMC formation this could have arisen due to chance placement of epidermal cells as capsule expansion proceeded (</w:t>
      </w:r>
      <w:r w:rsidRPr="00D431D5">
        <w:rPr>
          <w:rFonts w:ascii="Arial" w:eastAsia="Times New Roman" w:hAnsi="Arial" w:cs="Arial"/>
          <w:b/>
          <w:color w:val="000000"/>
          <w:lang w:eastAsia="ja-JP"/>
        </w:rPr>
        <w:t>Fig. 11j</w:t>
      </w:r>
      <w:r w:rsidRPr="00D431D5">
        <w:rPr>
          <w:rFonts w:ascii="Arial" w:eastAsia="Times New Roman" w:hAnsi="Arial" w:cs="Arial"/>
          <w:color w:val="000000"/>
          <w:lang w:eastAsia="ja-JP"/>
        </w:rPr>
        <w:t xml:space="preserve">). Ultimately, whether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Arabidopsis </w:t>
      </w:r>
      <w:r w:rsidRPr="00D431D5">
        <w:rPr>
          <w:rFonts w:ascii="Arial" w:eastAsia="Times New Roman" w:hAnsi="Arial" w:cs="Arial"/>
          <w:i/>
          <w:color w:val="000000"/>
          <w:lang w:eastAsia="ja-JP"/>
        </w:rPr>
        <w:t>mute-</w:t>
      </w:r>
      <w:r w:rsidRPr="00D431D5">
        <w:rPr>
          <w:rFonts w:ascii="Arial" w:eastAsia="Times New Roman" w:hAnsi="Arial" w:cs="Arial"/>
          <w:color w:val="000000"/>
          <w:lang w:eastAsia="ja-JP"/>
        </w:rPr>
        <w:t xml:space="preserve">like phenotype was anecdotal or whether polarity and asymmetric divisions are occurring very early on in the moss stomatal lineage requires further study. It is my view that these are probably due to the stochastic nature of epidermal placement in the absence of stomata especially when it is considered that key genes required for asymmetric divisions in the stomatal lineage such as </w:t>
      </w:r>
      <w:r w:rsidRPr="00D431D5">
        <w:rPr>
          <w:rFonts w:ascii="Arial" w:eastAsia="Times New Roman" w:hAnsi="Arial" w:cs="Arial"/>
          <w:i/>
          <w:color w:val="000000"/>
          <w:lang w:eastAsia="ja-JP"/>
        </w:rPr>
        <w:t>BASL</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 xml:space="preserve">POLAR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POLAR-LIKE1 </w:t>
      </w:r>
      <w:r w:rsidRPr="00D431D5">
        <w:rPr>
          <w:rFonts w:ascii="Arial" w:eastAsia="Times New Roman" w:hAnsi="Arial" w:cs="Arial"/>
          <w:color w:val="000000"/>
          <w:lang w:eastAsia="ja-JP"/>
        </w:rPr>
        <w:t xml:space="preserve">in Arabidopsis are not present in the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genome (see table 1 in chapter 1). </w:t>
      </w:r>
    </w:p>
    <w:p w14:paraId="31A69C87"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Whether PpSMF1</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may also function to regulate early to late GMC transition and then subsequently the incomplete symmetric division and identity change from late GMCs to an incompletely divided guard cell (similar to FAMA functioning in Arabidopsis) is difficult to conclude. This is because definitive GMC identities and subsequent stomatal lineage cell types akin to aborted guard cells were not clearly detectable in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mutants (</w:t>
      </w:r>
      <w:r w:rsidRPr="00D431D5">
        <w:rPr>
          <w:rFonts w:ascii="Arial" w:eastAsia="Times New Roman" w:hAnsi="Arial" w:cs="Arial"/>
          <w:b/>
          <w:color w:val="000000"/>
          <w:lang w:eastAsia="ja-JP"/>
        </w:rPr>
        <w:t xml:space="preserve">Fig. 11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Fig. 15</w:t>
      </w:r>
      <w:r w:rsidRPr="00D431D5">
        <w:rPr>
          <w:rFonts w:ascii="Arial" w:eastAsia="Times New Roman" w:hAnsi="Arial" w:cs="Arial"/>
          <w:color w:val="000000"/>
          <w:lang w:eastAsia="ja-JP"/>
        </w:rPr>
        <w:t xml:space="preserve">). However, on occasion cell conformations arose in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capsules which had a central cell which was surrounded by a ring of cells in a manner which occurs in wild-type capsule with stomata and surrounding cells, whether these cells are GMC or expanded pavement cells is difficult to completely affirm (</w:t>
      </w:r>
      <w:r w:rsidRPr="00D431D5">
        <w:rPr>
          <w:rFonts w:ascii="Arial" w:eastAsia="Times New Roman" w:hAnsi="Arial" w:cs="Arial"/>
          <w:b/>
          <w:color w:val="000000"/>
          <w:lang w:eastAsia="ja-JP"/>
        </w:rPr>
        <w:t>Fig. 6h</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I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11k</w:t>
      </w:r>
      <w:r w:rsidRPr="00D431D5">
        <w:rPr>
          <w:rFonts w:ascii="Arial" w:eastAsia="Times New Roman" w:hAnsi="Arial" w:cs="Arial"/>
          <w:color w:val="000000"/>
          <w:lang w:eastAsia="ja-JP"/>
        </w:rPr>
        <w:t xml:space="preserve">). It is also not possible to say whether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functions during stomatal spacing divisions (see </w:t>
      </w:r>
      <w:r w:rsidRPr="00D431D5">
        <w:rPr>
          <w:rFonts w:ascii="Arial" w:eastAsia="Times New Roman" w:hAnsi="Arial" w:cs="Arial"/>
          <w:b/>
          <w:color w:val="000000"/>
          <w:lang w:eastAsia="ja-JP"/>
        </w:rPr>
        <w:t>Fig. 4</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18</w:t>
      </w:r>
      <w:r w:rsidRPr="00D431D5">
        <w:rPr>
          <w:rFonts w:ascii="Arial" w:eastAsia="Times New Roman" w:hAnsi="Arial" w:cs="Arial"/>
          <w:color w:val="000000"/>
          <w:lang w:eastAsia="ja-JP"/>
        </w:rPr>
        <w:t>), again this is because no initial early GMCs formed that could subsequently undergo spacing divisions (</w:t>
      </w:r>
      <w:r w:rsidRPr="00D431D5">
        <w:rPr>
          <w:rFonts w:ascii="Arial" w:eastAsia="Times New Roman" w:hAnsi="Arial" w:cs="Arial"/>
          <w:b/>
          <w:color w:val="000000"/>
          <w:lang w:eastAsia="ja-JP"/>
        </w:rPr>
        <w:t>Fig. 18</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 xml:space="preserve">see also </w:t>
      </w:r>
      <w:r w:rsidRPr="00D431D5">
        <w:rPr>
          <w:rFonts w:ascii="Arial" w:eastAsia="Times New Roman" w:hAnsi="Arial" w:cs="Arial"/>
          <w:b/>
          <w:color w:val="000000"/>
          <w:lang w:eastAsia="ja-JP"/>
        </w:rPr>
        <w:t>Fig. 3</w:t>
      </w:r>
      <w:r w:rsidRPr="00D431D5">
        <w:rPr>
          <w:rFonts w:ascii="Arial" w:eastAsia="Times New Roman" w:hAnsi="Arial" w:cs="Arial"/>
          <w:color w:val="000000"/>
          <w:lang w:eastAsia="ja-JP"/>
        </w:rPr>
        <w:t xml:space="preserve">).  </w:t>
      </w:r>
    </w:p>
    <w:p w14:paraId="5FCFB471" w14:textId="0331FD1A" w:rsid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Whilst PpSMF1 was integral for stomatal development, PpSMF2 did not appear to have any observable role during this process as a normal number of stomata formed and there did not appear to be an excess number of arrested stomatal lineage cell types (</w:t>
      </w:r>
      <w:r w:rsidRPr="00D431D5">
        <w:rPr>
          <w:rFonts w:ascii="Arial" w:eastAsia="Times New Roman" w:hAnsi="Arial" w:cs="Arial"/>
          <w:b/>
          <w:color w:val="000000"/>
          <w:lang w:eastAsia="ja-JP"/>
        </w:rPr>
        <w:t>Fig. 12</w:t>
      </w:r>
      <w:r w:rsidRPr="00D431D5">
        <w:rPr>
          <w:rFonts w:ascii="Arial" w:eastAsia="Times New Roman" w:hAnsi="Arial" w:cs="Arial"/>
          <w:color w:val="000000"/>
          <w:lang w:eastAsia="ja-JP"/>
        </w:rPr>
        <w:t xml:space="preserve">). If PpSMF1 and PpSMF2 where working sequentially and not redundantly,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 xml:space="preserve">mutant lines would have either displayed aborted GMCs or stacked individual guard cells akin to </w:t>
      </w:r>
      <w:r w:rsidRPr="00D431D5">
        <w:rPr>
          <w:rFonts w:ascii="Arial" w:eastAsia="Times New Roman" w:hAnsi="Arial" w:cs="Arial"/>
          <w:i/>
          <w:color w:val="000000"/>
          <w:lang w:eastAsia="ja-JP"/>
        </w:rPr>
        <w:t>atfama</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&lt;EndNote&gt;&lt;Cite&gt;&lt;Author&gt;Ohashi-Ito&lt;/Author&gt;&lt;Year&gt;2006&lt;/Year&gt;&lt;IDText&gt;Arabidopsis FAMA controls the final proliferation/differentiation switch during stomatal development&lt;/IDText&gt;&lt;DisplayText&gt;(Ohashi-Ito and Bergmann, 2006)&lt;/DisplayText&gt;&lt;record&gt;&lt;dates&gt;&lt;pub-dates&gt;&lt;date&gt;Oct&lt;/date&gt;&lt;/pub-dates&gt;&lt;year&gt;2006&lt;/year&gt;&lt;/dates&gt;&lt;keywords&gt;&lt;keyword&gt;TRANSCRIPTION FACTOR FAMILY&lt;/keyword&gt;&lt;keyword&gt;REPRESSION DOMAIN&lt;/keyword&gt;&lt;keyword&gt;CELL LINEAGE&lt;/keyword&gt;&lt;keyword&gt;MAPKK&lt;/keyword&gt;&lt;keyword&gt;KINASE&lt;/keyword&gt;&lt;keyword&gt;MYOD FAMILY&lt;/keyword&gt;&lt;keyword&gt;GENE&lt;/keyword&gt;&lt;keyword&gt;PROTEINS&lt;/keyword&gt;&lt;keyword&gt;DIFFERENTIATION&lt;/keyword&gt;&lt;keyword&gt;THALIANA&lt;/keyword&gt;&lt;keyword&gt;EXPRESSION&lt;/keyword&gt;&lt;/keywords&gt;&lt;urls&gt;&lt;related-urls&gt;&lt;url&gt;&amp;lt;Go to ISI&amp;gt;://WOS:000241818300008&lt;/url&gt;&lt;/related-urls&gt;&lt;/urls&gt;&lt;isbn&gt;1040-4651&lt;/isbn&gt;&lt;work-type&gt;Article&lt;/work-type&gt;&lt;titles&gt;&lt;title&gt;Arabidopsis FAMA controls the final proliferation/differentiation switch during stomatal development&lt;/title&gt;&lt;secondary-title&gt;Plant Cell&lt;/secondary-title&gt;&lt;alt-title&gt;Plant Cell&lt;/alt-title&gt;&lt;/titles&gt;&lt;pages&gt;2493-2505&lt;/pages&gt;&lt;number&gt;10&lt;/number&gt;&lt;contributors&gt;&lt;authors&gt;&lt;author&gt;Ohashi-Ito, K.&lt;/author&gt;&lt;author&gt;Bergmann, D. C.&lt;/author&gt;&lt;/authors&gt;&lt;/contributors&gt;&lt;language&gt;English&lt;/language&gt;&lt;added-date format="utc"&gt;1354198528&lt;/added-date&gt;&lt;ref-type name="Journal Article"&gt;17&lt;/ref-type&gt;&lt;auth-address&gt;Stanford Univ, Dept Biol Sci, Stanford, CA 94305 USA.&amp;#xD;Bergmann, DC (reprint author), Stanford Univ, Dept Biol Sci, Stanford, CA 94305 USA.&amp;#xD;dbergmann@stanford.edu&lt;/auth-address&gt;&lt;rec-number&gt;64&lt;/rec-number&gt;&lt;last-updated-date format="utc"&gt;1354198528&lt;/last-updated-date&gt;&lt;accession-num&gt;WOS:000241818300008&lt;/accession-num&gt;&lt;electronic-resource-num&gt;10.1105/tpc.106.046136&lt;/electronic-resource-num&gt;&lt;volume&gt;18&lt;/volume&gt;&lt;/record&gt;&lt;/Cite&gt;&lt;/EndNote&gt;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(Ohashi-Ito and Bergmann, 2006)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but this was not the case. It cannot be ruled out that functional redundancy exists between PpSMF1</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and PpSMF2 during the latter stages of the </w:t>
      </w:r>
      <w:r w:rsidRPr="00D431D5">
        <w:rPr>
          <w:rFonts w:ascii="Arial" w:eastAsia="Times New Roman" w:hAnsi="Arial" w:cs="Arial"/>
          <w:color w:val="000000"/>
          <w:lang w:eastAsia="ja-JP"/>
        </w:rPr>
        <w:lastRenderedPageBreak/>
        <w:t>stomatal development but this seems unlikely. The lack of apparent functioning of PpSMF2</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is perhaps unsurprising given the low level of expression relative to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in the developing sporophyte (</w:t>
      </w:r>
      <w:r w:rsidRPr="00D431D5">
        <w:rPr>
          <w:rFonts w:ascii="Arial" w:eastAsia="Times New Roman" w:hAnsi="Arial" w:cs="Arial"/>
          <w:b/>
          <w:color w:val="000000"/>
          <w:lang w:eastAsia="ja-JP"/>
        </w:rPr>
        <w:t>Fig. 19</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fldData xml:space="preserve">PEVuZE5vdGU+PENpdGU+PEF1dGhvcj5XaW50ZXI8L0F1dGhvcj48WWVhcj4yMDA3PC9ZZWFyPjxJ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PEVuZE5vdGU+PENpdGU+PEF1dGhvcj5XaW50ZXI8L0F1dGhvcj48WWVhcj4yMDA3PC9ZZWFyPjxJ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(Ortiz-Ramírez et al., 2015; Winter et al., 2007)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As mentioned previously, the presence of two </w:t>
      </w:r>
      <w:r w:rsidRPr="00D431D5">
        <w:rPr>
          <w:rFonts w:ascii="Arial" w:eastAsia="Times New Roman" w:hAnsi="Arial" w:cs="Arial"/>
          <w:i/>
          <w:color w:val="000000"/>
          <w:lang w:eastAsia="ja-JP"/>
        </w:rPr>
        <w:t xml:space="preserve">PpSMF </w:t>
      </w:r>
      <w:r w:rsidRPr="00D431D5">
        <w:rPr>
          <w:rFonts w:ascii="Arial" w:eastAsia="Times New Roman" w:hAnsi="Arial" w:cs="Arial"/>
          <w:color w:val="000000"/>
          <w:lang w:eastAsia="ja-JP"/>
        </w:rPr>
        <w:t xml:space="preserve">genes could be due to a relatively recent genome duplication in an ancestor of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approximately 30 to 60 million years ago </w:t>
      </w:r>
      <w:r w:rsidRPr="00D431D5">
        <w:rPr>
          <w:rFonts w:ascii="Arial" w:eastAsia="Times New Roman" w:hAnsi="Arial" w:cs="Arial"/>
          <w:color w:val="000000"/>
          <w:lang w:eastAsia="ja-JP"/>
        </w:rPr>
        <w:fldChar w:fldCharType="begin">
          <w:fldData xml:space="preserve">PEVuZE5vdGU+PENpdGU+PEF1dGhvcj5SZW5zaW5nPC9BdXRob3I+PFllYXI+MjAwNzwvWWVhcj48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==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PEVuZE5vdGU+PENpdGU+PEF1dGhvcj5SZW5zaW5nPC9BdXRob3I+PFllYXI+MjAwNzwvWWVhcj48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==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(Rensing et al., 2007)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Why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 xml:space="preserve">still shares such a high degree of similarity with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if it does not function during stomatal development is an interesting question that awaits further study.</w:t>
      </w:r>
    </w:p>
    <w:p w14:paraId="2FC7781B" w14:textId="77777777" w:rsidR="008653D0" w:rsidRPr="00D431D5" w:rsidRDefault="008653D0" w:rsidP="00D431D5">
      <w:pPr>
        <w:tabs>
          <w:tab w:val="left" w:pos="6663"/>
        </w:tabs>
        <w:spacing w:after="160" w:line="360" w:lineRule="auto"/>
        <w:rPr>
          <w:rFonts w:ascii="Arial" w:eastAsia="Times New Roman" w:hAnsi="Arial" w:cs="Arial"/>
          <w:color w:val="000000"/>
          <w:lang w:eastAsia="ja-JP"/>
        </w:rPr>
      </w:pPr>
    </w:p>
    <w:p w14:paraId="3E4A453E"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noProof/>
          <w:color w:val="000000"/>
          <w:lang w:eastAsia="ja-JP"/>
        </w:rPr>
        <w:lastRenderedPageBreak/>
        <mc:AlternateContent>
          <mc:Choice Requires="wpg">
            <w:drawing>
              <wp:anchor distT="0" distB="0" distL="114300" distR="114300" simplePos="0" relativeHeight="251666432" behindDoc="0" locked="0" layoutInCell="1" allowOverlap="1" wp14:anchorId="03839621" wp14:editId="6A231407">
                <wp:simplePos x="0" y="0"/>
                <wp:positionH relativeFrom="column">
                  <wp:posOffset>994</wp:posOffset>
                </wp:positionH>
                <wp:positionV relativeFrom="paragraph">
                  <wp:posOffset>59635</wp:posOffset>
                </wp:positionV>
                <wp:extent cx="1093139" cy="3737113"/>
                <wp:effectExtent l="0" t="0" r="0" b="0"/>
                <wp:wrapNone/>
                <wp:docPr id="234" name="Group 234"/>
                <wp:cNvGraphicFramePr/>
                <a:graphic xmlns:a="http://schemas.openxmlformats.org/drawingml/2006/main">
                  <a:graphicData uri="http://schemas.microsoft.com/office/word/2010/wordprocessingGroup">
                    <wpg:wgp>
                      <wpg:cNvGrpSpPr/>
                      <wpg:grpSpPr>
                        <a:xfrm>
                          <a:off x="0" y="0"/>
                          <a:ext cx="1093139" cy="3737113"/>
                          <a:chOff x="0" y="0"/>
                          <a:chExt cx="1093139" cy="3737113"/>
                        </a:xfrm>
                      </wpg:grpSpPr>
                      <wps:wsp>
                        <wps:cNvPr id="232" name="Text Box 2"/>
                        <wps:cNvSpPr txBox="1">
                          <a:spLocks noChangeArrowheads="1"/>
                        </wps:cNvSpPr>
                        <wps:spPr bwMode="auto">
                          <a:xfrm>
                            <a:off x="0" y="3448878"/>
                            <a:ext cx="1073261" cy="288235"/>
                          </a:xfrm>
                          <a:prstGeom prst="rect">
                            <a:avLst/>
                          </a:prstGeom>
                          <a:solidFill>
                            <a:srgbClr val="FFFFFF"/>
                          </a:solidFill>
                          <a:ln w="9525">
                            <a:noFill/>
                            <a:miter lim="800000"/>
                            <a:headEnd/>
                            <a:tailEnd/>
                          </a:ln>
                        </wps:spPr>
                        <wps:txbx>
                          <w:txbxContent>
                            <w:p w14:paraId="22EF991A" w14:textId="77777777" w:rsidR="003104C5" w:rsidRPr="00F77D43" w:rsidRDefault="003104C5" w:rsidP="00D431D5">
                              <w:pPr>
                                <w:rPr>
                                  <w:i/>
                                  <w:sz w:val="28"/>
                                </w:rPr>
                              </w:pPr>
                              <w:r w:rsidRPr="00F77D43">
                                <w:rPr>
                                  <w:b/>
                                  <w:sz w:val="28"/>
                                </w:rPr>
                                <w:t>b</w:t>
                              </w:r>
                              <w:r>
                                <w:rPr>
                                  <w:sz w:val="28"/>
                                </w:rPr>
                                <w:t>)</w:t>
                              </w:r>
                              <w:r>
                                <w:rPr>
                                  <w:i/>
                                  <w:sz w:val="28"/>
                                </w:rPr>
                                <w:t xml:space="preserve"> </w:t>
                              </w:r>
                              <w:r w:rsidRPr="00F77D43">
                                <w:rPr>
                                  <w:i/>
                                  <w:sz w:val="28"/>
                                </w:rPr>
                                <w:t>Pp</w:t>
                              </w:r>
                              <w:r>
                                <w:rPr>
                                  <w:i/>
                                  <w:sz w:val="28"/>
                                </w:rPr>
                                <w:t>SMF2</w:t>
                              </w:r>
                            </w:p>
                          </w:txbxContent>
                        </wps:txbx>
                        <wps:bodyPr rot="0" vert="horz" wrap="square" lIns="0" tIns="0" rIns="0" bIns="0" anchor="t" anchorCtr="0">
                          <a:noAutofit/>
                        </wps:bodyPr>
                      </wps:wsp>
                      <wps:wsp>
                        <wps:cNvPr id="233" name="Text Box 2"/>
                        <wps:cNvSpPr txBox="1">
                          <a:spLocks noChangeArrowheads="1"/>
                        </wps:cNvSpPr>
                        <wps:spPr bwMode="auto">
                          <a:xfrm>
                            <a:off x="19878" y="0"/>
                            <a:ext cx="1073261" cy="288235"/>
                          </a:xfrm>
                          <a:prstGeom prst="rect">
                            <a:avLst/>
                          </a:prstGeom>
                          <a:solidFill>
                            <a:srgbClr val="FFFFFF"/>
                          </a:solidFill>
                          <a:ln w="9525">
                            <a:noFill/>
                            <a:miter lim="800000"/>
                            <a:headEnd/>
                            <a:tailEnd/>
                          </a:ln>
                        </wps:spPr>
                        <wps:txbx>
                          <w:txbxContent>
                            <w:p w14:paraId="5CD13AE2" w14:textId="77777777" w:rsidR="003104C5" w:rsidRPr="00F77D43" w:rsidRDefault="003104C5" w:rsidP="00D431D5">
                              <w:pPr>
                                <w:rPr>
                                  <w:i/>
                                  <w:sz w:val="28"/>
                                </w:rPr>
                              </w:pPr>
                              <w:r>
                                <w:rPr>
                                  <w:b/>
                                  <w:sz w:val="28"/>
                                </w:rPr>
                                <w:t>a</w:t>
                              </w:r>
                              <w:r>
                                <w:rPr>
                                  <w:sz w:val="28"/>
                                </w:rPr>
                                <w:t>)</w:t>
                              </w:r>
                              <w:r>
                                <w:rPr>
                                  <w:i/>
                                  <w:sz w:val="28"/>
                                </w:rPr>
                                <w:t xml:space="preserve"> </w:t>
                              </w:r>
                              <w:r w:rsidRPr="00F77D43">
                                <w:rPr>
                                  <w:i/>
                                  <w:sz w:val="28"/>
                                </w:rPr>
                                <w:t>Pp</w:t>
                              </w:r>
                              <w:r>
                                <w:rPr>
                                  <w:i/>
                                  <w:sz w:val="28"/>
                                </w:rPr>
                                <w:t>SMF1</w:t>
                              </w:r>
                            </w:p>
                          </w:txbxContent>
                        </wps:txbx>
                        <wps:bodyPr rot="0" vert="horz" wrap="square" lIns="0" tIns="0" rIns="0" bIns="0" anchor="t" anchorCtr="0">
                          <a:noAutofit/>
                        </wps:bodyPr>
                      </wps:wsp>
                    </wpg:wgp>
                  </a:graphicData>
                </a:graphic>
              </wp:anchor>
            </w:drawing>
          </mc:Choice>
          <mc:Fallback>
            <w:pict>
              <v:group w14:anchorId="03839621" id="Group 234" o:spid="_x0000_s1031" style="position:absolute;margin-left:.1pt;margin-top:4.7pt;width:86.05pt;height:294.25pt;z-index:251666432" coordsize="10931,37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">
                <v:shape id="_x0000_s1032" type="#_x0000_t202" style="position:absolute;top:34488;width:10732;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" stroked="f">
                  <v:textbox inset="0,0,0,0">
                    <w:txbxContent>
                      <w:p w14:paraId="22EF991A" w14:textId="77777777" w:rsidR="003104C5" w:rsidRPr="00F77D43" w:rsidRDefault="003104C5" w:rsidP="00D431D5">
                        <w:pPr>
                          <w:rPr>
                            <w:i/>
                            <w:sz w:val="28"/>
                          </w:rPr>
                        </w:pPr>
                        <w:r w:rsidRPr="00F77D43">
                          <w:rPr>
                            <w:b/>
                            <w:sz w:val="28"/>
                          </w:rPr>
                          <w:t>b</w:t>
                        </w:r>
                        <w:r>
                          <w:rPr>
                            <w:sz w:val="28"/>
                          </w:rPr>
                          <w:t>)</w:t>
                        </w:r>
                        <w:r>
                          <w:rPr>
                            <w:i/>
                            <w:sz w:val="28"/>
                          </w:rPr>
                          <w:t xml:space="preserve"> </w:t>
                        </w:r>
                        <w:r w:rsidRPr="00F77D43">
                          <w:rPr>
                            <w:i/>
                            <w:sz w:val="28"/>
                          </w:rPr>
                          <w:t>Pp</w:t>
                        </w:r>
                        <w:r>
                          <w:rPr>
                            <w:i/>
                            <w:sz w:val="28"/>
                          </w:rPr>
                          <w:t>SMF2</w:t>
                        </w:r>
                      </w:p>
                    </w:txbxContent>
                  </v:textbox>
                </v:shape>
                <v:shape id="_x0000_s1033" type="#_x0000_t202" style="position:absolute;left:198;width:10733;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" stroked="f">
                  <v:textbox inset="0,0,0,0">
                    <w:txbxContent>
                      <w:p w14:paraId="5CD13AE2" w14:textId="77777777" w:rsidR="003104C5" w:rsidRPr="00F77D43" w:rsidRDefault="003104C5" w:rsidP="00D431D5">
                        <w:pPr>
                          <w:rPr>
                            <w:i/>
                            <w:sz w:val="28"/>
                          </w:rPr>
                        </w:pPr>
                        <w:r>
                          <w:rPr>
                            <w:b/>
                            <w:sz w:val="28"/>
                          </w:rPr>
                          <w:t>a</w:t>
                        </w:r>
                        <w:r>
                          <w:rPr>
                            <w:sz w:val="28"/>
                          </w:rPr>
                          <w:t>)</w:t>
                        </w:r>
                        <w:r>
                          <w:rPr>
                            <w:i/>
                            <w:sz w:val="28"/>
                          </w:rPr>
                          <w:t xml:space="preserve"> </w:t>
                        </w:r>
                        <w:r w:rsidRPr="00F77D43">
                          <w:rPr>
                            <w:i/>
                            <w:sz w:val="28"/>
                          </w:rPr>
                          <w:t>Pp</w:t>
                        </w:r>
                        <w:r>
                          <w:rPr>
                            <w:i/>
                            <w:sz w:val="28"/>
                          </w:rPr>
                          <w:t>SMF1</w:t>
                        </w:r>
                      </w:p>
                    </w:txbxContent>
                  </v:textbox>
                </v:shape>
              </v:group>
            </w:pict>
          </mc:Fallback>
        </mc:AlternateContent>
      </w:r>
      <w:r w:rsidRPr="00D431D5">
        <w:rPr>
          <w:rFonts w:ascii="Arial" w:eastAsia="Times New Roman" w:hAnsi="Arial" w:cs="Arial"/>
          <w:noProof/>
          <w:color w:val="000000"/>
          <w:lang w:eastAsia="ja-JP"/>
        </w:rPr>
        <w:drawing>
          <wp:inline distT="0" distB="0" distL="0" distR="0" wp14:anchorId="5EC4388B" wp14:editId="28BA0AD5">
            <wp:extent cx="5205730" cy="67151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15.png"/>
                    <pic:cNvPicPr/>
                  </pic:nvPicPr>
                  <pic:blipFill>
                    <a:blip r:embed="rId38">
                      <a:extLst>
                        <a:ext uri="{28A0092B-C50C-407E-A947-70E740481C1C}">
                          <a14:useLocalDpi xmlns:a14="http://schemas.microsoft.com/office/drawing/2010/main" val="0"/>
                        </a:ext>
                      </a:extLst>
                    </a:blip>
                    <a:stretch>
                      <a:fillRect/>
                    </a:stretch>
                  </pic:blipFill>
                  <pic:spPr>
                    <a:xfrm>
                      <a:off x="0" y="0"/>
                      <a:ext cx="5205730" cy="6715125"/>
                    </a:xfrm>
                    <a:prstGeom prst="rect">
                      <a:avLst/>
                    </a:prstGeom>
                  </pic:spPr>
                </pic:pic>
              </a:graphicData>
            </a:graphic>
          </wp:inline>
        </w:drawing>
      </w:r>
    </w:p>
    <w:p w14:paraId="424F2E78" w14:textId="77777777" w:rsidR="00D431D5" w:rsidRPr="00D431D5" w:rsidRDefault="00D431D5" w:rsidP="00D431D5">
      <w:pPr>
        <w:tabs>
          <w:tab w:val="left" w:pos="6663"/>
        </w:tabs>
        <w:spacing w:after="160" w:line="360" w:lineRule="auto"/>
        <w:rPr>
          <w:rFonts w:ascii="Arial" w:eastAsia="Times New Roman" w:hAnsi="Arial" w:cs="Arial"/>
          <w:i/>
          <w:color w:val="000000"/>
          <w:lang w:eastAsia="ja-JP"/>
        </w:rPr>
      </w:pPr>
      <w:r w:rsidRPr="00D431D5">
        <w:rPr>
          <w:rFonts w:ascii="Arial" w:eastAsia="Times New Roman" w:hAnsi="Arial" w:cs="Arial"/>
          <w:b/>
          <w:color w:val="000000"/>
          <w:lang w:eastAsia="ja-JP"/>
        </w:rPr>
        <w:t>Figure 19.</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Expression profiles in different life cycle stages of </w:t>
      </w:r>
      <w:r w:rsidRPr="00D431D5">
        <w:rPr>
          <w:rFonts w:ascii="Arial" w:eastAsia="Times New Roman" w:hAnsi="Arial" w:cs="Arial"/>
          <w:b/>
          <w:i/>
          <w:color w:val="000000"/>
          <w:lang w:eastAsia="ja-JP"/>
        </w:rPr>
        <w:t>PpSMF1</w:t>
      </w:r>
      <w:r w:rsidRPr="00D431D5">
        <w:rPr>
          <w:rFonts w:ascii="Arial" w:eastAsia="Times New Roman" w:hAnsi="Arial" w:cs="Arial"/>
          <w:b/>
          <w:color w:val="000000"/>
          <w:lang w:eastAsia="ja-JP"/>
        </w:rPr>
        <w:t xml:space="preserve"> and </w:t>
      </w:r>
      <w:r w:rsidRPr="00D431D5">
        <w:rPr>
          <w:rFonts w:ascii="Arial" w:eastAsia="Times New Roman" w:hAnsi="Arial" w:cs="Arial"/>
          <w:b/>
          <w:i/>
          <w:color w:val="000000"/>
          <w:lang w:eastAsia="ja-JP"/>
        </w:rPr>
        <w:t>PpSMF2</w:t>
      </w:r>
      <w:r w:rsidRPr="00D431D5">
        <w:rPr>
          <w:rFonts w:ascii="Arial" w:eastAsia="Times New Roman" w:hAnsi="Arial" w:cs="Arial"/>
          <w:b/>
          <w:color w:val="000000"/>
          <w:lang w:eastAsia="ja-JP"/>
        </w:rPr>
        <w:t xml:space="preserve"> adapted from </w:t>
      </w:r>
      <w:r w:rsidRPr="00D431D5">
        <w:rPr>
          <w:rFonts w:ascii="Arial" w:eastAsia="Times New Roman" w:hAnsi="Arial" w:cs="Arial"/>
          <w:b/>
          <w:i/>
          <w:color w:val="000000"/>
          <w:lang w:eastAsia="ja-JP"/>
        </w:rPr>
        <w:t>Physcomitrella</w:t>
      </w:r>
      <w:r w:rsidRPr="00D431D5">
        <w:rPr>
          <w:rFonts w:ascii="Arial" w:eastAsia="Times New Roman" w:hAnsi="Arial" w:cs="Arial"/>
          <w:b/>
          <w:color w:val="000000"/>
          <w:lang w:eastAsia="ja-JP"/>
        </w:rPr>
        <w:t xml:space="preserve"> </w:t>
      </w:r>
      <w:r w:rsidRPr="00D431D5">
        <w:rPr>
          <w:rFonts w:ascii="Arial" w:eastAsia="Times New Roman" w:hAnsi="Arial" w:cs="Arial"/>
          <w:b/>
          <w:i/>
          <w:color w:val="000000"/>
          <w:lang w:eastAsia="ja-JP"/>
        </w:rPr>
        <w:t xml:space="preserve">patens </w:t>
      </w:r>
      <w:r w:rsidRPr="00D431D5">
        <w:rPr>
          <w:rFonts w:ascii="Arial" w:eastAsia="Times New Roman" w:hAnsi="Arial" w:cs="Arial"/>
          <w:b/>
          <w:color w:val="000000"/>
          <w:lang w:eastAsia="ja-JP"/>
        </w:rPr>
        <w:t xml:space="preserve">eFP browser at bar.utoronto.ca </w:t>
      </w:r>
      <w:r w:rsidRPr="00D431D5">
        <w:rPr>
          <w:rFonts w:ascii="Arial" w:eastAsia="Times New Roman" w:hAnsi="Arial" w:cs="Arial"/>
          <w:b/>
          <w:color w:val="000000"/>
          <w:lang w:eastAsia="ja-JP"/>
        </w:rPr>
        <w:fldChar w:fldCharType="begin">
          <w:fldData xml:space="preserve">PEVuZE5vdGU+PENpdGU+PEF1dGhvcj5XaW50ZXI8L0F1dGhvcj48WWVhcj4yMDA3PC9ZZWFyPjxJ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</w:fldData>
        </w:fldChar>
      </w:r>
      <w:r w:rsidRPr="00D431D5">
        <w:rPr>
          <w:rFonts w:ascii="Arial" w:eastAsia="Times New Roman" w:hAnsi="Arial" w:cs="Arial"/>
          <w:b/>
          <w:color w:val="000000"/>
          <w:lang w:eastAsia="ja-JP"/>
        </w:rPr>
        <w:instrText xml:space="preserve"> ADDIN EN.CITE </w:instrText>
      </w:r>
      <w:r w:rsidRPr="00D431D5">
        <w:rPr>
          <w:rFonts w:ascii="Arial" w:eastAsia="Times New Roman" w:hAnsi="Arial" w:cs="Arial"/>
          <w:b/>
          <w:color w:val="000000"/>
          <w:lang w:eastAsia="ja-JP"/>
        </w:rPr>
        <w:fldChar w:fldCharType="begin">
          <w:fldData xml:space="preserve">PEVuZE5vdGU+PENpdGU+PEF1dGhvcj5XaW50ZXI8L0F1dGhvcj48WWVhcj4yMDA3PC9ZZWFyPjxJ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</w:fldData>
        </w:fldChar>
      </w:r>
      <w:r w:rsidRPr="00D431D5">
        <w:rPr>
          <w:rFonts w:ascii="Arial" w:eastAsia="Times New Roman" w:hAnsi="Arial" w:cs="Arial"/>
          <w:b/>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b/>
          <w:color w:val="000000"/>
          <w:lang w:eastAsia="ja-JP"/>
        </w:rPr>
      </w:r>
      <w:r w:rsidRPr="00D431D5">
        <w:rPr>
          <w:rFonts w:ascii="Arial" w:eastAsia="Times New Roman" w:hAnsi="Arial" w:cs="Arial"/>
          <w:b/>
          <w:color w:val="000000"/>
          <w:lang w:eastAsia="ja-JP"/>
        </w:rPr>
        <w:fldChar w:fldCharType="separate"/>
      </w:r>
      <w:r w:rsidRPr="00D431D5">
        <w:rPr>
          <w:rFonts w:ascii="Arial" w:eastAsia="Times New Roman" w:hAnsi="Arial" w:cs="Arial"/>
          <w:b/>
          <w:color w:val="000000"/>
          <w:lang w:eastAsia="ja-JP"/>
        </w:rPr>
        <w:t>(Ortiz-Ramírez et al., 2015; Winter et al., 2007)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The levels of expression for both schematics were set to a signal threshold of 2400 to illustrate the differences in expression profiles between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PpSMF2</w:t>
      </w:r>
      <w:r w:rsidRPr="00D431D5">
        <w:rPr>
          <w:rFonts w:ascii="Arial" w:eastAsia="Times New Roman" w:hAnsi="Arial" w:cs="Arial"/>
          <w:color w:val="000000"/>
          <w:lang w:eastAsia="ja-JP"/>
        </w:rPr>
        <w:t>. Bright red colouring represents high expression, orange represent moderate expression and bright yellow represents little to no expression.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PpSMF1</w:t>
      </w:r>
      <w:r w:rsidRPr="00D431D5">
        <w:rPr>
          <w:rFonts w:ascii="Arial" w:eastAsia="Times New Roman" w:hAnsi="Arial" w:cs="Arial"/>
          <w:color w:val="000000"/>
          <w:lang w:eastAsia="ja-JP"/>
        </w:rPr>
        <w:t xml:space="preserve"> (Pp1s71_321V6.1, Pp3c22_14220V3.2) was maximally expressed in the developing sporophyte.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PpSMF2</w:t>
      </w:r>
      <w:r w:rsidRPr="00D431D5">
        <w:rPr>
          <w:rFonts w:ascii="Arial" w:eastAsia="Times New Roman" w:hAnsi="Arial" w:cs="Arial"/>
          <w:color w:val="000000"/>
          <w:lang w:eastAsia="ja-JP"/>
        </w:rPr>
        <w:t xml:space="preserve"> (Pp1s519_13V6.1, Pp3c19_19910V3.2) which lowly expressed </w:t>
      </w:r>
      <w:r w:rsidRPr="00D431D5">
        <w:rPr>
          <w:rFonts w:ascii="Arial" w:eastAsia="Times New Roman" w:hAnsi="Arial" w:cs="Arial"/>
          <w:color w:val="000000"/>
          <w:lang w:eastAsia="ja-JP"/>
        </w:rPr>
        <w:lastRenderedPageBreak/>
        <w:t xml:space="preserve">everywhere showed maximal expression in rhizoids. Bright red colouring represents high expression, orange represent moderate expression and bright yellow represents little to no expression. The qPCR expression results presented in </w:t>
      </w:r>
      <w:r w:rsidRPr="00D431D5">
        <w:rPr>
          <w:rFonts w:ascii="Arial" w:eastAsia="Times New Roman" w:hAnsi="Arial" w:cs="Arial"/>
          <w:b/>
          <w:color w:val="000000"/>
          <w:lang w:eastAsia="ja-JP"/>
        </w:rPr>
        <w:t xml:space="preserve">Fig. 2b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 xml:space="preserve">c </w:t>
      </w:r>
      <w:r w:rsidRPr="00D431D5">
        <w:rPr>
          <w:rFonts w:ascii="Arial" w:eastAsia="Times New Roman" w:hAnsi="Arial" w:cs="Arial"/>
          <w:color w:val="000000"/>
          <w:lang w:eastAsia="ja-JP"/>
        </w:rPr>
        <w:t xml:space="preserve">show for both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that expression was upregulated in the sporophyte relative to the protonema. However, in the data obtained from the eFP browser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xml:space="preserve"> no such upregulation was found for </w:t>
      </w:r>
      <w:r w:rsidRPr="00D431D5">
        <w:rPr>
          <w:rFonts w:ascii="Arial" w:eastAsia="Times New Roman" w:hAnsi="Arial" w:cs="Arial"/>
          <w:i/>
          <w:color w:val="000000"/>
          <w:lang w:eastAsia="ja-JP"/>
        </w:rPr>
        <w:t xml:space="preserve">PpSMF2 </w:t>
      </w:r>
      <w:r w:rsidRPr="00D431D5">
        <w:rPr>
          <w:rFonts w:ascii="Arial" w:eastAsia="Times New Roman" w:hAnsi="Arial" w:cs="Arial"/>
          <w:color w:val="000000"/>
          <w:lang w:eastAsia="ja-JP"/>
        </w:rPr>
        <w:t xml:space="preserve">in the sporophyte </w:t>
      </w:r>
      <w:r w:rsidRPr="00D431D5">
        <w:rPr>
          <w:rFonts w:ascii="Arial" w:eastAsia="Times New Roman" w:hAnsi="Arial" w:cs="Arial"/>
          <w:color w:val="000000"/>
          <w:lang w:eastAsia="ja-JP"/>
        </w:rPr>
        <w:fldChar w:fldCharType="begin">
          <w:fldData xml:space="preserve">PEVuZE5vdGU+PENpdGU+PEF1dGhvcj5PcnRpei1SYW3DrXJlejwvQXV0aG9yPjxZZWFyPjIwMTU8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PEVuZE5vdGU+PENpdGU+PEF1dGhvcj5PcnRpei1SYW3DrXJlejwvQXV0aG9yPjxZZWFyPjIwMTU8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(Ortiz-Ramírez et al., 2015; Winter et al., 2007)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Such differences might represent differences in cultivation between the two experiments</w:t>
      </w:r>
      <w:r w:rsidRPr="00D431D5">
        <w:rPr>
          <w:rFonts w:ascii="Arial" w:eastAsia="Times New Roman" w:hAnsi="Arial" w:cs="Arial"/>
          <w:b/>
          <w:color w:val="000000"/>
          <w:lang w:eastAsia="ja-JP"/>
        </w:rPr>
        <w:t>.</w:t>
      </w:r>
    </w:p>
    <w:p w14:paraId="72B68E5A" w14:textId="6DED63EB"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Like PpSMF1, PpSCRM1 is also required for stomatal development to occur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as no functional stomata formed on the sporophyte capsule bases of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plants (</w:t>
      </w:r>
      <w:r w:rsidRPr="00D431D5">
        <w:rPr>
          <w:rFonts w:ascii="Arial" w:eastAsia="Times New Roman" w:hAnsi="Arial" w:cs="Arial"/>
          <w:b/>
          <w:color w:val="000000"/>
          <w:lang w:eastAsia="ja-JP"/>
        </w:rPr>
        <w:t>Fig. 13</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w:t>
      </w:r>
      <w:r w:rsidRPr="00D431D5">
        <w:rPr>
          <w:rFonts w:ascii="Arial" w:eastAsia="Times New Roman" w:hAnsi="Arial" w:cs="Arial"/>
          <w:color w:val="000000"/>
          <w:lang w:eastAsia="ja-JP"/>
        </w:rPr>
        <w:t xml:space="preserve"> Similarly, in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mutants, no early GMC formation was detected which highlights how PpSCRM1 also acts early on in stomatal development (</w:t>
      </w:r>
      <w:r w:rsidRPr="00D431D5">
        <w:rPr>
          <w:rFonts w:ascii="Arial" w:eastAsia="Times New Roman" w:hAnsi="Arial" w:cs="Arial"/>
          <w:b/>
          <w:color w:val="000000"/>
          <w:lang w:eastAsia="ja-JP"/>
        </w:rPr>
        <w:t>Fig.</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15</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 xml:space="preserve">see also </w:t>
      </w:r>
      <w:r w:rsidRPr="00D431D5">
        <w:rPr>
          <w:rFonts w:ascii="Arial" w:eastAsia="Times New Roman" w:hAnsi="Arial" w:cs="Arial"/>
          <w:b/>
          <w:color w:val="000000"/>
          <w:lang w:eastAsia="ja-JP"/>
        </w:rPr>
        <w:t>Fig. 13</w:t>
      </w:r>
      <w:r w:rsidRPr="00D431D5">
        <w:rPr>
          <w:rFonts w:ascii="Arial" w:eastAsia="Times New Roman" w:hAnsi="Arial" w:cs="Arial"/>
          <w:color w:val="000000"/>
          <w:lang w:eastAsia="ja-JP"/>
        </w:rPr>
        <w:t xml:space="preserve">). However, unlike </w:t>
      </w:r>
      <w:r w:rsidRPr="00D431D5">
        <w:rPr>
          <w:rFonts w:ascii="Arial" w:eastAsia="Times New Roman" w:hAnsi="Arial" w:cs="Arial"/>
          <w:i/>
          <w:color w:val="000000"/>
          <w:lang w:eastAsia="ja-JP"/>
        </w:rPr>
        <w:t>ppsmf1</w:t>
      </w:r>
      <w:r w:rsidRPr="00D431D5">
        <w:rPr>
          <w:rFonts w:ascii="Arial" w:eastAsia="Times New Roman" w:hAnsi="Arial" w:cs="Arial"/>
          <w:color w:val="000000"/>
          <w:lang w:eastAsia="ja-JP"/>
        </w:rPr>
        <w:t xml:space="preserve">, on occasion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plants had what appeared to be aborted stomatal lineage cells on mature capsules which were surrounded by radiating epidermal cells (</w:t>
      </w:r>
      <w:r w:rsidRPr="00D431D5">
        <w:rPr>
          <w:rFonts w:ascii="Arial" w:eastAsia="Times New Roman" w:hAnsi="Arial" w:cs="Arial"/>
          <w:b/>
          <w:color w:val="000000"/>
          <w:lang w:eastAsia="ja-JP"/>
        </w:rPr>
        <w:t>Fig. 13m</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n</w:t>
      </w:r>
      <w:r w:rsidRPr="00D431D5">
        <w:rPr>
          <w:rFonts w:ascii="Arial" w:eastAsia="Times New Roman" w:hAnsi="Arial" w:cs="Arial"/>
          <w:color w:val="000000"/>
          <w:lang w:eastAsia="ja-JP"/>
        </w:rPr>
        <w:t xml:space="preserve">). In Arabidopsis SCRMs it has been illustrated that SCRM and SCRM2 act redundantly to enable stomatal development to occur </w: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bnRpYXRpb248L0lEVGV4dD48RGlzcGxheVRleHQ+KEthbmFva2EgZXQgYWwuLCAyMDA4KTwvRGlz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bnRpYXRpb248L0lEVGV4dD48RGlzcGxheVRleHQ+KEthbmFva2EgZXQgYWwuLCAyMDA4KTwvRGlz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(Kanaoka et al., 2008)</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Whilst </w:t>
      </w:r>
      <w:r w:rsidRPr="00D431D5">
        <w:rPr>
          <w:rFonts w:ascii="Arial" w:eastAsia="Times New Roman" w:hAnsi="Arial" w:cs="Arial"/>
          <w:i/>
          <w:color w:val="000000"/>
          <w:lang w:eastAsia="ja-JP"/>
        </w:rPr>
        <w:t xml:space="preserve">atscrm2 </w:t>
      </w:r>
      <w:r w:rsidRPr="00D431D5">
        <w:rPr>
          <w:rFonts w:ascii="Arial" w:eastAsia="Times New Roman" w:hAnsi="Arial" w:cs="Arial"/>
          <w:color w:val="000000"/>
          <w:lang w:eastAsia="ja-JP"/>
        </w:rPr>
        <w:t xml:space="preserve">has no detectable stomatal phenotype, </w:t>
      </w:r>
      <w:r w:rsidRPr="00D431D5">
        <w:rPr>
          <w:rFonts w:ascii="Arial" w:eastAsia="Times New Roman" w:hAnsi="Arial" w:cs="Arial"/>
          <w:i/>
          <w:color w:val="000000"/>
          <w:lang w:eastAsia="ja-JP"/>
        </w:rPr>
        <w:t xml:space="preserve">atscrm </w:t>
      </w:r>
      <w:r w:rsidRPr="00D431D5">
        <w:rPr>
          <w:rFonts w:ascii="Arial" w:eastAsia="Times New Roman" w:hAnsi="Arial" w:cs="Arial"/>
          <w:color w:val="000000"/>
          <w:lang w:eastAsia="ja-JP"/>
        </w:rPr>
        <w:t xml:space="preserve">has been shown to produce occasional stacked guard cells akin to the </w:t>
      </w:r>
      <w:r w:rsidRPr="00D431D5">
        <w:rPr>
          <w:rFonts w:ascii="Arial" w:eastAsia="Times New Roman" w:hAnsi="Arial" w:cs="Arial"/>
          <w:i/>
          <w:color w:val="000000"/>
          <w:lang w:eastAsia="ja-JP"/>
        </w:rPr>
        <w:t xml:space="preserve">atfama </w:t>
      </w:r>
      <w:r w:rsidRPr="00D431D5">
        <w:rPr>
          <w:rFonts w:ascii="Arial" w:eastAsia="Times New Roman" w:hAnsi="Arial" w:cs="Arial"/>
          <w:color w:val="000000"/>
          <w:lang w:eastAsia="ja-JP"/>
        </w:rPr>
        <w:t xml:space="preserve">phenotype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&lt;EndNote&gt;&lt;Cite&gt;&lt;Author&gt;Ohashi-Ito&lt;/Author&gt;&lt;Year&gt;2006&lt;/Year&gt;&lt;IDText&gt;Arabidopsis FAMA controls the final proliferation/differentiation switch during stomatal development&lt;/IDText&gt;&lt;DisplayText&gt;(Ohashi-Ito and Bergmann, 2006)&lt;/DisplayText&gt;&lt;record&gt;&lt;dates&gt;&lt;pub-dates&gt;&lt;date&gt;Oct&lt;/date&gt;&lt;/pub-dates&gt;&lt;year&gt;2006&lt;/year&gt;&lt;/dates&gt;&lt;keywords&gt;&lt;keyword&gt;TRANSCRIPTION FACTOR FAMILY&lt;/keyword&gt;&lt;keyword&gt;REPRESSION DOMAIN&lt;/keyword&gt;&lt;keyword&gt;CELL LINEAGE&lt;/keyword&gt;&lt;keyword&gt;MAPKK&lt;/keyword&gt;&lt;keyword&gt;KINASE&lt;/keyword&gt;&lt;keyword&gt;MYOD FAMILY&lt;/keyword&gt;&lt;keyword&gt;GENE&lt;/keyword&gt;&lt;keyword&gt;PROTEINS&lt;/keyword&gt;&lt;keyword&gt;DIFFERENTIATION&lt;/keyword&gt;&lt;keyword&gt;THALIANA&lt;/keyword&gt;&lt;keyword&gt;EXPRESSION&lt;/keyword&gt;&lt;/keywords&gt;&lt;urls&gt;&lt;related-urls&gt;&lt;url&gt;&amp;lt;Go to ISI&amp;gt;://WOS:000241818300008&lt;/url&gt;&lt;/related-urls&gt;&lt;/urls&gt;&lt;isbn&gt;1040-4651&lt;/isbn&gt;&lt;work-type&gt;Article&lt;/work-type&gt;&lt;titles&gt;&lt;title&gt;Arabidopsis FAMA controls the final proliferation/differentiation switch during stomatal development&lt;/title&gt;&lt;secondary-title&gt;Plant Cell&lt;/secondary-title&gt;&lt;alt-title&gt;Plant Cell&lt;/alt-title&gt;&lt;/titles&gt;&lt;pages&gt;2493-2505&lt;/pages&gt;&lt;number&gt;10&lt;/number&gt;&lt;contributors&gt;&lt;authors&gt;&lt;author&gt;Ohashi-Ito, K.&lt;/author&gt;&lt;author&gt;Bergmann, D. C.&lt;/author&gt;&lt;/authors&gt;&lt;/contributors&gt;&lt;language&gt;English&lt;/language&gt;&lt;added-date format="utc"&gt;1354198528&lt;/added-date&gt;&lt;ref-type name="Journal Article"&gt;17&lt;/ref-type&gt;&lt;auth-address&gt;Stanford Univ, Dept Biol Sci, Stanford, CA 94305 USA.&amp;#xD;Bergmann, DC (reprint author), Stanford Univ, Dept Biol Sci, Stanford, CA 94305 USA.&amp;#xD;dbergmann@stanford.edu&lt;/auth-address&gt;&lt;rec-number&gt;64&lt;/rec-number&gt;&lt;last-updated-date format="utc"&gt;1354198528&lt;/last-updated-date&gt;&lt;accession-num&gt;WOS:000241818300008&lt;/accession-num&gt;&lt;electronic-resource-num&gt;10.1105/tpc.106.046136&lt;/electronic-resource-num&gt;&lt;volume&gt;18&lt;/volume&gt;&lt;/record&gt;&lt;/Cite&gt;&lt;/EndNote&gt;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(Ohashi-Ito and Bergmann, 2006)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When both </w:t>
      </w:r>
      <w:r w:rsidRPr="00D431D5">
        <w:rPr>
          <w:rFonts w:ascii="Arial" w:eastAsia="Times New Roman" w:hAnsi="Arial" w:cs="Arial"/>
          <w:i/>
          <w:color w:val="000000"/>
          <w:lang w:eastAsia="ja-JP"/>
        </w:rPr>
        <w:t>AtSCRM</w:t>
      </w:r>
      <w:r w:rsidRPr="00D431D5">
        <w:rPr>
          <w:rFonts w:ascii="Arial" w:eastAsia="Times New Roman" w:hAnsi="Arial" w:cs="Arial"/>
          <w:color w:val="000000"/>
          <w:lang w:eastAsia="ja-JP"/>
        </w:rPr>
        <w:t xml:space="preserve"> and </w:t>
      </w:r>
      <w:r w:rsidRPr="00D431D5">
        <w:rPr>
          <w:rFonts w:ascii="Arial" w:eastAsia="Times New Roman" w:hAnsi="Arial" w:cs="Arial"/>
          <w:i/>
          <w:color w:val="000000"/>
          <w:lang w:eastAsia="ja-JP"/>
        </w:rPr>
        <w:t xml:space="preserve">AtSCRM2 </w:t>
      </w:r>
      <w:r w:rsidRPr="00D431D5">
        <w:rPr>
          <w:rFonts w:ascii="Arial" w:eastAsia="Times New Roman" w:hAnsi="Arial" w:cs="Arial"/>
          <w:color w:val="000000"/>
          <w:lang w:eastAsia="ja-JP"/>
        </w:rPr>
        <w:t xml:space="preserve">are not present no stomata form </w: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bnRpYXRpb248L0lEVGV4dD48RGlzcGxheVRleHQ+KEthbmFva2EgZXQgYWwuLCAyMDA4KTwvRGlz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bnRpYXRpb248L0lEVGV4dD48RGlzcGxheVRleHQ+KEthbmFva2EgZXQgYWwuLCAyMDA4KTwvRGlz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(Kanaoka et al., 2008)</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The findings presented here</w:t>
      </w:r>
      <w:r w:rsidR="00515B07">
        <w:rPr>
          <w:rFonts w:ascii="Arial" w:eastAsia="Times New Roman" w:hAnsi="Arial" w:cs="Arial"/>
          <w:color w:val="000000"/>
          <w:lang w:eastAsia="ja-JP"/>
        </w:rPr>
        <w:t xml:space="preserve"> could</w:t>
      </w:r>
      <w:r w:rsidRPr="00D431D5">
        <w:rPr>
          <w:rFonts w:ascii="Arial" w:eastAsia="Times New Roman" w:hAnsi="Arial" w:cs="Arial"/>
          <w:color w:val="000000"/>
          <w:lang w:eastAsia="ja-JP"/>
        </w:rPr>
        <w:t xml:space="preserve"> imply that the role of two angiosperms SCRMs are being almost completely performed by a single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equivalent: PpSCRM1. </w:t>
      </w:r>
      <w:r w:rsidR="00515B07">
        <w:rPr>
          <w:rFonts w:ascii="Arial" w:eastAsia="Times New Roman" w:hAnsi="Arial" w:cs="Arial"/>
          <w:color w:val="000000"/>
          <w:lang w:eastAsia="ja-JP"/>
        </w:rPr>
        <w:t>However, it is also possible that i</w:t>
      </w:r>
      <w:r w:rsidRPr="00D431D5">
        <w:rPr>
          <w:rFonts w:ascii="Arial" w:eastAsia="Times New Roman" w:hAnsi="Arial" w:cs="Arial"/>
          <w:color w:val="000000"/>
          <w:lang w:eastAsia="ja-JP"/>
        </w:rPr>
        <w:t xml:space="preserve">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it may be that either a small amount of functional redundancy exists between </w:t>
      </w:r>
      <w:r w:rsidRPr="00D431D5">
        <w:rPr>
          <w:rFonts w:ascii="Arial" w:eastAsia="Times New Roman" w:hAnsi="Arial" w:cs="Arial"/>
          <w:i/>
          <w:color w:val="000000"/>
          <w:lang w:eastAsia="ja-JP"/>
        </w:rPr>
        <w:t>PpSCRM1</w:t>
      </w:r>
      <w:r w:rsidRPr="00D431D5">
        <w:rPr>
          <w:rFonts w:ascii="Arial" w:eastAsia="Times New Roman" w:hAnsi="Arial" w:cs="Arial"/>
          <w:color w:val="000000"/>
          <w:lang w:eastAsia="ja-JP"/>
        </w:rPr>
        <w:t xml:space="preserve"> and the other identified </w:t>
      </w:r>
      <w:r w:rsidRPr="00D431D5">
        <w:rPr>
          <w:rFonts w:ascii="Arial" w:eastAsia="Times New Roman" w:hAnsi="Arial" w:cs="Arial"/>
          <w:i/>
          <w:color w:val="000000"/>
          <w:lang w:eastAsia="ja-JP"/>
        </w:rPr>
        <w:t xml:space="preserve">PpSCRMs </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PpSCRM2-4</w:t>
      </w:r>
      <w:r w:rsidRPr="00D431D5">
        <w:rPr>
          <w:rFonts w:ascii="Arial" w:eastAsia="Times New Roman" w:hAnsi="Arial" w:cs="Arial"/>
          <w:color w:val="000000"/>
          <w:lang w:eastAsia="ja-JP"/>
        </w:rPr>
        <w:t xml:space="preserve">) or in fact different </w:t>
      </w:r>
      <w:r w:rsidRPr="00D431D5">
        <w:rPr>
          <w:rFonts w:ascii="Arial" w:eastAsia="Times New Roman" w:hAnsi="Arial" w:cs="Arial"/>
          <w:i/>
          <w:color w:val="000000"/>
          <w:lang w:eastAsia="ja-JP"/>
        </w:rPr>
        <w:t xml:space="preserve">PpSCRMs </w:t>
      </w:r>
      <w:r w:rsidRPr="00D431D5">
        <w:rPr>
          <w:rFonts w:ascii="Arial" w:eastAsia="Times New Roman" w:hAnsi="Arial" w:cs="Arial"/>
          <w:color w:val="000000"/>
          <w:lang w:eastAsia="ja-JP"/>
        </w:rPr>
        <w:t xml:space="preserve">regulate distinct stages in the stomatal lineages as all of the </w:t>
      </w:r>
      <w:r w:rsidRPr="00D431D5">
        <w:rPr>
          <w:rFonts w:ascii="Arial" w:eastAsia="Times New Roman" w:hAnsi="Arial" w:cs="Arial"/>
          <w:i/>
          <w:color w:val="000000"/>
          <w:lang w:eastAsia="ja-JP"/>
        </w:rPr>
        <w:t xml:space="preserve">PpSCRMs </w:t>
      </w:r>
      <w:r w:rsidRPr="00D431D5">
        <w:rPr>
          <w:rFonts w:ascii="Arial" w:eastAsia="Times New Roman" w:hAnsi="Arial" w:cs="Arial"/>
          <w:color w:val="000000"/>
          <w:lang w:eastAsia="ja-JP"/>
        </w:rPr>
        <w:t>are upregulated during sporophyte development (</w:t>
      </w:r>
      <w:r w:rsidRPr="00D431D5">
        <w:rPr>
          <w:rFonts w:ascii="Arial" w:eastAsia="Times New Roman" w:hAnsi="Arial" w:cs="Arial"/>
          <w:b/>
          <w:color w:val="000000"/>
          <w:lang w:eastAsia="ja-JP"/>
        </w:rPr>
        <w:t>Fig. 20</w:t>
      </w:r>
      <w:r w:rsidRPr="00D431D5">
        <w:rPr>
          <w:rFonts w:ascii="Arial" w:eastAsia="Times New Roman" w:hAnsi="Arial" w:cs="Arial"/>
          <w:color w:val="000000"/>
          <w:lang w:eastAsia="ja-JP"/>
        </w:rPr>
        <w:t xml:space="preserve">). Such distinct functioning has very recently been shown to occur in </w:t>
      </w:r>
      <w:r w:rsidRPr="00D431D5">
        <w:rPr>
          <w:rFonts w:ascii="Arial" w:eastAsia="Times New Roman" w:hAnsi="Arial" w:cs="Arial"/>
          <w:i/>
          <w:color w:val="000000"/>
          <w:lang w:eastAsia="ja-JP"/>
        </w:rPr>
        <w:t>B.</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 xml:space="preserve">distachyon </w:t>
      </w:r>
      <w:r w:rsidRPr="00D431D5">
        <w:rPr>
          <w:rFonts w:ascii="Arial" w:eastAsia="Times New Roman" w:hAnsi="Arial" w:cs="Arial"/>
          <w:color w:val="000000"/>
          <w:lang w:eastAsia="ja-JP"/>
        </w:rPr>
        <w:t xml:space="preserve">where </w:t>
      </w:r>
      <w:r w:rsidRPr="00D431D5">
        <w:rPr>
          <w:rFonts w:ascii="Arial" w:eastAsia="Times New Roman" w:hAnsi="Arial" w:cs="Arial"/>
          <w:i/>
          <w:color w:val="000000"/>
          <w:lang w:eastAsia="ja-JP"/>
        </w:rPr>
        <w:t xml:space="preserve">ICE/SCRM </w:t>
      </w:r>
      <w:r w:rsidRPr="00D431D5">
        <w:rPr>
          <w:rFonts w:ascii="Arial" w:eastAsia="Times New Roman" w:hAnsi="Arial" w:cs="Arial"/>
          <w:color w:val="000000"/>
          <w:lang w:eastAsia="ja-JP"/>
        </w:rPr>
        <w:t xml:space="preserve">functioning has indeed been partitioned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&lt;EndNote&gt;&lt;Cite&gt;&lt;Author&gt;Raissig&lt;/Author&gt;&lt;Year&gt;2016&lt;/Year&gt;&lt;IDText&gt;Grasses use an alternatively wired bHLH transcription factor network to establish stomatal identity&lt;/IDText&gt;&lt;DisplayText&gt;(Raissig et al., 2016)&lt;/DisplayText&gt;&lt;record&gt;&lt;urls&gt;&lt;related-urls&gt;&lt;url&gt;http://www.pnas.org/content/113/29/8326.abstract&lt;/url&gt;&lt;/related-urls&gt;&lt;/urls&gt;&lt;titles&gt;&lt;title&gt;Grasses use an alternatively wired bHLH transcription factor network to establish stomatal identity&lt;/title&gt;&lt;secondary-title&gt;Proceedings of the National Academy of Sciences&lt;/secondary-title&gt;&lt;/titles&gt;&lt;pages&gt;8326-8331&lt;/pages&gt;&lt;number&gt;29&lt;/number&gt;&lt;contributors&gt;&lt;authors&gt;&lt;author&gt;Raissig, Michael T.&lt;/author&gt;&lt;author&gt;Abrash, Emily&lt;/author&gt;&lt;author&gt;Bettadapur, Akhila&lt;/author&gt;&lt;author&gt;Vogel, John P.&lt;/author&gt;&lt;author&gt;Bergmann, Dominique C.&lt;/author&gt;&lt;/authors&gt;&lt;/contributors&gt;&lt;added-date format="utc"&gt;1470228710&lt;/added-date&gt;&lt;ref-type name="Journal Article"&gt;17&lt;/ref-type&gt;&lt;dates&gt;&lt;year&gt;2016&lt;/year&gt;&lt;/dates&gt;&lt;rec-number&gt;1330&lt;/rec-number&gt;&lt;last-updated-date format="utc"&gt;1470228710&lt;/last-updated-date&gt;&lt;volume&gt;113&lt;/volume&gt;&lt;/record&gt;&lt;/Cite&gt;&lt;/EndNote&gt;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(Raissig et al., 2016)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What if any other functions? the </w:t>
      </w:r>
      <w:r w:rsidRPr="00D431D5">
        <w:rPr>
          <w:rFonts w:ascii="Arial" w:eastAsia="Times New Roman" w:hAnsi="Arial" w:cs="Arial"/>
          <w:i/>
          <w:color w:val="000000"/>
          <w:lang w:eastAsia="ja-JP"/>
        </w:rPr>
        <w:t xml:space="preserve">PpSCRMs </w:t>
      </w:r>
      <w:r w:rsidRPr="00D431D5">
        <w:rPr>
          <w:rFonts w:ascii="Arial" w:eastAsia="Times New Roman" w:hAnsi="Arial" w:cs="Arial"/>
          <w:color w:val="000000"/>
          <w:lang w:eastAsia="ja-JP"/>
        </w:rPr>
        <w:t xml:space="preserve">perform besides the role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plays in stomatal development awaits further study.  </w:t>
      </w:r>
    </w:p>
    <w:p w14:paraId="60800DF3"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br w:type="page"/>
      </w:r>
    </w:p>
    <w:p w14:paraId="2BA41BD7"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noProof/>
          <w:color w:val="000000"/>
          <w:lang w:eastAsia="ja-JP"/>
        </w:rPr>
        <w:lastRenderedPageBreak/>
        <mc:AlternateContent>
          <mc:Choice Requires="wps">
            <w:drawing>
              <wp:anchor distT="45720" distB="45720" distL="114300" distR="114300" simplePos="0" relativeHeight="251667456" behindDoc="0" locked="0" layoutInCell="1" allowOverlap="1" wp14:anchorId="043E5B29" wp14:editId="673BD5D6">
                <wp:simplePos x="0" y="0"/>
                <wp:positionH relativeFrom="column">
                  <wp:posOffset>720421</wp:posOffset>
                </wp:positionH>
                <wp:positionV relativeFrom="paragraph">
                  <wp:posOffset>24931</wp:posOffset>
                </wp:positionV>
                <wp:extent cx="1073261" cy="288235"/>
                <wp:effectExtent l="0" t="0" r="0" b="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261" cy="288235"/>
                        </a:xfrm>
                        <a:prstGeom prst="rect">
                          <a:avLst/>
                        </a:prstGeom>
                        <a:solidFill>
                          <a:srgbClr val="FFFFFF"/>
                        </a:solidFill>
                        <a:ln w="9525">
                          <a:noFill/>
                          <a:miter lim="800000"/>
                          <a:headEnd/>
                          <a:tailEnd/>
                        </a:ln>
                      </wps:spPr>
                      <wps:txbx>
                        <w:txbxContent>
                          <w:p w14:paraId="61CCD208" w14:textId="77777777" w:rsidR="003104C5" w:rsidRPr="00F77D43" w:rsidRDefault="003104C5" w:rsidP="00D431D5">
                            <w:pPr>
                              <w:rPr>
                                <w:i/>
                                <w:sz w:val="28"/>
                              </w:rPr>
                            </w:pPr>
                            <w:r>
                              <w:rPr>
                                <w:b/>
                                <w:sz w:val="28"/>
                              </w:rPr>
                              <w:t>a</w:t>
                            </w:r>
                            <w:r>
                              <w:rPr>
                                <w:sz w:val="28"/>
                              </w:rPr>
                              <w:t>)</w:t>
                            </w:r>
                            <w:r>
                              <w:rPr>
                                <w:i/>
                                <w:sz w:val="28"/>
                              </w:rPr>
                              <w:t xml:space="preserve"> </w:t>
                            </w:r>
                            <w:r w:rsidRPr="00F77D43">
                              <w:rPr>
                                <w:i/>
                                <w:sz w:val="28"/>
                              </w:rPr>
                              <w:t>Pp</w:t>
                            </w:r>
                            <w:r>
                              <w:rPr>
                                <w:i/>
                                <w:sz w:val="28"/>
                              </w:rPr>
                              <w:t>SCRM1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3E5B29" id="_x0000_s1034" type="#_x0000_t202" style="position:absolute;margin-left:56.75pt;margin-top:1.95pt;width:84.5pt;height:22.7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" stroked="f">
                <v:textbox inset="0,0,0,0">
                  <w:txbxContent>
                    <w:p w14:paraId="61CCD208" w14:textId="77777777" w:rsidR="003104C5" w:rsidRPr="00F77D43" w:rsidRDefault="003104C5" w:rsidP="00D431D5">
                      <w:pPr>
                        <w:rPr>
                          <w:i/>
                          <w:sz w:val="28"/>
                        </w:rPr>
                      </w:pPr>
                      <w:r>
                        <w:rPr>
                          <w:b/>
                          <w:sz w:val="28"/>
                        </w:rPr>
                        <w:t>a</w:t>
                      </w:r>
                      <w:r>
                        <w:rPr>
                          <w:sz w:val="28"/>
                        </w:rPr>
                        <w:t>)</w:t>
                      </w:r>
                      <w:r>
                        <w:rPr>
                          <w:i/>
                          <w:sz w:val="28"/>
                        </w:rPr>
                        <w:t xml:space="preserve"> </w:t>
                      </w:r>
                      <w:r w:rsidRPr="00F77D43">
                        <w:rPr>
                          <w:i/>
                          <w:sz w:val="28"/>
                        </w:rPr>
                        <w:t>Pp</w:t>
                      </w:r>
                      <w:r>
                        <w:rPr>
                          <w:i/>
                          <w:sz w:val="28"/>
                        </w:rPr>
                        <w:t>SCRM1</w:t>
                      </w:r>
                    </w:p>
                  </w:txbxContent>
                </v:textbox>
              </v:shape>
            </w:pict>
          </mc:Fallback>
        </mc:AlternateContent>
      </w:r>
    </w:p>
    <w:p w14:paraId="51CCC48C"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noProof/>
          <w:color w:val="000000"/>
          <w:lang w:eastAsia="ja-JP"/>
        </w:rPr>
        <mc:AlternateContent>
          <mc:Choice Requires="wpg">
            <w:drawing>
              <wp:anchor distT="0" distB="0" distL="114300" distR="114300" simplePos="0" relativeHeight="251662336" behindDoc="0" locked="0" layoutInCell="1" allowOverlap="1" wp14:anchorId="7D875771" wp14:editId="4C328F0C">
                <wp:simplePos x="0" y="0"/>
                <wp:positionH relativeFrom="column">
                  <wp:posOffset>51241</wp:posOffset>
                </wp:positionH>
                <wp:positionV relativeFrom="paragraph">
                  <wp:posOffset>229944</wp:posOffset>
                </wp:positionV>
                <wp:extent cx="5207000" cy="3265170"/>
                <wp:effectExtent l="0" t="0" r="0" b="11430"/>
                <wp:wrapNone/>
                <wp:docPr id="35" name="Group 35"/>
                <wp:cNvGraphicFramePr/>
                <a:graphic xmlns:a="http://schemas.openxmlformats.org/drawingml/2006/main">
                  <a:graphicData uri="http://schemas.microsoft.com/office/word/2010/wordprocessingGroup">
                    <wpg:wgp>
                      <wpg:cNvGrpSpPr/>
                      <wpg:grpSpPr>
                        <a:xfrm>
                          <a:off x="0" y="0"/>
                          <a:ext cx="5207000" cy="3265170"/>
                          <a:chOff x="0" y="0"/>
                          <a:chExt cx="5207187" cy="3265170"/>
                        </a:xfrm>
                      </wpg:grpSpPr>
                      <wpg:grpSp>
                        <wpg:cNvPr id="339" name="Group 339"/>
                        <wpg:cNvGrpSpPr/>
                        <wpg:grpSpPr>
                          <a:xfrm>
                            <a:off x="403412" y="0"/>
                            <a:ext cx="4803775" cy="3265170"/>
                            <a:chOff x="91441" y="0"/>
                            <a:chExt cx="4804213" cy="3265170"/>
                          </a:xfrm>
                        </wpg:grpSpPr>
                        <pic:pic xmlns:pic="http://schemas.openxmlformats.org/drawingml/2006/picture">
                          <pic:nvPicPr>
                            <pic:cNvPr id="337" name="Picture 337"/>
                            <pic:cNvPicPr>
                              <a:picLocks noChangeAspect="1"/>
                            </pic:cNvPicPr>
                          </pic:nvPicPr>
                          <pic:blipFill rotWithShape="1">
                            <a:blip r:embed="rId39">
                              <a:extLst>
                                <a:ext uri="{28A0092B-C50C-407E-A947-70E740481C1C}">
                                  <a14:useLocalDpi xmlns:a14="http://schemas.microsoft.com/office/drawing/2010/main" val="0"/>
                                </a:ext>
                              </a:extLst>
                            </a:blip>
                            <a:srcRect l="28941" t="10841" r="22553" b="18812"/>
                            <a:stretch/>
                          </pic:blipFill>
                          <pic:spPr bwMode="auto">
                            <a:xfrm>
                              <a:off x="936255" y="67602"/>
                              <a:ext cx="3846195" cy="3135973"/>
                            </a:xfrm>
                            <a:prstGeom prst="rect">
                              <a:avLst/>
                            </a:prstGeom>
                            <a:ln>
                              <a:noFill/>
                            </a:ln>
                            <a:extLst>
                              <a:ext uri="{53640926-AAD7-44D8-BBD7-CCE9431645EC}">
                                <a14:shadowObscured xmlns:a14="http://schemas.microsoft.com/office/drawing/2010/main"/>
                              </a:ext>
                            </a:extLst>
                          </pic:spPr>
                        </pic:pic>
                        <wpg:grpSp>
                          <wpg:cNvPr id="207" name="Group 207"/>
                          <wpg:cNvGrpSpPr/>
                          <wpg:grpSpPr>
                            <a:xfrm>
                              <a:off x="182880" y="0"/>
                              <a:ext cx="4549437" cy="3265170"/>
                              <a:chOff x="0" y="0"/>
                              <a:chExt cx="4549619" cy="3265442"/>
                            </a:xfrm>
                          </wpg:grpSpPr>
                          <wps:wsp>
                            <wps:cNvPr id="209" name="Rectangle 209"/>
                            <wps:cNvSpPr/>
                            <wps:spPr>
                              <a:xfrm>
                                <a:off x="142504" y="0"/>
                                <a:ext cx="1638904" cy="4636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Rectangle 320"/>
                            <wps:cNvSpPr/>
                            <wps:spPr>
                              <a:xfrm>
                                <a:off x="2505694" y="154379"/>
                                <a:ext cx="405021" cy="126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Rectangle 321"/>
                            <wps:cNvSpPr/>
                            <wps:spPr>
                              <a:xfrm>
                                <a:off x="1793174" y="570015"/>
                                <a:ext cx="405021" cy="82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Rectangle 322"/>
                            <wps:cNvSpPr/>
                            <wps:spPr>
                              <a:xfrm>
                                <a:off x="3360717" y="878774"/>
                                <a:ext cx="405021" cy="126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 name="Rectangle 323"/>
                            <wps:cNvSpPr/>
                            <wps:spPr>
                              <a:xfrm>
                                <a:off x="866899" y="1270659"/>
                                <a:ext cx="405021" cy="82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Rectangle 324"/>
                            <wps:cNvSpPr/>
                            <wps:spPr>
                              <a:xfrm>
                                <a:off x="3289465" y="1662545"/>
                                <a:ext cx="405021" cy="126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Rectangle 325"/>
                            <wps:cNvSpPr/>
                            <wps:spPr>
                              <a:xfrm>
                                <a:off x="3895107" y="1674420"/>
                                <a:ext cx="405021" cy="126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Rectangle 326"/>
                            <wps:cNvSpPr/>
                            <wps:spPr>
                              <a:xfrm>
                                <a:off x="688769" y="2909454"/>
                                <a:ext cx="405021" cy="82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Rectangle 327"/>
                            <wps:cNvSpPr/>
                            <wps:spPr>
                              <a:xfrm>
                                <a:off x="1710047" y="3170711"/>
                                <a:ext cx="2839572" cy="947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Rectangle 328"/>
                            <wps:cNvSpPr/>
                            <wps:spPr>
                              <a:xfrm>
                                <a:off x="0" y="1520041"/>
                                <a:ext cx="869597" cy="58642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29" name="Group 329"/>
                          <wpg:cNvGrpSpPr/>
                          <wpg:grpSpPr>
                            <a:xfrm>
                              <a:off x="91441" y="32779"/>
                              <a:ext cx="4804213" cy="2571226"/>
                              <a:chOff x="91448" y="-58667"/>
                              <a:chExt cx="4804401" cy="2571436"/>
                            </a:xfrm>
                          </wpg:grpSpPr>
                          <wpg:grpSp>
                            <wpg:cNvPr id="330" name="Group 330"/>
                            <wpg:cNvGrpSpPr/>
                            <wpg:grpSpPr>
                              <a:xfrm>
                                <a:off x="320634" y="-58667"/>
                                <a:ext cx="4575215" cy="2177026"/>
                                <a:chOff x="-1211144" y="-109932"/>
                                <a:chExt cx="5633894" cy="2447027"/>
                              </a:xfrm>
                            </wpg:grpSpPr>
                            <wps:wsp>
                              <wps:cNvPr id="331" name="Text Box 2"/>
                              <wps:cNvSpPr txBox="1">
                                <a:spLocks noChangeArrowheads="1"/>
                              </wps:cNvSpPr>
                              <wps:spPr bwMode="auto">
                                <a:xfrm>
                                  <a:off x="-1211144" y="980989"/>
                                  <a:ext cx="1351618" cy="314960"/>
                                </a:xfrm>
                                <a:prstGeom prst="rect">
                                  <a:avLst/>
                                </a:prstGeom>
                                <a:noFill/>
                                <a:ln w="9525">
                                  <a:noFill/>
                                  <a:miter lim="800000"/>
                                  <a:headEnd/>
                                  <a:tailEnd/>
                                </a:ln>
                              </wps:spPr>
                              <wps:txbx>
                                <w:txbxContent>
                                  <w:p w14:paraId="09A26642" w14:textId="77777777" w:rsidR="003104C5" w:rsidRPr="00905FEE" w:rsidRDefault="003104C5" w:rsidP="00D431D5">
                                    <w:pPr>
                                      <w:rPr>
                                        <w:rFonts w:cs="Arial"/>
                                      </w:rPr>
                                    </w:pPr>
                                    <w:r w:rsidRPr="00905FEE">
                                      <w:rPr>
                                        <w:rFonts w:cs="Arial"/>
                                      </w:rPr>
                                      <w:t>Gametophore</w:t>
                                    </w:r>
                                  </w:p>
                                </w:txbxContent>
                              </wps:txbx>
                              <wps:bodyPr rot="0" vert="horz" wrap="square" lIns="91440" tIns="45720" rIns="91440" bIns="45720" anchor="t" anchorCtr="0">
                                <a:noAutofit/>
                              </wps:bodyPr>
                            </wps:wsp>
                            <wps:wsp>
                              <wps:cNvPr id="332" name="Text Box 2"/>
                              <wps:cNvSpPr txBox="1">
                                <a:spLocks noChangeArrowheads="1"/>
                              </wps:cNvSpPr>
                              <wps:spPr bwMode="auto">
                                <a:xfrm>
                                  <a:off x="2730797" y="2022134"/>
                                  <a:ext cx="1239875" cy="314961"/>
                                </a:xfrm>
                                <a:prstGeom prst="rect">
                                  <a:avLst/>
                                </a:prstGeom>
                                <a:noFill/>
                                <a:ln w="9525">
                                  <a:noFill/>
                                  <a:miter lim="800000"/>
                                  <a:headEnd/>
                                  <a:tailEnd/>
                                </a:ln>
                              </wps:spPr>
                              <wps:txbx>
                                <w:txbxContent>
                                  <w:p w14:paraId="3639B44A" w14:textId="77777777" w:rsidR="003104C5" w:rsidRPr="00905FEE" w:rsidRDefault="003104C5" w:rsidP="00D431D5">
                                    <w:pPr>
                                      <w:rPr>
                                        <w:rFonts w:cs="Arial"/>
                                      </w:rPr>
                                    </w:pPr>
                                    <w:r w:rsidRPr="00905FEE">
                                      <w:rPr>
                                        <w:rFonts w:cs="Arial"/>
                                      </w:rPr>
                                      <w:t>Sporophyte</w:t>
                                    </w:r>
                                  </w:p>
                                </w:txbxContent>
                              </wps:txbx>
                              <wps:bodyPr rot="0" vert="horz" wrap="square" lIns="91440" tIns="45720" rIns="91440" bIns="45720" anchor="t" anchorCtr="0">
                                <a:noAutofit/>
                              </wps:bodyPr>
                            </wps:wsp>
                            <wps:wsp>
                              <wps:cNvPr id="333" name="Text Box 2"/>
                              <wps:cNvSpPr txBox="1">
                                <a:spLocks noChangeArrowheads="1"/>
                              </wps:cNvSpPr>
                              <wps:spPr bwMode="auto">
                                <a:xfrm>
                                  <a:off x="2433870" y="1059340"/>
                                  <a:ext cx="1031239" cy="314961"/>
                                </a:xfrm>
                                <a:prstGeom prst="rect">
                                  <a:avLst/>
                                </a:prstGeom>
                                <a:noFill/>
                                <a:ln w="9525">
                                  <a:noFill/>
                                  <a:miter lim="800000"/>
                                  <a:headEnd/>
                                  <a:tailEnd/>
                                </a:ln>
                              </wps:spPr>
                              <wps:txbx>
                                <w:txbxContent>
                                  <w:p w14:paraId="5EC64B34" w14:textId="77777777" w:rsidR="003104C5" w:rsidRPr="00905FEE" w:rsidRDefault="003104C5" w:rsidP="00D431D5">
                                    <w:pPr>
                                      <w:rPr>
                                        <w:rFonts w:cs="Arial"/>
                                      </w:rPr>
                                    </w:pPr>
                                    <w:r w:rsidRPr="00905FEE">
                                      <w:rPr>
                                        <w:rFonts w:cs="Arial"/>
                                      </w:rPr>
                                      <w:t>Protoplast</w:t>
                                    </w:r>
                                  </w:p>
                                </w:txbxContent>
                              </wps:txbx>
                              <wps:bodyPr rot="0" vert="horz" wrap="square" lIns="91440" tIns="45720" rIns="91440" bIns="45720" anchor="t" anchorCtr="0">
                                <a:noAutofit/>
                              </wps:bodyPr>
                            </wps:wsp>
                            <wps:wsp>
                              <wps:cNvPr id="334" name="Text Box 2"/>
                              <wps:cNvSpPr txBox="1">
                                <a:spLocks noChangeArrowheads="1"/>
                              </wps:cNvSpPr>
                              <wps:spPr bwMode="auto">
                                <a:xfrm>
                                  <a:off x="3391511" y="869752"/>
                                  <a:ext cx="1031239" cy="314961"/>
                                </a:xfrm>
                                <a:prstGeom prst="rect">
                                  <a:avLst/>
                                </a:prstGeom>
                                <a:noFill/>
                                <a:ln w="9525">
                                  <a:noFill/>
                                  <a:miter lim="800000"/>
                                  <a:headEnd/>
                                  <a:tailEnd/>
                                </a:ln>
                              </wps:spPr>
                              <wps:txbx>
                                <w:txbxContent>
                                  <w:p w14:paraId="783FFF4D" w14:textId="77777777" w:rsidR="003104C5" w:rsidRPr="00905FEE" w:rsidRDefault="003104C5" w:rsidP="00D431D5">
                                    <w:pPr>
                                      <w:rPr>
                                        <w:rFonts w:cs="Arial"/>
                                      </w:rPr>
                                    </w:pPr>
                                    <w:r w:rsidRPr="00905FEE">
                                      <w:rPr>
                                        <w:rFonts w:cs="Arial"/>
                                      </w:rPr>
                                      <w:t>Spore</w:t>
                                    </w:r>
                                  </w:p>
                                </w:txbxContent>
                              </wps:txbx>
                              <wps:bodyPr rot="0" vert="horz" wrap="square" lIns="91440" tIns="45720" rIns="91440" bIns="45720" anchor="t" anchorCtr="0">
                                <a:noAutofit/>
                              </wps:bodyPr>
                            </wps:wsp>
                            <wps:wsp>
                              <wps:cNvPr id="335" name="Text Box 2"/>
                              <wps:cNvSpPr txBox="1">
                                <a:spLocks noChangeArrowheads="1"/>
                              </wps:cNvSpPr>
                              <wps:spPr bwMode="auto">
                                <a:xfrm>
                                  <a:off x="1256040" y="-109932"/>
                                  <a:ext cx="1106282" cy="314961"/>
                                </a:xfrm>
                                <a:prstGeom prst="rect">
                                  <a:avLst/>
                                </a:prstGeom>
                                <a:noFill/>
                                <a:ln w="9525">
                                  <a:noFill/>
                                  <a:miter lim="800000"/>
                                  <a:headEnd/>
                                  <a:tailEnd/>
                                </a:ln>
                              </wps:spPr>
                              <wps:txbx>
                                <w:txbxContent>
                                  <w:p w14:paraId="4A321F03" w14:textId="77777777" w:rsidR="003104C5" w:rsidRPr="00905FEE" w:rsidRDefault="003104C5" w:rsidP="00D431D5">
                                    <w:pPr>
                                      <w:rPr>
                                        <w:rFonts w:cs="Arial"/>
                                      </w:rPr>
                                    </w:pPr>
                                    <w:r w:rsidRPr="00905FEE">
                                      <w:rPr>
                                        <w:rFonts w:cs="Arial"/>
                                      </w:rPr>
                                      <w:t>Protonema</w:t>
                                    </w:r>
                                  </w:p>
                                </w:txbxContent>
                              </wps:txbx>
                              <wps:bodyPr rot="0" vert="horz" wrap="square" lIns="91440" tIns="45720" rIns="91440" bIns="45720" anchor="t" anchorCtr="0">
                                <a:noAutofit/>
                              </wps:bodyPr>
                            </wps:wsp>
                          </wpg:grpSp>
                          <wps:wsp>
                            <wps:cNvPr id="336" name="Text Box 2"/>
                            <wps:cNvSpPr txBox="1">
                              <a:spLocks noChangeArrowheads="1"/>
                            </wps:cNvSpPr>
                            <wps:spPr bwMode="auto">
                              <a:xfrm>
                                <a:off x="91448" y="2232561"/>
                                <a:ext cx="1097575" cy="280208"/>
                              </a:xfrm>
                              <a:prstGeom prst="rect">
                                <a:avLst/>
                              </a:prstGeom>
                              <a:noFill/>
                              <a:ln w="9525">
                                <a:noFill/>
                                <a:miter lim="800000"/>
                                <a:headEnd/>
                                <a:tailEnd/>
                              </a:ln>
                            </wps:spPr>
                            <wps:txbx>
                              <w:txbxContent>
                                <w:p w14:paraId="7FDCA19C" w14:textId="77777777" w:rsidR="003104C5" w:rsidRPr="00905FEE" w:rsidRDefault="003104C5" w:rsidP="00D431D5">
                                  <w:pPr>
                                    <w:rPr>
                                      <w:rFonts w:cs="Arial"/>
                                    </w:rPr>
                                  </w:pPr>
                                  <w:r>
                                    <w:rPr>
                                      <w:rFonts w:cs="Arial"/>
                                    </w:rPr>
                                    <w:t>Rhizoids</w:t>
                                  </w:r>
                                </w:p>
                              </w:txbxContent>
                            </wps:txbx>
                            <wps:bodyPr rot="0" vert="horz" wrap="square" lIns="91440" tIns="45720" rIns="91440" bIns="45720" anchor="t" anchorCtr="0">
                              <a:noAutofit/>
                            </wps:bodyPr>
                          </wps:wsp>
                        </wpg:grpSp>
                      </wpg:grpSp>
                      <pic:pic xmlns:pic="http://schemas.openxmlformats.org/drawingml/2006/picture">
                        <pic:nvPicPr>
                          <pic:cNvPr id="266" name="Picture 266"/>
                          <pic:cNvPicPr>
                            <a:picLocks noChangeAspect="1"/>
                          </pic:cNvPicPr>
                        </pic:nvPicPr>
                        <pic:blipFill rotWithShape="1">
                          <a:blip r:embed="rId40">
                            <a:extLst>
                              <a:ext uri="{28A0092B-C50C-407E-A947-70E740481C1C}">
                                <a14:useLocalDpi xmlns:a14="http://schemas.microsoft.com/office/drawing/2010/main" val="0"/>
                              </a:ext>
                            </a:extLst>
                          </a:blip>
                          <a:srcRect l="20441" t="45768" r="74566" b="32744"/>
                          <a:stretch/>
                        </pic:blipFill>
                        <pic:spPr bwMode="auto">
                          <a:xfrm>
                            <a:off x="0" y="107577"/>
                            <a:ext cx="582295" cy="140906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D875771" id="Group 35" o:spid="_x0000_s1035" style="position:absolute;margin-left:4.05pt;margin-top:18.1pt;width:410pt;height:257.1pt;z-index:251662336" coordsize="52071,32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">
                <v:group id="Group 339" o:spid="_x0000_s1036" style="position:absolute;left:4034;width:48037;height:32651" coordorigin="914" coordsize="48042,32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7" o:spid="_x0000_s1037" type="#_x0000_t75" style="position:absolute;left:9362;top:676;width:38462;height:31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">
                    <v:imagedata r:id="rId41" o:title="" croptop="7105f" cropbottom="12329f" cropleft="18967f" cropright="14780f"/>
                    <v:path arrowok="t"/>
                  </v:shape>
                  <v:group id="Group 207" o:spid="_x0000_s1038" style="position:absolute;left:1828;width:45495;height:32651" coordsize="45496,32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rect id="Rectangle 209" o:spid="_x0000_s1039" style="position:absolute;left:1425;width:16389;height:4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" fillcolor="white [3212]" strokecolor="white [3212]" strokeweight="2pt"/>
                    <v:rect id="Rectangle 320" o:spid="_x0000_s1040" style="position:absolute;left:25056;top:1543;width:4051;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" fillcolor="white [3212]" strokecolor="white [3212]" strokeweight="2pt"/>
                    <v:rect id="Rectangle 321" o:spid="_x0000_s1041" style="position:absolute;left:17931;top:5700;width:4050;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" fillcolor="white [3212]" strokecolor="white [3212]" strokeweight="2pt"/>
                    <v:rect id="Rectangle 322" o:spid="_x0000_s1042" style="position:absolute;left:33607;top:8787;width:4050;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" fillcolor="white [3212]" strokecolor="white [3212]" strokeweight="2pt"/>
                    <v:rect id="Rectangle 323" o:spid="_x0000_s1043" style="position:absolute;left:8668;top:12706;width:4051;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" fillcolor="white [3212]" strokecolor="white [3212]" strokeweight="2pt"/>
                    <v:rect id="Rectangle 324" o:spid="_x0000_s1044" style="position:absolute;left:32894;top:16625;width:4050;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" fillcolor="white [3212]" strokecolor="white [3212]" strokeweight="2pt"/>
                    <v:rect id="Rectangle 325" o:spid="_x0000_s1045" style="position:absolute;left:38951;top:16744;width:4050;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" fillcolor="white [3212]" strokecolor="white [3212]" strokeweight="2pt"/>
                    <v:rect id="Rectangle 326" o:spid="_x0000_s1046" style="position:absolute;left:6887;top:29094;width:4050;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" fillcolor="white [3212]" strokecolor="white [3212]" strokeweight="2pt"/>
                    <v:rect id="Rectangle 327" o:spid="_x0000_s1047" style="position:absolute;left:17100;top:31707;width:28396;height:9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" fillcolor="white [3212]" strokecolor="white [3212]" strokeweight="2pt"/>
                    <v:rect id="Rectangle 328" o:spid="_x0000_s1048" style="position:absolute;top:15200;width:8695;height:5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" fillcolor="white [3212]" strokecolor="white [3212]" strokeweight="2pt"/>
                  </v:group>
                  <v:group id="Group 329" o:spid="_x0000_s1049" style="position:absolute;left:914;top:327;width:48042;height:25713" coordorigin="914,-586" coordsize="48044,25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group id="Group 330" o:spid="_x0000_s1050" style="position:absolute;left:3206;top:-586;width:45752;height:21769" coordorigin="-12111,-1099" coordsize="56338,2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_x0000_s1051" type="#_x0000_t202" style="position:absolute;left:-12111;top:9809;width:1351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" filled="f" stroked="f">
                        <v:textbox>
                          <w:txbxContent>
                            <w:p w14:paraId="09A26642" w14:textId="77777777" w:rsidR="003104C5" w:rsidRPr="00905FEE" w:rsidRDefault="003104C5" w:rsidP="00D431D5">
                              <w:pPr>
                                <w:rPr>
                                  <w:rFonts w:cs="Arial"/>
                                </w:rPr>
                              </w:pPr>
                              <w:r w:rsidRPr="00905FEE">
                                <w:rPr>
                                  <w:rFonts w:cs="Arial"/>
                                </w:rPr>
                                <w:t>Gametophore</w:t>
                              </w:r>
                            </w:p>
                          </w:txbxContent>
                        </v:textbox>
                      </v:shape>
                      <v:shape id="_x0000_s1052" type="#_x0000_t202" style="position:absolute;left:27307;top:20221;width:12399;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" filled="f" stroked="f">
                        <v:textbox>
                          <w:txbxContent>
                            <w:p w14:paraId="3639B44A" w14:textId="77777777" w:rsidR="003104C5" w:rsidRPr="00905FEE" w:rsidRDefault="003104C5" w:rsidP="00D431D5">
                              <w:pPr>
                                <w:rPr>
                                  <w:rFonts w:cs="Arial"/>
                                </w:rPr>
                              </w:pPr>
                              <w:r w:rsidRPr="00905FEE">
                                <w:rPr>
                                  <w:rFonts w:cs="Arial"/>
                                </w:rPr>
                                <w:t>Sporophyte</w:t>
                              </w:r>
                            </w:p>
                          </w:txbxContent>
                        </v:textbox>
                      </v:shape>
                      <v:shape id="_x0000_s1053" type="#_x0000_t202" style="position:absolute;left:24338;top:10593;width:10313;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" filled="f" stroked="f">
                        <v:textbox>
                          <w:txbxContent>
                            <w:p w14:paraId="5EC64B34" w14:textId="77777777" w:rsidR="003104C5" w:rsidRPr="00905FEE" w:rsidRDefault="003104C5" w:rsidP="00D431D5">
                              <w:pPr>
                                <w:rPr>
                                  <w:rFonts w:cs="Arial"/>
                                </w:rPr>
                              </w:pPr>
                              <w:r w:rsidRPr="00905FEE">
                                <w:rPr>
                                  <w:rFonts w:cs="Arial"/>
                                </w:rPr>
                                <w:t>Protoplast</w:t>
                              </w:r>
                            </w:p>
                          </w:txbxContent>
                        </v:textbox>
                      </v:shape>
                      <v:shape id="_x0000_s1054" type="#_x0000_t202" style="position:absolute;left:33915;top:8697;width:10312;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" filled="f" stroked="f">
                        <v:textbox>
                          <w:txbxContent>
                            <w:p w14:paraId="783FFF4D" w14:textId="77777777" w:rsidR="003104C5" w:rsidRPr="00905FEE" w:rsidRDefault="003104C5" w:rsidP="00D431D5">
                              <w:pPr>
                                <w:rPr>
                                  <w:rFonts w:cs="Arial"/>
                                </w:rPr>
                              </w:pPr>
                              <w:r w:rsidRPr="00905FEE">
                                <w:rPr>
                                  <w:rFonts w:cs="Arial"/>
                                </w:rPr>
                                <w:t>Spore</w:t>
                              </w:r>
                            </w:p>
                          </w:txbxContent>
                        </v:textbox>
                      </v:shape>
                      <v:shape id="_x0000_s1055" type="#_x0000_t202" style="position:absolute;left:12560;top:-1099;width:11063;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" filled="f" stroked="f">
                        <v:textbox>
                          <w:txbxContent>
                            <w:p w14:paraId="4A321F03" w14:textId="77777777" w:rsidR="003104C5" w:rsidRPr="00905FEE" w:rsidRDefault="003104C5" w:rsidP="00D431D5">
                              <w:pPr>
                                <w:rPr>
                                  <w:rFonts w:cs="Arial"/>
                                </w:rPr>
                              </w:pPr>
                              <w:r w:rsidRPr="00905FEE">
                                <w:rPr>
                                  <w:rFonts w:cs="Arial"/>
                                </w:rPr>
                                <w:t>Protonema</w:t>
                              </w:r>
                            </w:p>
                          </w:txbxContent>
                        </v:textbox>
                      </v:shape>
                    </v:group>
                    <v:shape id="_x0000_s1056" type="#_x0000_t202" style="position:absolute;left:914;top:22325;width:10976;height: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" filled="f" stroked="f">
                      <v:textbox>
                        <w:txbxContent>
                          <w:p w14:paraId="7FDCA19C" w14:textId="77777777" w:rsidR="003104C5" w:rsidRPr="00905FEE" w:rsidRDefault="003104C5" w:rsidP="00D431D5">
                            <w:pPr>
                              <w:rPr>
                                <w:rFonts w:cs="Arial"/>
                              </w:rPr>
                            </w:pPr>
                            <w:r>
                              <w:rPr>
                                <w:rFonts w:cs="Arial"/>
                              </w:rPr>
                              <w:t>Rhizoids</w:t>
                            </w:r>
                          </w:p>
                        </w:txbxContent>
                      </v:textbox>
                    </v:shape>
                  </v:group>
                </v:group>
                <v:shape id="Picture 266" o:spid="_x0000_s1057" type="#_x0000_t75" style="position:absolute;top:1075;width:5822;height:14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">
                  <v:imagedata r:id="rId42" o:title="" croptop="29995f" cropbottom="21459f" cropleft="13396f" cropright="48868f"/>
                  <v:path arrowok="t"/>
                </v:shape>
              </v:group>
            </w:pict>
          </mc:Fallback>
        </mc:AlternateContent>
      </w:r>
    </w:p>
    <w:p w14:paraId="379D069A"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1E131053"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5C65F37A"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4E3A796B"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3450DF81"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1D9B2557"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ab/>
      </w:r>
    </w:p>
    <w:p w14:paraId="63F44D66"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2E4A373E"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703622A8"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67DC7EC4"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b/>
          <w:noProof/>
          <w:color w:val="000000"/>
          <w:lang w:eastAsia="ja-JP"/>
        </w:rPr>
        <mc:AlternateContent>
          <mc:Choice Requires="wpg">
            <w:drawing>
              <wp:anchor distT="0" distB="0" distL="114300" distR="114300" simplePos="0" relativeHeight="251665408" behindDoc="0" locked="0" layoutInCell="1" allowOverlap="1" wp14:anchorId="4AA6A915" wp14:editId="76B16FC7">
                <wp:simplePos x="0" y="0"/>
                <wp:positionH relativeFrom="column">
                  <wp:posOffset>439420</wp:posOffset>
                </wp:positionH>
                <wp:positionV relativeFrom="paragraph">
                  <wp:posOffset>221615</wp:posOffset>
                </wp:positionV>
                <wp:extent cx="4858385" cy="3362960"/>
                <wp:effectExtent l="0" t="0" r="0" b="27940"/>
                <wp:wrapNone/>
                <wp:docPr id="198" name="Group 198"/>
                <wp:cNvGraphicFramePr/>
                <a:graphic xmlns:a="http://schemas.openxmlformats.org/drawingml/2006/main">
                  <a:graphicData uri="http://schemas.microsoft.com/office/word/2010/wordprocessingGroup">
                    <wpg:wgp>
                      <wpg:cNvGrpSpPr/>
                      <wpg:grpSpPr>
                        <a:xfrm>
                          <a:off x="0" y="0"/>
                          <a:ext cx="4858385" cy="3362960"/>
                          <a:chOff x="0" y="0"/>
                          <a:chExt cx="4858590" cy="3363318"/>
                        </a:xfrm>
                      </wpg:grpSpPr>
                      <pic:pic xmlns:pic="http://schemas.openxmlformats.org/drawingml/2006/picture">
                        <pic:nvPicPr>
                          <pic:cNvPr id="199" name="Picture 199"/>
                          <pic:cNvPicPr>
                            <a:picLocks noChangeAspect="1"/>
                          </pic:cNvPicPr>
                        </pic:nvPicPr>
                        <pic:blipFill rotWithShape="1">
                          <a:blip r:embed="rId43">
                            <a:extLst>
                              <a:ext uri="{28A0092B-C50C-407E-A947-70E740481C1C}">
                                <a14:useLocalDpi xmlns:a14="http://schemas.microsoft.com/office/drawing/2010/main" val="0"/>
                              </a:ext>
                            </a:extLst>
                          </a:blip>
                          <a:srcRect l="28451" t="14779" r="22856" b="15452"/>
                          <a:stretch/>
                        </pic:blipFill>
                        <pic:spPr bwMode="auto">
                          <a:xfrm>
                            <a:off x="782516" y="96715"/>
                            <a:ext cx="3914775" cy="3154680"/>
                          </a:xfrm>
                          <a:prstGeom prst="rect">
                            <a:avLst/>
                          </a:prstGeom>
                          <a:ln>
                            <a:noFill/>
                          </a:ln>
                          <a:extLst>
                            <a:ext uri="{53640926-AAD7-44D8-BBD7-CCE9431645EC}">
                              <a14:shadowObscured xmlns:a14="http://schemas.microsoft.com/office/drawing/2010/main"/>
                            </a:ext>
                          </a:extLst>
                        </pic:spPr>
                      </pic:pic>
                      <wpg:grpSp>
                        <wpg:cNvPr id="200" name="Group 200"/>
                        <wpg:cNvGrpSpPr/>
                        <wpg:grpSpPr>
                          <a:xfrm>
                            <a:off x="52754" y="0"/>
                            <a:ext cx="4605978" cy="3363318"/>
                            <a:chOff x="-38108" y="0"/>
                            <a:chExt cx="4606780" cy="3363600"/>
                          </a:xfrm>
                        </wpg:grpSpPr>
                        <wps:wsp>
                          <wps:cNvPr id="201" name="Rectangle 201"/>
                          <wps:cNvSpPr/>
                          <wps:spPr>
                            <a:xfrm>
                              <a:off x="381084" y="0"/>
                              <a:ext cx="1638904" cy="4636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Rectangle 202"/>
                          <wps:cNvSpPr/>
                          <wps:spPr>
                            <a:xfrm>
                              <a:off x="2502428" y="252359"/>
                              <a:ext cx="405021" cy="126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a:off x="1793174" y="605944"/>
                              <a:ext cx="405021" cy="82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Rectangle 204"/>
                          <wps:cNvSpPr/>
                          <wps:spPr>
                            <a:xfrm>
                              <a:off x="3427403" y="966163"/>
                              <a:ext cx="405021" cy="126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Rectangle 205"/>
                          <wps:cNvSpPr/>
                          <wps:spPr>
                            <a:xfrm>
                              <a:off x="866899" y="1306586"/>
                              <a:ext cx="405021" cy="82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Rectangle 206"/>
                          <wps:cNvSpPr/>
                          <wps:spPr>
                            <a:xfrm>
                              <a:off x="3327572" y="1719700"/>
                              <a:ext cx="405021" cy="126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Rectangle 208"/>
                          <wps:cNvSpPr/>
                          <wps:spPr>
                            <a:xfrm>
                              <a:off x="3990374" y="1722049"/>
                              <a:ext cx="405021" cy="126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Rectangle 210"/>
                          <wps:cNvSpPr/>
                          <wps:spPr>
                            <a:xfrm>
                              <a:off x="688769" y="2988973"/>
                              <a:ext cx="405021" cy="82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Rectangle 211"/>
                          <wps:cNvSpPr/>
                          <wps:spPr>
                            <a:xfrm>
                              <a:off x="1729100" y="3268869"/>
                              <a:ext cx="2839572" cy="947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Rectangle 212"/>
                          <wps:cNvSpPr/>
                          <wps:spPr>
                            <a:xfrm>
                              <a:off x="-38108" y="1510516"/>
                              <a:ext cx="869597" cy="58642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3" name="Group 213"/>
                        <wpg:cNvGrpSpPr/>
                        <wpg:grpSpPr>
                          <a:xfrm>
                            <a:off x="0" y="167053"/>
                            <a:ext cx="4858590" cy="2512560"/>
                            <a:chOff x="91448" y="0"/>
                            <a:chExt cx="4859429" cy="2512769"/>
                          </a:xfrm>
                        </wpg:grpSpPr>
                        <wpg:grpSp>
                          <wpg:cNvPr id="214" name="Group 214"/>
                          <wpg:cNvGrpSpPr/>
                          <wpg:grpSpPr>
                            <a:xfrm>
                              <a:off x="251047" y="0"/>
                              <a:ext cx="4699830" cy="2118360"/>
                              <a:chOff x="-1296831" y="-43990"/>
                              <a:chExt cx="5787340" cy="2381085"/>
                            </a:xfrm>
                          </wpg:grpSpPr>
                          <wps:wsp>
                            <wps:cNvPr id="215" name="Text Box 2"/>
                            <wps:cNvSpPr txBox="1">
                              <a:spLocks noChangeArrowheads="1"/>
                            </wps:cNvSpPr>
                            <wps:spPr bwMode="auto">
                              <a:xfrm>
                                <a:off x="-1296831" y="980992"/>
                                <a:ext cx="1351618" cy="314961"/>
                              </a:xfrm>
                              <a:prstGeom prst="rect">
                                <a:avLst/>
                              </a:prstGeom>
                              <a:noFill/>
                              <a:ln w="9525">
                                <a:noFill/>
                                <a:miter lim="800000"/>
                                <a:headEnd/>
                                <a:tailEnd/>
                              </a:ln>
                            </wps:spPr>
                            <wps:txbx>
                              <w:txbxContent>
                                <w:p w14:paraId="4E30D09D" w14:textId="77777777" w:rsidR="003104C5" w:rsidRPr="00905FEE" w:rsidRDefault="003104C5" w:rsidP="00D431D5">
                                  <w:pPr>
                                    <w:rPr>
                                      <w:rFonts w:cs="Arial"/>
                                    </w:rPr>
                                  </w:pPr>
                                  <w:r w:rsidRPr="00905FEE">
                                    <w:rPr>
                                      <w:rFonts w:cs="Arial"/>
                                    </w:rPr>
                                    <w:t>Gametophore</w:t>
                                  </w:r>
                                </w:p>
                              </w:txbxContent>
                            </wps:txbx>
                            <wps:bodyPr rot="0" vert="horz" wrap="square" lIns="91440" tIns="45720" rIns="91440" bIns="45720" anchor="t" anchorCtr="0">
                              <a:noAutofit/>
                            </wps:bodyPr>
                          </wps:wsp>
                          <wps:wsp>
                            <wps:cNvPr id="216" name="Text Box 2"/>
                            <wps:cNvSpPr txBox="1">
                              <a:spLocks noChangeArrowheads="1"/>
                            </wps:cNvSpPr>
                            <wps:spPr bwMode="auto">
                              <a:xfrm>
                                <a:off x="2966693" y="2022134"/>
                                <a:ext cx="1239875" cy="314961"/>
                              </a:xfrm>
                              <a:prstGeom prst="rect">
                                <a:avLst/>
                              </a:prstGeom>
                              <a:noFill/>
                              <a:ln w="9525">
                                <a:noFill/>
                                <a:miter lim="800000"/>
                                <a:headEnd/>
                                <a:tailEnd/>
                              </a:ln>
                            </wps:spPr>
                            <wps:txbx>
                              <w:txbxContent>
                                <w:p w14:paraId="41BFE316" w14:textId="77777777" w:rsidR="003104C5" w:rsidRPr="00905FEE" w:rsidRDefault="003104C5" w:rsidP="00D431D5">
                                  <w:pPr>
                                    <w:rPr>
                                      <w:rFonts w:cs="Arial"/>
                                    </w:rPr>
                                  </w:pPr>
                                  <w:r w:rsidRPr="00905FEE">
                                    <w:rPr>
                                      <w:rFonts w:cs="Arial"/>
                                    </w:rPr>
                                    <w:t>Sporophyte</w:t>
                                  </w:r>
                                </w:p>
                              </w:txbxContent>
                            </wps:txbx>
                            <wps:bodyPr rot="0" vert="horz" wrap="square" lIns="91440" tIns="45720" rIns="91440" bIns="45720" anchor="t" anchorCtr="0">
                              <a:noAutofit/>
                            </wps:bodyPr>
                          </wps:wsp>
                          <wps:wsp>
                            <wps:cNvPr id="218" name="Text Box 2"/>
                            <wps:cNvSpPr txBox="1">
                              <a:spLocks noChangeArrowheads="1"/>
                            </wps:cNvSpPr>
                            <wps:spPr bwMode="auto">
                              <a:xfrm>
                                <a:off x="2454947" y="1062331"/>
                                <a:ext cx="1031240" cy="314961"/>
                              </a:xfrm>
                              <a:prstGeom prst="rect">
                                <a:avLst/>
                              </a:prstGeom>
                              <a:noFill/>
                              <a:ln w="9525">
                                <a:noFill/>
                                <a:miter lim="800000"/>
                                <a:headEnd/>
                                <a:tailEnd/>
                              </a:ln>
                            </wps:spPr>
                            <wps:txbx>
                              <w:txbxContent>
                                <w:p w14:paraId="7977AAD7" w14:textId="77777777" w:rsidR="003104C5" w:rsidRPr="00905FEE" w:rsidRDefault="003104C5" w:rsidP="00D431D5">
                                  <w:pPr>
                                    <w:rPr>
                                      <w:rFonts w:cs="Arial"/>
                                    </w:rPr>
                                  </w:pPr>
                                  <w:r w:rsidRPr="00905FEE">
                                    <w:rPr>
                                      <w:rFonts w:cs="Arial"/>
                                    </w:rPr>
                                    <w:t>Protoplast</w:t>
                                  </w:r>
                                </w:p>
                              </w:txbxContent>
                            </wps:txbx>
                            <wps:bodyPr rot="0" vert="horz" wrap="square" lIns="91440" tIns="45720" rIns="91440" bIns="45720" anchor="t" anchorCtr="0">
                              <a:noAutofit/>
                            </wps:bodyPr>
                          </wps:wsp>
                          <wps:wsp>
                            <wps:cNvPr id="219" name="Text Box 2"/>
                            <wps:cNvSpPr txBox="1">
                              <a:spLocks noChangeArrowheads="1"/>
                            </wps:cNvSpPr>
                            <wps:spPr bwMode="auto">
                              <a:xfrm>
                                <a:off x="3459269" y="936676"/>
                                <a:ext cx="1031240" cy="314961"/>
                              </a:xfrm>
                              <a:prstGeom prst="rect">
                                <a:avLst/>
                              </a:prstGeom>
                              <a:noFill/>
                              <a:ln w="9525">
                                <a:noFill/>
                                <a:miter lim="800000"/>
                                <a:headEnd/>
                                <a:tailEnd/>
                              </a:ln>
                            </wps:spPr>
                            <wps:txbx>
                              <w:txbxContent>
                                <w:p w14:paraId="7EE1F0DD" w14:textId="77777777" w:rsidR="003104C5" w:rsidRPr="00905FEE" w:rsidRDefault="003104C5" w:rsidP="00D431D5">
                                  <w:pPr>
                                    <w:rPr>
                                      <w:rFonts w:cs="Arial"/>
                                    </w:rPr>
                                  </w:pPr>
                                  <w:r w:rsidRPr="00905FEE">
                                    <w:rPr>
                                      <w:rFonts w:cs="Arial"/>
                                    </w:rPr>
                                    <w:t>Spore</w:t>
                                  </w:r>
                                </w:p>
                              </w:txbxContent>
                            </wps:txbx>
                            <wps:bodyPr rot="0" vert="horz" wrap="square" lIns="91440" tIns="45720" rIns="91440" bIns="45720" anchor="t" anchorCtr="0">
                              <a:noAutofit/>
                            </wps:bodyPr>
                          </wps:wsp>
                          <wps:wsp>
                            <wps:cNvPr id="220" name="Text Box 2"/>
                            <wps:cNvSpPr txBox="1">
                              <a:spLocks noChangeArrowheads="1"/>
                            </wps:cNvSpPr>
                            <wps:spPr bwMode="auto">
                              <a:xfrm>
                                <a:off x="1326084" y="-43990"/>
                                <a:ext cx="1106282" cy="314961"/>
                              </a:xfrm>
                              <a:prstGeom prst="rect">
                                <a:avLst/>
                              </a:prstGeom>
                              <a:noFill/>
                              <a:ln w="9525">
                                <a:noFill/>
                                <a:miter lim="800000"/>
                                <a:headEnd/>
                                <a:tailEnd/>
                              </a:ln>
                            </wps:spPr>
                            <wps:txbx>
                              <w:txbxContent>
                                <w:p w14:paraId="3CE24ABE" w14:textId="77777777" w:rsidR="003104C5" w:rsidRPr="00905FEE" w:rsidRDefault="003104C5" w:rsidP="00D431D5">
                                  <w:pPr>
                                    <w:rPr>
                                      <w:rFonts w:cs="Arial"/>
                                    </w:rPr>
                                  </w:pPr>
                                  <w:r w:rsidRPr="00905FEE">
                                    <w:rPr>
                                      <w:rFonts w:cs="Arial"/>
                                    </w:rPr>
                                    <w:t>Protonema</w:t>
                                  </w:r>
                                </w:p>
                              </w:txbxContent>
                            </wps:txbx>
                            <wps:bodyPr rot="0" vert="horz" wrap="square" lIns="91440" tIns="45720" rIns="91440" bIns="45720" anchor="t" anchorCtr="0">
                              <a:noAutofit/>
                            </wps:bodyPr>
                          </wps:wsp>
                        </wpg:grpSp>
                        <wps:wsp>
                          <wps:cNvPr id="221" name="Text Box 2"/>
                          <wps:cNvSpPr txBox="1">
                            <a:spLocks noChangeArrowheads="1"/>
                          </wps:cNvSpPr>
                          <wps:spPr bwMode="auto">
                            <a:xfrm>
                              <a:off x="91448" y="2232561"/>
                              <a:ext cx="1097575" cy="280208"/>
                            </a:xfrm>
                            <a:prstGeom prst="rect">
                              <a:avLst/>
                            </a:prstGeom>
                            <a:noFill/>
                            <a:ln w="9525">
                              <a:noFill/>
                              <a:miter lim="800000"/>
                              <a:headEnd/>
                              <a:tailEnd/>
                            </a:ln>
                          </wps:spPr>
                          <wps:txbx>
                            <w:txbxContent>
                              <w:p w14:paraId="505A299F" w14:textId="77777777" w:rsidR="003104C5" w:rsidRPr="00905FEE" w:rsidRDefault="003104C5" w:rsidP="00D431D5">
                                <w:pPr>
                                  <w:rPr>
                                    <w:rFonts w:cs="Arial"/>
                                  </w:rPr>
                                </w:pPr>
                                <w:r>
                                  <w:rPr>
                                    <w:rFonts w:cs="Arial"/>
                                  </w:rPr>
                                  <w:t>Rhizoids</w:t>
                                </w:r>
                              </w:p>
                            </w:txbxContent>
                          </wps:txbx>
                          <wps:bodyPr rot="0" vert="horz" wrap="square" lIns="91440" tIns="45720" rIns="91440" bIns="45720" anchor="t" anchorCtr="0">
                            <a:noAutofit/>
                          </wps:bodyPr>
                        </wps:wsp>
                      </wpg:grpSp>
                    </wpg:wgp>
                  </a:graphicData>
                </a:graphic>
              </wp:anchor>
            </w:drawing>
          </mc:Choice>
          <mc:Fallback>
            <w:pict>
              <v:group w14:anchorId="4AA6A915" id="Group 198" o:spid="_x0000_s1058" style="position:absolute;margin-left:34.6pt;margin-top:17.45pt;width:382.55pt;height:264.8pt;z-index:251665408" coordsize="48585,33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">
                <v:shape id="Picture 199" o:spid="_x0000_s1059" type="#_x0000_t75" style="position:absolute;left:7825;top:967;width:39147;height:31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">
                  <v:imagedata r:id="rId44" o:title="" croptop="9686f" cropbottom="10127f" cropleft="18646f" cropright="14979f"/>
                  <v:path arrowok="t"/>
                </v:shape>
                <v:group id="Group 200" o:spid="_x0000_s1060" style="position:absolute;left:527;width:46060;height:33633" coordorigin="-381" coordsize="46067,3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rect id="Rectangle 201" o:spid="_x0000_s1061" style="position:absolute;left:3810;width:16389;height:4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" fillcolor="white [3212]" strokecolor="white [3212]" strokeweight="2pt"/>
                  <v:rect id="Rectangle 202" o:spid="_x0000_s1062" style="position:absolute;left:25024;top:2523;width:4050;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" fillcolor="white [3212]" strokecolor="white [3212]" strokeweight="2pt"/>
                  <v:rect id="Rectangle 203" o:spid="_x0000_s1063" style="position:absolute;left:17931;top:6059;width:4050;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" fillcolor="white [3212]" strokecolor="white [3212]" strokeweight="2pt"/>
                  <v:rect id="Rectangle 204" o:spid="_x0000_s1064" style="position:absolute;left:34274;top:9661;width:4050;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" fillcolor="white [3212]" strokecolor="white [3212]" strokeweight="2pt"/>
                  <v:rect id="Rectangle 205" o:spid="_x0000_s1065" style="position:absolute;left:8668;top:13065;width:4051;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" fillcolor="white [3212]" strokecolor="white [3212]" strokeweight="2pt"/>
                  <v:rect id="Rectangle 206" o:spid="_x0000_s1066" style="position:absolute;left:33275;top:17197;width:4050;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" fillcolor="white [3212]" strokecolor="white [3212]" strokeweight="2pt"/>
                  <v:rect id="Rectangle 208" o:spid="_x0000_s1067" style="position:absolute;left:39903;top:17220;width:4050;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" fillcolor="white [3212]" strokecolor="white [3212]" strokeweight="2pt"/>
                  <v:rect id="Rectangle 210" o:spid="_x0000_s1068" style="position:absolute;left:6887;top:29889;width:4050;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" fillcolor="white [3212]" strokecolor="white [3212]" strokeweight="2pt"/>
                  <v:rect id="Rectangle 211" o:spid="_x0000_s1069" style="position:absolute;left:17291;top:32688;width:28395;height:9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" fillcolor="white [3212]" strokecolor="white [3212]" strokeweight="2pt"/>
                  <v:rect id="Rectangle 212" o:spid="_x0000_s1070" style="position:absolute;left:-381;top:15105;width:8695;height:5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" fillcolor="white [3212]" strokecolor="white [3212]" strokeweight="2pt"/>
                </v:group>
                <v:group id="Group 213" o:spid="_x0000_s1071" style="position:absolute;top:1670;width:48585;height:25126" coordorigin="914" coordsize="48594,25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group id="Group 214" o:spid="_x0000_s1072" style="position:absolute;left:2510;width:46998;height:21183" coordorigin="-12968,-439" coordsize="57873,2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shape id="_x0000_s1073" type="#_x0000_t202" style="position:absolute;left:-12968;top:9809;width:13515;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14:paraId="4E30D09D" w14:textId="77777777" w:rsidR="003104C5" w:rsidRPr="00905FEE" w:rsidRDefault="003104C5" w:rsidP="00D431D5">
                            <w:pPr>
                              <w:rPr>
                                <w:rFonts w:cs="Arial"/>
                              </w:rPr>
                            </w:pPr>
                            <w:r w:rsidRPr="00905FEE">
                              <w:rPr>
                                <w:rFonts w:cs="Arial"/>
                              </w:rPr>
                              <w:t>Gametophore</w:t>
                            </w:r>
                          </w:p>
                        </w:txbxContent>
                      </v:textbox>
                    </v:shape>
                    <v:shape id="_x0000_s1074" type="#_x0000_t202" style="position:absolute;left:29666;top:20221;width:12399;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v:textbox>
                        <w:txbxContent>
                          <w:p w14:paraId="41BFE316" w14:textId="77777777" w:rsidR="003104C5" w:rsidRPr="00905FEE" w:rsidRDefault="003104C5" w:rsidP="00D431D5">
                            <w:pPr>
                              <w:rPr>
                                <w:rFonts w:cs="Arial"/>
                              </w:rPr>
                            </w:pPr>
                            <w:r w:rsidRPr="00905FEE">
                              <w:rPr>
                                <w:rFonts w:cs="Arial"/>
                              </w:rPr>
                              <w:t>Sporophyte</w:t>
                            </w:r>
                          </w:p>
                        </w:txbxContent>
                      </v:textbox>
                    </v:shape>
                    <v:shape id="_x0000_s1075" type="#_x0000_t202" style="position:absolute;left:24549;top:10623;width:10312;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" filled="f" stroked="f">
                      <v:textbox>
                        <w:txbxContent>
                          <w:p w14:paraId="7977AAD7" w14:textId="77777777" w:rsidR="003104C5" w:rsidRPr="00905FEE" w:rsidRDefault="003104C5" w:rsidP="00D431D5">
                            <w:pPr>
                              <w:rPr>
                                <w:rFonts w:cs="Arial"/>
                              </w:rPr>
                            </w:pPr>
                            <w:r w:rsidRPr="00905FEE">
                              <w:rPr>
                                <w:rFonts w:cs="Arial"/>
                              </w:rPr>
                              <w:t>Protoplast</w:t>
                            </w:r>
                          </w:p>
                        </w:txbxContent>
                      </v:textbox>
                    </v:shape>
                    <v:shape id="_x0000_s1076" type="#_x0000_t202" style="position:absolute;left:34592;top:9366;width:10313;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" filled="f" stroked="f">
                      <v:textbox>
                        <w:txbxContent>
                          <w:p w14:paraId="7EE1F0DD" w14:textId="77777777" w:rsidR="003104C5" w:rsidRPr="00905FEE" w:rsidRDefault="003104C5" w:rsidP="00D431D5">
                            <w:pPr>
                              <w:rPr>
                                <w:rFonts w:cs="Arial"/>
                              </w:rPr>
                            </w:pPr>
                            <w:r w:rsidRPr="00905FEE">
                              <w:rPr>
                                <w:rFonts w:cs="Arial"/>
                              </w:rPr>
                              <w:t>Spore</w:t>
                            </w:r>
                          </w:p>
                        </w:txbxContent>
                      </v:textbox>
                    </v:shape>
                    <v:shape id="_x0000_s1077" type="#_x0000_t202" style="position:absolute;left:13260;top:-439;width:11063;height:3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14:paraId="3CE24ABE" w14:textId="77777777" w:rsidR="003104C5" w:rsidRPr="00905FEE" w:rsidRDefault="003104C5" w:rsidP="00D431D5">
                            <w:pPr>
                              <w:rPr>
                                <w:rFonts w:cs="Arial"/>
                              </w:rPr>
                            </w:pPr>
                            <w:r w:rsidRPr="00905FEE">
                              <w:rPr>
                                <w:rFonts w:cs="Arial"/>
                              </w:rPr>
                              <w:t>Protonema</w:t>
                            </w:r>
                          </w:p>
                        </w:txbxContent>
                      </v:textbox>
                    </v:shape>
                  </v:group>
                  <v:shape id="_x0000_s1078" type="#_x0000_t202" style="position:absolute;left:914;top:22325;width:10976;height: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Idn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bC9Uw8AnJ1AQAA//8DAFBLAQItABQABgAIAAAAIQDb4fbL7gAAAIUBAAATAAAAAAAAAAAA&#10;AAAAAAAAAABbQ29udGVudF9UeXBlc10ueG1sUEsBAi0AFAAGAAgAAAAhAFr0LFu/AAAAFQEAAAsA&#10;AAAAAAAAAAAAAAAAHwEAAF9yZWxzLy5yZWxzUEsBAi0AFAAGAAgAAAAhABOMh2fEAAAA3AAAAA8A&#10;AAAAAAAAAAAAAAAABwIAAGRycy9kb3ducmV2LnhtbFBLBQYAAAAAAwADALcAAAD4AgAAAAA=&#10;" filled="f" stroked="f">
                    <v:textbox>
                      <w:txbxContent>
                        <w:p w14:paraId="505A299F" w14:textId="77777777" w:rsidR="003104C5" w:rsidRPr="00905FEE" w:rsidRDefault="003104C5" w:rsidP="00D431D5">
                          <w:pPr>
                            <w:rPr>
                              <w:rFonts w:cs="Arial"/>
                            </w:rPr>
                          </w:pPr>
                          <w:r>
                            <w:rPr>
                              <w:rFonts w:cs="Arial"/>
                            </w:rPr>
                            <w:t>Rhizoids</w:t>
                          </w:r>
                        </w:p>
                      </w:txbxContent>
                    </v:textbox>
                  </v:shape>
                </v:group>
              </v:group>
            </w:pict>
          </mc:Fallback>
        </mc:AlternateContent>
      </w:r>
      <w:r w:rsidRPr="00D431D5">
        <w:rPr>
          <w:rFonts w:ascii="Arial" w:eastAsia="Times New Roman" w:hAnsi="Arial" w:cs="Arial"/>
          <w:noProof/>
          <w:color w:val="000000"/>
          <w:lang w:eastAsia="ja-JP"/>
        </w:rPr>
        <mc:AlternateContent>
          <mc:Choice Requires="wps">
            <w:drawing>
              <wp:anchor distT="45720" distB="45720" distL="114300" distR="114300" simplePos="0" relativeHeight="251668480" behindDoc="0" locked="0" layoutInCell="1" allowOverlap="1" wp14:anchorId="101A2DBE" wp14:editId="57597CA8">
                <wp:simplePos x="0" y="0"/>
                <wp:positionH relativeFrom="column">
                  <wp:posOffset>725805</wp:posOffset>
                </wp:positionH>
                <wp:positionV relativeFrom="paragraph">
                  <wp:posOffset>127414</wp:posOffset>
                </wp:positionV>
                <wp:extent cx="1073150" cy="287655"/>
                <wp:effectExtent l="0" t="0" r="0" b="0"/>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287655"/>
                        </a:xfrm>
                        <a:prstGeom prst="rect">
                          <a:avLst/>
                        </a:prstGeom>
                        <a:solidFill>
                          <a:srgbClr val="FFFFFF"/>
                        </a:solidFill>
                        <a:ln w="9525">
                          <a:noFill/>
                          <a:miter lim="800000"/>
                          <a:headEnd/>
                          <a:tailEnd/>
                        </a:ln>
                      </wps:spPr>
                      <wps:txbx>
                        <w:txbxContent>
                          <w:p w14:paraId="2DFBA75B" w14:textId="77777777" w:rsidR="003104C5" w:rsidRPr="00F77D43" w:rsidRDefault="003104C5" w:rsidP="00D431D5">
                            <w:pPr>
                              <w:rPr>
                                <w:i/>
                                <w:sz w:val="28"/>
                              </w:rPr>
                            </w:pPr>
                            <w:r>
                              <w:rPr>
                                <w:b/>
                                <w:sz w:val="28"/>
                              </w:rPr>
                              <w:t>b</w:t>
                            </w:r>
                            <w:r>
                              <w:rPr>
                                <w:sz w:val="28"/>
                              </w:rPr>
                              <w:t>)</w:t>
                            </w:r>
                            <w:r>
                              <w:rPr>
                                <w:i/>
                                <w:sz w:val="28"/>
                              </w:rPr>
                              <w:t xml:space="preserve"> </w:t>
                            </w:r>
                            <w:r w:rsidRPr="00F77D43">
                              <w:rPr>
                                <w:i/>
                                <w:sz w:val="28"/>
                              </w:rPr>
                              <w:t>Pp</w:t>
                            </w:r>
                            <w:r>
                              <w:rPr>
                                <w:i/>
                                <w:sz w:val="28"/>
                              </w:rPr>
                              <w:t>SCRM2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1A2DBE" id="_x0000_s1079" type="#_x0000_t202" style="position:absolute;margin-left:57.15pt;margin-top:10.05pt;width:84.5pt;height:22.6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" stroked="f">
                <v:textbox inset="0,0,0,0">
                  <w:txbxContent>
                    <w:p w14:paraId="2DFBA75B" w14:textId="77777777" w:rsidR="003104C5" w:rsidRPr="00F77D43" w:rsidRDefault="003104C5" w:rsidP="00D431D5">
                      <w:pPr>
                        <w:rPr>
                          <w:i/>
                          <w:sz w:val="28"/>
                        </w:rPr>
                      </w:pPr>
                      <w:r>
                        <w:rPr>
                          <w:b/>
                          <w:sz w:val="28"/>
                        </w:rPr>
                        <w:t>b</w:t>
                      </w:r>
                      <w:r>
                        <w:rPr>
                          <w:sz w:val="28"/>
                        </w:rPr>
                        <w:t>)</w:t>
                      </w:r>
                      <w:r>
                        <w:rPr>
                          <w:i/>
                          <w:sz w:val="28"/>
                        </w:rPr>
                        <w:t xml:space="preserve"> </w:t>
                      </w:r>
                      <w:r w:rsidRPr="00F77D43">
                        <w:rPr>
                          <w:i/>
                          <w:sz w:val="28"/>
                        </w:rPr>
                        <w:t>Pp</w:t>
                      </w:r>
                      <w:r>
                        <w:rPr>
                          <w:i/>
                          <w:sz w:val="28"/>
                        </w:rPr>
                        <w:t>SCRM2</w:t>
                      </w:r>
                    </w:p>
                  </w:txbxContent>
                </v:textbox>
              </v:shape>
            </w:pict>
          </mc:Fallback>
        </mc:AlternateContent>
      </w:r>
    </w:p>
    <w:p w14:paraId="10F8093C"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1687091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55742CA4"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64E16A64"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36BB5DDD"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4D0CB177"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7B00F553"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6ED05BD9"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4A6086D9"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742205C6"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5844800E"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56F16E21"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071AC80D"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297948F5"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2CF09541"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r w:rsidRPr="00D431D5">
        <w:rPr>
          <w:rFonts w:ascii="Arial" w:eastAsia="Times New Roman" w:hAnsi="Arial" w:cs="Arial"/>
          <w:noProof/>
          <w:color w:val="000000"/>
          <w:lang w:eastAsia="ja-JP"/>
        </w:rPr>
        <w:lastRenderedPageBreak/>
        <mc:AlternateContent>
          <mc:Choice Requires="wps">
            <w:drawing>
              <wp:anchor distT="45720" distB="45720" distL="114300" distR="114300" simplePos="0" relativeHeight="251669504" behindDoc="0" locked="0" layoutInCell="1" allowOverlap="1" wp14:anchorId="1F10206F" wp14:editId="48B90F46">
                <wp:simplePos x="0" y="0"/>
                <wp:positionH relativeFrom="column">
                  <wp:posOffset>694055</wp:posOffset>
                </wp:positionH>
                <wp:positionV relativeFrom="paragraph">
                  <wp:posOffset>134620</wp:posOffset>
                </wp:positionV>
                <wp:extent cx="1073261" cy="288235"/>
                <wp:effectExtent l="0" t="0" r="0" b="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261" cy="288235"/>
                        </a:xfrm>
                        <a:prstGeom prst="rect">
                          <a:avLst/>
                        </a:prstGeom>
                        <a:solidFill>
                          <a:srgbClr val="FFFFFF"/>
                        </a:solidFill>
                        <a:ln w="9525">
                          <a:noFill/>
                          <a:miter lim="800000"/>
                          <a:headEnd/>
                          <a:tailEnd/>
                        </a:ln>
                      </wps:spPr>
                      <wps:txbx>
                        <w:txbxContent>
                          <w:p w14:paraId="2A502BCC" w14:textId="77777777" w:rsidR="003104C5" w:rsidRPr="00F77D43" w:rsidRDefault="003104C5" w:rsidP="00D431D5">
                            <w:pPr>
                              <w:rPr>
                                <w:i/>
                                <w:sz w:val="28"/>
                              </w:rPr>
                            </w:pPr>
                            <w:r>
                              <w:rPr>
                                <w:b/>
                                <w:sz w:val="28"/>
                              </w:rPr>
                              <w:t>c</w:t>
                            </w:r>
                            <w:r>
                              <w:rPr>
                                <w:sz w:val="28"/>
                              </w:rPr>
                              <w:t>)</w:t>
                            </w:r>
                            <w:r>
                              <w:rPr>
                                <w:i/>
                                <w:sz w:val="28"/>
                              </w:rPr>
                              <w:t xml:space="preserve"> </w:t>
                            </w:r>
                            <w:r w:rsidRPr="00F77D43">
                              <w:rPr>
                                <w:i/>
                                <w:sz w:val="28"/>
                              </w:rPr>
                              <w:t>Pp</w:t>
                            </w:r>
                            <w:r>
                              <w:rPr>
                                <w:i/>
                                <w:sz w:val="28"/>
                              </w:rPr>
                              <w:t>SCRM3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10206F" id="_x0000_s1080" type="#_x0000_t202" style="position:absolute;margin-left:54.65pt;margin-top:10.6pt;width:84.5pt;height:22.7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" stroked="f">
                <v:textbox inset="0,0,0,0">
                  <w:txbxContent>
                    <w:p w14:paraId="2A502BCC" w14:textId="77777777" w:rsidR="003104C5" w:rsidRPr="00F77D43" w:rsidRDefault="003104C5" w:rsidP="00D431D5">
                      <w:pPr>
                        <w:rPr>
                          <w:i/>
                          <w:sz w:val="28"/>
                        </w:rPr>
                      </w:pPr>
                      <w:r>
                        <w:rPr>
                          <w:b/>
                          <w:sz w:val="28"/>
                        </w:rPr>
                        <w:t>c</w:t>
                      </w:r>
                      <w:r>
                        <w:rPr>
                          <w:sz w:val="28"/>
                        </w:rPr>
                        <w:t>)</w:t>
                      </w:r>
                      <w:r>
                        <w:rPr>
                          <w:i/>
                          <w:sz w:val="28"/>
                        </w:rPr>
                        <w:t xml:space="preserve"> </w:t>
                      </w:r>
                      <w:r w:rsidRPr="00F77D43">
                        <w:rPr>
                          <w:i/>
                          <w:sz w:val="28"/>
                        </w:rPr>
                        <w:t>Pp</w:t>
                      </w:r>
                      <w:r>
                        <w:rPr>
                          <w:i/>
                          <w:sz w:val="28"/>
                        </w:rPr>
                        <w:t>SCRM3</w:t>
                      </w:r>
                    </w:p>
                  </w:txbxContent>
                </v:textbox>
              </v:shape>
            </w:pict>
          </mc:Fallback>
        </mc:AlternateContent>
      </w:r>
    </w:p>
    <w:p w14:paraId="249AA593"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r w:rsidRPr="00D431D5">
        <w:rPr>
          <w:rFonts w:ascii="Arial" w:eastAsia="Times New Roman" w:hAnsi="Arial" w:cs="Arial"/>
          <w:b/>
          <w:noProof/>
          <w:color w:val="000000"/>
          <w:lang w:eastAsia="ja-JP"/>
        </w:rPr>
        <mc:AlternateContent>
          <mc:Choice Requires="wpg">
            <w:drawing>
              <wp:anchor distT="0" distB="0" distL="114300" distR="114300" simplePos="0" relativeHeight="251663360" behindDoc="0" locked="0" layoutInCell="1" allowOverlap="1" wp14:anchorId="7E8BDF2C" wp14:editId="56FD86A8">
                <wp:simplePos x="0" y="0"/>
                <wp:positionH relativeFrom="column">
                  <wp:posOffset>-71120</wp:posOffset>
                </wp:positionH>
                <wp:positionV relativeFrom="paragraph">
                  <wp:posOffset>156429</wp:posOffset>
                </wp:positionV>
                <wp:extent cx="5301615" cy="3333750"/>
                <wp:effectExtent l="0" t="0" r="0" b="19050"/>
                <wp:wrapNone/>
                <wp:docPr id="34" name="Group 34"/>
                <wp:cNvGraphicFramePr/>
                <a:graphic xmlns:a="http://schemas.openxmlformats.org/drawingml/2006/main">
                  <a:graphicData uri="http://schemas.microsoft.com/office/word/2010/wordprocessingGroup">
                    <wpg:wgp>
                      <wpg:cNvGrpSpPr/>
                      <wpg:grpSpPr>
                        <a:xfrm>
                          <a:off x="0" y="0"/>
                          <a:ext cx="5301615" cy="3333750"/>
                          <a:chOff x="0" y="0"/>
                          <a:chExt cx="5301730" cy="3333750"/>
                        </a:xfrm>
                      </wpg:grpSpPr>
                      <pic:pic xmlns:pic="http://schemas.openxmlformats.org/drawingml/2006/picture">
                        <pic:nvPicPr>
                          <pic:cNvPr id="32" name="Picture 32"/>
                          <pic:cNvPicPr>
                            <a:picLocks noChangeAspect="1"/>
                          </pic:cNvPicPr>
                        </pic:nvPicPr>
                        <pic:blipFill rotWithShape="1">
                          <a:blip r:embed="rId40">
                            <a:extLst>
                              <a:ext uri="{28A0092B-C50C-407E-A947-70E740481C1C}">
                                <a14:useLocalDpi xmlns:a14="http://schemas.microsoft.com/office/drawing/2010/main" val="0"/>
                              </a:ext>
                            </a:extLst>
                          </a:blip>
                          <a:srcRect l="20441" t="45768" r="74566" b="32744"/>
                          <a:stretch/>
                        </pic:blipFill>
                        <pic:spPr bwMode="auto">
                          <a:xfrm>
                            <a:off x="0" y="13855"/>
                            <a:ext cx="582295" cy="14090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2" name="Picture 362"/>
                          <pic:cNvPicPr>
                            <a:picLocks noChangeAspect="1"/>
                          </pic:cNvPicPr>
                        </pic:nvPicPr>
                        <pic:blipFill rotWithShape="1">
                          <a:blip r:embed="rId45">
                            <a:extLst>
                              <a:ext uri="{28A0092B-C50C-407E-A947-70E740481C1C}">
                                <a14:useLocalDpi xmlns:a14="http://schemas.microsoft.com/office/drawing/2010/main" val="0"/>
                              </a:ext>
                            </a:extLst>
                          </a:blip>
                          <a:srcRect l="20816" t="8945" r="23169" b="20710"/>
                          <a:stretch/>
                        </pic:blipFill>
                        <pic:spPr bwMode="auto">
                          <a:xfrm>
                            <a:off x="595745" y="27710"/>
                            <a:ext cx="4537075" cy="3201670"/>
                          </a:xfrm>
                          <a:prstGeom prst="rect">
                            <a:avLst/>
                          </a:prstGeom>
                          <a:ln>
                            <a:noFill/>
                          </a:ln>
                          <a:extLst>
                            <a:ext uri="{53640926-AAD7-44D8-BBD7-CCE9431645EC}">
                              <a14:shadowObscured xmlns:a14="http://schemas.microsoft.com/office/drawing/2010/main"/>
                            </a:ext>
                          </a:extLst>
                        </pic:spPr>
                      </pic:pic>
                      <wpg:grpSp>
                        <wpg:cNvPr id="366" name="Group 366"/>
                        <wpg:cNvGrpSpPr/>
                        <wpg:grpSpPr>
                          <a:xfrm>
                            <a:off x="526473" y="0"/>
                            <a:ext cx="4548829" cy="3333750"/>
                            <a:chOff x="0" y="0"/>
                            <a:chExt cx="4549619" cy="3335022"/>
                          </a:xfrm>
                        </wpg:grpSpPr>
                        <wps:wsp>
                          <wps:cNvPr id="367" name="Rectangle 367"/>
                          <wps:cNvSpPr/>
                          <wps:spPr>
                            <a:xfrm>
                              <a:off x="381084" y="0"/>
                              <a:ext cx="1638904" cy="4636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Rectangle 368"/>
                          <wps:cNvSpPr/>
                          <wps:spPr>
                            <a:xfrm>
                              <a:off x="2505694" y="154379"/>
                              <a:ext cx="405021" cy="126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Rectangle 369"/>
                          <wps:cNvSpPr/>
                          <wps:spPr>
                            <a:xfrm>
                              <a:off x="1793174" y="570015"/>
                              <a:ext cx="405021" cy="82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 name="Rectangle 370"/>
                          <wps:cNvSpPr/>
                          <wps:spPr>
                            <a:xfrm>
                              <a:off x="3360717" y="918534"/>
                              <a:ext cx="405021" cy="126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Rectangle 371"/>
                          <wps:cNvSpPr/>
                          <wps:spPr>
                            <a:xfrm>
                              <a:off x="866899" y="1270659"/>
                              <a:ext cx="405021" cy="82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 name="Rectangle 372"/>
                          <wps:cNvSpPr/>
                          <wps:spPr>
                            <a:xfrm>
                              <a:off x="3289465" y="1662545"/>
                              <a:ext cx="405021" cy="126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Rectangle 373"/>
                          <wps:cNvSpPr/>
                          <wps:spPr>
                            <a:xfrm>
                              <a:off x="3895107" y="1674420"/>
                              <a:ext cx="405021" cy="126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Rectangle 374"/>
                          <wps:cNvSpPr/>
                          <wps:spPr>
                            <a:xfrm>
                              <a:off x="688769" y="2988973"/>
                              <a:ext cx="405021" cy="82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Rectangle 375"/>
                          <wps:cNvSpPr/>
                          <wps:spPr>
                            <a:xfrm>
                              <a:off x="1710047" y="3240291"/>
                              <a:ext cx="2839572" cy="947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Rectangle 376"/>
                          <wps:cNvSpPr/>
                          <wps:spPr>
                            <a:xfrm>
                              <a:off x="0" y="1520041"/>
                              <a:ext cx="869597" cy="58642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7" name="Rectangle 247"/>
                        <wps:cNvSpPr/>
                        <wps:spPr>
                          <a:xfrm>
                            <a:off x="595745" y="27710"/>
                            <a:ext cx="402242" cy="149947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77" name="Group 377"/>
                        <wpg:cNvGrpSpPr/>
                        <wpg:grpSpPr>
                          <a:xfrm>
                            <a:off x="443345" y="96982"/>
                            <a:ext cx="4858385" cy="2510790"/>
                            <a:chOff x="91448" y="0"/>
                            <a:chExt cx="4859429" cy="2512769"/>
                          </a:xfrm>
                        </wpg:grpSpPr>
                        <wpg:grpSp>
                          <wpg:cNvPr id="378" name="Group 378"/>
                          <wpg:cNvGrpSpPr/>
                          <wpg:grpSpPr>
                            <a:xfrm>
                              <a:off x="355260" y="0"/>
                              <a:ext cx="4595617" cy="2118360"/>
                              <a:chOff x="-1168504" y="-43990"/>
                              <a:chExt cx="5659013" cy="2381085"/>
                            </a:xfrm>
                          </wpg:grpSpPr>
                          <wps:wsp>
                            <wps:cNvPr id="380" name="Text Box 2"/>
                            <wps:cNvSpPr txBox="1">
                              <a:spLocks noChangeArrowheads="1"/>
                            </wps:cNvSpPr>
                            <wps:spPr bwMode="auto">
                              <a:xfrm>
                                <a:off x="2966693" y="2022134"/>
                                <a:ext cx="1239875" cy="314961"/>
                              </a:xfrm>
                              <a:prstGeom prst="rect">
                                <a:avLst/>
                              </a:prstGeom>
                              <a:noFill/>
                              <a:ln w="9525">
                                <a:noFill/>
                                <a:miter lim="800000"/>
                                <a:headEnd/>
                                <a:tailEnd/>
                              </a:ln>
                            </wps:spPr>
                            <wps:txbx>
                              <w:txbxContent>
                                <w:p w14:paraId="60ACED80" w14:textId="77777777" w:rsidR="003104C5" w:rsidRPr="00905FEE" w:rsidRDefault="003104C5" w:rsidP="00D431D5">
                                  <w:pPr>
                                    <w:rPr>
                                      <w:rFonts w:cs="Arial"/>
                                    </w:rPr>
                                  </w:pPr>
                                  <w:r w:rsidRPr="00905FEE">
                                    <w:rPr>
                                      <w:rFonts w:cs="Arial"/>
                                    </w:rPr>
                                    <w:t>Sporophyte</w:t>
                                  </w:r>
                                </w:p>
                              </w:txbxContent>
                            </wps:txbx>
                            <wps:bodyPr rot="0" vert="horz" wrap="square" lIns="91440" tIns="45720" rIns="91440" bIns="45720" anchor="t" anchorCtr="0">
                              <a:noAutofit/>
                            </wps:bodyPr>
                          </wps:wsp>
                          <wps:wsp>
                            <wps:cNvPr id="381" name="Text Box 2"/>
                            <wps:cNvSpPr txBox="1">
                              <a:spLocks noChangeArrowheads="1"/>
                            </wps:cNvSpPr>
                            <wps:spPr bwMode="auto">
                              <a:xfrm>
                                <a:off x="2454947" y="1062331"/>
                                <a:ext cx="1031240" cy="314961"/>
                              </a:xfrm>
                              <a:prstGeom prst="rect">
                                <a:avLst/>
                              </a:prstGeom>
                              <a:noFill/>
                              <a:ln w="9525">
                                <a:noFill/>
                                <a:miter lim="800000"/>
                                <a:headEnd/>
                                <a:tailEnd/>
                              </a:ln>
                            </wps:spPr>
                            <wps:txbx>
                              <w:txbxContent>
                                <w:p w14:paraId="652030C6" w14:textId="77777777" w:rsidR="003104C5" w:rsidRPr="00905FEE" w:rsidRDefault="003104C5" w:rsidP="00D431D5">
                                  <w:pPr>
                                    <w:rPr>
                                      <w:rFonts w:cs="Arial"/>
                                    </w:rPr>
                                  </w:pPr>
                                  <w:r w:rsidRPr="00905FEE">
                                    <w:rPr>
                                      <w:rFonts w:cs="Arial"/>
                                    </w:rPr>
                                    <w:t>Protoplast</w:t>
                                  </w:r>
                                </w:p>
                              </w:txbxContent>
                            </wps:txbx>
                            <wps:bodyPr rot="0" vert="horz" wrap="square" lIns="91440" tIns="45720" rIns="91440" bIns="45720" anchor="t" anchorCtr="0">
                              <a:noAutofit/>
                            </wps:bodyPr>
                          </wps:wsp>
                          <wps:wsp>
                            <wps:cNvPr id="382" name="Text Box 2"/>
                            <wps:cNvSpPr txBox="1">
                              <a:spLocks noChangeArrowheads="1"/>
                            </wps:cNvSpPr>
                            <wps:spPr bwMode="auto">
                              <a:xfrm>
                                <a:off x="3459269" y="936676"/>
                                <a:ext cx="1031240" cy="314961"/>
                              </a:xfrm>
                              <a:prstGeom prst="rect">
                                <a:avLst/>
                              </a:prstGeom>
                              <a:noFill/>
                              <a:ln w="9525">
                                <a:noFill/>
                                <a:miter lim="800000"/>
                                <a:headEnd/>
                                <a:tailEnd/>
                              </a:ln>
                            </wps:spPr>
                            <wps:txbx>
                              <w:txbxContent>
                                <w:p w14:paraId="1EFBFDA3" w14:textId="77777777" w:rsidR="003104C5" w:rsidRPr="00905FEE" w:rsidRDefault="003104C5" w:rsidP="00D431D5">
                                  <w:pPr>
                                    <w:rPr>
                                      <w:rFonts w:cs="Arial"/>
                                    </w:rPr>
                                  </w:pPr>
                                  <w:r w:rsidRPr="00905FEE">
                                    <w:rPr>
                                      <w:rFonts w:cs="Arial"/>
                                    </w:rPr>
                                    <w:t>Spore</w:t>
                                  </w:r>
                                </w:p>
                              </w:txbxContent>
                            </wps:txbx>
                            <wps:bodyPr rot="0" vert="horz" wrap="square" lIns="91440" tIns="45720" rIns="91440" bIns="45720" anchor="t" anchorCtr="0">
                              <a:noAutofit/>
                            </wps:bodyPr>
                          </wps:wsp>
                          <wps:wsp>
                            <wps:cNvPr id="383" name="Text Box 2"/>
                            <wps:cNvSpPr txBox="1">
                              <a:spLocks noChangeArrowheads="1"/>
                            </wps:cNvSpPr>
                            <wps:spPr bwMode="auto">
                              <a:xfrm>
                                <a:off x="1326084" y="-43990"/>
                                <a:ext cx="1106282" cy="314961"/>
                              </a:xfrm>
                              <a:prstGeom prst="rect">
                                <a:avLst/>
                              </a:prstGeom>
                              <a:noFill/>
                              <a:ln w="9525">
                                <a:noFill/>
                                <a:miter lim="800000"/>
                                <a:headEnd/>
                                <a:tailEnd/>
                              </a:ln>
                            </wps:spPr>
                            <wps:txbx>
                              <w:txbxContent>
                                <w:p w14:paraId="443E2AA9" w14:textId="77777777" w:rsidR="003104C5" w:rsidRPr="00905FEE" w:rsidRDefault="003104C5" w:rsidP="00D431D5">
                                  <w:pPr>
                                    <w:rPr>
                                      <w:rFonts w:cs="Arial"/>
                                    </w:rPr>
                                  </w:pPr>
                                  <w:r w:rsidRPr="00905FEE">
                                    <w:rPr>
                                      <w:rFonts w:cs="Arial"/>
                                    </w:rPr>
                                    <w:t>Protonema</w:t>
                                  </w:r>
                                </w:p>
                              </w:txbxContent>
                            </wps:txbx>
                            <wps:bodyPr rot="0" vert="horz" wrap="square" lIns="91440" tIns="45720" rIns="91440" bIns="45720" anchor="t" anchorCtr="0">
                              <a:noAutofit/>
                            </wps:bodyPr>
                          </wps:wsp>
                          <wps:wsp>
                            <wps:cNvPr id="379" name="Text Box 2"/>
                            <wps:cNvSpPr txBox="1">
                              <a:spLocks noChangeArrowheads="1"/>
                            </wps:cNvSpPr>
                            <wps:spPr bwMode="auto">
                              <a:xfrm>
                                <a:off x="-1168504" y="930897"/>
                                <a:ext cx="1351617" cy="314961"/>
                              </a:xfrm>
                              <a:prstGeom prst="rect">
                                <a:avLst/>
                              </a:prstGeom>
                              <a:noFill/>
                              <a:ln w="9525">
                                <a:noFill/>
                                <a:miter lim="800000"/>
                                <a:headEnd/>
                                <a:tailEnd/>
                              </a:ln>
                            </wps:spPr>
                            <wps:txbx>
                              <w:txbxContent>
                                <w:p w14:paraId="1FF76412" w14:textId="77777777" w:rsidR="003104C5" w:rsidRPr="00905FEE" w:rsidRDefault="003104C5" w:rsidP="00D431D5">
                                  <w:pPr>
                                    <w:rPr>
                                      <w:rFonts w:cs="Arial"/>
                                    </w:rPr>
                                  </w:pPr>
                                  <w:r w:rsidRPr="00905FEE">
                                    <w:rPr>
                                      <w:rFonts w:cs="Arial"/>
                                    </w:rPr>
                                    <w:t>Gametophore</w:t>
                                  </w:r>
                                </w:p>
                              </w:txbxContent>
                            </wps:txbx>
                            <wps:bodyPr rot="0" vert="horz" wrap="square" lIns="91440" tIns="45720" rIns="91440" bIns="45720" anchor="t" anchorCtr="0">
                              <a:noAutofit/>
                            </wps:bodyPr>
                          </wps:wsp>
                        </wpg:grpSp>
                        <wps:wsp>
                          <wps:cNvPr id="384" name="Text Box 2"/>
                          <wps:cNvSpPr txBox="1">
                            <a:spLocks noChangeArrowheads="1"/>
                          </wps:cNvSpPr>
                          <wps:spPr bwMode="auto">
                            <a:xfrm>
                              <a:off x="91448" y="2232561"/>
                              <a:ext cx="1097575" cy="280208"/>
                            </a:xfrm>
                            <a:prstGeom prst="rect">
                              <a:avLst/>
                            </a:prstGeom>
                            <a:noFill/>
                            <a:ln w="9525">
                              <a:noFill/>
                              <a:miter lim="800000"/>
                              <a:headEnd/>
                              <a:tailEnd/>
                            </a:ln>
                          </wps:spPr>
                          <wps:txbx>
                            <w:txbxContent>
                              <w:p w14:paraId="70C6D5BC" w14:textId="77777777" w:rsidR="003104C5" w:rsidRPr="00905FEE" w:rsidRDefault="003104C5" w:rsidP="00D431D5">
                                <w:pPr>
                                  <w:rPr>
                                    <w:rFonts w:cs="Arial"/>
                                  </w:rPr>
                                </w:pPr>
                                <w:r>
                                  <w:rPr>
                                    <w:rFonts w:cs="Arial"/>
                                  </w:rPr>
                                  <w:t>Rhizoids</w:t>
                                </w:r>
                              </w:p>
                            </w:txbxContent>
                          </wps:txbx>
                          <wps:bodyPr rot="0" vert="horz" wrap="square" lIns="91440" tIns="45720" rIns="91440" bIns="45720" anchor="t" anchorCtr="0">
                            <a:noAutofit/>
                          </wps:bodyPr>
                        </wps:wsp>
                      </wpg:grpSp>
                    </wpg:wgp>
                  </a:graphicData>
                </a:graphic>
              </wp:anchor>
            </w:drawing>
          </mc:Choice>
          <mc:Fallback>
            <w:pict>
              <v:group w14:anchorId="7E8BDF2C" id="Group 34" o:spid="_x0000_s1081" style="position:absolute;margin-left:-5.6pt;margin-top:12.3pt;width:417.45pt;height:262.5pt;z-index:251663360" coordsize="53017,33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">
                <v:shape id="Picture 32" o:spid="_x0000_s1082" type="#_x0000_t75" style="position:absolute;top:138;width:5822;height:14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">
                  <v:imagedata r:id="rId42" o:title="" croptop="29995f" cropbottom="21459f" cropleft="13396f" cropright="48868f"/>
                  <v:path arrowok="t"/>
                </v:shape>
                <v:shape id="Picture 362" o:spid="_x0000_s1083" type="#_x0000_t75" style="position:absolute;left:5957;top:277;width:45371;height:32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">
                  <v:imagedata r:id="rId46" o:title="" croptop="5862f" cropbottom="13573f" cropleft="13642f" cropright="15184f"/>
                  <v:path arrowok="t"/>
                </v:shape>
                <v:group id="Group 366" o:spid="_x0000_s1084" style="position:absolute;left:5264;width:45489;height:33337" coordsize="45496,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rect id="Rectangle 367" o:spid="_x0000_s1085" style="position:absolute;left:3810;width:16389;height:4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" fillcolor="white [3212]" strokecolor="white [3212]" strokeweight="2pt"/>
                  <v:rect id="Rectangle 368" o:spid="_x0000_s1086" style="position:absolute;left:25056;top:1543;width:4051;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" fillcolor="white [3212]" strokecolor="white [3212]" strokeweight="2pt"/>
                  <v:rect id="Rectangle 369" o:spid="_x0000_s1087" style="position:absolute;left:17931;top:5700;width:4050;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" fillcolor="white [3212]" strokecolor="white [3212]" strokeweight="2pt"/>
                  <v:rect id="Rectangle 370" o:spid="_x0000_s1088" style="position:absolute;left:33607;top:9185;width:4050;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" fillcolor="white [3212]" strokecolor="white [3212]" strokeweight="2pt"/>
                  <v:rect id="Rectangle 371" o:spid="_x0000_s1089" style="position:absolute;left:8668;top:12706;width:4051;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" fillcolor="white [3212]" strokecolor="white [3212]" strokeweight="2pt"/>
                  <v:rect id="Rectangle 372" o:spid="_x0000_s1090" style="position:absolute;left:32894;top:16625;width:4050;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" fillcolor="white [3212]" strokecolor="white [3212]" strokeweight="2pt"/>
                  <v:rect id="Rectangle 373" o:spid="_x0000_s1091" style="position:absolute;left:38951;top:16744;width:4050;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" fillcolor="white [3212]" strokecolor="white [3212]" strokeweight="2pt"/>
                  <v:rect id="Rectangle 374" o:spid="_x0000_s1092" style="position:absolute;left:6887;top:29889;width:4050;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" fillcolor="white [3212]" strokecolor="white [3212]" strokeweight="2pt"/>
                  <v:rect id="Rectangle 375" o:spid="_x0000_s1093" style="position:absolute;left:17100;top:32402;width:28396;height:9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" fillcolor="white [3212]" strokecolor="white [3212]" strokeweight="2pt"/>
                  <v:rect id="Rectangle 376" o:spid="_x0000_s1094" style="position:absolute;top:15200;width:8695;height:5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" fillcolor="white [3212]" strokecolor="white [3212]" strokeweight="2pt"/>
                </v:group>
                <v:rect id="Rectangle 247" o:spid="_x0000_s1095" style="position:absolute;left:5957;top:277;width:4022;height:14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" fillcolor="white [3212]" strokecolor="white [3212]" strokeweight="2pt"/>
                <v:group id="Group 377" o:spid="_x0000_s1096" style="position:absolute;left:4433;top:969;width:48584;height:25108" coordorigin="914" coordsize="48594,25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group id="Group 378" o:spid="_x0000_s1097" style="position:absolute;left:3552;width:45956;height:21183" coordorigin="-11685,-439" coordsize="56590,2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shape id="_x0000_s1098" type="#_x0000_t202" style="position:absolute;left:29666;top:20221;width:12399;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" filled="f" stroked="f">
                      <v:textbox>
                        <w:txbxContent>
                          <w:p w14:paraId="60ACED80" w14:textId="77777777" w:rsidR="003104C5" w:rsidRPr="00905FEE" w:rsidRDefault="003104C5" w:rsidP="00D431D5">
                            <w:pPr>
                              <w:rPr>
                                <w:rFonts w:cs="Arial"/>
                              </w:rPr>
                            </w:pPr>
                            <w:r w:rsidRPr="00905FEE">
                              <w:rPr>
                                <w:rFonts w:cs="Arial"/>
                              </w:rPr>
                              <w:t>Sporophyte</w:t>
                            </w:r>
                          </w:p>
                        </w:txbxContent>
                      </v:textbox>
                    </v:shape>
                    <v:shape id="_x0000_s1099" type="#_x0000_t202" style="position:absolute;left:24549;top:10623;width:10312;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" filled="f" stroked="f">
                      <v:textbox>
                        <w:txbxContent>
                          <w:p w14:paraId="652030C6" w14:textId="77777777" w:rsidR="003104C5" w:rsidRPr="00905FEE" w:rsidRDefault="003104C5" w:rsidP="00D431D5">
                            <w:pPr>
                              <w:rPr>
                                <w:rFonts w:cs="Arial"/>
                              </w:rPr>
                            </w:pPr>
                            <w:r w:rsidRPr="00905FEE">
                              <w:rPr>
                                <w:rFonts w:cs="Arial"/>
                              </w:rPr>
                              <w:t>Protoplast</w:t>
                            </w:r>
                          </w:p>
                        </w:txbxContent>
                      </v:textbox>
                    </v:shape>
                    <v:shape id="_x0000_s1100" type="#_x0000_t202" style="position:absolute;left:34592;top:9366;width:10313;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" filled="f" stroked="f">
                      <v:textbox>
                        <w:txbxContent>
                          <w:p w14:paraId="1EFBFDA3" w14:textId="77777777" w:rsidR="003104C5" w:rsidRPr="00905FEE" w:rsidRDefault="003104C5" w:rsidP="00D431D5">
                            <w:pPr>
                              <w:rPr>
                                <w:rFonts w:cs="Arial"/>
                              </w:rPr>
                            </w:pPr>
                            <w:r w:rsidRPr="00905FEE">
                              <w:rPr>
                                <w:rFonts w:cs="Arial"/>
                              </w:rPr>
                              <w:t>Spore</w:t>
                            </w:r>
                          </w:p>
                        </w:txbxContent>
                      </v:textbox>
                    </v:shape>
                    <v:shape id="_x0000_s1101" type="#_x0000_t202" style="position:absolute;left:13260;top:-439;width:11063;height:3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" filled="f" stroked="f">
                      <v:textbox>
                        <w:txbxContent>
                          <w:p w14:paraId="443E2AA9" w14:textId="77777777" w:rsidR="003104C5" w:rsidRPr="00905FEE" w:rsidRDefault="003104C5" w:rsidP="00D431D5">
                            <w:pPr>
                              <w:rPr>
                                <w:rFonts w:cs="Arial"/>
                              </w:rPr>
                            </w:pPr>
                            <w:r w:rsidRPr="00905FEE">
                              <w:rPr>
                                <w:rFonts w:cs="Arial"/>
                              </w:rPr>
                              <w:t>Protonema</w:t>
                            </w:r>
                          </w:p>
                        </w:txbxContent>
                      </v:textbox>
                    </v:shape>
                    <v:shape id="_x0000_s1102" type="#_x0000_t202" style="position:absolute;left:-11685;top:9308;width:1351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" filled="f" stroked="f">
                      <v:textbox>
                        <w:txbxContent>
                          <w:p w14:paraId="1FF76412" w14:textId="77777777" w:rsidR="003104C5" w:rsidRPr="00905FEE" w:rsidRDefault="003104C5" w:rsidP="00D431D5">
                            <w:pPr>
                              <w:rPr>
                                <w:rFonts w:cs="Arial"/>
                              </w:rPr>
                            </w:pPr>
                            <w:r w:rsidRPr="00905FEE">
                              <w:rPr>
                                <w:rFonts w:cs="Arial"/>
                              </w:rPr>
                              <w:t>Gametophore</w:t>
                            </w:r>
                          </w:p>
                        </w:txbxContent>
                      </v:textbox>
                    </v:shape>
                  </v:group>
                  <v:shape id="_x0000_s1103" type="#_x0000_t202" style="position:absolute;left:914;top:22325;width:10976;height: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" filled="f" stroked="f">
                    <v:textbox>
                      <w:txbxContent>
                        <w:p w14:paraId="70C6D5BC" w14:textId="77777777" w:rsidR="003104C5" w:rsidRPr="00905FEE" w:rsidRDefault="003104C5" w:rsidP="00D431D5">
                          <w:pPr>
                            <w:rPr>
                              <w:rFonts w:cs="Arial"/>
                            </w:rPr>
                          </w:pPr>
                          <w:r>
                            <w:rPr>
                              <w:rFonts w:cs="Arial"/>
                            </w:rPr>
                            <w:t>Rhizoids</w:t>
                          </w:r>
                        </w:p>
                      </w:txbxContent>
                    </v:textbox>
                  </v:shape>
                </v:group>
              </v:group>
            </w:pict>
          </mc:Fallback>
        </mc:AlternateContent>
      </w:r>
    </w:p>
    <w:p w14:paraId="5BCEAC67"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22B8C782"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25CA82C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65079069"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6E3C0BF8"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10A424A7"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041EE261"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2FDF5032"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25146768"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p>
    <w:p w14:paraId="1ACFC113"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noProof/>
          <w:color w:val="000000"/>
          <w:lang w:eastAsia="ja-JP"/>
        </w:rPr>
        <mc:AlternateContent>
          <mc:Choice Requires="wps">
            <w:drawing>
              <wp:anchor distT="45720" distB="45720" distL="114300" distR="114300" simplePos="0" relativeHeight="251670528" behindDoc="0" locked="0" layoutInCell="1" allowOverlap="1" wp14:anchorId="5723B59E" wp14:editId="0FFB5F65">
                <wp:simplePos x="0" y="0"/>
                <wp:positionH relativeFrom="column">
                  <wp:posOffset>697922</wp:posOffset>
                </wp:positionH>
                <wp:positionV relativeFrom="paragraph">
                  <wp:posOffset>119378</wp:posOffset>
                </wp:positionV>
                <wp:extent cx="1073261" cy="288235"/>
                <wp:effectExtent l="0" t="0" r="0" b="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261" cy="288235"/>
                        </a:xfrm>
                        <a:prstGeom prst="rect">
                          <a:avLst/>
                        </a:prstGeom>
                        <a:solidFill>
                          <a:srgbClr val="FFFFFF"/>
                        </a:solidFill>
                        <a:ln w="9525">
                          <a:noFill/>
                          <a:miter lim="800000"/>
                          <a:headEnd/>
                          <a:tailEnd/>
                        </a:ln>
                      </wps:spPr>
                      <wps:txbx>
                        <w:txbxContent>
                          <w:p w14:paraId="17028D47" w14:textId="77777777" w:rsidR="003104C5" w:rsidRPr="00F77D43" w:rsidRDefault="003104C5" w:rsidP="00D431D5">
                            <w:pPr>
                              <w:rPr>
                                <w:i/>
                                <w:sz w:val="28"/>
                              </w:rPr>
                            </w:pPr>
                            <w:r>
                              <w:rPr>
                                <w:b/>
                                <w:sz w:val="28"/>
                              </w:rPr>
                              <w:t>d</w:t>
                            </w:r>
                            <w:r>
                              <w:rPr>
                                <w:sz w:val="28"/>
                              </w:rPr>
                              <w:t>)</w:t>
                            </w:r>
                            <w:r>
                              <w:rPr>
                                <w:i/>
                                <w:sz w:val="28"/>
                              </w:rPr>
                              <w:t xml:space="preserve"> </w:t>
                            </w:r>
                            <w:r w:rsidRPr="00F77D43">
                              <w:rPr>
                                <w:i/>
                                <w:sz w:val="28"/>
                              </w:rPr>
                              <w:t>Pp</w:t>
                            </w:r>
                            <w:r>
                              <w:rPr>
                                <w:i/>
                                <w:sz w:val="28"/>
                              </w:rPr>
                              <w:t>SCRM4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3B59E" id="_x0000_s1104" type="#_x0000_t202" style="position:absolute;margin-left:54.95pt;margin-top:9.4pt;width:84.5pt;height:22.7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" stroked="f">
                <v:textbox inset="0,0,0,0">
                  <w:txbxContent>
                    <w:p w14:paraId="17028D47" w14:textId="77777777" w:rsidR="003104C5" w:rsidRPr="00F77D43" w:rsidRDefault="003104C5" w:rsidP="00D431D5">
                      <w:pPr>
                        <w:rPr>
                          <w:i/>
                          <w:sz w:val="28"/>
                        </w:rPr>
                      </w:pPr>
                      <w:r>
                        <w:rPr>
                          <w:b/>
                          <w:sz w:val="28"/>
                        </w:rPr>
                        <w:t>d</w:t>
                      </w:r>
                      <w:r>
                        <w:rPr>
                          <w:sz w:val="28"/>
                        </w:rPr>
                        <w:t>)</w:t>
                      </w:r>
                      <w:r>
                        <w:rPr>
                          <w:i/>
                          <w:sz w:val="28"/>
                        </w:rPr>
                        <w:t xml:space="preserve"> </w:t>
                      </w:r>
                      <w:r w:rsidRPr="00F77D43">
                        <w:rPr>
                          <w:i/>
                          <w:sz w:val="28"/>
                        </w:rPr>
                        <w:t>Pp</w:t>
                      </w:r>
                      <w:r>
                        <w:rPr>
                          <w:i/>
                          <w:sz w:val="28"/>
                        </w:rPr>
                        <w:t>SCRM4</w:t>
                      </w:r>
                    </w:p>
                  </w:txbxContent>
                </v:textbox>
              </v:shape>
            </w:pict>
          </mc:Fallback>
        </mc:AlternateContent>
      </w:r>
      <w:r w:rsidRPr="00D431D5">
        <w:rPr>
          <w:rFonts w:ascii="Arial" w:eastAsia="Times New Roman" w:hAnsi="Arial" w:cs="Arial"/>
          <w:b/>
          <w:noProof/>
          <w:color w:val="000000"/>
          <w:lang w:eastAsia="ja-JP"/>
        </w:rPr>
        <mc:AlternateContent>
          <mc:Choice Requires="wpg">
            <w:drawing>
              <wp:anchor distT="0" distB="0" distL="114300" distR="114300" simplePos="0" relativeHeight="251664384" behindDoc="0" locked="0" layoutInCell="1" allowOverlap="1" wp14:anchorId="398755DF" wp14:editId="17F61DFC">
                <wp:simplePos x="0" y="0"/>
                <wp:positionH relativeFrom="column">
                  <wp:posOffset>0</wp:posOffset>
                </wp:positionH>
                <wp:positionV relativeFrom="paragraph">
                  <wp:posOffset>340995</wp:posOffset>
                </wp:positionV>
                <wp:extent cx="4860925" cy="3314700"/>
                <wp:effectExtent l="0" t="0" r="0" b="19050"/>
                <wp:wrapNone/>
                <wp:docPr id="250" name="Group 250"/>
                <wp:cNvGraphicFramePr/>
                <a:graphic xmlns:a="http://schemas.openxmlformats.org/drawingml/2006/main">
                  <a:graphicData uri="http://schemas.microsoft.com/office/word/2010/wordprocessingGroup">
                    <wpg:wgp>
                      <wpg:cNvGrpSpPr/>
                      <wpg:grpSpPr>
                        <a:xfrm>
                          <a:off x="0" y="0"/>
                          <a:ext cx="4860925" cy="3314700"/>
                          <a:chOff x="0" y="0"/>
                          <a:chExt cx="4861041" cy="3314865"/>
                        </a:xfrm>
                      </wpg:grpSpPr>
                      <pic:pic xmlns:pic="http://schemas.openxmlformats.org/drawingml/2006/picture">
                        <pic:nvPicPr>
                          <pic:cNvPr id="361" name="Picture 361"/>
                          <pic:cNvPicPr>
                            <a:picLocks noChangeAspect="1"/>
                          </pic:cNvPicPr>
                        </pic:nvPicPr>
                        <pic:blipFill rotWithShape="1">
                          <a:blip r:embed="rId47">
                            <a:extLst>
                              <a:ext uri="{28A0092B-C50C-407E-A947-70E740481C1C}">
                                <a14:useLocalDpi xmlns:a14="http://schemas.microsoft.com/office/drawing/2010/main" val="0"/>
                              </a:ext>
                            </a:extLst>
                          </a:blip>
                          <a:srcRect l="28397" t="14529" r="23480" b="15741"/>
                          <a:stretch/>
                        </pic:blipFill>
                        <pic:spPr bwMode="auto">
                          <a:xfrm>
                            <a:off x="723900" y="38100"/>
                            <a:ext cx="3932555" cy="3203575"/>
                          </a:xfrm>
                          <a:prstGeom prst="rect">
                            <a:avLst/>
                          </a:prstGeom>
                          <a:ln>
                            <a:noFill/>
                          </a:ln>
                          <a:extLst>
                            <a:ext uri="{53640926-AAD7-44D8-BBD7-CCE9431645EC}">
                              <a14:shadowObscured xmlns:a14="http://schemas.microsoft.com/office/drawing/2010/main"/>
                            </a:ext>
                          </a:extLst>
                        </pic:spPr>
                      </pic:pic>
                      <wpg:grpSp>
                        <wpg:cNvPr id="340" name="Group 340"/>
                        <wpg:cNvGrpSpPr/>
                        <wpg:grpSpPr>
                          <a:xfrm>
                            <a:off x="0" y="0"/>
                            <a:ext cx="4861041" cy="3314865"/>
                            <a:chOff x="-44587" y="0"/>
                            <a:chExt cx="4861687" cy="3314865"/>
                          </a:xfrm>
                        </wpg:grpSpPr>
                        <wpg:grpSp>
                          <wpg:cNvPr id="342" name="Group 342"/>
                          <wpg:cNvGrpSpPr/>
                          <wpg:grpSpPr>
                            <a:xfrm>
                              <a:off x="-31043" y="0"/>
                              <a:ext cx="4763360" cy="3314865"/>
                              <a:chOff x="-213923" y="0"/>
                              <a:chExt cx="4763542" cy="3315142"/>
                            </a:xfrm>
                          </wpg:grpSpPr>
                          <wps:wsp>
                            <wps:cNvPr id="343" name="Rectangle 343"/>
                            <wps:cNvSpPr/>
                            <wps:spPr>
                              <a:xfrm>
                                <a:off x="142504" y="0"/>
                                <a:ext cx="1638904" cy="4636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Rectangle 344"/>
                            <wps:cNvSpPr/>
                            <wps:spPr>
                              <a:xfrm>
                                <a:off x="2359749" y="154379"/>
                                <a:ext cx="405021" cy="126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Rectangle 345"/>
                            <wps:cNvSpPr/>
                            <wps:spPr>
                              <a:xfrm>
                                <a:off x="1598803" y="565150"/>
                                <a:ext cx="405021" cy="82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Rectangle 346"/>
                            <wps:cNvSpPr/>
                            <wps:spPr>
                              <a:xfrm>
                                <a:off x="3271251" y="878774"/>
                                <a:ext cx="405021" cy="126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 name="Rectangle 347"/>
                            <wps:cNvSpPr/>
                            <wps:spPr>
                              <a:xfrm>
                                <a:off x="658144" y="1270659"/>
                                <a:ext cx="405021" cy="82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Rectangle 348"/>
                            <wps:cNvSpPr/>
                            <wps:spPr>
                              <a:xfrm>
                                <a:off x="3289465" y="1662545"/>
                                <a:ext cx="405021" cy="126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 name="Rectangle 349"/>
                            <wps:cNvSpPr/>
                            <wps:spPr>
                              <a:xfrm>
                                <a:off x="3895107" y="1674420"/>
                                <a:ext cx="405021" cy="126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Rectangle 350"/>
                            <wps:cNvSpPr/>
                            <wps:spPr>
                              <a:xfrm>
                                <a:off x="579422" y="2979033"/>
                                <a:ext cx="405021" cy="825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Rectangle 351"/>
                            <wps:cNvSpPr/>
                            <wps:spPr>
                              <a:xfrm>
                                <a:off x="1710047" y="3220411"/>
                                <a:ext cx="2839572" cy="947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 name="Rectangle 352"/>
                            <wps:cNvSpPr/>
                            <wps:spPr>
                              <a:xfrm>
                                <a:off x="-213923" y="1520041"/>
                                <a:ext cx="869597" cy="58642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53" name="Group 353"/>
                          <wpg:cNvGrpSpPr/>
                          <wpg:grpSpPr>
                            <a:xfrm>
                              <a:off x="-44587" y="955"/>
                              <a:ext cx="4861687" cy="2603045"/>
                              <a:chOff x="-44586" y="-90492"/>
                              <a:chExt cx="4861876" cy="2603261"/>
                            </a:xfrm>
                          </wpg:grpSpPr>
                          <wpg:grpSp>
                            <wpg:cNvPr id="354" name="Group 354"/>
                            <wpg:cNvGrpSpPr/>
                            <wpg:grpSpPr>
                              <a:xfrm>
                                <a:off x="96673" y="-90492"/>
                                <a:ext cx="4720617" cy="2283001"/>
                                <a:chOff x="-1486930" y="-145704"/>
                                <a:chExt cx="5812939" cy="2566143"/>
                              </a:xfrm>
                            </wpg:grpSpPr>
                            <wps:wsp>
                              <wps:cNvPr id="355" name="Text Box 2"/>
                              <wps:cNvSpPr txBox="1">
                                <a:spLocks noChangeArrowheads="1"/>
                              </wps:cNvSpPr>
                              <wps:spPr bwMode="auto">
                                <a:xfrm>
                                  <a:off x="-1486930" y="980992"/>
                                  <a:ext cx="1351621" cy="314961"/>
                                </a:xfrm>
                                <a:prstGeom prst="rect">
                                  <a:avLst/>
                                </a:prstGeom>
                                <a:noFill/>
                                <a:ln w="9525">
                                  <a:noFill/>
                                  <a:miter lim="800000"/>
                                  <a:headEnd/>
                                  <a:tailEnd/>
                                </a:ln>
                              </wps:spPr>
                              <wps:txbx>
                                <w:txbxContent>
                                  <w:p w14:paraId="57F2998F" w14:textId="77777777" w:rsidR="003104C5" w:rsidRPr="00905FEE" w:rsidRDefault="003104C5" w:rsidP="00D431D5">
                                    <w:pPr>
                                      <w:rPr>
                                        <w:rFonts w:cs="Arial"/>
                                      </w:rPr>
                                    </w:pPr>
                                    <w:r w:rsidRPr="00905FEE">
                                      <w:rPr>
                                        <w:rFonts w:cs="Arial"/>
                                      </w:rPr>
                                      <w:t>Gametophore</w:t>
                                    </w:r>
                                  </w:p>
                                </w:txbxContent>
                              </wps:txbx>
                              <wps:bodyPr rot="0" vert="horz" wrap="square" lIns="91440" tIns="45720" rIns="91440" bIns="45720" anchor="t" anchorCtr="0">
                                <a:noAutofit/>
                              </wps:bodyPr>
                            </wps:wsp>
                            <wps:wsp>
                              <wps:cNvPr id="356" name="Text Box 2"/>
                              <wps:cNvSpPr txBox="1">
                                <a:spLocks noChangeArrowheads="1"/>
                              </wps:cNvSpPr>
                              <wps:spPr bwMode="auto">
                                <a:xfrm>
                                  <a:off x="2632012" y="2105478"/>
                                  <a:ext cx="1239874" cy="314961"/>
                                </a:xfrm>
                                <a:prstGeom prst="rect">
                                  <a:avLst/>
                                </a:prstGeom>
                                <a:noFill/>
                                <a:ln w="9525">
                                  <a:noFill/>
                                  <a:miter lim="800000"/>
                                  <a:headEnd/>
                                  <a:tailEnd/>
                                </a:ln>
                              </wps:spPr>
                              <wps:txbx>
                                <w:txbxContent>
                                  <w:p w14:paraId="10F9E8B4" w14:textId="77777777" w:rsidR="003104C5" w:rsidRPr="00905FEE" w:rsidRDefault="003104C5" w:rsidP="00D431D5">
                                    <w:pPr>
                                      <w:rPr>
                                        <w:rFonts w:cs="Arial"/>
                                      </w:rPr>
                                    </w:pPr>
                                    <w:r w:rsidRPr="00905FEE">
                                      <w:rPr>
                                        <w:rFonts w:cs="Arial"/>
                                      </w:rPr>
                                      <w:t>Sporophyte</w:t>
                                    </w:r>
                                  </w:p>
                                </w:txbxContent>
                              </wps:txbx>
                              <wps:bodyPr rot="0" vert="horz" wrap="square" lIns="91440" tIns="45720" rIns="91440" bIns="45720" anchor="t" anchorCtr="0">
                                <a:noAutofit/>
                              </wps:bodyPr>
                            </wps:wsp>
                            <wps:wsp>
                              <wps:cNvPr id="357" name="Text Box 2"/>
                              <wps:cNvSpPr txBox="1">
                                <a:spLocks noChangeArrowheads="1"/>
                              </wps:cNvSpPr>
                              <wps:spPr bwMode="auto">
                                <a:xfrm>
                                  <a:off x="2296443" y="1084557"/>
                                  <a:ext cx="1031241" cy="314961"/>
                                </a:xfrm>
                                <a:prstGeom prst="rect">
                                  <a:avLst/>
                                </a:prstGeom>
                                <a:noFill/>
                                <a:ln w="9525">
                                  <a:noFill/>
                                  <a:miter lim="800000"/>
                                  <a:headEnd/>
                                  <a:tailEnd/>
                                </a:ln>
                              </wps:spPr>
                              <wps:txbx>
                                <w:txbxContent>
                                  <w:p w14:paraId="5E610E7E" w14:textId="77777777" w:rsidR="003104C5" w:rsidRPr="00905FEE" w:rsidRDefault="003104C5" w:rsidP="00D431D5">
                                    <w:pPr>
                                      <w:rPr>
                                        <w:rFonts w:cs="Arial"/>
                                      </w:rPr>
                                    </w:pPr>
                                    <w:r w:rsidRPr="00905FEE">
                                      <w:rPr>
                                        <w:rFonts w:cs="Arial"/>
                                      </w:rPr>
                                      <w:t>Protoplast</w:t>
                                    </w:r>
                                  </w:p>
                                </w:txbxContent>
                              </wps:txbx>
                              <wps:bodyPr rot="0" vert="horz" wrap="square" lIns="91440" tIns="45720" rIns="91440" bIns="45720" anchor="t" anchorCtr="0">
                                <a:noAutofit/>
                              </wps:bodyPr>
                            </wps:wsp>
                            <wps:wsp>
                              <wps:cNvPr id="358" name="Text Box 2"/>
                              <wps:cNvSpPr txBox="1">
                                <a:spLocks noChangeArrowheads="1"/>
                              </wps:cNvSpPr>
                              <wps:spPr bwMode="auto">
                                <a:xfrm>
                                  <a:off x="3294768" y="938414"/>
                                  <a:ext cx="1031241" cy="314961"/>
                                </a:xfrm>
                                <a:prstGeom prst="rect">
                                  <a:avLst/>
                                </a:prstGeom>
                                <a:noFill/>
                                <a:ln w="9525">
                                  <a:noFill/>
                                  <a:miter lim="800000"/>
                                  <a:headEnd/>
                                  <a:tailEnd/>
                                </a:ln>
                              </wps:spPr>
                              <wps:txbx>
                                <w:txbxContent>
                                  <w:p w14:paraId="4C75CE17" w14:textId="77777777" w:rsidR="003104C5" w:rsidRPr="00905FEE" w:rsidRDefault="003104C5" w:rsidP="00D431D5">
                                    <w:pPr>
                                      <w:rPr>
                                        <w:rFonts w:cs="Arial"/>
                                      </w:rPr>
                                    </w:pPr>
                                    <w:r w:rsidRPr="00905FEE">
                                      <w:rPr>
                                        <w:rFonts w:cs="Arial"/>
                                      </w:rPr>
                                      <w:t>Spore</w:t>
                                    </w:r>
                                  </w:p>
                                </w:txbxContent>
                              </wps:txbx>
                              <wps:bodyPr rot="0" vert="horz" wrap="square" lIns="91440" tIns="45720" rIns="91440" bIns="45720" anchor="t" anchorCtr="0">
                                <a:noAutofit/>
                              </wps:bodyPr>
                            </wps:wsp>
                            <wps:wsp>
                              <wps:cNvPr id="359" name="Text Box 2"/>
                              <wps:cNvSpPr txBox="1">
                                <a:spLocks noChangeArrowheads="1"/>
                              </wps:cNvSpPr>
                              <wps:spPr bwMode="auto">
                                <a:xfrm>
                                  <a:off x="1086724" y="-145704"/>
                                  <a:ext cx="1106282" cy="314961"/>
                                </a:xfrm>
                                <a:prstGeom prst="rect">
                                  <a:avLst/>
                                </a:prstGeom>
                                <a:noFill/>
                                <a:ln w="9525">
                                  <a:noFill/>
                                  <a:miter lim="800000"/>
                                  <a:headEnd/>
                                  <a:tailEnd/>
                                </a:ln>
                              </wps:spPr>
                              <wps:txbx>
                                <w:txbxContent>
                                  <w:p w14:paraId="5E702BC9" w14:textId="77777777" w:rsidR="003104C5" w:rsidRPr="00905FEE" w:rsidRDefault="003104C5" w:rsidP="00D431D5">
                                    <w:pPr>
                                      <w:rPr>
                                        <w:rFonts w:cs="Arial"/>
                                      </w:rPr>
                                    </w:pPr>
                                    <w:r w:rsidRPr="00905FEE">
                                      <w:rPr>
                                        <w:rFonts w:cs="Arial"/>
                                      </w:rPr>
                                      <w:t>Protonema</w:t>
                                    </w:r>
                                  </w:p>
                                </w:txbxContent>
                              </wps:txbx>
                              <wps:bodyPr rot="0" vert="horz" wrap="square" lIns="91440" tIns="45720" rIns="91440" bIns="45720" anchor="t" anchorCtr="0">
                                <a:noAutofit/>
                              </wps:bodyPr>
                            </wps:wsp>
                          </wpg:grpSp>
                          <wps:wsp>
                            <wps:cNvPr id="360" name="Text Box 2"/>
                            <wps:cNvSpPr txBox="1">
                              <a:spLocks noChangeArrowheads="1"/>
                            </wps:cNvSpPr>
                            <wps:spPr bwMode="auto">
                              <a:xfrm>
                                <a:off x="-44586" y="2232561"/>
                                <a:ext cx="1097575" cy="280208"/>
                              </a:xfrm>
                              <a:prstGeom prst="rect">
                                <a:avLst/>
                              </a:prstGeom>
                              <a:noFill/>
                              <a:ln w="9525">
                                <a:noFill/>
                                <a:miter lim="800000"/>
                                <a:headEnd/>
                                <a:tailEnd/>
                              </a:ln>
                            </wps:spPr>
                            <wps:txbx>
                              <w:txbxContent>
                                <w:p w14:paraId="104C9949" w14:textId="77777777" w:rsidR="003104C5" w:rsidRPr="00905FEE" w:rsidRDefault="003104C5" w:rsidP="00D431D5">
                                  <w:pPr>
                                    <w:rPr>
                                      <w:rFonts w:cs="Arial"/>
                                    </w:rPr>
                                  </w:pPr>
                                  <w:r>
                                    <w:rPr>
                                      <w:rFonts w:cs="Arial"/>
                                    </w:rPr>
                                    <w:t>Rhizoids</w:t>
                                  </w:r>
                                </w:p>
                              </w:txbxContent>
                            </wps:txbx>
                            <wps:bodyPr rot="0" vert="horz" wrap="square" lIns="91440" tIns="45720" rIns="91440" bIns="45720" anchor="t" anchorCtr="0">
                              <a:noAutofit/>
                            </wps:bodyPr>
                          </wps:wsp>
                        </wpg:grpSp>
                      </wpg:grpSp>
                    </wpg:wgp>
                  </a:graphicData>
                </a:graphic>
              </wp:anchor>
            </w:drawing>
          </mc:Choice>
          <mc:Fallback>
            <w:pict>
              <v:group w14:anchorId="398755DF" id="Group 250" o:spid="_x0000_s1105" style="position:absolute;margin-left:0;margin-top:26.85pt;width:382.75pt;height:261pt;z-index:251664384" coordsize="48610,33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">
                <v:shape id="Picture 361" o:spid="_x0000_s1106" type="#_x0000_t75" style="position:absolute;left:7239;top:381;width:39325;height:32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">
                  <v:imagedata r:id="rId48" o:title="" croptop="9522f" cropbottom="10316f" cropleft="18610f" cropright="15388f"/>
                  <v:path arrowok="t"/>
                </v:shape>
                <v:group id="Group 340" o:spid="_x0000_s1107" style="position:absolute;width:48610;height:33148" coordorigin="-445" coordsize="48616,33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group id="Group 342" o:spid="_x0000_s1108" style="position:absolute;left:-310;width:47633;height:33148" coordorigin="-2139" coordsize="47635,3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rect id="Rectangle 343" o:spid="_x0000_s1109" style="position:absolute;left:1425;width:16389;height:4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" fillcolor="white [3212]" strokecolor="white [3212]" strokeweight="2pt"/>
                    <v:rect id="Rectangle 344" o:spid="_x0000_s1110" style="position:absolute;left:23597;top:1543;width:4050;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" fillcolor="white [3212]" strokecolor="white [3212]" strokeweight="2pt"/>
                    <v:rect id="Rectangle 345" o:spid="_x0000_s1111" style="position:absolute;left:15988;top:5651;width:4050;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" fillcolor="white [3212]" strokecolor="white [3212]" strokeweight="2pt"/>
                    <v:rect id="Rectangle 346" o:spid="_x0000_s1112" style="position:absolute;left:32712;top:8787;width:4050;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" fillcolor="white [3212]" strokecolor="white [3212]" strokeweight="2pt"/>
                    <v:rect id="Rectangle 347" o:spid="_x0000_s1113" style="position:absolute;left:6581;top:12706;width:4050;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" fillcolor="white [3212]" strokecolor="white [3212]" strokeweight="2pt"/>
                    <v:rect id="Rectangle 348" o:spid="_x0000_s1114" style="position:absolute;left:32894;top:16625;width:4050;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" fillcolor="white [3212]" strokecolor="white [3212]" strokeweight="2pt"/>
                    <v:rect id="Rectangle 349" o:spid="_x0000_s1115" style="position:absolute;left:38951;top:16744;width:4050;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" fillcolor="white [3212]" strokecolor="white [3212]" strokeweight="2pt"/>
                    <v:rect id="Rectangle 350" o:spid="_x0000_s1116" style="position:absolute;left:5794;top:29790;width:4050;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" fillcolor="white [3212]" strokecolor="white [3212]" strokeweight="2pt"/>
                    <v:rect id="Rectangle 351" o:spid="_x0000_s1117" style="position:absolute;left:17100;top:32204;width:28396;height:9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" fillcolor="white [3212]" strokecolor="white [3212]" strokeweight="2pt"/>
                    <v:rect id="Rectangle 352" o:spid="_x0000_s1118" style="position:absolute;left:-2139;top:15200;width:8695;height:5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" fillcolor="white [3212]" strokecolor="white [3212]" strokeweight="2pt"/>
                  </v:group>
                  <v:group id="Group 353" o:spid="_x0000_s1119" style="position:absolute;left:-445;top:9;width:48616;height:26031" coordorigin="-445,-904" coordsize="48618,2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group id="Group 354" o:spid="_x0000_s1120" style="position:absolute;left:966;top:-904;width:47206;height:22829" coordorigin="-14869,-1457" coordsize="58129,25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shape id="_x0000_s1121" type="#_x0000_t202" style="position:absolute;left:-14869;top:9809;width:13516;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" filled="f" stroked="f">
                        <v:textbox>
                          <w:txbxContent>
                            <w:p w14:paraId="57F2998F" w14:textId="77777777" w:rsidR="003104C5" w:rsidRPr="00905FEE" w:rsidRDefault="003104C5" w:rsidP="00D431D5">
                              <w:pPr>
                                <w:rPr>
                                  <w:rFonts w:cs="Arial"/>
                                </w:rPr>
                              </w:pPr>
                              <w:r w:rsidRPr="00905FEE">
                                <w:rPr>
                                  <w:rFonts w:cs="Arial"/>
                                </w:rPr>
                                <w:t>Gametophore</w:t>
                              </w:r>
                            </w:p>
                          </w:txbxContent>
                        </v:textbox>
                      </v:shape>
                      <v:shape id="_x0000_s1122" type="#_x0000_t202" style="position:absolute;left:26320;top:21054;width:12398;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" filled="f" stroked="f">
                        <v:textbox>
                          <w:txbxContent>
                            <w:p w14:paraId="10F9E8B4" w14:textId="77777777" w:rsidR="003104C5" w:rsidRPr="00905FEE" w:rsidRDefault="003104C5" w:rsidP="00D431D5">
                              <w:pPr>
                                <w:rPr>
                                  <w:rFonts w:cs="Arial"/>
                                </w:rPr>
                              </w:pPr>
                              <w:r w:rsidRPr="00905FEE">
                                <w:rPr>
                                  <w:rFonts w:cs="Arial"/>
                                </w:rPr>
                                <w:t>Sporophyte</w:t>
                              </w:r>
                            </w:p>
                          </w:txbxContent>
                        </v:textbox>
                      </v:shape>
                      <v:shape id="_x0000_s1123" type="#_x0000_t202" style="position:absolute;left:22964;top:10845;width:10312;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" filled="f" stroked="f">
                        <v:textbox>
                          <w:txbxContent>
                            <w:p w14:paraId="5E610E7E" w14:textId="77777777" w:rsidR="003104C5" w:rsidRPr="00905FEE" w:rsidRDefault="003104C5" w:rsidP="00D431D5">
                              <w:pPr>
                                <w:rPr>
                                  <w:rFonts w:cs="Arial"/>
                                </w:rPr>
                              </w:pPr>
                              <w:r w:rsidRPr="00905FEE">
                                <w:rPr>
                                  <w:rFonts w:cs="Arial"/>
                                </w:rPr>
                                <w:t>Protoplast</w:t>
                              </w:r>
                            </w:p>
                          </w:txbxContent>
                        </v:textbox>
                      </v:shape>
                      <v:shape id="_x0000_s1124" type="#_x0000_t202" style="position:absolute;left:32947;top:9384;width:10313;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" filled="f" stroked="f">
                        <v:textbox>
                          <w:txbxContent>
                            <w:p w14:paraId="4C75CE17" w14:textId="77777777" w:rsidR="003104C5" w:rsidRPr="00905FEE" w:rsidRDefault="003104C5" w:rsidP="00D431D5">
                              <w:pPr>
                                <w:rPr>
                                  <w:rFonts w:cs="Arial"/>
                                </w:rPr>
                              </w:pPr>
                              <w:r w:rsidRPr="00905FEE">
                                <w:rPr>
                                  <w:rFonts w:cs="Arial"/>
                                </w:rPr>
                                <w:t>Spore</w:t>
                              </w:r>
                            </w:p>
                          </w:txbxContent>
                        </v:textbox>
                      </v:shape>
                      <v:shape id="_x0000_s1125" type="#_x0000_t202" style="position:absolute;left:10867;top:-1457;width:11063;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" filled="f" stroked="f">
                        <v:textbox>
                          <w:txbxContent>
                            <w:p w14:paraId="5E702BC9" w14:textId="77777777" w:rsidR="003104C5" w:rsidRPr="00905FEE" w:rsidRDefault="003104C5" w:rsidP="00D431D5">
                              <w:pPr>
                                <w:rPr>
                                  <w:rFonts w:cs="Arial"/>
                                </w:rPr>
                              </w:pPr>
                              <w:r w:rsidRPr="00905FEE">
                                <w:rPr>
                                  <w:rFonts w:cs="Arial"/>
                                </w:rPr>
                                <w:t>Protonema</w:t>
                              </w:r>
                            </w:p>
                          </w:txbxContent>
                        </v:textbox>
                      </v:shape>
                    </v:group>
                    <v:shape id="_x0000_s1126" type="#_x0000_t202" style="position:absolute;left:-445;top:22325;width:10974;height: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" filled="f" stroked="f">
                      <v:textbox>
                        <w:txbxContent>
                          <w:p w14:paraId="104C9949" w14:textId="77777777" w:rsidR="003104C5" w:rsidRPr="00905FEE" w:rsidRDefault="003104C5" w:rsidP="00D431D5">
                            <w:pPr>
                              <w:rPr>
                                <w:rFonts w:cs="Arial"/>
                              </w:rPr>
                            </w:pPr>
                            <w:r>
                              <w:rPr>
                                <w:rFonts w:cs="Arial"/>
                              </w:rPr>
                              <w:t>Rhizoids</w:t>
                            </w:r>
                          </w:p>
                        </w:txbxContent>
                      </v:textbox>
                    </v:shape>
                  </v:group>
                </v:group>
              </v:group>
            </w:pict>
          </mc:Fallback>
        </mc:AlternateContent>
      </w:r>
    </w:p>
    <w:p w14:paraId="2F2EA389"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2B448A00"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7F6EE38F"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5C1CE2A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5B30FF42"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01BD5CD9"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589FAA73"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005AF1C6"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3BF9E3F0"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7CAA5211"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p>
    <w:p w14:paraId="2D1B4346" w14:textId="77777777" w:rsidR="00D431D5" w:rsidRPr="00D431D5" w:rsidRDefault="00D431D5" w:rsidP="00D431D5">
      <w:pPr>
        <w:tabs>
          <w:tab w:val="left" w:pos="6663"/>
        </w:tabs>
        <w:spacing w:after="160" w:line="360" w:lineRule="auto"/>
        <w:rPr>
          <w:rFonts w:ascii="Arial" w:eastAsia="Times New Roman" w:hAnsi="Arial" w:cs="Arial"/>
          <w:i/>
          <w:color w:val="000000"/>
          <w:lang w:eastAsia="ja-JP"/>
        </w:rPr>
      </w:pPr>
      <w:r w:rsidRPr="00D431D5">
        <w:rPr>
          <w:rFonts w:ascii="Arial" w:eastAsia="Times New Roman" w:hAnsi="Arial" w:cs="Arial"/>
          <w:b/>
          <w:color w:val="000000"/>
          <w:lang w:eastAsia="ja-JP"/>
        </w:rPr>
        <w:t>Figure 20.</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Expression profiles of </w:t>
      </w:r>
      <w:r w:rsidRPr="00D431D5">
        <w:rPr>
          <w:rFonts w:ascii="Arial" w:eastAsia="Times New Roman" w:hAnsi="Arial" w:cs="Arial"/>
          <w:b/>
          <w:i/>
          <w:color w:val="000000"/>
          <w:lang w:eastAsia="ja-JP"/>
        </w:rPr>
        <w:t xml:space="preserve">PpSCRM1 </w:t>
      </w:r>
      <w:r w:rsidRPr="00D431D5">
        <w:rPr>
          <w:rFonts w:ascii="Arial" w:eastAsia="Times New Roman" w:hAnsi="Arial" w:cs="Arial"/>
          <w:b/>
          <w:color w:val="000000"/>
          <w:lang w:eastAsia="ja-JP"/>
        </w:rPr>
        <w:t xml:space="preserve">and three </w:t>
      </w:r>
      <w:r w:rsidRPr="00D431D5">
        <w:rPr>
          <w:rFonts w:ascii="Arial" w:eastAsia="Times New Roman" w:hAnsi="Arial" w:cs="Arial"/>
          <w:b/>
          <w:i/>
          <w:color w:val="000000"/>
          <w:lang w:eastAsia="ja-JP"/>
        </w:rPr>
        <w:t>PpSCRM</w:t>
      </w:r>
      <w:r w:rsidRPr="00D431D5">
        <w:rPr>
          <w:rFonts w:ascii="Arial" w:eastAsia="Times New Roman" w:hAnsi="Arial" w:cs="Arial"/>
          <w:b/>
          <w:color w:val="000000"/>
          <w:lang w:eastAsia="ja-JP"/>
        </w:rPr>
        <w:t xml:space="preserve"> inparalogs according to the </w:t>
      </w:r>
      <w:r w:rsidRPr="00D431D5">
        <w:rPr>
          <w:rFonts w:ascii="Arial" w:eastAsia="Times New Roman" w:hAnsi="Arial" w:cs="Arial"/>
          <w:b/>
          <w:i/>
          <w:color w:val="000000"/>
          <w:lang w:eastAsia="ja-JP"/>
        </w:rPr>
        <w:t>Physcomitrella patens</w:t>
      </w:r>
      <w:r w:rsidRPr="00D431D5">
        <w:rPr>
          <w:rFonts w:ascii="Arial" w:eastAsia="Times New Roman" w:hAnsi="Arial" w:cs="Arial"/>
          <w:b/>
          <w:color w:val="000000"/>
          <w:lang w:eastAsia="ja-JP"/>
        </w:rPr>
        <w:t xml:space="preserve"> eFP browser at bar.utoronto.ca </w:t>
      </w:r>
      <w:r w:rsidRPr="00D431D5">
        <w:rPr>
          <w:rFonts w:ascii="Arial" w:eastAsia="Times New Roman" w:hAnsi="Arial" w:cs="Arial"/>
          <w:b/>
          <w:color w:val="000000"/>
          <w:lang w:eastAsia="ja-JP"/>
        </w:rPr>
        <w:fldChar w:fldCharType="begin">
          <w:fldData xml:space="preserve">PEVuZE5vdGU+PENpdGU+PEF1dGhvcj5PcnRpei1SYW3DrXJlejwvQXV0aG9yPjxZZWFyPjIwMTU8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</w:fldData>
        </w:fldChar>
      </w:r>
      <w:r w:rsidRPr="00D431D5">
        <w:rPr>
          <w:rFonts w:ascii="Arial" w:eastAsia="Times New Roman" w:hAnsi="Arial" w:cs="Arial"/>
          <w:b/>
          <w:color w:val="000000"/>
          <w:lang w:eastAsia="ja-JP"/>
        </w:rPr>
        <w:instrText xml:space="preserve"> ADDIN EN.CITE </w:instrText>
      </w:r>
      <w:r w:rsidRPr="00D431D5">
        <w:rPr>
          <w:rFonts w:ascii="Arial" w:eastAsia="Times New Roman" w:hAnsi="Arial" w:cs="Arial"/>
          <w:b/>
          <w:color w:val="000000"/>
          <w:lang w:eastAsia="ja-JP"/>
        </w:rPr>
        <w:fldChar w:fldCharType="begin">
          <w:fldData xml:space="preserve">PEVuZE5vdGU+PENpdGU+PEF1dGhvcj5PcnRpei1SYW3DrXJlejwvQXV0aG9yPjxZZWFyPjIwMTU8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</w:fldData>
        </w:fldChar>
      </w:r>
      <w:r w:rsidRPr="00D431D5">
        <w:rPr>
          <w:rFonts w:ascii="Arial" w:eastAsia="Times New Roman" w:hAnsi="Arial" w:cs="Arial"/>
          <w:b/>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b/>
          <w:color w:val="000000"/>
          <w:lang w:eastAsia="ja-JP"/>
        </w:rPr>
      </w:r>
      <w:r w:rsidRPr="00D431D5">
        <w:rPr>
          <w:rFonts w:ascii="Arial" w:eastAsia="Times New Roman" w:hAnsi="Arial" w:cs="Arial"/>
          <w:b/>
          <w:color w:val="000000"/>
          <w:lang w:eastAsia="ja-JP"/>
        </w:rPr>
        <w:fldChar w:fldCharType="separate"/>
      </w:r>
      <w:r w:rsidRPr="00D431D5">
        <w:rPr>
          <w:rFonts w:ascii="Arial" w:eastAsia="Times New Roman" w:hAnsi="Arial" w:cs="Arial"/>
          <w:b/>
          <w:color w:val="000000"/>
          <w:lang w:eastAsia="ja-JP"/>
        </w:rPr>
        <w:t>(Ortiz-Ramírez et al., 2015; Winter et al., 2007)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The levels of expression of all four schematics have been set to a signal threshold of 21000 to illustrate the differences in expression profiles between the four different </w:t>
      </w:r>
      <w:r w:rsidRPr="00D431D5">
        <w:rPr>
          <w:rFonts w:ascii="Arial" w:eastAsia="Times New Roman" w:hAnsi="Arial" w:cs="Arial"/>
          <w:i/>
          <w:color w:val="000000"/>
          <w:lang w:eastAsia="ja-JP"/>
        </w:rPr>
        <w:t>PpSCRM</w:t>
      </w:r>
      <w:r w:rsidRPr="00D431D5">
        <w:rPr>
          <w:rFonts w:ascii="Arial" w:eastAsia="Times New Roman" w:hAnsi="Arial" w:cs="Arial"/>
          <w:color w:val="000000"/>
          <w:lang w:eastAsia="ja-JP"/>
        </w:rPr>
        <w:t xml:space="preserve"> paralogs. (</w:t>
      </w:r>
      <w:r w:rsidRPr="00D431D5">
        <w:rPr>
          <w:rFonts w:ascii="Arial" w:eastAsia="Times New Roman" w:hAnsi="Arial" w:cs="Arial"/>
          <w:b/>
          <w:color w:val="000000"/>
          <w:lang w:eastAsia="ja-JP"/>
        </w:rPr>
        <w:t>a</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 PpSCRM1</w:t>
      </w:r>
      <w:r w:rsidRPr="00D431D5">
        <w:rPr>
          <w:rFonts w:ascii="Arial" w:eastAsia="Times New Roman" w:hAnsi="Arial" w:cs="Arial"/>
          <w:color w:val="000000"/>
          <w:lang w:eastAsia="ja-JP"/>
        </w:rPr>
        <w:t xml:space="preserve"> (Pp1s51_178V6.1, Pp3c10_4260V3.9) was </w:t>
      </w:r>
      <w:r w:rsidRPr="00D431D5">
        <w:rPr>
          <w:rFonts w:ascii="Arial" w:eastAsia="Times New Roman" w:hAnsi="Arial" w:cs="Arial"/>
          <w:color w:val="000000"/>
          <w:lang w:eastAsia="ja-JP"/>
        </w:rPr>
        <w:lastRenderedPageBreak/>
        <w:t xml:space="preserve">observed to be the highest expressed of all the </w:t>
      </w:r>
      <w:r w:rsidRPr="00D431D5">
        <w:rPr>
          <w:rFonts w:ascii="Arial" w:eastAsia="Times New Roman" w:hAnsi="Arial" w:cs="Arial"/>
          <w:i/>
          <w:color w:val="000000"/>
          <w:lang w:eastAsia="ja-JP"/>
        </w:rPr>
        <w:t xml:space="preserve">PpSCRMs </w:t>
      </w:r>
      <w:r w:rsidRPr="00D431D5">
        <w:rPr>
          <w:rFonts w:ascii="Arial" w:eastAsia="Times New Roman" w:hAnsi="Arial" w:cs="Arial"/>
          <w:color w:val="000000"/>
          <w:lang w:eastAsia="ja-JP"/>
        </w:rPr>
        <w:t>in the developing sporophyte. The remaining three in paralogs (</w:t>
      </w:r>
      <w:r w:rsidRPr="00D431D5">
        <w:rPr>
          <w:rFonts w:ascii="Arial" w:eastAsia="Times New Roman" w:hAnsi="Arial" w:cs="Arial"/>
          <w:b/>
          <w:color w:val="000000"/>
          <w:lang w:eastAsia="ja-JP"/>
        </w:rPr>
        <w:t>b</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 xml:space="preserve">PpSCRM2 </w:t>
      </w:r>
      <w:r w:rsidRPr="00D431D5">
        <w:rPr>
          <w:rFonts w:ascii="Arial" w:eastAsia="Times New Roman" w:hAnsi="Arial" w:cs="Arial"/>
          <w:color w:val="000000"/>
          <w:lang w:eastAsia="ja-JP"/>
        </w:rPr>
        <w:t>(Pp1s212_62v6.1, Pp3c8_18070V3.1) (</w:t>
      </w:r>
      <w:r w:rsidRPr="00D431D5">
        <w:rPr>
          <w:rFonts w:ascii="Arial" w:eastAsia="Times New Roman" w:hAnsi="Arial" w:cs="Arial"/>
          <w:b/>
          <w:color w:val="000000"/>
          <w:lang w:eastAsia="ja-JP"/>
        </w:rPr>
        <w:t>c</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 PpSCRM3 </w:t>
      </w:r>
      <w:r w:rsidRPr="00D431D5">
        <w:rPr>
          <w:rFonts w:ascii="Arial" w:eastAsia="Times New Roman" w:hAnsi="Arial" w:cs="Arial"/>
          <w:color w:val="000000"/>
          <w:lang w:eastAsia="ja-JP"/>
        </w:rPr>
        <w:t>(Pp1s257_22V6.1, Pp3c_20960V3.1) and (</w:t>
      </w:r>
      <w:r w:rsidRPr="00D431D5">
        <w:rPr>
          <w:rFonts w:ascii="Arial" w:eastAsia="Times New Roman" w:hAnsi="Arial" w:cs="Arial"/>
          <w:b/>
          <w:color w:val="000000"/>
          <w:lang w:eastAsia="ja-JP"/>
        </w:rPr>
        <w:t>d</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 xml:space="preserve">PpSCRM4 </w:t>
      </w:r>
      <w:r w:rsidRPr="00D431D5">
        <w:rPr>
          <w:rFonts w:ascii="Arial" w:eastAsia="Times New Roman" w:hAnsi="Arial" w:cs="Arial"/>
          <w:color w:val="000000"/>
          <w:lang w:eastAsia="ja-JP"/>
        </w:rPr>
        <w:t xml:space="preserve">(Pp1s30_360V6.1, Pp3c2_16410V3.3) were all also expressed most highly in the sporophyte although at a lesser level than </w:t>
      </w:r>
      <w:r w:rsidRPr="00D431D5">
        <w:rPr>
          <w:rFonts w:ascii="Arial" w:eastAsia="Times New Roman" w:hAnsi="Arial" w:cs="Arial"/>
          <w:i/>
          <w:color w:val="000000"/>
          <w:lang w:eastAsia="ja-JP"/>
        </w:rPr>
        <w:t>PpSCRM1</w:t>
      </w:r>
      <w:r w:rsidRPr="00D431D5">
        <w:rPr>
          <w:rFonts w:ascii="Arial" w:eastAsia="Times New Roman" w:hAnsi="Arial" w:cs="Arial"/>
          <w:color w:val="000000"/>
          <w:lang w:eastAsia="ja-JP"/>
        </w:rPr>
        <w:t xml:space="preserve">.  Bright red colouring represents high expression, orange represent moderate expression and bright yellow represents little to no expression relative to the 24000 set threshold.  </w:t>
      </w:r>
    </w:p>
    <w:p w14:paraId="09F099E4" w14:textId="2774564F"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As has been eluded to previously in Arabidopsis, for the SMFs and SCRMs to function during stomatal development they must come together and form a heterodimer </w: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bnRpYXRpb248L0lEVGV4dD48RGlzcGxheVRleHQ+KEthbmFva2EgZXQgYWwuLCAyMDA4KTwvRGlz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bnRpYXRpb248L0lEVGV4dD48RGlzcGxheVRleHQ+KEthbmFva2EgZXQgYWwuLCAyMDA4KTwvRGlz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(Kanaoka et al., 2008)</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To investigate whether such a formation might occur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between PpSMF1 and PpSCRM1, interactions assays between the two peptides were conducted by Dr Caspar Chater at the University of Sheffield and Dr Yasuko Kamisugi at the University of Leeds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&lt;EndNote&gt;&lt;Cite&gt;&lt;Author&gt;Chater&lt;/Author&gt;&lt;Year&gt;2016&lt;/Year&gt;&lt;IDText&gt;Origin and function of stomata in the moss Physcomitrella patens&lt;/IDText&gt;&lt;DisplayText&gt;(Chater et al., 2016)&lt;/DisplayText&gt;&lt;record&gt;&lt;dates&gt;&lt;pub-dates&gt;&lt;date&gt;2016 Nov&lt;/date&gt;&lt;/pub-dates&gt;&lt;year&gt;2016&lt;/year&gt;&lt;/dates&gt;&lt;urls&gt;&lt;related-urls&gt;&lt;url&gt;&amp;lt;Go to ISI&amp;gt;://MEDLINE:27892923&lt;/url&gt;&lt;/related-urls&gt;&lt;/urls&gt;&lt;titles&gt;&lt;title&gt;Origin and function of stomata in the moss Physcomitrella patens&lt;/title&gt;&lt;secondary-title&gt;Nature plants&lt;/secondary-title&gt;&lt;/titles&gt;&lt;pages&gt;16179-16179&lt;/pages&gt;&lt;contributors&gt;&lt;authors&gt;&lt;author&gt;Chater, Caspar C.&lt;/author&gt;&lt;author&gt;Caine, Robert S.&lt;/author&gt;&lt;author&gt;Tomek, Marta&lt;/author&gt;&lt;author&gt;Wallace, Simon&lt;/author&gt;&lt;author&gt;Kamisugi, Yasuko&lt;/author&gt;&lt;author&gt;Cuming, Andrew C.&lt;/author&gt;&lt;author&gt;Lang, Daniel&lt;/author&gt;&lt;author&gt;MacAlister, Cora A.&lt;/author&gt;&lt;author&gt;Casson, Stuart&lt;/author&gt;&lt;author&gt;Bergmann, Dominique C.&lt;/author&gt;&lt;author&gt;Decker, Eva L.&lt;/author&gt;&lt;author&gt;Frank, Wolfgang&lt;/author&gt;&lt;author&gt;Gray, Julie E.&lt;/author&gt;&lt;author&gt;Fleming, Andrew&lt;/author&gt;&lt;author&gt;Reski, Ralf&lt;/author&gt;&lt;author&gt;Beerling, David J.&lt;/author&gt;&lt;/authors&gt;&lt;/contributors&gt;&lt;added-date format="utc"&gt;1485254994&lt;/added-date&gt;&lt;ref-type name="Journal Article"&gt;17&lt;/ref-type&gt;&lt;rec-number&gt;1346&lt;/rec-number&gt;&lt;last-updated-date format="utc"&gt;1485254994&lt;/last-updated-date&gt;&lt;accession-num&gt;MEDLINE:27892923&lt;/accession-num&gt;&lt;electronic-resource-num&gt;10.1038/nplants.2016.179&lt;/electronic-resource-num&gt;&lt;volume&gt;2&lt;/volume&gt;&lt;/record&gt;&lt;/Cite&gt;&lt;/EndNote&gt;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(Chater et al., 2016)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It was shown using Bimolecular fluorescence complementation (BiFC) assays in </w:t>
      </w:r>
      <w:r w:rsidRPr="00D431D5">
        <w:rPr>
          <w:rFonts w:ascii="Arial" w:eastAsia="Times New Roman" w:hAnsi="Arial" w:cs="Arial"/>
          <w:i/>
          <w:color w:val="000000"/>
          <w:lang w:eastAsia="ja-JP"/>
        </w:rPr>
        <w:t>Allium cepa</w:t>
      </w:r>
      <w:r w:rsidRPr="00D431D5">
        <w:rPr>
          <w:rFonts w:ascii="Arial" w:eastAsia="Times New Roman" w:hAnsi="Arial" w:cs="Arial"/>
          <w:color w:val="000000"/>
          <w:lang w:eastAsia="ja-JP"/>
        </w:rPr>
        <w:t xml:space="preserve"> (onion) and yeast-2-hybrid (Y2H) assays in yeast, that like in Arabidopsis, PpSMF1</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and PpSCRM1</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could interact and dimerise and that this interactions was localised to the nucleus  </w:t>
      </w:r>
      <w:r w:rsidRPr="00D431D5">
        <w:rPr>
          <w:rFonts w:ascii="Arial" w:eastAsia="Times New Roman" w:hAnsi="Arial" w:cs="Arial"/>
          <w:color w:val="000000"/>
          <w:lang w:eastAsia="ja-JP"/>
        </w:rPr>
        <w:fldChar w:fldCharType="begin">
          <w:fldData xml:space="preserve">PEVuZE5vdGU+PENpdGU+PEF1dGhvcj5XZWludGhhbDwvQXV0aG9yPjxZZWFyPjIwMDk8L1llYXI+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PEVuZE5vdGU+PENpdGU+PEF1dGhvcj5XZWludGhhbDwvQXV0aG9yPjxZZWFyPjIwMDk8L1llYXI+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(Ito et al., 2001; Weinthal and Tzfira, 2009)</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Taken together with the single gene KO findings (</w:t>
      </w:r>
      <w:r w:rsidRPr="00D431D5">
        <w:rPr>
          <w:rFonts w:ascii="Arial" w:eastAsia="Times New Roman" w:hAnsi="Arial" w:cs="Arial"/>
          <w:b/>
          <w:color w:val="000000"/>
          <w:lang w:eastAsia="ja-JP"/>
        </w:rPr>
        <w:t xml:space="preserve">Fig. 11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13</w:t>
      </w:r>
      <w:r w:rsidRPr="00D431D5">
        <w:rPr>
          <w:rFonts w:ascii="Arial" w:eastAsia="Times New Roman" w:hAnsi="Arial" w:cs="Arial"/>
          <w:color w:val="000000"/>
          <w:lang w:eastAsia="ja-JP"/>
        </w:rPr>
        <w:t>) and the stomatal onto</w:t>
      </w:r>
      <w:r w:rsidR="00C7050F">
        <w:rPr>
          <w:rFonts w:ascii="Arial" w:eastAsia="Times New Roman" w:hAnsi="Arial" w:cs="Arial"/>
          <w:color w:val="000000"/>
          <w:lang w:eastAsia="ja-JP"/>
        </w:rPr>
        <w:t>geny</w:t>
      </w:r>
      <w:r w:rsidRPr="00D431D5">
        <w:rPr>
          <w:rFonts w:ascii="Arial" w:eastAsia="Times New Roman" w:hAnsi="Arial" w:cs="Arial"/>
          <w:color w:val="000000"/>
          <w:lang w:eastAsia="ja-JP"/>
        </w:rPr>
        <w:t xml:space="preserve"> findings (</w:t>
      </w:r>
      <w:r w:rsidRPr="00D431D5">
        <w:rPr>
          <w:rFonts w:ascii="Arial" w:eastAsia="Times New Roman" w:hAnsi="Arial" w:cs="Arial"/>
          <w:b/>
          <w:color w:val="000000"/>
          <w:lang w:eastAsia="ja-JP"/>
        </w:rPr>
        <w:t>Fig. 15</w:t>
      </w:r>
      <w:r w:rsidRPr="00D431D5">
        <w:rPr>
          <w:rFonts w:ascii="Arial" w:eastAsia="Times New Roman" w:hAnsi="Arial" w:cs="Arial"/>
          <w:color w:val="000000"/>
          <w:lang w:eastAsia="ja-JP"/>
        </w:rPr>
        <w:t xml:space="preserve">), these data suggest that a PpSMF1-PpSCRM1 heterodimer forms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which is responsible for the formation of early GMCs in expanding sporophytes of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w:t>
      </w:r>
    </w:p>
    <w:p w14:paraId="6E4C81EA"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Although the number of sequenced genomes in non-vascular land plants and earlier diverging vascular land plants is limited to just a few published species, some assumptions can be made based on the data presented here and the observation of others (</w:t>
      </w:r>
      <w:r w:rsidRPr="00D431D5">
        <w:rPr>
          <w:rFonts w:ascii="Arial" w:eastAsia="Times New Roman" w:hAnsi="Arial" w:cs="Arial"/>
          <w:b/>
          <w:color w:val="000000"/>
          <w:lang w:eastAsia="ja-JP"/>
        </w:rPr>
        <w:t>Fig. 7a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&lt;EndNote&gt;&lt;Cite&gt;&lt;Author&gt;MacAlister&lt;/Author&gt;&lt;Year&gt;2011&lt;/Year&gt;&lt;IDText&gt;Sequence and function of basic helix-loop-helix proteins required for stomatal development in Arabidopsis are deeply conserved in land plants&lt;/IDText&gt;&lt;DisplayText&gt;(MacAlister and Bergmann, 2011)&lt;/DisplayText&gt;&lt;record&gt;&lt;dates&gt;&lt;pub-dates&gt;&lt;date&gt;Mar-Apr&lt;/date&gt;&lt;/pub-dates&gt;&lt;year&gt;2011&lt;/year&gt;&lt;/dates&gt;&lt;keywords&gt;&lt;keyword&gt;TRANSCRIPTION FACTOR FAMILY&lt;/keyword&gt;&lt;keyword&gt;MONOCOT-DICOT DIVERGENCE&lt;/keyword&gt;&lt;keyword&gt;EVOLUTION&lt;/keyword&gt;&lt;keyword&gt;DIVERSITY&lt;/keyword&gt;&lt;keyword&gt;GENES&lt;/keyword&gt;&lt;keyword&gt;DIFFERENTIATION&lt;/keyword&gt;&lt;keyword&gt;THALIANA&lt;/keyword&gt;&lt;keyword&gt;MUTANTS&lt;/keyword&gt;&lt;keyword&gt;GENOMES&lt;/keyword&gt;&lt;keyword&gt;CASCADE&lt;/keyword&gt;&lt;/keywords&gt;&lt;urls&gt;&lt;related-urls&gt;&lt;url&gt;&amp;lt;Go to ISI&amp;gt;://WOS:000288502600007&lt;/url&gt;&lt;/related-urls&gt;&lt;/urls&gt;&lt;isbn&gt;1520-541X&lt;/isbn&gt;&lt;work-type&gt;Article&lt;/work-type&gt;&lt;titles&gt;&lt;title&gt;Sequence and function of basic helix-loop-helix proteins required for stomatal development in Arabidopsis are deeply conserved in land plants&lt;/title&gt;&lt;secondary-title&gt;Evolution &amp;amp; Development&lt;/secondary-title&gt;&lt;alt-title&gt;Evol. Dev.&lt;/alt-title&gt;&lt;/titles&gt;&lt;pages&gt;182-192&lt;/pages&gt;&lt;number&gt;2&lt;/number&gt;&lt;contributors&gt;&lt;authors&gt;&lt;author&gt;MacAlister, C. A.&lt;/author&gt;&lt;author&gt;Bergmann, D. C.&lt;/author&gt;&lt;/authors&gt;&lt;/contributors&gt;&lt;language&gt;English&lt;/language&gt;&lt;added-date format="utc"&gt;1354083840&lt;/added-date&gt;&lt;ref-type name="Journal Article"&gt;17&lt;/ref-type&gt;&lt;auth-address&gt;[MacAlister, Cora A.&amp;#xD;Bergmann, Dominique C.] Stanford Univ, Dept Biol, Stanford, CA 94305 USA.&amp;#xD;MacAlister, CA (reprint author), Cold Spring Harbor Lab, POB 100, Cold Spring Harbor, NY 11724 USA.&amp;#xD;cmacalis@cshl.edu&lt;/auth-address&gt;&lt;rec-number&gt;61&lt;/rec-number&gt;&lt;last-updated-date format="utc"&gt;1354083840&lt;/last-updated-date&gt;&lt;accession-num&gt;WOS:000288502600007&lt;/accession-num&gt;&lt;electronic-resource-num&gt;10.1111/j.1525-142X.2011.00468.x&lt;/electronic-resource-num&gt;&lt;volume&gt;13&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(MacAlister and Bergmann, 2011)</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From an evolutionary perspective, like MacAlister and Bergmann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 ExcludeAuth="1"&gt;&lt;Author&gt;MacAlister&lt;/Author&gt;&lt;Year&gt;2011&lt;/Year&gt;&lt;IDText&gt;Sequence and function of basic helix-loop-helix proteins required for stomatal development in Arabidopsis are deeply conserved in land plants&lt;/IDText&gt;&lt;DisplayText&gt;(2011)&lt;/DisplayText&gt;&lt;record&gt;&lt;dates&gt;&lt;pub-dates&gt;&lt;date&gt;Mar-Apr&lt;/date&gt;&lt;/pub-dates&gt;&lt;year&gt;2011&lt;/year&gt;&lt;/dates&gt;&lt;keywords&gt;&lt;keyword&gt;TRANSCRIPTION FACTOR FAMILY&lt;/keyword&gt;&lt;keyword&gt;MONOCOT-DICOT DIVERGENCE&lt;/keyword&gt;&lt;keyword&gt;EVOLUTION&lt;/keyword&gt;&lt;keyword&gt;DIVERSITY&lt;/keyword&gt;&lt;keyword&gt;GENES&lt;/keyword&gt;&lt;keyword&gt;DIFFERENTIATION&lt;/keyword&gt;&lt;keyword&gt;THALIANA&lt;/keyword&gt;&lt;keyword&gt;MUTANTS&lt;/keyword&gt;&lt;keyword&gt;GENOMES&lt;/keyword&gt;&lt;keyword&gt;CASCADE&lt;/keyword&gt;&lt;/keywords&gt;&lt;urls&gt;&lt;related-urls&gt;&lt;url&gt;&amp;lt;Go to ISI&amp;gt;://WOS:000288502600007&lt;/url&gt;&lt;/related-urls&gt;&lt;/urls&gt;&lt;isbn&gt;1520-541X&lt;/isbn&gt;&lt;work-type&gt;Article&lt;/work-type&gt;&lt;titles&gt;&lt;title&gt;Sequence and function of basic helix-loop-helix proteins required for stomatal development in Arabidopsis are deeply conserved in land plants&lt;/title&gt;&lt;secondary-title&gt;Evolution &amp;amp; Development&lt;/secondary-title&gt;&lt;alt-title&gt;Evol. Dev.&lt;/alt-title&gt;&lt;/titles&gt;&lt;pages&gt;182-192&lt;/pages&gt;&lt;number&gt;2&lt;/number&gt;&lt;contributors&gt;&lt;authors&gt;&lt;author&gt;MacAlister, C. A.&lt;/author&gt;&lt;author&gt;Bergmann, D. C.&lt;/author&gt;&lt;/authors&gt;&lt;/contributors&gt;&lt;language&gt;English&lt;/language&gt;&lt;added-date format="utc"&gt;1354083840&lt;/added-date&gt;&lt;ref-type name="Journal Article"&gt;17&lt;/ref-type&gt;&lt;auth-address&gt;[MacAlister, Cora A.&amp;#xD;Bergmann, Dominique C.] Stanford Univ, Dept Biol, Stanford, CA 94305 USA.&amp;#xD;MacAlister, CA (reprint author), Cold Spring Harbor Lab, POB 100, Cold Spring Harbor, NY 11724 USA.&amp;#xD;cmacalis@cshl.edu&lt;/auth-address&gt;&lt;rec-number&gt;61&lt;/rec-number&gt;&lt;last-updated-date format="utc"&gt;1354083840&lt;/last-updated-date&gt;&lt;accession-num&gt;WOS:000288502600007&lt;/accession-num&gt;&lt;electronic-resource-num&gt;10.1111/j.1525-142X.2011.00468.x&lt;/electronic-resource-num&gt;&lt;volume&gt;13&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(2011)</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and others have eluded to, it is probable that an ancestral multi-functional gene first existed in the group IA bHLH clade (</w:t>
      </w:r>
      <w:r w:rsidRPr="00D431D5">
        <w:rPr>
          <w:rFonts w:ascii="Arial" w:eastAsia="Times New Roman" w:hAnsi="Arial" w:cs="Arial"/>
          <w:i/>
          <w:color w:val="000000"/>
          <w:lang w:eastAsia="ja-JP"/>
        </w:rPr>
        <w:t>SMFs</w:t>
      </w:r>
      <w:r w:rsidRPr="00D431D5">
        <w:rPr>
          <w:rFonts w:ascii="Arial" w:eastAsia="Times New Roman" w:hAnsi="Arial" w:cs="Arial"/>
          <w:color w:val="000000"/>
          <w:lang w:eastAsia="ja-JP"/>
        </w:rPr>
        <w:t xml:space="preserve">) that governed stomatal development to allow stomatal lineage entry and subsequent differentiation </w:t>
      </w:r>
      <w:r w:rsidRPr="00D431D5">
        <w:rPr>
          <w:rFonts w:ascii="Arial" w:eastAsia="Times New Roman" w:hAnsi="Arial" w:cs="Arial"/>
          <w:color w:val="000000"/>
          <w:lang w:eastAsia="ja-JP"/>
        </w:rPr>
        <w:fldChar w:fldCharType="begin">
          <w:fldData xml:space="preserve">PEVuZE5vdGU+PENpdGU+PEF1dGhvcj5EYXZpZXM8L0F1dGhvcj48WWVhcj4yMDE0PC9ZZWFyPjxJ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PEVuZE5vdGU+PENpdGU+PEF1dGhvcj5EYXZpZXM8L0F1dGhvcj48WWVhcj4yMDE0PC9ZZWFyPjxJ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(Davies and Bergmann, 2014; Peterson et al., 2010)</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Based on the data presented here it seems that from an early point in plant evolutionary history a FAMA-like gene would have dimerised with at least one group IIIb </w:t>
      </w:r>
      <w:r w:rsidRPr="00D431D5">
        <w:rPr>
          <w:rFonts w:ascii="Arial" w:eastAsia="Times New Roman" w:hAnsi="Arial" w:cs="Arial"/>
          <w:i/>
          <w:color w:val="000000"/>
          <w:lang w:eastAsia="ja-JP"/>
        </w:rPr>
        <w:t>SCRM</w:t>
      </w:r>
      <w:r w:rsidRPr="00D431D5">
        <w:rPr>
          <w:rFonts w:ascii="Arial" w:eastAsia="Times New Roman" w:hAnsi="Arial" w:cs="Arial"/>
          <w:color w:val="000000"/>
          <w:lang w:eastAsia="ja-JP"/>
        </w:rPr>
        <w:t xml:space="preserve"> gene to encourage stomatal development to occur in early land plants. </w:t>
      </w:r>
    </w:p>
    <w:p w14:paraId="0820CFCB"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From the observations, phylogenetic studies and functional studies presented here and elsewhere, it seems that after the divergence of the lycophytes from the ancestral lineage a duplication event occurred which lead to the formation of both MUTE-like and SPCH-like proteins (</w:t>
      </w:r>
      <w:r w:rsidRPr="00D431D5">
        <w:rPr>
          <w:rFonts w:ascii="Arial" w:eastAsia="Times New Roman" w:hAnsi="Arial" w:cs="Arial"/>
          <w:b/>
          <w:color w:val="000000"/>
          <w:lang w:eastAsia="ja-JP"/>
        </w:rPr>
        <w:t>Fig. 7a</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fldData xml:space="preserve">PEVuZE5vdGU+PENpdGU+PEF1dGhvcj5SYW48L0F1dGhvcj48WWVhcj4yMDEzPC9ZZWFyPjxJRFRl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PEVuZE5vdGU+PENpdGU+PEF1dGhvcj5SYW48L0F1dGhvcj48WWVhcj4yMDEzPC9ZZWFyPjxJRFRl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(Ran et al., 2013)</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Such proteins seem to have gradually diverged in their functions leading to plants with more adjustable stomatal development modules that can be more finely tuned </w:t>
      </w:r>
      <w:r w:rsidRPr="00D431D5">
        <w:rPr>
          <w:rFonts w:ascii="Arial" w:eastAsia="Times New Roman" w:hAnsi="Arial" w:cs="Arial"/>
          <w:color w:val="000000"/>
          <w:lang w:eastAsia="ja-JP"/>
        </w:rPr>
        <w:fldChar w:fldCharType="begin">
          <w:fldData xml:space="preserve">PEVuZE5vdGU+PENpdGU+PEF1dGhvcj5EYXZpZXM8L0F1dGhvcj48WWVhcj4yMDE0PC9ZZWFyPjxJ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PEVuZE5vdGU+PENpdGU+PEF1dGhvcj5EYXZpZXM8L0F1dGhvcj48WWVhcj4yMDE0PC9ZZWFyPjxJ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(Davies and Bergmann, 2014)</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In relation to</w:t>
      </w:r>
      <w:r w:rsidRPr="00D431D5">
        <w:rPr>
          <w:rFonts w:ascii="Arial" w:eastAsia="Times New Roman" w:hAnsi="Arial" w:cs="Arial"/>
          <w:i/>
          <w:color w:val="000000"/>
          <w:lang w:eastAsia="ja-JP"/>
        </w:rPr>
        <w:t xml:space="preserve"> SMF </w:t>
      </w:r>
      <w:r w:rsidRPr="00D431D5">
        <w:rPr>
          <w:rFonts w:ascii="Arial" w:eastAsia="Times New Roman" w:hAnsi="Arial" w:cs="Arial"/>
          <w:color w:val="000000"/>
          <w:lang w:eastAsia="ja-JP"/>
        </w:rPr>
        <w:t xml:space="preserve">genes, based on the </w:t>
      </w:r>
      <w:r w:rsidRPr="00D431D5">
        <w:rPr>
          <w:rFonts w:ascii="Arial" w:eastAsia="Times New Roman" w:hAnsi="Arial" w:cs="Arial"/>
          <w:color w:val="000000"/>
          <w:lang w:eastAsia="ja-JP"/>
        </w:rPr>
        <w:lastRenderedPageBreak/>
        <w:t xml:space="preserve">observations in </w:t>
      </w:r>
      <w:r w:rsidRPr="00D431D5">
        <w:rPr>
          <w:rFonts w:ascii="Arial" w:eastAsia="Times New Roman" w:hAnsi="Arial" w:cs="Arial"/>
          <w:b/>
          <w:color w:val="000000"/>
          <w:lang w:eastAsia="ja-JP"/>
        </w:rPr>
        <w:t>Fig. 4</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9a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18</w:t>
      </w:r>
      <w:r w:rsidRPr="00D431D5">
        <w:rPr>
          <w:rFonts w:ascii="Arial" w:eastAsia="Times New Roman" w:hAnsi="Arial" w:cs="Arial"/>
          <w:color w:val="000000"/>
          <w:lang w:eastAsia="ja-JP"/>
        </w:rPr>
        <w:t xml:space="preserve"> regarding stomatal spacing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and the observations relating to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function (</w:t>
      </w:r>
      <w:r w:rsidRPr="00D431D5">
        <w:rPr>
          <w:rFonts w:ascii="Arial" w:eastAsia="Times New Roman" w:hAnsi="Arial" w:cs="Arial"/>
          <w:b/>
          <w:color w:val="000000"/>
          <w:lang w:eastAsia="ja-JP"/>
        </w:rPr>
        <w:t>Fig. 11</w:t>
      </w:r>
      <w:r w:rsidRPr="00D431D5">
        <w:rPr>
          <w:rFonts w:ascii="Arial" w:eastAsia="Times New Roman" w:hAnsi="Arial" w:cs="Arial"/>
          <w:color w:val="000000"/>
          <w:lang w:eastAsia="ja-JP"/>
        </w:rPr>
        <w:t xml:space="preserve">), it is possible that during land plant evolution that evolving and expanding plants used the evolution of </w:t>
      </w:r>
      <w:r w:rsidRPr="00D431D5">
        <w:rPr>
          <w:rFonts w:ascii="Arial" w:eastAsia="Times New Roman" w:hAnsi="Arial" w:cs="Arial"/>
          <w:i/>
          <w:color w:val="000000"/>
          <w:lang w:eastAsia="ja-JP"/>
        </w:rPr>
        <w:t xml:space="preserve">SPCH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MUTE </w:t>
      </w:r>
      <w:r w:rsidRPr="00D431D5">
        <w:rPr>
          <w:rFonts w:ascii="Arial" w:eastAsia="Times New Roman" w:hAnsi="Arial" w:cs="Arial"/>
          <w:color w:val="000000"/>
          <w:lang w:eastAsia="ja-JP"/>
        </w:rPr>
        <w:t>to sequester the stomatal spacing mechanisms from the ancestral early GMC regulatory point thereby enabling a greater regulation over how stomata developed in larger more stomatal-dependent organs.</w:t>
      </w:r>
    </w:p>
    <w:p w14:paraId="6DD053DE" w14:textId="2751EA0D" w:rsidR="00D431D5" w:rsidRPr="00D431D5" w:rsidRDefault="00D431D5" w:rsidP="00D431D5">
      <w:pPr>
        <w:tabs>
          <w:tab w:val="left" w:pos="6663"/>
        </w:tabs>
        <w:spacing w:after="160" w:line="360" w:lineRule="auto"/>
        <w:rPr>
          <w:rFonts w:ascii="Arial" w:eastAsia="Times New Roman" w:hAnsi="Arial" w:cs="Arial"/>
          <w:i/>
          <w:color w:val="000000"/>
          <w:lang w:eastAsia="ja-JP"/>
        </w:rPr>
      </w:pPr>
      <w:r w:rsidRPr="00D431D5">
        <w:rPr>
          <w:rFonts w:ascii="Arial" w:eastAsia="Times New Roman" w:hAnsi="Arial" w:cs="Arial"/>
          <w:color w:val="000000"/>
          <w:lang w:eastAsia="ja-JP"/>
        </w:rPr>
        <w:t xml:space="preserve">To ascertain whether stomata contributed to the overall size of the sporophyte, one-dimension capsule areas of </w:t>
      </w:r>
      <w:r w:rsidRPr="00D431D5">
        <w:rPr>
          <w:rFonts w:ascii="Arial" w:eastAsia="Times New Roman" w:hAnsi="Arial" w:cs="Arial"/>
          <w:i/>
          <w:color w:val="000000"/>
          <w:lang w:eastAsia="ja-JP"/>
        </w:rPr>
        <w:t xml:space="preserve">ppsmf1, ppscrm1 </w:t>
      </w:r>
      <w:r w:rsidRPr="00D431D5">
        <w:rPr>
          <w:rFonts w:ascii="Arial" w:eastAsia="Times New Roman" w:hAnsi="Arial" w:cs="Arial"/>
          <w:color w:val="000000"/>
          <w:lang w:eastAsia="ja-JP"/>
        </w:rPr>
        <w:t>and the corresponding wild-types were measured (</w:t>
      </w:r>
      <w:r w:rsidRPr="00D431D5">
        <w:rPr>
          <w:rFonts w:ascii="Arial" w:eastAsia="Times New Roman" w:hAnsi="Arial" w:cs="Arial"/>
          <w:b/>
          <w:color w:val="000000"/>
          <w:lang w:eastAsia="ja-JP"/>
        </w:rPr>
        <w:t xml:space="preserve">Fig. 11n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13h</w:t>
      </w:r>
      <w:r w:rsidRPr="00D431D5">
        <w:rPr>
          <w:rFonts w:ascii="Arial" w:eastAsia="Times New Roman" w:hAnsi="Arial" w:cs="Arial"/>
          <w:color w:val="000000"/>
          <w:lang w:eastAsia="ja-JP"/>
        </w:rPr>
        <w:t xml:space="preserve">). No detectable differences were found between mutant lines and the corresponding wild-type suggesting that stomatal absence did not prevent sporophytes from acquiring the required nutrients for growth. To test whether there might be downstream effects of having no stomata, spore germination rates of mutant lines were also tested against the wild-type, but again as with sporophyte capsule size measurements, no differences were detected between the wild-type and the mutant lines which would imply that sporophytes were </w:t>
      </w:r>
      <w:r w:rsidR="00515B07">
        <w:rPr>
          <w:rFonts w:ascii="Arial" w:eastAsia="Times New Roman" w:hAnsi="Arial" w:cs="Arial"/>
          <w:color w:val="000000"/>
          <w:lang w:eastAsia="ja-JP"/>
        </w:rPr>
        <w:t xml:space="preserve">probably </w:t>
      </w:r>
      <w:r w:rsidRPr="00D431D5">
        <w:rPr>
          <w:rFonts w:ascii="Arial" w:eastAsia="Times New Roman" w:hAnsi="Arial" w:cs="Arial"/>
          <w:color w:val="000000"/>
          <w:lang w:eastAsia="ja-JP"/>
        </w:rPr>
        <w:t xml:space="preserve">able to acquire enough nutrients and carbon </w:t>
      </w:r>
      <w:r w:rsidR="00515B07">
        <w:rPr>
          <w:rFonts w:ascii="Arial" w:eastAsia="Times New Roman" w:hAnsi="Arial" w:cs="Arial"/>
          <w:color w:val="000000"/>
          <w:lang w:eastAsia="ja-JP"/>
        </w:rPr>
        <w:t xml:space="preserve">for the </w:t>
      </w:r>
      <w:r w:rsidRPr="00D431D5">
        <w:rPr>
          <w:rFonts w:ascii="Arial" w:eastAsia="Times New Roman" w:hAnsi="Arial" w:cs="Arial"/>
          <w:color w:val="000000"/>
          <w:lang w:eastAsia="ja-JP"/>
        </w:rPr>
        <w:t>developing spores (personal communications, Dr Caspar Chater and Professor Ralf Reski).</w:t>
      </w:r>
      <w:r w:rsidRPr="00D431D5">
        <w:rPr>
          <w:rFonts w:ascii="Arial" w:eastAsia="Times New Roman" w:hAnsi="Arial" w:cs="Arial"/>
          <w:i/>
          <w:color w:val="000000"/>
          <w:lang w:eastAsia="ja-JP"/>
        </w:rPr>
        <w:t xml:space="preserve"> </w:t>
      </w:r>
    </w:p>
    <w:p w14:paraId="6C2E6388" w14:textId="457D1C2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To investigate stomatal functioning during sporophyte development, experiments were conducted using both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KO mutants to ascertain whether stomata function during capsule maturation and dehiscence (</w:t>
      </w:r>
      <w:r w:rsidRPr="00D431D5">
        <w:rPr>
          <w:rFonts w:ascii="Arial" w:eastAsia="Times New Roman" w:hAnsi="Arial" w:cs="Arial"/>
          <w:b/>
          <w:color w:val="000000"/>
          <w:lang w:eastAsia="ja-JP"/>
        </w:rPr>
        <w:t>Fig. 16</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&lt;EndNote&gt;&lt;Cite&gt;&lt;Author&gt;Chater&lt;/Author&gt;&lt;Year&gt;2016&lt;/Year&gt;&lt;IDText&gt;Origin and function of stomata in the moss Physcomitrella patens&lt;/IDText&gt;&lt;DisplayText&gt;(Chater et al., 2016)&lt;/DisplayText&gt;&lt;record&gt;&lt;dates&gt;&lt;pub-dates&gt;&lt;date&gt;2016 Nov&lt;/date&gt;&lt;/pub-dates&gt;&lt;year&gt;2016&lt;/year&gt;&lt;/dates&gt;&lt;urls&gt;&lt;related-urls&gt;&lt;url&gt;&amp;lt;Go to ISI&amp;gt;://MEDLINE:27892923&lt;/url&gt;&lt;/related-urls&gt;&lt;/urls&gt;&lt;titles&gt;&lt;title&gt;Origin and function of stomata in the moss Physcomitrella patens&lt;/title&gt;&lt;secondary-title&gt;Nature plants&lt;/secondary-title&gt;&lt;/titles&gt;&lt;pages&gt;16179-16179&lt;/pages&gt;&lt;contributors&gt;&lt;authors&gt;&lt;author&gt;Chater, Caspar C.&lt;/author&gt;&lt;author&gt;Caine, Robert S.&lt;/author&gt;&lt;author&gt;Tomek, Marta&lt;/author&gt;&lt;author&gt;Wallace, Simon&lt;/author&gt;&lt;author&gt;Kamisugi, Yasuko&lt;/author&gt;&lt;author&gt;Cuming, Andrew C.&lt;/author&gt;&lt;author&gt;Lang, Daniel&lt;/author&gt;&lt;author&gt;MacAlister, Cora A.&lt;/author&gt;&lt;author&gt;Casson, Stuart&lt;/author&gt;&lt;author&gt;Bergmann, Dominique C.&lt;/author&gt;&lt;author&gt;Decker, Eva L.&lt;/author&gt;&lt;author&gt;Frank, Wolfgang&lt;/author&gt;&lt;author&gt;Gray, Julie E.&lt;/author&gt;&lt;author&gt;Fleming, Andrew&lt;/author&gt;&lt;author&gt;Reski, Ralf&lt;/author&gt;&lt;author&gt;Beerling, David J.&lt;/author&gt;&lt;/authors&gt;&lt;/contributors&gt;&lt;added-date format="utc"&gt;1485254994&lt;/added-date&gt;&lt;ref-type name="Journal Article"&gt;17&lt;/ref-type&gt;&lt;rec-number&gt;1346&lt;/rec-number&gt;&lt;last-updated-date format="utc"&gt;1485254994&lt;/last-updated-date&gt;&lt;accession-num&gt;MEDLINE:27892923&lt;/accession-num&gt;&lt;electronic-resource-num&gt;10.1038/nplants.2016.179&lt;/electronic-resource-num&gt;&lt;volume&gt;2&lt;/volume&gt;&lt;/record&gt;&lt;/Cite&gt;&lt;/EndNote&gt;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(Chater et al., 2016)</w:t>
      </w:r>
      <w:r w:rsidRPr="00D431D5">
        <w:rPr>
          <w:rFonts w:ascii="Arial" w:eastAsia="Times New Roman" w:hAnsi="Arial" w:cs="Arial"/>
          <w:color w:val="000000"/>
          <w:lang w:eastAsia="ja-JP"/>
        </w:rPr>
        <w:fldChar w:fldCharType="end"/>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 xml:space="preserve">It was found that in both mutant backgrounds that capsules dehisced later than the corresponding wild-type thereby illustrating a functional role for stomata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Whether the delay in dehiscence was due to an inability to release water from within the capsule or whether such capsules had a restrained ability to obtain nutrients and or acquire carbon is difficult to absolutely determine. It is possible that a combination of slower nutrient and carbon acquirement, in addition </w:t>
      </w:r>
      <w:r w:rsidR="00515B07">
        <w:rPr>
          <w:rFonts w:ascii="Arial" w:eastAsia="Times New Roman" w:hAnsi="Arial" w:cs="Arial"/>
          <w:color w:val="000000"/>
          <w:lang w:eastAsia="ja-JP"/>
        </w:rPr>
        <w:t xml:space="preserve">to </w:t>
      </w:r>
      <w:r w:rsidRPr="00D431D5">
        <w:rPr>
          <w:rFonts w:ascii="Arial" w:eastAsia="Times New Roman" w:hAnsi="Arial" w:cs="Arial"/>
          <w:color w:val="000000"/>
          <w:lang w:eastAsia="ja-JP"/>
        </w:rPr>
        <w:t>an inability to release water and dry</w:t>
      </w:r>
      <w:r w:rsidR="00515B07">
        <w:rPr>
          <w:rFonts w:ascii="Arial" w:eastAsia="Times New Roman" w:hAnsi="Arial" w:cs="Arial"/>
          <w:color w:val="000000"/>
          <w:lang w:eastAsia="ja-JP"/>
        </w:rPr>
        <w:t xml:space="preserve"> were </w:t>
      </w:r>
      <w:r w:rsidR="00515B07" w:rsidRPr="00D431D5">
        <w:rPr>
          <w:rFonts w:ascii="Arial" w:eastAsia="Times New Roman" w:hAnsi="Arial" w:cs="Arial"/>
          <w:color w:val="000000"/>
          <w:lang w:eastAsia="ja-JP"/>
        </w:rPr>
        <w:t xml:space="preserve">all </w:t>
      </w:r>
      <w:r w:rsidRPr="00D431D5">
        <w:rPr>
          <w:rFonts w:ascii="Arial" w:eastAsia="Times New Roman" w:hAnsi="Arial" w:cs="Arial"/>
          <w:color w:val="000000"/>
          <w:lang w:eastAsia="ja-JP"/>
        </w:rPr>
        <w:t xml:space="preserve">actors that delayed dehiscence in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capsules.</w:t>
      </w:r>
    </w:p>
    <w:p w14:paraId="4AAD4A39"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To address whether anatomical differences were apparent on or within the capsules with stomata compared to capsules without stomata (</w:t>
      </w:r>
      <w:r w:rsidRPr="00D431D5">
        <w:rPr>
          <w:rFonts w:ascii="Arial" w:eastAsia="Times New Roman" w:hAnsi="Arial" w:cs="Arial"/>
          <w:i/>
          <w:color w:val="000000"/>
          <w:lang w:eastAsia="ja-JP"/>
        </w:rPr>
        <w:t xml:space="preserve">ppsmf1-12 </w:t>
      </w:r>
      <w:r w:rsidRPr="00D431D5">
        <w:rPr>
          <w:rFonts w:ascii="Arial" w:eastAsia="Times New Roman" w:hAnsi="Arial" w:cs="Arial"/>
          <w:color w:val="000000"/>
          <w:lang w:eastAsia="ja-JP"/>
        </w:rPr>
        <w:t xml:space="preserve">only), observations of sporophyte capsules bases were performed immediately prior to or immediately after dehiscence on samples grown under relatively dry conditions on the Knop plates described in </w:t>
      </w:r>
      <w:r w:rsidRPr="00D431D5">
        <w:rPr>
          <w:rFonts w:ascii="Arial" w:eastAsia="Times New Roman" w:hAnsi="Arial" w:cs="Arial"/>
          <w:b/>
          <w:color w:val="000000"/>
          <w:lang w:eastAsia="ja-JP"/>
        </w:rPr>
        <w:t xml:space="preserve">Fig. 16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Fig. 17a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p</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&lt;EndNote&gt;&lt;Cite&gt;&lt;Author&gt;Reski&lt;/Author&gt;&lt;Year&gt;1985&lt;/Year&gt;&lt;IDText&gt;Induction of budding on choloronemata and caulonemata of the moss, Physcomitrella patens, using isopentenyladenine&lt;/IDText&gt;&lt;DisplayText&gt;(Reski and Abel, 1985)&lt;/DisplayText&gt;&lt;record&gt;&lt;keywords&gt;&lt;keyword&gt;Plant Sciences&lt;/keyword&gt;&lt;/keywords&gt;&lt;urls&gt;&lt;related-urls&gt;&lt;url&gt;&amp;lt;Go to ISI&amp;gt;://WOS:A1985APQ5900008&lt;/url&gt;&lt;/related-urls&gt;&lt;/urls&gt;&lt;isbn&gt;0032-0935&lt;/isbn&gt;&lt;work-type&gt;Article&lt;/work-type&gt;&lt;titles&gt;&lt;title&gt;&lt;style font="default" size="100%"&gt;Induction of budding on choloronemata and caulonemata of the moss, P&lt;/style&gt;&lt;style face="italic" font="default" size="100%"&gt;hyscomitrella patens,&lt;/style&gt;&lt;style font="default" size="100%"&gt; using isopentenyladenine&lt;/style&gt;&lt;/title&gt;&lt;secondary-title&gt;Planta&lt;/secondary-title&gt;&lt;/titles&gt;&lt;pages&gt;354-358&lt;/pages&gt;&lt;number&gt;3&lt;/number&gt;&lt;contributors&gt;&lt;authors&gt;&lt;author&gt;Reski, R.&lt;/author&gt;&lt;author&gt;Abel, W. O.&lt;/author&gt;&lt;/authors&gt;&lt;/contributors&gt;&lt;language&gt;English&lt;/language&gt;&lt;added-date format="utc"&gt;1455814313&lt;/added-date&gt;&lt;ref-type name="Journal Article"&gt;17&lt;/ref-type&gt;&lt;auth-address&gt;RESKI, R (reprint author), INST ALLGEMEINE BOT,OHNHORSTSTR 18,D-2000 HAMBURG 52,FED REP GER.&lt;/auth-address&gt;&lt;dates&gt;&lt;year&gt;1985&lt;/year&gt;&lt;/dates&gt;&lt;rec-number&gt;886&lt;/rec-number&gt;&lt;last-updated-date format="utc"&gt;1455814313&lt;/last-updated-date&gt;&lt;accession-num&gt;WOS:A1985APQ5900008&lt;/accession-num&gt;&lt;electronic-resource-num&gt;10.1007/bf00392232&lt;/electronic-resource-num&gt;&lt;volume&gt;165&lt;/volume&gt;&lt;/record&gt;&lt;/Cite&gt;&lt;/EndNote&gt;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(Reski and Abel, 1985)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Interestingly, in the wild-type, a blackening occurred which extended from the pore deep into the sub-stomatal cavity. The equivalent phenotype was not apparent in </w:t>
      </w:r>
      <w:r w:rsidRPr="00D431D5">
        <w:rPr>
          <w:rFonts w:ascii="Arial" w:eastAsia="Times New Roman" w:hAnsi="Arial" w:cs="Arial"/>
          <w:i/>
          <w:color w:val="000000"/>
          <w:lang w:eastAsia="ja-JP"/>
        </w:rPr>
        <w:t>ppsmf1</w:t>
      </w:r>
      <w:r w:rsidRPr="00D431D5">
        <w:rPr>
          <w:rFonts w:ascii="Arial" w:eastAsia="Times New Roman" w:hAnsi="Arial" w:cs="Arial"/>
          <w:color w:val="000000"/>
          <w:lang w:eastAsia="ja-JP"/>
        </w:rPr>
        <w:t>, which have been previously found to have no sub-stomatal cavities (</w:t>
      </w:r>
      <w:r w:rsidRPr="00D431D5">
        <w:rPr>
          <w:rFonts w:ascii="Arial" w:eastAsia="Times New Roman" w:hAnsi="Arial" w:cs="Arial"/>
          <w:b/>
          <w:color w:val="000000"/>
          <w:lang w:eastAsia="ja-JP"/>
        </w:rPr>
        <w:t>Fig. 11m</w:t>
      </w:r>
      <w:r w:rsidRPr="00D431D5">
        <w:rPr>
          <w:rFonts w:ascii="Arial" w:eastAsia="Times New Roman" w:hAnsi="Arial" w:cs="Arial"/>
          <w:color w:val="000000"/>
          <w:lang w:eastAsia="ja-JP"/>
        </w:rPr>
        <w:t xml:space="preserve"> and </w:t>
      </w:r>
      <w:r w:rsidRPr="00D431D5">
        <w:rPr>
          <w:rFonts w:ascii="Arial" w:eastAsia="Times New Roman" w:hAnsi="Arial" w:cs="Arial"/>
          <w:b/>
          <w:color w:val="000000"/>
          <w:lang w:eastAsia="ja-JP"/>
        </w:rPr>
        <w:t>l</w:t>
      </w:r>
      <w:r w:rsidRPr="00D431D5">
        <w:rPr>
          <w:rFonts w:ascii="Arial" w:eastAsia="Times New Roman" w:hAnsi="Arial" w:cs="Arial"/>
          <w:color w:val="000000"/>
          <w:lang w:eastAsia="ja-JP"/>
        </w:rPr>
        <w:t xml:space="preserve">). Taken together with the results from </w:t>
      </w:r>
      <w:r w:rsidRPr="00D431D5">
        <w:rPr>
          <w:rFonts w:ascii="Arial" w:eastAsia="Times New Roman" w:hAnsi="Arial" w:cs="Arial"/>
          <w:b/>
          <w:color w:val="000000"/>
          <w:lang w:eastAsia="ja-JP"/>
        </w:rPr>
        <w:t xml:space="preserve">Fig. 16 </w:t>
      </w:r>
      <w:r w:rsidRPr="00D431D5">
        <w:rPr>
          <w:rFonts w:ascii="Arial" w:eastAsia="Times New Roman" w:hAnsi="Arial" w:cs="Arial"/>
          <w:color w:val="000000"/>
          <w:lang w:eastAsia="ja-JP"/>
        </w:rPr>
        <w:t xml:space="preserve">this suggests that under dry conditions stomata do provide the openings allowing drying can occur. These </w:t>
      </w:r>
      <w:r w:rsidRPr="00D431D5">
        <w:rPr>
          <w:rFonts w:ascii="Arial" w:eastAsia="Times New Roman" w:hAnsi="Arial" w:cs="Arial"/>
          <w:color w:val="000000"/>
          <w:lang w:eastAsia="ja-JP"/>
        </w:rPr>
        <w:lastRenderedPageBreak/>
        <w:t xml:space="preserve">observations may illustrate receding liquid from the sub-stomatal cavity as this feature is a common property observed in other bryophyte stomata </w:t>
      </w:r>
      <w:r w:rsidRPr="00D431D5">
        <w:rPr>
          <w:rFonts w:ascii="Arial" w:eastAsia="Times New Roman" w:hAnsi="Arial" w:cs="Arial"/>
          <w:color w:val="000000"/>
          <w:lang w:eastAsia="ja-JP"/>
        </w:rPr>
        <w:fldChar w:fldCharType="begin">
          <w:fldData xml:space="preserve">PEVuZE5vdGU+PENpdGU+PEF1dGhvcj5QcmVzc2VsPC9BdXRob3I+PFllYXI+MjAxNDwvWWVhcj48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PEVuZE5vdGU+PENpdGU+PEF1dGhvcj5QcmVzc2VsPC9BdXRob3I+PFllYXI+MjAxNDwvWWVhcj48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(Merced and Renzaglia, 2014; Pressel et al., 2014)</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w:t>
      </w:r>
    </w:p>
    <w:p w14:paraId="7505433F"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Whilst the above described dry phenotype seemed normal from sporophytes grown on relatively dry plates, under moist growth conditions on peat pellets where water was prevalent, such observed blackening did not normally occur and stomata often appeared plugged in mature brown capsules (</w:t>
      </w:r>
      <w:r w:rsidRPr="00D431D5">
        <w:rPr>
          <w:rFonts w:ascii="Arial" w:eastAsia="Times New Roman" w:hAnsi="Arial" w:cs="Arial"/>
          <w:b/>
          <w:color w:val="000000"/>
          <w:lang w:eastAsia="ja-JP"/>
        </w:rPr>
        <w:t>Fig. 11l</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12l</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13o</w:t>
      </w:r>
      <w:r w:rsidRPr="00D431D5">
        <w:rPr>
          <w:rFonts w:ascii="Arial" w:eastAsia="Times New Roman" w:hAnsi="Arial" w:cs="Arial"/>
          <w:color w:val="000000"/>
          <w:lang w:eastAsia="ja-JP"/>
        </w:rPr>
        <w:t xml:space="preserve"> and </w:t>
      </w:r>
      <w:r w:rsidRPr="00D431D5">
        <w:rPr>
          <w:rFonts w:ascii="Arial" w:eastAsia="Times New Roman" w:hAnsi="Arial" w:cs="Arial"/>
          <w:b/>
          <w:color w:val="000000"/>
          <w:lang w:eastAsia="ja-JP"/>
        </w:rPr>
        <w:t>17q</w:t>
      </w:r>
      <w:r w:rsidRPr="00D431D5">
        <w:rPr>
          <w:rFonts w:ascii="Arial" w:eastAsia="Times New Roman" w:hAnsi="Arial" w:cs="Arial"/>
          <w:color w:val="000000"/>
          <w:lang w:eastAsia="ja-JP"/>
        </w:rPr>
        <w:t xml:space="preserve">). Very occasionally under the same conditions small dry gametophore colonies also formed which produced dried water-repellent sporophytes that appeared to have blackened cavities equivalent to the Villersexel K3 samples grown to produce </w:t>
      </w:r>
      <w:r w:rsidRPr="00D431D5">
        <w:rPr>
          <w:rFonts w:ascii="Arial" w:eastAsia="Times New Roman" w:hAnsi="Arial" w:cs="Arial"/>
          <w:b/>
          <w:color w:val="000000"/>
          <w:lang w:eastAsia="ja-JP"/>
        </w:rPr>
        <w:t>Fig. 16</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Fig. 17r</w:t>
      </w:r>
      <w:r w:rsidRPr="00D431D5">
        <w:rPr>
          <w:rFonts w:ascii="Arial" w:eastAsia="Times New Roman" w:hAnsi="Arial" w:cs="Arial"/>
          <w:color w:val="000000"/>
          <w:lang w:eastAsia="ja-JP"/>
        </w:rPr>
        <w:t xml:space="preserve">). Interestingly, this ‘dry’ phenotype was also very occasionally detected on dry, half expanded wild-type sporophyte capsules (personal observations), which suggests that the physiological mechanisms that cause this blackening to occur can start quite early on when capsules are developing under dry conditions. These findings together with other studies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suggest that early on in sporophyte development, stomata can move and perhaps assist with process such as internal nutrient transfer and gaseous uptake </w:t>
      </w:r>
      <w:r w:rsidRPr="00D431D5">
        <w:rPr>
          <w:rFonts w:ascii="Arial" w:eastAsia="Times New Roman" w:hAnsi="Arial" w:cs="Arial"/>
          <w:color w:val="000000"/>
          <w:lang w:eastAsia="ja-JP"/>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bjwvSURUZXh0PjxEaXNwbGF5VGV4dD4oQ2hhdGVyIGV0IGFsLiwgMjAxMSk8L0Rpc3BsYXlUZXh0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bjwvSURUZXh0PjxEaXNwbGF5VGV4dD4oQ2hhdGVyIGV0IGFsLiwgMjAxMSk8L0Rpc3BsYXlUZXh0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(Chater et al., 2011)</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More latterly, stomatal function appears to be dependent on the conditions the capsule is developing in. Under moist, damp conditions pores become plugged and sub-stomatal cavities still appear to be liquid filled, perhaps to protect against pathogens (</w:t>
      </w:r>
      <w:r w:rsidRPr="00D431D5">
        <w:rPr>
          <w:rFonts w:ascii="Arial" w:eastAsia="Times New Roman" w:hAnsi="Arial" w:cs="Arial"/>
          <w:b/>
          <w:color w:val="000000"/>
          <w:lang w:eastAsia="ja-JP"/>
        </w:rPr>
        <w:t>Fig. 11l</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12l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17q</w:t>
      </w:r>
      <w:r w:rsidRPr="00D431D5">
        <w:rPr>
          <w:rFonts w:ascii="Arial" w:eastAsia="Times New Roman" w:hAnsi="Arial" w:cs="Arial"/>
          <w:color w:val="000000"/>
          <w:lang w:eastAsia="ja-JP"/>
        </w:rPr>
        <w:t>). Under drier conditions the sub-stomatal liquid appears to receded which seems to assist in capsule lysis (</w:t>
      </w:r>
      <w:r w:rsidRPr="00D431D5">
        <w:rPr>
          <w:rFonts w:ascii="Arial" w:eastAsia="Times New Roman" w:hAnsi="Arial" w:cs="Arial"/>
          <w:b/>
          <w:color w:val="000000"/>
          <w:lang w:eastAsia="ja-JP"/>
        </w:rPr>
        <w:t xml:space="preserve">Fig. 16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17</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 xml:space="preserve"> </w:t>
      </w:r>
    </w:p>
    <w:p w14:paraId="65F1C038"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As well as stomatal function in non-vascular plants the evolution of stomata in general is a much debated current topic </w:t>
      </w:r>
      <w:r w:rsidRPr="00D431D5">
        <w:rPr>
          <w:rFonts w:ascii="Arial" w:eastAsia="Times New Roman" w:hAnsi="Arial" w:cs="Arial"/>
          <w:color w:val="000000"/>
          <w:lang w:eastAsia="ja-JP"/>
        </w:rPr>
        <w:fldChar w:fldCharType="begin">
          <w:fldData xml:space="preserve">PEVuZE5vdGU+PENpdGU+PEF1dGhvcj5QcmVzc2VsPC9BdXRob3I+PFllYXI+MjAxNDwvWWVhcj48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=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PEVuZE5vdGU+PENpdGU+PEF1dGhvcj5QcmVzc2VsPC9BdXRob3I+PFllYXI+MjAxNDwvWWVhcj48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=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(Chater et al., 2011; Duckett et al., 2009; Haig, 2013; Pressel et al., 2014)</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Whilst some opinion is that stomata evolved just once and are therefore monophyletic, other opinion is that stomata evolved twice or possibly three times. One line of thinking is that stomata evolved in the ancestor of all land plants and were therein maintained by both the earlier diverging mosses and hornworts and more latterly diverging land plants </w:t>
      </w:r>
      <w:r w:rsidRPr="00D431D5">
        <w:rPr>
          <w:rFonts w:ascii="Arial" w:eastAsia="Times New Roman" w:hAnsi="Arial" w:cs="Arial"/>
          <w:color w:val="000000"/>
          <w:lang w:eastAsia="ja-JP"/>
        </w:rPr>
        <w:fldChar w:fldCharType="begin">
          <w:fldData xml:space="preserve">PEVuZE5vdGU+PENpdGU+PEF1dGhvcj5SYXZlbjwvQXV0aG9yPjxZZWFyPjIwMDI8L1llYXI+PElE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=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PEVuZE5vdGU+PENpdGU+PEF1dGhvcj5SYXZlbjwvQXV0aG9yPjxZZWFyPjIwMDI8L1llYXI+PElE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=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(Bowman, 2011; Chater et al., 2013; Chater et al., 2011; Raven, 2002)</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Another hypothesis is that stomata evolved twice, once in the ancestor of hornworts and vascular land plants and once in the peristomate mosses </w:t>
      </w:r>
      <w:r w:rsidRPr="00D431D5">
        <w:rPr>
          <w:rFonts w:ascii="Arial" w:eastAsia="Times New Roman" w:hAnsi="Arial" w:cs="Arial"/>
          <w:color w:val="000000"/>
          <w:lang w:eastAsia="ja-JP"/>
        </w:rPr>
        <w:fldChar w:fldCharType="begin">
          <w:fldData xml:space="preserve">PEVuZE5vdGU+PENpdGU+PEF1dGhvcj5EdWNrZXR0PC9BdXRob3I+PFllYXI+MjAwOTwvWWVhcj48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PEVuZE5vdGU+PENpdGU+PEF1dGhvcj5EdWNrZXR0PC9BdXRob3I+PFllYXI+MjAwOTwvWWVhcj48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(Cox et al., 2004; Duckett et al., 2009)</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 third hypothesis is that stomata evolved once in the ancestor of vascular land plants, once in a hornwort ancestor and once in the ancestor of peristomate mosses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&lt;EndNote&gt;&lt;Cite&gt;&lt;Author&gt;Pressel&lt;/Author&gt;&lt;Year&gt;2014&lt;/Year&gt;&lt;IDText&gt;Stomatal differentiation and abnormal stomata in hornworts&lt;/IDText&gt;&lt;DisplayText&gt;(Pressel et al., 2014)&lt;/DisplayText&gt;&lt;record&gt;&lt;dates&gt;&lt;pub-dates&gt;&lt;date&gt;Jun&lt;/date&gt;&lt;/pub-dates&gt;&lt;year&gt;2014&lt;/year&gt;&lt;/dates&gt;&lt;keywords&gt;&lt;keyword&gt;Anthocerotophyta&lt;/keyword&gt;&lt;keyword&gt;Capsule dehiscence&lt;/keyword&gt;&lt;keyword&gt;Desiccation biology&lt;/keyword&gt;&lt;keyword&gt;Guard cells&lt;/keyword&gt;&lt;keyword&gt;Stomatal evolution&lt;/keyword&gt;&lt;keyword&gt;early land plants&lt;/keyword&gt;&lt;keyword&gt;abscisic-acid&lt;/keyword&gt;&lt;keyword&gt;division polarity&lt;/keyword&gt;&lt;keyword&gt;atmospheric co2&lt;/keyword&gt;&lt;keyword&gt;carbon-dioxide&lt;/keyword&gt;&lt;keyword&gt;density&lt;/keyword&gt;&lt;keyword&gt;evolution&lt;/keyword&gt;&lt;keyword&gt;sporophytes&lt;/keyword&gt;&lt;keyword&gt;fluorescence&lt;/keyword&gt;&lt;keyword&gt;bryophytes&lt;/keyword&gt;&lt;keyword&gt;Plant Sciences&lt;/keyword&gt;&lt;/keywords&gt;&lt;urls&gt;&lt;related-urls&gt;&lt;url&gt;&amp;lt;Go to ISI&amp;gt;://WOS:000337099400001&lt;/url&gt;&lt;/related-urls&gt;&lt;/urls&gt;&lt;isbn&gt;0373-6687&lt;/isbn&gt;&lt;work-type&gt;Article&lt;/work-type&gt;&lt;titles&gt;&lt;title&gt;Stomatal differentiation and abnormal stomata in hornworts&lt;/title&gt;&lt;secondary-title&gt;Journal of Bryology&lt;/secondary-title&gt;&lt;/titles&gt;&lt;pages&gt;87-103&lt;/pages&gt;&lt;contributors&gt;&lt;authors&gt;&lt;author&gt;Pressel, S.&lt;/author&gt;&lt;author&gt;Goral, T.&lt;/author&gt;&lt;author&gt;Duckett, J. G.&lt;/author&gt;&lt;/authors&gt;&lt;/contributors&gt;&lt;language&gt;English&lt;/language&gt;&lt;added-date format="utc"&gt;1431376663&lt;/added-date&gt;&lt;ref-type name="Journal Article"&gt;17&lt;/ref-type&gt;&lt;auth-address&gt;[Pressel, Silvia&amp;#xD;Duckett, Jeffrey G.] Nat Hist Museum, Dept Life Sci, London SW7 5BD, England. [Goral, Tomasz] Nat Hist Museum, Imaging &amp;amp; Anal Ctr, London SW7 5BD, England.&amp;#xD;Pressel, S (reprint author), Nat Hist Museum, Dept Life Sci, Cromwell Rd, London SW7 5BD, England.&amp;#xD;s.pressel@nhm.ac.uk&lt;/auth-address&gt;&lt;rec-number&gt;158&lt;/rec-number&gt;&lt;last-updated-date format="utc"&gt;1431376663&lt;/last-updated-date&gt;&lt;accession-num&gt;WOS:000337099400001&lt;/accession-num&gt;&lt;electronic-resource-num&gt;10.1179/1743282014y.0000000103&lt;/electronic-resource-num&gt;&lt;volume&gt;36&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(Pressel et al., 2014)</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The finding that stomatal development genes are conserved between peristomate mosses and vascular land plants presented here and by MacAlister and Bergmann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 ExcludeAuth="1"&gt;&lt;Author&gt;MacAlister&lt;/Author&gt;&lt;Year&gt;2011&lt;/Year&gt;&lt;IDText&gt;Sequence and function of basic helix-loop-helix proteins required for stomatal development in Arabidopsis are deeply conserved in land plants&lt;/IDText&gt;&lt;DisplayText&gt;(2011)&lt;/DisplayText&gt;&lt;record&gt;&lt;dates&gt;&lt;pub-dates&gt;&lt;date&gt;Mar-Apr&lt;/date&gt;&lt;/pub-dates&gt;&lt;year&gt;2011&lt;/year&gt;&lt;/dates&gt;&lt;keywords&gt;&lt;keyword&gt;TRANSCRIPTION FACTOR FAMILY&lt;/keyword&gt;&lt;keyword&gt;MONOCOT-DICOT DIVERGENCE&lt;/keyword&gt;&lt;keyword&gt;EVOLUTION&lt;/keyword&gt;&lt;keyword&gt;DIVERSITY&lt;/keyword&gt;&lt;keyword&gt;GENES&lt;/keyword&gt;&lt;keyword&gt;DIFFERENTIATION&lt;/keyword&gt;&lt;keyword&gt;THALIANA&lt;/keyword&gt;&lt;keyword&gt;MUTANTS&lt;/keyword&gt;&lt;keyword&gt;GENOMES&lt;/keyword&gt;&lt;keyword&gt;CASCADE&lt;/keyword&gt;&lt;/keywords&gt;&lt;urls&gt;&lt;related-urls&gt;&lt;url&gt;&amp;lt;Go to ISI&amp;gt;://WOS:000288502600007&lt;/url&gt;&lt;/related-urls&gt;&lt;/urls&gt;&lt;isbn&gt;1520-541X&lt;/isbn&gt;&lt;work-type&gt;Article&lt;/work-type&gt;&lt;titles&gt;&lt;title&gt;Sequence and function of basic helix-loop-helix proteins required for stomatal development in Arabidopsis are deeply conserved in land plants&lt;/title&gt;&lt;secondary-title&gt;Evolution &amp;amp; Development&lt;/secondary-title&gt;&lt;alt-title&gt;Evol. Dev.&lt;/alt-title&gt;&lt;/titles&gt;&lt;pages&gt;182-192&lt;/pages&gt;&lt;number&gt;2&lt;/number&gt;&lt;contributors&gt;&lt;authors&gt;&lt;author&gt;MacAlister, C. A.&lt;/author&gt;&lt;author&gt;Bergmann, D. C.&lt;/author&gt;&lt;/authors&gt;&lt;/contributors&gt;&lt;language&gt;English&lt;/language&gt;&lt;added-date format="utc"&gt;1354083840&lt;/added-date&gt;&lt;ref-type name="Journal Article"&gt;17&lt;/ref-type&gt;&lt;auth-address&gt;[MacAlister, Cora A.&amp;#xD;Bergmann, Dominique C.] Stanford Univ, Dept Biol, Stanford, CA 94305 USA.&amp;#xD;MacAlister, CA (reprint author), Cold Spring Harbor Lab, POB 100, Cold Spring Harbor, NY 11724 USA.&amp;#xD;cmacalis@cshl.edu&lt;/auth-address&gt;&lt;rec-number&gt;61&lt;/rec-number&gt;&lt;last-updated-date format="utc"&gt;1354083840&lt;/last-updated-date&gt;&lt;accession-num&gt;WOS:000288502600007&lt;/accession-num&gt;&lt;electronic-resource-num&gt;10.1111/j.1525-142X.2011.00468.x&lt;/electronic-resource-num&gt;&lt;volume&gt;13&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(2011)</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suggests that such land plants are derived from the same stomatal-bearing ancestor.</w:t>
      </w:r>
    </w:p>
    <w:p w14:paraId="066819C3"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lastRenderedPageBreak/>
        <w:t xml:space="preserve">To try to infer whether stomatal developmental genes are also conserved in hornworts, communications with Professor Jane Langdale have taken place regarding putative stomatal developmental genes in the unpublished genome of the hornwort </w:t>
      </w:r>
      <w:r w:rsidRPr="00D431D5">
        <w:rPr>
          <w:rFonts w:ascii="Arial" w:eastAsia="Times New Roman" w:hAnsi="Arial" w:cs="Arial"/>
          <w:i/>
          <w:color w:val="000000"/>
          <w:lang w:eastAsia="ja-JP"/>
        </w:rPr>
        <w:t>A. punctatos</w:t>
      </w:r>
      <w:r w:rsidRPr="00D431D5">
        <w:rPr>
          <w:rFonts w:ascii="Arial" w:eastAsia="Times New Roman" w:hAnsi="Arial" w:cs="Arial"/>
          <w:color w:val="000000"/>
          <w:lang w:eastAsia="ja-JP"/>
        </w:rPr>
        <w:t xml:space="preserve">. Whilst the annotation of this genome is still in the early stages, it seems like as with the </w:t>
      </w:r>
      <w:r w:rsidRPr="00D431D5">
        <w:rPr>
          <w:rFonts w:ascii="Arial" w:eastAsia="Times New Roman" w:hAnsi="Arial" w:cs="Arial"/>
          <w:i/>
          <w:color w:val="000000"/>
          <w:lang w:eastAsia="ja-JP"/>
        </w:rPr>
        <w:t xml:space="preserve">Epidermal patterning factors </w:t>
      </w:r>
      <w:r w:rsidRPr="00D431D5">
        <w:rPr>
          <w:rFonts w:ascii="Arial" w:eastAsia="Times New Roman" w:hAnsi="Arial" w:cs="Arial"/>
          <w:color w:val="000000"/>
          <w:lang w:eastAsia="ja-JP"/>
        </w:rPr>
        <w:t xml:space="preserve">(Fig .21 of Chapter 4) there may well be homologous genes to both the </w:t>
      </w:r>
      <w:r w:rsidRPr="00D431D5">
        <w:rPr>
          <w:rFonts w:ascii="Arial" w:eastAsia="Times New Roman" w:hAnsi="Arial" w:cs="Arial"/>
          <w:i/>
          <w:color w:val="000000"/>
          <w:lang w:eastAsia="ja-JP"/>
        </w:rPr>
        <w:t>SMFs</w:t>
      </w:r>
      <w:r w:rsidRPr="00D431D5">
        <w:rPr>
          <w:rFonts w:ascii="Arial" w:eastAsia="Times New Roman" w:hAnsi="Arial" w:cs="Arial"/>
          <w:color w:val="000000"/>
          <w:lang w:eastAsia="ja-JP"/>
        </w:rPr>
        <w:t xml:space="preserve"> and </w:t>
      </w:r>
      <w:r w:rsidRPr="00D431D5">
        <w:rPr>
          <w:rFonts w:ascii="Arial" w:eastAsia="Times New Roman" w:hAnsi="Arial" w:cs="Arial"/>
          <w:i/>
          <w:color w:val="000000"/>
          <w:lang w:eastAsia="ja-JP"/>
        </w:rPr>
        <w:t>SCRMs</w:t>
      </w:r>
      <w:r w:rsidRPr="00D431D5">
        <w:rPr>
          <w:rFonts w:ascii="Arial" w:eastAsia="Times New Roman" w:hAnsi="Arial" w:cs="Arial"/>
          <w:color w:val="000000"/>
          <w:lang w:eastAsia="ja-JP"/>
        </w:rPr>
        <w:t xml:space="preserve"> in the genome of the </w:t>
      </w:r>
      <w:r w:rsidRPr="00D431D5">
        <w:rPr>
          <w:rFonts w:ascii="Arial" w:eastAsia="Times New Roman" w:hAnsi="Arial" w:cs="Arial"/>
          <w:i/>
          <w:color w:val="000000"/>
          <w:lang w:eastAsia="ja-JP"/>
        </w:rPr>
        <w:t xml:space="preserve">A. punctatos. </w:t>
      </w:r>
      <w:r w:rsidRPr="00D431D5">
        <w:rPr>
          <w:rFonts w:ascii="Arial" w:eastAsia="Times New Roman" w:hAnsi="Arial" w:cs="Arial"/>
          <w:color w:val="000000"/>
          <w:lang w:eastAsia="ja-JP"/>
        </w:rPr>
        <w:t xml:space="preserve">For the received </w:t>
      </w:r>
      <w:r w:rsidRPr="00D431D5">
        <w:rPr>
          <w:rFonts w:ascii="Arial" w:eastAsia="Times New Roman" w:hAnsi="Arial" w:cs="Arial"/>
          <w:i/>
          <w:color w:val="000000"/>
          <w:lang w:eastAsia="ja-JP"/>
        </w:rPr>
        <w:t xml:space="preserve">SMF </w:t>
      </w:r>
      <w:r w:rsidRPr="00D431D5">
        <w:rPr>
          <w:rFonts w:ascii="Arial" w:eastAsia="Times New Roman" w:hAnsi="Arial" w:cs="Arial"/>
          <w:color w:val="000000"/>
          <w:lang w:eastAsia="ja-JP"/>
        </w:rPr>
        <w:t xml:space="preserve">fragmentary blastp sequences a partial sequence of the bHLH and surrounding regions was constructed that was aligned against the equivalent regions of other SMF sequences in </w:t>
      </w:r>
      <w:r w:rsidRPr="00D431D5">
        <w:rPr>
          <w:rFonts w:ascii="Arial" w:eastAsia="Times New Roman" w:hAnsi="Arial" w:cs="Arial"/>
          <w:b/>
          <w:color w:val="000000"/>
          <w:lang w:eastAsia="ja-JP"/>
        </w:rPr>
        <w:t>Fig. 7a</w:t>
      </w:r>
      <w:r w:rsidRPr="00D431D5">
        <w:rPr>
          <w:rFonts w:ascii="Arial" w:eastAsia="Times New Roman" w:hAnsi="Arial" w:cs="Arial"/>
          <w:color w:val="000000"/>
          <w:lang w:eastAsia="ja-JP"/>
        </w:rPr>
        <w:t xml:space="preserve">. From these bHLH region alignments a phylogenetic tree was constructed which is presented in </w:t>
      </w:r>
      <w:r w:rsidRPr="00D431D5">
        <w:rPr>
          <w:rFonts w:ascii="Arial" w:eastAsia="Times New Roman" w:hAnsi="Arial" w:cs="Arial"/>
          <w:b/>
          <w:color w:val="000000"/>
          <w:lang w:eastAsia="ja-JP"/>
        </w:rPr>
        <w:t xml:space="preserve">Fig. 21. </w:t>
      </w:r>
      <w:r w:rsidRPr="00D431D5">
        <w:rPr>
          <w:rFonts w:ascii="Arial" w:eastAsia="Times New Roman" w:hAnsi="Arial" w:cs="Arial"/>
          <w:color w:val="000000"/>
          <w:lang w:eastAsia="ja-JP"/>
        </w:rPr>
        <w:t xml:space="preserve">As can be seen, the gene that codes for a putative hornwort peptide termed </w:t>
      </w:r>
      <w:r w:rsidRPr="00D431D5">
        <w:rPr>
          <w:rFonts w:ascii="Arial" w:eastAsia="Times New Roman" w:hAnsi="Arial" w:cs="Arial"/>
          <w:i/>
          <w:color w:val="000000"/>
          <w:lang w:eastAsia="ja-JP"/>
        </w:rPr>
        <w:t>ApSMF1</w:t>
      </w:r>
      <w:r w:rsidRPr="00D431D5">
        <w:rPr>
          <w:rFonts w:ascii="Arial" w:eastAsia="Times New Roman" w:hAnsi="Arial" w:cs="Arial"/>
          <w:color w:val="000000"/>
          <w:lang w:eastAsia="ja-JP"/>
        </w:rPr>
        <w:t xml:space="preserve">, resides between the moss and the lycophyte representatives. Despite illustrating homology, the equivalent SCRM phylogeny is not illustrated as the sequences provided were quite fragmented and require better coverage before a phylogeny can confidently be presented. Such findings relating to a putative </w:t>
      </w:r>
      <w:r w:rsidRPr="00D431D5">
        <w:rPr>
          <w:rFonts w:ascii="Arial" w:eastAsia="Times New Roman" w:hAnsi="Arial" w:cs="Arial"/>
          <w:i/>
          <w:color w:val="000000"/>
          <w:lang w:eastAsia="ja-JP"/>
        </w:rPr>
        <w:t>ApSMF1</w:t>
      </w:r>
      <w:r w:rsidRPr="00D431D5">
        <w:rPr>
          <w:rFonts w:ascii="Arial" w:eastAsia="Times New Roman" w:hAnsi="Arial" w:cs="Arial"/>
          <w:color w:val="000000"/>
          <w:lang w:eastAsia="ja-JP"/>
        </w:rPr>
        <w:t xml:space="preserve"> in </w:t>
      </w:r>
      <w:r w:rsidRPr="00D431D5">
        <w:rPr>
          <w:rFonts w:ascii="Arial" w:eastAsia="Times New Roman" w:hAnsi="Arial" w:cs="Arial"/>
          <w:i/>
          <w:color w:val="000000"/>
          <w:lang w:eastAsia="ja-JP"/>
        </w:rPr>
        <w:t xml:space="preserve">A. punctatos </w:t>
      </w:r>
      <w:r w:rsidRPr="00D431D5">
        <w:rPr>
          <w:rFonts w:ascii="Arial" w:eastAsia="Times New Roman" w:hAnsi="Arial" w:cs="Arial"/>
          <w:color w:val="000000"/>
          <w:lang w:eastAsia="ja-JP"/>
        </w:rPr>
        <w:t xml:space="preserve">combined with the phylogeny presented in fig. 21 in Chapter 4 relating to a putative </w:t>
      </w:r>
      <w:r w:rsidRPr="00D431D5">
        <w:rPr>
          <w:rFonts w:ascii="Arial" w:eastAsia="Times New Roman" w:hAnsi="Arial" w:cs="Arial"/>
          <w:i/>
          <w:color w:val="000000"/>
          <w:lang w:eastAsia="ja-JP"/>
        </w:rPr>
        <w:t xml:space="preserve">A. punctatos EPF1 </w:t>
      </w:r>
      <w:r w:rsidRPr="00D431D5">
        <w:rPr>
          <w:rFonts w:ascii="Arial" w:eastAsia="Times New Roman" w:hAnsi="Arial" w:cs="Arial"/>
          <w:color w:val="000000"/>
          <w:lang w:eastAsia="ja-JP"/>
        </w:rPr>
        <w:t xml:space="preserve">orthologue suggests that multiple genes have been conserved in the hornworts that might function in stomatal development. If such genes are indeed found to function during stomatal development in </w:t>
      </w:r>
      <w:r w:rsidRPr="00D431D5">
        <w:rPr>
          <w:rFonts w:ascii="Arial" w:eastAsia="Times New Roman" w:hAnsi="Arial" w:cs="Arial"/>
          <w:i/>
          <w:color w:val="000000"/>
          <w:lang w:eastAsia="ja-JP"/>
        </w:rPr>
        <w:t xml:space="preserve">A. punctatos </w:t>
      </w:r>
      <w:r w:rsidRPr="00D431D5">
        <w:rPr>
          <w:rFonts w:ascii="Arial" w:eastAsia="Times New Roman" w:hAnsi="Arial" w:cs="Arial"/>
          <w:color w:val="000000"/>
          <w:lang w:eastAsia="ja-JP"/>
        </w:rPr>
        <w:t xml:space="preserve">this would suggest that hornwort stomata like those of found in mosses and vascular plants descend from a common ancestor which would provide further robust evidence for a monophyletic origin of stomata in extant land plants. </w:t>
      </w:r>
    </w:p>
    <w:p w14:paraId="62B0F327"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noProof/>
          <w:color w:val="000000"/>
          <w:lang w:eastAsia="ja-JP"/>
        </w:rPr>
        <w:drawing>
          <wp:inline distT="0" distB="0" distL="0" distR="0" wp14:anchorId="57E91B72" wp14:editId="24CEC885">
            <wp:extent cx="5205730" cy="336550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12 mod.png"/>
                    <pic:cNvPicPr/>
                  </pic:nvPicPr>
                  <pic:blipFill>
                    <a:blip r:embed="rId49">
                      <a:extLst>
                        <a:ext uri="{28A0092B-C50C-407E-A947-70E740481C1C}">
                          <a14:useLocalDpi xmlns:a14="http://schemas.microsoft.com/office/drawing/2010/main" val="0"/>
                        </a:ext>
                      </a:extLst>
                    </a:blip>
                    <a:stretch>
                      <a:fillRect/>
                    </a:stretch>
                  </pic:blipFill>
                  <pic:spPr>
                    <a:xfrm>
                      <a:off x="0" y="0"/>
                      <a:ext cx="5205730" cy="3365500"/>
                    </a:xfrm>
                    <a:prstGeom prst="rect">
                      <a:avLst/>
                    </a:prstGeom>
                  </pic:spPr>
                </pic:pic>
              </a:graphicData>
            </a:graphic>
          </wp:inline>
        </w:drawing>
      </w:r>
    </w:p>
    <w:p w14:paraId="396D0A8A"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b/>
          <w:color w:val="000000"/>
          <w:lang w:eastAsia="ja-JP"/>
        </w:rPr>
        <w:lastRenderedPageBreak/>
        <w:t xml:space="preserve">Figure 21. </w:t>
      </w:r>
      <w:r w:rsidRPr="00D431D5">
        <w:rPr>
          <w:rFonts w:ascii="Arial" w:eastAsia="Times New Roman" w:hAnsi="Arial" w:cs="Arial"/>
          <w:b/>
          <w:bCs/>
          <w:color w:val="000000"/>
          <w:lang w:eastAsia="ja-JP"/>
        </w:rPr>
        <w:t xml:space="preserve">The genome of the hornwort </w:t>
      </w:r>
      <w:r w:rsidRPr="00D431D5">
        <w:rPr>
          <w:rFonts w:ascii="Arial" w:eastAsia="Times New Roman" w:hAnsi="Arial" w:cs="Arial"/>
          <w:b/>
          <w:bCs/>
          <w:i/>
          <w:color w:val="000000"/>
          <w:lang w:eastAsia="ja-JP"/>
        </w:rPr>
        <w:t xml:space="preserve">A. punctatus </w:t>
      </w:r>
      <w:r w:rsidRPr="00D431D5">
        <w:rPr>
          <w:rFonts w:ascii="Arial" w:eastAsia="Times New Roman" w:hAnsi="Arial" w:cs="Arial"/>
          <w:b/>
          <w:bCs/>
          <w:color w:val="000000"/>
          <w:lang w:eastAsia="ja-JP"/>
        </w:rPr>
        <w:t xml:space="preserve">may encode a gene which is closely related to </w:t>
      </w:r>
      <w:r w:rsidRPr="00D431D5">
        <w:rPr>
          <w:rFonts w:ascii="Arial" w:eastAsia="Times New Roman" w:hAnsi="Arial" w:cs="Arial"/>
          <w:b/>
          <w:bCs/>
          <w:i/>
          <w:color w:val="000000"/>
          <w:lang w:eastAsia="ja-JP"/>
        </w:rPr>
        <w:t xml:space="preserve">PpSMF1/2 </w:t>
      </w:r>
      <w:r w:rsidRPr="00D431D5">
        <w:rPr>
          <w:rFonts w:ascii="Arial" w:eastAsia="Times New Roman" w:hAnsi="Arial" w:cs="Arial"/>
          <w:b/>
          <w:bCs/>
          <w:color w:val="000000"/>
          <w:lang w:eastAsia="ja-JP"/>
        </w:rPr>
        <w:t xml:space="preserve">that also shares homology with other </w:t>
      </w:r>
      <w:r w:rsidRPr="00D431D5">
        <w:rPr>
          <w:rFonts w:ascii="Arial" w:eastAsia="Times New Roman" w:hAnsi="Arial" w:cs="Arial"/>
          <w:b/>
          <w:bCs/>
          <w:i/>
          <w:color w:val="000000"/>
          <w:lang w:eastAsia="ja-JP"/>
        </w:rPr>
        <w:t>SMF</w:t>
      </w:r>
      <w:r w:rsidRPr="00D431D5">
        <w:rPr>
          <w:rFonts w:ascii="Arial" w:eastAsia="Times New Roman" w:hAnsi="Arial" w:cs="Arial"/>
          <w:b/>
          <w:bCs/>
          <w:color w:val="000000"/>
          <w:lang w:eastAsia="ja-JP"/>
        </w:rPr>
        <w:t xml:space="preserve"> clade representatives.</w:t>
      </w:r>
      <w:r w:rsidRPr="00D431D5">
        <w:rPr>
          <w:rFonts w:ascii="Arial" w:eastAsia="Times New Roman" w:hAnsi="Arial" w:cs="Arial"/>
          <w:b/>
          <w:bCs/>
          <w:i/>
          <w:color w:val="000000"/>
          <w:lang w:eastAsia="ja-JP"/>
        </w:rPr>
        <w:t xml:space="preserve"> </w:t>
      </w:r>
      <w:r w:rsidRPr="00D431D5">
        <w:rPr>
          <w:rFonts w:ascii="Arial" w:eastAsia="Times New Roman" w:hAnsi="Arial" w:cs="Arial"/>
          <w:bCs/>
          <w:color w:val="000000"/>
          <w:lang w:eastAsia="ja-JP"/>
        </w:rPr>
        <w:t>(</w:t>
      </w:r>
      <w:r w:rsidRPr="00D431D5">
        <w:rPr>
          <w:rFonts w:ascii="Arial" w:eastAsia="Times New Roman" w:hAnsi="Arial" w:cs="Arial"/>
          <w:b/>
          <w:bCs/>
          <w:color w:val="000000"/>
          <w:lang w:eastAsia="ja-JP"/>
        </w:rPr>
        <w:t>a</w:t>
      </w:r>
      <w:r w:rsidRPr="00D431D5">
        <w:rPr>
          <w:rFonts w:ascii="Arial" w:eastAsia="Times New Roman" w:hAnsi="Arial" w:cs="Arial"/>
          <w:bCs/>
          <w:color w:val="000000"/>
          <w:lang w:eastAsia="ja-JP"/>
        </w:rPr>
        <w:t xml:space="preserve">) Amino acid </w:t>
      </w:r>
      <w:r w:rsidRPr="00D431D5">
        <w:rPr>
          <w:rFonts w:ascii="Arial" w:eastAsia="Times New Roman" w:hAnsi="Arial" w:cs="Arial"/>
          <w:color w:val="000000"/>
          <w:lang w:eastAsia="ja-JP"/>
        </w:rPr>
        <w:t xml:space="preserve">sequences of all peptide sequences used in </w:t>
      </w:r>
      <w:r w:rsidRPr="00D431D5">
        <w:rPr>
          <w:rFonts w:ascii="Arial" w:eastAsia="Times New Roman" w:hAnsi="Arial" w:cs="Arial"/>
          <w:b/>
          <w:color w:val="000000"/>
          <w:lang w:eastAsia="ja-JP"/>
        </w:rPr>
        <w:t>Fig.7a</w:t>
      </w:r>
      <w:r w:rsidRPr="00D431D5">
        <w:rPr>
          <w:rFonts w:ascii="Arial" w:eastAsia="Times New Roman" w:hAnsi="Arial" w:cs="Arial"/>
          <w:color w:val="000000"/>
          <w:lang w:eastAsia="ja-JP"/>
        </w:rPr>
        <w:t xml:space="preserve"> and a predicted bHLH region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&lt;EndNote&gt;&lt;Cite&gt;&lt;Author&gt;Sigrist&lt;/Author&gt;&lt;Year&gt;2013&lt;/Year&gt;&lt;IDText&gt;New and continuing developments at PROSITE&lt;/IDText&gt;&lt;DisplayText&gt;(Sigrist et al., 2013)&lt;/DisplayText&gt;&lt;record&gt;&lt;dates&gt;&lt;pub-dates&gt;&lt;date&gt;Jan&lt;/date&gt;&lt;/pub-dates&gt;&lt;year&gt;2013&lt;/year&gt;&lt;/dates&gt;&lt;keywords&gt;&lt;keyword&gt;*Amino Acid Motifs&lt;/keyword&gt;&lt;keyword&gt;Amino Acid Sequence&lt;/keyword&gt;&lt;keyword&gt;Conserved Sequence&lt;/keyword&gt;&lt;keyword&gt;*Databases, Protein&lt;/keyword&gt;&lt;keyword&gt;Internet&lt;/keyword&gt;&lt;keyword&gt;Molecular Sequence Annotation&lt;/keyword&gt;&lt;keyword&gt;*Protein Structure, Tertiary&lt;/keyword&gt;&lt;keyword&gt;Proteins/chemistry/classification&lt;/keyword&gt;&lt;keyword&gt;Proteome/chemistry&lt;/keyword&gt;&lt;keyword&gt;*Sequence Analysis, Protein&lt;/keyword&gt;&lt;/keywords&gt;&lt;isbn&gt;0305-1048&lt;/isbn&gt;&lt;custom2&gt;PMC3531220&lt;/custom2&gt;&lt;titles&gt;&lt;title&gt;New and continuing developments at PROSITE&lt;/title&gt;&lt;secondary-title&gt;Nucleic Acids Res&lt;/secondary-title&gt;&lt;alt-title&gt;Nucleic acids research&lt;/alt-title&gt;&lt;/titles&gt;&lt;pages&gt;D344-7&lt;/pages&gt;&lt;number&gt;Database issue&lt;/number&gt;&lt;contributors&gt;&lt;authors&gt;&lt;author&gt;Sigrist, C. J.&lt;/author&gt;&lt;author&gt;de Castro, E.&lt;/author&gt;&lt;author&gt;Cerutti, L.&lt;/author&gt;&lt;author&gt;Cuche, B. A.&lt;/author&gt;&lt;author&gt;Hulo, N.&lt;/author&gt;&lt;author&gt;Bridge, A.&lt;/author&gt;&lt;author&gt;Bougueleret, L.&lt;/author&gt;&lt;author&gt;Xenarios, I.&lt;/author&gt;&lt;/authors&gt;&lt;/contributors&gt;&lt;edition&gt;2012/11/20&lt;/edition&gt;&lt;language&gt;eng&lt;/language&gt;&lt;added-date format="utc"&gt;1458737129&lt;/added-date&gt;&lt;ref-type name="Journal Article"&gt;17&lt;/ref-type&gt;&lt;auth-address&gt;SIB Swiss Institute of Bioinformatics, Centre Medical Universitaire (CMU), 1 rue Michel Servet, 1211 Geneva 4, Switzerland. prosite-group@isb-sib.ch&lt;/auth-address&gt;&lt;remote-database-provider&gt;NLM&lt;/remote-database-provider&gt;&lt;rec-number&gt;1262&lt;/rec-number&gt;&lt;last-updated-date format="utc"&gt;1458737129&lt;/last-updated-date&gt;&lt;accession-num&gt;23161676&lt;/accession-num&gt;&lt;electronic-resource-num&gt;10.1093/nar/gks1067&lt;/electronic-resource-num&gt;&lt;volume&gt;41&lt;/volume&gt;&lt;/record&gt;&lt;/Cite&gt;&lt;/EndNote&gt;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(Sigrist et al., 2013)</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and surrounding residues of an </w:t>
      </w:r>
      <w:r w:rsidRPr="00D431D5">
        <w:rPr>
          <w:rFonts w:ascii="Arial" w:eastAsia="Times New Roman" w:hAnsi="Arial" w:cs="Arial"/>
          <w:i/>
          <w:color w:val="000000"/>
          <w:lang w:eastAsia="ja-JP"/>
        </w:rPr>
        <w:t xml:space="preserve">A. punctatus </w:t>
      </w:r>
      <w:r w:rsidRPr="00D431D5">
        <w:rPr>
          <w:rFonts w:ascii="Arial" w:eastAsia="Times New Roman" w:hAnsi="Arial" w:cs="Arial"/>
          <w:color w:val="000000"/>
          <w:lang w:eastAsia="ja-JP"/>
        </w:rPr>
        <w:t>representative</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(87 amino acid residues)</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were first aligned using MUSCLE </w:t>
      </w:r>
      <w:r w:rsidRPr="00D431D5">
        <w:rPr>
          <w:rFonts w:ascii="Arial" w:eastAsia="Times New Roman" w:hAnsi="Arial" w:cs="Arial"/>
          <w:bCs/>
          <w:color w:val="000000"/>
          <w:lang w:eastAsia="ja-JP"/>
        </w:rPr>
        <w:fldChar w:fldCharType="begin"/>
      </w:r>
      <w:r w:rsidRPr="00D431D5">
        <w:rPr>
          <w:rFonts w:ascii="Arial" w:eastAsia="Times New Roman" w:hAnsi="Arial" w:cs="Arial"/>
          <w:bCs/>
          <w:color w:val="000000"/>
          <w:lang w:eastAsia="ja-JP"/>
        </w:rPr>
        <w:instrText xml:space="preserve"> ADDIN EN.CITE &lt;EndNote&gt;&lt;Cite&gt;&lt;Author&gt;Edgar&lt;/Author&gt;&lt;Year&gt;2004&lt;/Year&gt;&lt;IDText&gt;MUSCLE: a multiple sequence alignment method with reduced time and space complexity&lt;/IDText&gt;&lt;DisplayText&gt;(Edgar, 2004)&lt;/DisplayText&gt;&lt;record&gt;&lt;dates&gt;&lt;pub-dates&gt;&lt;date&gt;Aug 19&lt;/date&gt;&lt;/pub-dates&gt;&lt;year&gt;2004&lt;/year&gt;&lt;/dates&gt;&lt;keywords&gt;&lt;keyword&gt;Cluster Analysis&lt;/keyword&gt;&lt;keyword&gt;Computational Biology/methods/statistics &amp;amp; numerical data/trends&lt;/keyword&gt;&lt;keyword&gt;Phylogeny&lt;/keyword&gt;&lt;keyword&gt;Sequence Alignment/*methods/statistics &amp;amp; numerical data/*trends&lt;/keyword&gt;&lt;keyword&gt;*Software&lt;/keyword&gt;&lt;keyword&gt;Software Design&lt;/keyword&gt;&lt;keyword&gt;Time Factors&lt;/keyword&gt;&lt;/keywords&gt;&lt;isbn&gt;1471-2105&lt;/isbn&gt;&lt;custom2&gt;PMC517706&lt;/custom2&gt;&lt;titles&gt;&lt;title&gt;MUSCLE: a multiple sequence alignment method with reduced time and space complexity&lt;/title&gt;&lt;secondary-title&gt;BMC Bioinformatics&lt;/secondary-title&gt;&lt;alt-title&gt;BMC bioinformatics&lt;/alt-title&gt;&lt;/titles&gt;&lt;pages&gt;113&lt;/pages&gt;&lt;contributors&gt;&lt;authors&gt;&lt;author&gt;Edgar, R. C.&lt;/author&gt;&lt;/authors&gt;&lt;/contributors&gt;&lt;edition&gt;2004/08/21&lt;/edition&gt;&lt;language&gt;eng&lt;/language&gt;&lt;added-date format="utc"&gt;1452355510&lt;/added-date&gt;&lt;ref-type name="Journal Article"&gt;17&lt;/ref-type&gt;&lt;auth-address&gt;Department of Plant and Microbial Biology, 461 Koshland Hall, University of California, Berkeley, CA 94720-3102, USA. bob@drive5.com&lt;/auth-address&gt;&lt;remote-database-provider&gt;NLM&lt;/remote-database-provider&gt;&lt;rec-number&gt;420&lt;/rec-number&gt;&lt;last-updated-date format="utc"&gt;1452355510&lt;/last-updated-date&gt;&lt;accession-num&gt;15318951&lt;/accession-num&gt;&lt;electronic-resource-num&gt;10.1186/1471-2105-5-113&lt;/electronic-resource-num&gt;&lt;volume&gt;5&lt;/volume&gt;&lt;/record&gt;&lt;/Cite&gt;&lt;/EndNote&gt;</w:instrText>
      </w:r>
      <w:r w:rsidRPr="00D431D5">
        <w:rPr>
          <w:rFonts w:ascii="Arial" w:eastAsia="Times New Roman" w:hAnsi="Arial" w:cs="Arial"/>
          <w:bCs/>
          <w:color w:val="000000"/>
          <w:lang w:eastAsia="ja-JP"/>
        </w:rPr>
        <w:fldChar w:fldCharType="separate"/>
      </w:r>
      <w:r w:rsidRPr="00D431D5">
        <w:rPr>
          <w:rFonts w:ascii="Arial" w:eastAsia="Times New Roman" w:hAnsi="Arial" w:cs="Arial"/>
          <w:bCs/>
          <w:color w:val="000000"/>
          <w:lang w:eastAsia="ja-JP"/>
        </w:rPr>
        <w:t>(Edgar, 2004)</w:t>
      </w:r>
      <w:r w:rsidRPr="00D431D5">
        <w:rPr>
          <w:rFonts w:ascii="Arial" w:eastAsia="Times New Roman" w:hAnsi="Arial" w:cs="Arial"/>
          <w:color w:val="000000"/>
          <w:lang w:eastAsia="ja-JP"/>
        </w:rPr>
        <w:fldChar w:fldCharType="end"/>
      </w:r>
      <w:r w:rsidRPr="00D431D5">
        <w:rPr>
          <w:rFonts w:ascii="Arial" w:eastAsia="Times New Roman" w:hAnsi="Arial" w:cs="Arial"/>
          <w:bCs/>
          <w:color w:val="000000"/>
          <w:lang w:eastAsia="ja-JP"/>
        </w:rPr>
        <w:t xml:space="preserve"> in MEGA6 </w:t>
      </w:r>
      <w:r w:rsidRPr="00D431D5">
        <w:rPr>
          <w:rFonts w:ascii="Arial" w:eastAsia="Times New Roman" w:hAnsi="Arial" w:cs="Arial"/>
          <w:bCs/>
          <w:color w:val="000000"/>
          <w:lang w:eastAsia="ja-JP"/>
        </w:rPr>
        <w:fldChar w:fldCharType="begin"/>
      </w:r>
      <w:r w:rsidRPr="00D431D5">
        <w:rPr>
          <w:rFonts w:ascii="Arial" w:eastAsia="Times New Roman" w:hAnsi="Arial" w:cs="Arial"/>
          <w:bCs/>
          <w:color w:val="000000"/>
          <w:lang w:eastAsia="ja-JP"/>
        </w:rPr>
        <w:instrText xml:space="preserve"> ADDIN EN.CITE &lt;EndNote&gt;&lt;Cite&gt;&lt;Author&gt;Tamura&lt;/Author&gt;&lt;Year&gt;2013&lt;/Year&gt;&lt;IDText&gt;MEGA6: Molecular Evolutionary Genetics Analysis version 6.0&lt;/IDText&gt;&lt;DisplayText&gt;(Tamura et al., 2013)&lt;/DisplayText&gt;&lt;record&gt;&lt;dates&gt;&lt;pub-dates&gt;&lt;date&gt;Dec&lt;/date&gt;&lt;/pub-dates&gt;&lt;year&gt;2013&lt;/year&gt;&lt;/dates&gt;&lt;keywords&gt;&lt;keyword&gt;Algorithms&lt;/keyword&gt;&lt;keyword&gt;Databases, Genetic&lt;/keyword&gt;&lt;keyword&gt;*Evolution, Molecular&lt;/keyword&gt;&lt;keyword&gt;Internet&lt;/keyword&gt;&lt;keyword&gt;Phylogeny&lt;/keyword&gt;&lt;keyword&gt;*Software&lt;/keyword&gt;&lt;keyword&gt;*User-Computer Interface&lt;/keyword&gt;&lt;keyword&gt;phylogeny&lt;/keyword&gt;&lt;keyword&gt;relaxed clocks&lt;/keyword&gt;&lt;keyword&gt;software&lt;/keyword&gt;&lt;/keywords&gt;&lt;isbn&gt;0737-4038&lt;/isbn&gt;&lt;custom2&gt;PMC3840312&lt;/custom2&gt;&lt;titles&gt;&lt;title&gt;MEGA6: Molecular Evolutionary Genetics Analysis version 6.0&lt;/title&gt;&lt;secondary-title&gt;Mol Biol Evol&lt;/secondary-title&gt;&lt;alt-title&gt;Molecular biology and evolution&lt;/alt-title&gt;&lt;/titles&gt;&lt;pages&gt;2725-9&lt;/pages&gt;&lt;number&gt;12&lt;/number&gt;&lt;contributors&gt;&lt;authors&gt;&lt;author&gt;Tamura, K.&lt;/author&gt;&lt;author&gt;Stecher, G.&lt;/author&gt;&lt;author&gt;Peterson, D.&lt;/author&gt;&lt;author&gt;Filipski, A.&lt;/author&gt;&lt;author&gt;Kumar, S.&lt;/author&gt;&lt;/authors&gt;&lt;/contributors&gt;&lt;edition&gt;2013/10/18&lt;/edition&gt;&lt;language&gt;eng&lt;/language&gt;&lt;added-date format="utc"&gt;1453907986&lt;/added-date&gt;&lt;ref-type name="Journal Article"&gt;17&lt;/ref-type&gt;&lt;auth-address&gt;Research Center for Genomics and Bioinformatics, Tokyo Metropolitan University, Hachioji, Tokyo, Japan.&lt;/auth-address&gt;&lt;remote-database-provider&gt;NLM&lt;/remote-database-provider&gt;&lt;rec-number&gt;455&lt;/rec-number&gt;&lt;last-updated-date format="utc"&gt;1453907986&lt;/last-updated-date&gt;&lt;accession-num&gt;24132122&lt;/accession-num&gt;&lt;electronic-resource-num&gt;10.1093/molbev/mst197&lt;/electronic-resource-num&gt;&lt;volume&gt;30&lt;/volume&gt;&lt;/record&gt;&lt;/Cite&gt;&lt;/EndNote&gt;</w:instrText>
      </w:r>
      <w:r w:rsidRPr="00D431D5">
        <w:rPr>
          <w:rFonts w:ascii="Arial" w:eastAsia="Times New Roman" w:hAnsi="Arial" w:cs="Arial"/>
          <w:bCs/>
          <w:color w:val="000000"/>
          <w:lang w:eastAsia="ja-JP"/>
        </w:rPr>
        <w:fldChar w:fldCharType="separate"/>
      </w:r>
      <w:r w:rsidRPr="00D431D5">
        <w:rPr>
          <w:rFonts w:ascii="Arial" w:eastAsia="Times New Roman" w:hAnsi="Arial" w:cs="Arial"/>
          <w:bCs/>
          <w:color w:val="000000"/>
          <w:lang w:eastAsia="ja-JP"/>
        </w:rPr>
        <w:t>(Tamura et al., 2013)</w:t>
      </w:r>
      <w:r w:rsidRPr="00D431D5">
        <w:rPr>
          <w:rFonts w:ascii="Arial" w:eastAsia="Times New Roman" w:hAnsi="Arial" w:cs="Arial"/>
          <w:color w:val="000000"/>
          <w:lang w:eastAsia="ja-JP"/>
        </w:rPr>
        <w:fldChar w:fldCharType="end"/>
      </w:r>
      <w:r w:rsidRPr="00D431D5">
        <w:rPr>
          <w:rFonts w:ascii="Arial" w:eastAsia="Times New Roman" w:hAnsi="Arial" w:cs="Arial"/>
          <w:bCs/>
          <w:color w:val="000000"/>
          <w:lang w:eastAsia="ja-JP"/>
        </w:rPr>
        <w:t xml:space="preserve"> (see </w:t>
      </w:r>
      <w:r w:rsidRPr="00D431D5">
        <w:rPr>
          <w:rFonts w:ascii="Arial" w:eastAsia="Times New Roman" w:hAnsi="Arial" w:cs="Arial"/>
          <w:b/>
          <w:bCs/>
          <w:color w:val="000000"/>
          <w:lang w:eastAsia="ja-JP"/>
        </w:rPr>
        <w:t xml:space="preserve">appendix 2 </w:t>
      </w:r>
      <w:r w:rsidRPr="00D431D5">
        <w:rPr>
          <w:rFonts w:ascii="Arial" w:eastAsia="Times New Roman" w:hAnsi="Arial" w:cs="Arial"/>
          <w:bCs/>
          <w:color w:val="000000"/>
          <w:lang w:eastAsia="ja-JP"/>
        </w:rPr>
        <w:t>for hornwort sequence).</w:t>
      </w:r>
      <w:r w:rsidRPr="00D431D5">
        <w:rPr>
          <w:rFonts w:ascii="Arial" w:eastAsia="Times New Roman" w:hAnsi="Arial" w:cs="Arial"/>
          <w:color w:val="000000"/>
          <w:lang w:eastAsia="ja-JP"/>
        </w:rPr>
        <w:t xml:space="preserve"> The regions that aligned to the hornwort gene were then isolated in all </w:t>
      </w:r>
      <w:r w:rsidRPr="00D431D5">
        <w:rPr>
          <w:rFonts w:ascii="Arial" w:eastAsia="Times New Roman" w:hAnsi="Arial" w:cs="Arial"/>
          <w:i/>
          <w:color w:val="000000"/>
          <w:lang w:eastAsia="ja-JP"/>
        </w:rPr>
        <w:t>SMF</w:t>
      </w:r>
      <w:r w:rsidRPr="00D431D5">
        <w:rPr>
          <w:rFonts w:ascii="Arial" w:eastAsia="Times New Roman" w:hAnsi="Arial" w:cs="Arial"/>
          <w:color w:val="000000"/>
          <w:lang w:eastAsia="ja-JP"/>
        </w:rPr>
        <w:t xml:space="preserve"> clade genes, the </w:t>
      </w:r>
      <w:r w:rsidRPr="00D431D5">
        <w:rPr>
          <w:rFonts w:ascii="Arial" w:eastAsia="Times New Roman" w:hAnsi="Arial" w:cs="Arial"/>
          <w:i/>
          <w:color w:val="000000"/>
          <w:lang w:eastAsia="ja-JP"/>
        </w:rPr>
        <w:t xml:space="preserve">S. fallax </w:t>
      </w:r>
      <w:r w:rsidRPr="00D431D5">
        <w:rPr>
          <w:rFonts w:ascii="Arial" w:eastAsia="Times New Roman" w:hAnsi="Arial" w:cs="Arial"/>
          <w:color w:val="000000"/>
          <w:lang w:eastAsia="ja-JP"/>
        </w:rPr>
        <w:t xml:space="preserve">bHLH and the AtPIF5 sequence and extracted. The extracted sequences were then aligned again and a phylogenetic tree was constructed using the Neighbour-joining method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&lt;EndNote&gt;&lt;Cite&gt;&lt;Author&gt;Saitou&lt;/Author&gt;&lt;Year&gt;1987&lt;/Year&gt;&lt;IDText&gt;The neighbor-joining method: a new method for reconstructing phylogenetic trees&lt;/IDText&gt;&lt;DisplayText&gt;(Saitou and Nei, 1987)&lt;/DisplayText&gt;&lt;record&gt;&lt;dates&gt;&lt;pub-dates&gt;&lt;date&gt;Jul&lt;/date&gt;&lt;/pub-dates&gt;&lt;year&gt;1987&lt;/year&gt;&lt;/dates&gt;&lt;keywords&gt;&lt;keyword&gt;Animals&lt;/keyword&gt;&lt;keyword&gt;Biological Evolution&lt;/keyword&gt;&lt;keyword&gt;Biometry&lt;/keyword&gt;&lt;keyword&gt;*Models, Genetic&lt;/keyword&gt;&lt;keyword&gt;*Phylogeny&lt;/keyword&gt;&lt;keyword&gt;Ranidae/*genetics&lt;/keyword&gt;&lt;/keywords&gt;&lt;isbn&gt;0737-4038 (Print)&amp;#xD;0737-4038&lt;/isbn&gt;&lt;titles&gt;&lt;title&gt;The neighbor-joining method: a new method for reconstructing phylogenetic trees&lt;/title&gt;&lt;secondary-title&gt;Mol Biol Evol&lt;/secondary-title&gt;&lt;alt-title&gt;Molecular biology and evolution&lt;/alt-title&gt;&lt;/titles&gt;&lt;pages&gt;406-25&lt;/pages&gt;&lt;number&gt;4&lt;/number&gt;&lt;contributors&gt;&lt;authors&gt;&lt;author&gt;Saitou, N.&lt;/author&gt;&lt;author&gt;Nei, M.&lt;/author&gt;&lt;/authors&gt;&lt;/contributors&gt;&lt;edition&gt;1987/07/01&lt;/edition&gt;&lt;language&gt;eng&lt;/language&gt;&lt;added-date format="utc"&gt;1453907563&lt;/added-date&gt;&lt;ref-type name="Journal Article"&gt;17&lt;/ref-type&gt;&lt;auth-address&gt;Center for Demographic and Population Genetics, University of Texas Health Science Center, Houston 77225.&lt;/auth-address&gt;&lt;remote-database-provider&gt;NLM&lt;/remote-database-provider&gt;&lt;rec-number&gt;451&lt;/rec-number&gt;&lt;last-updated-date format="utc"&gt;1453907563&lt;/last-updated-date&gt;&lt;accession-num&gt;3447015&lt;/accession-num&gt;&lt;volume&gt;4&lt;/volume&gt;&lt;/record&gt;&lt;/Cite&gt;&lt;/EndNote&gt;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(Saitou and Nei, 1987)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 bootstrap test (1000 replicates) was performed, with percentages generated listed next to branches to illustrate how often associated taxa cluster together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&lt;EndNote&gt;&lt;Cite&gt;&lt;Author&gt;Felsenstein&lt;/Author&gt;&lt;Year&gt;1985&lt;/Year&gt;&lt;IDText&gt;Confidence Limits on Phylogenies: An Approach Using the Bootstrap&lt;/IDText&gt;&lt;DisplayText&gt;(Felsenstein, 1985)&lt;/DisplayText&gt;&lt;record&gt;&lt;urls&gt;&lt;related-urls&gt;&lt;url&gt;http://www.jstor.org/stable/2408678&lt;/url&gt;&lt;/related-urls&gt;&lt;/urls&gt;&lt;isbn&gt;00143820, 15585646&lt;/isbn&gt;&lt;custom1&gt;Full publication date: Jul., 1985&lt;/custom1&gt;&lt;titles&gt;&lt;title&gt;Confidence Limits on Phylogenies: An Approach Using the Bootstrap&lt;/title&gt;&lt;secondary-title&gt;Evolution&lt;/secondary-title&gt;&lt;/titles&gt;&lt;pages&gt;783-791&lt;/pages&gt;&lt;number&gt;4&lt;/number&gt;&lt;contributors&gt;&lt;authors&gt;&lt;author&gt;Felsenstein, Joseph&lt;/author&gt;&lt;/authors&gt;&lt;/contributors&gt;&lt;added-date format="utc"&gt;1453907641&lt;/added-date&gt;&lt;ref-type name="Journal Article"&gt;17&lt;/ref-type&gt;&lt;dates&gt;&lt;year&gt;1985&lt;/year&gt;&lt;/dates&gt;&lt;rec-number&gt;452&lt;/rec-number&gt;&lt;publisher&gt;[Society for the Study of Evolution, Wiley]&lt;/publisher&gt;&lt;last-updated-date format="utc"&gt;1453907641&lt;/last-updated-date&gt;&lt;electronic-resource-num&gt;10.2307/2408678&lt;/electronic-resource-num&gt;&lt;volume&gt;39&lt;/volume&gt;&lt;/record&gt;&lt;/Cite&gt;&lt;/EndNote&gt;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(Felsenstein, 1985)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The Poisson correction method was used to compute evolutionary distances with units equating to the number of amino acid substitutions per site applied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&lt;EndNote&gt;&lt;Cite&gt;&lt;Author&gt;Zuckerkandl&lt;/Author&gt;&lt;Year&gt;1965&lt;/Year&gt;&lt;IDText&gt;Molecules as documents of evolutionary history&lt;/IDText&gt;&lt;DisplayText&gt;(Zuckerkandl and Pauling, 1965)&lt;/DisplayText&gt;&lt;record&gt;&lt;dates&gt;&lt;pub-dates&gt;&lt;date&gt;Mar&lt;/date&gt;&lt;/pub-dates&gt;&lt;year&gt;1965&lt;/year&gt;&lt;/dates&gt;&lt;keywords&gt;&lt;keyword&gt;Amino Acid Sequence&lt;/keyword&gt;&lt;keyword&gt;*Biological Evolution&lt;/keyword&gt;&lt;keyword&gt;*Genes&lt;/keyword&gt;&lt;keyword&gt;*Genetic Code&lt;/keyword&gt;&lt;keyword&gt;*Macromolecular Substances&lt;/keyword&gt;&lt;keyword&gt;Nucleic Acids&lt;/keyword&gt;&lt;keyword&gt;*RNA, Messenger&lt;/keyword&gt;&lt;/keywords&gt;&lt;isbn&gt;0022-5193 (Print)&amp;#xD;0022-5193&lt;/isbn&gt;&lt;titles&gt;&lt;title&gt;Molecules as documents of evolutionary history&lt;/title&gt;&lt;secondary-title&gt;J Theor Biol&lt;/secondary-title&gt;&lt;alt-title&gt;Journal of theoretical biology&lt;/alt-title&gt;&lt;/titles&gt;&lt;pages&gt;357-66&lt;/pages&gt;&lt;number&gt;2&lt;/number&gt;&lt;contributors&gt;&lt;authors&gt;&lt;author&gt;Zuckerkandl, E.&lt;/author&gt;&lt;author&gt;Pauling, L.&lt;/author&gt;&lt;/authors&gt;&lt;/contributors&gt;&lt;edition&gt;1965/03/01&lt;/edition&gt;&lt;language&gt;eng&lt;/language&gt;&lt;added-date format="utc"&gt;1453907838&lt;/added-date&gt;&lt;ref-type name="Journal Article"&gt;17&lt;/ref-type&gt;&lt;remote-database-provider&gt;NLM&lt;/remote-database-provider&gt;&lt;rec-number&gt;454&lt;/rec-number&gt;&lt;last-updated-date format="utc"&gt;1453907838&lt;/last-updated-date&gt;&lt;accession-num&gt;5876245&lt;/accession-num&gt;&lt;volume&gt;8&lt;/volume&gt;&lt;/record&gt;&lt;/Cite&gt;&lt;/EndNote&gt;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(Zuckerkandl and Pauling, 1965)</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All positions containing gaps and missing data were eliminated. The abbreviated forms of species prefixes are Pp, </w:t>
      </w:r>
      <w:r w:rsidRPr="00D431D5">
        <w:rPr>
          <w:rFonts w:ascii="Arial" w:eastAsia="Times New Roman" w:hAnsi="Arial" w:cs="Arial"/>
          <w:i/>
          <w:color w:val="000000"/>
          <w:lang w:eastAsia="ja-JP"/>
        </w:rPr>
        <w:t>Physcomitrella patens</w:t>
      </w:r>
      <w:r w:rsidRPr="00D431D5">
        <w:rPr>
          <w:rFonts w:ascii="Arial" w:eastAsia="Times New Roman" w:hAnsi="Arial" w:cs="Arial"/>
          <w:color w:val="000000"/>
          <w:lang w:eastAsia="ja-JP"/>
        </w:rPr>
        <w:t xml:space="preserve">; Ap, </w:t>
      </w:r>
      <w:r w:rsidRPr="00D431D5">
        <w:rPr>
          <w:rFonts w:ascii="Arial" w:eastAsia="Times New Roman" w:hAnsi="Arial" w:cs="Arial"/>
          <w:i/>
          <w:color w:val="000000"/>
          <w:lang w:eastAsia="ja-JP"/>
        </w:rPr>
        <w:t>Anthoceros punctatus</w:t>
      </w:r>
      <w:r w:rsidRPr="00D431D5">
        <w:rPr>
          <w:rFonts w:ascii="Arial" w:eastAsia="Times New Roman" w:hAnsi="Arial" w:cs="Arial"/>
          <w:color w:val="000000"/>
          <w:lang w:eastAsia="ja-JP"/>
        </w:rPr>
        <w:t>;</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Sm, </w:t>
      </w:r>
      <w:r w:rsidRPr="00D431D5">
        <w:rPr>
          <w:rFonts w:ascii="Arial" w:eastAsia="Times New Roman" w:hAnsi="Arial" w:cs="Arial"/>
          <w:i/>
          <w:color w:val="000000"/>
          <w:lang w:eastAsia="ja-JP"/>
        </w:rPr>
        <w:t>Selaginella moellendorffii</w:t>
      </w:r>
      <w:r w:rsidRPr="00D431D5">
        <w:rPr>
          <w:rFonts w:ascii="Arial" w:eastAsia="Times New Roman" w:hAnsi="Arial" w:cs="Arial"/>
          <w:color w:val="000000"/>
          <w:lang w:eastAsia="ja-JP"/>
        </w:rPr>
        <w:t xml:space="preserve">, Os, </w:t>
      </w:r>
      <w:r w:rsidRPr="00D431D5">
        <w:rPr>
          <w:rFonts w:ascii="Arial" w:eastAsia="Times New Roman" w:hAnsi="Arial" w:cs="Arial"/>
          <w:i/>
          <w:color w:val="000000"/>
          <w:lang w:eastAsia="ja-JP"/>
        </w:rPr>
        <w:t>Oryza sativa</w:t>
      </w:r>
      <w:r w:rsidRPr="00D431D5">
        <w:rPr>
          <w:rFonts w:ascii="Arial" w:eastAsia="Times New Roman" w:hAnsi="Arial" w:cs="Arial"/>
          <w:color w:val="000000"/>
          <w:lang w:eastAsia="ja-JP"/>
        </w:rPr>
        <w:t xml:space="preserve">; Eg, </w:t>
      </w:r>
      <w:r w:rsidRPr="00D431D5">
        <w:rPr>
          <w:rFonts w:ascii="Arial" w:eastAsia="Times New Roman" w:hAnsi="Arial" w:cs="Arial"/>
          <w:i/>
          <w:color w:val="000000"/>
          <w:lang w:eastAsia="ja-JP"/>
        </w:rPr>
        <w:t xml:space="preserve">Eucalyptus grandis; </w:t>
      </w:r>
      <w:r w:rsidRPr="00D431D5">
        <w:rPr>
          <w:rFonts w:ascii="Arial" w:eastAsia="Times New Roman" w:hAnsi="Arial" w:cs="Arial"/>
          <w:color w:val="000000"/>
          <w:lang w:eastAsia="ja-JP"/>
        </w:rPr>
        <w:t xml:space="preserve">At, </w:t>
      </w:r>
      <w:r w:rsidRPr="00D431D5">
        <w:rPr>
          <w:rFonts w:ascii="Arial" w:eastAsia="Times New Roman" w:hAnsi="Arial" w:cs="Arial"/>
          <w:i/>
          <w:color w:val="000000"/>
          <w:lang w:eastAsia="ja-JP"/>
        </w:rPr>
        <w:t>Arabidopsis thaliana</w:t>
      </w:r>
      <w:r w:rsidRPr="00D431D5">
        <w:rPr>
          <w:rFonts w:ascii="Arial" w:eastAsia="Times New Roman" w:hAnsi="Arial" w:cs="Arial"/>
          <w:color w:val="000000"/>
          <w:lang w:eastAsia="ja-JP"/>
        </w:rPr>
        <w:t xml:space="preserve">. </w:t>
      </w:r>
    </w:p>
    <w:p w14:paraId="273A3523" w14:textId="09452270" w:rsidR="00D431D5" w:rsidRPr="00D431D5" w:rsidRDefault="005B2645" w:rsidP="00D431D5">
      <w:pPr>
        <w:tabs>
          <w:tab w:val="left" w:pos="6663"/>
        </w:tabs>
        <w:spacing w:after="160" w:line="360" w:lineRule="auto"/>
        <w:rPr>
          <w:rFonts w:ascii="Arial" w:eastAsia="Times New Roman" w:hAnsi="Arial" w:cs="Arial"/>
          <w:b/>
          <w:color w:val="000000"/>
          <w:u w:val="single"/>
          <w:lang w:eastAsia="ja-JP"/>
        </w:rPr>
      </w:pPr>
      <w:r>
        <w:rPr>
          <w:rFonts w:ascii="Arial" w:eastAsia="Times New Roman" w:hAnsi="Arial" w:cs="Arial"/>
          <w:b/>
          <w:color w:val="000000"/>
          <w:u w:val="single"/>
          <w:lang w:eastAsia="ja-JP"/>
        </w:rPr>
        <w:t xml:space="preserve">3.4 </w:t>
      </w:r>
      <w:r w:rsidR="00D431D5" w:rsidRPr="00D431D5">
        <w:rPr>
          <w:rFonts w:ascii="Arial" w:eastAsia="Times New Roman" w:hAnsi="Arial" w:cs="Arial"/>
          <w:b/>
          <w:color w:val="000000"/>
          <w:u w:val="single"/>
          <w:lang w:eastAsia="ja-JP"/>
        </w:rPr>
        <w:t>Conclusions</w:t>
      </w:r>
    </w:p>
    <w:p w14:paraId="7F1553DB"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As has been outlined through the course of this chapter, genes involved in stomatal development in the moss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are highly conserved and are related to orthologous genes found in vascular plants </w:t>
      </w:r>
      <w:r w:rsidRPr="00D431D5">
        <w:rPr>
          <w:rFonts w:ascii="Arial" w:eastAsia="Times New Roman" w:hAnsi="Arial" w:cs="Arial"/>
          <w:color w:val="000000"/>
          <w:lang w:eastAsia="ja-JP"/>
        </w:rPr>
        <w:fldChar w:fldCharType="begin">
          <w:fldData xml:space="preserve">PEVuZE5vdGU+PENpdGU+PEF1dGhvcj5PaGFzaGktSXRvPC9BdXRob3I+PFllYXI+MjAwNjwvWWVh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PEVuZE5vdGU+PENpdGU+PEF1dGhvcj5PaGFzaGktSXRvPC9BdXRob3I+PFllYXI+MjAwNjwvWWVh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(Kanaoka et al., 2008; MacAlister and Bergmann, 2011; MacAlister et al., 2007; Ohashi-Ito and Bergmann, 2006; Pillitteri et al., 2007)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It has been shown that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are both integral for the formation of GMCs and that without either of these genes stomatal formation does not occur (</w:t>
      </w:r>
      <w:r w:rsidRPr="00D431D5">
        <w:rPr>
          <w:rFonts w:ascii="Arial" w:eastAsia="Times New Roman" w:hAnsi="Arial" w:cs="Arial"/>
          <w:b/>
          <w:color w:val="000000"/>
          <w:lang w:eastAsia="ja-JP"/>
        </w:rPr>
        <w:t xml:space="preserve">Fig. 11, 13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15</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&lt;EndNote&gt;&lt;Cite&gt;&lt;Author&gt;Chater&lt;/Author&gt;&lt;Year&gt;2016&lt;/Year&gt;&lt;IDText&gt;Origin and function of stomata in the moss Physcomitrella patens&lt;/IDText&gt;&lt;DisplayText&gt;(Chater et al., 2016)&lt;/DisplayText&gt;&lt;record&gt;&lt;dates&gt;&lt;pub-dates&gt;&lt;date&gt;2016 Nov&lt;/date&gt;&lt;/pub-dates&gt;&lt;year&gt;2016&lt;/year&gt;&lt;/dates&gt;&lt;urls&gt;&lt;related-urls&gt;&lt;url&gt;&amp;lt;Go to ISI&amp;gt;://MEDLINE:27892923&lt;/url&gt;&lt;/related-urls&gt;&lt;/urls&gt;&lt;titles&gt;&lt;title&gt;Origin and function of stomata in the moss Physcomitrella patens&lt;/title&gt;&lt;secondary-title&gt;Nature plants&lt;/secondary-title&gt;&lt;/titles&gt;&lt;pages&gt;16179-16179&lt;/pages&gt;&lt;contributors&gt;&lt;authors&gt;&lt;author&gt;Chater, Caspar C.&lt;/author&gt;&lt;author&gt;Caine, Robert S.&lt;/author&gt;&lt;author&gt;Tomek, Marta&lt;/author&gt;&lt;author&gt;Wallace, Simon&lt;/author&gt;&lt;author&gt;Kamisugi, Yasuko&lt;/author&gt;&lt;author&gt;Cuming, Andrew C.&lt;/author&gt;&lt;author&gt;Lang, Daniel&lt;/author&gt;&lt;author&gt;MacAlister, Cora A.&lt;/author&gt;&lt;author&gt;Casson, Stuart&lt;/author&gt;&lt;author&gt;Bergmann, Dominique C.&lt;/author&gt;&lt;author&gt;Decker, Eva L.&lt;/author&gt;&lt;author&gt;Frank, Wolfgang&lt;/author&gt;&lt;author&gt;Gray, Julie E.&lt;/author&gt;&lt;author&gt;Fleming, Andrew&lt;/author&gt;&lt;author&gt;Reski, Ralf&lt;/author&gt;&lt;author&gt;Beerling, David J.&lt;/author&gt;&lt;/authors&gt;&lt;/contributors&gt;&lt;added-date format="utc"&gt;1485254994&lt;/added-date&gt;&lt;ref-type name="Journal Article"&gt;17&lt;/ref-type&gt;&lt;rec-number&gt;1346&lt;/rec-number&gt;&lt;last-updated-date format="utc"&gt;1485254994&lt;/last-updated-date&gt;&lt;accession-num&gt;MEDLINE:27892923&lt;/accession-num&gt;&lt;electronic-resource-num&gt;10.1038/nplants.2016.179&lt;/electronic-resource-num&gt;&lt;volume&gt;2&lt;/volume&gt;&lt;/record&gt;&lt;/Cite&gt;&lt;/EndNote&gt;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(Chater et al., 2016)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Taken together with interaction assays performed by colleagues (Personal communications Dr Caspar Chater and Dr Yasuko Kamisugi) it seems that perhaps like with angiosperms </w: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bnRpYXRpb248L0lEVGV4dD48RGlzcGxheVRleHQ+KEthbmFva2EgZXQgYWwuLCAyMDA4KTwvRGlz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bnRpYXRpb248L0lEVGV4dD48RGlzcGxheVRleHQ+KEthbmFva2EgZXQgYWwuLCAyMDA4KTwvRGlz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(Kanaoka et al., 2008)</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that for stomatal development to ensue,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must</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 xml:space="preserve">first come together into a heterodimer that subsequently drives stomatal GMC formation. These data suggests that a common ancestor of both mosses and vascular land plants had SMF-like and SCRM-like genes which functioned together in a heterodimer some time before 450 million years ago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&lt;EndNote&gt;&lt;Cite&gt;&lt;Author&gt;Chater&lt;/Author&gt;&lt;Year&gt;2013&lt;/Year&gt;&lt;IDText&gt;Early evolutionary acquisition of stomatal control and development gene signalling networks&lt;/IDText&gt;&lt;DisplayText&gt;(Chater et al., 2013)&lt;/DisplayText&gt;&lt;record&gt;&lt;dates&gt;&lt;pub-dates&gt;&lt;date&gt;Oct&lt;/date&gt;&lt;/pub-dates&gt;&lt;year&gt;2013&lt;/year&gt;&lt;/dates&gt;&lt;keywords&gt;&lt;keyword&gt;moss physcomitrella-patens&lt;/keyword&gt;&lt;keyword&gt;abscisic-acid&lt;/keyword&gt;&lt;keyword&gt;land plants&lt;/keyword&gt;&lt;keyword&gt;carbon-dioxide&lt;/keyword&gt;&lt;keyword&gt;guard-cells&lt;/keyword&gt;&lt;keyword&gt;mechanisms&lt;/keyword&gt;&lt;keyword&gt;drought&lt;/keyword&gt;&lt;keyword&gt;fern&lt;/keyword&gt;&lt;keyword&gt;co2&lt;/keyword&gt;&lt;keyword&gt;transduction&lt;/keyword&gt;&lt;keyword&gt;Plant Sciences&lt;/keyword&gt;&lt;/keywords&gt;&lt;urls&gt;&lt;related-urls&gt;&lt;url&gt;&amp;lt;Go to ISI&amp;gt;://WOS:000326432800014&lt;/url&gt;&lt;/related-urls&gt;&lt;/urls&gt;&lt;isbn&gt;1369-5266&lt;/isbn&gt;&lt;work-type&gt;Review&lt;/work-type&gt;&lt;titles&gt;&lt;title&gt;Early evolutionary acquisition of stomatal control and development gene signalling networks&lt;/title&gt;&lt;secondary-title&gt;Current Opinion in Plant Biology&lt;/secondary-title&gt;&lt;/titles&gt;&lt;pages&gt;638-646&lt;/pages&gt;&lt;number&gt;5&lt;/number&gt;&lt;contributors&gt;&lt;authors&gt;&lt;author&gt;Chater, C.&lt;/author&gt;&lt;author&gt;Gray, J. E.&lt;/author&gt;&lt;author&gt;Beerling, D. J.&lt;/author&gt;&lt;/authors&gt;&lt;/contributors&gt;&lt;language&gt;English&lt;/language&gt;&lt;added-date format="utc"&gt;1445462732&lt;/added-date&gt;&lt;ref-type name="Journal Article"&gt;17&lt;/ref-type&gt;&lt;auth-address&gt;[Chater, Caspar&amp;#xD;Gray, Julie E.] Univ Sheffield, Dept Mol Biol &amp;amp; Biotechnol, Sheffield S10 2TN, S Yorkshire, England. [Beerling, David J.] Univ Sheffield, Dept Anim &amp;amp; Plant Sci, Sheffield S10 2TN, S Yorkshire, England.&amp;#xD;Beerling, DJ (reprint author), Univ Sheffield, Dept Anim &amp;amp; Plant Sci, Sheffield S10 2TN, S Yorkshire, England.&amp;#xD;d.j.beerling@sheffield.ac.uk&lt;/auth-address&gt;&lt;rec-number&gt;180&lt;/rec-number&gt;&lt;last-updated-date format="utc"&gt;1445462732&lt;/last-updated-date&gt;&lt;accession-num&gt;WOS:000326432800014&lt;/accession-num&gt;&lt;electronic-resource-num&gt;10.1016/j.pbi.2013.06.013&lt;/electronic-resource-num&gt;&lt;volume&gt;16&lt;/volume&gt;&lt;/record&gt;&lt;/Cite&gt;&lt;/EndNote&gt;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(Chater et al., 2013)</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t>
      </w:r>
    </w:p>
    <w:p w14:paraId="703EF81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By producing mutant moss with no stomata it was possible to test if stomata play a functional role in sporophyte development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It was found that stomata accelerated capsule dehiscence speeds under drier conditions thereby elucidating a function for stomata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Fig. 16</w:t>
      </w:r>
      <w:r w:rsidRPr="00D431D5">
        <w:rPr>
          <w:rFonts w:ascii="Arial" w:eastAsia="Times New Roman" w:hAnsi="Arial" w:cs="Arial"/>
          <w:color w:val="000000"/>
          <w:lang w:eastAsia="ja-JP"/>
        </w:rPr>
        <w:t xml:space="preserve">)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&lt;EndNote&gt;&lt;Cite&gt;&lt;Author&gt;Chater&lt;/Author&gt;&lt;Year&gt;2016&lt;/Year&gt;&lt;IDText&gt;Origin and function of stomata in the moss Physcomitrella patens&lt;/IDText&gt;&lt;DisplayText&gt;(Chater et al., 2016)&lt;/DisplayText&gt;&lt;record&gt;&lt;dates&gt;&lt;pub-dates&gt;&lt;date&gt;2016 Nov&lt;/date&gt;&lt;/pub-dates&gt;&lt;year&gt;2016&lt;/year&gt;&lt;/dates&gt;&lt;urls&gt;&lt;related-urls&gt;&lt;url&gt;&amp;lt;Go to ISI&amp;gt;://MEDLINE:27892923&lt;/url&gt;&lt;/related-urls&gt;&lt;/urls&gt;&lt;titles&gt;&lt;title&gt;Origin and function of stomata in the moss Physcomitrella patens&lt;/title&gt;&lt;secondary-title&gt;Nature plants&lt;/secondary-title&gt;&lt;/titles&gt;&lt;pages&gt;16179-16179&lt;/pages&gt;&lt;contributors&gt;&lt;authors&gt;&lt;author&gt;Chater, Caspar C.&lt;/author&gt;&lt;author&gt;Caine, Robert S.&lt;/author&gt;&lt;author&gt;Tomek, Marta&lt;/author&gt;&lt;author&gt;Wallace, Simon&lt;/author&gt;&lt;author&gt;Kamisugi, Yasuko&lt;/author&gt;&lt;author&gt;Cuming, Andrew C.&lt;/author&gt;&lt;author&gt;Lang, Daniel&lt;/author&gt;&lt;author&gt;MacAlister, Cora A.&lt;/author&gt;&lt;author&gt;Casson, Stuart&lt;/author&gt;&lt;author&gt;Bergmann, Dominique C.&lt;/author&gt;&lt;author&gt;Decker, Eva L.&lt;/author&gt;&lt;author&gt;Frank, Wolfgang&lt;/author&gt;&lt;author&gt;Gray, Julie E.&lt;/author&gt;&lt;author&gt;Fleming, Andrew&lt;/author&gt;&lt;author&gt;Reski, Ralf&lt;/author&gt;&lt;author&gt;Beerling, David J.&lt;/author&gt;&lt;/authors&gt;&lt;/contributors&gt;&lt;added-date format="utc"&gt;1485254994&lt;/added-date&gt;&lt;ref-type name="Journal Article"&gt;17&lt;/ref-type&gt;&lt;rec-number&gt;1346&lt;/rec-number&gt;&lt;last-updated-date format="utc"&gt;1485254994&lt;/last-updated-date&gt;&lt;accession-num&gt;MEDLINE:27892923&lt;/accession-num&gt;&lt;electronic-resource-num&gt;10.1038/nplants.2016.179&lt;/electronic-resource-num&gt;&lt;volume&gt;2&lt;/volume&gt;&lt;/record&gt;&lt;/Cite&gt;&lt;/EndNote&gt;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(Chater et al., 2016)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Whether this was due solely to capsule drying or </w:t>
      </w:r>
      <w:r w:rsidRPr="00D431D5">
        <w:rPr>
          <w:rFonts w:ascii="Arial" w:eastAsia="Times New Roman" w:hAnsi="Arial" w:cs="Arial"/>
          <w:color w:val="000000"/>
          <w:lang w:eastAsia="ja-JP"/>
        </w:rPr>
        <w:lastRenderedPageBreak/>
        <w:t xml:space="preserve">whether stomata were also assisting in other processes such as gaseous exchange and nutrient accumulation remains to be resolved. Inspection of wild-type sporophyte capsule bases illustrated that blackening in the sub-stomatal cavity regions was occurring that was not present in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equivalent sporophyte capsules, where no sub-stomatal cavities formed (</w:t>
      </w:r>
      <w:r w:rsidRPr="00D431D5">
        <w:rPr>
          <w:rFonts w:ascii="Arial" w:eastAsia="Times New Roman" w:hAnsi="Arial" w:cs="Arial"/>
          <w:b/>
          <w:color w:val="000000"/>
          <w:lang w:eastAsia="ja-JP"/>
        </w:rPr>
        <w:t>Fig. 17</w:t>
      </w:r>
      <w:r w:rsidRPr="00D431D5">
        <w:rPr>
          <w:rFonts w:ascii="Arial" w:eastAsia="Times New Roman" w:hAnsi="Arial" w:cs="Arial"/>
          <w:color w:val="000000"/>
          <w:lang w:eastAsia="ja-JP"/>
        </w:rPr>
        <w:t xml:space="preserve">). Such blackening which may be linked to dried liquid in the sub-stomatal cavity regions was only found in the sporophyte capsules under fairly dry conditions. These findings suggest that stomata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are adaptable structures which assist in dehiscence of the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sporophytes capsule. </w:t>
      </w:r>
    </w:p>
    <w:p w14:paraId="3AC043D3"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The key conclusions from this chapter are:</w:t>
      </w:r>
    </w:p>
    <w:p w14:paraId="7CF6DBC7" w14:textId="77777777" w:rsidR="00D431D5" w:rsidRPr="00D431D5" w:rsidRDefault="00D431D5" w:rsidP="00D431D5">
      <w:pPr>
        <w:numPr>
          <w:ilvl w:val="0"/>
          <w:numId w:val="35"/>
        </w:num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stomatal development begins early in sporophyte development when the nascent sporophyte is extending out from the parent gametophore prior to capsule swelling outwards.</w:t>
      </w:r>
    </w:p>
    <w:p w14:paraId="255A513D" w14:textId="02BC2697" w:rsidR="00D431D5" w:rsidRPr="00D431D5" w:rsidRDefault="00D431D5" w:rsidP="00D431D5">
      <w:pPr>
        <w:numPr>
          <w:ilvl w:val="0"/>
          <w:numId w:val="35"/>
        </w:num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The stomata of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are formed from GMCs which themselves are </w:t>
      </w:r>
      <w:r w:rsidR="00824D02">
        <w:rPr>
          <w:rFonts w:ascii="Arial" w:eastAsia="Times New Roman" w:hAnsi="Arial" w:cs="Arial"/>
          <w:color w:val="000000"/>
          <w:lang w:eastAsia="ja-JP"/>
        </w:rPr>
        <w:t xml:space="preserve">probably </w:t>
      </w:r>
      <w:r w:rsidRPr="00D431D5">
        <w:rPr>
          <w:rFonts w:ascii="Arial" w:eastAsia="Times New Roman" w:hAnsi="Arial" w:cs="Arial"/>
          <w:color w:val="000000"/>
          <w:lang w:eastAsia="ja-JP"/>
        </w:rPr>
        <w:t>formed from protodermal cells.</w:t>
      </w:r>
    </w:p>
    <w:p w14:paraId="14EB5306" w14:textId="3184A0A0" w:rsidR="00D431D5" w:rsidRPr="00D431D5" w:rsidRDefault="00D431D5" w:rsidP="00D431D5">
      <w:pPr>
        <w:numPr>
          <w:ilvl w:val="0"/>
          <w:numId w:val="35"/>
        </w:num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Under certain conditions a GMC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may be able to divide asymmetrically to space neighbouring GMCs that have formed in close proximity. Therefore, stomata in </w:t>
      </w:r>
      <w:r w:rsidRPr="00D431D5">
        <w:rPr>
          <w:rFonts w:ascii="Arial" w:eastAsia="Times New Roman" w:hAnsi="Arial" w:cs="Arial"/>
          <w:i/>
          <w:color w:val="000000"/>
          <w:lang w:eastAsia="ja-JP"/>
        </w:rPr>
        <w:t xml:space="preserve">P. patens </w:t>
      </w:r>
      <w:r w:rsidR="00824D02">
        <w:rPr>
          <w:rFonts w:ascii="Arial" w:eastAsia="Times New Roman" w:hAnsi="Arial" w:cs="Arial"/>
          <w:color w:val="000000"/>
          <w:lang w:eastAsia="ja-JP"/>
        </w:rPr>
        <w:t>seem to be</w:t>
      </w:r>
      <w:r w:rsidRPr="00D431D5">
        <w:rPr>
          <w:rFonts w:ascii="Arial" w:eastAsia="Times New Roman" w:hAnsi="Arial" w:cs="Arial"/>
          <w:color w:val="000000"/>
          <w:lang w:eastAsia="ja-JP"/>
        </w:rPr>
        <w:t xml:space="preserve"> mesoperigenous.</w:t>
      </w:r>
    </w:p>
    <w:p w14:paraId="22DCDA0F" w14:textId="77777777" w:rsidR="00D431D5" w:rsidRPr="00D431D5" w:rsidRDefault="00D431D5" w:rsidP="00D431D5">
      <w:pPr>
        <w:numPr>
          <w:ilvl w:val="0"/>
          <w:numId w:val="35"/>
        </w:num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i/>
          <w:color w:val="000000"/>
          <w:lang w:eastAsia="ja-JP"/>
        </w:rPr>
        <w:t>PpSMF1</w:t>
      </w:r>
      <w:r w:rsidRPr="00D431D5">
        <w:rPr>
          <w:rFonts w:ascii="Arial" w:eastAsia="Times New Roman" w:hAnsi="Arial" w:cs="Arial"/>
          <w:color w:val="000000"/>
          <w:lang w:eastAsia="ja-JP"/>
        </w:rPr>
        <w:t xml:space="preserve"> which is orthologous to </w:t>
      </w:r>
      <w:r w:rsidRPr="00D431D5">
        <w:rPr>
          <w:rFonts w:ascii="Arial" w:eastAsia="Times New Roman" w:hAnsi="Arial" w:cs="Arial"/>
          <w:i/>
          <w:color w:val="000000"/>
          <w:lang w:eastAsia="ja-JP"/>
        </w:rPr>
        <w:t>SPCH</w:t>
      </w:r>
      <w:r w:rsidRPr="00D431D5">
        <w:rPr>
          <w:rFonts w:ascii="Arial" w:eastAsia="Times New Roman" w:hAnsi="Arial" w:cs="Arial"/>
          <w:color w:val="000000"/>
          <w:lang w:eastAsia="ja-JP"/>
        </w:rPr>
        <w:t xml:space="preserve">, </w:t>
      </w:r>
      <w:r w:rsidRPr="00D431D5">
        <w:rPr>
          <w:rFonts w:ascii="Arial" w:eastAsia="Times New Roman" w:hAnsi="Arial" w:cs="Arial"/>
          <w:i/>
          <w:color w:val="000000"/>
          <w:lang w:eastAsia="ja-JP"/>
        </w:rPr>
        <w:t>MUTE</w:t>
      </w:r>
      <w:r w:rsidRPr="00D431D5">
        <w:rPr>
          <w:rFonts w:ascii="Arial" w:eastAsia="Times New Roman" w:hAnsi="Arial" w:cs="Arial"/>
          <w:color w:val="000000"/>
          <w:lang w:eastAsia="ja-JP"/>
        </w:rPr>
        <w:t xml:space="preserve"> and </w:t>
      </w:r>
      <w:r w:rsidRPr="00D431D5">
        <w:rPr>
          <w:rFonts w:ascii="Arial" w:eastAsia="Times New Roman" w:hAnsi="Arial" w:cs="Arial"/>
          <w:i/>
          <w:color w:val="000000"/>
          <w:lang w:eastAsia="ja-JP"/>
        </w:rPr>
        <w:t>FAMA</w:t>
      </w:r>
      <w:r w:rsidRPr="00D431D5">
        <w:rPr>
          <w:rFonts w:ascii="Arial" w:eastAsia="Times New Roman" w:hAnsi="Arial" w:cs="Arial"/>
          <w:color w:val="000000"/>
          <w:lang w:eastAsia="ja-JP"/>
        </w:rPr>
        <w:t xml:space="preserve"> in Arabidopsis </w:t>
      </w:r>
      <w:r w:rsidRPr="00D431D5">
        <w:rPr>
          <w:rFonts w:ascii="Arial" w:eastAsia="Times New Roman" w:hAnsi="Arial" w:cs="Arial"/>
          <w:color w:val="000000"/>
          <w:lang w:eastAsia="ja-JP"/>
        </w:rPr>
        <w:fldChar w:fldCharType="begin">
          <w:fldData xml:space="preserve">PEVuZE5vdGU+PENpdGU+PEF1dGhvcj5NYWNBbGlzdGVyPC9BdXRob3I+PFllYXI+MjAwNzwvWWVh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PEVuZE5vdGU+PENpdGU+PEF1dGhvcj5NYWNBbGlzdGVyPC9BdXRob3I+PFllYXI+MjAwNzwvWWVh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(MacAlister and Bergmann, 2011; MacAlister et al., 2007; Ohashi-Ito and Bergmann, 2006; Pillitteri et al., 2007)</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and is absolutely required for stomata to form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w:t>
      </w:r>
    </w:p>
    <w:p w14:paraId="0DA632DD" w14:textId="77777777" w:rsidR="00D431D5" w:rsidRPr="00D431D5" w:rsidRDefault="00D431D5" w:rsidP="00D431D5">
      <w:pPr>
        <w:numPr>
          <w:ilvl w:val="0"/>
          <w:numId w:val="35"/>
        </w:num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i/>
          <w:color w:val="000000"/>
          <w:lang w:eastAsia="ja-JP"/>
        </w:rPr>
        <w:t>PpSMF2</w:t>
      </w:r>
      <w:r w:rsidRPr="00D431D5">
        <w:rPr>
          <w:rFonts w:ascii="Arial" w:eastAsia="Times New Roman" w:hAnsi="Arial" w:cs="Arial"/>
          <w:color w:val="000000"/>
          <w:lang w:eastAsia="ja-JP"/>
        </w:rPr>
        <w:t xml:space="preserve"> which phylogenetically clusters closely with </w:t>
      </w:r>
      <w:r w:rsidRPr="00D431D5">
        <w:rPr>
          <w:rFonts w:ascii="Arial" w:eastAsia="Times New Roman" w:hAnsi="Arial" w:cs="Arial"/>
          <w:i/>
          <w:color w:val="000000"/>
          <w:lang w:eastAsia="ja-JP"/>
        </w:rPr>
        <w:t>PpSMF1</w:t>
      </w:r>
      <w:r w:rsidRPr="00D431D5">
        <w:rPr>
          <w:rFonts w:ascii="Arial" w:eastAsia="Times New Roman" w:hAnsi="Arial" w:cs="Arial"/>
          <w:color w:val="000000"/>
          <w:lang w:eastAsia="ja-JP"/>
        </w:rPr>
        <w:t xml:space="preserve"> does not partake in stomatal development or sub-stomatal cavity formation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The</w:t>
      </w:r>
      <w:r w:rsidRPr="00D431D5">
        <w:rPr>
          <w:rFonts w:ascii="Arial" w:eastAsia="Times New Roman" w:hAnsi="Arial" w:cs="Arial"/>
          <w:i/>
          <w:color w:val="000000"/>
          <w:lang w:eastAsia="ja-JP"/>
        </w:rPr>
        <w:t xml:space="preserve"> ppsmf2 </w:t>
      </w:r>
      <w:r w:rsidRPr="00D431D5">
        <w:rPr>
          <w:rFonts w:ascii="Arial" w:eastAsia="Times New Roman" w:hAnsi="Arial" w:cs="Arial"/>
          <w:color w:val="000000"/>
          <w:lang w:eastAsia="ja-JP"/>
        </w:rPr>
        <w:t>lines surveyed did not exhibit any other phenotypic differences comparatively to the wild-type</w:t>
      </w:r>
    </w:p>
    <w:p w14:paraId="3BFA11B7" w14:textId="77777777" w:rsidR="00D431D5" w:rsidRPr="00D431D5" w:rsidRDefault="00D431D5" w:rsidP="00D431D5">
      <w:pPr>
        <w:numPr>
          <w:ilvl w:val="0"/>
          <w:numId w:val="35"/>
        </w:num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i/>
          <w:color w:val="000000"/>
          <w:lang w:eastAsia="ja-JP"/>
        </w:rPr>
        <w:t>PpSCRM1</w:t>
      </w:r>
      <w:r w:rsidRPr="00D431D5">
        <w:rPr>
          <w:rFonts w:ascii="Arial" w:eastAsia="Times New Roman" w:hAnsi="Arial" w:cs="Arial"/>
          <w:color w:val="000000"/>
          <w:lang w:eastAsia="ja-JP"/>
        </w:rPr>
        <w:t xml:space="preserve"> which is orthologous to </w:t>
      </w:r>
      <w:r w:rsidRPr="00D431D5">
        <w:rPr>
          <w:rFonts w:ascii="Arial" w:eastAsia="Times New Roman" w:hAnsi="Arial" w:cs="Arial"/>
          <w:i/>
          <w:color w:val="000000"/>
          <w:lang w:eastAsia="ja-JP"/>
        </w:rPr>
        <w:t>ICE1/SCRM</w:t>
      </w:r>
      <w:r w:rsidRPr="00D431D5">
        <w:rPr>
          <w:rFonts w:ascii="Arial" w:eastAsia="Times New Roman" w:hAnsi="Arial" w:cs="Arial"/>
          <w:color w:val="000000"/>
          <w:lang w:eastAsia="ja-JP"/>
        </w:rPr>
        <w:t xml:space="preserve"> and </w:t>
      </w:r>
      <w:r w:rsidRPr="00D431D5">
        <w:rPr>
          <w:rFonts w:ascii="Arial" w:eastAsia="Times New Roman" w:hAnsi="Arial" w:cs="Arial"/>
          <w:i/>
          <w:color w:val="000000"/>
          <w:lang w:eastAsia="ja-JP"/>
        </w:rPr>
        <w:t>ICE2/SCRM2</w:t>
      </w:r>
      <w:r w:rsidRPr="00D431D5">
        <w:rPr>
          <w:rFonts w:ascii="Arial" w:eastAsia="Times New Roman" w:hAnsi="Arial" w:cs="Arial"/>
          <w:color w:val="000000"/>
          <w:lang w:eastAsia="ja-JP"/>
        </w:rPr>
        <w:t xml:space="preserve"> in Arabidopsis </w: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bnRpYXRpb248L0lEVGV4dD48RGlzcGxheVRleHQ+KENoaW5udXNhbXkgZXQgYWwuLCAyMDAzOyBL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bnRpYXRpb248L0lEVGV4dD48RGlzcGxheVRleHQ+KENoaW5udXNhbXkgZXQgYWwuLCAyMDAzOyBL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(Chinnusamy et al., 2003; Kanaoka et al., 2008)</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is also absolutely required for stomatal formation in </w:t>
      </w:r>
      <w:r w:rsidRPr="00D431D5">
        <w:rPr>
          <w:rFonts w:ascii="Arial" w:eastAsia="Times New Roman" w:hAnsi="Arial" w:cs="Arial"/>
          <w:i/>
          <w:color w:val="000000"/>
          <w:lang w:eastAsia="ja-JP"/>
        </w:rPr>
        <w:t>P. patens.</w:t>
      </w:r>
    </w:p>
    <w:p w14:paraId="038673A0" w14:textId="10B95082" w:rsidR="00D431D5" w:rsidRPr="00D431D5" w:rsidRDefault="00D431D5" w:rsidP="00D431D5">
      <w:pPr>
        <w:numPr>
          <w:ilvl w:val="0"/>
          <w:numId w:val="35"/>
        </w:num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Absence of either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or </w:t>
      </w:r>
      <w:r w:rsidRPr="00D431D5">
        <w:rPr>
          <w:rFonts w:ascii="Arial" w:eastAsia="Times New Roman" w:hAnsi="Arial" w:cs="Arial"/>
          <w:i/>
          <w:color w:val="000000"/>
          <w:lang w:eastAsia="ja-JP"/>
        </w:rPr>
        <w:t>PpSCRM1</w:t>
      </w:r>
      <w:r w:rsidRPr="00D431D5">
        <w:rPr>
          <w:rFonts w:ascii="Arial" w:eastAsia="Times New Roman" w:hAnsi="Arial" w:cs="Arial"/>
          <w:color w:val="000000"/>
          <w:lang w:eastAsia="ja-JP"/>
        </w:rPr>
        <w:t xml:space="preserve"> does </w:t>
      </w:r>
      <w:r w:rsidR="00824D02">
        <w:rPr>
          <w:rFonts w:ascii="Arial" w:eastAsia="Times New Roman" w:hAnsi="Arial" w:cs="Arial"/>
          <w:color w:val="000000"/>
          <w:lang w:eastAsia="ja-JP"/>
        </w:rPr>
        <w:t xml:space="preserve">not obviously </w:t>
      </w:r>
      <w:r w:rsidRPr="00D431D5">
        <w:rPr>
          <w:rFonts w:ascii="Arial" w:eastAsia="Times New Roman" w:hAnsi="Arial" w:cs="Arial"/>
          <w:color w:val="000000"/>
          <w:lang w:eastAsia="ja-JP"/>
        </w:rPr>
        <w:t>impact on sporophyte capsule size, spore morphology or any other life stage development.</w:t>
      </w:r>
    </w:p>
    <w:p w14:paraId="580E61F1" w14:textId="77777777" w:rsidR="00D431D5" w:rsidRPr="00D431D5" w:rsidRDefault="00D431D5" w:rsidP="00D431D5">
      <w:pPr>
        <w:numPr>
          <w:ilvl w:val="0"/>
          <w:numId w:val="35"/>
        </w:num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Both PpSMF1 and PpSCRM1 are required for early GMC formation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Whether either or both of these peptides act prior to or after this event is difficult to definitively conclude.</w:t>
      </w:r>
    </w:p>
    <w:p w14:paraId="3AD049D2" w14:textId="77777777" w:rsidR="00D431D5" w:rsidRPr="00D431D5" w:rsidRDefault="00D431D5" w:rsidP="00D431D5">
      <w:pPr>
        <w:numPr>
          <w:ilvl w:val="0"/>
          <w:numId w:val="35"/>
        </w:num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lastRenderedPageBreak/>
        <w:t xml:space="preserve">Earlier evolved spacing mechanisms such as those exhibited in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may have been partially sequestered in more latterly diverging land plants using the more latterly evolving stomatal development gens </w:t>
      </w:r>
      <w:r w:rsidRPr="00D431D5">
        <w:rPr>
          <w:rFonts w:ascii="Arial" w:eastAsia="Times New Roman" w:hAnsi="Arial" w:cs="Arial"/>
          <w:i/>
          <w:color w:val="000000"/>
          <w:lang w:eastAsia="ja-JP"/>
        </w:rPr>
        <w:t xml:space="preserve">SPCH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MUTE</w:t>
      </w:r>
      <w:r w:rsidRPr="00D431D5">
        <w:rPr>
          <w:rFonts w:ascii="Arial" w:eastAsia="Times New Roman" w:hAnsi="Arial" w:cs="Arial"/>
          <w:color w:val="000000"/>
          <w:lang w:eastAsia="ja-JP"/>
        </w:rPr>
        <w:t>.</w:t>
      </w:r>
    </w:p>
    <w:p w14:paraId="63ACCD03" w14:textId="77777777" w:rsidR="00D431D5" w:rsidRPr="00D431D5" w:rsidRDefault="00D431D5" w:rsidP="00D431D5">
      <w:pPr>
        <w:numPr>
          <w:ilvl w:val="0"/>
          <w:numId w:val="35"/>
        </w:num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Both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sporophytes exhibited delayed capsule dehiscence which suggests that stomata are required for this process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w:t>
      </w:r>
    </w:p>
    <w:p w14:paraId="7741D01E" w14:textId="77777777" w:rsidR="00D431D5" w:rsidRPr="00D431D5" w:rsidRDefault="00D431D5" w:rsidP="00D431D5">
      <w:pPr>
        <w:numPr>
          <w:ilvl w:val="0"/>
          <w:numId w:val="35"/>
        </w:num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Stomatal and sub-stomatal canopy formation are inter-linked as no sub-stomatal cavities were detected in stomata-less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mutant sporophytes.</w:t>
      </w:r>
    </w:p>
    <w:p w14:paraId="32D9FB8C" w14:textId="77777777" w:rsidR="00D431D5" w:rsidRPr="00D431D5" w:rsidRDefault="00D431D5" w:rsidP="00D431D5">
      <w:pPr>
        <w:numPr>
          <w:ilvl w:val="0"/>
          <w:numId w:val="35"/>
        </w:num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The morphology of stomata and the underlying sub-stomatal cavity appears to be linked to the conditions in which the capsule develops. In dry conditions the liquid in sub-stomatal canopies appears to recede leaving a hollowed cavity, in moist conditions the liquid remains in the sub-stomatal cavity and the stomata are plugged by a waxy substance.</w:t>
      </w:r>
    </w:p>
    <w:p w14:paraId="6F93EC05" w14:textId="77777777" w:rsidR="00D431D5" w:rsidRPr="00D431D5" w:rsidRDefault="00D431D5" w:rsidP="00D431D5">
      <w:pPr>
        <w:numPr>
          <w:ilvl w:val="0"/>
          <w:numId w:val="35"/>
        </w:num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Phylogenetic analysis of putative fragmentary amino acid sequences suggests that highly conserved hornwort equivalents of both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may exist in the genome of </w:t>
      </w:r>
      <w:r w:rsidRPr="00D431D5">
        <w:rPr>
          <w:rFonts w:ascii="Arial" w:eastAsia="Times New Roman" w:hAnsi="Arial" w:cs="Arial"/>
          <w:i/>
          <w:color w:val="000000"/>
          <w:lang w:eastAsia="ja-JP"/>
        </w:rPr>
        <w:t>A. punctatus.</w:t>
      </w:r>
    </w:p>
    <w:p w14:paraId="18D26492" w14:textId="77777777" w:rsidR="00D431D5" w:rsidRPr="00D431D5" w:rsidRDefault="00D431D5" w:rsidP="00D431D5">
      <w:pPr>
        <w:numPr>
          <w:ilvl w:val="0"/>
          <w:numId w:val="35"/>
        </w:numPr>
        <w:tabs>
          <w:tab w:val="left" w:pos="6663"/>
        </w:tabs>
        <w:spacing w:after="160" w:line="360" w:lineRule="auto"/>
        <w:rPr>
          <w:rFonts w:ascii="Arial" w:eastAsia="Times New Roman" w:hAnsi="Arial" w:cs="Arial"/>
          <w:b/>
          <w:color w:val="000000"/>
          <w:u w:val="single"/>
          <w:lang w:eastAsia="ja-JP"/>
        </w:rPr>
      </w:pPr>
      <w:r w:rsidRPr="00D431D5">
        <w:rPr>
          <w:rFonts w:ascii="Arial" w:eastAsia="Times New Roman" w:hAnsi="Arial" w:cs="Arial"/>
          <w:color w:val="000000"/>
          <w:lang w:eastAsia="ja-JP"/>
        </w:rPr>
        <w:t xml:space="preserve">The data provided in this chapter taken together suggests that stomata in extant plants arose from a common ancestor over 450 million years ago </w:t>
      </w:r>
      <w:r w:rsidRPr="00D431D5">
        <w:rPr>
          <w:rFonts w:ascii="Arial" w:eastAsia="Times New Roman" w:hAnsi="Arial" w:cs="Arial"/>
          <w:color w:val="000000"/>
          <w:lang w:eastAsia="ja-JP"/>
        </w:rPr>
        <w:fldChar w:fldCharType="begin"/>
      </w:r>
      <w:r w:rsidRPr="00D431D5">
        <w:rPr>
          <w:rFonts w:ascii="Arial" w:eastAsia="Times New Roman" w:hAnsi="Arial" w:cs="Arial"/>
          <w:color w:val="000000"/>
          <w:lang w:eastAsia="ja-JP"/>
        </w:rPr>
        <w:instrText xml:space="preserve"> ADDIN EN.CITE &lt;EndNote&gt;&lt;Cite&gt;&lt;Author&gt;Chater&lt;/Author&gt;&lt;Year&gt;2013&lt;/Year&gt;&lt;IDText&gt;Early evolutionary acquisition of stomatal control and development gene signalling networks&lt;/IDText&gt;&lt;DisplayText&gt;(Chater et al., 2013)&lt;/DisplayText&gt;&lt;record&gt;&lt;dates&gt;&lt;pub-dates&gt;&lt;date&gt;Oct&lt;/date&gt;&lt;/pub-dates&gt;&lt;year&gt;2013&lt;/year&gt;&lt;/dates&gt;&lt;keywords&gt;&lt;keyword&gt;moss physcomitrella-patens&lt;/keyword&gt;&lt;keyword&gt;abscisic-acid&lt;/keyword&gt;&lt;keyword&gt;land plants&lt;/keyword&gt;&lt;keyword&gt;carbon-dioxide&lt;/keyword&gt;&lt;keyword&gt;guard-cells&lt;/keyword&gt;&lt;keyword&gt;mechanisms&lt;/keyword&gt;&lt;keyword&gt;drought&lt;/keyword&gt;&lt;keyword&gt;fern&lt;/keyword&gt;&lt;keyword&gt;co2&lt;/keyword&gt;&lt;keyword&gt;transduction&lt;/keyword&gt;&lt;keyword&gt;Plant Sciences&lt;/keyword&gt;&lt;/keywords&gt;&lt;urls&gt;&lt;related-urls&gt;&lt;url&gt;&amp;lt;Go to ISI&amp;gt;://WOS:000326432800014&lt;/url&gt;&lt;/related-urls&gt;&lt;/urls&gt;&lt;isbn&gt;1369-5266&lt;/isbn&gt;&lt;work-type&gt;Review&lt;/work-type&gt;&lt;titles&gt;&lt;title&gt;Early evolutionary acquisition of stomatal control and development gene signalling networks&lt;/title&gt;&lt;secondary-title&gt;Current Opinion in Plant Biology&lt;/secondary-title&gt;&lt;/titles&gt;&lt;pages&gt;638-646&lt;/pages&gt;&lt;number&gt;5&lt;/number&gt;&lt;contributors&gt;&lt;authors&gt;&lt;author&gt;Chater, C.&lt;/author&gt;&lt;author&gt;Gray, J. E.&lt;/author&gt;&lt;author&gt;Beerling, D. J.&lt;/author&gt;&lt;/authors&gt;&lt;/contributors&gt;&lt;language&gt;English&lt;/language&gt;&lt;added-date format="utc"&gt;1445462732&lt;/added-date&gt;&lt;ref-type name="Journal Article"&gt;17&lt;/ref-type&gt;&lt;auth-address&gt;[Chater, Caspar&amp;#xD;Gray, Julie E.] Univ Sheffield, Dept Mol Biol &amp;amp; Biotechnol, Sheffield S10 2TN, S Yorkshire, England. [Beerling, David J.] Univ Sheffield, Dept Anim &amp;amp; Plant Sci, Sheffield S10 2TN, S Yorkshire, England.&amp;#xD;Beerling, DJ (reprint author), Univ Sheffield, Dept Anim &amp;amp; Plant Sci, Sheffield S10 2TN, S Yorkshire, England.&amp;#xD;d.j.beerling@sheffield.ac.uk&lt;/auth-address&gt;&lt;rec-number&gt;180&lt;/rec-number&gt;&lt;last-updated-date format="utc"&gt;1445462732&lt;/last-updated-date&gt;&lt;accession-num&gt;WOS:000326432800014&lt;/accession-num&gt;&lt;electronic-resource-num&gt;10.1016/j.pbi.2013.06.013&lt;/electronic-resource-num&gt;&lt;volume&gt;16&lt;/volume&gt;&lt;/record&gt;&lt;/Cite&gt;&lt;/EndNote&gt;</w:instrText>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(Chater et al., 2013)</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w:t>
      </w:r>
    </w:p>
    <w:p w14:paraId="5A68E61E" w14:textId="2869A595" w:rsidR="00D431D5" w:rsidRPr="00D431D5" w:rsidRDefault="005B2645" w:rsidP="00D431D5">
      <w:pPr>
        <w:tabs>
          <w:tab w:val="left" w:pos="6663"/>
        </w:tabs>
        <w:spacing w:after="160" w:line="360" w:lineRule="auto"/>
        <w:rPr>
          <w:rFonts w:ascii="Arial" w:eastAsia="Times New Roman" w:hAnsi="Arial" w:cs="Arial"/>
          <w:b/>
          <w:color w:val="000000"/>
          <w:u w:val="single"/>
          <w:lang w:eastAsia="ja-JP"/>
        </w:rPr>
      </w:pPr>
      <w:r>
        <w:rPr>
          <w:rFonts w:ascii="Arial" w:eastAsia="Times New Roman" w:hAnsi="Arial" w:cs="Arial"/>
          <w:b/>
          <w:color w:val="000000"/>
          <w:u w:val="single"/>
          <w:lang w:eastAsia="ja-JP"/>
        </w:rPr>
        <w:t xml:space="preserve">3.5 </w:t>
      </w:r>
      <w:r w:rsidR="00D431D5" w:rsidRPr="00D431D5">
        <w:rPr>
          <w:rFonts w:ascii="Arial" w:eastAsia="Times New Roman" w:hAnsi="Arial" w:cs="Arial"/>
          <w:b/>
          <w:color w:val="000000"/>
          <w:u w:val="single"/>
          <w:lang w:eastAsia="ja-JP"/>
        </w:rPr>
        <w:t>Future research</w:t>
      </w:r>
    </w:p>
    <w:p w14:paraId="0550E5C4" w14:textId="4F1C5528"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This chapter reveals secrets that have been hidden within the genomes of stomatal-bearing land plants for over 450 million years. However, in relation to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stomatal development unanswered questions remain. For example, although it has been highlighted that both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are expressed during sporophyte development (</w:t>
      </w:r>
      <w:r w:rsidRPr="00D431D5">
        <w:rPr>
          <w:rFonts w:ascii="Arial" w:eastAsia="Times New Roman" w:hAnsi="Arial" w:cs="Arial"/>
          <w:b/>
          <w:color w:val="000000"/>
          <w:lang w:eastAsia="ja-JP"/>
        </w:rPr>
        <w:t>Fig. 7b</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7c</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8b</w:t>
      </w:r>
      <w:r w:rsidRPr="00D431D5">
        <w:rPr>
          <w:rFonts w:ascii="Arial" w:eastAsia="Times New Roman" w:hAnsi="Arial" w:cs="Arial"/>
          <w:color w:val="000000"/>
          <w:lang w:eastAsia="ja-JP"/>
        </w:rPr>
        <w:t xml:space="preserve">, </w:t>
      </w:r>
      <w:r w:rsidRPr="00D431D5">
        <w:rPr>
          <w:rFonts w:ascii="Arial" w:eastAsia="Times New Roman" w:hAnsi="Arial" w:cs="Arial"/>
          <w:b/>
          <w:color w:val="000000"/>
          <w:lang w:eastAsia="ja-JP"/>
        </w:rPr>
        <w:t xml:space="preserve">19a </w:t>
      </w:r>
      <w:r w:rsidRPr="00D431D5">
        <w:rPr>
          <w:rFonts w:ascii="Arial" w:eastAsia="Times New Roman" w:hAnsi="Arial" w:cs="Arial"/>
          <w:color w:val="000000"/>
          <w:lang w:eastAsia="ja-JP"/>
        </w:rPr>
        <w:t xml:space="preserve">and </w:t>
      </w:r>
      <w:r w:rsidRPr="00D431D5">
        <w:rPr>
          <w:rFonts w:ascii="Arial" w:eastAsia="Times New Roman" w:hAnsi="Arial" w:cs="Arial"/>
          <w:b/>
          <w:color w:val="000000"/>
          <w:lang w:eastAsia="ja-JP"/>
        </w:rPr>
        <w:t>20a</w:t>
      </w:r>
      <w:r w:rsidRPr="00D431D5">
        <w:rPr>
          <w:rFonts w:ascii="Arial" w:eastAsia="Times New Roman" w:hAnsi="Arial" w:cs="Arial"/>
          <w:color w:val="000000"/>
          <w:lang w:eastAsia="ja-JP"/>
        </w:rPr>
        <w:t>)</w:t>
      </w:r>
      <w:r w:rsidRPr="00D431D5">
        <w:rPr>
          <w:rFonts w:ascii="Arial" w:eastAsia="Times New Roman" w:hAnsi="Arial" w:cs="Arial"/>
          <w:b/>
          <w:color w:val="000000"/>
          <w:lang w:eastAsia="ja-JP"/>
        </w:rPr>
        <w:t xml:space="preserve"> </w:t>
      </w:r>
      <w:r w:rsidRPr="00D431D5">
        <w:rPr>
          <w:rFonts w:ascii="Arial" w:eastAsia="Times New Roman" w:hAnsi="Arial" w:cs="Arial"/>
          <w:color w:val="000000"/>
          <w:lang w:eastAsia="ja-JP"/>
        </w:rPr>
        <w:t xml:space="preserve">the exact spatial positioning of such peptides on the nascent epidermis of sporophytes and whether they function both prior to and after the formation of the early GMC are unknown. For this reason, the production of promoter-reporter fusions and peptides tagged with a molecular marker such as green </w:t>
      </w:r>
      <w:r w:rsidR="00EE0DEA">
        <w:rPr>
          <w:rFonts w:ascii="Arial" w:eastAsia="Times New Roman" w:hAnsi="Arial" w:cs="Arial"/>
          <w:color w:val="000000"/>
          <w:lang w:eastAsia="ja-JP"/>
        </w:rPr>
        <w:t>fluorescent</w:t>
      </w:r>
      <w:r w:rsidRPr="00D431D5">
        <w:rPr>
          <w:rFonts w:ascii="Arial" w:eastAsia="Times New Roman" w:hAnsi="Arial" w:cs="Arial"/>
          <w:color w:val="000000"/>
          <w:lang w:eastAsia="ja-JP"/>
        </w:rPr>
        <w:t xml:space="preserve"> protein (GFP) would be useful. By understanding the spatiotemporal expression patterns and localisation of translated peptides corresponding to PpSMF1 and PpSCRM1</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a cleare</w:t>
      </w:r>
      <w:r w:rsidR="00C7050F">
        <w:rPr>
          <w:rFonts w:ascii="Arial" w:eastAsia="Times New Roman" w:hAnsi="Arial" w:cs="Arial"/>
          <w:color w:val="000000"/>
          <w:lang w:eastAsia="ja-JP"/>
        </w:rPr>
        <w:t>r picture as to how the ontogeny</w:t>
      </w:r>
      <w:r w:rsidRPr="00D431D5">
        <w:rPr>
          <w:rFonts w:ascii="Arial" w:eastAsia="Times New Roman" w:hAnsi="Arial" w:cs="Arial"/>
          <w:color w:val="000000"/>
          <w:lang w:eastAsia="ja-JP"/>
        </w:rPr>
        <w:t xml:space="preserve"> of stomatal development unfolds should become evident. Such molecular markers should also present evidence as to whether guard cell formation is also overseen by PpSMF1</w:t>
      </w:r>
      <w:r w:rsidRPr="00D431D5">
        <w:rPr>
          <w:rFonts w:ascii="Arial" w:eastAsia="Times New Roman" w:hAnsi="Arial" w:cs="Arial"/>
          <w:i/>
          <w:color w:val="000000"/>
          <w:lang w:eastAsia="ja-JP"/>
        </w:rPr>
        <w:t xml:space="preserve"> </w:t>
      </w:r>
      <w:r w:rsidRPr="00D431D5">
        <w:rPr>
          <w:rFonts w:ascii="Arial" w:eastAsia="Times New Roman" w:hAnsi="Arial" w:cs="Arial"/>
          <w:color w:val="000000"/>
          <w:lang w:eastAsia="ja-JP"/>
        </w:rPr>
        <w:t>and PpSCRM1. Of course, to obtain a clearer picture of events that unfold it would be sensible to also produce the equivalent molecular markers for PpSMF2</w:t>
      </w:r>
      <w:r w:rsidR="00824D02">
        <w:rPr>
          <w:rFonts w:ascii="Arial" w:eastAsia="Times New Roman" w:hAnsi="Arial" w:cs="Arial"/>
          <w:color w:val="000000"/>
          <w:lang w:eastAsia="ja-JP"/>
        </w:rPr>
        <w:t xml:space="preserve"> and </w:t>
      </w:r>
      <w:r w:rsidR="00824D02" w:rsidRPr="00D431D5">
        <w:rPr>
          <w:rFonts w:ascii="Arial" w:eastAsia="Times New Roman" w:hAnsi="Arial" w:cs="Arial"/>
          <w:color w:val="000000"/>
          <w:lang w:eastAsia="ja-JP"/>
        </w:rPr>
        <w:t>PpSCRM2-4</w:t>
      </w:r>
      <w:r w:rsidRPr="00D431D5">
        <w:rPr>
          <w:rFonts w:ascii="Arial" w:eastAsia="Times New Roman" w:hAnsi="Arial" w:cs="Arial"/>
          <w:color w:val="000000"/>
          <w:lang w:eastAsia="ja-JP"/>
        </w:rPr>
        <w:t xml:space="preserve">. </w:t>
      </w:r>
    </w:p>
    <w:p w14:paraId="0B8B5404" w14:textId="3DEF58EB"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lastRenderedPageBreak/>
        <w:t xml:space="preserve">Recent evidence in </w:t>
      </w:r>
      <w:r w:rsidRPr="00D431D5">
        <w:rPr>
          <w:rFonts w:ascii="Arial" w:eastAsia="Times New Roman" w:hAnsi="Arial" w:cs="Arial"/>
          <w:i/>
          <w:color w:val="000000"/>
          <w:lang w:eastAsia="ja-JP"/>
        </w:rPr>
        <w:t xml:space="preserve">B. distachyon </w:t>
      </w:r>
      <w:r w:rsidRPr="00D431D5">
        <w:rPr>
          <w:rFonts w:ascii="Arial" w:eastAsia="Times New Roman" w:hAnsi="Arial" w:cs="Arial"/>
          <w:color w:val="000000"/>
          <w:lang w:eastAsia="ja-JP"/>
        </w:rPr>
        <w:t>suggests that in grasses specific ICE/SCRM proteins function during distinct stages of stomatal development thereby illustrating a different mode of action to that of the redundantly function</w:t>
      </w:r>
      <w:r w:rsidR="00824D02">
        <w:rPr>
          <w:rFonts w:ascii="Arial" w:eastAsia="Times New Roman" w:hAnsi="Arial" w:cs="Arial"/>
          <w:color w:val="000000"/>
          <w:lang w:eastAsia="ja-JP"/>
        </w:rPr>
        <w:t>ing</w:t>
      </w:r>
      <w:r w:rsidRPr="00D431D5">
        <w:rPr>
          <w:rFonts w:ascii="Arial" w:eastAsia="Times New Roman" w:hAnsi="Arial" w:cs="Arial"/>
          <w:color w:val="000000"/>
          <w:lang w:eastAsia="ja-JP"/>
        </w:rPr>
        <w:t xml:space="preserve"> ICE/SCRMs during Arabidopsis stomatal development </w:t>
      </w:r>
      <w:r w:rsidRPr="00D431D5">
        <w:rPr>
          <w:rFonts w:ascii="Arial" w:eastAsia="Times New Roman" w:hAnsi="Arial" w:cs="Arial"/>
          <w:color w:val="000000"/>
          <w:lang w:eastAsia="ja-JP"/>
        </w:rPr>
        <w:fldChar w:fldCharType="begin">
          <w:fldData xml:space="preserve">PEVuZE5vdGU+PENpdGU+PEF1dGhvcj5SYWlzc2lnPC9BdXRob3I+PFllYXI+MjAxNjwvWWVhcj48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</w:fldData>
        </w:fldChar>
      </w:r>
      <w:r w:rsidRPr="00D431D5">
        <w:rPr>
          <w:rFonts w:ascii="Arial" w:eastAsia="Times New Roman" w:hAnsi="Arial" w:cs="Arial"/>
          <w:color w:val="000000"/>
          <w:lang w:eastAsia="ja-JP"/>
        </w:rPr>
        <w:instrText xml:space="preserve"> ADDIN EN.CITE </w:instrText>
      </w:r>
      <w:r w:rsidRPr="00D431D5">
        <w:rPr>
          <w:rFonts w:ascii="Arial" w:eastAsia="Times New Roman" w:hAnsi="Arial" w:cs="Arial"/>
          <w:color w:val="000000"/>
          <w:lang w:eastAsia="ja-JP"/>
        </w:rPr>
        <w:fldChar w:fldCharType="begin">
          <w:fldData xml:space="preserve">PEVuZE5vdGU+PENpdGU+PEF1dGhvcj5SYWlzc2lnPC9BdXRob3I+PFllYXI+MjAxNjwvWWVhcj48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</w:fldData>
        </w:fldChar>
      </w:r>
      <w:r w:rsidRPr="00D431D5">
        <w:rPr>
          <w:rFonts w:ascii="Arial" w:eastAsia="Times New Roman" w:hAnsi="Arial" w:cs="Arial"/>
          <w:color w:val="000000"/>
          <w:lang w:eastAsia="ja-JP"/>
        </w:rPr>
        <w:instrText xml:space="preserve"> ADDIN EN.CITE.DATA </w:instrText>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r>
      <w:r w:rsidRPr="00D431D5">
        <w:rPr>
          <w:rFonts w:ascii="Arial" w:eastAsia="Times New Roman" w:hAnsi="Arial" w:cs="Arial"/>
          <w:color w:val="000000"/>
          <w:lang w:eastAsia="ja-JP"/>
        </w:rPr>
        <w:fldChar w:fldCharType="separate"/>
      </w:r>
      <w:r w:rsidRPr="00D431D5">
        <w:rPr>
          <w:rFonts w:ascii="Arial" w:eastAsia="Times New Roman" w:hAnsi="Arial" w:cs="Arial"/>
          <w:color w:val="000000"/>
          <w:lang w:eastAsia="ja-JP"/>
        </w:rPr>
        <w:t>(Kanaoka et al., 2008; Raissig et al., 2016)</w:t>
      </w:r>
      <w:r w:rsidRPr="00D431D5">
        <w:rPr>
          <w:rFonts w:ascii="Arial" w:eastAsia="Times New Roman" w:hAnsi="Arial" w:cs="Arial"/>
          <w:color w:val="000000"/>
          <w:lang w:eastAsia="ja-JP"/>
        </w:rPr>
        <w:fldChar w:fldCharType="end"/>
      </w:r>
      <w:r w:rsidRPr="00D431D5">
        <w:rPr>
          <w:rFonts w:ascii="Arial" w:eastAsia="Times New Roman" w:hAnsi="Arial" w:cs="Arial"/>
          <w:color w:val="000000"/>
          <w:lang w:eastAsia="ja-JP"/>
        </w:rPr>
        <w:t xml:space="preserve">. Whilst it is clear that PpSCRM1 functions during stomatal development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it is unclear as to whether other PpSCRMs (PpSCRM2-4) also function downstream of PpSCRM1. Therefore, it would seem sensible to produce single knockouts of </w:t>
      </w:r>
      <w:r w:rsidRPr="00D431D5">
        <w:rPr>
          <w:rFonts w:ascii="Arial" w:eastAsia="Times New Roman" w:hAnsi="Arial" w:cs="Arial"/>
          <w:i/>
          <w:color w:val="000000"/>
          <w:lang w:eastAsia="ja-JP"/>
        </w:rPr>
        <w:t>PpSCRM2-4</w:t>
      </w:r>
      <w:r w:rsidRPr="00D431D5">
        <w:rPr>
          <w:rFonts w:ascii="Arial" w:eastAsia="Times New Roman" w:hAnsi="Arial" w:cs="Arial"/>
          <w:color w:val="000000"/>
          <w:lang w:eastAsia="ja-JP"/>
        </w:rPr>
        <w:t xml:space="preserve"> and double, triple and quadruple mutants consisting of all the combinations of the </w:t>
      </w:r>
      <w:r w:rsidRPr="00D431D5">
        <w:rPr>
          <w:rFonts w:ascii="Arial" w:eastAsia="Times New Roman" w:hAnsi="Arial" w:cs="Arial"/>
          <w:i/>
          <w:color w:val="000000"/>
          <w:lang w:eastAsia="ja-JP"/>
        </w:rPr>
        <w:t>PpSCRMs</w:t>
      </w:r>
      <w:r w:rsidRPr="00D431D5">
        <w:rPr>
          <w:rFonts w:ascii="Arial" w:eastAsia="Times New Roman" w:hAnsi="Arial" w:cs="Arial"/>
          <w:color w:val="000000"/>
          <w:lang w:eastAsia="ja-JP"/>
        </w:rPr>
        <w:t xml:space="preserve"> to better how stomatal development unfolds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Such work would also permit the study of other PpSCRM functions, including a potential involvement in regulating cold tolerance, which may or may not be being masked in </w:t>
      </w:r>
      <w:r w:rsidRPr="00D431D5">
        <w:rPr>
          <w:rFonts w:ascii="Arial" w:eastAsia="Times New Roman" w:hAnsi="Arial" w:cs="Arial"/>
          <w:i/>
          <w:color w:val="000000"/>
          <w:lang w:eastAsia="ja-JP"/>
        </w:rPr>
        <w:t xml:space="preserve">ppscrm1 </w:t>
      </w:r>
      <w:r w:rsidRPr="00D431D5">
        <w:rPr>
          <w:rFonts w:ascii="Arial" w:eastAsia="Times New Roman" w:hAnsi="Arial" w:cs="Arial"/>
          <w:color w:val="000000"/>
          <w:lang w:eastAsia="ja-JP"/>
        </w:rPr>
        <w:t xml:space="preserve">single mutants due to functional redundancy. </w:t>
      </w:r>
    </w:p>
    <w:p w14:paraId="7B22DFB0"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To understand the dynamics of capsule lysis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 xml:space="preserve"> a sensible next step would be to undertake an experiment which compares the dehiscence rates of damp grown capsules versus dry grown capsules to see whether under dry conditions stomata can accelerate the speed of capsule dehiscence.</w:t>
      </w:r>
    </w:p>
    <w:p w14:paraId="03EC52A9"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xml:space="preserve">Although in hornworts genetic manipulation techniques are not yet apparent, if mosses and hornworts share a common ancestor with respect to stomata then an at least partial complementation of </w:t>
      </w:r>
      <w:r w:rsidRPr="00D431D5">
        <w:rPr>
          <w:rFonts w:ascii="Arial" w:eastAsia="Times New Roman" w:hAnsi="Arial" w:cs="Arial"/>
          <w:i/>
          <w:color w:val="000000"/>
          <w:lang w:eastAsia="ja-JP"/>
        </w:rPr>
        <w:t xml:space="preserve">ppsmf1 </w:t>
      </w:r>
      <w:r w:rsidRPr="00D431D5">
        <w:rPr>
          <w:rFonts w:ascii="Arial" w:eastAsia="Times New Roman" w:hAnsi="Arial" w:cs="Arial"/>
          <w:color w:val="000000"/>
          <w:lang w:eastAsia="ja-JP"/>
        </w:rPr>
        <w:t xml:space="preserve">and </w:t>
      </w:r>
      <w:r w:rsidRPr="00D431D5">
        <w:rPr>
          <w:rFonts w:ascii="Arial" w:eastAsia="Times New Roman" w:hAnsi="Arial" w:cs="Arial"/>
          <w:i/>
          <w:color w:val="000000"/>
          <w:lang w:eastAsia="ja-JP"/>
        </w:rPr>
        <w:t>ppscrm1</w:t>
      </w:r>
      <w:r w:rsidRPr="00D431D5">
        <w:rPr>
          <w:rFonts w:ascii="Arial" w:eastAsia="Times New Roman" w:hAnsi="Arial" w:cs="Arial"/>
          <w:color w:val="000000"/>
          <w:lang w:eastAsia="ja-JP"/>
        </w:rPr>
        <w:t xml:space="preserve"> phenotype might be expected when the hornwort gene equivalents were inserted into the corresponding </w:t>
      </w:r>
      <w:r w:rsidRPr="00D431D5">
        <w:rPr>
          <w:rFonts w:ascii="Arial" w:eastAsia="Times New Roman" w:hAnsi="Arial" w:cs="Arial"/>
          <w:i/>
          <w:color w:val="000000"/>
          <w:lang w:eastAsia="ja-JP"/>
        </w:rPr>
        <w:t xml:space="preserve">P. patens </w:t>
      </w:r>
      <w:r w:rsidRPr="00D431D5">
        <w:rPr>
          <w:rFonts w:ascii="Arial" w:eastAsia="Times New Roman" w:hAnsi="Arial" w:cs="Arial"/>
          <w:color w:val="000000"/>
          <w:lang w:eastAsia="ja-JP"/>
        </w:rPr>
        <w:t xml:space="preserve">mutant. If complementation was found to occur, this would provide further evidence for a monophyletic origin of stomata in </w:t>
      </w:r>
      <w:r w:rsidRPr="00D431D5">
        <w:rPr>
          <w:rFonts w:ascii="Arial" w:eastAsia="Times New Roman" w:hAnsi="Arial" w:cs="Arial"/>
          <w:i/>
          <w:color w:val="000000"/>
          <w:lang w:eastAsia="ja-JP"/>
        </w:rPr>
        <w:t>P. patens</w:t>
      </w:r>
      <w:r w:rsidRPr="00D431D5">
        <w:rPr>
          <w:rFonts w:ascii="Arial" w:eastAsia="Times New Roman" w:hAnsi="Arial" w:cs="Arial"/>
          <w:color w:val="000000"/>
          <w:lang w:eastAsia="ja-JP"/>
        </w:rPr>
        <w:t>.</w:t>
      </w:r>
    </w:p>
    <w:tbl>
      <w:tblPr>
        <w:tblW w:w="7160" w:type="dxa"/>
        <w:tblInd w:w="-5" w:type="dxa"/>
        <w:tblLook w:val="04A0" w:firstRow="1" w:lastRow="0" w:firstColumn="1" w:lastColumn="0" w:noHBand="0" w:noVBand="1"/>
      </w:tblPr>
      <w:tblGrid>
        <w:gridCol w:w="3380"/>
        <w:gridCol w:w="2235"/>
        <w:gridCol w:w="1905"/>
      </w:tblGrid>
      <w:tr w:rsidR="00D431D5" w:rsidRPr="00D431D5" w14:paraId="17C7F61D" w14:textId="77777777" w:rsidTr="008653D0">
        <w:trPr>
          <w:trHeight w:val="1032"/>
        </w:trPr>
        <w:tc>
          <w:tcPr>
            <w:tcW w:w="3380"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14:paraId="1C2BCA47" w14:textId="77777777" w:rsidR="00D431D5" w:rsidRPr="00D431D5" w:rsidRDefault="00D431D5" w:rsidP="00D431D5">
            <w:pPr>
              <w:tabs>
                <w:tab w:val="left" w:pos="6663"/>
              </w:tabs>
              <w:spacing w:after="160" w:line="360" w:lineRule="auto"/>
              <w:rPr>
                <w:rFonts w:ascii="Arial" w:eastAsia="Times New Roman" w:hAnsi="Arial" w:cs="Arial"/>
                <w:b/>
                <w:bCs/>
                <w:color w:val="000000"/>
                <w:lang w:eastAsia="ja-JP"/>
              </w:rPr>
            </w:pPr>
            <w:r w:rsidRPr="00D431D5">
              <w:rPr>
                <w:rFonts w:ascii="Arial" w:eastAsia="Times New Roman" w:hAnsi="Arial" w:cs="Arial"/>
                <w:b/>
                <w:bCs/>
                <w:color w:val="000000"/>
                <w:lang w:eastAsia="ja-JP"/>
              </w:rPr>
              <w:t>Gene name</w:t>
            </w:r>
          </w:p>
        </w:tc>
        <w:tc>
          <w:tcPr>
            <w:tcW w:w="1920"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14:paraId="56FBD810" w14:textId="77777777" w:rsidR="00D431D5" w:rsidRPr="00D431D5" w:rsidRDefault="00D431D5" w:rsidP="00D431D5">
            <w:pPr>
              <w:tabs>
                <w:tab w:val="left" w:pos="6663"/>
              </w:tabs>
              <w:spacing w:after="160" w:line="360" w:lineRule="auto"/>
              <w:rPr>
                <w:rFonts w:ascii="Arial" w:eastAsia="Times New Roman" w:hAnsi="Arial" w:cs="Arial"/>
                <w:b/>
                <w:bCs/>
                <w:color w:val="000000"/>
                <w:lang w:eastAsia="ja-JP"/>
              </w:rPr>
            </w:pPr>
            <w:r w:rsidRPr="00D431D5">
              <w:rPr>
                <w:rFonts w:ascii="Arial" w:eastAsia="Times New Roman" w:hAnsi="Arial" w:cs="Arial"/>
                <w:b/>
                <w:bCs/>
                <w:color w:val="000000"/>
                <w:lang w:eastAsia="ja-JP"/>
              </w:rPr>
              <w:t>Gene accession1</w:t>
            </w:r>
          </w:p>
        </w:tc>
        <w:tc>
          <w:tcPr>
            <w:tcW w:w="1860"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14:paraId="169CC897" w14:textId="77777777" w:rsidR="00D431D5" w:rsidRPr="00D431D5" w:rsidRDefault="00D431D5" w:rsidP="00D431D5">
            <w:pPr>
              <w:tabs>
                <w:tab w:val="left" w:pos="6663"/>
              </w:tabs>
              <w:spacing w:after="160" w:line="360" w:lineRule="auto"/>
              <w:rPr>
                <w:rFonts w:ascii="Arial" w:eastAsia="Times New Roman" w:hAnsi="Arial" w:cs="Arial"/>
                <w:b/>
                <w:bCs/>
                <w:color w:val="000000"/>
                <w:lang w:eastAsia="ja-JP"/>
              </w:rPr>
            </w:pPr>
            <w:r w:rsidRPr="00D431D5">
              <w:rPr>
                <w:rFonts w:ascii="Arial" w:eastAsia="Times New Roman" w:hAnsi="Arial" w:cs="Arial"/>
                <w:b/>
                <w:bCs/>
                <w:color w:val="000000"/>
                <w:lang w:eastAsia="ja-JP"/>
              </w:rPr>
              <w:t>Gene accession2</w:t>
            </w:r>
          </w:p>
        </w:tc>
      </w:tr>
      <w:tr w:rsidR="00D431D5" w:rsidRPr="00D431D5" w14:paraId="081F6F36"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D398548" w14:textId="77777777" w:rsidR="00D431D5" w:rsidRPr="00D431D5" w:rsidRDefault="00D431D5" w:rsidP="00D431D5">
            <w:pPr>
              <w:tabs>
                <w:tab w:val="left" w:pos="6663"/>
              </w:tabs>
              <w:spacing w:after="160" w:line="360" w:lineRule="auto"/>
              <w:rPr>
                <w:rFonts w:ascii="Arial" w:eastAsia="Times New Roman" w:hAnsi="Arial" w:cs="Arial"/>
                <w:b/>
                <w:bCs/>
                <w:color w:val="000000"/>
                <w:lang w:eastAsia="ja-JP"/>
              </w:rPr>
            </w:pPr>
            <w:r w:rsidRPr="00D431D5">
              <w:rPr>
                <w:rFonts w:ascii="Arial" w:eastAsia="Times New Roman" w:hAnsi="Arial" w:cs="Arial"/>
                <w:b/>
                <w:bCs/>
                <w:color w:val="000000"/>
                <w:lang w:eastAsia="ja-JP"/>
              </w:rPr>
              <w:t>SMFs</w:t>
            </w:r>
          </w:p>
        </w:tc>
        <w:tc>
          <w:tcPr>
            <w:tcW w:w="192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2BB17B0"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c>
          <w:tcPr>
            <w:tcW w:w="18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E889094"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558BD2F4"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FA1E6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PpSMF1</w:t>
            </w:r>
          </w:p>
        </w:tc>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CCFDF"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Pp3c22_14220V3.2</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6F8D47"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Pp1s71_321V6.1</w:t>
            </w:r>
          </w:p>
        </w:tc>
      </w:tr>
      <w:tr w:rsidR="00D431D5" w:rsidRPr="00D431D5" w14:paraId="4CA0784E"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028C5A3"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PpSMF2</w:t>
            </w:r>
          </w:p>
        </w:tc>
        <w:tc>
          <w:tcPr>
            <w:tcW w:w="192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732E6B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Pp3c19_19910V3.2</w:t>
            </w:r>
          </w:p>
        </w:tc>
        <w:tc>
          <w:tcPr>
            <w:tcW w:w="18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6CAC97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Pp1s519_13V6.1</w:t>
            </w:r>
          </w:p>
        </w:tc>
      </w:tr>
      <w:tr w:rsidR="00D431D5" w:rsidRPr="00D431D5" w14:paraId="7AE4E2CA"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343582"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SmSMF1</w:t>
            </w:r>
          </w:p>
        </w:tc>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F588A7"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91359</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885300"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53558E26"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9DD5DA3"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SmSMF2</w:t>
            </w:r>
          </w:p>
        </w:tc>
        <w:tc>
          <w:tcPr>
            <w:tcW w:w="192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C5E1299"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430716</w:t>
            </w:r>
          </w:p>
        </w:tc>
        <w:tc>
          <w:tcPr>
            <w:tcW w:w="18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FFC765C"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16157EDE"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3B22C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SmSMF3</w:t>
            </w:r>
          </w:p>
        </w:tc>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B1A6A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131087</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3FCC9"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6796FCC9"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1B0C7F0"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OsFAMA</w:t>
            </w:r>
          </w:p>
        </w:tc>
        <w:tc>
          <w:tcPr>
            <w:tcW w:w="192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5F3325C"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LOC_Os05g50900.1</w:t>
            </w:r>
          </w:p>
        </w:tc>
        <w:tc>
          <w:tcPr>
            <w:tcW w:w="18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DDFA3A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312122F5"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6C9C2A"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OsMUTE</w:t>
            </w:r>
          </w:p>
        </w:tc>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AFB560"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LOC_Os05g51820.1</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CDED9C"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165306F9"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F46EE11"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lastRenderedPageBreak/>
              <w:t>OsSPCH1</w:t>
            </w:r>
          </w:p>
        </w:tc>
        <w:tc>
          <w:tcPr>
            <w:tcW w:w="192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F27E39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LOC_Os06g33450.1</w:t>
            </w:r>
          </w:p>
        </w:tc>
        <w:tc>
          <w:tcPr>
            <w:tcW w:w="18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852AA0F"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4D5734A4"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F4C50"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OsSPCH2</w:t>
            </w:r>
          </w:p>
        </w:tc>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5F41F9"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LOC_Os02g15760.1</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72CE0B"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2595CC05"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58B5DB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EgFAMA</w:t>
            </w:r>
          </w:p>
        </w:tc>
        <w:tc>
          <w:tcPr>
            <w:tcW w:w="192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E96B25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Eucgr.H02788.1</w:t>
            </w:r>
          </w:p>
        </w:tc>
        <w:tc>
          <w:tcPr>
            <w:tcW w:w="18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6444EF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61AC5ECF"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0AC70"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EgMUTE</w:t>
            </w:r>
          </w:p>
        </w:tc>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A42F9C"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Eucgr.H03591.1</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C3554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3244B9F5"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CBE2482"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EgSPCH</w:t>
            </w:r>
          </w:p>
        </w:tc>
        <w:tc>
          <w:tcPr>
            <w:tcW w:w="192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58B6BFE"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Eucgr.A02667.1</w:t>
            </w:r>
          </w:p>
        </w:tc>
        <w:tc>
          <w:tcPr>
            <w:tcW w:w="18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0BA9DCE"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6DCC60ED"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9EC8D8"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AtFAMA</w:t>
            </w:r>
          </w:p>
        </w:tc>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8BBBF8"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AT3G24140.1</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B6E717"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77BD7EF0"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4AF62C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AtMUTE</w:t>
            </w:r>
          </w:p>
        </w:tc>
        <w:tc>
          <w:tcPr>
            <w:tcW w:w="192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76E324E"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AT3G06120.1</w:t>
            </w:r>
          </w:p>
        </w:tc>
        <w:tc>
          <w:tcPr>
            <w:tcW w:w="18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98CC064"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05A2686B" w14:textId="77777777" w:rsidTr="00824D02">
        <w:trPr>
          <w:trHeight w:val="300"/>
        </w:trPr>
        <w:tc>
          <w:tcPr>
            <w:tcW w:w="3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BBA962"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AtSPCH</w:t>
            </w:r>
          </w:p>
        </w:tc>
        <w:tc>
          <w:tcPr>
            <w:tcW w:w="1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DF988"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AT5G53210.1</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3AA396"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1C6F3825" w14:textId="77777777" w:rsidTr="00824D02">
        <w:trPr>
          <w:trHeight w:val="300"/>
        </w:trPr>
        <w:tc>
          <w:tcPr>
            <w:tcW w:w="338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28C89D1" w14:textId="77777777" w:rsidR="00D431D5" w:rsidRPr="00D431D5" w:rsidRDefault="00D431D5" w:rsidP="00D431D5">
            <w:pPr>
              <w:tabs>
                <w:tab w:val="left" w:pos="6663"/>
              </w:tabs>
              <w:spacing w:after="160" w:line="360" w:lineRule="auto"/>
              <w:rPr>
                <w:rFonts w:ascii="Arial" w:eastAsia="Times New Roman" w:hAnsi="Arial" w:cs="Arial"/>
                <w:b/>
                <w:bCs/>
                <w:color w:val="000000"/>
                <w:lang w:eastAsia="ja-JP"/>
              </w:rPr>
            </w:pPr>
            <w:r w:rsidRPr="00D431D5">
              <w:rPr>
                <w:rFonts w:ascii="Arial" w:eastAsia="Times New Roman" w:hAnsi="Arial" w:cs="Arial"/>
                <w:b/>
                <w:bCs/>
                <w:color w:val="000000"/>
                <w:lang w:eastAsia="ja-JP"/>
              </w:rPr>
              <w:t>SCRMs</w:t>
            </w:r>
          </w:p>
        </w:tc>
        <w:tc>
          <w:tcPr>
            <w:tcW w:w="1920" w:type="dxa"/>
            <w:tcBorders>
              <w:top w:val="single" w:sz="4" w:space="0" w:color="auto"/>
              <w:left w:val="nil"/>
              <w:bottom w:val="single" w:sz="4" w:space="0" w:color="auto"/>
              <w:right w:val="single" w:sz="4" w:space="0" w:color="auto"/>
            </w:tcBorders>
            <w:shd w:val="clear" w:color="DDEBF7" w:fill="DDEBF7"/>
            <w:noWrap/>
            <w:vAlign w:val="bottom"/>
            <w:hideMark/>
          </w:tcPr>
          <w:p w14:paraId="248FF291"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c>
          <w:tcPr>
            <w:tcW w:w="18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1595DC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0149AEF8"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C9944B"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SfSCRM1</w:t>
            </w:r>
          </w:p>
        </w:tc>
        <w:tc>
          <w:tcPr>
            <w:tcW w:w="1920" w:type="dxa"/>
            <w:tcBorders>
              <w:top w:val="nil"/>
              <w:left w:val="nil"/>
              <w:bottom w:val="single" w:sz="4" w:space="0" w:color="auto"/>
              <w:right w:val="single" w:sz="4" w:space="0" w:color="auto"/>
            </w:tcBorders>
            <w:shd w:val="clear" w:color="auto" w:fill="auto"/>
            <w:noWrap/>
            <w:vAlign w:val="bottom"/>
            <w:hideMark/>
          </w:tcPr>
          <w:p w14:paraId="5D4AEB91"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Sphfalx0072s0003.1</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3C104A"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0486D76E"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2CA0988"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PpSCRM1</w:t>
            </w:r>
          </w:p>
        </w:tc>
        <w:tc>
          <w:tcPr>
            <w:tcW w:w="1920" w:type="dxa"/>
            <w:tcBorders>
              <w:top w:val="nil"/>
              <w:left w:val="nil"/>
              <w:bottom w:val="single" w:sz="4" w:space="0" w:color="auto"/>
              <w:right w:val="single" w:sz="4" w:space="0" w:color="auto"/>
            </w:tcBorders>
            <w:shd w:val="clear" w:color="DDEBF7" w:fill="DDEBF7"/>
            <w:noWrap/>
            <w:vAlign w:val="bottom"/>
            <w:hideMark/>
          </w:tcPr>
          <w:p w14:paraId="1BDC6B0B"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Pp3c10_4280V3.1</w:t>
            </w:r>
          </w:p>
        </w:tc>
        <w:tc>
          <w:tcPr>
            <w:tcW w:w="18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20352A7"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Pp1s51_178V6.1</w:t>
            </w:r>
          </w:p>
        </w:tc>
      </w:tr>
      <w:tr w:rsidR="00D431D5" w:rsidRPr="00D431D5" w14:paraId="0CBAA2DA"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3517B"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PpSCRM2</w:t>
            </w:r>
          </w:p>
        </w:tc>
        <w:tc>
          <w:tcPr>
            <w:tcW w:w="1920" w:type="dxa"/>
            <w:tcBorders>
              <w:top w:val="nil"/>
              <w:left w:val="nil"/>
              <w:bottom w:val="single" w:sz="4" w:space="0" w:color="auto"/>
              <w:right w:val="single" w:sz="4" w:space="0" w:color="auto"/>
            </w:tcBorders>
            <w:shd w:val="clear" w:color="auto" w:fill="auto"/>
            <w:noWrap/>
            <w:vAlign w:val="bottom"/>
            <w:hideMark/>
          </w:tcPr>
          <w:p w14:paraId="4E59B034"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Pp3c8_18070V3.1</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C99088"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Pp1s212_62v6.1</w:t>
            </w:r>
          </w:p>
        </w:tc>
      </w:tr>
      <w:tr w:rsidR="00D431D5" w:rsidRPr="00D431D5" w14:paraId="29EF575E"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F0638D2"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PpSCRM3</w:t>
            </w:r>
          </w:p>
        </w:tc>
        <w:tc>
          <w:tcPr>
            <w:tcW w:w="1920" w:type="dxa"/>
            <w:tcBorders>
              <w:top w:val="nil"/>
              <w:left w:val="nil"/>
              <w:bottom w:val="single" w:sz="4" w:space="0" w:color="auto"/>
              <w:right w:val="single" w:sz="4" w:space="0" w:color="auto"/>
            </w:tcBorders>
            <w:shd w:val="clear" w:color="DDEBF7" w:fill="DDEBF7"/>
            <w:noWrap/>
            <w:vAlign w:val="bottom"/>
            <w:hideMark/>
          </w:tcPr>
          <w:p w14:paraId="5CBEAFE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Pp3c1_20960V3.1</w:t>
            </w:r>
          </w:p>
        </w:tc>
        <w:tc>
          <w:tcPr>
            <w:tcW w:w="18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A6EDBB4"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Pp1s257_22V6.1</w:t>
            </w:r>
          </w:p>
        </w:tc>
      </w:tr>
      <w:tr w:rsidR="00D431D5" w:rsidRPr="00D431D5" w14:paraId="590F416F"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F775DB"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PpSCRM4</w:t>
            </w:r>
          </w:p>
        </w:tc>
        <w:tc>
          <w:tcPr>
            <w:tcW w:w="1920" w:type="dxa"/>
            <w:tcBorders>
              <w:top w:val="nil"/>
              <w:left w:val="nil"/>
              <w:bottom w:val="single" w:sz="4" w:space="0" w:color="auto"/>
              <w:right w:val="single" w:sz="4" w:space="0" w:color="auto"/>
            </w:tcBorders>
            <w:shd w:val="clear" w:color="auto" w:fill="auto"/>
            <w:noWrap/>
            <w:vAlign w:val="bottom"/>
            <w:hideMark/>
          </w:tcPr>
          <w:p w14:paraId="7971420C"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Pp3c2_16410V3.1</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FFD15B"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Pp1s30_360V6.1</w:t>
            </w:r>
          </w:p>
        </w:tc>
      </w:tr>
      <w:tr w:rsidR="00D431D5" w:rsidRPr="00D431D5" w14:paraId="4DFF0237"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94E3410"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SmSCRM1</w:t>
            </w:r>
          </w:p>
        </w:tc>
        <w:tc>
          <w:tcPr>
            <w:tcW w:w="1920" w:type="dxa"/>
            <w:tcBorders>
              <w:top w:val="nil"/>
              <w:left w:val="nil"/>
              <w:bottom w:val="single" w:sz="4" w:space="0" w:color="auto"/>
              <w:right w:val="single" w:sz="4" w:space="0" w:color="auto"/>
            </w:tcBorders>
            <w:shd w:val="clear" w:color="DDEBF7" w:fill="DDEBF7"/>
            <w:noWrap/>
            <w:vAlign w:val="bottom"/>
            <w:hideMark/>
          </w:tcPr>
          <w:p w14:paraId="08302381"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91237</w:t>
            </w:r>
          </w:p>
        </w:tc>
        <w:tc>
          <w:tcPr>
            <w:tcW w:w="18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9CECF99"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3917B33F"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04C57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SmSCRM2</w:t>
            </w:r>
          </w:p>
        </w:tc>
        <w:tc>
          <w:tcPr>
            <w:tcW w:w="1920" w:type="dxa"/>
            <w:tcBorders>
              <w:top w:val="nil"/>
              <w:left w:val="nil"/>
              <w:bottom w:val="single" w:sz="4" w:space="0" w:color="auto"/>
              <w:right w:val="single" w:sz="4" w:space="0" w:color="auto"/>
            </w:tcBorders>
            <w:shd w:val="clear" w:color="auto" w:fill="auto"/>
            <w:noWrap/>
            <w:vAlign w:val="bottom"/>
            <w:hideMark/>
          </w:tcPr>
          <w:p w14:paraId="1117EC4E"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94010</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D114CC"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27FABD52"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D444942"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OsSCRM</w:t>
            </w:r>
          </w:p>
        </w:tc>
        <w:tc>
          <w:tcPr>
            <w:tcW w:w="1920" w:type="dxa"/>
            <w:tcBorders>
              <w:top w:val="nil"/>
              <w:left w:val="nil"/>
              <w:bottom w:val="single" w:sz="4" w:space="0" w:color="auto"/>
              <w:right w:val="single" w:sz="4" w:space="0" w:color="auto"/>
            </w:tcBorders>
            <w:shd w:val="clear" w:color="DDEBF7" w:fill="DDEBF7"/>
            <w:noWrap/>
            <w:vAlign w:val="bottom"/>
            <w:hideMark/>
          </w:tcPr>
          <w:p w14:paraId="1FBB4CDC"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LOC_Os01g70310.1</w:t>
            </w:r>
          </w:p>
        </w:tc>
        <w:tc>
          <w:tcPr>
            <w:tcW w:w="18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F804C44"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1E24438F"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3DCCE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OsSCRM2</w:t>
            </w:r>
          </w:p>
        </w:tc>
        <w:tc>
          <w:tcPr>
            <w:tcW w:w="1920" w:type="dxa"/>
            <w:tcBorders>
              <w:top w:val="nil"/>
              <w:left w:val="nil"/>
              <w:bottom w:val="single" w:sz="4" w:space="0" w:color="auto"/>
              <w:right w:val="single" w:sz="4" w:space="0" w:color="auto"/>
            </w:tcBorders>
            <w:shd w:val="clear" w:color="auto" w:fill="auto"/>
            <w:noWrap/>
            <w:vAlign w:val="bottom"/>
            <w:hideMark/>
          </w:tcPr>
          <w:p w14:paraId="32EB8DA5"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LOC_Os11g32100.1</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A5BBDA"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03EC1920"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040829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EgSCRM</w:t>
            </w:r>
          </w:p>
        </w:tc>
        <w:tc>
          <w:tcPr>
            <w:tcW w:w="1920" w:type="dxa"/>
            <w:tcBorders>
              <w:top w:val="nil"/>
              <w:left w:val="nil"/>
              <w:bottom w:val="single" w:sz="4" w:space="0" w:color="auto"/>
              <w:right w:val="single" w:sz="4" w:space="0" w:color="auto"/>
            </w:tcBorders>
            <w:shd w:val="clear" w:color="DDEBF7" w:fill="DDEBF7"/>
            <w:noWrap/>
            <w:vAlign w:val="bottom"/>
            <w:hideMark/>
          </w:tcPr>
          <w:p w14:paraId="75DFADAE"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Eucgr.G01938.1</w:t>
            </w:r>
          </w:p>
        </w:tc>
        <w:tc>
          <w:tcPr>
            <w:tcW w:w="18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116D4B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17A4EC13"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8C9886"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AtICE1/SCRM</w:t>
            </w:r>
          </w:p>
        </w:tc>
        <w:tc>
          <w:tcPr>
            <w:tcW w:w="1920" w:type="dxa"/>
            <w:tcBorders>
              <w:top w:val="nil"/>
              <w:left w:val="nil"/>
              <w:bottom w:val="single" w:sz="4" w:space="0" w:color="auto"/>
              <w:right w:val="single" w:sz="4" w:space="0" w:color="auto"/>
            </w:tcBorders>
            <w:shd w:val="clear" w:color="auto" w:fill="auto"/>
            <w:noWrap/>
            <w:vAlign w:val="bottom"/>
            <w:hideMark/>
          </w:tcPr>
          <w:p w14:paraId="13C4137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AT3G26744.1</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2C6ED6"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59C93400"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D0150B2"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AtICE2/SCRM2</w:t>
            </w:r>
          </w:p>
        </w:tc>
        <w:tc>
          <w:tcPr>
            <w:tcW w:w="1920" w:type="dxa"/>
            <w:tcBorders>
              <w:top w:val="nil"/>
              <w:left w:val="nil"/>
              <w:bottom w:val="single" w:sz="4" w:space="0" w:color="auto"/>
              <w:right w:val="single" w:sz="4" w:space="0" w:color="auto"/>
            </w:tcBorders>
            <w:shd w:val="clear" w:color="DDEBF7" w:fill="DDEBF7"/>
            <w:noWrap/>
            <w:vAlign w:val="bottom"/>
            <w:hideMark/>
          </w:tcPr>
          <w:p w14:paraId="2681948F"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AT1G12860.1</w:t>
            </w:r>
          </w:p>
        </w:tc>
        <w:tc>
          <w:tcPr>
            <w:tcW w:w="18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42CE7E6"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35AD06D4"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DCCEDA"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NFL, NO FLOWERING IN SHORT DAY</w:t>
            </w:r>
          </w:p>
        </w:tc>
        <w:tc>
          <w:tcPr>
            <w:tcW w:w="1920" w:type="dxa"/>
            <w:tcBorders>
              <w:top w:val="nil"/>
              <w:left w:val="nil"/>
              <w:bottom w:val="single" w:sz="4" w:space="0" w:color="auto"/>
              <w:right w:val="single" w:sz="4" w:space="0" w:color="auto"/>
            </w:tcBorders>
            <w:shd w:val="clear" w:color="auto" w:fill="auto"/>
            <w:noWrap/>
            <w:vAlign w:val="bottom"/>
            <w:hideMark/>
          </w:tcPr>
          <w:p w14:paraId="2FF8356C"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AT5G65640.1</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263ADC"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r w:rsidR="00D431D5" w:rsidRPr="00D431D5" w14:paraId="42076E96" w14:textId="77777777" w:rsidTr="00D431D5">
        <w:trPr>
          <w:trHeight w:val="300"/>
        </w:trPr>
        <w:tc>
          <w:tcPr>
            <w:tcW w:w="338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9EBC4F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AMS, ABORTED MICROSPORES</w:t>
            </w:r>
          </w:p>
        </w:tc>
        <w:tc>
          <w:tcPr>
            <w:tcW w:w="192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4F0ECCF"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AT2G16910.1</w:t>
            </w:r>
          </w:p>
        </w:tc>
        <w:tc>
          <w:tcPr>
            <w:tcW w:w="186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9B9A54D" w14:textId="77777777" w:rsidR="00D431D5" w:rsidRPr="00D431D5" w:rsidRDefault="00D431D5" w:rsidP="00D431D5">
            <w:pPr>
              <w:tabs>
                <w:tab w:val="left" w:pos="6663"/>
              </w:tabs>
              <w:spacing w:after="160" w:line="360" w:lineRule="auto"/>
              <w:rPr>
                <w:rFonts w:ascii="Arial" w:eastAsia="Times New Roman" w:hAnsi="Arial" w:cs="Arial"/>
                <w:color w:val="000000"/>
                <w:lang w:eastAsia="ja-JP"/>
              </w:rPr>
            </w:pPr>
            <w:r w:rsidRPr="00D431D5">
              <w:rPr>
                <w:rFonts w:ascii="Arial" w:eastAsia="Times New Roman" w:hAnsi="Arial" w:cs="Arial"/>
                <w:color w:val="000000"/>
                <w:lang w:eastAsia="ja-JP"/>
              </w:rPr>
              <w:t> </w:t>
            </w:r>
          </w:p>
        </w:tc>
      </w:tr>
    </w:tbl>
    <w:p w14:paraId="322A54BF"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r w:rsidRPr="00D431D5">
        <w:rPr>
          <w:rFonts w:ascii="Arial" w:eastAsia="Times New Roman" w:hAnsi="Arial" w:cs="Arial"/>
          <w:b/>
          <w:color w:val="000000"/>
          <w:lang w:eastAsia="ja-JP"/>
        </w:rPr>
        <w:t>Appendix 1. Accession numbers relating to phylogenies presented in Fig. 7 and 8.</w:t>
      </w:r>
    </w:p>
    <w:p w14:paraId="2DE0D46C" w14:textId="77777777" w:rsidR="00824D02" w:rsidRDefault="00824D02" w:rsidP="00D431D5">
      <w:pPr>
        <w:tabs>
          <w:tab w:val="left" w:pos="6663"/>
        </w:tabs>
        <w:spacing w:after="160" w:line="360" w:lineRule="auto"/>
        <w:rPr>
          <w:rFonts w:ascii="Arial" w:eastAsia="Times New Roman" w:hAnsi="Arial" w:cs="Arial"/>
          <w:b/>
          <w:color w:val="000000"/>
          <w:lang w:eastAsia="ja-JP"/>
        </w:rPr>
      </w:pPr>
    </w:p>
    <w:p w14:paraId="1D01FE94" w14:textId="6D4291D0" w:rsidR="00D431D5" w:rsidRPr="00D431D5" w:rsidRDefault="00405CE5" w:rsidP="00D431D5">
      <w:pPr>
        <w:tabs>
          <w:tab w:val="left" w:pos="6663"/>
        </w:tabs>
        <w:spacing w:after="160" w:line="360" w:lineRule="auto"/>
        <w:rPr>
          <w:rFonts w:ascii="Arial" w:eastAsia="Times New Roman" w:hAnsi="Arial" w:cs="Arial"/>
          <w:b/>
          <w:color w:val="000000"/>
          <w:lang w:eastAsia="ja-JP"/>
        </w:rPr>
      </w:pPr>
      <w:r>
        <w:rPr>
          <w:rFonts w:ascii="Arial" w:eastAsia="Times New Roman" w:hAnsi="Arial" w:cs="Arial"/>
          <w:b/>
          <w:color w:val="000000"/>
          <w:lang w:eastAsia="ja-JP"/>
        </w:rPr>
        <w:t>Predicted partial ApSMF1 amino acid sequence</w:t>
      </w:r>
    </w:p>
    <w:p w14:paraId="70902969"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r w:rsidRPr="00D431D5">
        <w:rPr>
          <w:rFonts w:ascii="Arial" w:eastAsia="Times New Roman" w:hAnsi="Arial" w:cs="Arial"/>
          <w:b/>
          <w:color w:val="000000"/>
          <w:lang w:eastAsia="ja-JP"/>
        </w:rPr>
        <w:t>RPKRKRTKSNKNIEDVESQRMTHIAVERNRRKQMNEHLSVLRSLMPGSYVHKGDQASIIGGAIEFVKELEHLLQCLQAQKRRKFYAD</w:t>
      </w:r>
    </w:p>
    <w:p w14:paraId="6591A371" w14:textId="77777777" w:rsidR="00D431D5" w:rsidRPr="00D431D5" w:rsidRDefault="00D431D5" w:rsidP="00D431D5">
      <w:pPr>
        <w:tabs>
          <w:tab w:val="left" w:pos="6663"/>
        </w:tabs>
        <w:spacing w:after="160" w:line="360" w:lineRule="auto"/>
        <w:rPr>
          <w:rFonts w:ascii="Arial" w:eastAsia="Times New Roman" w:hAnsi="Arial" w:cs="Arial"/>
          <w:b/>
          <w:color w:val="000000"/>
          <w:lang w:eastAsia="ja-JP"/>
        </w:rPr>
      </w:pPr>
      <w:r w:rsidRPr="00D431D5">
        <w:rPr>
          <w:rFonts w:ascii="Arial" w:eastAsia="Times New Roman" w:hAnsi="Arial" w:cs="Arial"/>
          <w:b/>
          <w:color w:val="000000"/>
          <w:lang w:eastAsia="ja-JP"/>
        </w:rPr>
        <w:t xml:space="preserve">Appendix 2. </w:t>
      </w:r>
      <w:r w:rsidRPr="00D431D5">
        <w:rPr>
          <w:rFonts w:ascii="Arial" w:eastAsia="Times New Roman" w:hAnsi="Arial" w:cs="Arial"/>
          <w:b/>
          <w:i/>
          <w:color w:val="000000"/>
          <w:lang w:eastAsia="ja-JP"/>
        </w:rPr>
        <w:t xml:space="preserve">A. punctatos </w:t>
      </w:r>
      <w:r w:rsidRPr="00D431D5">
        <w:rPr>
          <w:rFonts w:ascii="Arial" w:eastAsia="Times New Roman" w:hAnsi="Arial" w:cs="Arial"/>
          <w:b/>
          <w:color w:val="000000"/>
          <w:lang w:eastAsia="ja-JP"/>
        </w:rPr>
        <w:t>predicted</w:t>
      </w:r>
      <w:r w:rsidRPr="00D431D5">
        <w:rPr>
          <w:rFonts w:ascii="Arial" w:eastAsia="Times New Roman" w:hAnsi="Arial" w:cs="Arial"/>
          <w:b/>
          <w:i/>
          <w:color w:val="000000"/>
          <w:lang w:eastAsia="ja-JP"/>
        </w:rPr>
        <w:t xml:space="preserve"> </w:t>
      </w:r>
      <w:r w:rsidRPr="00D431D5">
        <w:rPr>
          <w:rFonts w:ascii="Arial" w:eastAsia="Times New Roman" w:hAnsi="Arial" w:cs="Arial"/>
          <w:b/>
          <w:color w:val="000000"/>
          <w:lang w:eastAsia="ja-JP"/>
        </w:rPr>
        <w:t xml:space="preserve">87 amino acid partial sequence relating the </w:t>
      </w:r>
      <w:r w:rsidRPr="00405CE5">
        <w:rPr>
          <w:rFonts w:ascii="Arial" w:eastAsia="Times New Roman" w:hAnsi="Arial" w:cs="Arial"/>
          <w:b/>
          <w:color w:val="000000"/>
          <w:lang w:eastAsia="ja-JP"/>
        </w:rPr>
        <w:t>ApSMF1</w:t>
      </w:r>
      <w:r w:rsidRPr="00D431D5">
        <w:rPr>
          <w:rFonts w:ascii="Arial" w:eastAsia="Times New Roman" w:hAnsi="Arial" w:cs="Arial"/>
          <w:b/>
          <w:i/>
          <w:color w:val="000000"/>
          <w:lang w:eastAsia="ja-JP"/>
        </w:rPr>
        <w:t xml:space="preserve"> </w:t>
      </w:r>
      <w:r w:rsidRPr="00D431D5">
        <w:rPr>
          <w:rFonts w:ascii="Arial" w:eastAsia="Times New Roman" w:hAnsi="Arial" w:cs="Arial"/>
          <w:b/>
          <w:color w:val="000000"/>
          <w:lang w:eastAsia="ja-JP"/>
        </w:rPr>
        <w:t xml:space="preserve">sequence presented in Fig. 21. </w:t>
      </w:r>
    </w:p>
    <w:p w14:paraId="3C3D6783" w14:textId="40047064" w:rsidR="003A48AB" w:rsidRDefault="003A48AB" w:rsidP="003A48AB">
      <w:pPr>
        <w:tabs>
          <w:tab w:val="left" w:pos="6663"/>
        </w:tabs>
        <w:spacing w:after="160" w:line="360" w:lineRule="auto"/>
        <w:rPr>
          <w:rFonts w:ascii="Arial" w:eastAsia="Times New Roman" w:hAnsi="Arial" w:cs="Arial"/>
          <w:b/>
          <w:color w:val="000000"/>
          <w:lang w:eastAsia="ja-JP"/>
        </w:rPr>
      </w:pPr>
      <w:r w:rsidRPr="003A48AB">
        <w:rPr>
          <w:rFonts w:ascii="Arial" w:eastAsia="Times New Roman" w:hAnsi="Arial" w:cs="Arial"/>
          <w:b/>
          <w:color w:val="000000"/>
          <w:lang w:eastAsia="ja-JP"/>
        </w:rPr>
        <w:t xml:space="preserve"> </w:t>
      </w:r>
    </w:p>
    <w:p w14:paraId="1AB8F245" w14:textId="77777777" w:rsidR="003A48AB" w:rsidRDefault="003A48AB">
      <w:pPr>
        <w:rPr>
          <w:rFonts w:ascii="Arial" w:eastAsia="Times New Roman" w:hAnsi="Arial" w:cs="Arial"/>
          <w:b/>
          <w:color w:val="000000"/>
          <w:lang w:eastAsia="ja-JP"/>
        </w:rPr>
      </w:pPr>
      <w:r>
        <w:rPr>
          <w:rFonts w:ascii="Arial" w:eastAsia="Times New Roman" w:hAnsi="Arial" w:cs="Arial"/>
          <w:b/>
          <w:color w:val="000000"/>
          <w:lang w:eastAsia="ja-JP"/>
        </w:rPr>
        <w:br w:type="page"/>
      </w:r>
    </w:p>
    <w:p w14:paraId="44330733" w14:textId="77777777" w:rsidR="003A48AB" w:rsidRDefault="003A48AB" w:rsidP="003A48AB">
      <w:pPr>
        <w:tabs>
          <w:tab w:val="left" w:pos="6663"/>
        </w:tabs>
        <w:spacing w:after="160" w:line="360" w:lineRule="auto"/>
        <w:rPr>
          <w:rFonts w:ascii="Arial" w:eastAsia="Times New Roman" w:hAnsi="Arial" w:cs="Arial"/>
          <w:color w:val="000000"/>
          <w:sz w:val="56"/>
          <w:szCs w:val="56"/>
        </w:rPr>
      </w:pPr>
    </w:p>
    <w:p w14:paraId="74A809F7" w14:textId="77777777" w:rsidR="003A48AB" w:rsidRDefault="003A48AB" w:rsidP="003A48AB">
      <w:pPr>
        <w:tabs>
          <w:tab w:val="left" w:pos="6663"/>
        </w:tabs>
        <w:spacing w:after="160" w:line="360" w:lineRule="auto"/>
        <w:rPr>
          <w:rFonts w:ascii="Arial" w:eastAsia="Times New Roman" w:hAnsi="Arial" w:cs="Arial"/>
          <w:color w:val="000000"/>
          <w:sz w:val="56"/>
          <w:szCs w:val="56"/>
        </w:rPr>
      </w:pPr>
    </w:p>
    <w:p w14:paraId="6D932BC9" w14:textId="77777777" w:rsidR="003A48AB" w:rsidRDefault="003A48AB" w:rsidP="003A48AB">
      <w:pPr>
        <w:tabs>
          <w:tab w:val="left" w:pos="6663"/>
        </w:tabs>
        <w:spacing w:after="160" w:line="360" w:lineRule="auto"/>
        <w:rPr>
          <w:rFonts w:ascii="Arial" w:eastAsia="Times New Roman" w:hAnsi="Arial" w:cs="Arial"/>
          <w:color w:val="000000"/>
          <w:sz w:val="56"/>
          <w:szCs w:val="56"/>
        </w:rPr>
      </w:pPr>
    </w:p>
    <w:p w14:paraId="42039CF4" w14:textId="77777777" w:rsidR="003A48AB" w:rsidRDefault="003A48AB" w:rsidP="003A48AB">
      <w:pPr>
        <w:tabs>
          <w:tab w:val="left" w:pos="6663"/>
        </w:tabs>
        <w:spacing w:after="160" w:line="360" w:lineRule="auto"/>
        <w:rPr>
          <w:rFonts w:ascii="Arial" w:eastAsia="Times New Roman" w:hAnsi="Arial" w:cs="Arial"/>
          <w:color w:val="000000"/>
          <w:sz w:val="56"/>
          <w:szCs w:val="56"/>
          <w:u w:val="single"/>
        </w:rPr>
      </w:pPr>
      <w:r>
        <w:rPr>
          <w:rFonts w:ascii="Arial" w:eastAsia="Times New Roman" w:hAnsi="Arial" w:cs="Arial"/>
          <w:color w:val="000000"/>
          <w:sz w:val="56"/>
          <w:szCs w:val="56"/>
          <w:u w:val="single"/>
        </w:rPr>
        <w:t>Chapter 4:</w:t>
      </w:r>
    </w:p>
    <w:p w14:paraId="1FA91BE0" w14:textId="77777777" w:rsidR="003A48AB" w:rsidRPr="00110138" w:rsidRDefault="003A48AB" w:rsidP="003A48AB">
      <w:pPr>
        <w:spacing w:after="160" w:line="360" w:lineRule="auto"/>
        <w:rPr>
          <w:rFonts w:ascii="Arial" w:hAnsi="Arial" w:cs="Arial"/>
          <w:i/>
          <w:sz w:val="56"/>
          <w:u w:val="single"/>
        </w:rPr>
      </w:pPr>
      <w:r w:rsidRPr="00110138">
        <w:rPr>
          <w:rFonts w:ascii="Arial" w:hAnsi="Arial" w:cs="Arial"/>
          <w:sz w:val="56"/>
          <w:u w:val="single"/>
        </w:rPr>
        <w:t xml:space="preserve">Genes underpinning stomatal patterning in the non-vascular land plant and moss </w:t>
      </w:r>
      <w:r w:rsidRPr="00110138">
        <w:rPr>
          <w:rFonts w:ascii="Arial" w:hAnsi="Arial" w:cs="Arial"/>
          <w:i/>
          <w:sz w:val="56"/>
          <w:u w:val="single"/>
        </w:rPr>
        <w:t>P. patens</w:t>
      </w:r>
    </w:p>
    <w:p w14:paraId="359F350C" w14:textId="77777777" w:rsidR="003A48AB" w:rsidRPr="00110138" w:rsidRDefault="003A48AB" w:rsidP="003A48AB">
      <w:pPr>
        <w:tabs>
          <w:tab w:val="left" w:pos="6663"/>
        </w:tabs>
        <w:spacing w:after="160" w:line="360" w:lineRule="auto"/>
        <w:rPr>
          <w:rFonts w:ascii="Arial" w:eastAsia="Times New Roman" w:hAnsi="Arial" w:cs="Arial"/>
          <w:color w:val="000000"/>
          <w:sz w:val="56"/>
          <w:szCs w:val="56"/>
          <w:u w:val="single"/>
        </w:rPr>
      </w:pPr>
    </w:p>
    <w:p w14:paraId="2B40236B" w14:textId="085DD711" w:rsidR="006C37DC" w:rsidRPr="006C37DC" w:rsidRDefault="003A48AB" w:rsidP="006C37DC">
      <w:pPr>
        <w:spacing w:after="160" w:line="360" w:lineRule="auto"/>
        <w:rPr>
          <w:rFonts w:ascii="Arial" w:eastAsia="Times New Roman" w:hAnsi="Arial" w:cs="Arial"/>
          <w:b/>
          <w:color w:val="000000"/>
        </w:rPr>
      </w:pPr>
      <w:r w:rsidRPr="002A605B">
        <w:rPr>
          <w:rFonts w:ascii="Arial" w:eastAsia="Times New Roman" w:hAnsi="Arial" w:cs="Arial"/>
          <w:b/>
          <w:color w:val="000000"/>
        </w:rPr>
        <w:br w:type="page"/>
      </w:r>
      <w:r w:rsidR="006C37DC" w:rsidRPr="006C37DC">
        <w:rPr>
          <w:rFonts w:ascii="Arial" w:eastAsia="Times New Roman" w:hAnsi="Arial" w:cs="Arial"/>
          <w:b/>
          <w:bCs/>
          <w:color w:val="000000"/>
          <w:u w:val="single"/>
        </w:rPr>
        <w:lastRenderedPageBreak/>
        <w:t>4.1 Introduction</w:t>
      </w:r>
    </w:p>
    <w:p w14:paraId="569B791E" w14:textId="7A327393"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In the majority of extant land plant lineages stomata are profuse and occur on a variety of specialised organs including leaves, stems, flowers and fruiting bodies </w:t>
      </w:r>
      <w:r w:rsidRPr="006C37DC">
        <w:rPr>
          <w:rFonts w:ascii="Arial" w:eastAsia="Times New Roman" w:hAnsi="Arial" w:cs="Arial"/>
          <w:bCs/>
          <w:color w:val="000000"/>
        </w:rPr>
        <w:fldChar w:fldCharType="begin">
          <w:fldData xml:space="preserve">PEVuZE5vdGU+PENpdGU+PEF1dGhvcj5Ccm93bjwvQXV0aG9yPjxZZWFyPjE5ODU8L1llYXI+PElE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==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PEVuZE5vdGU+PENpdGU+PEF1dGhvcj5Ccm93bjwvQXV0aG9yPjxZZWFyPjE5ODU8L1llYXI+PElE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==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(Abrash et al., 2011; Blanke et al., 1999; Brown and Lemmon, 1985; Keijzer, 1987; Sack and Paolillo, 1985)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For vascular land plants in particular, these microscopic structures are imperative for normal development to ensue and for growth to occur, with evidence in Arabidopsis suggesting that when vascular plants are devoid of stomata the resulting phenotype is lethal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&lt;EndNote&gt;&lt;Cite&gt;&lt;Author&gt;MacAlister&lt;/Author&gt;&lt;Year&gt;2007&lt;/Year&gt;&lt;IDText&gt;Transcription factor control of asymmetric cell divisions that establish the stomatal lineage&lt;/IDText&gt;&lt;DisplayText&gt;(MacAlister et al., 2007)&lt;/DisplayText&gt;&lt;record&gt;&lt;dates&gt;&lt;pub-dates&gt;&lt;date&gt;Feb&lt;/date&gt;&lt;/pub-dates&gt;&lt;year&gt;2007&lt;/year&gt;&lt;/dates&gt;&lt;keywords&gt;&lt;keyword&gt;MAPKK KINASE&lt;/keyword&gt;&lt;keyword&gt;ARABIDOPSIS&lt;/keyword&gt;&lt;keyword&gt;MOUTHS&lt;/keyword&gt;&lt;keyword&gt;TOO&lt;/keyword&gt;&lt;keyword&gt;MUTANTS&lt;/keyword&gt;&lt;keyword&gt;PATTERN&lt;/keyword&gt;&lt;keyword&gt;4-LIPS&lt;/keyword&gt;&lt;/keywords&gt;&lt;urls&gt;&lt;related-urls&gt;&lt;url&gt;&amp;lt;Go to ISI&amp;gt;://WOS:000243867300043&lt;/url&gt;&lt;/related-urls&gt;&lt;/urls&gt;&lt;isbn&gt;0028-0836&lt;/isbn&gt;&lt;work-type&gt;Article&lt;/work-type&gt;&lt;titles&gt;&lt;title&gt;Transcription factor control of asymmetric cell divisions that establish the stomatal lineage&lt;/title&gt;&lt;secondary-title&gt;Nature&lt;/secondary-title&gt;&lt;alt-title&gt;Nature&lt;/alt-title&gt;&lt;/titles&gt;&lt;pages&gt;537-540&lt;/pages&gt;&lt;number&gt;7127&lt;/number&gt;&lt;contributors&gt;&lt;authors&gt;&lt;author&gt;MacAlister, C. A.&lt;/author&gt;&lt;author&gt;Ohashi-Ito, K.&lt;/author&gt;&lt;author&gt;Bergmann, D. C.&lt;/author&gt;&lt;/authors&gt;&lt;/contributors&gt;&lt;language&gt;English&lt;/language&gt;&lt;added-date format="utc"&gt;1352217000&lt;/added-date&gt;&lt;ref-type name="Journal Article"&gt;17&lt;/ref-type&gt;&lt;auth-address&gt;Stanford Univ, Dept Biol Sci, Stanford, CA 94305 USA.&amp;#xD;Bergmann, DC (reprint author), Stanford Univ, Dept Biol Sci, Stanford, CA 94305 USA.&amp;#xD;dbergmann@stanford.edu&lt;/auth-address&gt;&lt;rec-number&gt;25&lt;/rec-number&gt;&lt;last-updated-date format="utc"&gt;1352217000&lt;/last-updated-date&gt;&lt;accession-num&gt;WOS:000243867300043&lt;/accession-num&gt;&lt;electronic-resource-num&gt;10.1038/nature05491&lt;/electronic-resource-num&gt;&lt;volume&gt;445&lt;/volume&gt;&lt;/record&gt;&lt;/Cite&gt;&lt;/EndNote&gt;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(MacAlister et al., 2007)</w:t>
      </w:r>
      <w:r w:rsidRPr="006C37DC">
        <w:rPr>
          <w:rFonts w:ascii="Arial" w:eastAsia="Times New Roman" w:hAnsi="Arial" w:cs="Arial"/>
          <w:bCs/>
          <w:color w:val="000000"/>
        </w:rPr>
        <w:fldChar w:fldCharType="end"/>
      </w:r>
      <w:r w:rsidRPr="006C37DC">
        <w:rPr>
          <w:rFonts w:ascii="Arial" w:eastAsia="Times New Roman" w:hAnsi="Arial" w:cs="Arial"/>
          <w:bCs/>
          <w:color w:val="000000"/>
        </w:rPr>
        <w:t>. How stomata are patterned on vascular land plant surfaces also appears to be important to epidermal development as a wide r</w:t>
      </w:r>
      <w:r w:rsidRPr="006C37DC">
        <w:rPr>
          <w:rFonts w:ascii="Arial" w:eastAsia="Times New Roman" w:hAnsi="Arial" w:cs="Arial"/>
          <w:bCs/>
          <w:color w:val="000000"/>
        </w:rPr>
        <w:fldChar w:fldCharType="begin"/>
      </w:r>
      <w:r w:rsidR="00DA38AC">
        <w:rPr>
          <w:rFonts w:ascii="Arial" w:eastAsia="Times New Roman" w:hAnsi="Arial" w:cs="Arial"/>
          <w:bCs/>
          <w:color w:val="000000"/>
        </w:rPr>
        <w:instrText xml:space="preserve"> ADDIN EN.CITE &lt;EndNote&gt;&lt;Cite&gt;&lt;Author&gt;Caine&lt;/Author&gt;&lt;Year&gt;2016&lt;/Year&gt;&lt;IDText&gt;An ancestral stomatal patterning module revealed in the non-vascular land plant Physcomitrella patens&lt;/IDText&gt;&lt;DisplayText&gt;(Caine et al., 2016)&lt;/DisplayText&gt;&lt;record&gt;&lt;urls&gt;&lt;related-urls&gt;&lt;url&gt;http://dev.biologists.org/content/early/2016/06/09/dev.135038.abstract&lt;/url&gt;&lt;/related-urls&gt;&lt;/urls&gt;&lt;work-type&gt;10.1242/dev.135038&lt;/work-type&gt;&lt;titles&gt;&lt;title&gt;An ancestral stomatal patterning module revealed in the non-vascular land plant Physcomitrella patens&lt;/title&gt;&lt;secondary-title&gt;Development&lt;/secondary-title&gt;&lt;/titles&gt;&lt;contributors&gt;&lt;authors&gt;&lt;author&gt;Caine, Robert&lt;/author&gt;&lt;author&gt;Chater, Caspar C.&lt;/author&gt;&lt;author&gt;Kamisugi, Yasuko&lt;/author&gt;&lt;author&gt;Cuming, Andrew C.&lt;/author&gt;&lt;author&gt;Beerling, David J.&lt;/author&gt;&lt;author&gt;Gray, Julie E.&lt;/author&gt;&lt;author&gt;Fleming, Andrew J.&lt;/author&gt;&lt;/authors&gt;&lt;/contributors&gt;&lt;added-date format="utc"&gt;1468852925&lt;/added-date&gt;&lt;ref-type name="Journal Article"&gt;17&lt;/ref-type&gt;&lt;dates&gt;&lt;year&gt;2016&lt;/year&gt;&lt;/dates&gt;&lt;rec-number&gt;1317&lt;/rec-number&gt;&lt;last-updated-date format="utc"&gt;1468852925&lt;/last-updated-date&gt;&lt;/record&gt;&lt;/Cite&gt;&lt;/EndNote&gt;</w:instrText>
      </w:r>
      <w:r w:rsidRPr="006C37DC">
        <w:rPr>
          <w:rFonts w:ascii="Arial" w:eastAsia="Times New Roman" w:hAnsi="Arial" w:cs="Arial"/>
          <w:bCs/>
          <w:color w:val="000000"/>
        </w:rPr>
        <w:fldChar w:fldCharType="separate"/>
      </w:r>
      <w:r w:rsidR="00DA38AC">
        <w:rPr>
          <w:rFonts w:ascii="Arial" w:eastAsia="Times New Roman" w:hAnsi="Arial" w:cs="Arial"/>
          <w:bCs/>
          <w:noProof/>
          <w:color w:val="000000"/>
        </w:rPr>
        <w:t>(Caine et al., 2016)</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ange of genes have been identified which are required for correctly spacing stomata in Arabidopsis </w: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IDIwMDc7IFNocGFrIGV0IGFsLiwgMjAwNTsgWWFuZyBhbmQgU2FjaywgMTk5NSk8L0Rpc3BsYXlU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IDIwMDc7IFNocGFrIGV0IGFsLiwgMjAwNTsgWWFuZyBhbmQgU2FjaywgMTk5NSk8L0Rpc3BsYXlU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(Hara et al., 2007; Shpak et al., 2005; Yang and Sack, 1995)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Interestingly, it appears that variants of such genes may have been conserved in more anciently diverging land plant lineages such as the non-vascular mosses </w:t>
      </w:r>
      <w:r w:rsidRPr="006C37DC">
        <w:rPr>
          <w:rFonts w:ascii="Arial" w:eastAsia="Times New Roman" w:hAnsi="Arial" w:cs="Arial"/>
          <w:bCs/>
          <w:color w:val="000000"/>
        </w:rPr>
        <w:fldChar w:fldCharType="begin">
          <w:fldData xml:space="preserve">PEVuZE5vdGU+PENpdGU+PEF1dGhvcj5WaWxsYWdhcmNpYTwvQXV0aG9yPjxZZWFyPjIwMTI8L1ll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PEVuZE5vdGU+PENpdGU+PEF1dGhvcj5WaWxsYWdhcmNpYTwvQXV0aG9yPjxZZWFyPjIwMTI8L1ll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(Peterson et al., 2010; Takata et al., 2013; Villagarcia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However, from an applied perspective until very recently, nothing had been known about how stomata are patterned on non-vascular land plant surfaces or whether the toolkit of genes used to pattern vascular land plant stomata are shared with distantly related non-vascular land plant lineages </w:t>
      </w:r>
      <w:r w:rsidRPr="006C37DC">
        <w:rPr>
          <w:rFonts w:ascii="Arial" w:eastAsia="Times New Roman" w:hAnsi="Arial" w:cs="Arial"/>
          <w:bCs/>
          <w:color w:val="000000"/>
        </w:rPr>
        <w:fldChar w:fldCharType="begin"/>
      </w:r>
      <w:r w:rsidR="00DA38AC">
        <w:rPr>
          <w:rFonts w:ascii="Arial" w:eastAsia="Times New Roman" w:hAnsi="Arial" w:cs="Arial"/>
          <w:bCs/>
          <w:color w:val="000000"/>
        </w:rPr>
        <w:instrText xml:space="preserve"> ADDIN EN.CITE &lt;EndNote&gt;&lt;Cite&gt;&lt;Author&gt;Caine&lt;/Author&gt;&lt;Year&gt;2016&lt;/Year&gt;&lt;IDText&gt;An ancestral stomatal patterning module revealed in the non-vascular land plant Physcomitrella patens&lt;/IDText&gt;&lt;DisplayText&gt;(Caine et al., 2016)&lt;/DisplayText&gt;&lt;record&gt;&lt;urls&gt;&lt;related-urls&gt;&lt;url&gt;http://dev.biologists.org/content/early/2016/06/09/dev.135038.abstract&lt;/url&gt;&lt;/related-urls&gt;&lt;/urls&gt;&lt;work-type&gt;10.1242/dev.135038&lt;/work-type&gt;&lt;titles&gt;&lt;title&gt;An ancestral stomatal patterning module revealed in the non-vascular land plant Physcomitrella patens&lt;/title&gt;&lt;secondary-title&gt;Development&lt;/secondary-title&gt;&lt;/titles&gt;&lt;contributors&gt;&lt;authors&gt;&lt;author&gt;Caine, Robert&lt;/author&gt;&lt;author&gt;Chater, Caspar C.&lt;/author&gt;&lt;author&gt;Kamisugi, Yasuko&lt;/author&gt;&lt;author&gt;Cuming, Andrew C.&lt;/author&gt;&lt;author&gt;Beerling, David J.&lt;/author&gt;&lt;author&gt;Gray, Julie E.&lt;/author&gt;&lt;author&gt;Fleming, Andrew J.&lt;/author&gt;&lt;/authors&gt;&lt;/contributors&gt;&lt;added-date format="utc"&gt;1468852925&lt;/added-date&gt;&lt;ref-type name="Journal Article"&gt;17&lt;/ref-type&gt;&lt;dates&gt;&lt;year&gt;2016&lt;/year&gt;&lt;/dates&gt;&lt;rec-number&gt;1317&lt;/rec-number&gt;&lt;last-updated-date format="utc"&gt;1468852925&lt;/last-updated-date&gt;&lt;/record&gt;&lt;/Cite&gt;&lt;/EndNote&gt;</w:instrText>
      </w:r>
      <w:r w:rsidRPr="006C37DC">
        <w:rPr>
          <w:rFonts w:ascii="Arial" w:eastAsia="Times New Roman" w:hAnsi="Arial" w:cs="Arial"/>
          <w:bCs/>
          <w:color w:val="000000"/>
        </w:rPr>
        <w:fldChar w:fldCharType="separate"/>
      </w:r>
      <w:r w:rsidR="00DA38AC">
        <w:rPr>
          <w:rFonts w:ascii="Arial" w:eastAsia="Times New Roman" w:hAnsi="Arial" w:cs="Arial"/>
          <w:bCs/>
          <w:noProof/>
          <w:color w:val="000000"/>
        </w:rPr>
        <w:t>(Caine et al., 2016)</w:t>
      </w:r>
      <w:r w:rsidRPr="006C37DC">
        <w:rPr>
          <w:rFonts w:ascii="Arial" w:eastAsia="Times New Roman" w:hAnsi="Arial" w:cs="Arial"/>
          <w:bCs/>
          <w:color w:val="000000"/>
        </w:rPr>
        <w:fldChar w:fldCharType="end"/>
      </w:r>
      <w:r w:rsidRPr="006C37DC">
        <w:rPr>
          <w:rFonts w:ascii="Arial" w:eastAsia="Times New Roman" w:hAnsi="Arial" w:cs="Arial"/>
          <w:bCs/>
          <w:color w:val="000000"/>
        </w:rPr>
        <w:t>. In this chapter, evidence for a conserved evolutionary mechanism for stomatal patterning will be presented and the implications discussed.</w:t>
      </w:r>
    </w:p>
    <w:p w14:paraId="2582450C" w14:textId="77777777" w:rsidR="006C37DC" w:rsidRPr="006C37DC" w:rsidRDefault="006C37DC" w:rsidP="006C37DC">
      <w:pPr>
        <w:spacing w:after="160" w:line="360" w:lineRule="auto"/>
        <w:rPr>
          <w:rFonts w:ascii="Arial" w:eastAsia="Times New Roman" w:hAnsi="Arial" w:cs="Arial"/>
          <w:bCs/>
          <w:color w:val="000000"/>
          <w:u w:val="single"/>
        </w:rPr>
      </w:pPr>
      <w:r w:rsidRPr="006C37DC">
        <w:rPr>
          <w:rFonts w:ascii="Arial" w:eastAsia="Times New Roman" w:hAnsi="Arial" w:cs="Arial"/>
          <w:bCs/>
          <w:color w:val="000000"/>
          <w:u w:val="single"/>
        </w:rPr>
        <w:t>4.1.1 The stomatal patterning of ancient land plants according to the fossil record</w:t>
      </w:r>
    </w:p>
    <w:p w14:paraId="119FAC56" w14:textId="5B365BB1"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The earliest evidence for stomata on land plant surfaces dates from the late Silurian around 418 million years ago </w:t>
      </w:r>
      <w:r w:rsidRPr="006C37DC">
        <w:rPr>
          <w:rFonts w:ascii="Arial" w:eastAsia="Times New Roman" w:hAnsi="Arial" w:cs="Arial"/>
          <w:bCs/>
          <w:color w:val="000000"/>
        </w:rPr>
        <w:fldChar w:fldCharType="begin">
          <w:fldData xml:space="preserve">PEVuZE5vdGU+PENpdGU+PEF1dGhvcj5FZHdhcmRzPC9BdXRob3I+PFllYXI+MTk5ODwvWWVhcj48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PEVuZE5vdGU+PENpdGU+PEF1dGhvcj5FZHdhcmRzPC9BdXRob3I+PFllYXI+MTk5ODwvWWVhcj48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(Edwards et al., 1992; Edwards et al., 1998)</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Such stomata were sparse and appeared to be bordered by non-specialised epidermal cells and were therefore anomocytic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&lt;EndNote&gt;&lt;Cite&gt;&lt;Author&gt;Edwards&lt;/Author&gt;&lt;Year&gt;1998&lt;/Year&gt;&lt;IDText&gt;Stomata in early land plants: an anatomical and ecophysiological approach&lt;/IDText&gt;&lt;DisplayText&gt;(Edwards et al., 1998)&lt;/DisplayText&gt;&lt;record&gt;&lt;dates&gt;&lt;pub-dates&gt;&lt;date&gt;Mar&lt;/date&gt;&lt;/pub-dates&gt;&lt;year&gt;1998&lt;/year&gt;&lt;/dates&gt;&lt;keywords&gt;&lt;keyword&gt;paleoecophysiology&lt;/keyword&gt;&lt;keyword&gt;Rhynie Chert&lt;/keyword&gt;&lt;keyword&gt;Siluro-Devonian&lt;/keyword&gt;&lt;keyword&gt;stomata&lt;/keyword&gt;&lt;keyword&gt;substomatal&lt;/keyword&gt;&lt;keyword&gt;chamber&lt;/keyword&gt;&lt;keyword&gt;VASCULAR PLANTS&lt;/keyword&gt;&lt;keyword&gt;SPOROPHYTES&lt;/keyword&gt;&lt;keyword&gt;EVAPORATION&lt;/keyword&gt;&lt;keyword&gt;EVOLUTION&lt;/keyword&gt;&lt;keyword&gt;CUTICLES&lt;/keyword&gt;&lt;keyword&gt;CELLS&lt;/keyword&gt;&lt;keyword&gt;CO2&lt;/keyword&gt;&lt;/keywords&gt;&lt;urls&gt;&lt;related-urls&gt;&lt;url&gt;&amp;lt;Go to ISI&amp;gt;://WOS:000072842300002&lt;/url&gt;&lt;/related-urls&gt;&lt;/urls&gt;&lt;isbn&gt;0022-0957&lt;/isbn&gt;&lt;work-type&gt;Article; Proceedings Paper&lt;/work-type&gt;&lt;titles&gt;&lt;title&gt;Stomata in early land plants: an anatomical and ecophysiological approach&lt;/title&gt;&lt;secondary-title&gt;Journal of Experimental Botany&lt;/secondary-title&gt;&lt;alt-title&gt;J. Exp. Bot.&lt;/alt-title&gt;&lt;/titles&gt;&lt;pages&gt;255-278&lt;/pages&gt;&lt;contributors&gt;&lt;authors&gt;&lt;author&gt;Edwards, D.&lt;/author&gt;&lt;author&gt;Kerp, H.&lt;/author&gt;&lt;author&gt;Hass, H.&lt;/author&gt;&lt;/authors&gt;&lt;/contributors&gt;&lt;language&gt;English&lt;/language&gt;&lt;added-date format="utc"&gt;1353956596&lt;/added-date&gt;&lt;ref-type name="Journal Article"&gt;17&lt;/ref-type&gt;&lt;auth-address&gt;Univ Wales, Dept Earth Sci, Cardiff CF1 3YE, S Glam, Wales. Univ Munster, Abt Palaobot, D-48143 Munster, Germany.&amp;#xD;Edwards, D (reprint author), Univ Wales, Dept Earth Sci, POB 914, Cardiff CF1 3YE, S Glam, Wales.&lt;/auth-address&gt;&lt;rec-number&gt;56&lt;/rec-number&gt;&lt;last-updated-date format="utc"&gt;1353956596&lt;/last-updated-date&gt;&lt;accession-num&gt;WOS:000072842300002&lt;/accession-num&gt;&lt;electronic-resource-num&gt;10.1093/jexbot/49.suppl_1.255&lt;/electronic-resource-num&gt;&lt;volume&gt;49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(Edwards et al., 1998)</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It is not possible to infer to what extent such stomata covered early land plant surfaces as only fragmentary coalified remains have been recovered from the earliest specimens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&lt;EndNote&gt;&lt;Cite&gt;&lt;Author&gt;Edwards&lt;/Author&gt;&lt;Year&gt;1998&lt;/Year&gt;&lt;IDText&gt;Stomata in early land plants: an anatomical and ecophysiological approach&lt;/IDText&gt;&lt;DisplayText&gt;(Edwards et al., 1998)&lt;/DisplayText&gt;&lt;record&gt;&lt;dates&gt;&lt;pub-dates&gt;&lt;date&gt;Mar&lt;/date&gt;&lt;/pub-dates&gt;&lt;year&gt;1998&lt;/year&gt;&lt;/dates&gt;&lt;keywords&gt;&lt;keyword&gt;paleoecophysiology&lt;/keyword&gt;&lt;keyword&gt;Rhynie Chert&lt;/keyword&gt;&lt;keyword&gt;Siluro-Devonian&lt;/keyword&gt;&lt;keyword&gt;stomata&lt;/keyword&gt;&lt;keyword&gt;substomatal&lt;/keyword&gt;&lt;keyword&gt;chamber&lt;/keyword&gt;&lt;keyword&gt;VASCULAR PLANTS&lt;/keyword&gt;&lt;keyword&gt;SPOROPHYTES&lt;/keyword&gt;&lt;keyword&gt;EVAPORATION&lt;/keyword&gt;&lt;keyword&gt;EVOLUTION&lt;/keyword&gt;&lt;keyword&gt;CUTICLES&lt;/keyword&gt;&lt;keyword&gt;CELLS&lt;/keyword&gt;&lt;keyword&gt;CO2&lt;/keyword&gt;&lt;/keywords&gt;&lt;urls&gt;&lt;related-urls&gt;&lt;url&gt;&amp;lt;Go to ISI&amp;gt;://WOS:000072842300002&lt;/url&gt;&lt;/related-urls&gt;&lt;/urls&gt;&lt;isbn&gt;0022-0957&lt;/isbn&gt;&lt;work-type&gt;Article; Proceedings Paper&lt;/work-type&gt;&lt;titles&gt;&lt;title&gt;Stomata in early land plants: an anatomical and ecophysiological approach&lt;/title&gt;&lt;secondary-title&gt;Journal of Experimental Botany&lt;/secondary-title&gt;&lt;alt-title&gt;J. Exp. Bot.&lt;/alt-title&gt;&lt;/titles&gt;&lt;pages&gt;255-278&lt;/pages&gt;&lt;contributors&gt;&lt;authors&gt;&lt;author&gt;Edwards, D.&lt;/author&gt;&lt;author&gt;Kerp, H.&lt;/author&gt;&lt;author&gt;Hass, H.&lt;/author&gt;&lt;/authors&gt;&lt;/contributors&gt;&lt;language&gt;English&lt;/language&gt;&lt;added-date format="utc"&gt;1353956596&lt;/added-date&gt;&lt;ref-type name="Journal Article"&gt;17&lt;/ref-type&gt;&lt;auth-address&gt;Univ Wales, Dept Earth Sci, Cardiff CF1 3YE, S Glam, Wales. Univ Munster, Abt Palaobot, D-48143 Munster, Germany.&amp;#xD;Edwards, D (reprint author), Univ Wales, Dept Earth Sci, POB 914, Cardiff CF1 3YE, S Glam, Wales.&lt;/auth-address&gt;&lt;rec-number&gt;56&lt;/rec-number&gt;&lt;last-updated-date format="utc"&gt;1353956596&lt;/last-updated-date&gt;&lt;accession-num&gt;WOS:000072842300002&lt;/accession-num&gt;&lt;electronic-resource-num&gt;10.1093/jexbot/49.suppl_1.255&lt;/electronic-resource-num&gt;&lt;volume&gt;49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(Edwards et al., 1998)</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t>
      </w:r>
      <w:r w:rsidRPr="006C37DC">
        <w:rPr>
          <w:rFonts w:ascii="Arial" w:eastAsia="Times New Roman" w:hAnsi="Arial" w:cs="Arial"/>
          <w:b/>
          <w:bCs/>
          <w:color w:val="000000"/>
        </w:rPr>
        <w:t>Fig. 1</w:t>
      </w:r>
      <w:r w:rsidRPr="006C37DC">
        <w:rPr>
          <w:rFonts w:ascii="Arial" w:eastAsia="Times New Roman" w:hAnsi="Arial" w:cs="Arial"/>
          <w:bCs/>
          <w:color w:val="000000"/>
        </w:rPr>
        <w:t xml:space="preserve">). However, it can be inferred from the samples analysed that stomata were present on the bivalve or four valve sporangia of at least some ancient land plants from this period </w:t>
      </w:r>
      <w:r w:rsidRPr="006C37DC">
        <w:rPr>
          <w:rFonts w:ascii="Arial" w:eastAsia="Times New Roman" w:hAnsi="Arial" w:cs="Arial"/>
          <w:bCs/>
          <w:color w:val="000000"/>
        </w:rPr>
        <w:fldChar w:fldCharType="begin">
          <w:fldData xml:space="preserve">PEVuZE5vdGU+PENpdGU+PEF1dGhvcj5FZHdhcmRzPC9BdXRob3I+PFllYXI+MTk5ODwvWWVhcj48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</w:fldData>
        </w:fldChar>
      </w:r>
      <w:r w:rsidR="001D2DA0">
        <w:rPr>
          <w:rFonts w:ascii="Arial" w:eastAsia="Times New Roman" w:hAnsi="Arial" w:cs="Arial"/>
          <w:bCs/>
          <w:color w:val="000000"/>
        </w:rPr>
        <w:instrText xml:space="preserve"> ADDIN EN.CITE </w:instrText>
      </w:r>
      <w:r w:rsidR="001D2DA0">
        <w:rPr>
          <w:rFonts w:ascii="Arial" w:eastAsia="Times New Roman" w:hAnsi="Arial" w:cs="Arial"/>
          <w:bCs/>
          <w:color w:val="000000"/>
        </w:rPr>
        <w:fldChar w:fldCharType="begin">
          <w:fldData xml:space="preserve">PEVuZE5vdGU+PENpdGU+PEF1dGhvcj5FZHdhcmRzPC9BdXRob3I+PFllYXI+MTk5ODwvWWVhcj48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</w:fldData>
        </w:fldChar>
      </w:r>
      <w:r w:rsidR="001D2DA0">
        <w:rPr>
          <w:rFonts w:ascii="Arial" w:eastAsia="Times New Roman" w:hAnsi="Arial" w:cs="Arial"/>
          <w:bCs/>
          <w:color w:val="000000"/>
        </w:rPr>
        <w:instrText xml:space="preserve"> ADDIN EN.CITE.DATA </w:instrText>
      </w:r>
      <w:r w:rsidR="001D2DA0">
        <w:rPr>
          <w:rFonts w:ascii="Arial" w:eastAsia="Times New Roman" w:hAnsi="Arial" w:cs="Arial"/>
          <w:bCs/>
          <w:color w:val="000000"/>
        </w:rPr>
      </w:r>
      <w:r w:rsidR="001D2DA0">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1D2DA0">
        <w:rPr>
          <w:rFonts w:ascii="Arial" w:eastAsia="Times New Roman" w:hAnsi="Arial" w:cs="Arial"/>
          <w:bCs/>
          <w:noProof/>
          <w:color w:val="000000"/>
        </w:rPr>
        <w:t>(Edwards et al., 1998; Edwards et al., 2014; Edwards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Evidently, whilst the first stomatal-bearing fossils are helpful in allowing inferences to be made relating to stomatal evolution in general, they do not provide information at the genetic level relating to how stomata of the earliest land plants were patterned over the entirety of their surfaces. </w:t>
      </w:r>
    </w:p>
    <w:p w14:paraId="6838982E" w14:textId="77777777" w:rsidR="008653D0"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Cs/>
          <w:noProof/>
          <w:color w:val="000000"/>
          <w:lang w:eastAsia="ja-JP"/>
        </w:rPr>
        <w:lastRenderedPageBreak/>
        <w:drawing>
          <wp:inline distT="0" distB="0" distL="0" distR="0" wp14:anchorId="48CBFF43" wp14:editId="158F14A3">
            <wp:extent cx="5205730" cy="224282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tomata export fig 1.png"/>
                    <pic:cNvPicPr/>
                  </pic:nvPicPr>
                  <pic:blipFill>
                    <a:blip r:embed="rId50">
                      <a:extLst>
                        <a:ext uri="{28A0092B-C50C-407E-A947-70E740481C1C}">
                          <a14:useLocalDpi xmlns:a14="http://schemas.microsoft.com/office/drawing/2010/main" val="0"/>
                        </a:ext>
                      </a:extLst>
                    </a:blip>
                    <a:stretch>
                      <a:fillRect/>
                    </a:stretch>
                  </pic:blipFill>
                  <pic:spPr>
                    <a:xfrm>
                      <a:off x="0" y="0"/>
                      <a:ext cx="5209161" cy="2244298"/>
                    </a:xfrm>
                    <a:prstGeom prst="rect">
                      <a:avLst/>
                    </a:prstGeom>
                  </pic:spPr>
                </pic:pic>
              </a:graphicData>
            </a:graphic>
          </wp:inline>
        </w:drawing>
      </w:r>
    </w:p>
    <w:p w14:paraId="35A323F4" w14:textId="7310D7ED"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
          <w:bCs/>
          <w:color w:val="000000"/>
        </w:rPr>
        <w:t xml:space="preserve">Figure 1. Fragmentary coalified remains of late Silurian stomata dating back over 410mya adapted from Edwards et al. </w:t>
      </w:r>
      <w:r w:rsidRPr="006C37DC">
        <w:rPr>
          <w:rFonts w:ascii="Arial" w:eastAsia="Times New Roman" w:hAnsi="Arial" w:cs="Arial"/>
          <w:b/>
          <w:bCs/>
          <w:color w:val="000000"/>
        </w:rPr>
        <w:fldChar w:fldCharType="begin"/>
      </w:r>
      <w:r w:rsidRPr="006C37DC">
        <w:rPr>
          <w:rFonts w:ascii="Arial" w:eastAsia="Times New Roman" w:hAnsi="Arial" w:cs="Arial"/>
          <w:b/>
          <w:bCs/>
          <w:color w:val="000000"/>
        </w:rPr>
        <w:instrText xml:space="preserve"> ADDIN EN.CITE &lt;EndNote&gt;&lt;Cite ExcludeAuth="1"&gt;&lt;Author&gt;Edwards&lt;/Author&gt;&lt;Year&gt;1998&lt;/Year&gt;&lt;IDText&gt;Stomata in early land plants: an anatomical and ecophysiological approach&lt;/IDText&gt;&lt;DisplayText&gt;(1998)&lt;/DisplayText&gt;&lt;record&gt;&lt;dates&gt;&lt;pub-dates&gt;&lt;date&gt;Mar&lt;/date&gt;&lt;/pub-dates&gt;&lt;year&gt;1998&lt;/year&gt;&lt;/dates&gt;&lt;keywords&gt;&lt;keyword&gt;paleoecophysiology&lt;/keyword&gt;&lt;keyword&gt;Rhynie Chert&lt;/keyword&gt;&lt;keyword&gt;Siluro-Devonian&lt;/keyword&gt;&lt;keyword&gt;stomata&lt;/keyword&gt;&lt;keyword&gt;substomatal&lt;/keyword&gt;&lt;keyword&gt;chamber&lt;/keyword&gt;&lt;keyword&gt;VASCULAR PLANTS&lt;/keyword&gt;&lt;keyword&gt;SPOROPHYTES&lt;/keyword&gt;&lt;keyword&gt;EVAPORATION&lt;/keyword&gt;&lt;keyword&gt;EVOLUTION&lt;/keyword&gt;&lt;keyword&gt;CUTICLES&lt;/keyword&gt;&lt;keyword&gt;CELLS&lt;/keyword&gt;&lt;keyword&gt;CO2&lt;/keyword&gt;&lt;/keywords&gt;&lt;urls&gt;&lt;related-urls&gt;&lt;url&gt;&amp;lt;Go to ISI&amp;gt;://WOS:000072842300002&lt;/url&gt;&lt;/related-urls&gt;&lt;/urls&gt;&lt;isbn&gt;0022-0957&lt;/isbn&gt;&lt;work-type&gt;Article; Proceedings Paper&lt;/work-type&gt;&lt;titles&gt;&lt;title&gt;Stomata in early land plants: an anatomical and ecophysiological approach&lt;/title&gt;&lt;secondary-title&gt;Journal of Experimental Botany&lt;/secondary-title&gt;&lt;alt-title&gt;J. Exp. Bot.&lt;/alt-title&gt;&lt;/titles&gt;&lt;pages&gt;255-278&lt;/pages&gt;&lt;contributors&gt;&lt;authors&gt;&lt;author&gt;Edwards, D.&lt;/author&gt;&lt;author&gt;Kerp, H.&lt;/author&gt;&lt;author&gt;Hass, H.&lt;/author&gt;&lt;/authors&gt;&lt;/contributors&gt;&lt;language&gt;English&lt;/language&gt;&lt;added-date format="utc"&gt;1353956596&lt;/added-date&gt;&lt;ref-type name="Journal Article"&gt;17&lt;/ref-type&gt;&lt;auth-address&gt;Univ Wales, Dept Earth Sci, Cardiff CF1 3YE, S Glam, Wales. Univ Munster, Abt Palaobot, D-48143 Munster, Germany.&amp;#xD;Edwards, D (reprint author), Univ Wales, Dept Earth Sci, POB 914, Cardiff CF1 3YE, S Glam, Wales.&lt;/auth-address&gt;&lt;rec-number&gt;56&lt;/rec-number&gt;&lt;last-updated-date format="utc"&gt;1353956596&lt;/last-updated-date&gt;&lt;accession-num&gt;WOS:000072842300002&lt;/accession-num&gt;&lt;electronic-resource-num&gt;10.1093/jexbot/49.suppl_1.255&lt;/electronic-resource-num&gt;&lt;volume&gt;49&lt;/volume&gt;&lt;/record&gt;&lt;/Cite&gt;&lt;/EndNote&gt;</w:instrText>
      </w:r>
      <w:r w:rsidRPr="006C37DC">
        <w:rPr>
          <w:rFonts w:ascii="Arial" w:eastAsia="Times New Roman" w:hAnsi="Arial" w:cs="Arial"/>
          <w:b/>
          <w:bCs/>
          <w:color w:val="000000"/>
        </w:rPr>
        <w:fldChar w:fldCharType="separate"/>
      </w:r>
      <w:r w:rsidRPr="006C37DC">
        <w:rPr>
          <w:rFonts w:ascii="Arial" w:eastAsia="Times New Roman" w:hAnsi="Arial" w:cs="Arial"/>
          <w:b/>
          <w:bCs/>
          <w:color w:val="000000"/>
        </w:rPr>
        <w:t>(1998)</w:t>
      </w:r>
      <w:r w:rsidRPr="006C37DC">
        <w:rPr>
          <w:rFonts w:ascii="Arial" w:eastAsia="Times New Roman" w:hAnsi="Arial" w:cs="Arial"/>
          <w:bCs/>
          <w:color w:val="000000"/>
        </w:rPr>
        <w:fldChar w:fldCharType="end"/>
      </w:r>
      <w:r w:rsidRPr="006C37DC">
        <w:rPr>
          <w:rFonts w:ascii="Arial" w:eastAsia="Times New Roman" w:hAnsi="Arial" w:cs="Arial"/>
          <w:b/>
          <w:bCs/>
          <w:color w:val="000000"/>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Coalified remains of an epidermal fragment with representative stomata highlighted with black arrows. (</w:t>
      </w:r>
      <w:r w:rsidRPr="006C37DC">
        <w:rPr>
          <w:rFonts w:ascii="Arial" w:eastAsia="Times New Roman" w:hAnsi="Arial" w:cs="Arial"/>
          <w:b/>
          <w:bCs/>
          <w:color w:val="000000"/>
        </w:rPr>
        <w:t>b</w:t>
      </w:r>
      <w:r w:rsidRPr="006C37DC">
        <w:rPr>
          <w:rFonts w:ascii="Arial" w:eastAsia="Times New Roman" w:hAnsi="Arial" w:cs="Arial"/>
          <w:bCs/>
          <w:color w:val="000000"/>
        </w:rPr>
        <w:t>) Close-up taken from (</w:t>
      </w:r>
      <w:r w:rsidRPr="006C37DC">
        <w:rPr>
          <w:rFonts w:ascii="Arial" w:eastAsia="Times New Roman" w:hAnsi="Arial" w:cs="Arial"/>
          <w:b/>
          <w:bCs/>
          <w:color w:val="000000"/>
        </w:rPr>
        <w:t>a</w:t>
      </w:r>
      <w:r w:rsidRPr="006C37DC">
        <w:rPr>
          <w:rFonts w:ascii="Arial" w:eastAsia="Times New Roman" w:hAnsi="Arial" w:cs="Arial"/>
          <w:bCs/>
          <w:color w:val="000000"/>
        </w:rPr>
        <w:t>) on an ancient stomate consisting of two guard cells and a central pore. The scale bar in (</w:t>
      </w:r>
      <w:r w:rsidRPr="006C37DC">
        <w:rPr>
          <w:rFonts w:ascii="Arial" w:eastAsia="Times New Roman" w:hAnsi="Arial" w:cs="Arial"/>
          <w:b/>
          <w:bCs/>
          <w:color w:val="000000"/>
        </w:rPr>
        <w:t>a</w:t>
      </w:r>
      <w:r w:rsidRPr="006C37DC">
        <w:rPr>
          <w:rFonts w:ascii="Arial" w:eastAsia="Times New Roman" w:hAnsi="Arial" w:cs="Arial"/>
          <w:bCs/>
          <w:color w:val="000000"/>
        </w:rPr>
        <w:t>) is 50 µm and for (</w:t>
      </w:r>
      <w:r w:rsidRPr="006C37DC">
        <w:rPr>
          <w:rFonts w:ascii="Arial" w:eastAsia="Times New Roman" w:hAnsi="Arial" w:cs="Arial"/>
          <w:b/>
          <w:bCs/>
          <w:color w:val="000000"/>
        </w:rPr>
        <w:t>b</w:t>
      </w:r>
      <w:r w:rsidRPr="006C37DC">
        <w:rPr>
          <w:rFonts w:ascii="Arial" w:eastAsia="Times New Roman" w:hAnsi="Arial" w:cs="Arial"/>
          <w:bCs/>
          <w:color w:val="000000"/>
        </w:rPr>
        <w:t xml:space="preserve">) is 10µm. </w:t>
      </w:r>
    </w:p>
    <w:p w14:paraId="7A3B3A31" w14:textId="3F085729"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To more thoroughly understand how ancient stomata were patterned over early land plant surfaces observations relating to Devonian fossils provide useful insight. The examples discussed below come from lineages which diverged from the ancestral lineage after modern day bryophytes but prior to extant vascular land plant lineages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&lt;EndNote&gt;&lt;Cite&gt;&lt;Author&gt;Edwards&lt;/Author&gt;&lt;Year&gt;1998&lt;/Year&gt;&lt;IDText&gt;Stomata in early land plants: an anatomical and ecophysiological approach&lt;/IDText&gt;&lt;DisplayText&gt;(Edwards et al., 1998)&lt;/DisplayText&gt;&lt;record&gt;&lt;dates&gt;&lt;pub-dates&gt;&lt;date&gt;Mar&lt;/date&gt;&lt;/pub-dates&gt;&lt;year&gt;1998&lt;/year&gt;&lt;/dates&gt;&lt;keywords&gt;&lt;keyword&gt;paleoecophysiology&lt;/keyword&gt;&lt;keyword&gt;Rhynie Chert&lt;/keyword&gt;&lt;keyword&gt;Siluro-Devonian&lt;/keyword&gt;&lt;keyword&gt;stomata&lt;/keyword&gt;&lt;keyword&gt;substomatal&lt;/keyword&gt;&lt;keyword&gt;chamber&lt;/keyword&gt;&lt;keyword&gt;VASCULAR PLANTS&lt;/keyword&gt;&lt;keyword&gt;SPOROPHYTES&lt;/keyword&gt;&lt;keyword&gt;EVAPORATION&lt;/keyword&gt;&lt;keyword&gt;EVOLUTION&lt;/keyword&gt;&lt;keyword&gt;CUTICLES&lt;/keyword&gt;&lt;keyword&gt;CELLS&lt;/keyword&gt;&lt;keyword&gt;CO2&lt;/keyword&gt;&lt;/keywords&gt;&lt;urls&gt;&lt;related-urls&gt;&lt;url&gt;&amp;lt;Go to ISI&amp;gt;://WOS:000072842300002&lt;/url&gt;&lt;/related-urls&gt;&lt;/urls&gt;&lt;isbn&gt;0022-0957&lt;/isbn&gt;&lt;work-type&gt;Article; Proceedings Paper&lt;/work-type&gt;&lt;titles&gt;&lt;title&gt;Stomata in early land plants: an anatomical and ecophysiological approach&lt;/title&gt;&lt;secondary-title&gt;Journal of Experimental Botany&lt;/secondary-title&gt;&lt;alt-title&gt;J. Exp. Bot.&lt;/alt-title&gt;&lt;/titles&gt;&lt;pages&gt;255-278&lt;/pages&gt;&lt;contributors&gt;&lt;authors&gt;&lt;author&gt;Edwards, D.&lt;/author&gt;&lt;author&gt;Kerp, H.&lt;/author&gt;&lt;author&gt;Hass, H.&lt;/author&gt;&lt;/authors&gt;&lt;/contributors&gt;&lt;language&gt;English&lt;/language&gt;&lt;added-date format="utc"&gt;1353956596&lt;/added-date&gt;&lt;ref-type name="Journal Article"&gt;17&lt;/ref-type&gt;&lt;auth-address&gt;Univ Wales, Dept Earth Sci, Cardiff CF1 3YE, S Glam, Wales. Univ Munster, Abt Palaobot, D-48143 Munster, Germany.&amp;#xD;Edwards, D (reprint author), Univ Wales, Dept Earth Sci, POB 914, Cardiff CF1 3YE, S Glam, Wales.&lt;/auth-address&gt;&lt;rec-number&gt;56&lt;/rec-number&gt;&lt;last-updated-date format="utc"&gt;1353956596&lt;/last-updated-date&gt;&lt;accession-num&gt;WOS:000072842300002&lt;/accession-num&gt;&lt;electronic-resource-num&gt;10.1093/jexbot/49.suppl_1.255&lt;/electronic-resource-num&gt;&lt;volume&gt;49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(Edwards et al., 1998)</w:t>
      </w:r>
      <w:r w:rsidRPr="006C37DC">
        <w:rPr>
          <w:rFonts w:ascii="Arial" w:eastAsia="Times New Roman" w:hAnsi="Arial" w:cs="Arial"/>
          <w:bCs/>
          <w:color w:val="000000"/>
        </w:rPr>
        <w:fldChar w:fldCharType="end"/>
      </w:r>
      <w:r w:rsidRPr="006C37DC">
        <w:rPr>
          <w:rFonts w:ascii="Arial" w:eastAsia="Times New Roman" w:hAnsi="Arial" w:cs="Arial"/>
          <w:bCs/>
          <w:color w:val="000000"/>
        </w:rPr>
        <w:t>. Like with late Silurian samples, the stomata of Devonian fossils were sparsely patterned on the surfaces of the fossils surveyed, perhaps in both instances due to low water and or high atmospheric CO</w:t>
      </w:r>
      <w:r w:rsidRPr="006C37DC">
        <w:rPr>
          <w:rFonts w:ascii="Arial" w:eastAsia="Times New Roman" w:hAnsi="Arial" w:cs="Arial"/>
          <w:bCs/>
          <w:color w:val="000000"/>
          <w:vertAlign w:val="subscript"/>
        </w:rPr>
        <w:t>2</w:t>
      </w:r>
      <w:r w:rsidRPr="006C37DC">
        <w:rPr>
          <w:rFonts w:ascii="Arial" w:eastAsia="Times New Roman" w:hAnsi="Arial" w:cs="Arial"/>
          <w:bCs/>
          <w:color w:val="000000"/>
        </w:rPr>
        <w:t xml:space="preserve"> concentrations during ancient times </w:t>
      </w:r>
      <w:r w:rsidRPr="006C37DC">
        <w:rPr>
          <w:rFonts w:ascii="Arial" w:eastAsia="Times New Roman" w:hAnsi="Arial" w:cs="Arial"/>
          <w:bCs/>
          <w:color w:val="000000"/>
        </w:rPr>
        <w:fldChar w:fldCharType="begin">
          <w:fldData xml:space="preserve">PEVuZE5vdGU+PENpdGU+PEF1dGhvcj5FZHdhcmRzPC9BdXRob3I+PFllYXI+MTk5ODwvWWVhcj48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PEVuZE5vdGU+PENpdGU+PEF1dGhvcj5FZHdhcmRzPC9BdXRob3I+PFllYXI+MTk5ODwvWWVhcj48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(Edwards et al., 1998; Franks and Beerling, 2009; McElwain and Chaloner, 1995)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In most cases, stomata appeared to be free from subsidiary cells and were thus anomocytic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&lt;EndNote&gt;&lt;Cite&gt;&lt;Author&gt;Edwards&lt;/Author&gt;&lt;Year&gt;1998&lt;/Year&gt;&lt;IDText&gt;Stomata in early land plants: an anatomical and ecophysiological approach&lt;/IDText&gt;&lt;DisplayText&gt;(Edwards et al., 1998)&lt;/DisplayText&gt;&lt;record&gt;&lt;dates&gt;&lt;pub-dates&gt;&lt;date&gt;Mar&lt;/date&gt;&lt;/pub-dates&gt;&lt;year&gt;1998&lt;/year&gt;&lt;/dates&gt;&lt;keywords&gt;&lt;keyword&gt;paleoecophysiology&lt;/keyword&gt;&lt;keyword&gt;Rhynie Chert&lt;/keyword&gt;&lt;keyword&gt;Siluro-Devonian&lt;/keyword&gt;&lt;keyword&gt;stomata&lt;/keyword&gt;&lt;keyword&gt;substomatal&lt;/keyword&gt;&lt;keyword&gt;chamber&lt;/keyword&gt;&lt;keyword&gt;VASCULAR PLANTS&lt;/keyword&gt;&lt;keyword&gt;SPOROPHYTES&lt;/keyword&gt;&lt;keyword&gt;EVAPORATION&lt;/keyword&gt;&lt;keyword&gt;EVOLUTION&lt;/keyword&gt;&lt;keyword&gt;CUTICLES&lt;/keyword&gt;&lt;keyword&gt;CELLS&lt;/keyword&gt;&lt;keyword&gt;CO2&lt;/keyword&gt;&lt;/keywords&gt;&lt;urls&gt;&lt;related-urls&gt;&lt;url&gt;&amp;lt;Go to ISI&amp;gt;://WOS:000072842300002&lt;/url&gt;&lt;/related-urls&gt;&lt;/urls&gt;&lt;isbn&gt;0022-0957&lt;/isbn&gt;&lt;work-type&gt;Article; Proceedings Paper&lt;/work-type&gt;&lt;titles&gt;&lt;title&gt;Stomata in early land plants: an anatomical and ecophysiological approach&lt;/title&gt;&lt;secondary-title&gt;Journal of Experimental Botany&lt;/secondary-title&gt;&lt;alt-title&gt;J. Exp. Bot.&lt;/alt-title&gt;&lt;/titles&gt;&lt;pages&gt;255-278&lt;/pages&gt;&lt;contributors&gt;&lt;authors&gt;&lt;author&gt;Edwards, D.&lt;/author&gt;&lt;author&gt;Kerp, H.&lt;/author&gt;&lt;author&gt;Hass, H.&lt;/author&gt;&lt;/authors&gt;&lt;/contributors&gt;&lt;language&gt;English&lt;/language&gt;&lt;added-date format="utc"&gt;1353956596&lt;/added-date&gt;&lt;ref-type name="Journal Article"&gt;17&lt;/ref-type&gt;&lt;auth-address&gt;Univ Wales, Dept Earth Sci, Cardiff CF1 3YE, S Glam, Wales. Univ Munster, Abt Palaobot, D-48143 Munster, Germany.&amp;#xD;Edwards, D (reprint author), Univ Wales, Dept Earth Sci, POB 914, Cardiff CF1 3YE, S Glam, Wales.&lt;/auth-address&gt;&lt;rec-number&gt;56&lt;/rec-number&gt;&lt;last-updated-date format="utc"&gt;1353956596&lt;/last-updated-date&gt;&lt;accession-num&gt;WOS:000072842300002&lt;/accession-num&gt;&lt;electronic-resource-num&gt;10.1093/jexbot/49.suppl_1.255&lt;/electronic-resource-num&gt;&lt;volume&gt;49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(Edwards et al., 1998)</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However, in the extinct vascular land plant lineage </w:t>
      </w:r>
      <w:r w:rsidRPr="006C37DC">
        <w:rPr>
          <w:rFonts w:ascii="Arial" w:eastAsia="Times New Roman" w:hAnsi="Arial" w:cs="Arial"/>
          <w:bCs/>
          <w:i/>
          <w:color w:val="000000"/>
        </w:rPr>
        <w:t>Asteroxylon</w:t>
      </w:r>
      <w:r w:rsidRPr="006C37DC">
        <w:rPr>
          <w:rFonts w:ascii="Arial" w:eastAsia="Times New Roman" w:hAnsi="Arial" w:cs="Arial"/>
          <w:bCs/>
          <w:color w:val="000000"/>
        </w:rPr>
        <w:t xml:space="preserve">, in some instances, supporting subsidiary cells formed adjacently to stomata which suggests that at least some of the stomata from this lineage were paracytic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&lt;EndNote&gt;&lt;Cite&gt;&lt;Author&gt;Edwards&lt;/Author&gt;&lt;Year&gt;1998&lt;/Year&gt;&lt;IDText&gt;Stomata in early land plants: an anatomical and ecophysiological approach&lt;/IDText&gt;&lt;DisplayText&gt;(Edwards et al., 1998)&lt;/DisplayText&gt;&lt;record&gt;&lt;dates&gt;&lt;pub-dates&gt;&lt;date&gt;Mar&lt;/date&gt;&lt;/pub-dates&gt;&lt;year&gt;1998&lt;/year&gt;&lt;/dates&gt;&lt;keywords&gt;&lt;keyword&gt;paleoecophysiology&lt;/keyword&gt;&lt;keyword&gt;Rhynie Chert&lt;/keyword&gt;&lt;keyword&gt;Siluro-Devonian&lt;/keyword&gt;&lt;keyword&gt;stomata&lt;/keyword&gt;&lt;keyword&gt;substomatal&lt;/keyword&gt;&lt;keyword&gt;chamber&lt;/keyword&gt;&lt;keyword&gt;VASCULAR PLANTS&lt;/keyword&gt;&lt;keyword&gt;SPOROPHYTES&lt;/keyword&gt;&lt;keyword&gt;EVAPORATION&lt;/keyword&gt;&lt;keyword&gt;EVOLUTION&lt;/keyword&gt;&lt;keyword&gt;CUTICLES&lt;/keyword&gt;&lt;keyword&gt;CELLS&lt;/keyword&gt;&lt;keyword&gt;CO2&lt;/keyword&gt;&lt;/keywords&gt;&lt;urls&gt;&lt;related-urls&gt;&lt;url&gt;&amp;lt;Go to ISI&amp;gt;://WOS:000072842300002&lt;/url&gt;&lt;/related-urls&gt;&lt;/urls&gt;&lt;isbn&gt;0022-0957&lt;/isbn&gt;&lt;work-type&gt;Article; Proceedings Paper&lt;/work-type&gt;&lt;titles&gt;&lt;title&gt;Stomata in early land plants: an anatomical and ecophysiological approach&lt;/title&gt;&lt;secondary-title&gt;Journal of Experimental Botany&lt;/secondary-title&gt;&lt;alt-title&gt;J. Exp. Bot.&lt;/alt-title&gt;&lt;/titles&gt;&lt;pages&gt;255-278&lt;/pages&gt;&lt;contributors&gt;&lt;authors&gt;&lt;author&gt;Edwards, D.&lt;/author&gt;&lt;author&gt;Kerp, H.&lt;/author&gt;&lt;author&gt;Hass, H.&lt;/author&gt;&lt;/authors&gt;&lt;/contributors&gt;&lt;language&gt;English&lt;/language&gt;&lt;added-date format="utc"&gt;1353956596&lt;/added-date&gt;&lt;ref-type name="Journal Article"&gt;17&lt;/ref-type&gt;&lt;auth-address&gt;Univ Wales, Dept Earth Sci, Cardiff CF1 3YE, S Glam, Wales. Univ Munster, Abt Palaobot, D-48143 Munster, Germany.&amp;#xD;Edwards, D (reprint author), Univ Wales, Dept Earth Sci, POB 914, Cardiff CF1 3YE, S Glam, Wales.&lt;/auth-address&gt;&lt;rec-number&gt;56&lt;/rec-number&gt;&lt;last-updated-date format="utc"&gt;1353956596&lt;/last-updated-date&gt;&lt;accession-num&gt;WOS:000072842300002&lt;/accession-num&gt;&lt;electronic-resource-num&gt;10.1093/jexbot/49.suppl_1.255&lt;/electronic-resource-num&gt;&lt;volume&gt;49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(Edwards et al., 1998)</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Such observations suggest that early in land plant evolution, fine tuning of the position of stomata and their surrounding cells was already occurring. </w:t>
      </w:r>
    </w:p>
    <w:p w14:paraId="4D3467D4" w14:textId="77777777"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Cs/>
          <w:color w:val="000000"/>
        </w:rPr>
        <w:t xml:space="preserve">The patterning of stomata on Devonian fossils further suggests that stomatal formation was not restricted to just one organ, rather stomata were occurring on multiple distinct organs in early land plants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&lt;EndNote&gt;&lt;Cite&gt;&lt;Author&gt;Edwards&lt;/Author&gt;&lt;Year&gt;1998&lt;/Year&gt;&lt;IDText&gt;Stomata in early land plants: an anatomical and ecophysiological approach&lt;/IDText&gt;&lt;DisplayText&gt;(Edwards et al., 1998)&lt;/DisplayText&gt;&lt;record&gt;&lt;dates&gt;&lt;pub-dates&gt;&lt;date&gt;Mar&lt;/date&gt;&lt;/pub-dates&gt;&lt;year&gt;1998&lt;/year&gt;&lt;/dates&gt;&lt;keywords&gt;&lt;keyword&gt;paleoecophysiology&lt;/keyword&gt;&lt;keyword&gt;Rhynie Chert&lt;/keyword&gt;&lt;keyword&gt;Siluro-Devonian&lt;/keyword&gt;&lt;keyword&gt;stomata&lt;/keyword&gt;&lt;keyword&gt;substomatal&lt;/keyword&gt;&lt;keyword&gt;chamber&lt;/keyword&gt;&lt;keyword&gt;VASCULAR PLANTS&lt;/keyword&gt;&lt;keyword&gt;SPOROPHYTES&lt;/keyword&gt;&lt;keyword&gt;EVAPORATION&lt;/keyword&gt;&lt;keyword&gt;EVOLUTION&lt;/keyword&gt;&lt;keyword&gt;CUTICLES&lt;/keyword&gt;&lt;keyword&gt;CELLS&lt;/keyword&gt;&lt;keyword&gt;CO2&lt;/keyword&gt;&lt;/keywords&gt;&lt;urls&gt;&lt;related-urls&gt;&lt;url&gt;&amp;lt;Go to ISI&amp;gt;://WOS:000072842300002&lt;/url&gt;&lt;/related-urls&gt;&lt;/urls&gt;&lt;isbn&gt;0022-0957&lt;/isbn&gt;&lt;work-type&gt;Article; Proceedings Paper&lt;/work-type&gt;&lt;titles&gt;&lt;title&gt;Stomata in early land plants: an anatomical and ecophysiological approach&lt;/title&gt;&lt;secondary-title&gt;Journal of Experimental Botany&lt;/secondary-title&gt;&lt;alt-title&gt;J. Exp. Bot.&lt;/alt-title&gt;&lt;/titles&gt;&lt;pages&gt;255-278&lt;/pages&gt;&lt;contributors&gt;&lt;authors&gt;&lt;author&gt;Edwards, D.&lt;/author&gt;&lt;author&gt;Kerp, H.&lt;/author&gt;&lt;author&gt;Hass, H.&lt;/author&gt;&lt;/authors&gt;&lt;/contributors&gt;&lt;language&gt;English&lt;/language&gt;&lt;added-date format="utc"&gt;1353956596&lt;/added-date&gt;&lt;ref-type name="Journal Article"&gt;17&lt;/ref-type&gt;&lt;auth-address&gt;Univ Wales, Dept Earth Sci, Cardiff CF1 3YE, S Glam, Wales. Univ Munster, Abt Palaobot, D-48143 Munster, Germany.&amp;#xD;Edwards, D (reprint author), Univ Wales, Dept Earth Sci, POB 914, Cardiff CF1 3YE, S Glam, Wales.&lt;/auth-address&gt;&lt;rec-number&gt;56&lt;/rec-number&gt;&lt;last-updated-date format="utc"&gt;1353956596&lt;/last-updated-date&gt;&lt;accession-num&gt;WOS:000072842300002&lt;/accession-num&gt;&lt;electronic-resource-num&gt;10.1093/jexbot/49.suppl_1.255&lt;/electronic-resource-num&gt;&lt;volume&gt;49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(Edwards et al., 1998)</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Furthermore, it appears that certain early land plant lineages produced stomata both on their gametophyte and their sporophyte implying that regulation of stomatal development and patterning was occurring in both life cycles of plants </w:t>
      </w:r>
      <w:r w:rsidRPr="006C37DC">
        <w:rPr>
          <w:rFonts w:ascii="Arial" w:eastAsia="Times New Roman" w:hAnsi="Arial" w:cs="Arial"/>
          <w:bCs/>
          <w:color w:val="000000"/>
        </w:rPr>
        <w:fldChar w:fldCharType="begin">
          <w:fldData xml:space="preserve">PEVuZE5vdGU+PENpdGU+PEF1dGhvcj5LZW5yaWNrPC9BdXRob3I+PFllYXI+MTk5NzwvWWVhcj48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PEVuZE5vdGU+PENpdGU+PEF1dGhvcj5LZW5yaWNrPC9BdXRob3I+PFllYXI+MTk5NzwvWWVhcj48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(Edwards et al., 1998; Kenrick and Crane, 1997)</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For example, in the non-vascular polyosporangiophyte lineages of </w:t>
      </w:r>
      <w:r w:rsidRPr="006C37DC">
        <w:rPr>
          <w:rFonts w:ascii="Arial" w:eastAsia="Times New Roman" w:hAnsi="Arial" w:cs="Arial"/>
          <w:bCs/>
          <w:i/>
          <w:color w:val="000000"/>
        </w:rPr>
        <w:t xml:space="preserve">Horneophyton </w:t>
      </w:r>
      <w:r w:rsidRPr="006C37DC">
        <w:rPr>
          <w:rFonts w:ascii="Arial" w:eastAsia="Times New Roman" w:hAnsi="Arial" w:cs="Arial"/>
          <w:bCs/>
          <w:color w:val="000000"/>
        </w:rPr>
        <w:t xml:space="preserve">and </w:t>
      </w:r>
      <w:r w:rsidRPr="006C37DC">
        <w:rPr>
          <w:rFonts w:ascii="Arial" w:eastAsia="Times New Roman" w:hAnsi="Arial" w:cs="Arial"/>
          <w:bCs/>
          <w:i/>
          <w:color w:val="000000"/>
        </w:rPr>
        <w:t xml:space="preserve">Aglaophyton </w:t>
      </w:r>
      <w:r w:rsidRPr="006C37DC">
        <w:rPr>
          <w:rFonts w:ascii="Arial" w:eastAsia="Times New Roman" w:hAnsi="Arial" w:cs="Arial"/>
          <w:bCs/>
          <w:color w:val="000000"/>
        </w:rPr>
        <w:t>(</w:t>
      </w:r>
      <w:r w:rsidRPr="006C37DC">
        <w:rPr>
          <w:rFonts w:ascii="Arial" w:eastAsia="Times New Roman" w:hAnsi="Arial" w:cs="Arial"/>
          <w:b/>
          <w:bCs/>
          <w:color w:val="000000"/>
        </w:rPr>
        <w:t>Fig. 2a</w:t>
      </w:r>
      <w:r w:rsidRPr="006C37DC">
        <w:rPr>
          <w:rFonts w:ascii="Arial" w:eastAsia="Times New Roman" w:hAnsi="Arial" w:cs="Arial"/>
          <w:bCs/>
          <w:color w:val="000000"/>
        </w:rPr>
        <w:t>-</w:t>
      </w:r>
      <w:r w:rsidRPr="006C37DC">
        <w:rPr>
          <w:rFonts w:ascii="Arial" w:eastAsia="Times New Roman" w:hAnsi="Arial" w:cs="Arial"/>
          <w:b/>
          <w:bCs/>
          <w:color w:val="000000"/>
        </w:rPr>
        <w:t>b</w:t>
      </w:r>
      <w:r w:rsidRPr="006C37DC">
        <w:rPr>
          <w:rFonts w:ascii="Arial" w:eastAsia="Times New Roman" w:hAnsi="Arial" w:cs="Arial"/>
          <w:bCs/>
          <w:color w:val="000000"/>
        </w:rPr>
        <w:t xml:space="preserve">), stomata </w:t>
      </w:r>
      <w:r w:rsidRPr="006C37DC">
        <w:rPr>
          <w:rFonts w:ascii="Arial" w:eastAsia="Times New Roman" w:hAnsi="Arial" w:cs="Arial"/>
          <w:bCs/>
          <w:color w:val="000000"/>
        </w:rPr>
        <w:lastRenderedPageBreak/>
        <w:t xml:space="preserve">formed on the aerial shoot axes of the sporophyte, the sporangia itself and on the gametophyte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&lt;EndNote&gt;&lt;Cite&gt;&lt;Author&gt;Edwards&lt;/Author&gt;&lt;Year&gt;1998&lt;/Year&gt;&lt;IDText&gt;Stomata in early land plants: an anatomical and ecophysiological approach&lt;/IDText&gt;&lt;DisplayText&gt;(Edwards et al., 1998)&lt;/DisplayText&gt;&lt;record&gt;&lt;dates&gt;&lt;pub-dates&gt;&lt;date&gt;Mar&lt;/date&gt;&lt;/pub-dates&gt;&lt;year&gt;1998&lt;/year&gt;&lt;/dates&gt;&lt;keywords&gt;&lt;keyword&gt;paleoecophysiology&lt;/keyword&gt;&lt;keyword&gt;Rhynie Chert&lt;/keyword&gt;&lt;keyword&gt;Siluro-Devonian&lt;/keyword&gt;&lt;keyword&gt;stomata&lt;/keyword&gt;&lt;keyword&gt;substomatal&lt;/keyword&gt;&lt;keyword&gt;chamber&lt;/keyword&gt;&lt;keyword&gt;VASCULAR PLANTS&lt;/keyword&gt;&lt;keyword&gt;SPOROPHYTES&lt;/keyword&gt;&lt;keyword&gt;EVAPORATION&lt;/keyword&gt;&lt;keyword&gt;EVOLUTION&lt;/keyword&gt;&lt;keyword&gt;CUTICLES&lt;/keyword&gt;&lt;keyword&gt;CELLS&lt;/keyword&gt;&lt;keyword&gt;CO2&lt;/keyword&gt;&lt;/keywords&gt;&lt;urls&gt;&lt;related-urls&gt;&lt;url&gt;&amp;lt;Go to ISI&amp;gt;://WOS:000072842300002&lt;/url&gt;&lt;/related-urls&gt;&lt;/urls&gt;&lt;isbn&gt;0022-0957&lt;/isbn&gt;&lt;work-type&gt;Article; Proceedings Paper&lt;/work-type&gt;&lt;titles&gt;&lt;title&gt;Stomata in early land plants: an anatomical and ecophysiological approach&lt;/title&gt;&lt;secondary-title&gt;Journal of Experimental Botany&lt;/secondary-title&gt;&lt;alt-title&gt;J. Exp. Bot.&lt;/alt-title&gt;&lt;/titles&gt;&lt;pages&gt;255-278&lt;/pages&gt;&lt;contributors&gt;&lt;authors&gt;&lt;author&gt;Edwards, D.&lt;/author&gt;&lt;author&gt;Kerp, H.&lt;/author&gt;&lt;author&gt;Hass, H.&lt;/author&gt;&lt;/authors&gt;&lt;/contributors&gt;&lt;language&gt;English&lt;/language&gt;&lt;added-date format="utc"&gt;1353956596&lt;/added-date&gt;&lt;ref-type name="Journal Article"&gt;17&lt;/ref-type&gt;&lt;auth-address&gt;Univ Wales, Dept Earth Sci, Cardiff CF1 3YE, S Glam, Wales. Univ Munster, Abt Palaobot, D-48143 Munster, Germany.&amp;#xD;Edwards, D (reprint author), Univ Wales, Dept Earth Sci, POB 914, Cardiff CF1 3YE, S Glam, Wales.&lt;/auth-address&gt;&lt;rec-number&gt;56&lt;/rec-number&gt;&lt;last-updated-date format="utc"&gt;1353956596&lt;/last-updated-date&gt;&lt;accession-num&gt;WOS:000072842300002&lt;/accession-num&gt;&lt;electronic-resource-num&gt;10.1093/jexbot/49.suppl_1.255&lt;/electronic-resource-num&gt;&lt;volume&gt;49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(Edwards et al., 1998)</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In the case </w:t>
      </w:r>
      <w:r w:rsidRPr="006C37DC">
        <w:rPr>
          <w:rFonts w:ascii="Arial" w:eastAsia="Times New Roman" w:hAnsi="Arial" w:cs="Arial"/>
          <w:bCs/>
          <w:i/>
          <w:color w:val="000000"/>
        </w:rPr>
        <w:t>Aglaophyton,</w:t>
      </w:r>
      <w:r w:rsidRPr="006C37DC">
        <w:rPr>
          <w:rFonts w:ascii="Arial" w:eastAsia="Times New Roman" w:hAnsi="Arial" w:cs="Arial"/>
          <w:bCs/>
          <w:color w:val="000000"/>
        </w:rPr>
        <w:t xml:space="preserve"> in addition it appears that stomata also formed on basal branches of the sporophyte that developed adjacently to the rhizoids at the base of developing plants </w:t>
      </w:r>
      <w:r w:rsidRPr="006C37DC">
        <w:rPr>
          <w:rFonts w:ascii="Arial" w:eastAsia="Times New Roman" w:hAnsi="Arial" w:cs="Arial"/>
          <w:bCs/>
          <w:color w:val="000000"/>
        </w:rPr>
        <w:fldChar w:fldCharType="begin">
          <w:fldData xml:space="preserve">PEVuZE5vdGU+PENpdGU+PEF1dGhvcj5SZW15PC9BdXRob3I+PFllYXI+MTk5NjwvWWVhcj48SURU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==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PEVuZE5vdGU+PENpdGU+PEF1dGhvcj5SZW15PC9BdXRob3I+PFllYXI+MTk5NjwvWWVhcj48SURU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==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(Edwards et al., 1998; Remy and Hass, 1996)</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t>
      </w:r>
    </w:p>
    <w:p w14:paraId="6E801DE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Like with </w:t>
      </w:r>
      <w:r w:rsidRPr="006C37DC">
        <w:rPr>
          <w:rFonts w:ascii="Arial" w:eastAsia="Times New Roman" w:hAnsi="Arial" w:cs="Arial"/>
          <w:bCs/>
          <w:i/>
          <w:color w:val="000000"/>
        </w:rPr>
        <w:t xml:space="preserve">Horneophyton </w:t>
      </w:r>
      <w:r w:rsidRPr="006C37DC">
        <w:rPr>
          <w:rFonts w:ascii="Arial" w:eastAsia="Times New Roman" w:hAnsi="Arial" w:cs="Arial"/>
          <w:bCs/>
          <w:color w:val="000000"/>
        </w:rPr>
        <w:t xml:space="preserve">and </w:t>
      </w:r>
      <w:r w:rsidRPr="006C37DC">
        <w:rPr>
          <w:rFonts w:ascii="Arial" w:eastAsia="Times New Roman" w:hAnsi="Arial" w:cs="Arial"/>
          <w:bCs/>
          <w:i/>
          <w:color w:val="000000"/>
        </w:rPr>
        <w:t xml:space="preserve">Aglaophyton, </w:t>
      </w:r>
      <w:r w:rsidRPr="006C37DC">
        <w:rPr>
          <w:rFonts w:ascii="Arial" w:eastAsia="Times New Roman" w:hAnsi="Arial" w:cs="Arial"/>
          <w:bCs/>
          <w:color w:val="000000"/>
        </w:rPr>
        <w:t xml:space="preserve">in early vascular land plants, such as representatives from the </w:t>
      </w:r>
      <w:r w:rsidRPr="006C37DC">
        <w:rPr>
          <w:rFonts w:ascii="Arial" w:eastAsia="Times New Roman" w:hAnsi="Arial" w:cs="Arial"/>
          <w:bCs/>
          <w:i/>
          <w:color w:val="000000"/>
        </w:rPr>
        <w:t>Nothia</w:t>
      </w:r>
      <w:r w:rsidRPr="006C37DC">
        <w:rPr>
          <w:rFonts w:ascii="Arial" w:eastAsia="Times New Roman" w:hAnsi="Arial" w:cs="Arial"/>
          <w:bCs/>
          <w:color w:val="000000"/>
        </w:rPr>
        <w:t xml:space="preserve"> and </w:t>
      </w:r>
      <w:r w:rsidRPr="006C37DC">
        <w:rPr>
          <w:rFonts w:ascii="Arial" w:eastAsia="Times New Roman" w:hAnsi="Arial" w:cs="Arial"/>
          <w:bCs/>
          <w:i/>
          <w:color w:val="000000"/>
        </w:rPr>
        <w:t xml:space="preserve">Asteroxylon </w:t>
      </w:r>
      <w:r w:rsidRPr="006C37DC">
        <w:rPr>
          <w:rFonts w:ascii="Arial" w:eastAsia="Times New Roman" w:hAnsi="Arial" w:cs="Arial"/>
          <w:bCs/>
          <w:color w:val="000000"/>
        </w:rPr>
        <w:t>lineages (</w:t>
      </w:r>
      <w:r w:rsidRPr="006C37DC">
        <w:rPr>
          <w:rFonts w:ascii="Arial" w:eastAsia="Times New Roman" w:hAnsi="Arial" w:cs="Arial"/>
          <w:b/>
          <w:bCs/>
          <w:color w:val="000000"/>
        </w:rPr>
        <w:t>Fig. 2c</w:t>
      </w:r>
      <w:r w:rsidRPr="006C37DC">
        <w:rPr>
          <w:rFonts w:ascii="Arial" w:eastAsia="Times New Roman" w:hAnsi="Arial" w:cs="Arial"/>
          <w:bCs/>
          <w:color w:val="000000"/>
        </w:rPr>
        <w:t>-</w:t>
      </w:r>
      <w:r w:rsidRPr="006C37DC">
        <w:rPr>
          <w:rFonts w:ascii="Arial" w:eastAsia="Times New Roman" w:hAnsi="Arial" w:cs="Arial"/>
          <w:b/>
          <w:bCs/>
          <w:color w:val="000000"/>
        </w:rPr>
        <w:t>d</w:t>
      </w:r>
      <w:r w:rsidRPr="006C37DC">
        <w:rPr>
          <w:rFonts w:ascii="Arial" w:eastAsia="Times New Roman" w:hAnsi="Arial" w:cs="Arial"/>
          <w:bCs/>
          <w:color w:val="000000"/>
        </w:rPr>
        <w:t xml:space="preserve">), stomata appear to have been positioned at multiple locations on epidermal surfaces. For </w:t>
      </w:r>
      <w:r w:rsidRPr="006C37DC">
        <w:rPr>
          <w:rFonts w:ascii="Arial" w:eastAsia="Times New Roman" w:hAnsi="Arial" w:cs="Arial"/>
          <w:bCs/>
          <w:i/>
          <w:color w:val="000000"/>
        </w:rPr>
        <w:t xml:space="preserve">Asteroxylon </w:t>
      </w:r>
      <w:r w:rsidRPr="006C37DC">
        <w:rPr>
          <w:rFonts w:ascii="Arial" w:eastAsia="Times New Roman" w:hAnsi="Arial" w:cs="Arial"/>
          <w:bCs/>
          <w:color w:val="000000"/>
        </w:rPr>
        <w:t xml:space="preserve">it appears that stomata were absent from sporangia but were present at leaf bases and stems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&lt;EndNote&gt;&lt;Cite&gt;&lt;Author&gt;Edwards&lt;/Author&gt;&lt;Year&gt;1998&lt;/Year&gt;&lt;IDText&gt;Stomata in early land plants: an anatomical and ecophysiological approach&lt;/IDText&gt;&lt;DisplayText&gt;(Edwards et al., 1998)&lt;/DisplayText&gt;&lt;record&gt;&lt;dates&gt;&lt;pub-dates&gt;&lt;date&gt;Mar&lt;/date&gt;&lt;/pub-dates&gt;&lt;year&gt;1998&lt;/year&gt;&lt;/dates&gt;&lt;keywords&gt;&lt;keyword&gt;paleoecophysiology&lt;/keyword&gt;&lt;keyword&gt;Rhynie Chert&lt;/keyword&gt;&lt;keyword&gt;Siluro-Devonian&lt;/keyword&gt;&lt;keyword&gt;stomata&lt;/keyword&gt;&lt;keyword&gt;substomatal&lt;/keyword&gt;&lt;keyword&gt;chamber&lt;/keyword&gt;&lt;keyword&gt;VASCULAR PLANTS&lt;/keyword&gt;&lt;keyword&gt;SPOROPHYTES&lt;/keyword&gt;&lt;keyword&gt;EVAPORATION&lt;/keyword&gt;&lt;keyword&gt;EVOLUTION&lt;/keyword&gt;&lt;keyword&gt;CUTICLES&lt;/keyword&gt;&lt;keyword&gt;CELLS&lt;/keyword&gt;&lt;keyword&gt;CO2&lt;/keyword&gt;&lt;/keywords&gt;&lt;urls&gt;&lt;related-urls&gt;&lt;url&gt;&amp;lt;Go to ISI&amp;gt;://WOS:000072842300002&lt;/url&gt;&lt;/related-urls&gt;&lt;/urls&gt;&lt;isbn&gt;0022-0957&lt;/isbn&gt;&lt;work-type&gt;Article; Proceedings Paper&lt;/work-type&gt;&lt;titles&gt;&lt;title&gt;Stomata in early land plants: an anatomical and ecophysiological approach&lt;/title&gt;&lt;secondary-title&gt;Journal of Experimental Botany&lt;/secondary-title&gt;&lt;alt-title&gt;J. Exp. Bot.&lt;/alt-title&gt;&lt;/titles&gt;&lt;pages&gt;255-278&lt;/pages&gt;&lt;contributors&gt;&lt;authors&gt;&lt;author&gt;Edwards, D.&lt;/author&gt;&lt;author&gt;Kerp, H.&lt;/author&gt;&lt;author&gt;Hass, H.&lt;/author&gt;&lt;/authors&gt;&lt;/contributors&gt;&lt;language&gt;English&lt;/language&gt;&lt;added-date format="utc"&gt;1353956596&lt;/added-date&gt;&lt;ref-type name="Journal Article"&gt;17&lt;/ref-type&gt;&lt;auth-address&gt;Univ Wales, Dept Earth Sci, Cardiff CF1 3YE, S Glam, Wales. Univ Munster, Abt Palaobot, D-48143 Munster, Germany.&amp;#xD;Edwards, D (reprint author), Univ Wales, Dept Earth Sci, POB 914, Cardiff CF1 3YE, S Glam, Wales.&lt;/auth-address&gt;&lt;rec-number&gt;56&lt;/rec-number&gt;&lt;last-updated-date format="utc"&gt;1353956596&lt;/last-updated-date&gt;&lt;accession-num&gt;WOS:000072842300002&lt;/accession-num&gt;&lt;electronic-resource-num&gt;10.1093/jexbot/49.suppl_1.255&lt;/electronic-resource-num&gt;&lt;volume&gt;49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(Edwards et al., 1998)</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Stomata formed in the gametophores of </w:t>
      </w:r>
      <w:r w:rsidRPr="006C37DC">
        <w:rPr>
          <w:rFonts w:ascii="Arial" w:eastAsia="Times New Roman" w:hAnsi="Arial" w:cs="Arial"/>
          <w:bCs/>
          <w:i/>
          <w:color w:val="000000"/>
        </w:rPr>
        <w:t>Nothia</w:t>
      </w:r>
      <w:r w:rsidRPr="006C37DC">
        <w:rPr>
          <w:rFonts w:ascii="Arial" w:eastAsia="Times New Roman" w:hAnsi="Arial" w:cs="Arial"/>
          <w:bCs/>
          <w:color w:val="000000"/>
        </w:rPr>
        <w:t xml:space="preserve"> but for </w:t>
      </w:r>
      <w:r w:rsidRPr="006C37DC">
        <w:rPr>
          <w:rFonts w:ascii="Arial" w:eastAsia="Times New Roman" w:hAnsi="Arial" w:cs="Arial"/>
          <w:bCs/>
          <w:i/>
          <w:color w:val="000000"/>
        </w:rPr>
        <w:t xml:space="preserve">Asteroxylon </w:t>
      </w:r>
      <w:r w:rsidRPr="006C37DC">
        <w:rPr>
          <w:rFonts w:ascii="Arial" w:eastAsia="Times New Roman" w:hAnsi="Arial" w:cs="Arial"/>
          <w:bCs/>
          <w:color w:val="000000"/>
        </w:rPr>
        <w:t xml:space="preserve">it remains unclear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&lt;EndNote&gt;&lt;Cite&gt;&lt;Author&gt;Edwards&lt;/Author&gt;&lt;Year&gt;1998&lt;/Year&gt;&lt;IDText&gt;Stomata in early land plants: an anatomical and ecophysiological approach&lt;/IDText&gt;&lt;DisplayText&gt;(Edwards et al., 1998)&lt;/DisplayText&gt;&lt;record&gt;&lt;dates&gt;&lt;pub-dates&gt;&lt;date&gt;Mar&lt;/date&gt;&lt;/pub-dates&gt;&lt;year&gt;1998&lt;/year&gt;&lt;/dates&gt;&lt;keywords&gt;&lt;keyword&gt;paleoecophysiology&lt;/keyword&gt;&lt;keyword&gt;Rhynie Chert&lt;/keyword&gt;&lt;keyword&gt;Siluro-Devonian&lt;/keyword&gt;&lt;keyword&gt;stomata&lt;/keyword&gt;&lt;keyword&gt;substomatal&lt;/keyword&gt;&lt;keyword&gt;chamber&lt;/keyword&gt;&lt;keyword&gt;VASCULAR PLANTS&lt;/keyword&gt;&lt;keyword&gt;SPOROPHYTES&lt;/keyword&gt;&lt;keyword&gt;EVAPORATION&lt;/keyword&gt;&lt;keyword&gt;EVOLUTION&lt;/keyword&gt;&lt;keyword&gt;CUTICLES&lt;/keyword&gt;&lt;keyword&gt;CELLS&lt;/keyword&gt;&lt;keyword&gt;CO2&lt;/keyword&gt;&lt;/keywords&gt;&lt;urls&gt;&lt;related-urls&gt;&lt;url&gt;&amp;lt;Go to ISI&amp;gt;://WOS:000072842300002&lt;/url&gt;&lt;/related-urls&gt;&lt;/urls&gt;&lt;isbn&gt;0022-0957&lt;/isbn&gt;&lt;work-type&gt;Article; Proceedings Paper&lt;/work-type&gt;&lt;titles&gt;&lt;title&gt;Stomata in early land plants: an anatomical and ecophysiological approach&lt;/title&gt;&lt;secondary-title&gt;Journal of Experimental Botany&lt;/secondary-title&gt;&lt;alt-title&gt;J. Exp. Bot.&lt;/alt-title&gt;&lt;/titles&gt;&lt;pages&gt;255-278&lt;/pages&gt;&lt;contributors&gt;&lt;authors&gt;&lt;author&gt;Edwards, D.&lt;/author&gt;&lt;author&gt;Kerp, H.&lt;/author&gt;&lt;author&gt;Hass, H.&lt;/author&gt;&lt;/authors&gt;&lt;/contributors&gt;&lt;language&gt;English&lt;/language&gt;&lt;added-date format="utc"&gt;1353956596&lt;/added-date&gt;&lt;ref-type name="Journal Article"&gt;17&lt;/ref-type&gt;&lt;auth-address&gt;Univ Wales, Dept Earth Sci, Cardiff CF1 3YE, S Glam, Wales. Univ Munster, Abt Palaobot, D-48143 Munster, Germany.&amp;#xD;Edwards, D (reprint author), Univ Wales, Dept Earth Sci, POB 914, Cardiff CF1 3YE, S Glam, Wales.&lt;/auth-address&gt;&lt;rec-number&gt;56&lt;/rec-number&gt;&lt;last-updated-date format="utc"&gt;1353956596&lt;/last-updated-date&gt;&lt;accession-num&gt;WOS:000072842300002&lt;/accession-num&gt;&lt;electronic-resource-num&gt;10.1093/jexbot/49.suppl_1.255&lt;/electronic-resource-num&gt;&lt;volume&gt;49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(Edwards et al., 1998)</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Taken together these observations suggests that at a relatively early time point in land plant evolution, mechanisms were already occurring that permitted plants to not only regulate stomata and subsidiary cell formation locally but also to regulate patterning differently in different organs and during different life-cycle stages. However, in all extant plants stomata no longer form during the gametophyte life-cycle stage. How such stomata were contributing to early land plants is a currently debated topic </w:t>
      </w:r>
      <w:r w:rsidRPr="006C37DC">
        <w:rPr>
          <w:rFonts w:ascii="Arial" w:eastAsia="Times New Roman" w:hAnsi="Arial" w:cs="Arial"/>
          <w:bCs/>
          <w:color w:val="000000"/>
        </w:rPr>
        <w:fldChar w:fldCharType="begin">
          <w:fldData xml:space="preserve">PEVuZE5vdGU+PENpdGU+PEF1dGhvcj5QcmVzc2VsPC9BdXRob3I+PFllYXI+MjAxNDwvWWVhcj48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PEVuZE5vdGU+PENpdGU+PEF1dGhvcj5QcmVzc2VsPC9BdXRob3I+PFllYXI+MjAxNDwvWWVhcj48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(Haig, 2013; Pressel et al., 2014)</w:t>
      </w:r>
      <w:r w:rsidRPr="006C37DC">
        <w:rPr>
          <w:rFonts w:ascii="Arial" w:eastAsia="Times New Roman" w:hAnsi="Arial" w:cs="Arial"/>
          <w:bCs/>
          <w:color w:val="000000"/>
        </w:rPr>
        <w:fldChar w:fldCharType="end"/>
      </w:r>
      <w:r w:rsidRPr="006C37DC">
        <w:rPr>
          <w:rFonts w:ascii="Arial" w:eastAsia="Times New Roman" w:hAnsi="Arial" w:cs="Arial"/>
          <w:bCs/>
          <w:color w:val="000000"/>
        </w:rPr>
        <w:t>.</w:t>
      </w:r>
    </w:p>
    <w:p w14:paraId="4409459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noProof/>
          <w:color w:val="000000"/>
          <w:lang w:eastAsia="ja-JP"/>
        </w:rPr>
        <w:drawing>
          <wp:inline distT="0" distB="0" distL="0" distR="0" wp14:anchorId="5F4B631E" wp14:editId="4C389B13">
            <wp:extent cx="4362231" cy="4114800"/>
            <wp:effectExtent l="0" t="0" r="635"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ld plant models.png"/>
                    <pic:cNvPicPr/>
                  </pic:nvPicPr>
                  <pic:blipFill>
                    <a:blip r:embed="rId51">
                      <a:extLst>
                        <a:ext uri="{28A0092B-C50C-407E-A947-70E740481C1C}">
                          <a14:useLocalDpi xmlns:a14="http://schemas.microsoft.com/office/drawing/2010/main" val="0"/>
                        </a:ext>
                      </a:extLst>
                    </a:blip>
                    <a:stretch>
                      <a:fillRect/>
                    </a:stretch>
                  </pic:blipFill>
                  <pic:spPr>
                    <a:xfrm>
                      <a:off x="0" y="0"/>
                      <a:ext cx="4362231" cy="4114800"/>
                    </a:xfrm>
                    <a:prstGeom prst="rect">
                      <a:avLst/>
                    </a:prstGeom>
                  </pic:spPr>
                </pic:pic>
              </a:graphicData>
            </a:graphic>
          </wp:inline>
        </w:drawing>
      </w:r>
    </w:p>
    <w:p w14:paraId="32BED3A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
          <w:bCs/>
          <w:color w:val="000000"/>
        </w:rPr>
        <w:t xml:space="preserve">Figure 2. Representative sculpted models of early land plants that had stomata from the Devonian period based on Rhynie Chert fossilised remains.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xml:space="preserve">) </w:t>
      </w:r>
      <w:r w:rsidRPr="006C37DC">
        <w:rPr>
          <w:rFonts w:ascii="Arial" w:eastAsia="Times New Roman" w:hAnsi="Arial" w:cs="Arial"/>
          <w:bCs/>
          <w:i/>
          <w:color w:val="000000"/>
        </w:rPr>
        <w:t>Horneophyton</w:t>
      </w:r>
      <w:r w:rsidRPr="006C37DC">
        <w:rPr>
          <w:rFonts w:ascii="Arial" w:eastAsia="Times New Roman" w:hAnsi="Arial" w:cs="Arial"/>
          <w:bCs/>
          <w:color w:val="000000"/>
        </w:rPr>
        <w:t xml:space="preserve"> </w:t>
      </w:r>
      <w:r w:rsidRPr="006C37DC">
        <w:rPr>
          <w:rFonts w:ascii="Arial" w:eastAsia="Times New Roman" w:hAnsi="Arial" w:cs="Arial"/>
          <w:bCs/>
          <w:color w:val="000000"/>
        </w:rPr>
        <w:lastRenderedPageBreak/>
        <w:t>lineage non-vascular land plant with terminally branching white to pink coloured sporangia. (</w:t>
      </w:r>
      <w:r w:rsidRPr="006C37DC">
        <w:rPr>
          <w:rFonts w:ascii="Arial" w:eastAsia="Times New Roman" w:hAnsi="Arial" w:cs="Arial"/>
          <w:b/>
          <w:bCs/>
          <w:color w:val="000000"/>
        </w:rPr>
        <w:t>b</w:t>
      </w:r>
      <w:r w:rsidRPr="006C37DC">
        <w:rPr>
          <w:rFonts w:ascii="Arial" w:eastAsia="Times New Roman" w:hAnsi="Arial" w:cs="Arial"/>
          <w:bCs/>
          <w:color w:val="000000"/>
        </w:rPr>
        <w:t xml:space="preserve">) </w:t>
      </w:r>
      <w:r w:rsidRPr="006C37DC">
        <w:rPr>
          <w:rFonts w:ascii="Arial" w:eastAsia="Times New Roman" w:hAnsi="Arial" w:cs="Arial"/>
          <w:bCs/>
          <w:i/>
          <w:color w:val="000000"/>
        </w:rPr>
        <w:t xml:space="preserve">Aglaophyton </w:t>
      </w:r>
      <w:r w:rsidRPr="006C37DC">
        <w:rPr>
          <w:rFonts w:ascii="Arial" w:eastAsia="Times New Roman" w:hAnsi="Arial" w:cs="Arial"/>
          <w:bCs/>
          <w:color w:val="000000"/>
        </w:rPr>
        <w:t>lineage non-vascular land plant with green to orange sporangia. Note the branching that runs parallel with the ground that also had stomata (</w:t>
      </w:r>
      <w:r w:rsidRPr="006C37DC">
        <w:rPr>
          <w:rFonts w:ascii="Arial" w:eastAsia="Times New Roman" w:hAnsi="Arial" w:cs="Arial"/>
          <w:b/>
          <w:bCs/>
          <w:color w:val="000000"/>
        </w:rPr>
        <w:t>c</w:t>
      </w:r>
      <w:r w:rsidRPr="006C37DC">
        <w:rPr>
          <w:rFonts w:ascii="Arial" w:eastAsia="Times New Roman" w:hAnsi="Arial" w:cs="Arial"/>
          <w:bCs/>
          <w:color w:val="000000"/>
        </w:rPr>
        <w:t xml:space="preserve">) </w:t>
      </w:r>
      <w:r w:rsidRPr="006C37DC">
        <w:rPr>
          <w:rFonts w:ascii="Arial" w:eastAsia="Times New Roman" w:hAnsi="Arial" w:cs="Arial"/>
          <w:bCs/>
          <w:i/>
          <w:color w:val="000000"/>
        </w:rPr>
        <w:t xml:space="preserve">Nothia </w:t>
      </w:r>
      <w:r w:rsidRPr="006C37DC">
        <w:rPr>
          <w:rFonts w:ascii="Arial" w:eastAsia="Times New Roman" w:hAnsi="Arial" w:cs="Arial"/>
          <w:bCs/>
          <w:color w:val="000000"/>
        </w:rPr>
        <w:t>lineage vascular land plant with branching aerial axes and yellow to orange sporangia. (</w:t>
      </w:r>
      <w:r w:rsidRPr="006C37DC">
        <w:rPr>
          <w:rFonts w:ascii="Arial" w:eastAsia="Times New Roman" w:hAnsi="Arial" w:cs="Arial"/>
          <w:b/>
          <w:bCs/>
          <w:color w:val="000000"/>
        </w:rPr>
        <w:t>d</w:t>
      </w:r>
      <w:r w:rsidRPr="006C37DC">
        <w:rPr>
          <w:rFonts w:ascii="Arial" w:eastAsia="Times New Roman" w:hAnsi="Arial" w:cs="Arial"/>
          <w:bCs/>
          <w:color w:val="000000"/>
        </w:rPr>
        <w:t xml:space="preserve">) </w:t>
      </w:r>
      <w:r w:rsidRPr="006C37DC">
        <w:rPr>
          <w:rFonts w:ascii="Arial" w:eastAsia="Times New Roman" w:hAnsi="Arial" w:cs="Arial"/>
          <w:bCs/>
          <w:i/>
          <w:color w:val="000000"/>
        </w:rPr>
        <w:t xml:space="preserve">Asteroxylon </w:t>
      </w:r>
      <w:r w:rsidRPr="006C37DC">
        <w:rPr>
          <w:rFonts w:ascii="Arial" w:eastAsia="Times New Roman" w:hAnsi="Arial" w:cs="Arial"/>
          <w:bCs/>
          <w:color w:val="000000"/>
        </w:rPr>
        <w:t>lineage vascular land plant with branching from the main axes and small protruding leaflets and apically positioned orange to yellow sporangia. Plants were thought to grow to heights of between 15cm (</w:t>
      </w:r>
      <w:r w:rsidRPr="006C37DC">
        <w:rPr>
          <w:rFonts w:ascii="Arial" w:eastAsia="Times New Roman" w:hAnsi="Arial" w:cs="Arial"/>
          <w:bCs/>
          <w:i/>
          <w:color w:val="000000"/>
        </w:rPr>
        <w:t>Aglaophyton</w:t>
      </w:r>
      <w:r w:rsidRPr="006C37DC">
        <w:rPr>
          <w:rFonts w:ascii="Arial" w:eastAsia="Times New Roman" w:hAnsi="Arial" w:cs="Arial"/>
          <w:bCs/>
          <w:color w:val="000000"/>
        </w:rPr>
        <w:t xml:space="preserve"> and </w:t>
      </w:r>
      <w:r w:rsidRPr="006C37DC">
        <w:rPr>
          <w:rFonts w:ascii="Arial" w:eastAsia="Times New Roman" w:hAnsi="Arial" w:cs="Arial"/>
          <w:bCs/>
          <w:i/>
          <w:color w:val="000000"/>
        </w:rPr>
        <w:t>Nothia</w:t>
      </w:r>
      <w:r w:rsidRPr="006C37DC">
        <w:rPr>
          <w:rFonts w:ascii="Arial" w:eastAsia="Times New Roman" w:hAnsi="Arial" w:cs="Arial"/>
          <w:bCs/>
          <w:color w:val="000000"/>
        </w:rPr>
        <w:t xml:space="preserve">) to 40cm (Asteroxylon). Images were obtained from the University of Aberdeen at </w:t>
      </w:r>
      <w:hyperlink r:id="rId52" w:history="1">
        <w:r w:rsidRPr="006C37DC">
          <w:rPr>
            <w:rStyle w:val="Hyperlink"/>
            <w:rFonts w:ascii="Arial" w:eastAsia="Times New Roman" w:hAnsi="Arial" w:cs="Arial"/>
            <w:bCs/>
          </w:rPr>
          <w:t>https://www.abdn.ac.uk/rhynie on the 02/03/2016</w:t>
        </w:r>
      </w:hyperlink>
      <w:r w:rsidRPr="006C37DC">
        <w:rPr>
          <w:rFonts w:ascii="Arial" w:eastAsia="Times New Roman" w:hAnsi="Arial" w:cs="Arial"/>
          <w:bCs/>
          <w:color w:val="000000"/>
        </w:rPr>
        <w:t>.</w:t>
      </w:r>
    </w:p>
    <w:p w14:paraId="50A29415" w14:textId="470C4606" w:rsidR="006C37DC" w:rsidRPr="006C37DC" w:rsidRDefault="006C37DC" w:rsidP="006C37DC">
      <w:pPr>
        <w:spacing w:after="160" w:line="360" w:lineRule="auto"/>
        <w:rPr>
          <w:rFonts w:ascii="Arial" w:eastAsia="Times New Roman" w:hAnsi="Arial" w:cs="Arial"/>
          <w:bCs/>
          <w:i/>
          <w:color w:val="000000"/>
          <w:u w:val="single"/>
        </w:rPr>
      </w:pPr>
      <w:r w:rsidRPr="006C37DC">
        <w:rPr>
          <w:rFonts w:ascii="Arial" w:eastAsia="Times New Roman" w:hAnsi="Arial" w:cs="Arial"/>
          <w:bCs/>
          <w:color w:val="000000"/>
          <w:u w:val="single"/>
        </w:rPr>
        <w:t xml:space="preserve">4.1.2 Stomatal patterning in the model organism </w:t>
      </w:r>
      <w:r w:rsidRPr="006C37DC">
        <w:rPr>
          <w:rFonts w:ascii="Arial" w:eastAsia="Times New Roman" w:hAnsi="Arial" w:cs="Arial"/>
          <w:bCs/>
          <w:i/>
          <w:color w:val="000000"/>
          <w:u w:val="single"/>
        </w:rPr>
        <w:t>Arabidopsis thaliana</w:t>
      </w:r>
    </w:p>
    <w:p w14:paraId="0817C6C5" w14:textId="78344B0E"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As this chapter is principally concerned with how stomatal patterning (rather than</w:t>
      </w:r>
      <w:r w:rsidR="00824D02">
        <w:rPr>
          <w:rFonts w:ascii="Arial" w:eastAsia="Times New Roman" w:hAnsi="Arial" w:cs="Arial"/>
          <w:bCs/>
          <w:color w:val="000000"/>
        </w:rPr>
        <w:t xml:space="preserve"> stomatal </w:t>
      </w:r>
      <w:r w:rsidRPr="006C37DC">
        <w:rPr>
          <w:rFonts w:ascii="Arial" w:eastAsia="Times New Roman" w:hAnsi="Arial" w:cs="Arial"/>
          <w:bCs/>
          <w:color w:val="000000"/>
        </w:rPr>
        <w:t xml:space="preserve">development) ensues, intercellular communications between developing stomatal and non-stomatal cells will be the focus of this introduction. For detail relating to other aspects of stomatal development such as the nuclear acting transcription factors that partake in stomatal development see also Chapter 3. </w:t>
      </w:r>
    </w:p>
    <w:p w14:paraId="13311E94" w14:textId="1EBD737B"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Over the past 20 years or so it has been shown in Arabidopsis that plants use many genes in order to correctly instigate the correct patterning of stomata on their surfaces </w:t>
      </w:r>
      <w:r w:rsidRPr="006C37DC">
        <w:rPr>
          <w:rFonts w:ascii="Arial" w:eastAsia="Times New Roman" w:hAnsi="Arial" w:cs="Arial"/>
          <w:bCs/>
          <w:color w:val="000000"/>
        </w:rPr>
        <w:fldChar w:fldCharType="begin">
          <w:fldData xml:space="preserve">PEVuZE5vdGU+PENpdGU+PEF1dGhvcj5ZYW5nPC9BdXRob3I+PFllYXI+MTk5NTwvWWVhcj48SURU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PEVuZE5vdGU+PENpdGU+PEF1dGhvcj5ZYW5nPC9BdXRob3I+PFllYXI+MTk5NTwvWWVhcj48SURU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(Hara et al., 2007; Hunt and Gray, 2009; Matos et al., 2014; Pillitteri and Torii, 2012; Yang and Sack, 1995)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In broad terms, it has been discovered that the proteins encoded function by partaking in signalling cascades that allow intercellular cross-talk to occur between stomatal lineage cells and neighbouring non-stomatal cells </w: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IDIwMDc7IEh1bnQgZXQgYWwuLCAyMDEwOyBOYWRlYXUgYW5kIFNhY2ssIDIwMDJhOyBSeWNoZWwg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</w:fldData>
        </w:fldChar>
      </w:r>
      <w:r w:rsidR="00417B1E">
        <w:rPr>
          <w:rFonts w:ascii="Arial" w:eastAsia="Times New Roman" w:hAnsi="Arial" w:cs="Arial"/>
          <w:bCs/>
          <w:color w:val="000000"/>
        </w:rPr>
        <w:instrText xml:space="preserve"> ADDIN EN.CITE </w:instrText>
      </w:r>
      <w:r w:rsidR="00417B1E">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IDIwMDc7IEh1bnQgZXQgYWwuLCAyMDEwOyBOYWRlYXUgYW5kIFNhY2ssIDIwMDJhOyBSeWNoZWwg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</w:fldData>
        </w:fldChar>
      </w:r>
      <w:r w:rsidR="00417B1E">
        <w:rPr>
          <w:rFonts w:ascii="Arial" w:eastAsia="Times New Roman" w:hAnsi="Arial" w:cs="Arial"/>
          <w:bCs/>
          <w:color w:val="000000"/>
        </w:rPr>
        <w:instrText xml:space="preserve"> ADDIN EN.CITE.DATA </w:instrText>
      </w:r>
      <w:r w:rsidR="00417B1E">
        <w:rPr>
          <w:rFonts w:ascii="Arial" w:eastAsia="Times New Roman" w:hAnsi="Arial" w:cs="Arial"/>
          <w:bCs/>
          <w:color w:val="000000"/>
        </w:rPr>
      </w:r>
      <w:r w:rsidR="00417B1E">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417B1E">
        <w:rPr>
          <w:rFonts w:ascii="Arial" w:eastAsia="Times New Roman" w:hAnsi="Arial" w:cs="Arial"/>
          <w:bCs/>
          <w:noProof/>
          <w:color w:val="000000"/>
        </w:rPr>
        <w:t>(Hara et al., 2007; Hunt et al., 2010; Nadeau and Sack, 2002a; Rychel et al., 2010; Sugano et al., 2010)</w:t>
      </w:r>
      <w:r w:rsidRPr="006C37DC">
        <w:rPr>
          <w:rFonts w:ascii="Arial" w:eastAsia="Times New Roman" w:hAnsi="Arial" w:cs="Arial"/>
          <w:bCs/>
          <w:color w:val="000000"/>
        </w:rPr>
        <w:fldChar w:fldCharType="end"/>
      </w:r>
      <w:r w:rsidRPr="006C37DC">
        <w:rPr>
          <w:rFonts w:ascii="Arial" w:eastAsia="Times New Roman" w:hAnsi="Arial" w:cs="Arial"/>
          <w:bCs/>
          <w:color w:val="000000"/>
        </w:rPr>
        <w:t>. By permitting such interactions to occur these pathways enable intricate stomatal patterns to be formed on plant surfaces.</w:t>
      </w:r>
    </w:p>
    <w:p w14:paraId="5E6ED148" w14:textId="77777777" w:rsidR="006C37DC" w:rsidRPr="006C37DC" w:rsidRDefault="006C37DC" w:rsidP="006C37DC">
      <w:pPr>
        <w:spacing w:after="160" w:line="360" w:lineRule="auto"/>
        <w:rPr>
          <w:rFonts w:ascii="Arial" w:eastAsia="Times New Roman" w:hAnsi="Arial" w:cs="Arial"/>
          <w:bCs/>
          <w:i/>
          <w:color w:val="000000"/>
          <w:u w:val="single"/>
        </w:rPr>
      </w:pPr>
      <w:r w:rsidRPr="006C37DC">
        <w:rPr>
          <w:rFonts w:ascii="Arial" w:eastAsia="Times New Roman" w:hAnsi="Arial" w:cs="Arial"/>
          <w:bCs/>
          <w:color w:val="000000"/>
          <w:u w:val="single"/>
        </w:rPr>
        <w:t>4.1.3 EPIDERMAL PATTERNING FACTOR (EPF) and EPF-like (EPFL) signalling peptides and signal transduction during stomatal development</w:t>
      </w:r>
    </w:p>
    <w:p w14:paraId="5C5F95DD" w14:textId="4161E9E6"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Plants use a multitude of signals to communicate between neighbouring cells as they grow. In Arabidopsis, during stomatal development such communications often occur via members of the EPF and EPF-like family (jointly EPF/Ls) of signalling peptides </w: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IG9uZS1jZWxsLXNwYWNpbmcgcnVsZTwvSURUZXh0PjxEaXNwbGF5VGV4dD4oQWJyYXNoIGV0IGFs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IG9uZS1jZWxsLXNwYWNpbmcgcnVsZTwvSURUZXh0PjxEaXNwbGF5VGV4dD4oQWJyYXNoIGV0IGFs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(Abrash et al., 2011; Hara et al., 2007; Hara et al., 2009; Hunt et al., 2010; Hunt and Gray, 2009; Simmons and Bergmann, 2016)</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By binding to membrane receptors and proteins, EPF/Ls have been shown </w:t>
      </w:r>
      <w:r w:rsidR="003C7D86">
        <w:rPr>
          <w:rFonts w:ascii="Arial" w:eastAsia="Times New Roman" w:hAnsi="Arial" w:cs="Arial"/>
          <w:bCs/>
          <w:color w:val="000000"/>
        </w:rPr>
        <w:t xml:space="preserve">to </w:t>
      </w:r>
      <w:r w:rsidRPr="006C37DC">
        <w:rPr>
          <w:rFonts w:ascii="Arial" w:eastAsia="Times New Roman" w:hAnsi="Arial" w:cs="Arial"/>
          <w:bCs/>
          <w:color w:val="000000"/>
        </w:rPr>
        <w:t>partake in signalling transduction cascades that aid in governing where and when stomata develop (</w:t>
      </w:r>
      <w:r w:rsidRPr="006C37DC">
        <w:rPr>
          <w:rFonts w:ascii="Arial" w:eastAsia="Times New Roman" w:hAnsi="Arial" w:cs="Arial"/>
          <w:b/>
          <w:bCs/>
          <w:color w:val="000000"/>
        </w:rPr>
        <w:t>Fig. 3</w:t>
      </w:r>
      <w:r w:rsidRPr="006C37DC">
        <w:rPr>
          <w:rFonts w:ascii="Arial" w:eastAsia="Times New Roman" w:hAnsi="Arial" w:cs="Arial"/>
          <w:bCs/>
          <w:color w:val="000000"/>
        </w:rPr>
        <w:t>)</w:t>
      </w:r>
      <w:r w:rsidR="00824D02">
        <w:rPr>
          <w:rFonts w:ascii="Arial" w:eastAsia="Times New Roman" w:hAnsi="Arial" w:cs="Arial"/>
          <w:bCs/>
          <w:color w:val="000000"/>
        </w:rPr>
        <w:t xml:space="preserve"> </w:t>
      </w:r>
      <w:r w:rsidR="00824D02">
        <w:rPr>
          <w:rFonts w:ascii="Arial" w:eastAsia="Times New Roman" w:hAnsi="Arial" w:cs="Arial"/>
          <w:bCs/>
          <w:color w:val="000000"/>
        </w:rPr>
        <w:fldChar w:fldCharType="begin">
          <w:fldData xml:space="preserve">PEVuZE5vdGU+PENpdGU+PEF1dGhvcj5MZWU8L0F1dGhvcj48WWVhcj4yMDE1PC9ZZWFyPjxJRFRl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</w:fldData>
        </w:fldChar>
      </w:r>
      <w:r w:rsidR="00824D02">
        <w:rPr>
          <w:rFonts w:ascii="Arial" w:eastAsia="Times New Roman" w:hAnsi="Arial" w:cs="Arial"/>
          <w:bCs/>
          <w:color w:val="000000"/>
        </w:rPr>
        <w:instrText xml:space="preserve"> ADDIN EN.CITE </w:instrText>
      </w:r>
      <w:r w:rsidR="00824D02">
        <w:rPr>
          <w:rFonts w:ascii="Arial" w:eastAsia="Times New Roman" w:hAnsi="Arial" w:cs="Arial"/>
          <w:bCs/>
          <w:color w:val="000000"/>
        </w:rPr>
        <w:fldChar w:fldCharType="begin">
          <w:fldData xml:space="preserve">PEVuZE5vdGU+PENpdGU+PEF1dGhvcj5MZWU8L0F1dGhvcj48WWVhcj4yMDE1PC9ZZWFyPjxJRFRl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</w:fldData>
        </w:fldChar>
      </w:r>
      <w:r w:rsidR="00824D02">
        <w:rPr>
          <w:rFonts w:ascii="Arial" w:eastAsia="Times New Roman" w:hAnsi="Arial" w:cs="Arial"/>
          <w:bCs/>
          <w:color w:val="000000"/>
        </w:rPr>
        <w:instrText xml:space="preserve"> ADDIN EN.CITE.DATA </w:instrText>
      </w:r>
      <w:r w:rsidR="00824D02">
        <w:rPr>
          <w:rFonts w:ascii="Arial" w:eastAsia="Times New Roman" w:hAnsi="Arial" w:cs="Arial"/>
          <w:bCs/>
          <w:color w:val="000000"/>
        </w:rPr>
      </w:r>
      <w:r w:rsidR="00824D02">
        <w:rPr>
          <w:rFonts w:ascii="Arial" w:eastAsia="Times New Roman" w:hAnsi="Arial" w:cs="Arial"/>
          <w:bCs/>
          <w:color w:val="000000"/>
        </w:rPr>
        <w:fldChar w:fldCharType="end"/>
      </w:r>
      <w:r w:rsidR="00824D02">
        <w:rPr>
          <w:rFonts w:ascii="Arial" w:eastAsia="Times New Roman" w:hAnsi="Arial" w:cs="Arial"/>
          <w:bCs/>
          <w:color w:val="000000"/>
        </w:rPr>
      </w:r>
      <w:r w:rsidR="00824D02">
        <w:rPr>
          <w:rFonts w:ascii="Arial" w:eastAsia="Times New Roman" w:hAnsi="Arial" w:cs="Arial"/>
          <w:bCs/>
          <w:color w:val="000000"/>
        </w:rPr>
        <w:fldChar w:fldCharType="separate"/>
      </w:r>
      <w:r w:rsidR="00824D02">
        <w:rPr>
          <w:rFonts w:ascii="Arial" w:eastAsia="Times New Roman" w:hAnsi="Arial" w:cs="Arial"/>
          <w:bCs/>
          <w:noProof/>
          <w:color w:val="000000"/>
        </w:rPr>
        <w:t>(Lee et al., 2015b)</w:t>
      </w:r>
      <w:r w:rsidR="00824D02">
        <w:rPr>
          <w:rFonts w:ascii="Arial" w:eastAsia="Times New Roman" w:hAnsi="Arial" w:cs="Arial"/>
          <w:bCs/>
          <w:color w:val="000000"/>
        </w:rPr>
        <w:fldChar w:fldCharType="end"/>
      </w:r>
      <w:r w:rsidRPr="006C37DC">
        <w:rPr>
          <w:rFonts w:ascii="Arial" w:eastAsia="Times New Roman" w:hAnsi="Arial" w:cs="Arial"/>
          <w:bCs/>
          <w:color w:val="000000"/>
        </w:rPr>
        <w:t xml:space="preserve">. Within this family there are 11 signalling peptides including EPF1 and EPF2 and 9 other EPFLs (EPFL1-9), which range in length from 96 to 230 amino acid residues </w:t>
      </w:r>
      <w:r w:rsidRPr="006C37DC">
        <w:rPr>
          <w:rFonts w:ascii="Arial" w:eastAsia="Times New Roman" w:hAnsi="Arial" w:cs="Arial"/>
          <w:bCs/>
          <w:color w:val="000000"/>
        </w:rPr>
        <w:fldChar w:fldCharType="begin">
          <w:fldData xml:space="preserve">PEVuZE5vdGU+PENpdGU+PEF1dGhvcj5PaGtpPC9BdXRob3I+PFllYXI+MjAxMTwvWWVhcj48SURU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PEVuZE5vdGU+PENpdGU+PEF1dGhvcj5PaGtpPC9BdXRob3I+PFllYXI+MjAxMTwvWWVhcj48SURU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(Goodstein et al., 2012; Ohki et al., 2011)</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At the N-terminal region of such peptides there are normally a number of hydrophobic amino acid </w:t>
      </w:r>
      <w:r w:rsidRPr="006C37DC">
        <w:rPr>
          <w:rFonts w:ascii="Arial" w:eastAsia="Times New Roman" w:hAnsi="Arial" w:cs="Arial"/>
          <w:bCs/>
          <w:color w:val="000000"/>
        </w:rPr>
        <w:lastRenderedPageBreak/>
        <w:t>residues, for which leucine is particularly prevalent which are thought to be important in protein secretion</w:t>
      </w:r>
      <w:r w:rsidR="003C7D86">
        <w:rPr>
          <w:rFonts w:ascii="Arial" w:eastAsia="Times New Roman" w:hAnsi="Arial" w:cs="Arial"/>
          <w:bCs/>
          <w:color w:val="000000"/>
        </w:rPr>
        <w:t xml:space="preserve"> from inside the cell</w:t>
      </w:r>
      <w:r w:rsidRPr="006C37DC">
        <w:rPr>
          <w:rFonts w:ascii="Arial" w:eastAsia="Times New Roman" w:hAnsi="Arial" w:cs="Arial"/>
          <w:bCs/>
          <w:color w:val="000000"/>
        </w:rPr>
        <w:t xml:space="preserve"> </w: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IG9uZS1jZWxsLXNwYWNpbmcgcnVsZTwvSURUZXh0PjxEaXNwbGF5VGV4dD4oQWJyYXNoIGV0IGFs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IG9uZS1jZWxsLXNwYWNpbmcgcnVsZTwvSURUZXh0PjxEaXNwbGF5VGV4dD4oQWJyYXNoIGV0IGFs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(Abrash et al., 2011; Hara et al., 2007; Hunt and Gray, 2009; Sugano et al., 2010)</w:t>
      </w:r>
      <w:r w:rsidRPr="006C37DC">
        <w:rPr>
          <w:rFonts w:ascii="Arial" w:eastAsia="Times New Roman" w:hAnsi="Arial" w:cs="Arial"/>
          <w:bCs/>
          <w:color w:val="000000"/>
        </w:rPr>
        <w:fldChar w:fldCharType="end"/>
      </w:r>
      <w:r w:rsidRPr="006C37DC">
        <w:rPr>
          <w:rFonts w:ascii="Arial" w:eastAsia="Times New Roman" w:hAnsi="Arial" w:cs="Arial"/>
          <w:bCs/>
          <w:color w:val="000000"/>
        </w:rPr>
        <w:t>. At the C-terminus of mature cleaved peptides there are 6 to 8 cysteine residues in EPF/Ls which are important in permitting the formation of disulphide bridges which give EPF/Ls there tertiary structure (</w:t>
      </w:r>
      <w:r w:rsidRPr="006C37DC">
        <w:rPr>
          <w:rFonts w:ascii="Arial" w:eastAsia="Times New Roman" w:hAnsi="Arial" w:cs="Arial"/>
          <w:b/>
          <w:bCs/>
          <w:color w:val="000000"/>
        </w:rPr>
        <w:t>Fig. 4a</w:t>
      </w:r>
      <w:r w:rsidRPr="006C37DC">
        <w:rPr>
          <w:rFonts w:ascii="Arial" w:eastAsia="Times New Roman" w:hAnsi="Arial" w:cs="Arial"/>
          <w:bCs/>
          <w:color w:val="000000"/>
        </w:rPr>
        <w:t xml:space="preserve">) </w:t>
      </w:r>
      <w:r w:rsidRPr="006C37DC">
        <w:rPr>
          <w:rFonts w:ascii="Arial" w:eastAsia="Times New Roman" w:hAnsi="Arial" w:cs="Arial"/>
          <w:bCs/>
          <w:color w:val="000000"/>
        </w:rPr>
        <w:fldChar w:fldCharType="begin">
          <w:fldData xml:space="preserve">PEVuZE5vdGU+PENpdGU+PEF1dGhvcj5PaGtpPC9BdXRob3I+PFllYXI+MjAxMTwvWWVhcj48SURU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PEVuZE5vdGU+PENpdGU+PEF1dGhvcj5PaGtpPC9BdXRob3I+PFllYXI+MjAxMTwvWWVhcj48SURU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(Ohki et al., 2011; Pillitteri and Dong, 2013; Takata et al.,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From within the tertiary structure a loop protrudes, which for EPF2 and STOMAGEN (also known as EPFL9) (</w:t>
      </w:r>
      <w:r w:rsidRPr="006C37DC">
        <w:rPr>
          <w:rFonts w:ascii="Arial" w:eastAsia="Times New Roman" w:hAnsi="Arial" w:cs="Arial"/>
          <w:b/>
          <w:bCs/>
          <w:color w:val="000000"/>
        </w:rPr>
        <w:t>Fig. 4b</w:t>
      </w:r>
      <w:r w:rsidRPr="006C37DC">
        <w:rPr>
          <w:rFonts w:ascii="Arial" w:eastAsia="Times New Roman" w:hAnsi="Arial" w:cs="Arial"/>
          <w:bCs/>
          <w:color w:val="000000"/>
        </w:rPr>
        <w:t xml:space="preserve">) has been shown to be important in permitting functional specificity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&lt;EndNote&gt;&lt;Cite&gt;&lt;Author&gt;Ohki&lt;/Author&gt;&lt;Year&gt;2011&lt;/Year&gt;&lt;IDText&gt;The NMR structure of stomagen reveals the basis of stomatal density regulation by plant peptide hormones&lt;/IDText&gt;&lt;DisplayText&gt;(Ohki et al., 2011)&lt;/DisplayText&gt;&lt;record&gt;&lt;dates&gt;&lt;pub-dates&gt;&lt;date&gt;Oct&lt;/date&gt;&lt;/pub-dates&gt;&lt;year&gt;2011&lt;/year&gt;&lt;/dates&gt;&lt;keywords&gt;&lt;keyword&gt;PROTEIN STRUCTURES&lt;/keyword&gt;&lt;keyword&gt;SECRETORY PEPTIDE&lt;/keyword&gt;&lt;keyword&gt;SPECTROSCOPY&lt;/keyword&gt;&lt;keyword&gt;ARABIDOPSIS&lt;/keyword&gt;&lt;keyword&gt;CELLS&lt;/keyword&gt;&lt;keyword&gt;SENSITIVITY&lt;/keyword&gt;&lt;keyword&gt;RESONANCES&lt;/keyword&gt;&lt;keyword&gt;EXPRESSION&lt;/keyword&gt;&lt;keyword&gt;PLECTASIN&lt;/keyword&gt;&lt;keyword&gt;COUPLINGS&lt;/keyword&gt;&lt;/keywords&gt;&lt;urls&gt;&lt;related-urls&gt;&lt;url&gt;&amp;lt;Go to ISI&amp;gt;://WOS:000296787300025&lt;/url&gt;&lt;/related-urls&gt;&lt;/urls&gt;&lt;isbn&gt;2041-1723&lt;/isbn&gt;&lt;work-type&gt;Article&lt;/work-type&gt;&lt;titles&gt;&lt;title&gt;The NMR structure of stomagen reveals the basis of stomatal density regulation by plant peptide hormones&lt;/title&gt;&lt;secondary-title&gt;Nature Communications&lt;/secondary-title&gt;&lt;alt-title&gt;Nat. Commun.&lt;/alt-title&gt;&lt;/titles&gt;&lt;pages&gt;7&lt;/pages&gt;&lt;contributors&gt;&lt;authors&gt;&lt;author&gt;Ohki, S.&lt;/author&gt;&lt;author&gt;Takeuchi, M.&lt;/author&gt;&lt;author&gt;Mori, M.&lt;/author&gt;&lt;/authors&gt;&lt;/contributors&gt;&lt;custom7&gt;512&lt;/custom7&gt;&lt;language&gt;English&lt;/language&gt;&lt;added-date format="utc"&gt;1351750252&lt;/added-date&gt;&lt;ref-type name="Journal Article"&gt;17&lt;/ref-type&gt;&lt;auth-address&gt;[Mori, Masashi] Ishikawa Prefectural Univ, Lab Plant Gene Technol, Res Inst Bioresources &amp;amp; Biotechnol, Nonoichi, Ishikawa 9218836, Japan. [Ohki, Shinya&amp;#xD;Takeuchi, Makoto] Japan Adv Inst Sci &amp;amp; Technol JAIST, Ctr Nano Mat &amp;amp; Technol CNMT, Nomi, Ishikawa 9231292, Japan.&amp;#xD;Mori, M (reprint author), Ishikawa Prefectural Univ, Lab Plant Gene Technol, Res Inst Bioresources &amp;amp; Biotechnol, 1-308 Suematsu, Nonoichi, Ishikawa 9218836, Japan.&amp;#xD;mori@ishikawa-pu.ac.jp&lt;/auth-address&gt;&lt;rec-number&gt;16&lt;/rec-number&gt;&lt;last-updated-date format="utc"&gt;1351750252&lt;/last-updated-date&gt;&lt;accession-num&gt;WOS:000296787300025&lt;/accession-num&gt;&lt;electronic-resource-num&gt;10.1038/ncomms1520&lt;/electronic-resource-num&gt;&lt;volume&gt;2&lt;/volume&gt;&lt;/record&gt;&lt;/Cite&gt;&lt;/EndNote&gt;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(Ohki et al., 2011)</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Molecular modelling of other EPF/Ls indicates the presence of loops in other members of this family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&lt;EndNote&gt;&lt;Cite&gt;&lt;Author&gt;Takata&lt;/Author&gt;&lt;Year&gt;2013&lt;/Year&gt;&lt;IDText&gt;Evolutionary Relationship and Structural Characterization of the EPF/EPFL Gene Family&lt;/IDText&gt;&lt;DisplayText&gt;(Takata et al., 2013)&lt;/DisplayText&gt;&lt;record&gt;&lt;dates&gt;&lt;pub-dates&gt;&lt;date&gt;06/03&amp;#xD;12/28/received&amp;#xD;04/24/accepted&lt;/date&gt;&lt;/pub-dates&gt;&lt;year&gt;2013&lt;/year&gt;&lt;/dates&gt;&lt;urls&gt;&lt;related-urls&gt;&lt;url&gt;http://www.ncbi.nlm.nih.gov/pmc/articles/PMC3670920/&lt;/url&gt;&lt;/related-urls&gt;&lt;/urls&gt;&lt;isbn&gt;1932-6203&lt;/isbn&gt;&lt;titles&gt;&lt;title&gt;Evolutionary Relationship and Structural Characterization of the EPF/EPFL Gene Family&lt;/title&gt;&lt;secondary-title&gt;PLoS ONE&lt;/secondary-title&gt;&lt;/titles&gt;&lt;pages&gt;e65183&lt;/pages&gt;&lt;number&gt;6&lt;/number&gt;&lt;contributors&gt;&lt;authors&gt;&lt;author&gt;Takata, Naoki&lt;/author&gt;&lt;author&gt;Yokota, Kiyonobu&lt;/author&gt;&lt;author&gt;Ohki, Shinya&lt;/author&gt;&lt;author&gt;Mori, Masashi&lt;/author&gt;&lt;author&gt;Taniguchi, Toru&lt;/author&gt;&lt;author&gt;Kurita, Manabu&lt;/author&gt;&lt;/authors&gt;&lt;/contributors&gt;&lt;added-date format="utc"&gt;1451494706&lt;/added-date&gt;&lt;pub-location&gt;San Francisco, USA&lt;/pub-location&gt;&lt;ref-type name="Journal Article"&gt;17&lt;/ref-type&gt;&lt;rec-number&gt;217&lt;/rec-number&gt;&lt;publisher&gt;Public Library of Science&lt;/publisher&gt;&lt;last-updated-date format="utc"&gt;1451494706&lt;/last-updated-date&gt;&lt;accession-num&gt;PMC3670920&lt;/accession-num&gt;&lt;electronic-resource-num&gt;10.1371/journal.pone.0065183&lt;/electronic-resource-num&gt;&lt;volume&gt;8&lt;/volume&gt;&lt;remote-database-name&gt;PMC&lt;/remote-database-na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(Takata et al.,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however, if and how they are related to the overall functioning of these peptides has not been tested experimentally.</w:t>
      </w:r>
    </w:p>
    <w:p w14:paraId="25100C82" w14:textId="767D7975" w:rsidR="008653D0"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
          <w:bCs/>
          <w:noProof/>
          <w:color w:val="000000"/>
          <w:lang w:eastAsia="ja-JP"/>
        </w:rPr>
        <w:lastRenderedPageBreak/>
        <w:drawing>
          <wp:inline distT="0" distB="0" distL="0" distR="0" wp14:anchorId="5FB31EF2" wp14:editId="6CB0486B">
            <wp:extent cx="5606716" cy="6647631"/>
            <wp:effectExtent l="0" t="0" r="0" b="127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4updatedscem.png"/>
                    <pic:cNvPicPr/>
                  </pic:nvPicPr>
                  <pic:blipFill rotWithShape="1">
                    <a:blip r:embed="rId53" cstate="print">
                      <a:extLst>
                        <a:ext uri="{28A0092B-C50C-407E-A947-70E740481C1C}">
                          <a14:useLocalDpi xmlns:a14="http://schemas.microsoft.com/office/drawing/2010/main" val="0"/>
                        </a:ext>
                      </a:extLst>
                    </a:blip>
                    <a:srcRect b="8206"/>
                    <a:stretch/>
                  </pic:blipFill>
                  <pic:spPr bwMode="auto">
                    <a:xfrm>
                      <a:off x="0" y="0"/>
                      <a:ext cx="5609860" cy="6651359"/>
                    </a:xfrm>
                    <a:prstGeom prst="rect">
                      <a:avLst/>
                    </a:prstGeom>
                    <a:ln>
                      <a:noFill/>
                    </a:ln>
                    <a:extLst>
                      <a:ext uri="{53640926-AAD7-44D8-BBD7-CCE9431645EC}">
                        <a14:shadowObscured xmlns:a14="http://schemas.microsoft.com/office/drawing/2010/main"/>
                      </a:ext>
                    </a:extLst>
                  </pic:spPr>
                </pic:pic>
              </a:graphicData>
            </a:graphic>
          </wp:inline>
        </w:drawing>
      </w:r>
    </w:p>
    <w:p w14:paraId="5A052FE7" w14:textId="61ABA254"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
          <w:bCs/>
          <w:color w:val="000000"/>
        </w:rPr>
        <w:t xml:space="preserve">Figure 3. Overview of the core signalling transduction cascade that operates in </w:t>
      </w:r>
      <w:r w:rsidRPr="006C37DC">
        <w:rPr>
          <w:rFonts w:ascii="Arial" w:eastAsia="Times New Roman" w:hAnsi="Arial" w:cs="Arial"/>
          <w:b/>
          <w:bCs/>
          <w:i/>
          <w:color w:val="000000"/>
        </w:rPr>
        <w:t xml:space="preserve">A. thaliana </w:t>
      </w:r>
      <w:r w:rsidRPr="006C37DC">
        <w:rPr>
          <w:rFonts w:ascii="Arial" w:eastAsia="Times New Roman" w:hAnsi="Arial" w:cs="Arial"/>
          <w:b/>
          <w:bCs/>
          <w:color w:val="000000"/>
        </w:rPr>
        <w:t xml:space="preserve">which permits the correct patterning of stomata during development adapted from Pillitteri and Dong </w:t>
      </w:r>
      <w:r w:rsidRPr="006C37DC">
        <w:rPr>
          <w:rFonts w:ascii="Arial" w:eastAsia="Times New Roman" w:hAnsi="Arial" w:cs="Arial"/>
          <w:b/>
          <w:bCs/>
          <w:color w:val="000000"/>
        </w:rPr>
        <w:fldChar w:fldCharType="begin"/>
      </w:r>
      <w:r w:rsidRPr="006C37DC">
        <w:rPr>
          <w:rFonts w:ascii="Arial" w:eastAsia="Times New Roman" w:hAnsi="Arial" w:cs="Arial"/>
          <w:b/>
          <w:bCs/>
          <w:color w:val="000000"/>
        </w:rPr>
        <w:instrText xml:space="preserve"> ADDIN EN.CITE &lt;EndNote&gt;&lt;Cite ExcludeAuth="1"&gt;&lt;Author&gt;Pillitteri&lt;/Author&gt;&lt;Year&gt;2013&lt;/Year&gt;&lt;IDText&gt;Stomatal Development in Arabidopsis&lt;/IDText&gt;&lt;DisplayText&gt;(2013)&lt;/DisplayText&gt;&lt;record&gt;&lt;dates&gt;&lt;pub-dates&gt;&lt;date&gt;06/06&lt;/date&gt;&lt;/pub-dates&gt;&lt;year&gt;2013&lt;/year&gt;&lt;/dates&gt;&lt;urls&gt;&lt;related-urls&gt;&lt;url&gt;http://www.ncbi.nlm.nih.gov/pmc/articles/PMC3711358/&lt;/url&gt;&lt;/related-urls&gt;&lt;/urls&gt;&lt;isbn&gt;1543-8120&lt;/isbn&gt;&lt;titles&gt;&lt;title&gt;Stomatal Development in Arabidopsis&lt;/title&gt;&lt;secondary-title&gt;The Arabidopsis Book / American Society of Plant Biologists&lt;/secondary-title&gt;&lt;/titles&gt;&lt;pages&gt;e0162&lt;/pages&gt;&lt;contributors&gt;&lt;authors&gt;&lt;author&gt;Pillitteri, Lynn Jo&lt;/author&gt;&lt;author&gt;Dong, Juan&lt;/author&gt;&lt;/authors&gt;&lt;/contributors&gt;&lt;added-date format="utc"&gt;1452067835&lt;/added-date&gt;&lt;ref-type name="Journal Article"&gt;17&lt;/ref-type&gt;&lt;rec-number&gt;401&lt;/rec-number&gt;&lt;publisher&gt;American Society of Plant Biologists&lt;/publisher&gt;&lt;last-updated-date format="utc"&gt;1452067835&lt;/last-updated-date&gt;&lt;accession-num&gt;PMC3711358&lt;/accession-num&gt;&lt;electronic-resource-num&gt;10.1199/tab.0162&lt;/electronic-resource-num&gt;&lt;volume&gt;11&lt;/volume&gt;&lt;remote-database-name&gt;PMC&lt;/remote-database-name&gt;&lt;/record&gt;&lt;/Cite&gt;&lt;/EndNote&gt;</w:instrText>
      </w:r>
      <w:r w:rsidRPr="006C37DC">
        <w:rPr>
          <w:rFonts w:ascii="Arial" w:eastAsia="Times New Roman" w:hAnsi="Arial" w:cs="Arial"/>
          <w:b/>
          <w:bCs/>
          <w:color w:val="000000"/>
        </w:rPr>
        <w:fldChar w:fldCharType="separate"/>
      </w:r>
      <w:r w:rsidRPr="006C37DC">
        <w:rPr>
          <w:rFonts w:ascii="Arial" w:eastAsia="Times New Roman" w:hAnsi="Arial" w:cs="Arial"/>
          <w:b/>
          <w:bCs/>
          <w:color w:val="000000"/>
        </w:rPr>
        <w:t>(2013)</w:t>
      </w:r>
      <w:r w:rsidRPr="006C37DC">
        <w:rPr>
          <w:rFonts w:ascii="Arial" w:eastAsia="Times New Roman" w:hAnsi="Arial" w:cs="Arial"/>
          <w:bCs/>
          <w:color w:val="000000"/>
        </w:rPr>
        <w:fldChar w:fldCharType="end"/>
      </w:r>
      <w:r w:rsidRPr="006C37DC">
        <w:rPr>
          <w:rFonts w:ascii="Arial" w:eastAsia="Times New Roman" w:hAnsi="Arial" w:cs="Arial"/>
          <w:b/>
          <w:bCs/>
          <w:color w:val="000000"/>
        </w:rPr>
        <w:t xml:space="preserve">. </w:t>
      </w:r>
      <w:r w:rsidRPr="006C37DC">
        <w:rPr>
          <w:rFonts w:ascii="Arial" w:eastAsia="Times New Roman" w:hAnsi="Arial" w:cs="Arial"/>
          <w:bCs/>
          <w:color w:val="000000"/>
        </w:rPr>
        <w:t xml:space="preserve">In the apoplast of developing cells, the negative regulators of stomatal development, EPIDERMAL PATTERNING FACTOR (EPF) 1 and EPF2 are present along with the positive regulator of stomatal development STOMAGEN, also known as EPF-Like 9  (EPFL9) </w: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IDIwMDc7IEhhcmEgZXQgYWwuLCAyMDA5OyBIdW50IGV0IGFsLiwgMjAxMDsgSHVudCBhbmQgR3Jh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IDIwMDc7IEhhcmEgZXQgYWwuLCAyMDA5OyBIdW50IGV0IGFsLiwgMjAxMDsgSHVudCBhbmQgR3Jh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(Hara et al., 2007; Hara et al., 2009; Hunt et al., 2010; Hunt and Gray, 2009; Sugano et al., 2010)</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To transduce signals EPF2 and STOMAGEN compete for the binding of receptor-like kinases (RLKs) of the ERECTA family (ERf) (preferentially </w:t>
      </w:r>
      <w:r w:rsidRPr="006C37DC">
        <w:rPr>
          <w:rFonts w:ascii="Arial" w:eastAsia="Times New Roman" w:hAnsi="Arial" w:cs="Arial"/>
          <w:bCs/>
          <w:color w:val="000000"/>
        </w:rPr>
        <w:lastRenderedPageBreak/>
        <w:t xml:space="preserve">ERECTA) through interactions with receptor-like protein (RLP) TOO MANY MOUTHS </w:t>
      </w:r>
      <w:r w:rsidRPr="006C37DC">
        <w:rPr>
          <w:rFonts w:ascii="Arial" w:eastAsia="Times New Roman" w:hAnsi="Arial" w:cs="Arial"/>
          <w:bCs/>
          <w:color w:val="000000"/>
        </w:rPr>
        <w:fldChar w:fldCharType="begin">
          <w:fldData xml:space="preserve">PEVuZE5vdGU+PENpdGU+PEF1dGhvcj5MZWU8L0F1dGhvcj48WWVhcj4yMDE1PC9ZZWFyPjxJRFRl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=
</w:fldData>
        </w:fldChar>
      </w:r>
      <w:r w:rsidR="00417B1E">
        <w:rPr>
          <w:rFonts w:ascii="Arial" w:eastAsia="Times New Roman" w:hAnsi="Arial" w:cs="Arial"/>
          <w:bCs/>
          <w:color w:val="000000"/>
        </w:rPr>
        <w:instrText xml:space="preserve"> ADDIN EN.CITE </w:instrText>
      </w:r>
      <w:r w:rsidR="00417B1E">
        <w:rPr>
          <w:rFonts w:ascii="Arial" w:eastAsia="Times New Roman" w:hAnsi="Arial" w:cs="Arial"/>
          <w:bCs/>
          <w:color w:val="000000"/>
        </w:rPr>
        <w:fldChar w:fldCharType="begin">
          <w:fldData xml:space="preserve">PEVuZE5vdGU+PENpdGU+PEF1dGhvcj5MZWU8L0F1dGhvcj48WWVhcj4yMDE1PC9ZZWFyPjxJRFRl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=
</w:fldData>
        </w:fldChar>
      </w:r>
      <w:r w:rsidR="00417B1E">
        <w:rPr>
          <w:rFonts w:ascii="Arial" w:eastAsia="Times New Roman" w:hAnsi="Arial" w:cs="Arial"/>
          <w:bCs/>
          <w:color w:val="000000"/>
        </w:rPr>
        <w:instrText xml:space="preserve"> ADDIN EN.CITE.DATA </w:instrText>
      </w:r>
      <w:r w:rsidR="00417B1E">
        <w:rPr>
          <w:rFonts w:ascii="Arial" w:eastAsia="Times New Roman" w:hAnsi="Arial" w:cs="Arial"/>
          <w:bCs/>
          <w:color w:val="000000"/>
        </w:rPr>
      </w:r>
      <w:r w:rsidR="00417B1E">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417B1E">
        <w:rPr>
          <w:rFonts w:ascii="Arial" w:eastAsia="Times New Roman" w:hAnsi="Arial" w:cs="Arial"/>
          <w:bCs/>
          <w:noProof/>
          <w:color w:val="000000"/>
        </w:rPr>
        <w:t>(Jewaria et al., 2013; Lee et al., 2015b; Lee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Ordinarily, EPF2 functions early during stomatal development by preventing stomatal lineage entry </w:t>
      </w:r>
      <w:r w:rsidRPr="006C37DC">
        <w:rPr>
          <w:rFonts w:ascii="Arial" w:eastAsia="Times New Roman" w:hAnsi="Arial" w:cs="Arial"/>
          <w:bCs/>
          <w:color w:val="000000"/>
        </w:rPr>
        <w:fldChar w:fldCharType="begin">
          <w:fldData xml:space="preserve">PEVuZE5vdGU+PENpdGU+PEF1dGhvcj5IdW50PC9BdXRob3I+PFllYXI+MjAwOTwvWWVhcj48SURU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PEVuZE5vdGU+PENpdGU+PEF1dGhvcj5IdW50PC9BdXRob3I+PFllYXI+MjAwOTwvWWVhcj48SURU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(Hara et al., 2009; Hunt and Gray, 2009)</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t>
      </w:r>
      <w:r w:rsidRPr="006C37DC">
        <w:rPr>
          <w:rFonts w:ascii="Arial" w:eastAsia="Times New Roman" w:hAnsi="Arial" w:cs="Arial"/>
          <w:bCs/>
          <w:i/>
          <w:color w:val="000000"/>
        </w:rPr>
        <w:t>EPF1</w:t>
      </w:r>
      <w:r w:rsidRPr="006C37DC">
        <w:rPr>
          <w:rFonts w:ascii="Arial" w:eastAsia="Times New Roman" w:hAnsi="Arial" w:cs="Arial"/>
          <w:bCs/>
          <w:color w:val="000000"/>
        </w:rPr>
        <w:t xml:space="preserve"> is expressed slightly later also prevents two immediately adjacent stomatal lineage cells from developing by binding with ERf members (preferentially ERECTA-like 1) </w: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IDIwMDc7IExlZSBldCBhbC4sIDIwMTIpPC9EaXNwbGF5VGV4dD48cmVjb3JkPjxkYXRlcz48cHVi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IDIwMDc7IExlZSBldCBhbC4sIDIwMTIpPC9EaXNwbGF5VGV4dD48cmVjb3JkPjxkYXRlcz48cHVi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(Hara et al., 2007; Lee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Other EPFLs belonging to the CHALLAH family (collectively CHALf) including CHALLAH(CHAL)/EPFL6, CHAL-LIKE1(CLL1)/EPFL5 and CLL2/EPFL4 are present in the apoplast in some regions and are prevented from signalling by TMM in stomatal lineage cells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&lt;EndNote&gt;&lt;Cite&gt;&lt;Author&gt;Abrash&lt;/Author&gt;&lt;Year&gt;2011&lt;/Year&gt;&lt;IDText&gt;Generation of Signaling Specificity in Arabidopsis by Spatially Restricted Buffering of Ligand-Receptor Interactions&lt;/IDText&gt;&lt;DisplayText&gt;(Abrash et al., 2011)&lt;/DisplayText&gt;&lt;record&gt;&lt;dates&gt;&lt;pub-dates&gt;&lt;date&gt;Aug&lt;/date&gt;&lt;/pub-dates&gt;&lt;year&gt;2011&lt;/year&gt;&lt;/dates&gt;&lt;keywords&gt;&lt;keyword&gt;STOMATAL DEVELOPMENT&lt;/keyword&gt;&lt;keyword&gt;SECRETORY PEPTIDE&lt;/keyword&gt;&lt;keyword&gt;GENE-EXPRESSION&lt;/keyword&gt;&lt;keyword&gt;ERECTA&lt;/keyword&gt;&lt;keyword&gt;KINASE&lt;/keyword&gt;&lt;keyword&gt;PROTEIN&lt;/keyword&gt;&lt;keyword&gt;THALIANA&lt;/keyword&gt;&lt;keyword&gt;MUTANTS&lt;/keyword&gt;&lt;keyword&gt;MOUTHS&lt;/keyword&gt;&lt;keyword&gt;TOO&lt;/keyword&gt;&lt;/keywords&gt;&lt;urls&gt;&lt;related-urls&gt;&lt;url&gt;&amp;lt;Go to ISI&amp;gt;://WOS:000295254700009&lt;/url&gt;&lt;/related-urls&gt;&lt;/urls&gt;&lt;isbn&gt;1040-4651&lt;/isbn&gt;&lt;work-type&gt;Article&lt;/work-type&gt;&lt;titles&gt;&lt;title&gt;Generation of Signaling Specificity in Arabidopsis by Spatially Restricted Buffering of Ligand-Receptor Interactions&lt;/title&gt;&lt;secondary-title&gt;Plant Cell&lt;/secondary-title&gt;&lt;alt-title&gt;Plant Cell&lt;/alt-title&gt;&lt;/titles&gt;&lt;pages&gt;2864-2879&lt;/pages&gt;&lt;number&gt;8&lt;/number&gt;&lt;contributors&gt;&lt;authors&gt;&lt;author&gt;Abrash, E. B.&lt;/author&gt;&lt;author&gt;Davies, K. A.&lt;/author&gt;&lt;author&gt;Bergmann, D. C.&lt;/author&gt;&lt;/authors&gt;&lt;/contributors&gt;&lt;language&gt;English&lt;/language&gt;&lt;added-date format="utc"&gt;1351925321&lt;/added-date&gt;&lt;ref-type name="Journal Article"&gt;17&lt;/ref-type&gt;&lt;auth-address&gt;[Abrash, Emily B.&amp;#xD;Davies, Kelli A.&amp;#xD;Bergmann, Dominique C.] Stanford Univ, Dept Biol, Stanford, CA 94305 USA.&amp;#xD;Bergmann, DC (reprint author), Stanford Univ, Dept Biol, Stanford, CA 94305 USA.&amp;#xD;dbergmann@stanford.edu&lt;/auth-address&gt;&lt;rec-number&gt;20&lt;/rec-number&gt;&lt;last-updated-date format="utc"&gt;1351925321&lt;/last-updated-date&gt;&lt;accession-num&gt;WOS:000295254700009&lt;/accession-num&gt;&lt;electronic-resource-num&gt;10.1105/tpc.111.086637&lt;/electronic-resource-num&gt;&lt;volume&gt;23&lt;/volume&gt;&lt;/record&gt;&lt;/Cite&gt;&lt;/EndNote&gt;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(Abrash et al., 2011)</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In the plasma membrane TMM and ERf members are associated with other RLK SOMATIC EMBRYOGENESIS RECEPTOR KINASE members (collectively termed SERKs). Such interactions are required to transmit apoplastic-derived signals through the plasma membrane into the cell </w:t>
      </w:r>
      <w:r w:rsidRPr="006C37DC">
        <w:rPr>
          <w:rFonts w:ascii="Arial" w:eastAsia="Times New Roman" w:hAnsi="Arial" w:cs="Arial"/>
          <w:bCs/>
          <w:color w:val="000000"/>
        </w:rPr>
        <w:fldChar w:fldCharType="begin">
          <w:fldData xml:space="preserve">PEVuZE5vdGU+PENpdGU+PEF1dGhvcj5NZW5nPC9BdXRob3I+PFllYXI+MjAxNTwvWWVhcj48SURU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PEVuZE5vdGU+PENpdGU+PEF1dGhvcj5NZW5nPC9BdXRob3I+PFllYXI+MjAxNTwvWWVhcj48SURU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(Meng et al., 2015)</w:t>
      </w:r>
      <w:r w:rsidRPr="006C37DC">
        <w:rPr>
          <w:rFonts w:ascii="Arial" w:eastAsia="Times New Roman" w:hAnsi="Arial" w:cs="Arial"/>
          <w:bCs/>
          <w:color w:val="000000"/>
        </w:rPr>
        <w:fldChar w:fldCharType="end"/>
      </w:r>
      <w:r w:rsidRPr="006C37DC">
        <w:rPr>
          <w:rFonts w:ascii="Arial" w:eastAsia="Times New Roman" w:hAnsi="Arial" w:cs="Arial"/>
          <w:bCs/>
          <w:color w:val="000000"/>
        </w:rPr>
        <w:t>. Inside the cell, a signalling cascade operates which includes: mitogen-activated protein kinases (MAPK), MAPK kinases (M</w:t>
      </w:r>
      <w:r w:rsidR="003C7D86">
        <w:rPr>
          <w:rFonts w:ascii="Arial" w:eastAsia="Times New Roman" w:hAnsi="Arial" w:cs="Arial"/>
          <w:bCs/>
          <w:color w:val="000000"/>
        </w:rPr>
        <w:t>KK) and the MAPKK kinase</w:t>
      </w:r>
      <w:r w:rsidRPr="006C37DC">
        <w:rPr>
          <w:rFonts w:ascii="Arial" w:eastAsia="Times New Roman" w:hAnsi="Arial" w:cs="Arial"/>
          <w:bCs/>
          <w:color w:val="000000"/>
        </w:rPr>
        <w:t xml:space="preserve"> YODA </w:t>
      </w:r>
      <w:r w:rsidRPr="006C37DC">
        <w:rPr>
          <w:rFonts w:ascii="Arial" w:eastAsia="Times New Roman" w:hAnsi="Arial" w:cs="Arial"/>
          <w:bCs/>
          <w:color w:val="000000"/>
        </w:rPr>
        <w:fldChar w:fldCharType="begin">
          <w:fldData xml:space="preserve">PEVuZE5vdGU+PENpdGU+PEF1dGhvcj5QaWxsaXR0ZXJpPC9BdXRob3I+PFllYXI+MjAxMzwvWWVh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PEVuZE5vdGU+PENpdGU+PEF1dGhvcj5QaWxsaXR0ZXJpPC9BdXRob3I+PFllYXI+MjAxMzwvWWVh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(Bergmann et al., 2004; Pillitteri and Dong,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 culmination of the signalling cascade leads to the stomatal specific bHLH transcription factors: SPEECHLESS (SPCH), MUTE, and FAMA which heterodimerise with the more broadly acting ICE1 (otherwise known as SCREAM (SCRM)) and SCRM2 </w:t>
      </w:r>
      <w:r w:rsidRPr="006C37DC">
        <w:rPr>
          <w:rFonts w:ascii="Arial" w:eastAsia="Times New Roman" w:hAnsi="Arial" w:cs="Arial"/>
          <w:bCs/>
          <w:color w:val="000000"/>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bnRpYXRpb248L0lEVGV4dD48RGlzcGxheVRleHQ+KEthbmFva2EgZXQgYWwuLCAyMDA4KTwvRGlz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PEVuZE5vdGU+PENpdGU+PEF1dGhvcj5LYW5hb2thPC9BdXRob3I+PFllYXI+MjAwODwvWWVhcj48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(Kanaoka et al., 2008)</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When the SPCH peptide is phosphorylated by particular MAPKs it becomes inactivated thereby restricting stomatal lineage advancement </w:t>
      </w:r>
      <w:r w:rsidRPr="006C37DC">
        <w:rPr>
          <w:rFonts w:ascii="Arial" w:eastAsia="Times New Roman" w:hAnsi="Arial" w:cs="Arial"/>
          <w:bCs/>
          <w:color w:val="000000"/>
        </w:rPr>
        <w:fldChar w:fldCharType="begin">
          <w:fldData xml:space="preserve">PEVuZE5vdGU+PENpdGU+PEF1dGhvcj5KZXdhcmlhPC9BdXRob3I+PFllYXI+MjAxMzwvWWVhcj48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</w:fldData>
        </w:fldChar>
      </w:r>
      <w:r w:rsidR="00417B1E">
        <w:rPr>
          <w:rFonts w:ascii="Arial" w:eastAsia="Times New Roman" w:hAnsi="Arial" w:cs="Arial"/>
          <w:bCs/>
          <w:color w:val="000000"/>
        </w:rPr>
        <w:instrText xml:space="preserve"> ADDIN EN.CITE </w:instrText>
      </w:r>
      <w:r w:rsidR="00417B1E">
        <w:rPr>
          <w:rFonts w:ascii="Arial" w:eastAsia="Times New Roman" w:hAnsi="Arial" w:cs="Arial"/>
          <w:bCs/>
          <w:color w:val="000000"/>
        </w:rPr>
        <w:fldChar w:fldCharType="begin">
          <w:fldData xml:space="preserve">PEVuZE5vdGU+PENpdGU+PEF1dGhvcj5KZXdhcmlhPC9BdXRob3I+PFllYXI+MjAxMzwvWWVhcj48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</w:fldData>
        </w:fldChar>
      </w:r>
      <w:r w:rsidR="00417B1E">
        <w:rPr>
          <w:rFonts w:ascii="Arial" w:eastAsia="Times New Roman" w:hAnsi="Arial" w:cs="Arial"/>
          <w:bCs/>
          <w:color w:val="000000"/>
        </w:rPr>
        <w:instrText xml:space="preserve"> ADDIN EN.CITE.DATA </w:instrText>
      </w:r>
      <w:r w:rsidR="00417B1E">
        <w:rPr>
          <w:rFonts w:ascii="Arial" w:eastAsia="Times New Roman" w:hAnsi="Arial" w:cs="Arial"/>
          <w:bCs/>
          <w:color w:val="000000"/>
        </w:rPr>
      </w:r>
      <w:r w:rsidR="00417B1E">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417B1E">
        <w:rPr>
          <w:rFonts w:ascii="Arial" w:eastAsia="Times New Roman" w:hAnsi="Arial" w:cs="Arial"/>
          <w:bCs/>
          <w:noProof/>
          <w:color w:val="000000"/>
        </w:rPr>
        <w:t>(Jewaria et al., 2013; Lampard et al., 2008; Lee et al., 2015b; Pillitteri and Dong,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SPCH activity upregulates its own expression, </w:t>
      </w:r>
      <w:r w:rsidRPr="003C7D86">
        <w:rPr>
          <w:rFonts w:ascii="Arial" w:eastAsia="Times New Roman" w:hAnsi="Arial" w:cs="Arial"/>
          <w:bCs/>
          <w:i/>
          <w:color w:val="000000"/>
        </w:rPr>
        <w:t>SCRM/SCRM2</w:t>
      </w:r>
      <w:r w:rsidRPr="006C37DC">
        <w:rPr>
          <w:rFonts w:ascii="Arial" w:eastAsia="Times New Roman" w:hAnsi="Arial" w:cs="Arial"/>
          <w:bCs/>
          <w:color w:val="000000"/>
        </w:rPr>
        <w:t xml:space="preserve"> and downstream patterning genes such </w:t>
      </w:r>
      <w:r w:rsidRPr="003C7D86">
        <w:rPr>
          <w:rFonts w:ascii="Arial" w:eastAsia="Times New Roman" w:hAnsi="Arial" w:cs="Arial"/>
          <w:bCs/>
          <w:i/>
          <w:color w:val="000000"/>
        </w:rPr>
        <w:t>TMM</w:t>
      </w:r>
      <w:r w:rsidRPr="006C37DC">
        <w:rPr>
          <w:rFonts w:ascii="Arial" w:eastAsia="Times New Roman" w:hAnsi="Arial" w:cs="Arial"/>
          <w:bCs/>
          <w:color w:val="000000"/>
        </w:rPr>
        <w:t xml:space="preserve">, </w:t>
      </w:r>
      <w:r w:rsidRPr="003C7D86">
        <w:rPr>
          <w:rFonts w:ascii="Arial" w:eastAsia="Times New Roman" w:hAnsi="Arial" w:cs="Arial"/>
          <w:bCs/>
          <w:i/>
          <w:color w:val="000000"/>
        </w:rPr>
        <w:t>EPF1</w:t>
      </w:r>
      <w:r w:rsidRPr="006C37DC">
        <w:rPr>
          <w:rFonts w:ascii="Arial" w:eastAsia="Times New Roman" w:hAnsi="Arial" w:cs="Arial"/>
          <w:bCs/>
          <w:color w:val="000000"/>
        </w:rPr>
        <w:t xml:space="preserve">, </w:t>
      </w:r>
      <w:r w:rsidRPr="003C7D86">
        <w:rPr>
          <w:rFonts w:ascii="Arial" w:eastAsia="Times New Roman" w:hAnsi="Arial" w:cs="Arial"/>
          <w:bCs/>
          <w:i/>
          <w:color w:val="000000"/>
        </w:rPr>
        <w:t>EPF2</w:t>
      </w:r>
      <w:r w:rsidRPr="006C37DC">
        <w:rPr>
          <w:rFonts w:ascii="Arial" w:eastAsia="Times New Roman" w:hAnsi="Arial" w:cs="Arial"/>
          <w:bCs/>
          <w:color w:val="000000"/>
        </w:rPr>
        <w:t xml:space="preserve"> and </w:t>
      </w:r>
      <w:r w:rsidR="003C7D86">
        <w:rPr>
          <w:rFonts w:ascii="Arial" w:eastAsia="Times New Roman" w:hAnsi="Arial" w:cs="Arial"/>
          <w:bCs/>
          <w:i/>
          <w:color w:val="000000"/>
        </w:rPr>
        <w:t>ERECTA-like</w:t>
      </w:r>
      <w:r w:rsidRPr="003C7D86">
        <w:rPr>
          <w:rFonts w:ascii="Arial" w:eastAsia="Times New Roman" w:hAnsi="Arial" w:cs="Arial"/>
          <w:bCs/>
          <w:i/>
          <w:color w:val="000000"/>
        </w:rPr>
        <w:t>2</w:t>
      </w:r>
      <w:r w:rsidRPr="006C37DC">
        <w:rPr>
          <w:rFonts w:ascii="Arial" w:eastAsia="Times New Roman" w:hAnsi="Arial" w:cs="Arial"/>
          <w:bCs/>
          <w:color w:val="000000"/>
        </w:rPr>
        <w:t xml:space="preserve"> to regulate its own expression and to signal to other neighbouring cells </w:t>
      </w:r>
      <w:r w:rsidRPr="006C37DC">
        <w:rPr>
          <w:rFonts w:ascii="Arial" w:eastAsia="Times New Roman" w:hAnsi="Arial" w:cs="Arial"/>
          <w:bCs/>
          <w:color w:val="000000"/>
        </w:rPr>
        <w:fldChar w:fldCharType="begin">
          <w:fldData xml:space="preserve">PEVuZE5vdGU+PENpdGU+PEF1dGhvcj5TaW1tb25zPC9BdXRob3I+PFllYXI+MjAxNjwvWWVhcj48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PEVuZE5vdGU+PENpdGU+PEF1dGhvcj5TaW1tb25zPC9BdXRob3I+PFllYXI+MjAxNjwvWWVhcj48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(Lau et al., 2014; Simmons and Bergmann, 2016)</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For MUTE and FAMA, which act to encourage guard mother cell and guard cell formation respectively at later stages of stomatal development </w:t>
      </w:r>
      <w:r w:rsidRPr="006C37DC">
        <w:rPr>
          <w:rFonts w:ascii="Arial" w:eastAsia="Times New Roman" w:hAnsi="Arial" w:cs="Arial"/>
          <w:bCs/>
          <w:color w:val="000000"/>
        </w:rPr>
        <w:fldChar w:fldCharType="begin">
          <w:fldData xml:space="preserve">PEVuZE5vdGU+PENpdGU+PEF1dGhvcj5QaWxsaXR0ZXJpPC9BdXRob3I+PFllYXI+MjAwNzwvWWVh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PEVuZE5vdGU+PENpdGU+PEF1dGhvcj5QaWxsaXR0ZXJpPC9BdXRob3I+PFllYXI+MjAwNzwvWWVh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(Ohashi-Ito and Bergmann, 2006; Pillitteri et al., 2007)</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regulation via intercellular signalling is not so well understood. It has been suggested MUTE might be negatively regulated via the MAPK pathway and FAMA positively regulated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&lt;EndNote&gt;&lt;Cite&gt;&lt;Author&gt;Pillitteri&lt;/Author&gt;&lt;Year&gt;2013&lt;/Year&gt;&lt;IDText&gt;Stomatal Development in Arabidopsis&lt;/IDText&gt;&lt;DisplayText&gt;(Pillitteri and Dong, 2013)&lt;/DisplayText&gt;&lt;record&gt;&lt;dates&gt;&lt;pub-dates&gt;&lt;date&gt;06/06&lt;/date&gt;&lt;/pub-dates&gt;&lt;year&gt;2013&lt;/year&gt;&lt;/dates&gt;&lt;urls&gt;&lt;related-urls&gt;&lt;url&gt;http://www.ncbi.nlm.nih.gov/pmc/articles/PMC3711358/&lt;/url&gt;&lt;/related-urls&gt;&lt;/urls&gt;&lt;isbn&gt;1543-8120&lt;/isbn&gt;&lt;titles&gt;&lt;title&gt;Stomatal Development in Arabidopsis&lt;/title&gt;&lt;secondary-title&gt;The Arabidopsis Book / American Society of Plant Biologists&lt;/secondary-title&gt;&lt;/titles&gt;&lt;pages&gt;e0162&lt;/pages&gt;&lt;contributors&gt;&lt;authors&gt;&lt;author&gt;Pillitteri, Lynn Jo&lt;/author&gt;&lt;author&gt;Dong, Juan&lt;/author&gt;&lt;/authors&gt;&lt;/contributors&gt;&lt;added-date format="utc"&gt;1452067835&lt;/added-date&gt;&lt;ref-type name="Journal Article"&gt;17&lt;/ref-type&gt;&lt;rec-number&gt;401&lt;/rec-number&gt;&lt;publisher&gt;American Society of Plant Biologists&lt;/publisher&gt;&lt;last-updated-date format="utc"&gt;1452067835&lt;/last-updated-date&gt;&lt;accession-num&gt;PMC3711358&lt;/accession-num&gt;&lt;electronic-resource-num&gt;10.1199/tab.0162&lt;/electronic-resource-num&gt;&lt;volume&gt;11&lt;/volume&gt;&lt;remote-database-name&gt;PMC&lt;/remote-database-na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(Pillitteri and Dong, 2013)</w:t>
      </w:r>
      <w:r w:rsidRPr="006C37DC">
        <w:rPr>
          <w:rFonts w:ascii="Arial" w:eastAsia="Times New Roman" w:hAnsi="Arial" w:cs="Arial"/>
          <w:bCs/>
          <w:color w:val="000000"/>
        </w:rPr>
        <w:fldChar w:fldCharType="end"/>
      </w:r>
      <w:r w:rsidRPr="006C37DC">
        <w:rPr>
          <w:rFonts w:ascii="Arial" w:eastAsia="Times New Roman" w:hAnsi="Arial" w:cs="Arial"/>
          <w:bCs/>
          <w:color w:val="000000"/>
        </w:rPr>
        <w:t>.</w:t>
      </w:r>
    </w:p>
    <w:p w14:paraId="140B8AF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noProof/>
          <w:color w:val="000000"/>
          <w:lang w:eastAsia="ja-JP"/>
        </w:rPr>
        <w:lastRenderedPageBreak/>
        <w:drawing>
          <wp:inline distT="0" distB="0" distL="0" distR="0" wp14:anchorId="09F80AB4" wp14:editId="0BBF3FE2">
            <wp:extent cx="4743450" cy="3027869"/>
            <wp:effectExtent l="0" t="0" r="0" b="127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dapted from pillitteri 2013 epfs fig5.png"/>
                    <pic:cNvPicPr/>
                  </pic:nvPicPr>
                  <pic:blipFill>
                    <a:blip r:embed="rId54">
                      <a:extLst>
                        <a:ext uri="{28A0092B-C50C-407E-A947-70E740481C1C}">
                          <a14:useLocalDpi xmlns:a14="http://schemas.microsoft.com/office/drawing/2010/main" val="0"/>
                        </a:ext>
                      </a:extLst>
                    </a:blip>
                    <a:stretch>
                      <a:fillRect/>
                    </a:stretch>
                  </pic:blipFill>
                  <pic:spPr>
                    <a:xfrm>
                      <a:off x="0" y="0"/>
                      <a:ext cx="4744130" cy="3028303"/>
                    </a:xfrm>
                    <a:prstGeom prst="rect">
                      <a:avLst/>
                    </a:prstGeom>
                  </pic:spPr>
                </pic:pic>
              </a:graphicData>
            </a:graphic>
          </wp:inline>
        </w:drawing>
      </w:r>
    </w:p>
    <w:p w14:paraId="19DFA5C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
          <w:bCs/>
          <w:color w:val="000000"/>
        </w:rPr>
        <w:t xml:space="preserve">Figure 4. C-terminal cysteine residues present in EPF/L signalling peptides bestow tertiary structure. Adapted from Pillitteri and Dong </w:t>
      </w:r>
      <w:r w:rsidRPr="006C37DC">
        <w:rPr>
          <w:rFonts w:ascii="Arial" w:eastAsia="Times New Roman" w:hAnsi="Arial" w:cs="Arial"/>
          <w:b/>
          <w:bCs/>
          <w:color w:val="000000"/>
        </w:rPr>
        <w:fldChar w:fldCharType="begin"/>
      </w:r>
      <w:r w:rsidRPr="006C37DC">
        <w:rPr>
          <w:rFonts w:ascii="Arial" w:eastAsia="Times New Roman" w:hAnsi="Arial" w:cs="Arial"/>
          <w:b/>
          <w:bCs/>
          <w:color w:val="000000"/>
        </w:rPr>
        <w:instrText xml:space="preserve"> ADDIN EN.CITE &lt;EndNote&gt;&lt;Cite ExcludeAuth="1"&gt;&lt;Author&gt;Pillitteri&lt;/Author&gt;&lt;Year&gt;2013&lt;/Year&gt;&lt;IDText&gt;Stomatal Development in Arabidopsis&lt;/IDText&gt;&lt;DisplayText&gt;(2013)&lt;/DisplayText&gt;&lt;record&gt;&lt;dates&gt;&lt;pub-dates&gt;&lt;date&gt;06/06&lt;/date&gt;&lt;/pub-dates&gt;&lt;year&gt;2013&lt;/year&gt;&lt;/dates&gt;&lt;urls&gt;&lt;related-urls&gt;&lt;url&gt;http://www.ncbi.nlm.nih.gov/pmc/articles/PMC3711358/&lt;/url&gt;&lt;/related-urls&gt;&lt;/urls&gt;&lt;isbn&gt;1543-8120&lt;/isbn&gt;&lt;titles&gt;&lt;title&gt;Stomatal Development in Arabidopsis&lt;/title&gt;&lt;secondary-title&gt;The Arabidopsis Book / American Society of Plant Biologists&lt;/secondary-title&gt;&lt;/titles&gt;&lt;pages&gt;e0162&lt;/pages&gt;&lt;contributors&gt;&lt;authors&gt;&lt;author&gt;Pillitteri, Lynn Jo&lt;/author&gt;&lt;author&gt;Dong, Juan&lt;/author&gt;&lt;/authors&gt;&lt;/contributors&gt;&lt;added-date format="utc"&gt;1452067835&lt;/added-date&gt;&lt;ref-type name="Journal Article"&gt;17&lt;/ref-type&gt;&lt;rec-number&gt;401&lt;/rec-number&gt;&lt;publisher&gt;American Society of Plant Biologists&lt;/publisher&gt;&lt;last-updated-date format="utc"&gt;1452067835&lt;/last-updated-date&gt;&lt;accession-num&gt;PMC3711358&lt;/accession-num&gt;&lt;electronic-resource-num&gt;10.1199/tab.0162&lt;/electronic-resource-num&gt;&lt;volume&gt;11&lt;/volume&gt;&lt;remote-database-name&gt;PMC&lt;/remote-database-name&gt;&lt;/record&gt;&lt;/Cite&gt;&lt;/EndNote&gt;</w:instrText>
      </w:r>
      <w:r w:rsidRPr="006C37DC">
        <w:rPr>
          <w:rFonts w:ascii="Arial" w:eastAsia="Times New Roman" w:hAnsi="Arial" w:cs="Arial"/>
          <w:b/>
          <w:bCs/>
          <w:color w:val="000000"/>
        </w:rPr>
        <w:fldChar w:fldCharType="separate"/>
      </w:r>
      <w:r w:rsidRPr="006C37DC">
        <w:rPr>
          <w:rFonts w:ascii="Arial" w:eastAsia="Times New Roman" w:hAnsi="Arial" w:cs="Arial"/>
          <w:b/>
          <w:bCs/>
          <w:color w:val="000000"/>
        </w:rPr>
        <w:t>(2013)</w:t>
      </w:r>
      <w:r w:rsidRPr="006C37DC">
        <w:rPr>
          <w:rFonts w:ascii="Arial" w:eastAsia="Times New Roman" w:hAnsi="Arial" w:cs="Arial"/>
          <w:bCs/>
          <w:color w:val="000000"/>
        </w:rPr>
        <w:fldChar w:fldCharType="end"/>
      </w:r>
      <w:r w:rsidRPr="006C37DC">
        <w:rPr>
          <w:rFonts w:ascii="Arial" w:eastAsia="Times New Roman" w:hAnsi="Arial" w:cs="Arial"/>
          <w:b/>
          <w:bCs/>
          <w:color w:val="000000"/>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Sequence alignment performed using CLUSTAW illustrating conserved cysteine residues in Arabidopsis EPF1, EPF2, CHALLAH/EPFL6 and STOMAGEN/EPFL9 peptides. (</w:t>
      </w:r>
      <w:r w:rsidRPr="006C37DC">
        <w:rPr>
          <w:rFonts w:ascii="Arial" w:eastAsia="Times New Roman" w:hAnsi="Arial" w:cs="Arial"/>
          <w:b/>
          <w:bCs/>
          <w:color w:val="000000"/>
        </w:rPr>
        <w:t>b</w:t>
      </w:r>
      <w:r w:rsidRPr="006C37DC">
        <w:rPr>
          <w:rFonts w:ascii="Arial" w:eastAsia="Times New Roman" w:hAnsi="Arial" w:cs="Arial"/>
          <w:bCs/>
          <w:color w:val="000000"/>
        </w:rPr>
        <w:t xml:space="preserve">) Diagram representing disulphide bridges and loop formation for the amino acid sequence relating to STOMAGEN based on Kondo and colleagues </w:t>
      </w:r>
      <w:r w:rsidRPr="006C37DC">
        <w:rPr>
          <w:rFonts w:ascii="Arial" w:eastAsia="Times New Roman" w:hAnsi="Arial" w:cs="Arial"/>
          <w:bCs/>
          <w:color w:val="000000"/>
        </w:rPr>
        <w:fldChar w:fldCharType="begin">
          <w:fldData xml:space="preserve">PEVuZE5vdGU+PENpdGUgRXhjbHVkZUF1dGg9IjEiPjxBdXRob3I+S29uZG88L0F1dGhvcj48WWVh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PEVuZE5vdGU+PENpdGUgRXhjbHVkZUF1dGg9IjEiPjxBdXRob3I+S29uZG88L0F1dGhvcj48WWVh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(2010)</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Disulphide bonds between pink-highlighted pairs of conserved cysteine residues are illustrated by pairs of solid black lines. The dotted region illustrates the loop region. Note in EPF1, EPF2 and EPFL7 a further pair of cysteine residues is also present in the loop region which appear to be deeply conserved in land plants as these residues are also present in the putative </w:t>
      </w:r>
      <w:r w:rsidRPr="006C37DC">
        <w:rPr>
          <w:rFonts w:ascii="Arial" w:eastAsia="Times New Roman" w:hAnsi="Arial" w:cs="Arial"/>
          <w:bCs/>
          <w:i/>
          <w:color w:val="000000"/>
        </w:rPr>
        <w:t xml:space="preserve">P. patens </w:t>
      </w:r>
      <w:r w:rsidRPr="006C37DC">
        <w:rPr>
          <w:rFonts w:ascii="Arial" w:eastAsia="Times New Roman" w:hAnsi="Arial" w:cs="Arial"/>
          <w:bCs/>
          <w:color w:val="000000"/>
        </w:rPr>
        <w:t xml:space="preserve">orthologue, </w:t>
      </w:r>
      <w:r w:rsidRPr="006C37DC">
        <w:rPr>
          <w:rFonts w:ascii="Arial" w:eastAsia="Times New Roman" w:hAnsi="Arial" w:cs="Arial"/>
          <w:bCs/>
          <w:i/>
          <w:color w:val="000000"/>
        </w:rPr>
        <w:t>PpEPF1</w:t>
      </w:r>
      <w:r w:rsidRPr="006C37DC">
        <w:rPr>
          <w:rFonts w:ascii="Arial" w:eastAsia="Times New Roman" w:hAnsi="Arial" w:cs="Arial"/>
          <w:bCs/>
          <w:color w:val="000000"/>
        </w:rPr>
        <w:t>.</w:t>
      </w:r>
      <w:r w:rsidRPr="006C37DC">
        <w:rPr>
          <w:rFonts w:ascii="Arial" w:eastAsia="Times New Roman" w:hAnsi="Arial" w:cs="Arial"/>
          <w:bCs/>
          <w:i/>
          <w:color w:val="000000"/>
        </w:rPr>
        <w:t xml:space="preserve"> </w:t>
      </w:r>
      <w:r w:rsidRPr="006C37DC">
        <w:rPr>
          <w:rFonts w:ascii="Arial" w:eastAsia="Times New Roman" w:hAnsi="Arial" w:cs="Arial"/>
          <w:bCs/>
          <w:color w:val="000000"/>
        </w:rPr>
        <w:fldChar w:fldCharType="begin">
          <w:fldData xml:space="preserve">PEVuZE5vdGU+PENpdGU+PEF1dGhvcj5UYWthdGE8L0F1dGhvcj48WWVhcj4yMDEzPC9ZZWFyPjxJ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PEVuZE5vdGU+PENpdGU+PEF1dGhvcj5UYWthdGE8L0F1dGhvcj48WWVhcj4yMDEzPC9ZZWFyPjxJ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(Ohki et al., 2011; Takata et al.,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These additional residues have been proposed to change the conformational shape of the loop in such peptides thereby altering the corresponding peptides function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&lt;EndNote&gt;&lt;Cite&gt;&lt;Author&gt;Takata&lt;/Author&gt;&lt;Year&gt;2013&lt;/Year&gt;&lt;IDText&gt;Evolutionary Relationship and Structural Characterization of the EPF/EPFL Gene Family&lt;/IDText&gt;&lt;DisplayText&gt;(Takata et al., 2013)&lt;/DisplayText&gt;&lt;record&gt;&lt;dates&gt;&lt;pub-dates&gt;&lt;date&gt;06/03&amp;#xD;12/28/received&amp;#xD;04/24/accepted&lt;/date&gt;&lt;/pub-dates&gt;&lt;year&gt;2013&lt;/year&gt;&lt;/dates&gt;&lt;urls&gt;&lt;related-urls&gt;&lt;url&gt;http://www.ncbi.nlm.nih.gov/pmc/articles/PMC3670920/&lt;/url&gt;&lt;/related-urls&gt;&lt;/urls&gt;&lt;isbn&gt;1932-6203&lt;/isbn&gt;&lt;titles&gt;&lt;title&gt;Evolutionary Relationship and Structural Characterization of the EPF/EPFL Gene Family&lt;/title&gt;&lt;secondary-title&gt;PLoS ONE&lt;/secondary-title&gt;&lt;/titles&gt;&lt;pages&gt;e65183&lt;/pages&gt;&lt;number&gt;6&lt;/number&gt;&lt;contributors&gt;&lt;authors&gt;&lt;author&gt;Takata, Naoki&lt;/author&gt;&lt;author&gt;Yokota, Kiyonobu&lt;/author&gt;&lt;author&gt;Ohki, Shinya&lt;/author&gt;&lt;author&gt;Mori, Masashi&lt;/author&gt;&lt;author&gt;Taniguchi, Toru&lt;/author&gt;&lt;author&gt;Kurita, Manabu&lt;/author&gt;&lt;/authors&gt;&lt;/contributors&gt;&lt;added-date format="utc"&gt;1451494706&lt;/added-date&gt;&lt;pub-location&gt;San Francisco, USA&lt;/pub-location&gt;&lt;ref-type name="Journal Article"&gt;17&lt;/ref-type&gt;&lt;rec-number&gt;217&lt;/rec-number&gt;&lt;publisher&gt;Public Library of Science&lt;/publisher&gt;&lt;last-updated-date format="utc"&gt;1451494706&lt;/last-updated-date&gt;&lt;accession-num&gt;PMC3670920&lt;/accession-num&gt;&lt;electronic-resource-num&gt;10.1371/journal.pone.0065183&lt;/electronic-resource-num&gt;&lt;volume&gt;8&lt;/volume&gt;&lt;remote-database-name&gt;PMC&lt;/remote-database-na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(Takata et al., 2013)</w:t>
      </w:r>
      <w:r w:rsidRPr="006C37DC">
        <w:rPr>
          <w:rFonts w:ascii="Arial" w:eastAsia="Times New Roman" w:hAnsi="Arial" w:cs="Arial"/>
          <w:bCs/>
          <w:color w:val="000000"/>
        </w:rPr>
        <w:fldChar w:fldCharType="end"/>
      </w:r>
      <w:r w:rsidRPr="006C37DC">
        <w:rPr>
          <w:rFonts w:ascii="Arial" w:eastAsia="Times New Roman" w:hAnsi="Arial" w:cs="Arial"/>
          <w:bCs/>
          <w:color w:val="000000"/>
        </w:rPr>
        <w:t>.</w:t>
      </w:r>
    </w:p>
    <w:p w14:paraId="33E6F6D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br w:type="page"/>
      </w:r>
    </w:p>
    <w:p w14:paraId="3E9971FF" w14:textId="64CBD954"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lastRenderedPageBreak/>
        <w:t>In the leaves of Arabidopsis EPF1, EPF2 and STOMAGEN (EPFL9) are particularly important for regulating stomatal development (</w:t>
      </w:r>
      <w:r w:rsidRPr="006C37DC">
        <w:rPr>
          <w:rFonts w:ascii="Arial" w:eastAsia="Times New Roman" w:hAnsi="Arial" w:cs="Arial"/>
          <w:b/>
          <w:bCs/>
          <w:color w:val="000000"/>
        </w:rPr>
        <w:t>Fig. 4</w:t>
      </w:r>
      <w:r w:rsidRPr="006C37DC">
        <w:rPr>
          <w:rFonts w:ascii="Arial" w:eastAsia="Times New Roman" w:hAnsi="Arial" w:cs="Arial"/>
          <w:bCs/>
          <w:color w:val="000000"/>
        </w:rPr>
        <w:t xml:space="preserve">) </w: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IDIwMDc7IEhhcmEgZXQgYWwuLCAyMDA5OyBIdW50IGV0IGFsLiwgMjAxMDsgSHVudCBhbmQgR3Jh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==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IDIwMDc7IEhhcmEgZXQgYWwuLCAyMDA5OyBIdW50IGV0IGFsLiwgMjAxMDsgSHVudCBhbmQgR3Jh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==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(Hara et al., 2007; Hara et al., 2009; Hunt et al., 2010; Hunt and Gray, 2009; Kondo et al., 2010; Sugano et al., 2010)</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For EPF1 and EPF2 this involves negatively regulating stomatal development. In the case of EPF2 this occurs early the early stages of the stomatal lineage. EPF2 functions predominantly by preventing asymmetric entry divisions amplifying divisions </w:t>
      </w:r>
      <w:r w:rsidRPr="006C37DC">
        <w:rPr>
          <w:rFonts w:ascii="Arial" w:eastAsia="Times New Roman" w:hAnsi="Arial" w:cs="Arial"/>
          <w:bCs/>
          <w:color w:val="000000"/>
        </w:rPr>
        <w:fldChar w:fldCharType="begin">
          <w:fldData xml:space="preserve">PEVuZE5vdGU+PENpdGU+PEF1dGhvcj5IdW50PC9BdXRob3I+PFllYXI+MjAwOTwvWWVhcj48SURU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PEVuZE5vdGU+PENpdGU+PEF1dGhvcj5IdW50PC9BdXRob3I+PFllYXI+MjAwOTwvWWVhcj48SURU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(Hara et al., 2009; Hunt and Gray, 2009)</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 later acting EPF1 predominantly prevents more advanced stomatal lineage cells from developing immediately adjacently to one another </w: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IDIwMDc7IEh1bnQgYW5kIEdyYXksIDIwMDkpPC9EaXNwbGF5VGV4dD48cmVjb3JkPjxkYXRlcz48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IDIwMDc7IEh1bnQgYW5kIEdyYXksIDIwMDkpPC9EaXNwbGF5VGV4dD48cmVjb3JkPjxkYXRlcz48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(Hara et al., 2007; Hunt and Gray, 2009)</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In contrast, STOMAGEN is a positive regulator of stomatal development which is produced in the mesophyll and functions more broadly during the course of stomatal development to encourage advancement in the stomatal lineage </w:t>
      </w:r>
      <w:r w:rsidRPr="006C37DC">
        <w:rPr>
          <w:rFonts w:ascii="Arial" w:eastAsia="Times New Roman" w:hAnsi="Arial" w:cs="Arial"/>
          <w:bCs/>
          <w:color w:val="000000"/>
        </w:rPr>
        <w:fldChar w:fldCharType="begin">
          <w:fldData xml:space="preserve">PEVuZE5vdGU+PENpdGU+PEF1dGhvcj5TdWdhbm88L0F1dGhvcj48WWVhcj4yMDEwPC9ZZWFyPjxJ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</w:fldData>
        </w:fldChar>
      </w:r>
      <w:r w:rsidR="00417B1E">
        <w:rPr>
          <w:rFonts w:ascii="Arial" w:eastAsia="Times New Roman" w:hAnsi="Arial" w:cs="Arial"/>
          <w:bCs/>
          <w:color w:val="000000"/>
        </w:rPr>
        <w:instrText xml:space="preserve"> ADDIN EN.CITE </w:instrText>
      </w:r>
      <w:r w:rsidR="00417B1E">
        <w:rPr>
          <w:rFonts w:ascii="Arial" w:eastAsia="Times New Roman" w:hAnsi="Arial" w:cs="Arial"/>
          <w:bCs/>
          <w:color w:val="000000"/>
        </w:rPr>
        <w:fldChar w:fldCharType="begin">
          <w:fldData xml:space="preserve">PEVuZE5vdGU+PENpdGU+PEF1dGhvcj5TdWdhbm88L0F1dGhvcj48WWVhcj4yMDEwPC9ZZWFyPjxJ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</w:fldData>
        </w:fldChar>
      </w:r>
      <w:r w:rsidR="00417B1E">
        <w:rPr>
          <w:rFonts w:ascii="Arial" w:eastAsia="Times New Roman" w:hAnsi="Arial" w:cs="Arial"/>
          <w:bCs/>
          <w:color w:val="000000"/>
        </w:rPr>
        <w:instrText xml:space="preserve"> ADDIN EN.CITE.DATA </w:instrText>
      </w:r>
      <w:r w:rsidR="00417B1E">
        <w:rPr>
          <w:rFonts w:ascii="Arial" w:eastAsia="Times New Roman" w:hAnsi="Arial" w:cs="Arial"/>
          <w:bCs/>
          <w:color w:val="000000"/>
        </w:rPr>
      </w:r>
      <w:r w:rsidR="00417B1E">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417B1E">
        <w:rPr>
          <w:rFonts w:ascii="Arial" w:eastAsia="Times New Roman" w:hAnsi="Arial" w:cs="Arial"/>
          <w:bCs/>
          <w:noProof/>
          <w:color w:val="000000"/>
        </w:rPr>
        <w:t>(Hunt et al., 2010; Kondo et al., 2010; Lee et al., 2015b; Sugano et al., 2010)</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 actions of EPF1, EPF2 and STOMAGEN are reliant on the actions of the membrane bound leucine-rich repeat (LRR), receptor-like protein (RLP) TOO MANY MOUTHS (TMM) and  the membrane proteins of the LRR receptor-like kinases (RLKs) family of redundantly acting ERECTAs (ERf), for which ERECTA (ER), ER-like 1 (ERL1) and ER-like 2 (ERL2) are members </w:t>
      </w:r>
      <w:r w:rsidRPr="006C37DC">
        <w:rPr>
          <w:rFonts w:ascii="Arial" w:eastAsia="Times New Roman" w:hAnsi="Arial" w:cs="Arial"/>
          <w:bCs/>
          <w:color w:val="000000"/>
        </w:rPr>
        <w:fldChar w:fldCharType="begin">
          <w:fldData xml:space="preserve">PEVuZE5vdGU+PENpdGU+PEF1dGhvcj5ZYW5nPC9BdXRob3I+PFllYXI+MTk5NTwvWWVhcj48SURU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</w:fldData>
        </w:fldChar>
      </w:r>
      <w:r w:rsidR="00417B1E">
        <w:rPr>
          <w:rFonts w:ascii="Arial" w:eastAsia="Times New Roman" w:hAnsi="Arial" w:cs="Arial"/>
          <w:bCs/>
          <w:color w:val="000000"/>
        </w:rPr>
        <w:instrText xml:space="preserve"> ADDIN EN.CITE </w:instrText>
      </w:r>
      <w:r w:rsidR="00417B1E">
        <w:rPr>
          <w:rFonts w:ascii="Arial" w:eastAsia="Times New Roman" w:hAnsi="Arial" w:cs="Arial"/>
          <w:bCs/>
          <w:color w:val="000000"/>
        </w:rPr>
        <w:fldChar w:fldCharType="begin">
          <w:fldData xml:space="preserve">PEVuZE5vdGU+PENpdGU+PEF1dGhvcj5ZYW5nPC9BdXRob3I+PFllYXI+MTk5NTwvWWVhcj48SURU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</w:fldData>
        </w:fldChar>
      </w:r>
      <w:r w:rsidR="00417B1E">
        <w:rPr>
          <w:rFonts w:ascii="Arial" w:eastAsia="Times New Roman" w:hAnsi="Arial" w:cs="Arial"/>
          <w:bCs/>
          <w:color w:val="000000"/>
        </w:rPr>
        <w:instrText xml:space="preserve"> ADDIN EN.CITE.DATA </w:instrText>
      </w:r>
      <w:r w:rsidR="00417B1E">
        <w:rPr>
          <w:rFonts w:ascii="Arial" w:eastAsia="Times New Roman" w:hAnsi="Arial" w:cs="Arial"/>
          <w:bCs/>
          <w:color w:val="000000"/>
        </w:rPr>
      </w:r>
      <w:r w:rsidR="00417B1E">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417B1E">
        <w:rPr>
          <w:rFonts w:ascii="Arial" w:eastAsia="Times New Roman" w:hAnsi="Arial" w:cs="Arial"/>
          <w:bCs/>
          <w:noProof/>
          <w:color w:val="000000"/>
        </w:rPr>
        <w:t>(Lee et al., 2015b; Lee et al., 2012; Shpak et al., 2005; Yang and Sack, 1995)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(see </w:t>
      </w:r>
      <w:r w:rsidRPr="006C37DC">
        <w:rPr>
          <w:rFonts w:ascii="Arial" w:eastAsia="Times New Roman" w:hAnsi="Arial" w:cs="Arial"/>
          <w:b/>
          <w:bCs/>
          <w:color w:val="000000"/>
        </w:rPr>
        <w:t>Fig. 3</w:t>
      </w:r>
      <w:r w:rsidRPr="006C37DC">
        <w:rPr>
          <w:rFonts w:ascii="Arial" w:eastAsia="Times New Roman" w:hAnsi="Arial" w:cs="Arial"/>
          <w:bCs/>
          <w:color w:val="000000"/>
        </w:rPr>
        <w:t xml:space="preserve">). Recently it has further been shown that other LRR RLKs known as the SOMATIC EMBRYOGENESIS RECEPTOR KINASEs or SERKs are also involved in the transduction of stomatal developmental signals across the plasma membrane during development </w:t>
      </w:r>
      <w:r w:rsidRPr="006C37DC">
        <w:rPr>
          <w:rFonts w:ascii="Arial" w:eastAsia="Times New Roman" w:hAnsi="Arial" w:cs="Arial"/>
          <w:bCs/>
          <w:color w:val="000000"/>
        </w:rPr>
        <w:fldChar w:fldCharType="begin">
          <w:fldData xml:space="preserve">PEVuZE5vdGU+PENpdGU+PEF1dGhvcj5NZW5nPC9BdXRob3I+PFllYXI+MjAxNTwvWWVhcj48SURU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PEVuZE5vdGU+PENpdGU+PEF1dGhvcj5NZW5nPC9BdXRob3I+PFllYXI+MjAxNTwvWWVhcj48SURU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(Meng et al., 2015)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SERKs, like TMM and ERf members reside in the plasma membrane and become active when specific EPF-ERf or EPF2-TMM complexes form </w:t>
      </w:r>
      <w:r w:rsidRPr="006C37DC">
        <w:rPr>
          <w:rFonts w:ascii="Arial" w:eastAsia="Times New Roman" w:hAnsi="Arial" w:cs="Arial"/>
          <w:bCs/>
          <w:color w:val="000000"/>
        </w:rPr>
        <w:fldChar w:fldCharType="begin">
          <w:fldData xml:space="preserve">PEVuZE5vdGU+PENpdGU+PEF1dGhvcj5NZW5nPC9BdXRob3I+PFllYXI+MjAxNTwvWWVhcj48SURU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PEVuZE5vdGU+PENpdGU+PEF1dGhvcj5NZW5nPC9BdXRob3I+PFllYXI+MjAxNTwvWWVhcj48SURU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(Meng et al., 2015)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How or if binding of STOMAGEN to TMM and or ERf family members influences SERK activity has yet to be determined. </w:t>
      </w:r>
    </w:p>
    <w:p w14:paraId="1FB72B31" w14:textId="409DA1B4"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Questions relating to whether EPF/Ls preferentially bind with specific ERf members, whether EPF/Ls compete against each other for the binding of a particular ERf and whether such EPF/Ls also interact with TMM have received considerable attention enabling a better understanding of how the inter-connected stages of stomatal development unfold in Arabidopsis </w:t>
      </w:r>
      <w:r w:rsidRPr="006C37DC">
        <w:rPr>
          <w:rFonts w:ascii="Arial" w:eastAsia="Times New Roman" w:hAnsi="Arial" w:cs="Arial"/>
          <w:bCs/>
          <w:color w:val="000000"/>
        </w:rPr>
        <w:fldChar w:fldCharType="begin">
          <w:fldData xml:space="preserve">PEVuZE5vdGU+PENpdGU+PEF1dGhvcj5MZWU8L0F1dGhvcj48WWVhcj4yMDEyPC9ZZWFyPjxJRFRl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=
</w:fldData>
        </w:fldChar>
      </w:r>
      <w:r w:rsidR="00417B1E">
        <w:rPr>
          <w:rFonts w:ascii="Arial" w:eastAsia="Times New Roman" w:hAnsi="Arial" w:cs="Arial"/>
          <w:bCs/>
          <w:color w:val="000000"/>
        </w:rPr>
        <w:instrText xml:space="preserve"> ADDIN EN.CITE </w:instrText>
      </w:r>
      <w:r w:rsidR="00417B1E">
        <w:rPr>
          <w:rFonts w:ascii="Arial" w:eastAsia="Times New Roman" w:hAnsi="Arial" w:cs="Arial"/>
          <w:bCs/>
          <w:color w:val="000000"/>
        </w:rPr>
        <w:fldChar w:fldCharType="begin">
          <w:fldData xml:space="preserve">PEVuZE5vdGU+PENpdGU+PEF1dGhvcj5MZWU8L0F1dGhvcj48WWVhcj4yMDEyPC9ZZWFyPjxJRFRl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=
</w:fldData>
        </w:fldChar>
      </w:r>
      <w:r w:rsidR="00417B1E">
        <w:rPr>
          <w:rFonts w:ascii="Arial" w:eastAsia="Times New Roman" w:hAnsi="Arial" w:cs="Arial"/>
          <w:bCs/>
          <w:color w:val="000000"/>
        </w:rPr>
        <w:instrText xml:space="preserve"> ADDIN EN.CITE.DATA </w:instrText>
      </w:r>
      <w:r w:rsidR="00417B1E">
        <w:rPr>
          <w:rFonts w:ascii="Arial" w:eastAsia="Times New Roman" w:hAnsi="Arial" w:cs="Arial"/>
          <w:bCs/>
          <w:color w:val="000000"/>
        </w:rPr>
      </w:r>
      <w:r w:rsidR="00417B1E">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417B1E">
        <w:rPr>
          <w:rFonts w:ascii="Arial" w:eastAsia="Times New Roman" w:hAnsi="Arial" w:cs="Arial"/>
          <w:bCs/>
          <w:noProof/>
          <w:color w:val="000000"/>
        </w:rPr>
        <w:t>(Jewaria et al., 2013; Lee et al., 2015b; Lee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For the early acting EPF2 preferential binding occurs with ER </w:t>
      </w:r>
      <w:r w:rsidRPr="006C37DC">
        <w:rPr>
          <w:rFonts w:ascii="Arial" w:eastAsia="Times New Roman" w:hAnsi="Arial" w:cs="Arial"/>
          <w:bCs/>
          <w:color w:val="000000"/>
        </w:rPr>
        <w:fldChar w:fldCharType="begin">
          <w:fldData xml:space="preserve">PEVuZE5vdGU+PENpdGU+PEF1dGhvcj5MZWU8L0F1dGhvcj48WWVhcj4yMDEyPC9ZZWFyPjxJRFRl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PEVuZE5vdGU+PENpdGU+PEF1dGhvcj5MZWU8L0F1dGhvcj48WWVhcj4yMDEyPC9ZZWFyPjxJRFRl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(Hunt and Gray, 2009; Lee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Recently, it has been shown that like EPF2, the more broadly functioning STOMAGEN also preferentially binds with ER thereby competing with EPF2 for this receptor </w:t>
      </w:r>
      <w:r w:rsidRPr="006C37DC">
        <w:rPr>
          <w:rFonts w:ascii="Arial" w:eastAsia="Times New Roman" w:hAnsi="Arial" w:cs="Arial"/>
          <w:bCs/>
          <w:color w:val="000000"/>
        </w:rPr>
        <w:fldChar w:fldCharType="begin">
          <w:fldData xml:space="preserve">PEVuZE5vdGU+PENpdGU+PEF1dGhvcj5MZWU8L0F1dGhvcj48WWVhcj4yMDE1PC9ZZWFyPjxJRFRl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</w:fldData>
        </w:fldChar>
      </w:r>
      <w:r w:rsidR="00417B1E">
        <w:rPr>
          <w:rFonts w:ascii="Arial" w:eastAsia="Times New Roman" w:hAnsi="Arial" w:cs="Arial"/>
          <w:bCs/>
          <w:color w:val="000000"/>
        </w:rPr>
        <w:instrText xml:space="preserve"> ADDIN EN.CITE </w:instrText>
      </w:r>
      <w:r w:rsidR="00417B1E">
        <w:rPr>
          <w:rFonts w:ascii="Arial" w:eastAsia="Times New Roman" w:hAnsi="Arial" w:cs="Arial"/>
          <w:bCs/>
          <w:color w:val="000000"/>
        </w:rPr>
        <w:fldChar w:fldCharType="begin">
          <w:fldData xml:space="preserve">PEVuZE5vdGU+PENpdGU+PEF1dGhvcj5MZWU8L0F1dGhvcj48WWVhcj4yMDE1PC9ZZWFyPjxJRFRl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</w:fldData>
        </w:fldChar>
      </w:r>
      <w:r w:rsidR="00417B1E">
        <w:rPr>
          <w:rFonts w:ascii="Arial" w:eastAsia="Times New Roman" w:hAnsi="Arial" w:cs="Arial"/>
          <w:bCs/>
          <w:color w:val="000000"/>
        </w:rPr>
        <w:instrText xml:space="preserve"> ADDIN EN.CITE.DATA </w:instrText>
      </w:r>
      <w:r w:rsidR="00417B1E">
        <w:rPr>
          <w:rFonts w:ascii="Arial" w:eastAsia="Times New Roman" w:hAnsi="Arial" w:cs="Arial"/>
          <w:bCs/>
          <w:color w:val="000000"/>
        </w:rPr>
      </w:r>
      <w:r w:rsidR="00417B1E">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417B1E">
        <w:rPr>
          <w:rFonts w:ascii="Arial" w:eastAsia="Times New Roman" w:hAnsi="Arial" w:cs="Arial"/>
          <w:bCs/>
          <w:noProof/>
          <w:color w:val="000000"/>
        </w:rPr>
        <w:t>(Lee et al., 2015b)</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 later acting EPF1 again also has a preferential ERf partner in ERL1, differently from EPF2 and STOMAGEN </w:t>
      </w:r>
      <w:r w:rsidRPr="006C37DC">
        <w:rPr>
          <w:rFonts w:ascii="Arial" w:eastAsia="Times New Roman" w:hAnsi="Arial" w:cs="Arial"/>
          <w:bCs/>
          <w:color w:val="000000"/>
        </w:rPr>
        <w:fldChar w:fldCharType="begin">
          <w:fldData xml:space="preserve">PEVuZE5vdGU+PENpdGU+PEF1dGhvcj5MZWU8L0F1dGhvcj48WWVhcj4yMDEyPC9ZZWFyPjxJRFRl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PEVuZE5vdGU+PENpdGU+PEF1dGhvcj5MZWU8L0F1dGhvcj48WWVhcj4yMDEyPC9ZZWFyPjxJRFRl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(Lee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Whether STOMAGEN can outcompete EPF1 in a dosage dependent manner does not appear to have been tested. With regard to EPF/L interactions with TMM, assays suggest that both EPF2 and STOMAGEN can bind directly, however TMM-EPF1 interactions were not observed </w:t>
      </w:r>
      <w:r w:rsidRPr="006C37DC">
        <w:rPr>
          <w:rFonts w:ascii="Arial" w:eastAsia="Times New Roman" w:hAnsi="Arial" w:cs="Arial"/>
          <w:bCs/>
          <w:i/>
          <w:color w:val="000000"/>
        </w:rPr>
        <w:t>in planta</w:t>
      </w:r>
      <w:r w:rsidRPr="006C37DC">
        <w:rPr>
          <w:rFonts w:ascii="Arial" w:eastAsia="Times New Roman" w:hAnsi="Arial" w:cs="Arial"/>
          <w:bCs/>
          <w:color w:val="000000"/>
        </w:rPr>
        <w:t xml:space="preserve"> but have been </w:t>
      </w:r>
      <w:r w:rsidRPr="006C37DC">
        <w:rPr>
          <w:rFonts w:ascii="Arial" w:eastAsia="Times New Roman" w:hAnsi="Arial" w:cs="Arial"/>
          <w:bCs/>
          <w:color w:val="000000"/>
        </w:rPr>
        <w:lastRenderedPageBreak/>
        <w:t xml:space="preserve">observed in a synthetic system </w:t>
      </w:r>
      <w:r w:rsidRPr="006C37DC">
        <w:rPr>
          <w:rFonts w:ascii="Arial" w:eastAsia="Times New Roman" w:hAnsi="Arial" w:cs="Arial"/>
          <w:bCs/>
          <w:color w:val="000000"/>
        </w:rPr>
        <w:fldChar w:fldCharType="begin">
          <w:fldData xml:space="preserve">PEVuZE5vdGU+PENpdGU+PEF1dGhvcj5MZWU8L0F1dGhvcj48WWVhcj4yMDEyPC9ZZWFyPjxJRFRl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=
</w:fldData>
        </w:fldChar>
      </w:r>
      <w:r w:rsidR="00417B1E">
        <w:rPr>
          <w:rFonts w:ascii="Arial" w:eastAsia="Times New Roman" w:hAnsi="Arial" w:cs="Arial"/>
          <w:bCs/>
          <w:color w:val="000000"/>
        </w:rPr>
        <w:instrText xml:space="preserve"> ADDIN EN.CITE </w:instrText>
      </w:r>
      <w:r w:rsidR="00417B1E">
        <w:rPr>
          <w:rFonts w:ascii="Arial" w:eastAsia="Times New Roman" w:hAnsi="Arial" w:cs="Arial"/>
          <w:bCs/>
          <w:color w:val="000000"/>
        </w:rPr>
        <w:fldChar w:fldCharType="begin">
          <w:fldData xml:space="preserve">PEVuZE5vdGU+PENpdGU+PEF1dGhvcj5MZWU8L0F1dGhvcj48WWVhcj4yMDEyPC9ZZWFyPjxJRFRl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=
</w:fldData>
        </w:fldChar>
      </w:r>
      <w:r w:rsidR="00417B1E">
        <w:rPr>
          <w:rFonts w:ascii="Arial" w:eastAsia="Times New Roman" w:hAnsi="Arial" w:cs="Arial"/>
          <w:bCs/>
          <w:color w:val="000000"/>
        </w:rPr>
        <w:instrText xml:space="preserve"> ADDIN EN.CITE.DATA </w:instrText>
      </w:r>
      <w:r w:rsidR="00417B1E">
        <w:rPr>
          <w:rFonts w:ascii="Arial" w:eastAsia="Times New Roman" w:hAnsi="Arial" w:cs="Arial"/>
          <w:bCs/>
          <w:color w:val="000000"/>
        </w:rPr>
      </w:r>
      <w:r w:rsidR="00417B1E">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417B1E">
        <w:rPr>
          <w:rFonts w:ascii="Arial" w:eastAsia="Times New Roman" w:hAnsi="Arial" w:cs="Arial"/>
          <w:bCs/>
          <w:noProof/>
          <w:color w:val="000000"/>
        </w:rPr>
        <w:t>(Jewaria et al., 2013; Lee et al., 2015b; Lee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Given that TMM can interact with both ER and ERL1 a complex picture is emerging of multiple interactions at the surface of the plasma membrane that permit signal transduction during stomatal development </w:t>
      </w:r>
      <w:r w:rsidRPr="006C37DC">
        <w:rPr>
          <w:rFonts w:ascii="Arial" w:eastAsia="Times New Roman" w:hAnsi="Arial" w:cs="Arial"/>
          <w:bCs/>
          <w:color w:val="000000"/>
        </w:rPr>
        <w:fldChar w:fldCharType="begin">
          <w:fldData xml:space="preserve">PEVuZE5vdGU+PENpdGU+PEF1dGhvcj5MZWU8L0F1dGhvcj48WWVhcj4yMDEyPC9ZZWFyPjxJRFRl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PEVuZE5vdGU+PENpdGU+PEF1dGhvcj5MZWU8L0F1dGhvcj48WWVhcj4yMDEyPC9ZZWFyPjxJRFRl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(Lee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t>
      </w:r>
    </w:p>
    <w:p w14:paraId="5100AB53" w14:textId="77777777" w:rsidR="006C37DC" w:rsidRPr="006C37DC" w:rsidRDefault="006C37DC" w:rsidP="006C37DC">
      <w:pPr>
        <w:spacing w:after="160" w:line="360" w:lineRule="auto"/>
        <w:rPr>
          <w:rFonts w:ascii="Arial" w:eastAsia="Times New Roman" w:hAnsi="Arial" w:cs="Arial"/>
          <w:bCs/>
          <w:color w:val="000000"/>
          <w:u w:val="single"/>
        </w:rPr>
      </w:pPr>
      <w:r w:rsidRPr="006C37DC">
        <w:rPr>
          <w:rFonts w:ascii="Arial" w:eastAsia="Times New Roman" w:hAnsi="Arial" w:cs="Arial"/>
          <w:bCs/>
          <w:color w:val="000000"/>
          <w:u w:val="single"/>
        </w:rPr>
        <w:t>4.1.4 The integration of many signals in many different organs by TOO MANY MOUTHS (TMM)</w:t>
      </w:r>
    </w:p>
    <w:p w14:paraId="21B975A8" w14:textId="4BF5DF2F"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Many of the advances in stomatal development have centred around one of the first genes identified to be involved in stomatal development and patterning, the LRR RLP, TOO MANY MOUTHS (TMM) </w:t>
      </w:r>
      <w:r w:rsidRPr="006C37DC">
        <w:rPr>
          <w:rFonts w:ascii="Arial" w:eastAsia="Times New Roman" w:hAnsi="Arial" w:cs="Arial"/>
          <w:bCs/>
          <w:color w:val="000000"/>
        </w:rPr>
        <w:fldChar w:fldCharType="begin">
          <w:fldData xml:space="preserve">PEVuZE5vdGU+PENpdGU+PEF1dGhvcj5ZYW5nPC9BdXRob3I+PFllYXI+MTk5NTwvWWVhcj48SURU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==
</w:fldData>
        </w:fldChar>
      </w:r>
      <w:r w:rsidR="00417B1E">
        <w:rPr>
          <w:rFonts w:ascii="Arial" w:eastAsia="Times New Roman" w:hAnsi="Arial" w:cs="Arial"/>
          <w:bCs/>
          <w:color w:val="000000"/>
        </w:rPr>
        <w:instrText xml:space="preserve"> ADDIN EN.CITE </w:instrText>
      </w:r>
      <w:r w:rsidR="00417B1E">
        <w:rPr>
          <w:rFonts w:ascii="Arial" w:eastAsia="Times New Roman" w:hAnsi="Arial" w:cs="Arial"/>
          <w:bCs/>
          <w:color w:val="000000"/>
        </w:rPr>
        <w:fldChar w:fldCharType="begin">
          <w:fldData xml:space="preserve">PEVuZE5vdGU+PENpdGU+PEF1dGhvcj5ZYW5nPC9BdXRob3I+PFllYXI+MTk5NTwvWWVhcj48SURU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==
</w:fldData>
        </w:fldChar>
      </w:r>
      <w:r w:rsidR="00417B1E">
        <w:rPr>
          <w:rFonts w:ascii="Arial" w:eastAsia="Times New Roman" w:hAnsi="Arial" w:cs="Arial"/>
          <w:bCs/>
          <w:color w:val="000000"/>
        </w:rPr>
        <w:instrText xml:space="preserve"> ADDIN EN.CITE.DATA </w:instrText>
      </w:r>
      <w:r w:rsidR="00417B1E">
        <w:rPr>
          <w:rFonts w:ascii="Arial" w:eastAsia="Times New Roman" w:hAnsi="Arial" w:cs="Arial"/>
          <w:bCs/>
          <w:color w:val="000000"/>
        </w:rPr>
      </w:r>
      <w:r w:rsidR="00417B1E">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417B1E">
        <w:rPr>
          <w:rFonts w:ascii="Arial" w:eastAsia="Times New Roman" w:hAnsi="Arial" w:cs="Arial"/>
          <w:bCs/>
          <w:noProof/>
          <w:color w:val="000000"/>
        </w:rPr>
        <w:t>(Abrash and Bergmann, 2010; Abrash et al., 2011; Geisler et al., 2000; Geisler et al., 1998; Nadeau and Sack, 2002a; Yang and Sack, 1995)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Whilst TMM’s function is complex, its overall role appears to be to mediate interactions between EPF/L signalling peptides in the apoplast and RLKs in the plasma membrane </w:t>
      </w:r>
      <w:r w:rsidRPr="006C37DC">
        <w:rPr>
          <w:rFonts w:ascii="Arial" w:eastAsia="Times New Roman" w:hAnsi="Arial" w:cs="Arial"/>
          <w:bCs/>
          <w:color w:val="000000"/>
        </w:rPr>
        <w:fldChar w:fldCharType="begin">
          <w:fldData xml:space="preserve">PEVuZE5vdGU+PENpdGU+PEF1dGhvcj5NZW5nPC9BdXRob3I+PFllYXI+MjAxNTwvWWVhcj48SURU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</w:fldData>
        </w:fldChar>
      </w:r>
      <w:r w:rsidR="00417B1E">
        <w:rPr>
          <w:rFonts w:ascii="Arial" w:eastAsia="Times New Roman" w:hAnsi="Arial" w:cs="Arial"/>
          <w:bCs/>
          <w:color w:val="000000"/>
        </w:rPr>
        <w:instrText xml:space="preserve"> ADDIN EN.CITE </w:instrText>
      </w:r>
      <w:r w:rsidR="00417B1E">
        <w:rPr>
          <w:rFonts w:ascii="Arial" w:eastAsia="Times New Roman" w:hAnsi="Arial" w:cs="Arial"/>
          <w:bCs/>
          <w:color w:val="000000"/>
        </w:rPr>
        <w:fldChar w:fldCharType="begin">
          <w:fldData xml:space="preserve">PEVuZE5vdGU+PENpdGU+PEF1dGhvcj5NZW5nPC9BdXRob3I+PFllYXI+MjAxNTwvWWVhcj48SURU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</w:fldData>
        </w:fldChar>
      </w:r>
      <w:r w:rsidR="00417B1E">
        <w:rPr>
          <w:rFonts w:ascii="Arial" w:eastAsia="Times New Roman" w:hAnsi="Arial" w:cs="Arial"/>
          <w:bCs/>
          <w:color w:val="000000"/>
        </w:rPr>
        <w:instrText xml:space="preserve"> ADDIN EN.CITE.DATA </w:instrText>
      </w:r>
      <w:r w:rsidR="00417B1E">
        <w:rPr>
          <w:rFonts w:ascii="Arial" w:eastAsia="Times New Roman" w:hAnsi="Arial" w:cs="Arial"/>
          <w:bCs/>
          <w:color w:val="000000"/>
        </w:rPr>
      </w:r>
      <w:r w:rsidR="00417B1E">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417B1E">
        <w:rPr>
          <w:rFonts w:ascii="Arial" w:eastAsia="Times New Roman" w:hAnsi="Arial" w:cs="Arial"/>
          <w:bCs/>
          <w:noProof/>
          <w:color w:val="000000"/>
        </w:rPr>
        <w:t>(Abrash et al., 2011; Lee et al., 2015b; Lee et al., 2012; Meng et al., 2015; Shpak et al., 2005)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By functioning in such a manner, TMM moderates which signals can be relayed into developing cells during stomatal development. Whilst TMM permits positive signals relating to stomatal development to enter some cells it concurrently functions to prevent neighbouring cells from also advancing in the stomatal lineage and thereby prevents stomatal clustering </w:t>
      </w:r>
      <w:r w:rsidRPr="006C37DC">
        <w:rPr>
          <w:rFonts w:ascii="Arial" w:eastAsia="Times New Roman" w:hAnsi="Arial" w:cs="Arial"/>
          <w:bCs/>
          <w:color w:val="000000"/>
        </w:rPr>
        <w:fldChar w:fldCharType="begin">
          <w:fldData xml:space="preserve">PEVuZE5vdGU+PENpdGU+PEF1dGhvcj5ZYW5nPC9BdXRob3I+PFllYXI+MTk5NTwvWWVhcj48SURU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</w:fldData>
        </w:fldChar>
      </w:r>
      <w:r w:rsidR="00417B1E">
        <w:rPr>
          <w:rFonts w:ascii="Arial" w:eastAsia="Times New Roman" w:hAnsi="Arial" w:cs="Arial"/>
          <w:bCs/>
          <w:color w:val="000000"/>
        </w:rPr>
        <w:instrText xml:space="preserve"> ADDIN EN.CITE </w:instrText>
      </w:r>
      <w:r w:rsidR="00417B1E">
        <w:rPr>
          <w:rFonts w:ascii="Arial" w:eastAsia="Times New Roman" w:hAnsi="Arial" w:cs="Arial"/>
          <w:bCs/>
          <w:color w:val="000000"/>
        </w:rPr>
        <w:fldChar w:fldCharType="begin">
          <w:fldData xml:space="preserve">PEVuZE5vdGU+PENpdGU+PEF1dGhvcj5ZYW5nPC9BdXRob3I+PFllYXI+MTk5NTwvWWVhcj48SURU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</w:fldData>
        </w:fldChar>
      </w:r>
      <w:r w:rsidR="00417B1E">
        <w:rPr>
          <w:rFonts w:ascii="Arial" w:eastAsia="Times New Roman" w:hAnsi="Arial" w:cs="Arial"/>
          <w:bCs/>
          <w:color w:val="000000"/>
        </w:rPr>
        <w:instrText xml:space="preserve"> ADDIN EN.CITE.DATA </w:instrText>
      </w:r>
      <w:r w:rsidR="00417B1E">
        <w:rPr>
          <w:rFonts w:ascii="Arial" w:eastAsia="Times New Roman" w:hAnsi="Arial" w:cs="Arial"/>
          <w:bCs/>
          <w:color w:val="000000"/>
        </w:rPr>
      </w:r>
      <w:r w:rsidR="00417B1E">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417B1E">
        <w:rPr>
          <w:rFonts w:ascii="Arial" w:eastAsia="Times New Roman" w:hAnsi="Arial" w:cs="Arial"/>
          <w:bCs/>
          <w:noProof/>
          <w:color w:val="000000"/>
        </w:rPr>
        <w:t>(de Marcos et al., 2016; Nadeau and Sack, 2002a; Yang and Sack, 1995)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t>
      </w:r>
    </w:p>
    <w:p w14:paraId="62E37416" w14:textId="3624C6E2"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Interstingly, mutants defective in TMM have been shown to have different stomatal phenotypes in different organs </w:t>
      </w:r>
      <w:r w:rsidRPr="006C37DC">
        <w:rPr>
          <w:rFonts w:ascii="Arial" w:eastAsia="Times New Roman" w:hAnsi="Arial" w:cs="Arial"/>
          <w:bCs/>
          <w:color w:val="000000"/>
        </w:rPr>
        <w:fldChar w:fldCharType="begin">
          <w:fldData xml:space="preserve">PEVuZE5vdGU+PENpdGU+PEF1dGhvcj5ZYW5nPC9BdXRob3I+PFllYXI+MTk5NTwvWWVhcj48SURU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=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PEVuZE5vdGU+PENpdGU+PEF1dGhvcj5ZYW5nPC9BdXRob3I+PFllYXI+MTk5NTwvWWVhcj48SURU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=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(Bhave et al., 2009; Geisler et al., 1998; Yang and Sack, 1995)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t>
      </w:r>
      <w:r w:rsidRPr="006C37DC">
        <w:rPr>
          <w:rFonts w:ascii="Arial" w:eastAsia="Times New Roman" w:hAnsi="Arial" w:cs="Arial"/>
          <w:b/>
          <w:bCs/>
          <w:color w:val="000000"/>
        </w:rPr>
        <w:t>Fig. 5</w:t>
      </w:r>
      <w:r w:rsidRPr="006C37DC">
        <w:rPr>
          <w:rFonts w:ascii="Arial" w:eastAsia="Times New Roman" w:hAnsi="Arial" w:cs="Arial"/>
          <w:bCs/>
          <w:color w:val="000000"/>
        </w:rPr>
        <w:t xml:space="preserve">). For flower stalk apices (apical regions of </w:t>
      </w:r>
      <w:r w:rsidRPr="006C37DC">
        <w:rPr>
          <w:rFonts w:ascii="Arial" w:eastAsia="Times New Roman" w:hAnsi="Arial" w:cs="Arial"/>
          <w:b/>
          <w:bCs/>
          <w:color w:val="000000"/>
        </w:rPr>
        <w:t>Fig. 5a</w:t>
      </w:r>
      <w:r w:rsidRPr="006C37DC">
        <w:rPr>
          <w:rFonts w:ascii="Arial" w:eastAsia="Times New Roman" w:hAnsi="Arial" w:cs="Arial"/>
          <w:bCs/>
          <w:color w:val="000000"/>
        </w:rPr>
        <w:t>-</w:t>
      </w:r>
      <w:r w:rsidRPr="006C37DC">
        <w:rPr>
          <w:rFonts w:ascii="Arial" w:eastAsia="Times New Roman" w:hAnsi="Arial" w:cs="Arial"/>
          <w:b/>
          <w:bCs/>
          <w:color w:val="000000"/>
        </w:rPr>
        <w:t>b</w:t>
      </w:r>
      <w:r w:rsidRPr="006C37DC">
        <w:rPr>
          <w:rFonts w:ascii="Arial" w:eastAsia="Times New Roman" w:hAnsi="Arial" w:cs="Arial"/>
          <w:bCs/>
          <w:color w:val="000000"/>
        </w:rPr>
        <w:t>) and the abaxial surfaces of leaves (</w:t>
      </w:r>
      <w:r w:rsidRPr="006C37DC">
        <w:rPr>
          <w:rFonts w:ascii="Arial" w:eastAsia="Times New Roman" w:hAnsi="Arial" w:cs="Arial"/>
          <w:b/>
          <w:bCs/>
          <w:color w:val="000000"/>
        </w:rPr>
        <w:t>Fig. 5c</w:t>
      </w:r>
      <w:r w:rsidRPr="006C37DC">
        <w:rPr>
          <w:rFonts w:ascii="Arial" w:eastAsia="Times New Roman" w:hAnsi="Arial" w:cs="Arial"/>
          <w:bCs/>
          <w:color w:val="000000"/>
        </w:rPr>
        <w:t>-</w:t>
      </w:r>
      <w:r w:rsidRPr="006C37DC">
        <w:rPr>
          <w:rFonts w:ascii="Arial" w:eastAsia="Times New Roman" w:hAnsi="Arial" w:cs="Arial"/>
          <w:b/>
          <w:bCs/>
          <w:color w:val="000000"/>
        </w:rPr>
        <w:t>d</w:t>
      </w:r>
      <w:r w:rsidRPr="006C37DC">
        <w:rPr>
          <w:rFonts w:ascii="Arial" w:eastAsia="Times New Roman" w:hAnsi="Arial" w:cs="Arial"/>
          <w:bCs/>
          <w:color w:val="000000"/>
        </w:rPr>
        <w:t xml:space="preserve">), sepals and cotyledons this often leads to ectopic stomatal formation and clustering </w:t>
      </w:r>
      <w:r w:rsidRPr="006C37DC">
        <w:rPr>
          <w:rFonts w:ascii="Arial" w:eastAsia="Times New Roman" w:hAnsi="Arial" w:cs="Arial"/>
          <w:bCs/>
          <w:color w:val="000000"/>
        </w:rPr>
        <w:fldChar w:fldCharType="begin">
          <w:fldData xml:space="preserve">PEVuZE5vdGU+PENpdGU+PEF1dGhvcj5HZWlzbGVyPC9BdXRob3I+PFllYXI+MTk5ODwvWWVhcj48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PEVuZE5vdGU+PENpdGU+PEF1dGhvcj5HZWlzbGVyPC9BdXRob3I+PFllYXI+MTk5ODwvWWVhcj48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(Abrash and Bergmann, 2010; Bhave et al., 2009; Geisler et al., 1998; Yang and Sack, 1995)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Conversely, in other organs and different areas within the same organs such siliques, cauline leaves or the adaxial surfaces of sepals and cotyledons the number of stomata forming is reduced. In extreme situations such as on the </w:t>
      </w:r>
      <w:r w:rsidR="00EE0DEA">
        <w:rPr>
          <w:rFonts w:ascii="Arial" w:eastAsia="Times New Roman" w:hAnsi="Arial" w:cs="Arial"/>
          <w:bCs/>
          <w:color w:val="000000"/>
        </w:rPr>
        <w:t>inflorescence</w:t>
      </w:r>
      <w:r w:rsidRPr="006C37DC">
        <w:rPr>
          <w:rFonts w:ascii="Arial" w:eastAsia="Times New Roman" w:hAnsi="Arial" w:cs="Arial"/>
          <w:bCs/>
          <w:color w:val="000000"/>
        </w:rPr>
        <w:t xml:space="preserve"> stems and at the base of flower stalk (basal regions of </w:t>
      </w:r>
      <w:r w:rsidRPr="006C37DC">
        <w:rPr>
          <w:rFonts w:ascii="Arial" w:eastAsia="Times New Roman" w:hAnsi="Arial" w:cs="Arial"/>
          <w:b/>
          <w:bCs/>
          <w:color w:val="000000"/>
        </w:rPr>
        <w:t>Fig. 5c</w:t>
      </w:r>
      <w:r w:rsidRPr="006C37DC">
        <w:rPr>
          <w:rFonts w:ascii="Arial" w:eastAsia="Times New Roman" w:hAnsi="Arial" w:cs="Arial"/>
          <w:bCs/>
          <w:color w:val="000000"/>
        </w:rPr>
        <w:t>-</w:t>
      </w:r>
      <w:r w:rsidRPr="006C37DC">
        <w:rPr>
          <w:rFonts w:ascii="Arial" w:eastAsia="Times New Roman" w:hAnsi="Arial" w:cs="Arial"/>
          <w:b/>
          <w:bCs/>
          <w:color w:val="000000"/>
        </w:rPr>
        <w:t>d</w:t>
      </w:r>
      <w:r w:rsidRPr="006C37DC">
        <w:rPr>
          <w:rFonts w:ascii="Arial" w:eastAsia="Times New Roman" w:hAnsi="Arial" w:cs="Arial"/>
          <w:bCs/>
          <w:color w:val="000000"/>
        </w:rPr>
        <w:t>) stomatal formation is completely absent. In the case of the latter, a base-to-apex gradient is present with stomatal formation gradually occurring from approximately 1/3 of the way up the stem from the base (</w:t>
      </w:r>
      <w:r w:rsidRPr="006C37DC">
        <w:rPr>
          <w:rFonts w:ascii="Arial" w:eastAsia="Times New Roman" w:hAnsi="Arial" w:cs="Arial"/>
          <w:b/>
          <w:bCs/>
          <w:color w:val="000000"/>
        </w:rPr>
        <w:t>Fig. 5c</w:t>
      </w:r>
      <w:r w:rsidRPr="006C37DC">
        <w:rPr>
          <w:rFonts w:ascii="Arial" w:eastAsia="Times New Roman" w:hAnsi="Arial" w:cs="Arial"/>
          <w:bCs/>
          <w:color w:val="000000"/>
        </w:rPr>
        <w:t>-</w:t>
      </w:r>
      <w:r w:rsidRPr="006C37DC">
        <w:rPr>
          <w:rFonts w:ascii="Arial" w:eastAsia="Times New Roman" w:hAnsi="Arial" w:cs="Arial"/>
          <w:b/>
          <w:bCs/>
          <w:color w:val="000000"/>
        </w:rPr>
        <w:t>d</w:t>
      </w:r>
      <w:r w:rsidRPr="006C37DC">
        <w:rPr>
          <w:rFonts w:ascii="Arial" w:eastAsia="Times New Roman" w:hAnsi="Arial" w:cs="Arial"/>
          <w:bCs/>
          <w:color w:val="000000"/>
        </w:rPr>
        <w:t xml:space="preserve">)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&lt;EndNote&gt;&lt;Cite&gt;&lt;Author&gt;Geisler&lt;/Author&gt;&lt;Year&gt;1998&lt;/Year&gt;&lt;IDText&gt;Divergent regulation of stomatal initiation and patterning in organ and suborgan regions of the Arabidopsis mutants too many mouths and four lips&lt;/IDText&gt;&lt;DisplayText&gt;(Geisler et al., 1998)&lt;/DisplayText&gt;&lt;record&gt;&lt;dates&gt;&lt;pub-dates&gt;&lt;date&gt;Aug&lt;/date&gt;&lt;/pub-dates&gt;&lt;year&gt;1998&lt;/year&gt;&lt;/dates&gt;&lt;keywords&gt;&lt;keyword&gt;Arabidopsis (mutants)&lt;/keyword&gt;&lt;keyword&gt;cell differentiation&lt;/keyword&gt;&lt;keyword&gt;epidermis&lt;/keyword&gt;&lt;keyword&gt;mutant&lt;/keyword&gt;&lt;keyword&gt;(Arabidopsis, stoma)&lt;/keyword&gt;&lt;keyword&gt;stoma (development, patterning)&lt;/keyword&gt;&lt;keyword&gt;gene&lt;/keyword&gt;&lt;keyword&gt;Plant Sciences&lt;/keyword&gt;&lt;/keywords&gt;&lt;urls&gt;&lt;related-urls&gt;&lt;url&gt;&amp;lt;Go to ISI&amp;gt;://WOS:000074618900005&lt;/url&gt;&lt;/related-urls&gt;&lt;/urls&gt;&lt;isbn&gt;0032-0935&lt;/isbn&gt;&lt;work-type&gt;Article&lt;/work-type&gt;&lt;titles&gt;&lt;title&gt;Divergent regulation of stomatal initiation and patterning in organ and suborgan regions of the Arabidopsis mutants too many mouths and four lips&lt;/title&gt;&lt;secondary-title&gt;Planta&lt;/secondary-title&gt;&lt;/titles&gt;&lt;pages&gt;522-530&lt;/pages&gt;&lt;number&gt;4&lt;/number&gt;&lt;contributors&gt;&lt;authors&gt;&lt;author&gt;Geisler, M.&lt;/author&gt;&lt;author&gt;Yang, M.&lt;/author&gt;&lt;author&gt;Sack, F. D.&lt;/author&gt;&lt;/authors&gt;&lt;/contributors&gt;&lt;language&gt;English&lt;/language&gt;&lt;added-date format="utc"&gt;1451808539&lt;/added-date&gt;&lt;ref-type name="Journal Article"&gt;17&lt;/ref-type&gt;&lt;auth-address&gt;Ohio State Univ, Dept Plant Biol, Columbus, OH 43210 USA.&amp;#xD;Geisler, M (reprint author), Ohio State Univ, Dept Plant Biol, 1735 Neil Ave, Columbus, OH 43210 USA.&lt;/auth-address&gt;&lt;rec-number&gt;220&lt;/rec-number&gt;&lt;last-updated-date format="utc"&gt;1451808539&lt;/last-updated-date&gt;&lt;accession-num&gt;WOS:000074618900005&lt;/accession-num&gt;&lt;electronic-resource-num&gt;10.1007/s004250050351&lt;/electronic-resource-num&gt;&lt;volume&gt;205&lt;/volume&gt;&lt;/record&gt;&lt;/Cite&gt;&lt;/EndNote&gt;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(Geisler et al., 1998)</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Such variable phenotypes within and between organs have prompted subsequent studies that have led to an improved understanding as to how TMM orchestrates stomatal formation in different organs in Arabidopsis </w:t>
      </w:r>
      <w:r w:rsidRPr="006C37DC">
        <w:rPr>
          <w:rFonts w:ascii="Arial" w:eastAsia="Times New Roman" w:hAnsi="Arial" w:cs="Arial"/>
          <w:bCs/>
          <w:color w:val="000000"/>
        </w:rPr>
        <w:fldChar w:fldCharType="begin">
          <w:fldData xml:space="preserve">PEVuZE5vdGU+PENpdGU+PEF1dGhvcj5CaGF2ZTwvQXV0aG9yPjxZZWFyPjIwMDk8L1llYXI+PElE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</w:fldData>
        </w:fldChar>
      </w:r>
      <w:r w:rsidR="00417B1E">
        <w:rPr>
          <w:rFonts w:ascii="Arial" w:eastAsia="Times New Roman" w:hAnsi="Arial" w:cs="Arial"/>
          <w:bCs/>
          <w:color w:val="000000"/>
        </w:rPr>
        <w:instrText xml:space="preserve"> ADDIN EN.CITE </w:instrText>
      </w:r>
      <w:r w:rsidR="00417B1E">
        <w:rPr>
          <w:rFonts w:ascii="Arial" w:eastAsia="Times New Roman" w:hAnsi="Arial" w:cs="Arial"/>
          <w:bCs/>
          <w:color w:val="000000"/>
        </w:rPr>
        <w:fldChar w:fldCharType="begin">
          <w:fldData xml:space="preserve">PEVuZE5vdGU+PENpdGU+PEF1dGhvcj5CaGF2ZTwvQXV0aG9yPjxZZWFyPjIwMDk8L1llYXI+PElE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</w:fldData>
        </w:fldChar>
      </w:r>
      <w:r w:rsidR="00417B1E">
        <w:rPr>
          <w:rFonts w:ascii="Arial" w:eastAsia="Times New Roman" w:hAnsi="Arial" w:cs="Arial"/>
          <w:bCs/>
          <w:color w:val="000000"/>
        </w:rPr>
        <w:instrText xml:space="preserve"> ADDIN EN.CITE.DATA </w:instrText>
      </w:r>
      <w:r w:rsidR="00417B1E">
        <w:rPr>
          <w:rFonts w:ascii="Arial" w:eastAsia="Times New Roman" w:hAnsi="Arial" w:cs="Arial"/>
          <w:bCs/>
          <w:color w:val="000000"/>
        </w:rPr>
      </w:r>
      <w:r w:rsidR="00417B1E">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417B1E">
        <w:rPr>
          <w:rFonts w:ascii="Arial" w:eastAsia="Times New Roman" w:hAnsi="Arial" w:cs="Arial"/>
          <w:bCs/>
          <w:noProof/>
          <w:color w:val="000000"/>
        </w:rPr>
        <w:t>(Abrash and Bergmann, 2010; Abrash et al., 2011; Bhave et al., 2009; Lee et al., 2015b; Shpak et al., 2005)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t>
      </w:r>
    </w:p>
    <w:p w14:paraId="4AE969D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noProof/>
          <w:color w:val="000000"/>
          <w:lang w:eastAsia="ja-JP"/>
        </w:rPr>
        <w:lastRenderedPageBreak/>
        <w:drawing>
          <wp:inline distT="0" distB="0" distL="0" distR="0" wp14:anchorId="43028630" wp14:editId="52E2A50C">
            <wp:extent cx="5124450" cy="5210711"/>
            <wp:effectExtent l="0" t="0" r="0" b="952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mmfigmod.png"/>
                    <pic:cNvPicPr/>
                  </pic:nvPicPr>
                  <pic:blipFill>
                    <a:blip r:embed="rId55">
                      <a:extLst>
                        <a:ext uri="{28A0092B-C50C-407E-A947-70E740481C1C}">
                          <a14:useLocalDpi xmlns:a14="http://schemas.microsoft.com/office/drawing/2010/main" val="0"/>
                        </a:ext>
                      </a:extLst>
                    </a:blip>
                    <a:stretch>
                      <a:fillRect/>
                    </a:stretch>
                  </pic:blipFill>
                  <pic:spPr>
                    <a:xfrm>
                      <a:off x="0" y="0"/>
                      <a:ext cx="5136437" cy="5222900"/>
                    </a:xfrm>
                    <a:prstGeom prst="rect">
                      <a:avLst/>
                    </a:prstGeom>
                  </pic:spPr>
                </pic:pic>
              </a:graphicData>
            </a:graphic>
          </wp:inline>
        </w:drawing>
      </w:r>
    </w:p>
    <w:p w14:paraId="778DAAD3" w14:textId="59D3BF80"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
          <w:bCs/>
          <w:color w:val="000000"/>
        </w:rPr>
        <w:t xml:space="preserve">Figure 5. Examples of differential patterning of stomata in different organs of </w:t>
      </w:r>
      <w:r w:rsidRPr="006C37DC">
        <w:rPr>
          <w:rFonts w:ascii="Arial" w:eastAsia="Times New Roman" w:hAnsi="Arial" w:cs="Arial"/>
          <w:b/>
          <w:bCs/>
          <w:i/>
          <w:color w:val="000000"/>
        </w:rPr>
        <w:t>tmm</w:t>
      </w:r>
      <w:r w:rsidRPr="006C37DC">
        <w:rPr>
          <w:rFonts w:ascii="Arial" w:eastAsia="Times New Roman" w:hAnsi="Arial" w:cs="Arial"/>
          <w:b/>
          <w:bCs/>
          <w:color w:val="000000"/>
        </w:rPr>
        <w:t xml:space="preserve"> in Arabidopsis.</w:t>
      </w:r>
      <w:r w:rsidRPr="006C37DC">
        <w:rPr>
          <w:rFonts w:ascii="Arial" w:eastAsia="Times New Roman" w:hAnsi="Arial" w:cs="Arial"/>
          <w:bCs/>
          <w:color w:val="000000"/>
        </w:rPr>
        <w:t xml:space="preserve"> (</w:t>
      </w:r>
      <w:r w:rsidRPr="006C37DC">
        <w:rPr>
          <w:rFonts w:ascii="Arial" w:eastAsia="Times New Roman" w:hAnsi="Arial" w:cs="Arial"/>
          <w:b/>
          <w:bCs/>
          <w:color w:val="000000"/>
        </w:rPr>
        <w:t>a</w:t>
      </w:r>
      <w:r w:rsidRPr="006C37DC">
        <w:rPr>
          <w:rFonts w:ascii="Arial" w:eastAsia="Times New Roman" w:hAnsi="Arial" w:cs="Arial"/>
          <w:bCs/>
          <w:color w:val="000000"/>
        </w:rPr>
        <w:t>) The stomatal distribution of wild-type (WT) Col-0 flower stalks appears to be fairly uniform from base to apex. Stomata are the little black dots interspersed amongst the pavement cells. (</w:t>
      </w:r>
      <w:r w:rsidRPr="006C37DC">
        <w:rPr>
          <w:rFonts w:ascii="Arial" w:eastAsia="Times New Roman" w:hAnsi="Arial" w:cs="Arial"/>
          <w:b/>
          <w:bCs/>
          <w:color w:val="000000"/>
        </w:rPr>
        <w:t>b</w:t>
      </w:r>
      <w:r w:rsidRPr="006C37DC">
        <w:rPr>
          <w:rFonts w:ascii="Arial" w:eastAsia="Times New Roman" w:hAnsi="Arial" w:cs="Arial"/>
          <w:bCs/>
          <w:color w:val="000000"/>
        </w:rPr>
        <w:t xml:space="preserve">) In </w:t>
      </w:r>
      <w:r w:rsidRPr="006C37DC">
        <w:rPr>
          <w:rFonts w:ascii="Arial" w:eastAsia="Times New Roman" w:hAnsi="Arial" w:cs="Arial"/>
          <w:bCs/>
          <w:i/>
          <w:color w:val="000000"/>
        </w:rPr>
        <w:t>tmm</w:t>
      </w:r>
      <w:r w:rsidRPr="006C37DC">
        <w:rPr>
          <w:rFonts w:ascii="Arial" w:eastAsia="Times New Roman" w:hAnsi="Arial" w:cs="Arial"/>
          <w:bCs/>
          <w:color w:val="000000"/>
        </w:rPr>
        <w:t xml:space="preserve"> flower stalks, stomatal distribution is severely disrupted leading to a gradient of stomata density going from no stomata at the base (similarly to </w:t>
      </w:r>
      <w:r w:rsidR="00EE0DEA">
        <w:rPr>
          <w:rFonts w:ascii="Arial" w:eastAsia="Times New Roman" w:hAnsi="Arial" w:cs="Arial"/>
          <w:bCs/>
          <w:color w:val="000000"/>
        </w:rPr>
        <w:t>inflorescence</w:t>
      </w:r>
      <w:r w:rsidRPr="006C37DC">
        <w:rPr>
          <w:rFonts w:ascii="Arial" w:eastAsia="Times New Roman" w:hAnsi="Arial" w:cs="Arial"/>
          <w:bCs/>
          <w:color w:val="000000"/>
        </w:rPr>
        <w:t xml:space="preserve"> stems) to apices with large numbers of stomata that often cluster at the apex. Approximately 1/3 of the way from the base of the </w:t>
      </w:r>
      <w:r w:rsidRPr="006C37DC">
        <w:rPr>
          <w:rFonts w:ascii="Arial" w:eastAsia="Times New Roman" w:hAnsi="Arial" w:cs="Arial"/>
          <w:bCs/>
          <w:i/>
          <w:color w:val="000000"/>
        </w:rPr>
        <w:t xml:space="preserve">tmm </w:t>
      </w:r>
      <w:r w:rsidRPr="006C37DC">
        <w:rPr>
          <w:rFonts w:ascii="Arial" w:eastAsia="Times New Roman" w:hAnsi="Arial" w:cs="Arial"/>
          <w:bCs/>
          <w:color w:val="000000"/>
        </w:rPr>
        <w:t xml:space="preserve">stalk the first stomata is highlighted with a circle. Images have been adapted from Geisler and colleagues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 ExcludeAuth="1"&gt;&lt;Author&gt;Geisler&lt;/Author&gt;&lt;Year&gt;1998&lt;/Year&gt;&lt;IDText&gt;Divergent regulation of stomatal initiation and patterning in organ and suborgan regions of the Arabidopsis mutants too many mouths and four lips&lt;/IDText&gt;&lt;DisplayText&gt;(1998)&lt;/DisplayText&gt;&lt;record&gt;&lt;dates&gt;&lt;pub-dates&gt;&lt;date&gt;Aug&lt;/date&gt;&lt;/pub-dates&gt;&lt;year&gt;1998&lt;/year&gt;&lt;/dates&gt;&lt;keywords&gt;&lt;keyword&gt;Arabidopsis (mutants)&lt;/keyword&gt;&lt;keyword&gt;cell differentiation&lt;/keyword&gt;&lt;keyword&gt;epidermis&lt;/keyword&gt;&lt;keyword&gt;mutant&lt;/keyword&gt;&lt;keyword&gt;(Arabidopsis, stoma)&lt;/keyword&gt;&lt;keyword&gt;stoma (development, patterning)&lt;/keyword&gt;&lt;keyword&gt;gene&lt;/keyword&gt;&lt;keyword&gt;Plant Sciences&lt;/keyword&gt;&lt;/keywords&gt;&lt;urls&gt;&lt;related-urls&gt;&lt;url&gt;&amp;lt;Go to ISI&amp;gt;://WOS:000074618900005&lt;/url&gt;&lt;/related-urls&gt;&lt;/urls&gt;&lt;isbn&gt;0032-0935&lt;/isbn&gt;&lt;work-type&gt;Article&lt;/work-type&gt;&lt;titles&gt;&lt;title&gt;Divergent regulation of stomatal initiation and patterning in organ and suborgan regions of the Arabidopsis mutants too many mouths and four lips&lt;/title&gt;&lt;secondary-title&gt;Planta&lt;/secondary-title&gt;&lt;/titles&gt;&lt;pages&gt;522-530&lt;/pages&gt;&lt;number&gt;4&lt;/number&gt;&lt;contributors&gt;&lt;authors&gt;&lt;author&gt;Geisler, M.&lt;/author&gt;&lt;author&gt;Yang, M.&lt;/author&gt;&lt;author&gt;Sack, F. D.&lt;/author&gt;&lt;/authors&gt;&lt;/contributors&gt;&lt;language&gt;English&lt;/language&gt;&lt;added-date format="utc"&gt;1451808539&lt;/added-date&gt;&lt;ref-type name="Journal Article"&gt;17&lt;/ref-type&gt;&lt;auth-address&gt;Ohio State Univ, Dept Plant Biol, Columbus, OH 43210 USA.&amp;#xD;Geisler, M (reprint author), Ohio State Univ, Dept Plant Biol, 1735 Neil Ave, Columbus, OH 43210 USA.&lt;/auth-address&gt;&lt;rec-number&gt;220&lt;/rec-number&gt;&lt;last-updated-date format="utc"&gt;1451808539&lt;/last-updated-date&gt;&lt;accession-num&gt;WOS:000074618900005&lt;/accession-num&gt;&lt;electronic-resource-num&gt;10.1007/s004250050351&lt;/electronic-resource-num&gt;&lt;volume&gt;205&lt;/volume&gt;&lt;/record&gt;&lt;/Cite&gt;&lt;/EndNote&gt;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(1998)</w:t>
      </w:r>
      <w:r w:rsidRPr="006C37DC">
        <w:rPr>
          <w:rFonts w:ascii="Arial" w:eastAsia="Times New Roman" w:hAnsi="Arial" w:cs="Arial"/>
          <w:bCs/>
          <w:color w:val="000000"/>
        </w:rPr>
        <w:fldChar w:fldCharType="end"/>
      </w:r>
      <w:r w:rsidRPr="006C37DC">
        <w:rPr>
          <w:rFonts w:ascii="Arial" w:eastAsia="Times New Roman" w:hAnsi="Arial" w:cs="Arial"/>
          <w:bCs/>
          <w:color w:val="000000"/>
        </w:rPr>
        <w:t>. (</w:t>
      </w:r>
      <w:r w:rsidRPr="006C37DC">
        <w:rPr>
          <w:rFonts w:ascii="Arial" w:eastAsia="Times New Roman" w:hAnsi="Arial" w:cs="Arial"/>
          <w:b/>
          <w:bCs/>
          <w:color w:val="000000"/>
        </w:rPr>
        <w:t>c</w:t>
      </w:r>
      <w:r w:rsidRPr="006C37DC">
        <w:rPr>
          <w:rFonts w:ascii="Arial" w:eastAsia="Times New Roman" w:hAnsi="Arial" w:cs="Arial"/>
          <w:bCs/>
          <w:color w:val="000000"/>
        </w:rPr>
        <w:t>) Wild-type Col-0 abaxial leaf surfaces displaying a fairly uniform spacing of stomata. (</w:t>
      </w:r>
      <w:r w:rsidRPr="006C37DC">
        <w:rPr>
          <w:rFonts w:ascii="Arial" w:eastAsia="Times New Roman" w:hAnsi="Arial" w:cs="Arial"/>
          <w:b/>
          <w:bCs/>
          <w:color w:val="000000"/>
        </w:rPr>
        <w:t>d</w:t>
      </w:r>
      <w:r w:rsidRPr="006C37DC">
        <w:rPr>
          <w:rFonts w:ascii="Arial" w:eastAsia="Times New Roman" w:hAnsi="Arial" w:cs="Arial"/>
          <w:bCs/>
          <w:color w:val="000000"/>
        </w:rPr>
        <w:t xml:space="preserve">) Abaxial leaf surfaces of equivalent </w:t>
      </w:r>
      <w:r w:rsidRPr="006C37DC">
        <w:rPr>
          <w:rFonts w:ascii="Arial" w:eastAsia="Times New Roman" w:hAnsi="Arial" w:cs="Arial"/>
          <w:bCs/>
          <w:i/>
          <w:color w:val="000000"/>
        </w:rPr>
        <w:t xml:space="preserve">tmm </w:t>
      </w:r>
      <w:r w:rsidRPr="006C37DC">
        <w:rPr>
          <w:rFonts w:ascii="Arial" w:eastAsia="Times New Roman" w:hAnsi="Arial" w:cs="Arial"/>
          <w:bCs/>
          <w:color w:val="000000"/>
        </w:rPr>
        <w:t xml:space="preserve">leaf where clustering occurs extensively. Scale bars are as follows: </w:t>
      </w:r>
      <w:r w:rsidRPr="006C37DC">
        <w:rPr>
          <w:rFonts w:ascii="Arial" w:eastAsia="Times New Roman" w:hAnsi="Arial" w:cs="Arial"/>
          <w:b/>
          <w:bCs/>
          <w:color w:val="000000"/>
        </w:rPr>
        <w:t xml:space="preserve">a-b, </w:t>
      </w:r>
      <w:r w:rsidRPr="006C37DC">
        <w:rPr>
          <w:rFonts w:ascii="Arial" w:eastAsia="Times New Roman" w:hAnsi="Arial" w:cs="Arial"/>
          <w:bCs/>
          <w:color w:val="000000"/>
        </w:rPr>
        <w:t xml:space="preserve">150µm, </w:t>
      </w:r>
      <w:r w:rsidRPr="006C37DC">
        <w:rPr>
          <w:rFonts w:ascii="Arial" w:eastAsia="Times New Roman" w:hAnsi="Arial" w:cs="Arial"/>
          <w:b/>
          <w:bCs/>
          <w:color w:val="000000"/>
        </w:rPr>
        <w:t xml:space="preserve">c-d, </w:t>
      </w:r>
      <w:r w:rsidRPr="006C37DC">
        <w:rPr>
          <w:rFonts w:ascii="Arial" w:eastAsia="Times New Roman" w:hAnsi="Arial" w:cs="Arial"/>
          <w:bCs/>
          <w:color w:val="000000"/>
        </w:rPr>
        <w:t>50µm.</w:t>
      </w:r>
    </w:p>
    <w:p w14:paraId="6542DB57" w14:textId="46DD1B0E"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As outlined above, Arabidopsis TMM interacts and functions synergistically with LRR RLKs of both the ERf and the SERKs during stomatal development to moderate the transduction of apoplastic signals across the plasma membrane into the cell (</w:t>
      </w:r>
      <w:r w:rsidRPr="006C37DC">
        <w:rPr>
          <w:rFonts w:ascii="Arial" w:eastAsia="Times New Roman" w:hAnsi="Arial" w:cs="Arial"/>
          <w:b/>
          <w:bCs/>
          <w:color w:val="000000"/>
        </w:rPr>
        <w:t>Fig. 3</w:t>
      </w:r>
      <w:r w:rsidRPr="006C37DC">
        <w:rPr>
          <w:rFonts w:ascii="Arial" w:eastAsia="Times New Roman" w:hAnsi="Arial" w:cs="Arial"/>
          <w:bCs/>
          <w:color w:val="000000"/>
        </w:rPr>
        <w:t xml:space="preserve">) </w:t>
      </w:r>
      <w:r w:rsidRPr="006C37DC">
        <w:rPr>
          <w:rFonts w:ascii="Arial" w:eastAsia="Times New Roman" w:hAnsi="Arial" w:cs="Arial"/>
          <w:bCs/>
          <w:color w:val="000000"/>
        </w:rPr>
        <w:fldChar w:fldCharType="begin">
          <w:fldData xml:space="preserve">PEVuZE5vdGU+PENpdGU+PEF1dGhvcj5NZW5nPC9BdXRob3I+PFllYXI+MjAxNTwvWWVhcj48SURU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PEVuZE5vdGU+PENpdGU+PEF1dGhvcj5NZW5nPC9BdXRob3I+PFllYXI+MjAxNTwvWWVhcj48SURU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 xml:space="preserve">(Lee et al., 2012; Meng </w:t>
      </w:r>
      <w:r w:rsidRPr="006C37DC">
        <w:rPr>
          <w:rFonts w:ascii="Arial" w:eastAsia="Times New Roman" w:hAnsi="Arial" w:cs="Arial"/>
          <w:bCs/>
          <w:color w:val="000000"/>
        </w:rPr>
        <w:lastRenderedPageBreak/>
        <w:t>et al., 2015)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Although, both ERf members and SERKs display a high level of functional redundancy it appears that specific TMM-ERf interactions are required to regulate certain stages of stomatal development. Such regulation appears to be dependent upon which organ is being surveyed, which itself may or may not exhibit the same phenotype as single </w:t>
      </w:r>
      <w:r w:rsidRPr="006C37DC">
        <w:rPr>
          <w:rFonts w:ascii="Arial" w:eastAsia="Times New Roman" w:hAnsi="Arial" w:cs="Arial"/>
          <w:bCs/>
          <w:i/>
          <w:color w:val="000000"/>
        </w:rPr>
        <w:t xml:space="preserve">tmm </w:t>
      </w:r>
      <w:r w:rsidRPr="006C37DC">
        <w:rPr>
          <w:rFonts w:ascii="Arial" w:eastAsia="Times New Roman" w:hAnsi="Arial" w:cs="Arial"/>
          <w:bCs/>
          <w:color w:val="000000"/>
        </w:rPr>
        <w:t xml:space="preserve">mutants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&lt;EndNote&gt;&lt;Cite&gt;&lt;Author&gt;Shpak&lt;/Author&gt;&lt;Year&gt;2005&lt;/Year&gt;&lt;IDText&gt;Stomatal patterning and differentiation by synergistic interactions of receptor kinases&lt;/IDText&gt;&lt;DisplayText&gt;(Shpak et al., 2005)&lt;/DisplayText&gt;&lt;record&gt;&lt;dates&gt;&lt;pub-dates&gt;&lt;date&gt;Jul&lt;/date&gt;&lt;/pub-dates&gt;&lt;year&gt;2005&lt;/year&gt;&lt;/dates&gt;&lt;keywords&gt;&lt;keyword&gt;FLOWER DEVELOPMENT&lt;/keyword&gt;&lt;keyword&gt;ARABIDOPSIS&lt;/keyword&gt;&lt;keyword&gt;MOUTHS&lt;/keyword&gt;&lt;keyword&gt;ORGAN&lt;/keyword&gt;&lt;keyword&gt;TOO&lt;/keyword&gt;&lt;/keywords&gt;&lt;urls&gt;&lt;related-urls&gt;&lt;url&gt;&amp;lt;Go to ISI&amp;gt;://WOS:000230449800042&lt;/url&gt;&lt;/related-urls&gt;&lt;/urls&gt;&lt;isbn&gt;0036-8075&lt;/isbn&gt;&lt;work-type&gt;Article&lt;/work-type&gt;&lt;titles&gt;&lt;title&gt;Stomatal patterning and differentiation by synergistic interactions of receptor kinases&lt;/title&gt;&lt;secondary-title&gt;Science&lt;/secondary-title&gt;&lt;alt-title&gt;Science&lt;/alt-title&gt;&lt;/titles&gt;&lt;pages&gt;290-293&lt;/pages&gt;&lt;number&gt;5732&lt;/number&gt;&lt;contributors&gt;&lt;authors&gt;&lt;author&gt;Shpak, E. D.&lt;/author&gt;&lt;author&gt;McAbee, J. M.&lt;/author&gt;&lt;author&gt;Pillitteri, L. J.&lt;/author&gt;&lt;author&gt;Torii, K. U.&lt;/author&gt;&lt;/authors&gt;&lt;/contributors&gt;&lt;language&gt;English&lt;/language&gt;&lt;added-date format="utc"&gt;1351507806&lt;/added-date&gt;&lt;ref-type name="Journal Article"&gt;17&lt;/ref-type&gt;&lt;auth-address&gt;Univ Washington, Dept Biol, Seattle, WA 98195 USA. Japan Sci &amp;amp; Technol Agcy, Core Res Evolut Sci &amp;amp; Technol, Saitama 3320012, Japan.&amp;#xD;Torii, KU (reprint author), Univ Washington, Dept Biol, Seattle, WA 98195 USA.&amp;#xD;ktorii@u.washington.edu&lt;/auth-address&gt;&lt;rec-number&gt;14&lt;/rec-number&gt;&lt;last-updated-date format="utc"&gt;1351507806&lt;/last-updated-date&gt;&lt;accession-num&gt;WOS:000230449800042&lt;/accession-num&gt;&lt;electronic-resource-num&gt;10.1126/science.1109710&lt;/electronic-resource-num&gt;&lt;volume&gt;309&lt;/volume&gt;&lt;/record&gt;&lt;/Cite&gt;&lt;/EndNote&gt;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(Shpak et al., 2005)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One such example of such organ-dependent functioning exists in </w:t>
      </w:r>
      <w:r w:rsidRPr="006C37DC">
        <w:rPr>
          <w:rFonts w:ascii="Arial" w:eastAsia="Times New Roman" w:hAnsi="Arial" w:cs="Arial"/>
          <w:bCs/>
          <w:i/>
          <w:color w:val="000000"/>
        </w:rPr>
        <w:t>tmm</w:t>
      </w:r>
      <w:r w:rsidRPr="006C37DC">
        <w:rPr>
          <w:rFonts w:ascii="Arial" w:eastAsia="Times New Roman" w:hAnsi="Arial" w:cs="Arial"/>
          <w:bCs/>
          <w:color w:val="000000"/>
        </w:rPr>
        <w:t>-</w:t>
      </w:r>
      <w:r w:rsidRPr="006C37DC">
        <w:rPr>
          <w:rFonts w:ascii="Arial" w:eastAsia="Times New Roman" w:hAnsi="Arial" w:cs="Arial"/>
          <w:bCs/>
          <w:i/>
          <w:color w:val="000000"/>
        </w:rPr>
        <w:t xml:space="preserve">er </w:t>
      </w:r>
      <w:r w:rsidRPr="006C37DC">
        <w:rPr>
          <w:rFonts w:ascii="Arial" w:eastAsia="Times New Roman" w:hAnsi="Arial" w:cs="Arial"/>
          <w:bCs/>
          <w:color w:val="000000"/>
        </w:rPr>
        <w:t xml:space="preserve">double mutants. In </w:t>
      </w:r>
      <w:r w:rsidRPr="006C37DC">
        <w:rPr>
          <w:rFonts w:ascii="Arial" w:eastAsia="Times New Roman" w:hAnsi="Arial" w:cs="Arial"/>
          <w:bCs/>
          <w:i/>
          <w:color w:val="000000"/>
        </w:rPr>
        <w:t xml:space="preserve">tmm-er </w:t>
      </w:r>
      <w:r w:rsidRPr="006C37DC">
        <w:rPr>
          <w:rFonts w:ascii="Arial" w:eastAsia="Times New Roman" w:hAnsi="Arial" w:cs="Arial"/>
          <w:bCs/>
          <w:color w:val="000000"/>
        </w:rPr>
        <w:t xml:space="preserve">stems, like </w:t>
      </w:r>
      <w:r w:rsidRPr="006C37DC">
        <w:rPr>
          <w:rFonts w:ascii="Arial" w:eastAsia="Times New Roman" w:hAnsi="Arial" w:cs="Arial"/>
          <w:bCs/>
          <w:i/>
          <w:color w:val="000000"/>
        </w:rPr>
        <w:t>tmm</w:t>
      </w:r>
      <w:r w:rsidRPr="006C37DC">
        <w:rPr>
          <w:rFonts w:ascii="Arial" w:eastAsia="Times New Roman" w:hAnsi="Arial" w:cs="Arial"/>
          <w:bCs/>
          <w:color w:val="000000"/>
        </w:rPr>
        <w:t xml:space="preserve"> single mutants no stomata develop. Conversely, unlike the siliques of </w:t>
      </w:r>
      <w:r w:rsidRPr="006C37DC">
        <w:rPr>
          <w:rFonts w:ascii="Arial" w:eastAsia="Times New Roman" w:hAnsi="Arial" w:cs="Arial"/>
          <w:bCs/>
          <w:i/>
          <w:color w:val="000000"/>
        </w:rPr>
        <w:t>tmm</w:t>
      </w:r>
      <w:r w:rsidRPr="006C37DC">
        <w:rPr>
          <w:rFonts w:ascii="Arial" w:eastAsia="Times New Roman" w:hAnsi="Arial" w:cs="Arial"/>
          <w:bCs/>
          <w:color w:val="000000"/>
        </w:rPr>
        <w:t xml:space="preserve"> which have stomata, </w:t>
      </w:r>
      <w:r w:rsidRPr="006C37DC">
        <w:rPr>
          <w:rFonts w:ascii="Arial" w:eastAsia="Times New Roman" w:hAnsi="Arial" w:cs="Arial"/>
          <w:bCs/>
          <w:i/>
          <w:color w:val="000000"/>
        </w:rPr>
        <w:t xml:space="preserve">tmm-er </w:t>
      </w:r>
      <w:r w:rsidRPr="006C37DC">
        <w:rPr>
          <w:rFonts w:ascii="Arial" w:eastAsia="Times New Roman" w:hAnsi="Arial" w:cs="Arial"/>
          <w:bCs/>
          <w:color w:val="000000"/>
        </w:rPr>
        <w:t xml:space="preserve">siliques do not form stomata, instead stomatal lineage cells are aborted leading to an epidermis derived entirely of epidermal cells. To summarise, the findings of Shpak and colleagues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 ExcludeAuth="1"&gt;&lt;Author&gt;Shpak&lt;/Author&gt;&lt;Year&gt;2005&lt;/Year&gt;&lt;IDText&gt;Stomatal patterning and differentiation by synergistic interactions of receptor kinases&lt;/IDText&gt;&lt;DisplayText&gt;(2005)&lt;/DisplayText&gt;&lt;record&gt;&lt;dates&gt;&lt;pub-dates&gt;&lt;date&gt;Jul&lt;/date&gt;&lt;/pub-dates&gt;&lt;year&gt;2005&lt;/year&gt;&lt;/dates&gt;&lt;keywords&gt;&lt;keyword&gt;FLOWER DEVELOPMENT&lt;/keyword&gt;&lt;keyword&gt;ARABIDOPSIS&lt;/keyword&gt;&lt;keyword&gt;MOUTHS&lt;/keyword&gt;&lt;keyword&gt;ORGAN&lt;/keyword&gt;&lt;keyword&gt;TOO&lt;/keyword&gt;&lt;/keywords&gt;&lt;urls&gt;&lt;related-urls&gt;&lt;url&gt;&amp;lt;Go to ISI&amp;gt;://WOS:000230449800042&lt;/url&gt;&lt;/related-urls&gt;&lt;/urls&gt;&lt;isbn&gt;0036-8075&lt;/isbn&gt;&lt;work-type&gt;Article&lt;/work-type&gt;&lt;titles&gt;&lt;title&gt;Stomatal patterning and differentiation by synergistic interactions of receptor kinases&lt;/title&gt;&lt;secondary-title&gt;Science&lt;/secondary-title&gt;&lt;alt-title&gt;Science&lt;/alt-title&gt;&lt;/titles&gt;&lt;pages&gt;290-293&lt;/pages&gt;&lt;number&gt;5732&lt;/number&gt;&lt;contributors&gt;&lt;authors&gt;&lt;author&gt;Shpak, E. D.&lt;/author&gt;&lt;author&gt;McAbee, J. M.&lt;/author&gt;&lt;author&gt;Pillitteri, L. J.&lt;/author&gt;&lt;author&gt;Torii, K. U.&lt;/author&gt;&lt;/authors&gt;&lt;/contributors&gt;&lt;language&gt;English&lt;/language&gt;&lt;added-date format="utc"&gt;1351507806&lt;/added-date&gt;&lt;ref-type name="Journal Article"&gt;17&lt;/ref-type&gt;&lt;auth-address&gt;Univ Washington, Dept Biol, Seattle, WA 98195 USA. Japan Sci &amp;amp; Technol Agcy, Core Res Evolut Sci &amp;amp; Technol, Saitama 3320012, Japan.&amp;#xD;Torii, KU (reprint author), Univ Washington, Dept Biol, Seattle, WA 98195 USA.&amp;#xD;ktorii@u.washington.edu&lt;/auth-address&gt;&lt;rec-number&gt;14&lt;/rec-number&gt;&lt;last-updated-date format="utc"&gt;1351507806&lt;/last-updated-date&gt;&lt;accession-num&gt;WOS:000230449800042&lt;/accession-num&gt;&lt;electronic-resource-num&gt;10.1126/science.1109710&lt;/electronic-resource-num&gt;&lt;volume&gt;309&lt;/volume&gt;&lt;/record&gt;&lt;/Cite&gt;&lt;/EndNote&gt;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(2005)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first highlighted how both TMM and ERf members work together in different organs to enable the correct development and patterning of stomata.</w:t>
      </w:r>
    </w:p>
    <w:p w14:paraId="50E58327" w14:textId="4225C26B"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In both the leaves and stems it has been shown that TMM is epistatic to the previously discussed EPF1, EPF2 and STOMAGEN (see above), as in both organs, double mutant combinations presented a similar phenotype stomatal phenotype to the </w:t>
      </w:r>
      <w:r w:rsidRPr="006C37DC">
        <w:rPr>
          <w:rFonts w:ascii="Arial" w:eastAsia="Times New Roman" w:hAnsi="Arial" w:cs="Arial"/>
          <w:bCs/>
          <w:i/>
          <w:color w:val="000000"/>
        </w:rPr>
        <w:t>tmm</w:t>
      </w:r>
      <w:r w:rsidRPr="006C37DC">
        <w:rPr>
          <w:rFonts w:ascii="Arial" w:eastAsia="Times New Roman" w:hAnsi="Arial" w:cs="Arial"/>
          <w:bCs/>
          <w:color w:val="000000"/>
        </w:rPr>
        <w:t xml:space="preserve"> single mutants </w: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IDIwMDc7IEh1bnQgYW5kIEdyYXksIDIwMDk7IExlZSBldCBhbC4sIDIwMTViOyBTdWdhbm8gZXQg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</w:fldData>
        </w:fldChar>
      </w:r>
      <w:r w:rsidR="00417B1E">
        <w:rPr>
          <w:rFonts w:ascii="Arial" w:eastAsia="Times New Roman" w:hAnsi="Arial" w:cs="Arial"/>
          <w:bCs/>
          <w:color w:val="000000"/>
        </w:rPr>
        <w:instrText xml:space="preserve"> ADDIN EN.CITE </w:instrText>
      </w:r>
      <w:r w:rsidR="00417B1E">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IDIwMDc7IEh1bnQgYW5kIEdyYXksIDIwMDk7IExlZSBldCBhbC4sIDIwMTViOyBTdWdhbm8gZXQg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</w:fldData>
        </w:fldChar>
      </w:r>
      <w:r w:rsidR="00417B1E">
        <w:rPr>
          <w:rFonts w:ascii="Arial" w:eastAsia="Times New Roman" w:hAnsi="Arial" w:cs="Arial"/>
          <w:bCs/>
          <w:color w:val="000000"/>
        </w:rPr>
        <w:instrText xml:space="preserve"> ADDIN EN.CITE.DATA </w:instrText>
      </w:r>
      <w:r w:rsidR="00417B1E">
        <w:rPr>
          <w:rFonts w:ascii="Arial" w:eastAsia="Times New Roman" w:hAnsi="Arial" w:cs="Arial"/>
          <w:bCs/>
          <w:color w:val="000000"/>
        </w:rPr>
      </w:r>
      <w:r w:rsidR="00417B1E">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417B1E">
        <w:rPr>
          <w:rFonts w:ascii="Arial" w:eastAsia="Times New Roman" w:hAnsi="Arial" w:cs="Arial"/>
          <w:bCs/>
          <w:noProof/>
          <w:color w:val="000000"/>
        </w:rPr>
        <w:t>(Hara et al., 2007; Hunt and Gray, 2009; Lee et al., 2015b; Sugano et al., 2010)</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In addition to EPF1/2 and STOMAGEN, TMM also moderates the signalling capabilities of at least three other EPF/Ls termed CHALLAH (CHAL)/ EPFL6, CHAL-LIKE 1 (CLL1)/ EPFL5 and CHAL-LIKE 2/ EPFL4 (CLL2) in stomatal lineage cells </w:t>
      </w:r>
      <w:r w:rsidRPr="006C37DC">
        <w:rPr>
          <w:rFonts w:ascii="Arial" w:eastAsia="Times New Roman" w:hAnsi="Arial" w:cs="Arial"/>
          <w:bCs/>
          <w:color w:val="000000"/>
        </w:rPr>
        <w:fldChar w:fldCharType="begin">
          <w:fldData xml:space="preserve">PEVuZE5vdGU+PENpdGU+PEF1dGhvcj5BYnJhc2g8L0F1dGhvcj48WWVhcj4yMDEwPC9ZZWFyPjxJ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PEVuZE5vdGU+PENpdGU+PEF1dGhvcj5BYnJhc2g8L0F1dGhvcj48WWVhcj4yMDEwPC9ZZWFyPjxJ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(Abrash and Bergmann, 2010; Abrash et al., 2011)</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These three peptides collectively known as the CHALLAH family (CHALf), appear to function somewhat differently to EPF1/2 and STOMAGEN. Rather than partaking in stomatal development, CHALf peptides primary function is to regulate expansion and growth in developing organs such as hypocotyls, the </w:t>
      </w:r>
      <w:r w:rsidR="00EE0DEA">
        <w:rPr>
          <w:rFonts w:ascii="Arial" w:eastAsia="Times New Roman" w:hAnsi="Arial" w:cs="Arial"/>
          <w:bCs/>
          <w:color w:val="000000"/>
        </w:rPr>
        <w:t>inflorescence</w:t>
      </w:r>
      <w:r w:rsidRPr="006C37DC">
        <w:rPr>
          <w:rFonts w:ascii="Arial" w:eastAsia="Times New Roman" w:hAnsi="Arial" w:cs="Arial"/>
          <w:bCs/>
          <w:color w:val="000000"/>
        </w:rPr>
        <w:t xml:space="preserve"> stems, flower stalks and developing flowers through interactions with ERf members </w:t>
      </w:r>
      <w:r w:rsidRPr="006C37DC">
        <w:rPr>
          <w:rFonts w:ascii="Arial" w:eastAsia="Times New Roman" w:hAnsi="Arial" w:cs="Arial"/>
          <w:bCs/>
          <w:color w:val="000000"/>
        </w:rPr>
        <w:fldChar w:fldCharType="begin">
          <w:fldData xml:space="preserve">PEVuZE5vdGU+PENpdGU+PEF1dGhvcj5BYnJhc2g8L0F1dGhvcj48WWVhcj4yMDExPC9ZZWFyPjxJ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PEVuZE5vdGU+PENpdGU+PEF1dGhvcj5BYnJhc2g8L0F1dGhvcj48WWVhcj4yMDExPC9ZZWFyPjxJ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(Abrash and Bergmann, 2010; Abrash et al., 2011; Uchida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By being present in stomatal lineage cells of the epidermis, TMM allows developing plants to integrate stomatal development with overall growth by selectively permitting certain EPF/L signals to be transduced during stomatal development. Where TMM is absent, such as in the developing internal tissues, CHALf peptides can signal directly through ERf members and growth and expansion can occur.</w:t>
      </w:r>
    </w:p>
    <w:p w14:paraId="6BDDCFFF" w14:textId="415F5E90" w:rsidR="006C37DC" w:rsidRPr="006C37DC" w:rsidRDefault="006C37DC" w:rsidP="006C37DC">
      <w:pPr>
        <w:spacing w:after="160" w:line="360" w:lineRule="auto"/>
        <w:rPr>
          <w:rFonts w:ascii="Arial" w:eastAsia="Times New Roman" w:hAnsi="Arial" w:cs="Arial"/>
          <w:bCs/>
          <w:color w:val="000000"/>
          <w:u w:val="single"/>
        </w:rPr>
      </w:pPr>
      <w:r w:rsidRPr="006C37DC">
        <w:rPr>
          <w:rFonts w:ascii="Arial" w:eastAsia="Times New Roman" w:hAnsi="Arial" w:cs="Arial"/>
          <w:bCs/>
          <w:color w:val="000000"/>
          <w:u w:val="single"/>
        </w:rPr>
        <w:t>4.1.5 The role of the ERECTA Family (ERf) members in stomatal development and beyond</w:t>
      </w:r>
    </w:p>
    <w:p w14:paraId="3781650B" w14:textId="680DD65A"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ERECTA family (ERf) members: ERECTA (ER), ER-like 1 (ERL1) and ER-like 2 (ERL2) undertake several roles during Arabidopsis development, and knowledge regarding their functions continues to grow </w:t>
      </w:r>
      <w:r w:rsidRPr="006C37DC">
        <w:rPr>
          <w:rFonts w:ascii="Arial" w:eastAsia="Times New Roman" w:hAnsi="Arial" w:cs="Arial"/>
          <w:bCs/>
          <w:color w:val="000000"/>
        </w:rPr>
        <w:fldChar w:fldCharType="begin">
          <w:fldData xml:space="preserve">PEVuZE5vdGU+PENpdGU+PEF1dGhvcj5Ub3JpaTwvQXV0aG9yPjxZZWFyPjE5OTY8L1llYXI+PElE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</w:fldData>
        </w:fldChar>
      </w:r>
      <w:r w:rsidR="00417B1E">
        <w:rPr>
          <w:rFonts w:ascii="Arial" w:eastAsia="Times New Roman" w:hAnsi="Arial" w:cs="Arial"/>
          <w:bCs/>
          <w:color w:val="000000"/>
        </w:rPr>
        <w:instrText xml:space="preserve"> ADDIN EN.CITE </w:instrText>
      </w:r>
      <w:r w:rsidR="00417B1E">
        <w:rPr>
          <w:rFonts w:ascii="Arial" w:eastAsia="Times New Roman" w:hAnsi="Arial" w:cs="Arial"/>
          <w:bCs/>
          <w:color w:val="000000"/>
        </w:rPr>
        <w:fldChar w:fldCharType="begin">
          <w:fldData xml:space="preserve">PEVuZE5vdGU+PENpdGU+PEF1dGhvcj5Ub3JpaTwvQXV0aG9yPjxZZWFyPjE5OTY8L1llYXI+PElE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</w:fldData>
        </w:fldChar>
      </w:r>
      <w:r w:rsidR="00417B1E">
        <w:rPr>
          <w:rFonts w:ascii="Arial" w:eastAsia="Times New Roman" w:hAnsi="Arial" w:cs="Arial"/>
          <w:bCs/>
          <w:color w:val="000000"/>
        </w:rPr>
        <w:instrText xml:space="preserve"> ADDIN EN.CITE.DATA </w:instrText>
      </w:r>
      <w:r w:rsidR="00417B1E">
        <w:rPr>
          <w:rFonts w:ascii="Arial" w:eastAsia="Times New Roman" w:hAnsi="Arial" w:cs="Arial"/>
          <w:bCs/>
          <w:color w:val="000000"/>
        </w:rPr>
      </w:r>
      <w:r w:rsidR="00417B1E">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417B1E">
        <w:rPr>
          <w:rFonts w:ascii="Arial" w:eastAsia="Times New Roman" w:hAnsi="Arial" w:cs="Arial"/>
          <w:bCs/>
          <w:noProof/>
          <w:color w:val="000000"/>
        </w:rPr>
        <w:t>(Bemis et al., 2013; Chen and Shpak, 2014; Lee et al., 2015b; Shpak et al., 2004; Shpak et al., 2005; Torii et al., 1996)</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Acting redundantly, ERf member roles appear to overlap and are often associated with regulation of cell proliferation and differentiation in cortex regions which affect the morphology of various organs </w:t>
      </w:r>
      <w:r w:rsidRPr="006C37DC">
        <w:rPr>
          <w:rFonts w:ascii="Arial" w:eastAsia="Times New Roman" w:hAnsi="Arial" w:cs="Arial"/>
          <w:bCs/>
          <w:color w:val="000000"/>
        </w:rPr>
        <w:fldChar w:fldCharType="begin">
          <w:fldData xml:space="preserve">PEVuZE5vdGU+PENpdGU+PEF1dGhvcj5VY2hpZGE8L0F1dGhvcj48WWVhcj4yMDEyPC9ZZWFyPjxJ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PEVuZE5vdGU+PENpdGU+PEF1dGhvcj5VY2hpZGE8L0F1dGhvcj48WWVhcj4yMDEyPC9ZZWFyPjxJ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 xml:space="preserve">(Shpak et al., </w:t>
      </w:r>
      <w:r w:rsidRPr="006C37DC">
        <w:rPr>
          <w:rFonts w:ascii="Arial" w:eastAsia="Times New Roman" w:hAnsi="Arial" w:cs="Arial"/>
          <w:bCs/>
          <w:color w:val="000000"/>
        </w:rPr>
        <w:lastRenderedPageBreak/>
        <w:t>2004; Uchida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It seems that ER is particularly important, as amongst the single </w:t>
      </w:r>
      <w:r w:rsidRPr="006C37DC">
        <w:rPr>
          <w:rFonts w:ascii="Arial" w:eastAsia="Times New Roman" w:hAnsi="Arial" w:cs="Arial"/>
          <w:bCs/>
          <w:i/>
          <w:color w:val="000000"/>
        </w:rPr>
        <w:t xml:space="preserve">erf </w:t>
      </w:r>
      <w:r w:rsidRPr="006C37DC">
        <w:rPr>
          <w:rFonts w:ascii="Arial" w:eastAsia="Times New Roman" w:hAnsi="Arial" w:cs="Arial"/>
          <w:bCs/>
          <w:color w:val="000000"/>
        </w:rPr>
        <w:t xml:space="preserve">mutants, it is only in </w:t>
      </w:r>
      <w:r w:rsidRPr="006C37DC">
        <w:rPr>
          <w:rFonts w:ascii="Arial" w:eastAsia="Times New Roman" w:hAnsi="Arial" w:cs="Arial"/>
          <w:bCs/>
          <w:i/>
          <w:color w:val="000000"/>
        </w:rPr>
        <w:t>er</w:t>
      </w:r>
      <w:r w:rsidRPr="006C37DC">
        <w:rPr>
          <w:rFonts w:ascii="Arial" w:eastAsia="Times New Roman" w:hAnsi="Arial" w:cs="Arial"/>
          <w:bCs/>
          <w:color w:val="000000"/>
        </w:rPr>
        <w:t xml:space="preserve"> that noticeable phenotypes are generally observed. Mutant </w:t>
      </w:r>
      <w:r w:rsidRPr="006C37DC">
        <w:rPr>
          <w:rFonts w:ascii="Arial" w:eastAsia="Times New Roman" w:hAnsi="Arial" w:cs="Arial"/>
          <w:bCs/>
          <w:i/>
          <w:color w:val="000000"/>
        </w:rPr>
        <w:t xml:space="preserve">er </w:t>
      </w:r>
      <w:r w:rsidRPr="006C37DC">
        <w:rPr>
          <w:rFonts w:ascii="Arial" w:eastAsia="Times New Roman" w:hAnsi="Arial" w:cs="Arial"/>
          <w:bCs/>
          <w:color w:val="000000"/>
        </w:rPr>
        <w:t xml:space="preserve">defects including a reduced plant size, truncated floral regions and patterning defects associated with stomatal development </w:t>
      </w:r>
      <w:r w:rsidRPr="006C37DC">
        <w:rPr>
          <w:rFonts w:ascii="Arial" w:eastAsia="Times New Roman" w:hAnsi="Arial" w:cs="Arial"/>
          <w:bCs/>
          <w:color w:val="000000"/>
        </w:rPr>
        <w:fldChar w:fldCharType="begin">
          <w:fldData xml:space="preserve">PEVuZE5vdGU+PENpdGU+PEF1dGhvcj5TaHBhazwvQXV0aG9yPjxZZWFyPjIwMDQ8L1llYXI+PElE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PEVuZE5vdGU+PENpdGU+PEF1dGhvcj5TaHBhazwvQXV0aG9yPjxZZWFyPjIwMDQ8L1llYXI+PElE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(Shpak et al., 2004; Torii et al., 1996)</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 phenotypes of double or triple </w:t>
      </w:r>
      <w:r w:rsidRPr="006C37DC">
        <w:rPr>
          <w:rFonts w:ascii="Arial" w:eastAsia="Times New Roman" w:hAnsi="Arial" w:cs="Arial"/>
          <w:bCs/>
          <w:i/>
          <w:color w:val="000000"/>
        </w:rPr>
        <w:t>ERf</w:t>
      </w:r>
      <w:r w:rsidRPr="006C37DC">
        <w:rPr>
          <w:rFonts w:ascii="Arial" w:eastAsia="Times New Roman" w:hAnsi="Arial" w:cs="Arial"/>
          <w:bCs/>
          <w:color w:val="000000"/>
        </w:rPr>
        <w:t xml:space="preserve"> mutants tend to exhibit increasing levels of deformity, which in the case of the triple mutant results in particularly stunted growth </w:t>
      </w:r>
      <w:r w:rsidRPr="006C37DC">
        <w:rPr>
          <w:rFonts w:ascii="Arial" w:eastAsia="Times New Roman" w:hAnsi="Arial" w:cs="Arial"/>
          <w:bCs/>
          <w:color w:val="000000"/>
        </w:rPr>
        <w:fldChar w:fldCharType="begin">
          <w:fldData xml:space="preserve">PEVuZE5vdGU+PENpdGU+PEF1dGhvcj5TaHBhazwvQXV0aG9yPjxZZWFyPjIwMDQ8L1llYXI+PElE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PEVuZE5vdGU+PENpdGU+PEF1dGhvcj5TaHBhazwvQXV0aG9yPjxZZWFyPjIwMDQ8L1llYXI+PElE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(Shpak et al., 2004)</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From a stomatal perspective, typically the loss of multiple </w:t>
      </w:r>
      <w:r w:rsidRPr="006C37DC">
        <w:rPr>
          <w:rFonts w:ascii="Arial" w:eastAsia="Times New Roman" w:hAnsi="Arial" w:cs="Arial"/>
          <w:bCs/>
          <w:i/>
          <w:color w:val="000000"/>
        </w:rPr>
        <w:t>ERf</w:t>
      </w:r>
      <w:r w:rsidRPr="006C37DC">
        <w:rPr>
          <w:rFonts w:ascii="Arial" w:eastAsia="Times New Roman" w:hAnsi="Arial" w:cs="Arial"/>
          <w:bCs/>
          <w:color w:val="000000"/>
        </w:rPr>
        <w:t xml:space="preserve"> family members (except single and double combinations of </w:t>
      </w:r>
      <w:r w:rsidRPr="006C37DC">
        <w:rPr>
          <w:rFonts w:ascii="Arial" w:eastAsia="Times New Roman" w:hAnsi="Arial" w:cs="Arial"/>
          <w:bCs/>
          <w:i/>
          <w:color w:val="000000"/>
        </w:rPr>
        <w:t xml:space="preserve">erl1 erl2 </w:t>
      </w:r>
      <w:r w:rsidRPr="006C37DC">
        <w:rPr>
          <w:rFonts w:ascii="Arial" w:eastAsia="Times New Roman" w:hAnsi="Arial" w:cs="Arial"/>
          <w:bCs/>
          <w:color w:val="000000"/>
        </w:rPr>
        <w:t xml:space="preserve">mutants) leads to an increased number of stomata relative to other epidermal cells present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&lt;EndNote&gt;&lt;Cite&gt;&lt;Author&gt;Shpak&lt;/Author&gt;&lt;Year&gt;2005&lt;/Year&gt;&lt;IDText&gt;Stomatal patterning and differentiation by synergistic interactions of receptor kinases&lt;/IDText&gt;&lt;DisplayText&gt;(Shpak et al., 2005)&lt;/DisplayText&gt;&lt;record&gt;&lt;dates&gt;&lt;pub-dates&gt;&lt;date&gt;Jul&lt;/date&gt;&lt;/pub-dates&gt;&lt;year&gt;2005&lt;/year&gt;&lt;/dates&gt;&lt;keywords&gt;&lt;keyword&gt;FLOWER DEVELOPMENT&lt;/keyword&gt;&lt;keyword&gt;ARABIDOPSIS&lt;/keyword&gt;&lt;keyword&gt;MOUTHS&lt;/keyword&gt;&lt;keyword&gt;ORGAN&lt;/keyword&gt;&lt;keyword&gt;TOO&lt;/keyword&gt;&lt;/keywords&gt;&lt;urls&gt;&lt;related-urls&gt;&lt;url&gt;&amp;lt;Go to ISI&amp;gt;://WOS:000230449800042&lt;/url&gt;&lt;/related-urls&gt;&lt;/urls&gt;&lt;isbn&gt;0036-8075&lt;/isbn&gt;&lt;work-type&gt;Article&lt;/work-type&gt;&lt;titles&gt;&lt;title&gt;Stomatal patterning and differentiation by synergistic interactions of receptor kinases&lt;/title&gt;&lt;secondary-title&gt;Science&lt;/secondary-title&gt;&lt;alt-title&gt;Science&lt;/alt-title&gt;&lt;/titles&gt;&lt;pages&gt;290-293&lt;/pages&gt;&lt;number&gt;5732&lt;/number&gt;&lt;contributors&gt;&lt;authors&gt;&lt;author&gt;Shpak, E. D.&lt;/author&gt;&lt;author&gt;McAbee, J. M.&lt;/author&gt;&lt;author&gt;Pillitteri, L. J.&lt;/author&gt;&lt;author&gt;Torii, K. U.&lt;/author&gt;&lt;/authors&gt;&lt;/contributors&gt;&lt;language&gt;English&lt;/language&gt;&lt;added-date format="utc"&gt;1351507806&lt;/added-date&gt;&lt;ref-type name="Journal Article"&gt;17&lt;/ref-type&gt;&lt;auth-address&gt;Univ Washington, Dept Biol, Seattle, WA 98195 USA. Japan Sci &amp;amp; Technol Agcy, Core Res Evolut Sci &amp;amp; Technol, Saitama 3320012, Japan.&amp;#xD;Torii, KU (reprint author), Univ Washington, Dept Biol, Seattle, WA 98195 USA.&amp;#xD;ktorii@u.washington.edu&lt;/auth-address&gt;&lt;rec-number&gt;14&lt;/rec-number&gt;&lt;last-updated-date format="utc"&gt;1351507806&lt;/last-updated-date&gt;&lt;accession-num&gt;WOS:000230449800042&lt;/accession-num&gt;&lt;electronic-resource-num&gt;10.1126/science.1109710&lt;/electronic-resource-num&gt;&lt;volume&gt;309&lt;/volume&gt;&lt;/record&gt;&lt;/Cite&gt;&lt;/EndNote&gt;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(Shpak et al., 2005)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This is particularly evident in the </w:t>
      </w:r>
      <w:r w:rsidRPr="006C37DC">
        <w:rPr>
          <w:rFonts w:ascii="Arial" w:eastAsia="Times New Roman" w:hAnsi="Arial" w:cs="Arial"/>
          <w:bCs/>
          <w:i/>
          <w:color w:val="000000"/>
        </w:rPr>
        <w:t>ERf</w:t>
      </w:r>
      <w:r w:rsidRPr="006C37DC">
        <w:rPr>
          <w:rFonts w:ascii="Arial" w:eastAsia="Times New Roman" w:hAnsi="Arial" w:cs="Arial"/>
          <w:bCs/>
          <w:color w:val="000000"/>
        </w:rPr>
        <w:t xml:space="preserve"> triple mutant where epidermal surfaces are profusely covered by stomata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&lt;EndNote&gt;&lt;Cite&gt;&lt;Author&gt;Shpak&lt;/Author&gt;&lt;Year&gt;2005&lt;/Year&gt;&lt;IDText&gt;Stomatal patterning and differentiation by synergistic interactions of receptor kinases&lt;/IDText&gt;&lt;DisplayText&gt;(Shpak et al., 2005)&lt;/DisplayText&gt;&lt;record&gt;&lt;dates&gt;&lt;pub-dates&gt;&lt;date&gt;Jul&lt;/date&gt;&lt;/pub-dates&gt;&lt;year&gt;2005&lt;/year&gt;&lt;/dates&gt;&lt;keywords&gt;&lt;keyword&gt;FLOWER DEVELOPMENT&lt;/keyword&gt;&lt;keyword&gt;ARABIDOPSIS&lt;/keyword&gt;&lt;keyword&gt;MOUTHS&lt;/keyword&gt;&lt;keyword&gt;ORGAN&lt;/keyword&gt;&lt;keyword&gt;TOO&lt;/keyword&gt;&lt;/keywords&gt;&lt;urls&gt;&lt;related-urls&gt;&lt;url&gt;&amp;lt;Go to ISI&amp;gt;://WOS:000230449800042&lt;/url&gt;&lt;/related-urls&gt;&lt;/urls&gt;&lt;isbn&gt;0036-8075&lt;/isbn&gt;&lt;work-type&gt;Article&lt;/work-type&gt;&lt;titles&gt;&lt;title&gt;Stomatal patterning and differentiation by synergistic interactions of receptor kinases&lt;/title&gt;&lt;secondary-title&gt;Science&lt;/secondary-title&gt;&lt;alt-title&gt;Science&lt;/alt-title&gt;&lt;/titles&gt;&lt;pages&gt;290-293&lt;/pages&gt;&lt;number&gt;5732&lt;/number&gt;&lt;contributors&gt;&lt;authors&gt;&lt;author&gt;Shpak, E. D.&lt;/author&gt;&lt;author&gt;McAbee, J. M.&lt;/author&gt;&lt;author&gt;Pillitteri, L. J.&lt;/author&gt;&lt;author&gt;Torii, K. U.&lt;/author&gt;&lt;/authors&gt;&lt;/contributors&gt;&lt;language&gt;English&lt;/language&gt;&lt;added-date format="utc"&gt;1351507806&lt;/added-date&gt;&lt;ref-type name="Journal Article"&gt;17&lt;/ref-type&gt;&lt;auth-address&gt;Univ Washington, Dept Biol, Seattle, WA 98195 USA. Japan Sci &amp;amp; Technol Agcy, Core Res Evolut Sci &amp;amp; Technol, Saitama 3320012, Japan.&amp;#xD;Torii, KU (reprint author), Univ Washington, Dept Biol, Seattle, WA 98195 USA.&amp;#xD;ktorii@u.washington.edu&lt;/auth-address&gt;&lt;rec-number&gt;14&lt;/rec-number&gt;&lt;last-updated-date format="utc"&gt;1351507806&lt;/last-updated-date&gt;&lt;accession-num&gt;WOS:000230449800042&lt;/accession-num&gt;&lt;electronic-resource-num&gt;10.1126/science.1109710&lt;/electronic-resource-num&gt;&lt;volume&gt;309&lt;/volume&gt;&lt;/record&gt;&lt;/Cite&gt;&lt;/EndNote&gt;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(Shpak et al., 2005)</w:t>
      </w:r>
      <w:r w:rsidRPr="006C37DC">
        <w:rPr>
          <w:rFonts w:ascii="Arial" w:eastAsia="Times New Roman" w:hAnsi="Arial" w:cs="Arial"/>
          <w:bCs/>
          <w:color w:val="000000"/>
        </w:rPr>
        <w:fldChar w:fldCharType="end"/>
      </w:r>
    </w:p>
    <w:p w14:paraId="7A0E372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From a developmental perspective, ERf members are also involved in regulating the size and shape of the shoot apical meristem (SAM) and organs subsequently produced; the patterns and identities of flowers; embryo and cotyledon formation during early development; redox mediated cortex proliferation in roots; defence responses and responses to abiotic stresses </w:t>
      </w:r>
      <w:r w:rsidRPr="006C37DC">
        <w:rPr>
          <w:rFonts w:ascii="Arial" w:eastAsia="Times New Roman" w:hAnsi="Arial" w:cs="Arial"/>
          <w:bCs/>
          <w:color w:val="000000"/>
        </w:rPr>
        <w:fldChar w:fldCharType="begin">
          <w:fldData xml:space="preserve">PEVuZE5vdGU+PENpdGU+PEF1dGhvcj5NYW5kZWw8L0F1dGhvcj48WWVhcj4yMDE0PC9ZZWFyPjxJ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PEVuZE5vdGU+PENpdGU+PEF1dGhvcj5NYW5kZWw8L0F1dGhvcj48WWVhcj4yMDE0PC9ZZWFyPjxJ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(Bemis et al., 2013; Chen and Shpak, 2014; Cui et al., 2014; Llorente et al., 2005; Mandel et al., 2014; Shpak,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ERf function is also interlinked with such process as auxin transport and regulation over </w:t>
      </w:r>
      <w:r w:rsidRPr="006C37DC">
        <w:rPr>
          <w:rFonts w:ascii="Arial" w:eastAsia="Times New Roman" w:hAnsi="Arial" w:cs="Arial"/>
          <w:bCs/>
          <w:i/>
          <w:color w:val="000000"/>
        </w:rPr>
        <w:t>WUSCHEL</w:t>
      </w:r>
      <w:r w:rsidRPr="006C37DC">
        <w:rPr>
          <w:rFonts w:ascii="Arial" w:eastAsia="Times New Roman" w:hAnsi="Arial" w:cs="Arial"/>
          <w:bCs/>
          <w:color w:val="000000"/>
        </w:rPr>
        <w:t xml:space="preserve">, another key player in a correctly functioning SAM </w:t>
      </w:r>
      <w:r w:rsidRPr="006C37DC">
        <w:rPr>
          <w:rFonts w:ascii="Arial" w:eastAsia="Times New Roman" w:hAnsi="Arial" w:cs="Arial"/>
          <w:bCs/>
          <w:color w:val="000000"/>
        </w:rPr>
        <w:fldChar w:fldCharType="begin">
          <w:fldData xml:space="preserve">PEVuZE5vdGU+PENpdGU+PEF1dGhvcj5NYW5kZWw8L0F1dGhvcj48WWVhcj4yMDE0PC9ZZWFyPjxJ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PEVuZE5vdGU+PENpdGU+PEF1dGhvcj5NYW5kZWw8L0F1dGhvcj48WWVhcj4yMDE0PC9ZZWFyPjxJ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(Chen and Shpak, 2014; Mandel et al., 2014)</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Whilst it is not possible to cover all aspects of ERf function here it is possible to conclude that ERf members function to regulate many aspects of growth and development, including assisting in the integration and regulation over stomatal development as organs are forming. For a more detailed analysis of ERf function see Shpak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 ExcludeAuth="1"&gt;&lt;Author&gt;Shpak&lt;/Author&gt;&lt;Year&gt;2013&lt;/Year&gt;&lt;IDText&gt;Diverse roles of ERECTA family genes in plant development&lt;/IDText&gt;&lt;DisplayText&gt;(2013)&lt;/DisplayText&gt;&lt;record&gt;&lt;dates&gt;&lt;pub-dates&gt;&lt;date&gt;Dec&lt;/date&gt;&lt;/pub-dates&gt;&lt;year&gt;2013&lt;/year&gt;&lt;/dates&gt;&lt;keywords&gt;&lt;keyword&gt;Arabidopsis/genetics/growth &amp;amp; development/*metabolism&lt;/keyword&gt;&lt;keyword&gt;Arabidopsis Proteins/genetics/*metabolism&lt;/keyword&gt;&lt;keyword&gt;Gene Expression Regulation, Plant/genetics/physiology&lt;/keyword&gt;&lt;keyword&gt;Protein-Serine-Threonine Kinases/genetics/*metabolism&lt;/keyword&gt;&lt;keyword&gt;Receptors, Cell Surface/genetics/*metabolism&lt;/keyword&gt;&lt;keyword&gt;Arabidopsis&lt;/keyword&gt;&lt;keyword&gt;Erecta&lt;/keyword&gt;&lt;keyword&gt;leaf primordium initiation&lt;/keyword&gt;&lt;keyword&gt;receptor-like kinase&lt;/keyword&gt;&lt;keyword&gt;stomata&lt;/keyword&gt;&lt;keyword&gt;vasculature&lt;/keyword&gt;&lt;/keywords&gt;&lt;isbn&gt;1672-9072&lt;/isbn&gt;&lt;titles&gt;&lt;title&gt;Diverse roles of ERECTA family genes in plant development&lt;/title&gt;&lt;secondary-title&gt;J Integr Plant Biol&lt;/secondary-title&gt;&lt;alt-title&gt;Journal of integrative plant biology&lt;/alt-title&gt;&lt;/titles&gt;&lt;pages&gt;1238-50&lt;/pages&gt;&lt;number&gt;12&lt;/number&gt;&lt;contributors&gt;&lt;authors&gt;&lt;author&gt;Shpak, E. D.&lt;/author&gt;&lt;/authors&gt;&lt;/contributors&gt;&lt;edition&gt;2013/09/11&lt;/edition&gt;&lt;language&gt;eng&lt;/language&gt;&lt;added-date format="utc"&gt;1457537373&lt;/added-date&gt;&lt;ref-type name="Journal Article"&gt;17&lt;/ref-type&gt;&lt;auth-address&gt;Department of Biochemistry, Cellular and Molecular Biology, University of Tennessee, Knoxville, Tennessee, 37996, USA.&lt;/auth-address&gt;&lt;remote-database-provider&gt;NLM&lt;/remote-database-provider&gt;&lt;rec-number&gt;1068&lt;/rec-number&gt;&lt;last-updated-date format="utc"&gt;1457537373&lt;/last-updated-date&gt;&lt;accession-num&gt;24016315&lt;/accession-num&gt;&lt;electronic-resource-num&gt;10.1111/jipb.12108&lt;/electronic-resource-num&gt;&lt;volume&gt;55&lt;/volume&gt;&lt;/record&gt;&lt;/Cite&gt;&lt;/EndNote&gt;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(2013)</w:t>
      </w:r>
      <w:r w:rsidRPr="006C37DC">
        <w:rPr>
          <w:rFonts w:ascii="Arial" w:eastAsia="Times New Roman" w:hAnsi="Arial" w:cs="Arial"/>
          <w:bCs/>
          <w:color w:val="000000"/>
        </w:rPr>
        <w:fldChar w:fldCharType="end"/>
      </w:r>
    </w:p>
    <w:p w14:paraId="2C0D708E" w14:textId="5789B032"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
          <w:bCs/>
          <w:color w:val="000000"/>
          <w:u w:val="single"/>
        </w:rPr>
        <w:t>4.2 Results</w:t>
      </w:r>
    </w:p>
    <w:p w14:paraId="1AA3C657" w14:textId="77777777" w:rsidR="006C37DC" w:rsidRPr="006C37DC" w:rsidRDefault="006C37DC" w:rsidP="006C37DC">
      <w:pPr>
        <w:spacing w:after="160" w:line="360" w:lineRule="auto"/>
        <w:rPr>
          <w:rFonts w:ascii="Arial" w:eastAsia="Times New Roman" w:hAnsi="Arial" w:cs="Arial"/>
          <w:bCs/>
          <w:color w:val="000000"/>
          <w:u w:val="single"/>
        </w:rPr>
      </w:pPr>
      <w:r w:rsidRPr="006C37DC">
        <w:rPr>
          <w:rFonts w:ascii="Arial" w:eastAsia="Times New Roman" w:hAnsi="Arial" w:cs="Arial"/>
          <w:bCs/>
          <w:color w:val="000000"/>
          <w:u w:val="single"/>
        </w:rPr>
        <w:t xml:space="preserve">4.2.1 Identification of genes involved in stomatal patterning in the non-vascular land plant </w:t>
      </w:r>
      <w:r w:rsidRPr="006C37DC">
        <w:rPr>
          <w:rFonts w:ascii="Arial" w:eastAsia="Times New Roman" w:hAnsi="Arial" w:cs="Arial"/>
          <w:bCs/>
          <w:i/>
          <w:color w:val="000000"/>
          <w:u w:val="single"/>
        </w:rPr>
        <w:t>Physcomitrella patens</w:t>
      </w:r>
    </w:p>
    <w:p w14:paraId="17FCA76A" w14:textId="03DEB71F"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Studies of stomatal patterning genes has mostly used the model organism and flowering plant Arabidopsis </w:t>
      </w:r>
      <w:r w:rsidRPr="006C37DC">
        <w:rPr>
          <w:rFonts w:ascii="Arial" w:eastAsia="Times New Roman" w:hAnsi="Arial" w:cs="Arial"/>
          <w:bCs/>
          <w:color w:val="000000"/>
        </w:rPr>
        <w:fldChar w:fldCharType="begin">
          <w:fldData xml:space="preserve">PEVuZE5vdGU+PENpdGU+PEF1dGhvcj5QaWxsaXR0ZXJpPC9BdXRob3I+PFllYXI+MjAxMzwvWWVh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PEVuZE5vdGU+PENpdGU+PEF1dGhvcj5QaWxsaXR0ZXJpPC9BdXRob3I+PFllYXI+MjAxMzwvWWVh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(Han and Torii, 2016; Pillitteri and Dong, 2013; Pillitteri and Torii,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Whilst a few studies have started to emerge in other vascular land plants revealing broadly conserved functions of patterning genes </w:t>
      </w:r>
      <w:r w:rsidRPr="006C37DC">
        <w:rPr>
          <w:rFonts w:ascii="Arial" w:eastAsia="Times New Roman" w:hAnsi="Arial" w:cs="Arial"/>
          <w:bCs/>
          <w:color w:val="000000"/>
        </w:rPr>
        <w:fldChar w:fldCharType="begin">
          <w:fldData xml:space="preserve">PEVuZE5vdGU+PENpdGU+PEF1dGhvcj5TaGVuPC9BdXRob3I+PFllYXI+MjAxNTwvWWVhcj48SURU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</w:fldData>
        </w:fldChar>
      </w:r>
      <w:r w:rsidR="00417B1E">
        <w:rPr>
          <w:rFonts w:ascii="Arial" w:eastAsia="Times New Roman" w:hAnsi="Arial" w:cs="Arial"/>
          <w:bCs/>
          <w:color w:val="000000"/>
        </w:rPr>
        <w:instrText xml:space="preserve"> ADDIN EN.CITE </w:instrText>
      </w:r>
      <w:r w:rsidR="00417B1E">
        <w:rPr>
          <w:rFonts w:ascii="Arial" w:eastAsia="Times New Roman" w:hAnsi="Arial" w:cs="Arial"/>
          <w:bCs/>
          <w:color w:val="000000"/>
        </w:rPr>
        <w:fldChar w:fldCharType="begin">
          <w:fldData xml:space="preserve">PEVuZE5vdGU+PENpdGU+PEF1dGhvcj5TaGVuPC9BdXRob3I+PFllYXI+MjAxNTwvWWVhcj48SURU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</w:fldData>
        </w:fldChar>
      </w:r>
      <w:r w:rsidR="00417B1E">
        <w:rPr>
          <w:rFonts w:ascii="Arial" w:eastAsia="Times New Roman" w:hAnsi="Arial" w:cs="Arial"/>
          <w:bCs/>
          <w:color w:val="000000"/>
        </w:rPr>
        <w:instrText xml:space="preserve"> ADDIN EN.CITE.DATA </w:instrText>
      </w:r>
      <w:r w:rsidR="00417B1E">
        <w:rPr>
          <w:rFonts w:ascii="Arial" w:eastAsia="Times New Roman" w:hAnsi="Arial" w:cs="Arial"/>
          <w:bCs/>
          <w:color w:val="000000"/>
        </w:rPr>
      </w:r>
      <w:r w:rsidR="00417B1E">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417B1E">
        <w:rPr>
          <w:rFonts w:ascii="Arial" w:eastAsia="Times New Roman" w:hAnsi="Arial" w:cs="Arial"/>
          <w:bCs/>
          <w:noProof/>
          <w:color w:val="000000"/>
        </w:rPr>
        <w:t>(Shen et al., 2015; Wang et al., 2016a)</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it is unknown whether non-vascular land plants also use similar genetic components to pattern their stomata. However, phylogenetic analyses have identified putative orthologues related to the </w:t>
      </w:r>
      <w:r w:rsidRPr="003C7D86">
        <w:rPr>
          <w:rFonts w:ascii="Arial" w:eastAsia="Times New Roman" w:hAnsi="Arial" w:cs="Arial"/>
          <w:bCs/>
          <w:i/>
          <w:color w:val="000000"/>
        </w:rPr>
        <w:t>EPF/Ls</w:t>
      </w:r>
      <w:r w:rsidRPr="006C37DC">
        <w:rPr>
          <w:rFonts w:ascii="Arial" w:eastAsia="Times New Roman" w:hAnsi="Arial" w:cs="Arial"/>
          <w:bCs/>
          <w:color w:val="000000"/>
        </w:rPr>
        <w:t xml:space="preserve">, </w:t>
      </w:r>
      <w:r w:rsidRPr="003C7D86">
        <w:rPr>
          <w:rFonts w:ascii="Arial" w:eastAsia="Times New Roman" w:hAnsi="Arial" w:cs="Arial"/>
          <w:bCs/>
          <w:i/>
          <w:color w:val="000000"/>
        </w:rPr>
        <w:t>TMM</w:t>
      </w:r>
      <w:r w:rsidRPr="006C37DC">
        <w:rPr>
          <w:rFonts w:ascii="Arial" w:eastAsia="Times New Roman" w:hAnsi="Arial" w:cs="Arial"/>
          <w:bCs/>
          <w:color w:val="000000"/>
        </w:rPr>
        <w:t xml:space="preserve"> and </w:t>
      </w:r>
      <w:r w:rsidRPr="003C7D86">
        <w:rPr>
          <w:rFonts w:ascii="Arial" w:eastAsia="Times New Roman" w:hAnsi="Arial" w:cs="Arial"/>
          <w:bCs/>
          <w:i/>
          <w:color w:val="000000"/>
        </w:rPr>
        <w:t>ERf</w:t>
      </w:r>
      <w:r w:rsidRPr="006C37DC">
        <w:rPr>
          <w:rFonts w:ascii="Arial" w:eastAsia="Times New Roman" w:hAnsi="Arial" w:cs="Arial"/>
          <w:bCs/>
          <w:color w:val="000000"/>
        </w:rPr>
        <w:t xml:space="preserve"> members in the genome sequence of </w:t>
      </w:r>
      <w:r w:rsidRPr="006C37DC">
        <w:rPr>
          <w:rFonts w:ascii="Arial" w:eastAsia="Times New Roman" w:hAnsi="Arial" w:cs="Arial"/>
          <w:bCs/>
          <w:i/>
          <w:color w:val="000000"/>
        </w:rPr>
        <w:t>P. patens</w:t>
      </w:r>
      <w:r w:rsidRPr="006C37DC">
        <w:rPr>
          <w:rFonts w:ascii="Arial" w:eastAsia="Times New Roman" w:hAnsi="Arial" w:cs="Arial"/>
          <w:bCs/>
          <w:color w:val="000000"/>
        </w:rPr>
        <w:t xml:space="preserve"> </w:t>
      </w:r>
      <w:r w:rsidRPr="006C37DC">
        <w:rPr>
          <w:rFonts w:ascii="Arial" w:eastAsia="Times New Roman" w:hAnsi="Arial" w:cs="Arial"/>
          <w:bCs/>
          <w:color w:val="000000"/>
        </w:rPr>
        <w:fldChar w:fldCharType="begin">
          <w:fldData xml:space="preserve">PEVuZE5vdGU+PENpdGU+PEF1dGhvcj5QZXRlcnNvbjwvQXV0aG9yPjxZZWFyPjIwMTA8L1llYXI+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PEVuZE5vdGU+PENpdGU+PEF1dGhvcj5QZXRlcnNvbjwvQXV0aG9yPjxZZWFyPjIwMTA8L1llYXI+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(Peterson et al., 2010; Takata et al., 2013; Villagarcia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Additionally, transcriptomic data suggest that a number of these homologues are expressed in the developing sporophyte </w:t>
      </w:r>
      <w:r w:rsidRPr="006C37DC">
        <w:rPr>
          <w:rFonts w:ascii="Arial" w:eastAsia="Times New Roman" w:hAnsi="Arial" w:cs="Arial"/>
          <w:bCs/>
          <w:color w:val="000000"/>
        </w:rPr>
        <w:lastRenderedPageBreak/>
        <w:t xml:space="preserve">where stomatal formation occurs </w:t>
      </w:r>
      <w:r w:rsidRPr="006C37DC">
        <w:rPr>
          <w:rFonts w:ascii="Arial" w:eastAsia="Times New Roman" w:hAnsi="Arial" w:cs="Arial"/>
          <w:bCs/>
          <w:color w:val="000000"/>
        </w:rPr>
        <w:fldChar w:fldCharType="begin">
          <w:fldData xml:space="preserve">PEVuZE5vdGU+PENpdGU+PEF1dGhvcj5PJmFwb3M7RG9ub2dodWU8L0F1dGhvcj48WWVhcj4yMDEz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PEVuZE5vdGU+PENpdGU+PEF1dGhvcj5PJmFwb3M7RG9ub2dodWU8L0F1dGhvcj48WWVhcj4yMDEz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(O'Donoghue et al., 2013; Ortiz-Ramírez et al., 2015)</w:t>
      </w:r>
      <w:r w:rsidRPr="006C37DC">
        <w:rPr>
          <w:rFonts w:ascii="Arial" w:eastAsia="Times New Roman" w:hAnsi="Arial" w:cs="Arial"/>
          <w:bCs/>
          <w:color w:val="000000"/>
        </w:rPr>
        <w:fldChar w:fldCharType="end"/>
      </w:r>
      <w:r w:rsidRPr="006C37DC">
        <w:rPr>
          <w:rFonts w:ascii="Arial" w:eastAsia="Times New Roman" w:hAnsi="Arial" w:cs="Arial"/>
          <w:bCs/>
          <w:color w:val="000000"/>
        </w:rPr>
        <w:t>. Such data strongly indicate that a module of genes has been conserved in non-vascular land plants that functions to integrate stomatal development into the development of newly formed expanding sporophytes. The functions of a number of such identified genes and how they work synergistically during stomatal development will be the topics addressed in this results section.</w:t>
      </w:r>
    </w:p>
    <w:p w14:paraId="52AF3CA3" w14:textId="77777777" w:rsidR="006C37DC" w:rsidRPr="006C37DC" w:rsidRDefault="006C37DC" w:rsidP="006C37DC">
      <w:pPr>
        <w:spacing w:after="160" w:line="360" w:lineRule="auto"/>
        <w:rPr>
          <w:rFonts w:ascii="Arial" w:eastAsia="Times New Roman" w:hAnsi="Arial" w:cs="Arial"/>
          <w:bCs/>
          <w:color w:val="000000"/>
          <w:u w:val="single"/>
        </w:rPr>
      </w:pPr>
      <w:r w:rsidRPr="006C37DC">
        <w:rPr>
          <w:rFonts w:ascii="Arial" w:eastAsia="Times New Roman" w:hAnsi="Arial" w:cs="Arial"/>
          <w:bCs/>
          <w:color w:val="000000"/>
          <w:u w:val="single"/>
        </w:rPr>
        <w:t>4.2.2 The</w:t>
      </w:r>
      <w:r w:rsidRPr="006C37DC">
        <w:rPr>
          <w:rFonts w:ascii="Arial" w:eastAsia="Times New Roman" w:hAnsi="Arial" w:cs="Arial"/>
          <w:bCs/>
          <w:i/>
          <w:color w:val="000000"/>
          <w:u w:val="single"/>
        </w:rPr>
        <w:t xml:space="preserve"> Physcomitrella patens </w:t>
      </w:r>
      <w:r w:rsidRPr="006C37DC">
        <w:rPr>
          <w:rFonts w:ascii="Arial" w:eastAsia="Times New Roman" w:hAnsi="Arial" w:cs="Arial"/>
          <w:bCs/>
          <w:color w:val="000000"/>
          <w:u w:val="single"/>
        </w:rPr>
        <w:t xml:space="preserve">genome contains one </w:t>
      </w:r>
      <w:r w:rsidRPr="006C37DC">
        <w:rPr>
          <w:rFonts w:ascii="Arial" w:eastAsia="Times New Roman" w:hAnsi="Arial" w:cs="Arial"/>
          <w:bCs/>
          <w:i/>
          <w:color w:val="000000"/>
          <w:u w:val="single"/>
        </w:rPr>
        <w:t xml:space="preserve">EPF </w:t>
      </w:r>
      <w:r w:rsidRPr="006C37DC">
        <w:rPr>
          <w:rFonts w:ascii="Arial" w:eastAsia="Times New Roman" w:hAnsi="Arial" w:cs="Arial"/>
          <w:bCs/>
          <w:color w:val="000000"/>
          <w:u w:val="single"/>
        </w:rPr>
        <w:t xml:space="preserve">peptide, PpEPF1, which is closely related Arabidopsis </w:t>
      </w:r>
      <w:r w:rsidRPr="006C37DC">
        <w:rPr>
          <w:rFonts w:ascii="Arial" w:eastAsia="Times New Roman" w:hAnsi="Arial" w:cs="Arial"/>
          <w:bCs/>
          <w:i/>
          <w:color w:val="000000"/>
          <w:u w:val="single"/>
        </w:rPr>
        <w:t>EPF1</w:t>
      </w:r>
      <w:r w:rsidRPr="006C37DC">
        <w:rPr>
          <w:rFonts w:ascii="Arial" w:eastAsia="Times New Roman" w:hAnsi="Arial" w:cs="Arial"/>
          <w:bCs/>
          <w:color w:val="000000"/>
          <w:u w:val="single"/>
        </w:rPr>
        <w:t xml:space="preserve">, </w:t>
      </w:r>
      <w:r w:rsidRPr="006C37DC">
        <w:rPr>
          <w:rFonts w:ascii="Arial" w:eastAsia="Times New Roman" w:hAnsi="Arial" w:cs="Arial"/>
          <w:bCs/>
          <w:i/>
          <w:color w:val="000000"/>
          <w:u w:val="single"/>
        </w:rPr>
        <w:t>EPF2</w:t>
      </w:r>
      <w:r w:rsidRPr="006C37DC">
        <w:rPr>
          <w:rFonts w:ascii="Arial" w:eastAsia="Times New Roman" w:hAnsi="Arial" w:cs="Arial"/>
          <w:bCs/>
          <w:color w:val="000000"/>
          <w:u w:val="single"/>
        </w:rPr>
        <w:t xml:space="preserve"> and </w:t>
      </w:r>
      <w:r w:rsidRPr="006C37DC">
        <w:rPr>
          <w:rFonts w:ascii="Arial" w:eastAsia="Times New Roman" w:hAnsi="Arial" w:cs="Arial"/>
          <w:bCs/>
          <w:i/>
          <w:color w:val="000000"/>
          <w:u w:val="single"/>
        </w:rPr>
        <w:t>EPFL7</w:t>
      </w:r>
      <w:r w:rsidRPr="006C37DC">
        <w:rPr>
          <w:rFonts w:ascii="Arial" w:eastAsia="Times New Roman" w:hAnsi="Arial" w:cs="Arial"/>
          <w:bCs/>
          <w:color w:val="000000"/>
          <w:u w:val="single"/>
        </w:rPr>
        <w:t xml:space="preserve"> </w:t>
      </w:r>
    </w:p>
    <w:p w14:paraId="27B61CB9" w14:textId="71B3C74F"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As outline above the </w:t>
      </w:r>
      <w:r w:rsidRPr="006C37DC">
        <w:rPr>
          <w:rFonts w:ascii="Arial" w:eastAsia="Times New Roman" w:hAnsi="Arial" w:cs="Arial"/>
          <w:bCs/>
          <w:i/>
          <w:color w:val="000000"/>
        </w:rPr>
        <w:t xml:space="preserve">EPF/L </w:t>
      </w:r>
      <w:r w:rsidRPr="006C37DC">
        <w:rPr>
          <w:rFonts w:ascii="Arial" w:eastAsia="Times New Roman" w:hAnsi="Arial" w:cs="Arial"/>
          <w:bCs/>
          <w:color w:val="000000"/>
        </w:rPr>
        <w:t xml:space="preserve">family in Arabidopsis consists of 11 members which function both in stomatal development and in regulation of other aspects of development such as organ expansion </w:t>
      </w:r>
      <w:r w:rsidRPr="006C37DC">
        <w:rPr>
          <w:rFonts w:ascii="Arial" w:eastAsia="Times New Roman" w:hAnsi="Arial" w:cs="Arial"/>
          <w:bCs/>
          <w:color w:val="000000"/>
        </w:rPr>
        <w:fldChar w:fldCharType="begin">
          <w:fldData xml:space="preserve">PEVuZE5vdGU+PENpdGU+PEF1dGhvcj5VY2hpZGE8L0F1dGhvcj48WWVhcj4yMDEyPC9ZZWFyPjxJ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PEVuZE5vdGU+PENpdGU+PEF1dGhvcj5VY2hpZGE8L0F1dGhvcj48WWVhcj4yMDEyPC9ZZWFyPjxJ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(Abrash et al., 2011; Takata et al., 2013; Torii, 2012; Uchida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To provide an updated understanding of putative </w:t>
      </w:r>
      <w:r w:rsidRPr="006C37DC">
        <w:rPr>
          <w:rFonts w:ascii="Arial" w:eastAsia="Times New Roman" w:hAnsi="Arial" w:cs="Arial"/>
          <w:bCs/>
          <w:i/>
          <w:color w:val="000000"/>
        </w:rPr>
        <w:t>P. patens</w:t>
      </w:r>
      <w:r w:rsidRPr="006C37DC">
        <w:rPr>
          <w:rFonts w:ascii="Arial" w:eastAsia="Times New Roman" w:hAnsi="Arial" w:cs="Arial"/>
          <w:bCs/>
          <w:color w:val="000000"/>
        </w:rPr>
        <w:t xml:space="preserve"> orthologues a phylogenetic analysis was performed using the latest amino acid sequence data from gene families predicted using Phytozome V11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&lt;EndNote&gt;&lt;Cite&gt;&lt;Author&gt;Goodstein&lt;/Author&gt;&lt;Year&gt;2012&lt;/Year&gt;&lt;IDText&gt;Phytozome: a comparative platform for green plant genomics&lt;/IDText&gt;&lt;DisplayText&gt;(Goodstein et al., 2012)&lt;/DisplayText&gt;&lt;record&gt;&lt;dates&gt;&lt;pub-dates&gt;&lt;date&gt;2012//&lt;/date&gt;&lt;/pub-dates&gt;&lt;year&gt;2012&lt;/year&gt;&lt;/dates&gt;&lt;urls&gt;&lt;related-urls&gt;&lt;url&gt;http://dx.doi.org/10.1093/nar/gkr944&lt;/url&gt;&lt;/related-urls&gt;&lt;/urls&gt;&lt;titles&gt;&lt;title&gt;Phytozome: a comparative platform for green plant genomics&lt;/title&gt;&lt;secondary-title&gt;Nucleic Acids Res&lt;/secondary-title&gt;&lt;/titles&gt;&lt;contributors&gt;&lt;authors&gt;&lt;author&gt;Goodstein, D. M.&lt;/author&gt;&lt;author&gt;Shu, S.&lt;/author&gt;&lt;author&gt;Howson, R.&lt;/author&gt;&lt;author&gt;Neupane, R.&lt;/author&gt;&lt;author&gt;Hayes, R. D.&lt;/author&gt;&lt;author&gt;Fazo, J.&lt;/author&gt;&lt;author&gt;Mitros, T.&lt;/author&gt;&lt;author&gt;Dirks, W.&lt;/author&gt;&lt;author&gt;Hellsten, U.&lt;/author&gt;&lt;author&gt;Putnam, N.&lt;/author&gt;&lt;author&gt;Rokhsar, D. S.&lt;/author&gt;&lt;/authors&gt;&lt;/contributors&gt;&lt;added-date format="utc"&gt;1454072695&lt;/added-date&gt;&lt;ref-type name="Journal Article"&gt;17&lt;/ref-type&gt;&lt;rec-number&gt;496&lt;/rec-number&gt;&lt;last-updated-date format="utc"&gt;1454072695&lt;/last-updated-date&gt;&lt;electronic-resource-num&gt;10.1093/nar/gkr944&lt;/electronic-resource-num&gt;&lt;volume&gt;40&lt;/volume&gt;&lt;/record&gt;&lt;/Cite&gt;&lt;/EndNote&gt;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(Goodstein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with some additional sequences added manually based on previous studies (</w:t>
      </w:r>
      <w:r w:rsidRPr="006C37DC">
        <w:rPr>
          <w:rFonts w:ascii="Arial" w:eastAsia="Times New Roman" w:hAnsi="Arial" w:cs="Arial"/>
          <w:b/>
          <w:bCs/>
          <w:color w:val="000000"/>
        </w:rPr>
        <w:t>Fig. 6</w:t>
      </w:r>
      <w:r w:rsidRPr="006C37DC">
        <w:rPr>
          <w:rFonts w:ascii="Arial" w:eastAsia="Times New Roman" w:hAnsi="Arial" w:cs="Arial"/>
          <w:bCs/>
          <w:color w:val="000000"/>
        </w:rPr>
        <w:t xml:space="preserve">)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&lt;EndNote&gt;&lt;Cite&gt;&lt;Author&gt;Takata&lt;/Author&gt;&lt;Year&gt;2013&lt;/Year&gt;&lt;IDText&gt;Evolutionary Relationship and Structural Characterization of the EPF/EPFL Gene Family&lt;/IDText&gt;&lt;DisplayText&gt;(Takata et al., 2013)&lt;/DisplayText&gt;&lt;record&gt;&lt;dates&gt;&lt;pub-dates&gt;&lt;date&gt;06/03&amp;#xD;12/28/received&amp;#xD;04/24/accepted&lt;/date&gt;&lt;/pub-dates&gt;&lt;year&gt;2013&lt;/year&gt;&lt;/dates&gt;&lt;urls&gt;&lt;related-urls&gt;&lt;url&gt;http://www.ncbi.nlm.nih.gov/pmc/articles/PMC3670920/&lt;/url&gt;&lt;/related-urls&gt;&lt;/urls&gt;&lt;isbn&gt;1932-6203&lt;/isbn&gt;&lt;titles&gt;&lt;title&gt;Evolutionary Relationship and Structural Characterization of the EPF/EPFL Gene Family&lt;/title&gt;&lt;secondary-title&gt;PLoS ONE&lt;/secondary-title&gt;&lt;/titles&gt;&lt;pages&gt;e65183&lt;/pages&gt;&lt;number&gt;6&lt;/number&gt;&lt;contributors&gt;&lt;authors&gt;&lt;author&gt;Takata, Naoki&lt;/author&gt;&lt;author&gt;Yokota, Kiyonobu&lt;/author&gt;&lt;author&gt;Ohki, Shinya&lt;/author&gt;&lt;author&gt;Mori, Masashi&lt;/author&gt;&lt;author&gt;Taniguchi, Toru&lt;/author&gt;&lt;author&gt;Kurita, Manabu&lt;/author&gt;&lt;/authors&gt;&lt;/contributors&gt;&lt;added-date format="utc"&gt;1451494706&lt;/added-date&gt;&lt;pub-location&gt;San Francisco, USA&lt;/pub-location&gt;&lt;ref-type name="Journal Article"&gt;17&lt;/ref-type&gt;&lt;rec-number&gt;217&lt;/rec-number&gt;&lt;publisher&gt;Public Library of Science&lt;/publisher&gt;&lt;last-updated-date format="utc"&gt;1451494706&lt;/last-updated-date&gt;&lt;accession-num&gt;PMC3670920&lt;/accession-num&gt;&lt;electronic-resource-num&gt;10.1371/journal.pone.0065183&lt;/electronic-resource-num&gt;&lt;volume&gt;8&lt;/volume&gt;&lt;remote-database-name&gt;PMC&lt;/remote-database-na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(Takata et al.,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As has been observed previously, one putative </w:t>
      </w:r>
      <w:r w:rsidRPr="006C37DC">
        <w:rPr>
          <w:rFonts w:ascii="Arial" w:eastAsia="Times New Roman" w:hAnsi="Arial" w:cs="Arial"/>
          <w:bCs/>
          <w:i/>
          <w:color w:val="000000"/>
        </w:rPr>
        <w:t xml:space="preserve">P. patens </w:t>
      </w:r>
      <w:r w:rsidRPr="006C37DC">
        <w:rPr>
          <w:rFonts w:ascii="Arial" w:eastAsia="Times New Roman" w:hAnsi="Arial" w:cs="Arial"/>
          <w:bCs/>
          <w:color w:val="000000"/>
        </w:rPr>
        <w:t xml:space="preserve">gene orthologue,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that clusters within the stomatal acting </w:t>
      </w:r>
      <w:r w:rsidRPr="006C37DC">
        <w:rPr>
          <w:rFonts w:ascii="Arial" w:eastAsia="Times New Roman" w:hAnsi="Arial" w:cs="Arial"/>
          <w:bCs/>
          <w:i/>
          <w:color w:val="000000"/>
        </w:rPr>
        <w:t xml:space="preserve">EPF1/EPF2/EPFL7 </w:t>
      </w:r>
      <w:r w:rsidRPr="006C37DC">
        <w:rPr>
          <w:rFonts w:ascii="Arial" w:eastAsia="Times New Roman" w:hAnsi="Arial" w:cs="Arial"/>
          <w:bCs/>
          <w:color w:val="000000"/>
        </w:rPr>
        <w:t>clade was identified (</w:t>
      </w:r>
      <w:r w:rsidRPr="006C37DC">
        <w:rPr>
          <w:rFonts w:ascii="Arial" w:eastAsia="Times New Roman" w:hAnsi="Arial" w:cs="Arial"/>
          <w:b/>
          <w:bCs/>
          <w:color w:val="000000"/>
        </w:rPr>
        <w:t>Fig. 6</w:t>
      </w:r>
      <w:r w:rsidRPr="006C37DC">
        <w:rPr>
          <w:rFonts w:ascii="Arial" w:eastAsia="Times New Roman" w:hAnsi="Arial" w:cs="Arial"/>
          <w:bCs/>
          <w:color w:val="000000"/>
        </w:rPr>
        <w:t xml:space="preserve">, black arrow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&lt;EndNote&gt;&lt;Cite&gt;&lt;Author&gt;Takata&lt;/Author&gt;&lt;Year&gt;2013&lt;/Year&gt;&lt;IDText&gt;Evolutionary Relationship and Structural Characterization of the EPF/EPFL Gene Family&lt;/IDText&gt;&lt;DisplayText&gt;(Takata et al., 2013)&lt;/DisplayText&gt;&lt;record&gt;&lt;dates&gt;&lt;pub-dates&gt;&lt;date&gt;06/03&amp;#xD;12/28/received&amp;#xD;04/24/accepted&lt;/date&gt;&lt;/pub-dates&gt;&lt;year&gt;2013&lt;/year&gt;&lt;/dates&gt;&lt;urls&gt;&lt;related-urls&gt;&lt;url&gt;http://www.ncbi.nlm.nih.gov/pmc/articles/PMC3670920/&lt;/url&gt;&lt;/related-urls&gt;&lt;/urls&gt;&lt;isbn&gt;1932-6203&lt;/isbn&gt;&lt;titles&gt;&lt;title&gt;Evolutionary Relationship and Structural Characterization of the EPF/EPFL Gene Family&lt;/title&gt;&lt;secondary-title&gt;PLoS ONE&lt;/secondary-title&gt;&lt;/titles&gt;&lt;pages&gt;e65183&lt;/pages&gt;&lt;number&gt;6&lt;/number&gt;&lt;contributors&gt;&lt;authors&gt;&lt;author&gt;Takata, Naoki&lt;/author&gt;&lt;author&gt;Yokota, Kiyonobu&lt;/author&gt;&lt;author&gt;Ohki, Shinya&lt;/author&gt;&lt;author&gt;Mori, Masashi&lt;/author&gt;&lt;author&gt;Taniguchi, Toru&lt;/author&gt;&lt;author&gt;Kurita, Manabu&lt;/author&gt;&lt;/authors&gt;&lt;/contributors&gt;&lt;added-date format="utc"&gt;1451494706&lt;/added-date&gt;&lt;pub-location&gt;San Francisco, USA&lt;/pub-location&gt;&lt;ref-type name="Journal Article"&gt;17&lt;/ref-type&gt;&lt;rec-number&gt;217&lt;/rec-number&gt;&lt;publisher&gt;Public Library of Science&lt;/publisher&gt;&lt;last-updated-date format="utc"&gt;1451494706&lt;/last-updated-date&gt;&lt;accession-num&gt;PMC3670920&lt;/accession-num&gt;&lt;electronic-resource-num&gt;10.1371/journal.pone.0065183&lt;/electronic-resource-num&gt;&lt;volume&gt;8&lt;/volume&gt;&lt;remote-database-name&gt;PMC&lt;/remote-database-na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(Takata et al., 2013)</w:t>
      </w:r>
      <w:r w:rsidRPr="006C37DC">
        <w:rPr>
          <w:rFonts w:ascii="Arial" w:eastAsia="Times New Roman" w:hAnsi="Arial" w:cs="Arial"/>
          <w:bCs/>
          <w:color w:val="000000"/>
        </w:rPr>
        <w:fldChar w:fldCharType="end"/>
      </w:r>
      <w:r w:rsidR="003C7D86">
        <w:rPr>
          <w:rFonts w:ascii="Arial" w:eastAsia="Times New Roman" w:hAnsi="Arial" w:cs="Arial"/>
          <w:bCs/>
          <w:color w:val="000000"/>
        </w:rPr>
        <w:t>). Additionally, 10</w:t>
      </w:r>
      <w:r w:rsidRPr="006C37DC">
        <w:rPr>
          <w:rFonts w:ascii="Arial" w:eastAsia="Times New Roman" w:hAnsi="Arial" w:cs="Arial"/>
          <w:bCs/>
          <w:color w:val="000000"/>
        </w:rPr>
        <w:t xml:space="preserve"> other </w:t>
      </w:r>
      <w:r w:rsidRPr="006C37DC">
        <w:rPr>
          <w:rFonts w:ascii="Arial" w:eastAsia="Times New Roman" w:hAnsi="Arial" w:cs="Arial"/>
          <w:bCs/>
          <w:i/>
          <w:color w:val="000000"/>
        </w:rPr>
        <w:t>P. patens EPFL</w:t>
      </w:r>
      <w:r w:rsidRPr="006C37DC">
        <w:rPr>
          <w:rFonts w:ascii="Arial" w:eastAsia="Times New Roman" w:hAnsi="Arial" w:cs="Arial"/>
          <w:bCs/>
          <w:color w:val="000000"/>
        </w:rPr>
        <w:t xml:space="preserve"> genes, termed </w:t>
      </w:r>
      <w:r w:rsidR="003C7D86">
        <w:rPr>
          <w:rFonts w:ascii="Arial" w:eastAsia="Times New Roman" w:hAnsi="Arial" w:cs="Arial"/>
          <w:bCs/>
          <w:i/>
          <w:color w:val="000000"/>
        </w:rPr>
        <w:t>PpCHALLAH-related1-10</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which cluster away from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with the </w:t>
      </w:r>
      <w:r w:rsidRPr="006C37DC">
        <w:rPr>
          <w:rFonts w:ascii="Arial" w:eastAsia="Times New Roman" w:hAnsi="Arial" w:cs="Arial"/>
          <w:bCs/>
          <w:i/>
          <w:color w:val="000000"/>
        </w:rPr>
        <w:t xml:space="preserve">CHAL </w:t>
      </w:r>
      <w:r w:rsidRPr="006C37DC">
        <w:rPr>
          <w:rFonts w:ascii="Arial" w:eastAsia="Times New Roman" w:hAnsi="Arial" w:cs="Arial"/>
          <w:bCs/>
          <w:color w:val="000000"/>
        </w:rPr>
        <w:t xml:space="preserve">and </w:t>
      </w:r>
      <w:r w:rsidRPr="006C37DC">
        <w:rPr>
          <w:rFonts w:ascii="Arial" w:eastAsia="Times New Roman" w:hAnsi="Arial" w:cs="Arial"/>
          <w:bCs/>
          <w:i/>
          <w:color w:val="000000"/>
        </w:rPr>
        <w:t>CHAL</w:t>
      </w:r>
      <w:r w:rsidRPr="006C37DC">
        <w:rPr>
          <w:rFonts w:ascii="Arial" w:eastAsia="Times New Roman" w:hAnsi="Arial" w:cs="Arial"/>
          <w:bCs/>
          <w:color w:val="000000"/>
        </w:rPr>
        <w:t xml:space="preserve">-like genes in a </w:t>
      </w:r>
      <w:r w:rsidRPr="006C37DC">
        <w:rPr>
          <w:rFonts w:ascii="Arial" w:eastAsia="Times New Roman" w:hAnsi="Arial" w:cs="Arial"/>
          <w:bCs/>
          <w:i/>
          <w:color w:val="000000"/>
        </w:rPr>
        <w:t xml:space="preserve">CHALLAH </w:t>
      </w:r>
      <w:r w:rsidRPr="006C37DC">
        <w:rPr>
          <w:rFonts w:ascii="Arial" w:eastAsia="Times New Roman" w:hAnsi="Arial" w:cs="Arial"/>
          <w:bCs/>
          <w:color w:val="000000"/>
        </w:rPr>
        <w:t xml:space="preserve">clade were also identified like in previous studies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&lt;EndNote&gt;&lt;Cite&gt;&lt;Author&gt;Takata&lt;/Author&gt;&lt;Year&gt;2013&lt;/Year&gt;&lt;IDText&gt;Evolutionary Relationship and Structural Characterization of the EPF/EPFL Gene Family&lt;/IDText&gt;&lt;DisplayText&gt;(Takata et al., 2013)&lt;/DisplayText&gt;&lt;record&gt;&lt;dates&gt;&lt;pub-dates&gt;&lt;date&gt;06/03&amp;#xD;12/28/received&amp;#xD;04/24/accepted&lt;/date&gt;&lt;/pub-dates&gt;&lt;year&gt;2013&lt;/year&gt;&lt;/dates&gt;&lt;urls&gt;&lt;related-urls&gt;&lt;url&gt;http://www.ncbi.nlm.nih.gov/pmc/articles/PMC3670920/&lt;/url&gt;&lt;/related-urls&gt;&lt;/urls&gt;&lt;isbn&gt;1932-6203&lt;/isbn&gt;&lt;titles&gt;&lt;title&gt;Evolutionary Relationship and Structural Characterization of the EPF/EPFL Gene Family&lt;/title&gt;&lt;secondary-title&gt;PLoS ONE&lt;/secondary-title&gt;&lt;/titles&gt;&lt;pages&gt;e65183&lt;/pages&gt;&lt;number&gt;6&lt;/number&gt;&lt;contributors&gt;&lt;authors&gt;&lt;author&gt;Takata, Naoki&lt;/author&gt;&lt;author&gt;Yokota, Kiyonobu&lt;/author&gt;&lt;author&gt;Ohki, Shinya&lt;/author&gt;&lt;author&gt;Mori, Masashi&lt;/author&gt;&lt;author&gt;Taniguchi, Toru&lt;/author&gt;&lt;author&gt;Kurita, Manabu&lt;/author&gt;&lt;/authors&gt;&lt;/contributors&gt;&lt;added-date format="utc"&gt;1451494706&lt;/added-date&gt;&lt;pub-location&gt;San Francisco, USA&lt;/pub-location&gt;&lt;ref-type name="Journal Article"&gt;17&lt;/ref-type&gt;&lt;rec-number&gt;217&lt;/rec-number&gt;&lt;publisher&gt;Public Library of Science&lt;/publisher&gt;&lt;last-updated-date format="utc"&gt;1451494706&lt;/last-updated-date&gt;&lt;accession-num&gt;PMC3670920&lt;/accession-num&gt;&lt;electronic-resource-num&gt;10.1371/journal.pone.0065183&lt;/electronic-resource-num&gt;&lt;volume&gt;8&lt;/volume&gt;&lt;remote-database-name&gt;PMC&lt;/remote-database-na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(Takata et al.,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Overall, such observations support the initial observations of Takata and colleagues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 ExcludeAuth="1"&gt;&lt;Author&gt;Takata&lt;/Author&gt;&lt;Year&gt;2013&lt;/Year&gt;&lt;IDText&gt;Evolutionary Relationship and Structural Characterization of the EPF/EPFL Gene Family&lt;/IDText&gt;&lt;DisplayText&gt;(2013)&lt;/DisplayText&gt;&lt;record&gt;&lt;dates&gt;&lt;pub-dates&gt;&lt;date&gt;06/03&amp;#xD;12/28/received&amp;#xD;04/24/accepted&lt;/date&gt;&lt;/pub-dates&gt;&lt;year&gt;2013&lt;/year&gt;&lt;/dates&gt;&lt;urls&gt;&lt;related-urls&gt;&lt;url&gt;http://www.ncbi.nlm.nih.gov/pmc/articles/PMC3670920/&lt;/url&gt;&lt;/related-urls&gt;&lt;/urls&gt;&lt;isbn&gt;1932-6203&lt;/isbn&gt;&lt;titles&gt;&lt;title&gt;Evolutionary Relationship and Structural Characterization of the EPF/EPFL Gene Family&lt;/title&gt;&lt;secondary-title&gt;PLoS ONE&lt;/secondary-title&gt;&lt;/titles&gt;&lt;pages&gt;e65183&lt;/pages&gt;&lt;number&gt;6&lt;/number&gt;&lt;contributors&gt;&lt;authors&gt;&lt;author&gt;Takata, Naoki&lt;/author&gt;&lt;author&gt;Yokota, Kiyonobu&lt;/author&gt;&lt;author&gt;Ohki, Shinya&lt;/author&gt;&lt;author&gt;Mori, Masashi&lt;/author&gt;&lt;author&gt;Taniguchi, Toru&lt;/author&gt;&lt;author&gt;Kurita, Manabu&lt;/author&gt;&lt;/authors&gt;&lt;/contributors&gt;&lt;added-date format="utc"&gt;1451494706&lt;/added-date&gt;&lt;pub-location&gt;San Francisco, USA&lt;/pub-location&gt;&lt;ref-type name="Journal Article"&gt;17&lt;/ref-type&gt;&lt;rec-number&gt;217&lt;/rec-number&gt;&lt;publisher&gt;Public Library of Science&lt;/publisher&gt;&lt;last-updated-date format="utc"&gt;1451494706&lt;/last-updated-date&gt;&lt;accession-num&gt;PMC3670920&lt;/accession-num&gt;&lt;electronic-resource-num&gt;10.1371/journal.pone.0065183&lt;/electronic-resource-num&gt;&lt;volume&gt;8&lt;/volume&gt;&lt;remote-database-name&gt;PMC&lt;/remote-database-na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and clearly identify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as an ideal gene candidate to study in relation to the regulation of stomatal patterning during stomatal development in non-vascular land plants.</w:t>
      </w:r>
    </w:p>
    <w:p w14:paraId="1078A114" w14:textId="77777777"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Cs/>
          <w:i/>
          <w:noProof/>
          <w:color w:val="000000"/>
          <w:lang w:eastAsia="ja-JP"/>
        </w:rPr>
        <w:lastRenderedPageBreak/>
        <w:drawing>
          <wp:inline distT="0" distB="0" distL="0" distR="0" wp14:anchorId="5BE28D62" wp14:editId="1D56C225">
            <wp:extent cx="5143500" cy="5489899"/>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pdated with all the CHAL.png"/>
                    <pic:cNvPicPr/>
                  </pic:nvPicPr>
                  <pic:blipFill rotWithShape="1">
                    <a:blip r:embed="rId56" cstate="print">
                      <a:extLst>
                        <a:ext uri="{28A0092B-C50C-407E-A947-70E740481C1C}">
                          <a14:useLocalDpi xmlns:a14="http://schemas.microsoft.com/office/drawing/2010/main" val="0"/>
                        </a:ext>
                      </a:extLst>
                    </a:blip>
                    <a:srcRect l="8783" t="937" r="1562" b="1074"/>
                    <a:stretch/>
                  </pic:blipFill>
                  <pic:spPr bwMode="auto">
                    <a:xfrm>
                      <a:off x="0" y="0"/>
                      <a:ext cx="5146009" cy="5492577"/>
                    </a:xfrm>
                    <a:prstGeom prst="rect">
                      <a:avLst/>
                    </a:prstGeom>
                    <a:ln>
                      <a:noFill/>
                    </a:ln>
                    <a:extLst>
                      <a:ext uri="{53640926-AAD7-44D8-BBD7-CCE9431645EC}">
                        <a14:shadowObscured xmlns:a14="http://schemas.microsoft.com/office/drawing/2010/main"/>
                      </a:ext>
                    </a:extLst>
                  </pic:spPr>
                </pic:pic>
              </a:graphicData>
            </a:graphic>
          </wp:inline>
        </w:drawing>
      </w:r>
    </w:p>
    <w:p w14:paraId="7EC834C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
          <w:bCs/>
          <w:color w:val="000000"/>
        </w:rPr>
        <w:t>Figure 6. Phylogenetic relationship of EPF and EPF/L peptides in selected vascular and non-vascular land plant representatives</w:t>
      </w:r>
      <w:r w:rsidRPr="006C37DC">
        <w:rPr>
          <w:rFonts w:ascii="Arial" w:eastAsia="Times New Roman" w:hAnsi="Arial" w:cs="Arial"/>
          <w:bCs/>
          <w:color w:val="000000"/>
        </w:rPr>
        <w:t xml:space="preserve">. Amino acid sequences were obtained by via gene family predictions of genes related to </w:t>
      </w:r>
      <w:r w:rsidRPr="003C7D86">
        <w:rPr>
          <w:rFonts w:ascii="Arial" w:eastAsia="Times New Roman" w:hAnsi="Arial" w:cs="Arial"/>
          <w:bCs/>
          <w:color w:val="000000"/>
        </w:rPr>
        <w:t>AtEPF1</w:t>
      </w:r>
      <w:r w:rsidRPr="006C37DC">
        <w:rPr>
          <w:rFonts w:ascii="Arial" w:eastAsia="Times New Roman" w:hAnsi="Arial" w:cs="Arial"/>
          <w:bCs/>
          <w:color w:val="000000"/>
        </w:rPr>
        <w:t xml:space="preserve"> on Phytozome V11. Additionally the </w:t>
      </w:r>
      <w:r w:rsidRPr="003C7D86">
        <w:rPr>
          <w:rFonts w:ascii="Arial" w:eastAsia="Times New Roman" w:hAnsi="Arial" w:cs="Arial"/>
          <w:bCs/>
          <w:color w:val="000000"/>
        </w:rPr>
        <w:t>AtEPFL7</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sequence and predicted sequences for </w:t>
      </w:r>
      <w:r w:rsidRPr="003C7D86">
        <w:rPr>
          <w:rFonts w:ascii="Arial" w:eastAsia="Times New Roman" w:hAnsi="Arial" w:cs="Arial"/>
          <w:bCs/>
          <w:color w:val="000000"/>
        </w:rPr>
        <w:t>SmEPF1a</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and </w:t>
      </w:r>
      <w:r w:rsidRPr="003C7D86">
        <w:rPr>
          <w:rFonts w:ascii="Arial" w:eastAsia="Times New Roman" w:hAnsi="Arial" w:cs="Arial"/>
          <w:bCs/>
          <w:color w:val="000000"/>
        </w:rPr>
        <w:t>SmEPF1b</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were manually added as these have previously been identified in other phylogenetic analyses </w:t>
      </w:r>
      <w:r w:rsidRPr="006C37DC">
        <w:rPr>
          <w:rFonts w:ascii="Arial" w:eastAsia="Times New Roman" w:hAnsi="Arial" w:cs="Arial"/>
          <w:bCs/>
          <w:color w:val="000000"/>
        </w:rPr>
        <w:fldChar w:fldCharType="begin">
          <w:fldData xml:space="preserve">PEVuZE5vdGU+PENpdGU+PEF1dGhvcj5UYWthdGE8L0F1dGhvcj48WWVhcj4yMDEzPC9ZZWFyPjxJ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=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PEVuZE5vdGU+PENpdGU+PEF1dGhvcj5UYWthdGE8L0F1dGhvcj48WWVhcj4yMDEzPC9ZZWFyPjxJ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=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(Abrash and Bergmann, 2010; Takata et al.,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Sequences were aligned using the MUSCLE alignment algorithm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&lt;EndNote&gt;&lt;Cite&gt;&lt;Author&gt;Edgar&lt;/Author&gt;&lt;Year&gt;2004&lt;/Year&gt;&lt;IDText&gt;MUSCLE: a multiple sequence alignment method with reduced time and space complexity&lt;/IDText&gt;&lt;DisplayText&gt;(Edgar, 2004)&lt;/DisplayText&gt;&lt;record&gt;&lt;dates&gt;&lt;pub-dates&gt;&lt;date&gt;Aug 19&lt;/date&gt;&lt;/pub-dates&gt;&lt;year&gt;2004&lt;/year&gt;&lt;/dates&gt;&lt;keywords&gt;&lt;keyword&gt;Cluster Analysis&lt;/keyword&gt;&lt;keyword&gt;Computational Biology/methods/statistics &amp;amp; numerical data/trends&lt;/keyword&gt;&lt;keyword&gt;Phylogeny&lt;/keyword&gt;&lt;keyword&gt;Sequence Alignment/*methods/statistics &amp;amp; numerical data/*trends&lt;/keyword&gt;&lt;keyword&gt;*Software&lt;/keyword&gt;&lt;keyword&gt;Software Design&lt;/keyword&gt;&lt;keyword&gt;Time Factors&lt;/keyword&gt;&lt;/keywords&gt;&lt;isbn&gt;1471-2105&lt;/isbn&gt;&lt;custom2&gt;PMC517706&lt;/custom2&gt;&lt;titles&gt;&lt;title&gt;MUSCLE: a multiple sequence alignment method with reduced time and space complexity&lt;/title&gt;&lt;secondary-title&gt;BMC Bioinformatics&lt;/secondary-title&gt;&lt;alt-title&gt;BMC bioinformatics&lt;/alt-title&gt;&lt;/titles&gt;&lt;pages&gt;113&lt;/pages&gt;&lt;contributors&gt;&lt;authors&gt;&lt;author&gt;Edgar, R. C.&lt;/author&gt;&lt;/authors&gt;&lt;/contributors&gt;&lt;edition&gt;2004/08/21&lt;/edition&gt;&lt;language&gt;eng&lt;/language&gt;&lt;added-date format="utc"&gt;1452355510&lt;/added-date&gt;&lt;ref-type name="Journal Article"&gt;17&lt;/ref-type&gt;&lt;auth-address&gt;Department of Plant and Microbial Biology, 461 Koshland Hall, University of California, Berkeley, CA 94720-3102, USA. bob@drive5.com&lt;/auth-address&gt;&lt;remote-database-provider&gt;NLM&lt;/remote-database-provider&gt;&lt;rec-number&gt;420&lt;/rec-number&gt;&lt;last-updated-date format="utc"&gt;1452355510&lt;/last-updated-date&gt;&lt;accession-num&gt;15318951&lt;/accession-num&gt;&lt;electronic-resource-num&gt;10.1186/1471-2105-5-113&lt;/electronic-resource-num&gt;&lt;volume&gt;5&lt;/volume&gt;&lt;/record&gt;&lt;/Cite&gt;&lt;/EndNote&gt;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(Edgar, 2004)</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in MEGA6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&lt;EndNote&gt;&lt;Cite&gt;&lt;Author&gt;Tamura&lt;/Author&gt;&lt;Year&gt;2013&lt;/Year&gt;&lt;IDText&gt;MEGA6: Molecular Evolutionary Genetics Analysis version 6.0&lt;/IDText&gt;&lt;DisplayText&gt;(Tamura et al., 2013)&lt;/DisplayText&gt;&lt;record&gt;&lt;dates&gt;&lt;pub-dates&gt;&lt;date&gt;Dec&lt;/date&gt;&lt;/pub-dates&gt;&lt;year&gt;2013&lt;/year&gt;&lt;/dates&gt;&lt;keywords&gt;&lt;keyword&gt;Algorithms&lt;/keyword&gt;&lt;keyword&gt;Databases, Genetic&lt;/keyword&gt;&lt;keyword&gt;*Evolution, Molecular&lt;/keyword&gt;&lt;keyword&gt;Internet&lt;/keyword&gt;&lt;keyword&gt;Phylogeny&lt;/keyword&gt;&lt;keyword&gt;*Software&lt;/keyword&gt;&lt;keyword&gt;*User-Computer Interface&lt;/keyword&gt;&lt;keyword&gt;phylogeny&lt;/keyword&gt;&lt;keyword&gt;relaxed clocks&lt;/keyword&gt;&lt;keyword&gt;software&lt;/keyword&gt;&lt;/keywords&gt;&lt;isbn&gt;0737-4038&lt;/isbn&gt;&lt;custom2&gt;PMC3840312&lt;/custom2&gt;&lt;titles&gt;&lt;title&gt;MEGA6: Molecular Evolutionary Genetics Analysis version 6.0&lt;/title&gt;&lt;secondary-title&gt;Mol Biol Evol&lt;/secondary-title&gt;&lt;alt-title&gt;Molecular biology and evolution&lt;/alt-title&gt;&lt;/titles&gt;&lt;pages&gt;2725-9&lt;/pages&gt;&lt;number&gt;12&lt;/number&gt;&lt;contributors&gt;&lt;authors&gt;&lt;author&gt;Tamura, K.&lt;/author&gt;&lt;author&gt;Stecher, G.&lt;/author&gt;&lt;author&gt;Peterson, D.&lt;/author&gt;&lt;author&gt;Filipski, A.&lt;/author&gt;&lt;author&gt;Kumar, S.&lt;/author&gt;&lt;/authors&gt;&lt;/contributors&gt;&lt;edition&gt;2013/10/18&lt;/edition&gt;&lt;language&gt;eng&lt;/language&gt;&lt;added-date format="utc"&gt;1453907986&lt;/added-date&gt;&lt;ref-type name="Journal Article"&gt;17&lt;/ref-type&gt;&lt;auth-address&gt;Research Center for Genomics and Bioinformatics, Tokyo Metropolitan University, Hachioji, Tokyo, Japan.&lt;/auth-address&gt;&lt;remote-database-provider&gt;NLM&lt;/remote-database-provider&gt;&lt;rec-number&gt;455&lt;/rec-number&gt;&lt;last-updated-date format="utc"&gt;1453907986&lt;/last-updated-date&gt;&lt;accession-num&gt;24132122&lt;/accession-num&gt;&lt;electronic-resource-num&gt;10.1093/molbev/mst197&lt;/electronic-resource-num&gt;&lt;volume&gt;30&lt;/volume&gt;&lt;/record&gt;&lt;/Cite&gt;&lt;/EndNote&gt;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(Tamura et al.,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To construct the phylogenetic tree the Neighbour-Joining method was used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&lt;EndNote&gt;&lt;Cite&gt;&lt;Author&gt;Saitou&lt;/Author&gt;&lt;Year&gt;1987&lt;/Year&gt;&lt;IDText&gt;The neighbor-joining method: a new method for reconstructing phylogenetic trees&lt;/IDText&gt;&lt;DisplayText&gt;(Saitou and Nei, 1987)&lt;/DisplayText&gt;&lt;record&gt;&lt;dates&gt;&lt;pub-dates&gt;&lt;date&gt;Jul&lt;/date&gt;&lt;/pub-dates&gt;&lt;year&gt;1987&lt;/year&gt;&lt;/dates&gt;&lt;keywords&gt;&lt;keyword&gt;Animals&lt;/keyword&gt;&lt;keyword&gt;Biological Evolution&lt;/keyword&gt;&lt;keyword&gt;Biometry&lt;/keyword&gt;&lt;keyword&gt;*Models, Genetic&lt;/keyword&gt;&lt;keyword&gt;*Phylogeny&lt;/keyword&gt;&lt;keyword&gt;Ranidae/*genetics&lt;/keyword&gt;&lt;/keywords&gt;&lt;isbn&gt;0737-4038 (Print)&amp;#xD;0737-4038&lt;/isbn&gt;&lt;titles&gt;&lt;title&gt;The neighbor-joining method: a new method for reconstructing phylogenetic trees&lt;/title&gt;&lt;secondary-title&gt;Mol Biol Evol&lt;/secondary-title&gt;&lt;alt-title&gt;Molecular biology and evolution&lt;/alt-title&gt;&lt;/titles&gt;&lt;pages&gt;406-25&lt;/pages&gt;&lt;number&gt;4&lt;/number&gt;&lt;contributors&gt;&lt;authors&gt;&lt;author&gt;Saitou, N.&lt;/author&gt;&lt;author&gt;Nei, M.&lt;/author&gt;&lt;/authors&gt;&lt;/contributors&gt;&lt;edition&gt;1987/07/01&lt;/edition&gt;&lt;language&gt;eng&lt;/language&gt;&lt;added-date format="utc"&gt;1453907563&lt;/added-date&gt;&lt;ref-type name="Journal Article"&gt;17&lt;/ref-type&gt;&lt;auth-address&gt;Center for Demographic and Population Genetics, University of Texas Health Science Center, Houston 77225.&lt;/auth-address&gt;&lt;remote-database-provider&gt;NLM&lt;/remote-database-provider&gt;&lt;rec-number&gt;451&lt;/rec-number&gt;&lt;last-updated-date format="utc"&gt;1453907563&lt;/last-updated-date&gt;&lt;accession-num&gt;3447015&lt;/accession-num&gt;&lt;volume&gt;4&lt;/volume&gt;&lt;/record&gt;&lt;/Cite&gt;&lt;/EndNote&gt;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(Saitou and Nei, 1987)</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PpEPF1 is highlighted by a black arrow. A bootstrap test (1000 replicates) was performed, with percentages generated listed next to branches to illustrate how often associated taxa cluster together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&lt;EndNote&gt;&lt;Cite&gt;&lt;Author&gt;Felsenstein&lt;/Author&gt;&lt;Year&gt;1985&lt;/Year&gt;&lt;IDText&gt;Confidence Limits on Phylogenies: An Approach Using the Bootstrap&lt;/IDText&gt;&lt;DisplayText&gt;(Felsenstein, 1985)&lt;/DisplayText&gt;&lt;record&gt;&lt;urls&gt;&lt;related-urls&gt;&lt;url&gt;http://www.jstor.org/stable/2408678&lt;/url&gt;&lt;/related-urls&gt;&lt;/urls&gt;&lt;isbn&gt;00143820, 15585646&lt;/isbn&gt;&lt;custom1&gt;Full publication date: Jul., 1985&lt;/custom1&gt;&lt;titles&gt;&lt;title&gt;Confidence Limits on Phylogenies: An Approach Using the Bootstrap&lt;/title&gt;&lt;secondary-title&gt;Evolution&lt;/secondary-title&gt;&lt;/titles&gt;&lt;pages&gt;783-791&lt;/pages&gt;&lt;number&gt;4&lt;/number&gt;&lt;contributors&gt;&lt;authors&gt;&lt;author&gt;Felsenstein, Joseph&lt;/author&gt;&lt;/authors&gt;&lt;/contributors&gt;&lt;added-date format="utc"&gt;1453907641&lt;/added-date&gt;&lt;ref-type name="Journal Article"&gt;17&lt;/ref-type&gt;&lt;dates&gt;&lt;year&gt;1985&lt;/year&gt;&lt;/dates&gt;&lt;rec-number&gt;452&lt;/rec-number&gt;&lt;publisher&gt;[Society for the Study of Evolution, Wiley]&lt;/publisher&gt;&lt;last-updated-date format="utc"&gt;1453907641&lt;/last-updated-date&gt;&lt;electronic-resource-num&gt;10.2307/2408678&lt;/electronic-resource-num&gt;&lt;volume&gt;39&lt;/volume&gt;&lt;/record&gt;&lt;/Cite&gt;&lt;/EndNote&gt;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(Felsenstein, 1985)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 Poisson correction method was used to compute evolutionary distances with units equating to the number of amino acid substitutions per site applied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&lt;EndNote&gt;&lt;Cite&gt;&lt;Author&gt;Zuckerkandl&lt;/Author&gt;&lt;Year&gt;1965&lt;/Year&gt;&lt;IDText&gt;Molecules as documents of evolutionary history&lt;/IDText&gt;&lt;DisplayText&gt;(Zuckerkandl and Pauling, 1965)&lt;/DisplayText&gt;&lt;record&gt;&lt;dates&gt;&lt;pub-dates&gt;&lt;date&gt;Mar&lt;/date&gt;&lt;/pub-dates&gt;&lt;year&gt;1965&lt;/year&gt;&lt;/dates&gt;&lt;keywords&gt;&lt;keyword&gt;Amino Acid Sequence&lt;/keyword&gt;&lt;keyword&gt;*Biological Evolution&lt;/keyword&gt;&lt;keyword&gt;*Genes&lt;/keyword&gt;&lt;keyword&gt;*Genetic Code&lt;/keyword&gt;&lt;keyword&gt;*Macromolecular Substances&lt;/keyword&gt;&lt;keyword&gt;Nucleic Acids&lt;/keyword&gt;&lt;keyword&gt;*RNA, Messenger&lt;/keyword&gt;&lt;/keywords&gt;&lt;isbn&gt;0022-5193 (Print)&amp;#xD;0022-5193&lt;/isbn&gt;&lt;titles&gt;&lt;title&gt;Molecules as documents of evolutionary history&lt;/title&gt;&lt;secondary-title&gt;J Theor Biol&lt;/secondary-title&gt;&lt;alt-title&gt;Journal of theoretical biology&lt;/alt-title&gt;&lt;/titles&gt;&lt;pages&gt;357-66&lt;/pages&gt;&lt;number&gt;2&lt;/number&gt;&lt;contributors&gt;&lt;authors&gt;&lt;author&gt;Zuckerkandl, E.&lt;/author&gt;&lt;author&gt;Pauling, L.&lt;/author&gt;&lt;/authors&gt;&lt;/contributors&gt;&lt;edition&gt;1965/03/01&lt;/edition&gt;&lt;language&gt;eng&lt;/language&gt;&lt;added-date format="utc"&gt;1453907838&lt;/added-date&gt;&lt;ref-type name="Journal Article"&gt;17&lt;/ref-type&gt;&lt;remote-database-provider&gt;NLM&lt;/remote-database-provider&gt;&lt;rec-number&gt;454&lt;/rec-number&gt;&lt;last-updated-date format="utc"&gt;1453907838&lt;/last-updated-date&gt;&lt;accession-num&gt;5876245&lt;/accession-num&gt;&lt;volume&gt;8&lt;/volume&gt;&lt;/record&gt;&lt;/Cite&gt;&lt;/EndNote&gt;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(Zuckerkandl and Pauling, 1965)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All positions containing gaps and missing data </w:t>
      </w:r>
      <w:r w:rsidRPr="006C37DC">
        <w:rPr>
          <w:rFonts w:ascii="Arial" w:eastAsia="Times New Roman" w:hAnsi="Arial" w:cs="Arial"/>
          <w:bCs/>
          <w:color w:val="000000"/>
        </w:rPr>
        <w:lastRenderedPageBreak/>
        <w:t xml:space="preserve">were eliminated. The phylogenetic tree was constructed in MEGA6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&lt;EndNote&gt;&lt;Cite&gt;&lt;Author&gt;Tamura&lt;/Author&gt;&lt;Year&gt;2013&lt;/Year&gt;&lt;IDText&gt;MEGA6: Molecular Evolutionary Genetics Analysis version 6.0&lt;/IDText&gt;&lt;DisplayText&gt;(Tamura et al., 2013)&lt;/DisplayText&gt;&lt;record&gt;&lt;dates&gt;&lt;pub-dates&gt;&lt;date&gt;Dec&lt;/date&gt;&lt;/pub-dates&gt;&lt;year&gt;2013&lt;/year&gt;&lt;/dates&gt;&lt;keywords&gt;&lt;keyword&gt;Algorithms&lt;/keyword&gt;&lt;keyword&gt;Databases, Genetic&lt;/keyword&gt;&lt;keyword&gt;*Evolution, Molecular&lt;/keyword&gt;&lt;keyword&gt;Internet&lt;/keyword&gt;&lt;keyword&gt;Phylogeny&lt;/keyword&gt;&lt;keyword&gt;*Software&lt;/keyword&gt;&lt;keyword&gt;*User-Computer Interface&lt;/keyword&gt;&lt;keyword&gt;phylogeny&lt;/keyword&gt;&lt;keyword&gt;relaxed clocks&lt;/keyword&gt;&lt;keyword&gt;software&lt;/keyword&gt;&lt;/keywords&gt;&lt;isbn&gt;0737-4038&lt;/isbn&gt;&lt;custom2&gt;PMC3840312&lt;/custom2&gt;&lt;titles&gt;&lt;title&gt;MEGA6: Molecular Evolutionary Genetics Analysis version 6.0&lt;/title&gt;&lt;secondary-title&gt;Mol Biol Evol&lt;/secondary-title&gt;&lt;alt-title&gt;Molecular biology and evolution&lt;/alt-title&gt;&lt;/titles&gt;&lt;pages&gt;2725-9&lt;/pages&gt;&lt;number&gt;12&lt;/number&gt;&lt;contributors&gt;&lt;authors&gt;&lt;author&gt;Tamura, K.&lt;/author&gt;&lt;author&gt;Stecher, G.&lt;/author&gt;&lt;author&gt;Peterson, D.&lt;/author&gt;&lt;author&gt;Filipski, A.&lt;/author&gt;&lt;author&gt;Kumar, S.&lt;/author&gt;&lt;/authors&gt;&lt;/contributors&gt;&lt;edition&gt;2013/10/18&lt;/edition&gt;&lt;language&gt;eng&lt;/language&gt;&lt;added-date format="utc"&gt;1453907986&lt;/added-date&gt;&lt;ref-type name="Journal Article"&gt;17&lt;/ref-type&gt;&lt;auth-address&gt;Research Center for Genomics and Bioinformatics, Tokyo Metropolitan University, Hachioji, Tokyo, Japan.&lt;/auth-address&gt;&lt;remote-database-provider&gt;NLM&lt;/remote-database-provider&gt;&lt;rec-number&gt;455&lt;/rec-number&gt;&lt;last-updated-date format="utc"&gt;1453907986&lt;/last-updated-date&gt;&lt;accession-num&gt;24132122&lt;/accession-num&gt;&lt;electronic-resource-num&gt;10.1093/molbev/mst197&lt;/electronic-resource-num&gt;&lt;volume&gt;30&lt;/volume&gt;&lt;/record&gt;&lt;/Cite&gt;&lt;/EndNote&gt;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(Tamura et al.,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 abbreviated forms of species prefixes are Sf, </w:t>
      </w:r>
      <w:r w:rsidRPr="006C37DC">
        <w:rPr>
          <w:rFonts w:ascii="Arial" w:eastAsia="Times New Roman" w:hAnsi="Arial" w:cs="Arial"/>
          <w:bCs/>
          <w:i/>
          <w:color w:val="000000"/>
        </w:rPr>
        <w:t>Sphagnum fallax</w:t>
      </w:r>
      <w:r w:rsidRPr="006C37DC">
        <w:rPr>
          <w:rFonts w:ascii="Arial" w:eastAsia="Times New Roman" w:hAnsi="Arial" w:cs="Arial"/>
          <w:bCs/>
          <w:color w:val="000000"/>
        </w:rPr>
        <w:t xml:space="preserve">; Pp, </w:t>
      </w:r>
      <w:r w:rsidRPr="006C37DC">
        <w:rPr>
          <w:rFonts w:ascii="Arial" w:eastAsia="Times New Roman" w:hAnsi="Arial" w:cs="Arial"/>
          <w:bCs/>
          <w:i/>
          <w:color w:val="000000"/>
        </w:rPr>
        <w:t>Physcomitrella patens</w:t>
      </w:r>
      <w:r w:rsidRPr="006C37DC">
        <w:rPr>
          <w:rFonts w:ascii="Arial" w:eastAsia="Times New Roman" w:hAnsi="Arial" w:cs="Arial"/>
          <w:bCs/>
          <w:color w:val="000000"/>
        </w:rPr>
        <w:t xml:space="preserve">; Sm, </w:t>
      </w:r>
      <w:r w:rsidRPr="006C37DC">
        <w:rPr>
          <w:rFonts w:ascii="Arial" w:eastAsia="Times New Roman" w:hAnsi="Arial" w:cs="Arial"/>
          <w:bCs/>
          <w:i/>
          <w:color w:val="000000"/>
        </w:rPr>
        <w:t>Selaginella moellendorffii</w:t>
      </w:r>
      <w:r w:rsidRPr="006C37DC">
        <w:rPr>
          <w:rFonts w:ascii="Arial" w:eastAsia="Times New Roman" w:hAnsi="Arial" w:cs="Arial"/>
          <w:bCs/>
          <w:color w:val="000000"/>
        </w:rPr>
        <w:t xml:space="preserve">, Os, </w:t>
      </w:r>
      <w:r w:rsidRPr="006C37DC">
        <w:rPr>
          <w:rFonts w:ascii="Arial" w:eastAsia="Times New Roman" w:hAnsi="Arial" w:cs="Arial"/>
          <w:bCs/>
          <w:i/>
          <w:color w:val="000000"/>
        </w:rPr>
        <w:t>Oryza sativa</w:t>
      </w:r>
      <w:r w:rsidRPr="006C37DC">
        <w:rPr>
          <w:rFonts w:ascii="Arial" w:eastAsia="Times New Roman" w:hAnsi="Arial" w:cs="Arial"/>
          <w:bCs/>
          <w:color w:val="000000"/>
        </w:rPr>
        <w:t xml:space="preserve">; Eg, </w:t>
      </w:r>
      <w:r w:rsidRPr="006C37DC">
        <w:rPr>
          <w:rFonts w:ascii="Arial" w:eastAsia="Times New Roman" w:hAnsi="Arial" w:cs="Arial"/>
          <w:bCs/>
          <w:i/>
          <w:color w:val="000000"/>
        </w:rPr>
        <w:t xml:space="preserve">Eucalyptus grandis; </w:t>
      </w:r>
      <w:r w:rsidRPr="006C37DC">
        <w:rPr>
          <w:rFonts w:ascii="Arial" w:eastAsia="Times New Roman" w:hAnsi="Arial" w:cs="Arial"/>
          <w:bCs/>
          <w:color w:val="000000"/>
        </w:rPr>
        <w:t xml:space="preserve">At, </w:t>
      </w:r>
      <w:r w:rsidRPr="006C37DC">
        <w:rPr>
          <w:rFonts w:ascii="Arial" w:eastAsia="Times New Roman" w:hAnsi="Arial" w:cs="Arial"/>
          <w:bCs/>
          <w:i/>
          <w:color w:val="000000"/>
        </w:rPr>
        <w:t>Arabidopsis thaliana</w:t>
      </w:r>
      <w:r w:rsidRPr="006C37DC">
        <w:rPr>
          <w:rFonts w:ascii="Arial" w:eastAsia="Times New Roman" w:hAnsi="Arial" w:cs="Arial"/>
          <w:bCs/>
          <w:color w:val="000000"/>
        </w:rPr>
        <w:t>.</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See </w:t>
      </w:r>
      <w:r w:rsidRPr="006C37DC">
        <w:rPr>
          <w:rFonts w:ascii="Arial" w:eastAsia="Times New Roman" w:hAnsi="Arial" w:cs="Arial"/>
          <w:b/>
          <w:bCs/>
          <w:color w:val="000000"/>
        </w:rPr>
        <w:t>appendix</w:t>
      </w:r>
      <w:r w:rsidRPr="006C37DC">
        <w:rPr>
          <w:rFonts w:ascii="Arial" w:eastAsia="Times New Roman" w:hAnsi="Arial" w:cs="Arial"/>
          <w:bCs/>
          <w:color w:val="000000"/>
        </w:rPr>
        <w:t xml:space="preserve"> </w:t>
      </w:r>
      <w:r w:rsidRPr="006C37DC">
        <w:rPr>
          <w:rFonts w:ascii="Arial" w:eastAsia="Times New Roman" w:hAnsi="Arial" w:cs="Arial"/>
          <w:b/>
          <w:bCs/>
          <w:color w:val="000000"/>
        </w:rPr>
        <w:t>1</w:t>
      </w:r>
      <w:r w:rsidRPr="006C37DC">
        <w:rPr>
          <w:rFonts w:ascii="Arial" w:eastAsia="Times New Roman" w:hAnsi="Arial" w:cs="Arial"/>
          <w:bCs/>
          <w:color w:val="000000"/>
        </w:rPr>
        <w:t xml:space="preserve"> for accession details of genes used in this study.</w:t>
      </w:r>
    </w:p>
    <w:p w14:paraId="5D7105CD" w14:textId="5CAF25C0" w:rsidR="006C37DC" w:rsidRPr="00476449"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u w:val="single"/>
        </w:rPr>
        <w:t xml:space="preserve">4.2.3 Complementation of Arabidopsis </w:t>
      </w:r>
      <w:r w:rsidRPr="006C37DC">
        <w:rPr>
          <w:rFonts w:ascii="Arial" w:eastAsia="Times New Roman" w:hAnsi="Arial" w:cs="Arial"/>
          <w:bCs/>
          <w:i/>
          <w:color w:val="000000"/>
          <w:u w:val="single"/>
        </w:rPr>
        <w:t xml:space="preserve">epf1 and epf2 </w:t>
      </w:r>
      <w:r w:rsidRPr="006C37DC">
        <w:rPr>
          <w:rFonts w:ascii="Arial" w:eastAsia="Times New Roman" w:hAnsi="Arial" w:cs="Arial"/>
          <w:bCs/>
          <w:color w:val="000000"/>
          <w:u w:val="single"/>
        </w:rPr>
        <w:t xml:space="preserve">with </w:t>
      </w:r>
      <w:r w:rsidRPr="006C37DC">
        <w:rPr>
          <w:rFonts w:ascii="Arial" w:eastAsia="Times New Roman" w:hAnsi="Arial" w:cs="Arial"/>
          <w:bCs/>
          <w:i/>
          <w:color w:val="000000"/>
          <w:u w:val="single"/>
        </w:rPr>
        <w:t>PpEPF1</w:t>
      </w:r>
    </w:p>
    <w:p w14:paraId="53F877C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In Arabidopsis it has been shown that the stomatal lineage acting transcription factors </w:t>
      </w:r>
      <w:r w:rsidRPr="003C7D86">
        <w:rPr>
          <w:rFonts w:ascii="Arial" w:eastAsia="Times New Roman" w:hAnsi="Arial" w:cs="Arial"/>
          <w:bCs/>
          <w:color w:val="000000"/>
        </w:rPr>
        <w:t>PpSMF1</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and to a lesser degree </w:t>
      </w:r>
      <w:r w:rsidRPr="003C7D86">
        <w:rPr>
          <w:rFonts w:ascii="Arial" w:eastAsia="Times New Roman" w:hAnsi="Arial" w:cs="Arial"/>
          <w:bCs/>
          <w:color w:val="000000"/>
        </w:rPr>
        <w:t>PpSMF2</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can partially rescue </w:t>
      </w:r>
      <w:r w:rsidRPr="006C37DC">
        <w:rPr>
          <w:rFonts w:ascii="Arial" w:eastAsia="Times New Roman" w:hAnsi="Arial" w:cs="Arial"/>
          <w:bCs/>
          <w:i/>
          <w:color w:val="000000"/>
        </w:rPr>
        <w:t xml:space="preserve">mute </w:t>
      </w:r>
      <w:r w:rsidRPr="006C37DC">
        <w:rPr>
          <w:rFonts w:ascii="Arial" w:eastAsia="Times New Roman" w:hAnsi="Arial" w:cs="Arial"/>
          <w:bCs/>
          <w:color w:val="000000"/>
        </w:rPr>
        <w:t xml:space="preserve">and particularly </w:t>
      </w:r>
      <w:r w:rsidRPr="006C37DC">
        <w:rPr>
          <w:rFonts w:ascii="Arial" w:eastAsia="Times New Roman" w:hAnsi="Arial" w:cs="Arial"/>
          <w:bCs/>
          <w:i/>
          <w:color w:val="000000"/>
        </w:rPr>
        <w:t>fama</w:t>
      </w:r>
      <w:r w:rsidRPr="006C37DC">
        <w:rPr>
          <w:rFonts w:ascii="Arial" w:eastAsia="Times New Roman" w:hAnsi="Arial" w:cs="Arial"/>
          <w:bCs/>
          <w:color w:val="000000"/>
        </w:rPr>
        <w:t xml:space="preserve"> mutants thereby illustrating that stomatal genes in </w:t>
      </w:r>
      <w:r w:rsidRPr="006C37DC">
        <w:rPr>
          <w:rFonts w:ascii="Arial" w:eastAsia="Times New Roman" w:hAnsi="Arial" w:cs="Arial"/>
          <w:bCs/>
          <w:i/>
          <w:color w:val="000000"/>
        </w:rPr>
        <w:t xml:space="preserve">P. patens </w:t>
      </w:r>
      <w:r w:rsidRPr="006C37DC">
        <w:rPr>
          <w:rFonts w:ascii="Arial" w:eastAsia="Times New Roman" w:hAnsi="Arial" w:cs="Arial"/>
          <w:bCs/>
          <w:color w:val="000000"/>
        </w:rPr>
        <w:t xml:space="preserve">can positively influence stomatal development in a species from which its ancestors diverged more than 400 million years ago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&lt;EndNote&gt;&lt;Cite&gt;&lt;Author&gt;MacAlister&lt;/Author&gt;&lt;Year&gt;2011&lt;/Year&gt;&lt;IDText&gt;Sequence and function of basic helix-loop-helix proteins required for stomatal development in Arabidopsis are deeply conserved in land plants&lt;/IDText&gt;&lt;DisplayText&gt;(MacAlister and Bergmann, 2011)&lt;/DisplayText&gt;&lt;record&gt;&lt;dates&gt;&lt;pub-dates&gt;&lt;date&gt;Mar-Apr&lt;/date&gt;&lt;/pub-dates&gt;&lt;year&gt;2011&lt;/year&gt;&lt;/dates&gt;&lt;keywords&gt;&lt;keyword&gt;TRANSCRIPTION FACTOR FAMILY&lt;/keyword&gt;&lt;keyword&gt;MONOCOT-DICOT DIVERGENCE&lt;/keyword&gt;&lt;keyword&gt;EVOLUTION&lt;/keyword&gt;&lt;keyword&gt;DIVERSITY&lt;/keyword&gt;&lt;keyword&gt;GENES&lt;/keyword&gt;&lt;keyword&gt;DIFFERENTIATION&lt;/keyword&gt;&lt;keyword&gt;THALIANA&lt;/keyword&gt;&lt;keyword&gt;MUTANTS&lt;/keyword&gt;&lt;keyword&gt;GENOMES&lt;/keyword&gt;&lt;keyword&gt;CASCADE&lt;/keyword&gt;&lt;/keywords&gt;&lt;urls&gt;&lt;related-urls&gt;&lt;url&gt;&amp;lt;Go to ISI&amp;gt;://WOS:000288502600007&lt;/url&gt;&lt;/related-urls&gt;&lt;/urls&gt;&lt;isbn&gt;1520-541X&lt;/isbn&gt;&lt;work-type&gt;Article&lt;/work-type&gt;&lt;titles&gt;&lt;title&gt;Sequence and function of basic helix-loop-helix proteins required for stomatal development in Arabidopsis are deeply conserved in land plants&lt;/title&gt;&lt;secondary-title&gt;Evolution &amp;amp; Development&lt;/secondary-title&gt;&lt;alt-title&gt;Evol. Dev.&lt;/alt-title&gt;&lt;/titles&gt;&lt;pages&gt;182-192&lt;/pages&gt;&lt;number&gt;2&lt;/number&gt;&lt;contributors&gt;&lt;authors&gt;&lt;author&gt;MacAlister, C. A.&lt;/author&gt;&lt;author&gt;Bergmann, D. C.&lt;/author&gt;&lt;/authors&gt;&lt;/contributors&gt;&lt;language&gt;English&lt;/language&gt;&lt;added-date format="utc"&gt;1354083840&lt;/added-date&gt;&lt;ref-type name="Journal Article"&gt;17&lt;/ref-type&gt;&lt;auth-address&gt;[MacAlister, Cora A.&amp;#xD;Bergmann, Dominique C.] Stanford Univ, Dept Biol, Stanford, CA 94305 USA.&amp;#xD;MacAlister, CA (reprint author), Cold Spring Harbor Lab, POB 100, Cold Spring Harbor, NY 11724 USA.&amp;#xD;cmacalis@cshl.edu&lt;/auth-address&gt;&lt;rec-number&gt;61&lt;/rec-number&gt;&lt;last-updated-date format="utc"&gt;1354083840&lt;/last-updated-date&gt;&lt;accession-num&gt;WOS:000288502600007&lt;/accession-num&gt;&lt;electronic-resource-num&gt;10.1111/j.1525-142X.2011.00468.x&lt;/electronic-resource-num&gt;&lt;volume&gt;13&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(MacAlister and Bergmann, 2011)</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However, it has not been tested whether </w:t>
      </w:r>
      <w:r w:rsidRPr="006C37DC">
        <w:rPr>
          <w:rFonts w:ascii="Arial" w:eastAsia="Times New Roman" w:hAnsi="Arial" w:cs="Arial"/>
          <w:bCs/>
          <w:i/>
          <w:color w:val="000000"/>
        </w:rPr>
        <w:t>P. patens</w:t>
      </w:r>
      <w:r w:rsidRPr="006C37DC">
        <w:rPr>
          <w:rFonts w:ascii="Arial" w:eastAsia="Times New Roman" w:hAnsi="Arial" w:cs="Arial"/>
          <w:bCs/>
          <w:color w:val="000000"/>
        </w:rPr>
        <w:t xml:space="preserve"> genes involved with the spacing and patterning of stomata during sporophyte capsule development can function in Arabidopsis. To understand whether stomatal patterning and spacing mechanisms have been conserved between very distantly related plant species, </w:t>
      </w:r>
      <w:r w:rsidRPr="006C37DC">
        <w:rPr>
          <w:rFonts w:ascii="Arial" w:eastAsia="Times New Roman" w:hAnsi="Arial" w:cs="Arial"/>
          <w:bCs/>
          <w:i/>
          <w:color w:val="000000"/>
        </w:rPr>
        <w:t>P. patens</w:t>
      </w:r>
      <w:r w:rsidRPr="006C37DC">
        <w:rPr>
          <w:rFonts w:ascii="Arial" w:eastAsia="Times New Roman" w:hAnsi="Arial" w:cs="Arial"/>
          <w:bCs/>
          <w:color w:val="000000"/>
        </w:rPr>
        <w:t xml:space="preserve">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was expressed in the T-DNA knock-out mutant backgrounds of</w:t>
      </w:r>
      <w:r w:rsidRPr="006C37DC">
        <w:rPr>
          <w:rFonts w:ascii="Arial" w:eastAsia="Times New Roman" w:hAnsi="Arial" w:cs="Arial"/>
          <w:bCs/>
          <w:i/>
          <w:color w:val="000000"/>
        </w:rPr>
        <w:t xml:space="preserve"> Arabidopsis epf1</w:t>
      </w:r>
      <w:r w:rsidRPr="006C37DC">
        <w:rPr>
          <w:rFonts w:ascii="Arial" w:eastAsia="Times New Roman" w:hAnsi="Arial" w:cs="Arial"/>
          <w:bCs/>
          <w:color w:val="000000"/>
        </w:rPr>
        <w:t xml:space="preserve"> and </w:t>
      </w:r>
      <w:r w:rsidRPr="006C37DC">
        <w:rPr>
          <w:rFonts w:ascii="Arial" w:eastAsia="Times New Roman" w:hAnsi="Arial" w:cs="Arial"/>
          <w:bCs/>
          <w:i/>
          <w:color w:val="000000"/>
        </w:rPr>
        <w:t xml:space="preserve">epf2 </w:t>
      </w:r>
      <w:r w:rsidRPr="006C37DC">
        <w:rPr>
          <w:rFonts w:ascii="Arial" w:eastAsia="Times New Roman" w:hAnsi="Arial" w:cs="Arial"/>
          <w:bCs/>
          <w:color w:val="000000"/>
        </w:rPr>
        <w:t>mutants (</w:t>
      </w:r>
      <w:r w:rsidRPr="006C37DC">
        <w:rPr>
          <w:rFonts w:ascii="Arial" w:eastAsia="Times New Roman" w:hAnsi="Arial" w:cs="Arial"/>
          <w:b/>
          <w:bCs/>
          <w:color w:val="000000"/>
        </w:rPr>
        <w:t>Fig. 7</w:t>
      </w:r>
      <w:r w:rsidRPr="006C37DC">
        <w:rPr>
          <w:rFonts w:ascii="Arial" w:eastAsia="Times New Roman" w:hAnsi="Arial" w:cs="Arial"/>
          <w:bCs/>
          <w:color w:val="000000"/>
        </w:rPr>
        <w:t xml:space="preserve">). </w:t>
      </w:r>
    </w:p>
    <w:p w14:paraId="7E17826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Under the designated native promoters of either </w:t>
      </w:r>
      <w:r w:rsidRPr="006C37DC">
        <w:rPr>
          <w:rFonts w:ascii="Arial" w:eastAsia="Times New Roman" w:hAnsi="Arial" w:cs="Arial"/>
          <w:bCs/>
          <w:i/>
          <w:color w:val="000000"/>
        </w:rPr>
        <w:t xml:space="preserve">EPF1 </w:t>
      </w:r>
      <w:r w:rsidRPr="006C37DC">
        <w:rPr>
          <w:rFonts w:ascii="Arial" w:eastAsia="Times New Roman" w:hAnsi="Arial" w:cs="Arial"/>
          <w:bCs/>
          <w:color w:val="000000"/>
        </w:rPr>
        <w:t xml:space="preserve">or </w:t>
      </w:r>
      <w:r w:rsidRPr="006C37DC">
        <w:rPr>
          <w:rFonts w:ascii="Arial" w:eastAsia="Times New Roman" w:hAnsi="Arial" w:cs="Arial"/>
          <w:bCs/>
          <w:i/>
          <w:color w:val="000000"/>
        </w:rPr>
        <w:t xml:space="preserve">EPF2 </w:t>
      </w:r>
      <w:r w:rsidRPr="006C37DC">
        <w:rPr>
          <w:rFonts w:ascii="Arial" w:eastAsia="Times New Roman" w:hAnsi="Arial" w:cs="Arial"/>
          <w:bCs/>
          <w:color w:val="000000"/>
        </w:rPr>
        <w:t xml:space="preserve">in the equivalent mutant backgrounds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had no significant effect on either stomatal density or index on the mature rosette leaves of T3 homozygous complemented Arabidopsis lines (</w:t>
      </w:r>
      <w:r w:rsidRPr="006C37DC">
        <w:rPr>
          <w:rFonts w:ascii="Arial" w:eastAsia="Times New Roman" w:hAnsi="Arial" w:cs="Arial"/>
          <w:b/>
          <w:bCs/>
          <w:color w:val="000000"/>
        </w:rPr>
        <w:t>Fig. 7a</w:t>
      </w:r>
      <w:r w:rsidRPr="006C37DC">
        <w:rPr>
          <w:rFonts w:ascii="Arial" w:eastAsia="Times New Roman" w:hAnsi="Arial" w:cs="Arial"/>
          <w:bCs/>
          <w:color w:val="000000"/>
        </w:rPr>
        <w:t>-</w:t>
      </w:r>
      <w:r w:rsidRPr="006C37DC">
        <w:rPr>
          <w:rFonts w:ascii="Arial" w:eastAsia="Times New Roman" w:hAnsi="Arial" w:cs="Arial"/>
          <w:b/>
          <w:bCs/>
          <w:color w:val="000000"/>
        </w:rPr>
        <w:t>b</w:t>
      </w:r>
      <w:r w:rsidRPr="006C37DC">
        <w:rPr>
          <w:rFonts w:ascii="Arial" w:eastAsia="Times New Roman" w:hAnsi="Arial" w:cs="Arial"/>
          <w:bCs/>
          <w:color w:val="000000"/>
        </w:rPr>
        <w:t xml:space="preserve">). To test whether over-expressing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in such backgrounds</w:t>
      </w:r>
      <w:r w:rsidRPr="006C37DC">
        <w:rPr>
          <w:rFonts w:ascii="Arial" w:eastAsia="Times New Roman" w:hAnsi="Arial" w:cs="Arial"/>
          <w:bCs/>
          <w:i/>
          <w:color w:val="000000"/>
        </w:rPr>
        <w:t xml:space="preserve"> </w:t>
      </w:r>
      <w:r w:rsidRPr="006C37DC">
        <w:rPr>
          <w:rFonts w:ascii="Arial" w:eastAsia="Times New Roman" w:hAnsi="Arial" w:cs="Arial"/>
          <w:bCs/>
          <w:color w:val="000000"/>
        </w:rPr>
        <w:t>under the cauliflower mosaic virus 35S promoter might be able to influence stomatal development in mature leaves a further set of experiments were also conducted (</w:t>
      </w:r>
      <w:r w:rsidRPr="006C37DC">
        <w:rPr>
          <w:rFonts w:ascii="Arial" w:eastAsia="Times New Roman" w:hAnsi="Arial" w:cs="Arial"/>
          <w:b/>
          <w:bCs/>
          <w:color w:val="000000"/>
        </w:rPr>
        <w:t>Fig. 7c</w:t>
      </w:r>
      <w:r w:rsidRPr="006C37DC">
        <w:rPr>
          <w:rFonts w:ascii="Arial" w:eastAsia="Times New Roman" w:hAnsi="Arial" w:cs="Arial"/>
          <w:bCs/>
          <w:color w:val="000000"/>
        </w:rPr>
        <w:t>-</w:t>
      </w:r>
      <w:r w:rsidRPr="006C37DC">
        <w:rPr>
          <w:rFonts w:ascii="Arial" w:eastAsia="Times New Roman" w:hAnsi="Arial" w:cs="Arial"/>
          <w:b/>
          <w:bCs/>
          <w:color w:val="000000"/>
        </w:rPr>
        <w:t>d</w:t>
      </w:r>
      <w:r w:rsidRPr="006C37DC">
        <w:rPr>
          <w:rFonts w:ascii="Arial" w:eastAsia="Times New Roman" w:hAnsi="Arial" w:cs="Arial"/>
          <w:bCs/>
          <w:color w:val="000000"/>
        </w:rPr>
        <w:t xml:space="preserve">). Unlike when expressed under the native promoters, constitutive expression of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in the </w:t>
      </w:r>
      <w:r w:rsidRPr="006C37DC">
        <w:rPr>
          <w:rFonts w:ascii="Arial" w:eastAsia="Times New Roman" w:hAnsi="Arial" w:cs="Arial"/>
          <w:bCs/>
          <w:i/>
          <w:color w:val="000000"/>
        </w:rPr>
        <w:t xml:space="preserve">atepf1 </w:t>
      </w:r>
      <w:r w:rsidRPr="006C37DC">
        <w:rPr>
          <w:rFonts w:ascii="Arial" w:eastAsia="Times New Roman" w:hAnsi="Arial" w:cs="Arial"/>
          <w:bCs/>
          <w:color w:val="000000"/>
        </w:rPr>
        <w:t xml:space="preserve">and </w:t>
      </w:r>
      <w:r w:rsidRPr="006C37DC">
        <w:rPr>
          <w:rFonts w:ascii="Arial" w:eastAsia="Times New Roman" w:hAnsi="Arial" w:cs="Arial"/>
          <w:bCs/>
          <w:i/>
          <w:color w:val="000000"/>
        </w:rPr>
        <w:t xml:space="preserve">atepf2 </w:t>
      </w:r>
      <w:r w:rsidRPr="006C37DC">
        <w:rPr>
          <w:rFonts w:ascii="Arial" w:eastAsia="Times New Roman" w:hAnsi="Arial" w:cs="Arial"/>
          <w:bCs/>
          <w:color w:val="000000"/>
        </w:rPr>
        <w:t xml:space="preserve">backgrounds lead to noticeable reductions in both stomatal index and density relative to the untransformed mutant backgrounds. For </w:t>
      </w:r>
      <w:r w:rsidRPr="006C37DC">
        <w:rPr>
          <w:rFonts w:ascii="Arial" w:eastAsia="Times New Roman" w:hAnsi="Arial" w:cs="Arial"/>
          <w:bCs/>
          <w:i/>
          <w:color w:val="000000"/>
        </w:rPr>
        <w:t xml:space="preserve">atepf1 </w:t>
      </w:r>
      <w:r w:rsidRPr="006C37DC">
        <w:rPr>
          <w:rFonts w:ascii="Arial" w:eastAsia="Times New Roman" w:hAnsi="Arial" w:cs="Arial"/>
          <w:bCs/>
          <w:color w:val="000000"/>
        </w:rPr>
        <w:t xml:space="preserve">mutants in particular this resulted in noticeable reductions in stomatal density close to wild-type levels and stomatal indices that were much reduced relative to the untransformed </w:t>
      </w:r>
      <w:r w:rsidRPr="006C37DC">
        <w:rPr>
          <w:rFonts w:ascii="Arial" w:eastAsia="Times New Roman" w:hAnsi="Arial" w:cs="Arial"/>
          <w:bCs/>
          <w:i/>
          <w:color w:val="000000"/>
        </w:rPr>
        <w:t xml:space="preserve">atepf1 </w:t>
      </w:r>
      <w:r w:rsidRPr="006C37DC">
        <w:rPr>
          <w:rFonts w:ascii="Arial" w:eastAsia="Times New Roman" w:hAnsi="Arial" w:cs="Arial"/>
          <w:bCs/>
          <w:color w:val="000000"/>
        </w:rPr>
        <w:t>control (</w:t>
      </w:r>
      <w:r w:rsidRPr="006C37DC">
        <w:rPr>
          <w:rFonts w:ascii="Arial" w:eastAsia="Times New Roman" w:hAnsi="Arial" w:cs="Arial"/>
          <w:b/>
          <w:bCs/>
          <w:color w:val="000000"/>
        </w:rPr>
        <w:t>Fig. 7c</w:t>
      </w:r>
      <w:r w:rsidRPr="006C37DC">
        <w:rPr>
          <w:rFonts w:ascii="Arial" w:eastAsia="Times New Roman" w:hAnsi="Arial" w:cs="Arial"/>
          <w:bCs/>
          <w:color w:val="000000"/>
        </w:rPr>
        <w:t>-</w:t>
      </w:r>
      <w:r w:rsidRPr="006C37DC">
        <w:rPr>
          <w:rFonts w:ascii="Arial" w:eastAsia="Times New Roman" w:hAnsi="Arial" w:cs="Arial"/>
          <w:b/>
          <w:bCs/>
          <w:color w:val="000000"/>
        </w:rPr>
        <w:t>d</w:t>
      </w:r>
      <w:r w:rsidRPr="006C37DC">
        <w:rPr>
          <w:rFonts w:ascii="Arial" w:eastAsia="Times New Roman" w:hAnsi="Arial" w:cs="Arial"/>
          <w:bCs/>
          <w:color w:val="000000"/>
        </w:rPr>
        <w:t xml:space="preserve">). For </w:t>
      </w:r>
      <w:r w:rsidRPr="006C37DC">
        <w:rPr>
          <w:rFonts w:ascii="Arial" w:eastAsia="Times New Roman" w:hAnsi="Arial" w:cs="Arial"/>
          <w:bCs/>
          <w:i/>
          <w:color w:val="000000"/>
        </w:rPr>
        <w:t xml:space="preserve">atepf2 </w:t>
      </w:r>
      <w:r w:rsidRPr="006C37DC">
        <w:rPr>
          <w:rFonts w:ascii="Arial" w:eastAsia="Times New Roman" w:hAnsi="Arial" w:cs="Arial"/>
          <w:bCs/>
          <w:color w:val="000000"/>
        </w:rPr>
        <w:t>complemented</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lines,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functioning was more limited and caused stomatal index to fall, rather than rise closer towards the wild-type value. Such a result may be due to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’s failure to block early asymmetric divisions in the </w:t>
      </w:r>
      <w:r w:rsidRPr="006C37DC">
        <w:rPr>
          <w:rFonts w:ascii="Arial" w:eastAsia="Times New Roman" w:hAnsi="Arial" w:cs="Arial"/>
          <w:bCs/>
          <w:i/>
          <w:color w:val="000000"/>
        </w:rPr>
        <w:t xml:space="preserve">atepf2 </w:t>
      </w:r>
      <w:r w:rsidRPr="006C37DC">
        <w:rPr>
          <w:rFonts w:ascii="Arial" w:eastAsia="Times New Roman" w:hAnsi="Arial" w:cs="Arial"/>
          <w:bCs/>
          <w:color w:val="000000"/>
        </w:rPr>
        <w:t xml:space="preserve">background as many small cells were present in transformed lines akin to the </w:t>
      </w:r>
      <w:r w:rsidRPr="006C37DC">
        <w:rPr>
          <w:rFonts w:ascii="Arial" w:eastAsia="Times New Roman" w:hAnsi="Arial" w:cs="Arial"/>
          <w:bCs/>
          <w:i/>
          <w:color w:val="000000"/>
        </w:rPr>
        <w:t xml:space="preserve">atepf2 </w:t>
      </w:r>
      <w:r w:rsidRPr="006C37DC">
        <w:rPr>
          <w:rFonts w:ascii="Arial" w:eastAsia="Times New Roman" w:hAnsi="Arial" w:cs="Arial"/>
          <w:bCs/>
          <w:color w:val="000000"/>
        </w:rPr>
        <w:t>background (Data not shown).</w:t>
      </w:r>
    </w:p>
    <w:p w14:paraId="66F382D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noProof/>
          <w:color w:val="000000"/>
          <w:lang w:eastAsia="ja-JP"/>
        </w:rPr>
        <w:lastRenderedPageBreak/>
        <w:drawing>
          <wp:inline distT="0" distB="0" distL="0" distR="0" wp14:anchorId="2462BB3E" wp14:editId="508BB733">
            <wp:extent cx="5682343" cy="5723931"/>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mplargerext.png"/>
                    <pic:cNvPicPr/>
                  </pic:nvPicPr>
                  <pic:blipFill>
                    <a:blip r:embed="rId57">
                      <a:extLst>
                        <a:ext uri="{28A0092B-C50C-407E-A947-70E740481C1C}">
                          <a14:useLocalDpi xmlns:a14="http://schemas.microsoft.com/office/drawing/2010/main" val="0"/>
                        </a:ext>
                      </a:extLst>
                    </a:blip>
                    <a:stretch>
                      <a:fillRect/>
                    </a:stretch>
                  </pic:blipFill>
                  <pic:spPr>
                    <a:xfrm>
                      <a:off x="0" y="0"/>
                      <a:ext cx="5687994" cy="5729624"/>
                    </a:xfrm>
                    <a:prstGeom prst="rect">
                      <a:avLst/>
                    </a:prstGeom>
                  </pic:spPr>
                </pic:pic>
              </a:graphicData>
            </a:graphic>
          </wp:inline>
        </w:drawing>
      </w:r>
      <w:r w:rsidRPr="006C37DC">
        <w:rPr>
          <w:rFonts w:ascii="Arial" w:eastAsia="Times New Roman" w:hAnsi="Arial" w:cs="Arial"/>
          <w:b/>
          <w:bCs/>
          <w:color w:val="000000"/>
        </w:rPr>
        <w:t xml:space="preserve">Figure 7. </w:t>
      </w:r>
      <w:r w:rsidRPr="006C37DC">
        <w:rPr>
          <w:rFonts w:ascii="Arial" w:eastAsia="Times New Roman" w:hAnsi="Arial" w:cs="Arial"/>
          <w:b/>
          <w:bCs/>
          <w:i/>
          <w:color w:val="000000"/>
        </w:rPr>
        <w:t xml:space="preserve">PpEPF1 </w:t>
      </w:r>
      <w:r w:rsidRPr="006C37DC">
        <w:rPr>
          <w:rFonts w:ascii="Arial" w:eastAsia="Times New Roman" w:hAnsi="Arial" w:cs="Arial"/>
          <w:b/>
          <w:bCs/>
          <w:color w:val="000000"/>
        </w:rPr>
        <w:t xml:space="preserve">can function and partially rescue </w:t>
      </w:r>
      <w:r w:rsidRPr="006C37DC">
        <w:rPr>
          <w:rFonts w:ascii="Arial" w:eastAsia="Times New Roman" w:hAnsi="Arial" w:cs="Arial"/>
          <w:b/>
          <w:bCs/>
          <w:i/>
          <w:color w:val="000000"/>
        </w:rPr>
        <w:t xml:space="preserve">atepf1 </w:t>
      </w:r>
      <w:r w:rsidRPr="006C37DC">
        <w:rPr>
          <w:rFonts w:ascii="Arial" w:eastAsia="Times New Roman" w:hAnsi="Arial" w:cs="Arial"/>
          <w:b/>
          <w:bCs/>
          <w:color w:val="000000"/>
        </w:rPr>
        <w:t xml:space="preserve">and </w:t>
      </w:r>
      <w:r w:rsidRPr="006C37DC">
        <w:rPr>
          <w:rFonts w:ascii="Arial" w:eastAsia="Times New Roman" w:hAnsi="Arial" w:cs="Arial"/>
          <w:b/>
          <w:bCs/>
          <w:i/>
          <w:color w:val="000000"/>
        </w:rPr>
        <w:t xml:space="preserve">atepf2 </w:t>
      </w:r>
      <w:r w:rsidRPr="006C37DC">
        <w:rPr>
          <w:rFonts w:ascii="Arial" w:eastAsia="Times New Roman" w:hAnsi="Arial" w:cs="Arial"/>
          <w:b/>
          <w:bCs/>
          <w:color w:val="000000"/>
        </w:rPr>
        <w:t xml:space="preserve">lines during stomatal development in Arabidopsis when over-expressed.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xml:space="preserve">) Stomatal densities from mature fully expanded rosette leaves of </w:t>
      </w:r>
      <w:r w:rsidRPr="006C37DC">
        <w:rPr>
          <w:rFonts w:ascii="Arial" w:eastAsia="Times New Roman" w:hAnsi="Arial" w:cs="Arial"/>
          <w:bCs/>
          <w:i/>
          <w:color w:val="000000"/>
        </w:rPr>
        <w:t xml:space="preserve">atepf1 </w:t>
      </w:r>
      <w:r w:rsidRPr="006C37DC">
        <w:rPr>
          <w:rFonts w:ascii="Arial" w:eastAsia="Times New Roman" w:hAnsi="Arial" w:cs="Arial"/>
          <w:bCs/>
          <w:color w:val="000000"/>
        </w:rPr>
        <w:t xml:space="preserve">and </w:t>
      </w:r>
      <w:r w:rsidRPr="006C37DC">
        <w:rPr>
          <w:rFonts w:ascii="Arial" w:eastAsia="Times New Roman" w:hAnsi="Arial" w:cs="Arial"/>
          <w:bCs/>
          <w:i/>
          <w:color w:val="000000"/>
        </w:rPr>
        <w:t xml:space="preserve">atepf2 </w:t>
      </w:r>
      <w:r w:rsidRPr="006C37DC">
        <w:rPr>
          <w:rFonts w:ascii="Arial" w:eastAsia="Times New Roman" w:hAnsi="Arial" w:cs="Arial"/>
          <w:bCs/>
          <w:color w:val="000000"/>
        </w:rPr>
        <w:t xml:space="preserve">lines transformed with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under the corresponding mutants native promoter based on Hunt and Gray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 ExcludeAuth="1"&gt;&lt;Author&gt;Hunt&lt;/Author&gt;&lt;Year&gt;2009&lt;/Year&gt;&lt;IDText&gt;The Signaling Peptide EPF2 Controls Asymmetric Cell Divisions during Stomatal Development&lt;/IDText&gt;&lt;DisplayText&gt;(2009)&lt;/DisplayText&gt;&lt;record&gt;&lt;dates&gt;&lt;pub-dates&gt;&lt;date&gt;May&lt;/date&gt;&lt;/pub-dates&gt;&lt;year&gt;2009&lt;/year&gt;&lt;/dates&gt;&lt;keywords&gt;&lt;keyword&gt;ARABIDOPSIS-THALIANA&lt;/keyword&gt;&lt;keyword&gt;MEDIATED REGULATION&lt;/keyword&gt;&lt;keyword&gt;DIFFERENTIATION&lt;/keyword&gt;&lt;keyword&gt;TRANSFORMATION&lt;/keyword&gt;&lt;keyword&gt;KINASES&lt;/keyword&gt;&lt;keyword&gt;PLANTS&lt;/keyword&gt;&lt;keyword&gt;TAG&lt;/keyword&gt;&lt;/keywords&gt;&lt;urls&gt;&lt;related-urls&gt;&lt;url&gt;&amp;lt;Go to ISI&amp;gt;://WOS:000266469800029&lt;/url&gt;&lt;/related-urls&gt;&lt;/urls&gt;&lt;isbn&gt;0960-9822&lt;/isbn&gt;&lt;work-type&gt;Article&lt;/work-type&gt;&lt;titles&gt;&lt;title&gt;The Signaling Peptide EPF2 Controls Asymmetric Cell Divisions during Stomatal Development&lt;/title&gt;&lt;secondary-title&gt;Current Biology&lt;/secondary-title&gt;&lt;alt-title&gt;Curr. Biol.&lt;/alt-title&gt;&lt;/titles&gt;&lt;pages&gt;864-869&lt;/pages&gt;&lt;number&gt;10&lt;/number&gt;&lt;contributors&gt;&lt;authors&gt;&lt;author&gt;Hunt, L.&lt;/author&gt;&lt;author&gt;Gray, J. E.&lt;/author&gt;&lt;/authors&gt;&lt;/contributors&gt;&lt;language&gt;English&lt;/language&gt;&lt;added-date format="utc"&gt;1351502294&lt;/added-date&gt;&lt;ref-type name="Journal Article"&gt;17&lt;/ref-type&gt;&lt;auth-address&gt;[Hunt, Lee&amp;#xD;Gray, Julie E.] Univ Sheffield, Dept Mol Biol &amp;amp; Biotechnol, Western Bank, Sheffield S10 2TN, S Yorkshire, England.&amp;#xD;Gray, JE (reprint author), Univ Sheffield, Dept Mol Biol &amp;amp; Biotechnol, Western Bank, Sheffield S10 2TN, S Yorkshire, England.&amp;#xD;j.e.gray@sheffield.ac.uk&lt;/auth-address&gt;&lt;rec-number&gt;11&lt;/rec-number&gt;&lt;last-updated-date format="utc"&gt;1351502294&lt;/last-updated-date&gt;&lt;accession-num&gt;WOS:000266469800029&lt;/accession-num&gt;&lt;electronic-resource-num&gt;10.1016/j.cub.2009.03.069&lt;/electronic-resource-num&gt;&lt;volume&gt;19&lt;/volume&gt;&lt;/record&gt;&lt;/Cite&gt;&lt;/EndNote&gt;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(2009)</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with associated controls. (</w:t>
      </w:r>
      <w:r w:rsidRPr="006C37DC">
        <w:rPr>
          <w:rFonts w:ascii="Arial" w:eastAsia="Times New Roman" w:hAnsi="Arial" w:cs="Arial"/>
          <w:b/>
          <w:bCs/>
          <w:color w:val="000000"/>
        </w:rPr>
        <w:t>b</w:t>
      </w:r>
      <w:r w:rsidRPr="006C37DC">
        <w:rPr>
          <w:rFonts w:ascii="Arial" w:eastAsia="Times New Roman" w:hAnsi="Arial" w:cs="Arial"/>
          <w:bCs/>
          <w:color w:val="000000"/>
        </w:rPr>
        <w:t>) Stomatal indices of samples analysed in (</w:t>
      </w:r>
      <w:r w:rsidRPr="006C37DC">
        <w:rPr>
          <w:rFonts w:ascii="Arial" w:eastAsia="Times New Roman" w:hAnsi="Arial" w:cs="Arial"/>
          <w:b/>
          <w:bCs/>
          <w:color w:val="000000"/>
        </w:rPr>
        <w:t>a</w:t>
      </w:r>
      <w:r w:rsidRPr="006C37DC">
        <w:rPr>
          <w:rFonts w:ascii="Arial" w:eastAsia="Times New Roman" w:hAnsi="Arial" w:cs="Arial"/>
          <w:bCs/>
          <w:color w:val="000000"/>
        </w:rPr>
        <w:t>). (</w:t>
      </w:r>
      <w:r w:rsidRPr="006C37DC">
        <w:rPr>
          <w:rFonts w:ascii="Arial" w:eastAsia="Times New Roman" w:hAnsi="Arial" w:cs="Arial"/>
          <w:b/>
          <w:bCs/>
          <w:color w:val="000000"/>
        </w:rPr>
        <w:t>c</w:t>
      </w:r>
      <w:r w:rsidRPr="006C37DC">
        <w:rPr>
          <w:rFonts w:ascii="Arial" w:eastAsia="Times New Roman" w:hAnsi="Arial" w:cs="Arial"/>
          <w:bCs/>
          <w:color w:val="000000"/>
        </w:rPr>
        <w:t xml:space="preserve">) Stomatal densities from mature fully expanded rosette leaves of </w:t>
      </w:r>
      <w:r w:rsidRPr="006C37DC">
        <w:rPr>
          <w:rFonts w:ascii="Arial" w:eastAsia="Times New Roman" w:hAnsi="Arial" w:cs="Arial"/>
          <w:bCs/>
          <w:i/>
          <w:color w:val="000000"/>
        </w:rPr>
        <w:t xml:space="preserve">atepf1 </w:t>
      </w:r>
      <w:r w:rsidRPr="006C37DC">
        <w:rPr>
          <w:rFonts w:ascii="Arial" w:eastAsia="Times New Roman" w:hAnsi="Arial" w:cs="Arial"/>
          <w:bCs/>
          <w:color w:val="000000"/>
        </w:rPr>
        <w:t xml:space="preserve">and </w:t>
      </w:r>
      <w:r w:rsidRPr="006C37DC">
        <w:rPr>
          <w:rFonts w:ascii="Arial" w:eastAsia="Times New Roman" w:hAnsi="Arial" w:cs="Arial"/>
          <w:bCs/>
          <w:i/>
          <w:color w:val="000000"/>
        </w:rPr>
        <w:t xml:space="preserve">atepf2 </w:t>
      </w:r>
      <w:r w:rsidRPr="006C37DC">
        <w:rPr>
          <w:rFonts w:ascii="Arial" w:eastAsia="Times New Roman" w:hAnsi="Arial" w:cs="Arial"/>
          <w:bCs/>
          <w:color w:val="000000"/>
        </w:rPr>
        <w:t xml:space="preserve">lines transformed with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fused to the cauliflower mosaic virus 35S promoter. (</w:t>
      </w:r>
      <w:r w:rsidRPr="006C37DC">
        <w:rPr>
          <w:rFonts w:ascii="Arial" w:eastAsia="Times New Roman" w:hAnsi="Arial" w:cs="Arial"/>
          <w:b/>
          <w:bCs/>
          <w:color w:val="000000"/>
        </w:rPr>
        <w:t>d</w:t>
      </w:r>
      <w:r w:rsidRPr="006C37DC">
        <w:rPr>
          <w:rFonts w:ascii="Arial" w:eastAsia="Times New Roman" w:hAnsi="Arial" w:cs="Arial"/>
          <w:bCs/>
          <w:color w:val="000000"/>
        </w:rPr>
        <w:t>) Stomatal indices of samples analysed in (</w:t>
      </w:r>
      <w:r w:rsidRPr="006C37DC">
        <w:rPr>
          <w:rFonts w:ascii="Arial" w:eastAsia="Times New Roman" w:hAnsi="Arial" w:cs="Arial"/>
          <w:b/>
          <w:bCs/>
          <w:color w:val="000000"/>
        </w:rPr>
        <w:t>c</w:t>
      </w:r>
      <w:r w:rsidRPr="006C37DC">
        <w:rPr>
          <w:rFonts w:ascii="Arial" w:eastAsia="Times New Roman" w:hAnsi="Arial" w:cs="Arial"/>
          <w:bCs/>
          <w:color w:val="000000"/>
        </w:rPr>
        <w:t xml:space="preserve">). </w:t>
      </w:r>
      <w:r w:rsidRPr="006C37DC">
        <w:rPr>
          <w:rFonts w:ascii="Arial" w:eastAsia="Times New Roman" w:hAnsi="Arial" w:cs="Arial"/>
          <w:bCs/>
          <w:color w:val="000000"/>
          <w:lang w:bidi="en-US"/>
        </w:rPr>
        <w:t>For (</w:t>
      </w:r>
      <w:r w:rsidRPr="006C37DC">
        <w:rPr>
          <w:rFonts w:ascii="Arial" w:eastAsia="Times New Roman" w:hAnsi="Arial" w:cs="Arial"/>
          <w:b/>
          <w:bCs/>
          <w:color w:val="000000"/>
          <w:lang w:bidi="en-US"/>
        </w:rPr>
        <w:t>a</w:t>
      </w:r>
      <w:r w:rsidRPr="006C37DC">
        <w:rPr>
          <w:rFonts w:ascii="Arial" w:eastAsia="Times New Roman" w:hAnsi="Arial" w:cs="Arial"/>
          <w:bCs/>
          <w:color w:val="000000"/>
          <w:lang w:bidi="en-US"/>
        </w:rPr>
        <w:t>-</w:t>
      </w:r>
      <w:r w:rsidRPr="006C37DC">
        <w:rPr>
          <w:rFonts w:ascii="Arial" w:eastAsia="Times New Roman" w:hAnsi="Arial" w:cs="Arial"/>
          <w:b/>
          <w:bCs/>
          <w:color w:val="000000"/>
          <w:lang w:bidi="en-US"/>
        </w:rPr>
        <w:t>d</w:t>
      </w:r>
      <w:r w:rsidRPr="006C37DC">
        <w:rPr>
          <w:rFonts w:ascii="Arial" w:eastAsia="Times New Roman" w:hAnsi="Arial" w:cs="Arial"/>
          <w:bCs/>
          <w:color w:val="000000"/>
          <w:lang w:bidi="en-US"/>
        </w:rPr>
        <w:t xml:space="preserve">) values marked with different letters are statistically significant (P ≤ 0.05). For each graph a separate one-way ANOVA with multiple comparisons corrected using a Tukey test was performed. </w:t>
      </w:r>
      <w:r w:rsidRPr="006C37DC">
        <w:rPr>
          <w:rFonts w:ascii="Arial" w:eastAsia="Times New Roman" w:hAnsi="Arial" w:cs="Arial"/>
          <w:bCs/>
          <w:color w:val="000000"/>
        </w:rPr>
        <w:t>For (</w:t>
      </w:r>
      <w:r w:rsidRPr="006C37DC">
        <w:rPr>
          <w:rFonts w:ascii="Arial" w:eastAsia="Times New Roman" w:hAnsi="Arial" w:cs="Arial"/>
          <w:b/>
          <w:bCs/>
          <w:color w:val="000000"/>
        </w:rPr>
        <w:t>a</w:t>
      </w:r>
      <w:r w:rsidRPr="006C37DC">
        <w:rPr>
          <w:rFonts w:ascii="Arial" w:eastAsia="Times New Roman" w:hAnsi="Arial" w:cs="Arial"/>
          <w:bCs/>
          <w:color w:val="000000"/>
        </w:rPr>
        <w:t>-</w:t>
      </w:r>
      <w:r w:rsidRPr="006C37DC">
        <w:rPr>
          <w:rFonts w:ascii="Arial" w:eastAsia="Times New Roman" w:hAnsi="Arial" w:cs="Arial"/>
          <w:b/>
          <w:bCs/>
          <w:color w:val="000000"/>
        </w:rPr>
        <w:t>b</w:t>
      </w:r>
      <w:r w:rsidRPr="006C37DC">
        <w:rPr>
          <w:rFonts w:ascii="Arial" w:eastAsia="Times New Roman" w:hAnsi="Arial" w:cs="Arial"/>
          <w:bCs/>
          <w:color w:val="000000"/>
        </w:rPr>
        <w:t>) n = 8, for (</w:t>
      </w:r>
      <w:r w:rsidRPr="006C37DC">
        <w:rPr>
          <w:rFonts w:ascii="Arial" w:eastAsia="Times New Roman" w:hAnsi="Arial" w:cs="Arial"/>
          <w:b/>
          <w:bCs/>
          <w:color w:val="000000"/>
        </w:rPr>
        <w:t>c</w:t>
      </w:r>
      <w:r w:rsidRPr="006C37DC">
        <w:rPr>
          <w:rFonts w:ascii="Arial" w:eastAsia="Times New Roman" w:hAnsi="Arial" w:cs="Arial"/>
          <w:bCs/>
          <w:color w:val="000000"/>
        </w:rPr>
        <w:t>-</w:t>
      </w:r>
      <w:r w:rsidRPr="006C37DC">
        <w:rPr>
          <w:rFonts w:ascii="Arial" w:eastAsia="Times New Roman" w:hAnsi="Arial" w:cs="Arial"/>
          <w:b/>
          <w:bCs/>
          <w:color w:val="000000"/>
        </w:rPr>
        <w:t>d</w:t>
      </w:r>
      <w:r w:rsidRPr="006C37DC">
        <w:rPr>
          <w:rFonts w:ascii="Arial" w:eastAsia="Times New Roman" w:hAnsi="Arial" w:cs="Arial"/>
          <w:bCs/>
          <w:color w:val="000000"/>
        </w:rPr>
        <w:t xml:space="preserve">) n = 5 or 6. </w:t>
      </w:r>
      <w:r w:rsidRPr="006C37DC">
        <w:rPr>
          <w:rFonts w:ascii="Arial" w:eastAsia="Times New Roman" w:hAnsi="Arial" w:cs="Arial"/>
          <w:bCs/>
          <w:color w:val="000000"/>
          <w:lang w:bidi="en-US"/>
        </w:rPr>
        <w:t>Error bars = s.e.m.</w:t>
      </w:r>
      <w:r w:rsidRPr="006C37DC">
        <w:rPr>
          <w:rFonts w:ascii="Arial" w:eastAsia="Times New Roman" w:hAnsi="Arial" w:cs="Arial"/>
          <w:bCs/>
          <w:color w:val="000000"/>
        </w:rPr>
        <w:t xml:space="preserve"> </w:t>
      </w:r>
    </w:p>
    <w:p w14:paraId="419DFE7D" w14:textId="6581602F" w:rsidR="006C37DC" w:rsidRPr="00476449"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br w:type="page"/>
      </w:r>
      <w:r w:rsidRPr="006C37DC">
        <w:rPr>
          <w:rFonts w:ascii="Arial" w:eastAsia="Times New Roman" w:hAnsi="Arial" w:cs="Arial"/>
          <w:bCs/>
          <w:color w:val="000000"/>
          <w:u w:val="single"/>
        </w:rPr>
        <w:lastRenderedPageBreak/>
        <w:t xml:space="preserve">4.2.4 The highly conserved </w:t>
      </w:r>
      <w:r w:rsidRPr="006C37DC">
        <w:rPr>
          <w:rFonts w:ascii="Arial" w:eastAsia="Times New Roman" w:hAnsi="Arial" w:cs="Arial"/>
          <w:bCs/>
          <w:i/>
          <w:color w:val="000000"/>
          <w:u w:val="single"/>
        </w:rPr>
        <w:t>PpEPF1</w:t>
      </w:r>
      <w:r w:rsidRPr="006C37DC">
        <w:rPr>
          <w:rFonts w:ascii="Arial" w:eastAsia="Times New Roman" w:hAnsi="Arial" w:cs="Arial"/>
          <w:bCs/>
          <w:color w:val="000000"/>
          <w:u w:val="single"/>
        </w:rPr>
        <w:t xml:space="preserve"> functions during </w:t>
      </w:r>
      <w:r w:rsidRPr="006C37DC">
        <w:rPr>
          <w:rFonts w:ascii="Arial" w:eastAsia="Times New Roman" w:hAnsi="Arial" w:cs="Arial"/>
          <w:bCs/>
          <w:i/>
          <w:color w:val="000000"/>
          <w:u w:val="single"/>
        </w:rPr>
        <w:t xml:space="preserve">P. patens </w:t>
      </w:r>
      <w:r w:rsidRPr="006C37DC">
        <w:rPr>
          <w:rFonts w:ascii="Arial" w:eastAsia="Times New Roman" w:hAnsi="Arial" w:cs="Arial"/>
          <w:bCs/>
          <w:color w:val="000000"/>
          <w:u w:val="single"/>
        </w:rPr>
        <w:t>sporophyte development to negatively regulate stomatal development</w:t>
      </w:r>
    </w:p>
    <w:p w14:paraId="6538D34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To investigate whether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is involved in stomatal development in </w:t>
      </w:r>
      <w:r w:rsidRPr="006C37DC">
        <w:rPr>
          <w:rFonts w:ascii="Arial" w:eastAsia="Times New Roman" w:hAnsi="Arial" w:cs="Arial"/>
          <w:bCs/>
          <w:i/>
          <w:color w:val="000000"/>
        </w:rPr>
        <w:t xml:space="preserve">P. patens </w:t>
      </w:r>
      <w:r w:rsidRPr="006C37DC">
        <w:rPr>
          <w:rFonts w:ascii="Arial" w:eastAsia="Times New Roman" w:hAnsi="Arial" w:cs="Arial"/>
          <w:bCs/>
          <w:color w:val="000000"/>
        </w:rPr>
        <w:t xml:space="preserve">gene knockouts were produced via homologous recombination </w:t>
      </w:r>
      <w:r w:rsidRPr="006C37DC">
        <w:rPr>
          <w:rFonts w:ascii="Arial" w:eastAsia="Times New Roman" w:hAnsi="Arial" w:cs="Arial"/>
          <w:bCs/>
          <w:color w:val="000000"/>
        </w:rPr>
        <w:fldChar w:fldCharType="begin">
          <w:fldData xml:space="preserve">PEVuZE5vdGU+PENpdGU+PEF1dGhvcj5LYW1pc3VnaTwvQXV0aG9yPjxZZWFyPjIwMDY8L1llYXI+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PEVuZE5vdGU+PENpdGU+PEF1dGhvcj5LYW1pc3VnaTwvQXV0aG9yPjxZZWFyPjIwMDY8L1llYXI+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(Kamisugi et al., 2006)</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 production of the knock-out (KO) constructs, transformations and subsequent anti-biotic selection of putative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mutants was kindly performed by Dr Caspar Chater (University of Sheffield) and Dr Yasuko Kamisugi (University of Leeds) prior to the commencement of my studies. To identify putative mutant lines, I performed two PCR reactions on each line that targeted both 5’ and 3’ integration of the transgene resistance cassette at the targeted locus (</w:t>
      </w:r>
      <w:r w:rsidRPr="006C37DC">
        <w:rPr>
          <w:rFonts w:ascii="Arial" w:eastAsia="Times New Roman" w:hAnsi="Arial" w:cs="Arial"/>
          <w:b/>
          <w:bCs/>
          <w:color w:val="000000"/>
        </w:rPr>
        <w:t>Fig. 8</w:t>
      </w:r>
      <w:r w:rsidRPr="006C37DC">
        <w:rPr>
          <w:rFonts w:ascii="Arial" w:eastAsia="Times New Roman" w:hAnsi="Arial" w:cs="Arial"/>
          <w:bCs/>
          <w:color w:val="000000"/>
        </w:rPr>
        <w:t xml:space="preserve">). All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mutants identified had 5’ and 3’ integration at the targeted loci. From these investigations, six independent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lines</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were isolated, from which, three were selected to test for the absence of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expression in developing sporophytes using RT-PCR (</w:t>
      </w:r>
      <w:r w:rsidRPr="006C37DC">
        <w:rPr>
          <w:rFonts w:ascii="Arial" w:eastAsia="Times New Roman" w:hAnsi="Arial" w:cs="Arial"/>
          <w:b/>
          <w:bCs/>
          <w:color w:val="000000"/>
        </w:rPr>
        <w:t xml:space="preserve">Fig. 9a </w:t>
      </w:r>
      <w:r w:rsidRPr="006C37DC">
        <w:rPr>
          <w:rFonts w:ascii="Arial" w:eastAsia="Times New Roman" w:hAnsi="Arial" w:cs="Arial"/>
          <w:bCs/>
          <w:color w:val="000000"/>
        </w:rPr>
        <w:t xml:space="preserve">and </w:t>
      </w:r>
      <w:r w:rsidRPr="006C37DC">
        <w:rPr>
          <w:rFonts w:ascii="Arial" w:eastAsia="Times New Roman" w:hAnsi="Arial" w:cs="Arial"/>
          <w:b/>
          <w:bCs/>
          <w:color w:val="000000"/>
        </w:rPr>
        <w:t>b</w:t>
      </w:r>
      <w:r w:rsidRPr="006C37DC">
        <w:rPr>
          <w:rFonts w:ascii="Arial" w:eastAsia="Times New Roman" w:hAnsi="Arial" w:cs="Arial"/>
          <w:bCs/>
          <w:color w:val="000000"/>
        </w:rPr>
        <w:t xml:space="preserve">). From the selected 3 lines tested, 2 lines showed no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expression. The </w:t>
      </w:r>
      <w:r w:rsidRPr="006C37DC">
        <w:rPr>
          <w:rFonts w:ascii="Arial" w:eastAsia="Times New Roman" w:hAnsi="Arial" w:cs="Arial"/>
          <w:bCs/>
          <w:i/>
          <w:color w:val="000000"/>
        </w:rPr>
        <w:t xml:space="preserve">ppepf1-1 </w:t>
      </w:r>
      <w:r w:rsidRPr="006C37DC">
        <w:rPr>
          <w:rFonts w:ascii="Arial" w:eastAsia="Times New Roman" w:hAnsi="Arial" w:cs="Arial"/>
          <w:bCs/>
          <w:color w:val="000000"/>
        </w:rPr>
        <w:t>line</w:t>
      </w:r>
      <w:r w:rsidRPr="006C37DC">
        <w:rPr>
          <w:rFonts w:ascii="Arial" w:eastAsia="Times New Roman" w:hAnsi="Arial" w:cs="Arial"/>
          <w:bCs/>
          <w:i/>
          <w:color w:val="000000"/>
        </w:rPr>
        <w:t xml:space="preserve"> </w:t>
      </w:r>
      <w:r w:rsidRPr="006C37DC">
        <w:rPr>
          <w:rFonts w:ascii="Arial" w:eastAsia="Times New Roman" w:hAnsi="Arial" w:cs="Arial"/>
          <w:bCs/>
          <w:color w:val="000000"/>
        </w:rPr>
        <w:t>did however exhibit a low level of transcript after 40 cycles of a PCR reaction.</w:t>
      </w:r>
    </w:p>
    <w:p w14:paraId="500F45A1" w14:textId="77777777" w:rsidR="006C37DC" w:rsidRPr="006C37DC" w:rsidRDefault="006C37DC" w:rsidP="006C37DC">
      <w:pPr>
        <w:spacing w:after="160" w:line="360" w:lineRule="auto"/>
        <w:rPr>
          <w:rFonts w:ascii="Arial" w:eastAsia="Times New Roman" w:hAnsi="Arial" w:cs="Arial"/>
          <w:bCs/>
          <w:color w:val="000000"/>
        </w:rPr>
      </w:pPr>
    </w:p>
    <w:p w14:paraId="74EF19B6" w14:textId="77777777"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
          <w:bCs/>
          <w:noProof/>
          <w:color w:val="000000"/>
          <w:lang w:eastAsia="ja-JP"/>
        </w:rPr>
        <w:drawing>
          <wp:inline distT="0" distB="0" distL="0" distR="0" wp14:anchorId="32B90EFF" wp14:editId="0081267B">
            <wp:extent cx="5205730" cy="1057275"/>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pdated integration schematic.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05730" cy="1057275"/>
                    </a:xfrm>
                    <a:prstGeom prst="rect">
                      <a:avLst/>
                    </a:prstGeom>
                  </pic:spPr>
                </pic:pic>
              </a:graphicData>
            </a:graphic>
          </wp:inline>
        </w:drawing>
      </w:r>
    </w:p>
    <w:p w14:paraId="13BA4E5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
          <w:bCs/>
          <w:color w:val="000000"/>
        </w:rPr>
        <w:t xml:space="preserve">Figure 8. Integration of a transgene resistance cassette at the targeted genomic locus. </w:t>
      </w:r>
      <w:r w:rsidRPr="006C37DC">
        <w:rPr>
          <w:rFonts w:ascii="Arial" w:eastAsia="Times New Roman" w:hAnsi="Arial" w:cs="Arial"/>
          <w:bCs/>
          <w:color w:val="000000"/>
        </w:rPr>
        <w:t>To verify the disruption of a targeted locus with the knock-out (KO) construct containing the transgene resistance cassette, 2 separate PCR reactions were performed. For 5’ integration this was achieved by using a forward primer (F) complementary to the 5’ genomic sequence upstream of the ‘5 recombination site and a reverse primer (R) complementary to the opposing strand at the beginning of the transgene resistance cassette. For 3’ integration an F primer complementary to the 3’ regions of the transgene resistance cassette and a R primer complementary to the opposing strand of the 3’ genomic region downstream of the 3’ recombination site were used.</w:t>
      </w:r>
    </w:p>
    <w:p w14:paraId="6D5CE0F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noProof/>
          <w:color w:val="000000"/>
          <w:lang w:eastAsia="ja-JP"/>
        </w:rPr>
        <w:lastRenderedPageBreak/>
        <w:drawing>
          <wp:inline distT="0" distB="0" distL="0" distR="0" wp14:anchorId="75ADE7FD" wp14:editId="2BA9D4AA">
            <wp:extent cx="5156835" cy="8863330"/>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ew epf updated fig.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156835" cy="8863330"/>
                    </a:xfrm>
                    <a:prstGeom prst="rect">
                      <a:avLst/>
                    </a:prstGeom>
                  </pic:spPr>
                </pic:pic>
              </a:graphicData>
            </a:graphic>
          </wp:inline>
        </w:drawing>
      </w:r>
    </w:p>
    <w:p w14:paraId="1F2FFAEA" w14:textId="2BC22C9F"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
          <w:bCs/>
          <w:color w:val="000000"/>
        </w:rPr>
        <w:lastRenderedPageBreak/>
        <w:t xml:space="preserve">Figure 9. </w:t>
      </w:r>
      <w:r w:rsidRPr="006C37DC">
        <w:rPr>
          <w:rFonts w:ascii="Arial" w:eastAsia="Times New Roman" w:hAnsi="Arial" w:cs="Arial"/>
          <w:b/>
          <w:bCs/>
          <w:i/>
          <w:color w:val="000000"/>
        </w:rPr>
        <w:t>PpEPF1</w:t>
      </w:r>
      <w:r w:rsidRPr="006C37DC">
        <w:rPr>
          <w:rFonts w:ascii="Arial" w:eastAsia="Times New Roman" w:hAnsi="Arial" w:cs="Arial"/>
          <w:b/>
          <w:bCs/>
          <w:color w:val="000000"/>
        </w:rPr>
        <w:t xml:space="preserve"> functions to negatively regulate stomatal development in </w:t>
      </w:r>
      <w:r w:rsidRPr="006C37DC">
        <w:rPr>
          <w:rFonts w:ascii="Arial" w:eastAsia="Times New Roman" w:hAnsi="Arial" w:cs="Arial"/>
          <w:b/>
          <w:bCs/>
          <w:i/>
          <w:color w:val="000000"/>
        </w:rPr>
        <w:t>P. patens.</w:t>
      </w:r>
      <w:r w:rsidRPr="006C37DC">
        <w:rPr>
          <w:rFonts w:ascii="Arial" w:eastAsia="Times New Roman" w:hAnsi="Arial" w:cs="Arial"/>
          <w:b/>
          <w:bCs/>
          <w:color w:val="000000"/>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xml:space="preserve">) RT-PCR gel image illustrating no expression of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in two independent knock-outs and a third line illustrating a low level of expression. (</w:t>
      </w:r>
      <w:r w:rsidRPr="006C37DC">
        <w:rPr>
          <w:rFonts w:ascii="Arial" w:eastAsia="Times New Roman" w:hAnsi="Arial" w:cs="Arial"/>
          <w:b/>
          <w:bCs/>
          <w:color w:val="000000"/>
        </w:rPr>
        <w:t>b</w:t>
      </w:r>
      <w:r w:rsidRPr="006C37DC">
        <w:rPr>
          <w:rFonts w:ascii="Arial" w:eastAsia="Times New Roman" w:hAnsi="Arial" w:cs="Arial"/>
          <w:bCs/>
          <w:color w:val="000000"/>
        </w:rPr>
        <w:t>) Rubisco small sub-unit (RbcS) control amplifications for the corresponding samples in (</w:t>
      </w:r>
      <w:r w:rsidRPr="006C37DC">
        <w:rPr>
          <w:rFonts w:ascii="Arial" w:eastAsia="Times New Roman" w:hAnsi="Arial" w:cs="Arial"/>
          <w:b/>
          <w:bCs/>
          <w:color w:val="000000"/>
        </w:rPr>
        <w:t>a</w:t>
      </w:r>
      <w:r w:rsidRPr="006C37DC">
        <w:rPr>
          <w:rFonts w:ascii="Arial" w:eastAsia="Times New Roman" w:hAnsi="Arial" w:cs="Arial"/>
          <w:bCs/>
          <w:color w:val="000000"/>
        </w:rPr>
        <w:t>). Wild-type samples are marked WT, the water controls are marked W. (</w:t>
      </w:r>
      <w:r w:rsidRPr="006C37DC">
        <w:rPr>
          <w:rFonts w:ascii="Arial" w:eastAsia="Times New Roman" w:hAnsi="Arial" w:cs="Arial"/>
          <w:b/>
          <w:bCs/>
          <w:color w:val="000000"/>
        </w:rPr>
        <w:t>c</w:t>
      </w:r>
      <w:r w:rsidRPr="006C37DC">
        <w:rPr>
          <w:rFonts w:ascii="Arial" w:eastAsia="Times New Roman" w:hAnsi="Arial" w:cs="Arial"/>
          <w:bCs/>
          <w:color w:val="000000"/>
        </w:rPr>
        <w:t xml:space="preserve">) Stacked </w:t>
      </w:r>
      <w:r w:rsidR="00EE0DEA">
        <w:rPr>
          <w:rFonts w:ascii="Arial" w:eastAsia="Times New Roman" w:hAnsi="Arial" w:cs="Arial"/>
          <w:bCs/>
          <w:color w:val="000000"/>
        </w:rPr>
        <w:t>fluorescence</w:t>
      </w:r>
      <w:r w:rsidRPr="006C37DC">
        <w:rPr>
          <w:rFonts w:ascii="Arial" w:eastAsia="Times New Roman" w:hAnsi="Arial" w:cs="Arial"/>
          <w:bCs/>
          <w:color w:val="000000"/>
        </w:rPr>
        <w:t xml:space="preserve"> image of a fully expanded green-to-yellow wild-type sporophyte capsule with evenly spaced stomata. (</w:t>
      </w:r>
      <w:r w:rsidRPr="006C37DC">
        <w:rPr>
          <w:rFonts w:ascii="Arial" w:eastAsia="Times New Roman" w:hAnsi="Arial" w:cs="Arial"/>
          <w:b/>
          <w:bCs/>
          <w:color w:val="000000"/>
        </w:rPr>
        <w:t>d</w:t>
      </w:r>
      <w:r w:rsidRPr="006C37DC">
        <w:rPr>
          <w:rFonts w:ascii="Arial" w:eastAsia="Times New Roman" w:hAnsi="Arial" w:cs="Arial"/>
          <w:bCs/>
          <w:color w:val="000000"/>
        </w:rPr>
        <w:t xml:space="preserve">) Equivalent stage </w:t>
      </w:r>
      <w:r w:rsidRPr="006C37DC">
        <w:rPr>
          <w:rFonts w:ascii="Arial" w:eastAsia="Times New Roman" w:hAnsi="Arial" w:cs="Arial"/>
          <w:bCs/>
          <w:i/>
          <w:color w:val="000000"/>
        </w:rPr>
        <w:t xml:space="preserve">ppepf1-2 </w:t>
      </w:r>
      <w:r w:rsidRPr="006C37DC">
        <w:rPr>
          <w:rFonts w:ascii="Arial" w:eastAsia="Times New Roman" w:hAnsi="Arial" w:cs="Arial"/>
          <w:bCs/>
          <w:color w:val="000000"/>
        </w:rPr>
        <w:t>sporophyte illustrating clustering stomata. Note, stomata are fluorescing a white to yellow colour and are encircling the darkened central seta region. (</w:t>
      </w:r>
      <w:r w:rsidRPr="006C37DC">
        <w:rPr>
          <w:rFonts w:ascii="Arial" w:eastAsia="Times New Roman" w:hAnsi="Arial" w:cs="Arial"/>
          <w:b/>
          <w:bCs/>
          <w:color w:val="000000"/>
        </w:rPr>
        <w:t>e</w:t>
      </w:r>
      <w:r w:rsidRPr="006C37DC">
        <w:rPr>
          <w:rFonts w:ascii="Arial" w:eastAsia="Times New Roman" w:hAnsi="Arial" w:cs="Arial"/>
          <w:bCs/>
          <w:color w:val="000000"/>
        </w:rPr>
        <w:t>)</w:t>
      </w:r>
      <w:r w:rsidRPr="006C37DC">
        <w:rPr>
          <w:rFonts w:ascii="Arial" w:eastAsia="Times New Roman" w:hAnsi="Arial" w:cs="Arial"/>
          <w:b/>
          <w:bCs/>
          <w:color w:val="000000"/>
        </w:rPr>
        <w:t xml:space="preserve"> </w:t>
      </w:r>
      <w:r w:rsidRPr="006C37DC">
        <w:rPr>
          <w:rFonts w:ascii="Arial" w:eastAsia="Times New Roman" w:hAnsi="Arial" w:cs="Arial"/>
          <w:bCs/>
          <w:color w:val="000000"/>
        </w:rPr>
        <w:t>Wild-type capsule imaged from the side illustrating spaced stomata. (</w:t>
      </w:r>
      <w:r w:rsidRPr="006C37DC">
        <w:rPr>
          <w:rFonts w:ascii="Arial" w:eastAsia="Times New Roman" w:hAnsi="Arial" w:cs="Arial"/>
          <w:b/>
          <w:bCs/>
          <w:color w:val="000000"/>
        </w:rPr>
        <w:t>f</w:t>
      </w:r>
      <w:r w:rsidRPr="006C37DC">
        <w:rPr>
          <w:rFonts w:ascii="Arial" w:eastAsia="Times New Roman" w:hAnsi="Arial" w:cs="Arial"/>
          <w:bCs/>
          <w:color w:val="000000"/>
        </w:rPr>
        <w:t xml:space="preserve">) Equivalent </w:t>
      </w:r>
      <w:r w:rsidRPr="006C37DC">
        <w:rPr>
          <w:rFonts w:ascii="Arial" w:eastAsia="Times New Roman" w:hAnsi="Arial" w:cs="Arial"/>
          <w:bCs/>
          <w:i/>
          <w:color w:val="000000"/>
        </w:rPr>
        <w:t>ppepf1-2</w:t>
      </w:r>
      <w:r w:rsidRPr="006C37DC">
        <w:rPr>
          <w:rFonts w:ascii="Arial" w:eastAsia="Times New Roman" w:hAnsi="Arial" w:cs="Arial"/>
          <w:bCs/>
          <w:color w:val="000000"/>
        </w:rPr>
        <w:t xml:space="preserve"> capsule equivalent to (</w:t>
      </w:r>
      <w:r w:rsidRPr="006C37DC">
        <w:rPr>
          <w:rFonts w:ascii="Arial" w:eastAsia="Times New Roman" w:hAnsi="Arial" w:cs="Arial"/>
          <w:b/>
          <w:bCs/>
          <w:color w:val="000000"/>
        </w:rPr>
        <w:t>d</w:t>
      </w:r>
      <w:r w:rsidRPr="006C37DC">
        <w:rPr>
          <w:rFonts w:ascii="Arial" w:eastAsia="Times New Roman" w:hAnsi="Arial" w:cs="Arial"/>
          <w:bCs/>
          <w:color w:val="000000"/>
        </w:rPr>
        <w:t>) side-on illustrating clustering of stomata. (</w:t>
      </w:r>
      <w:r w:rsidRPr="006C37DC">
        <w:rPr>
          <w:rFonts w:ascii="Arial" w:eastAsia="Times New Roman" w:hAnsi="Arial" w:cs="Arial"/>
          <w:b/>
          <w:bCs/>
          <w:color w:val="000000"/>
        </w:rPr>
        <w:t>g</w:t>
      </w:r>
      <w:r w:rsidRPr="006C37DC">
        <w:rPr>
          <w:rFonts w:ascii="Arial" w:eastAsia="Times New Roman" w:hAnsi="Arial" w:cs="Arial"/>
          <w:bCs/>
          <w:color w:val="000000"/>
        </w:rPr>
        <w:t>) Quantification of the number of stomata in equally sized orange to brown mature sporophyte capsules.</w:t>
      </w:r>
      <w:r w:rsidRPr="006C37DC">
        <w:rPr>
          <w:rFonts w:ascii="Arial" w:eastAsia="Times New Roman" w:hAnsi="Arial" w:cs="Arial"/>
          <w:bCs/>
          <w:color w:val="000000"/>
          <w:lang w:bidi="en-US"/>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h</w:t>
      </w:r>
      <w:r w:rsidRPr="006C37DC">
        <w:rPr>
          <w:rFonts w:ascii="Arial" w:eastAsia="Times New Roman" w:hAnsi="Arial" w:cs="Arial"/>
          <w:bCs/>
          <w:color w:val="000000"/>
        </w:rPr>
        <w:t>) Quantification of the percentage of total stomata from (</w:t>
      </w:r>
      <w:r w:rsidRPr="006C37DC">
        <w:rPr>
          <w:rFonts w:ascii="Arial" w:eastAsia="Times New Roman" w:hAnsi="Arial" w:cs="Arial"/>
          <w:b/>
          <w:bCs/>
          <w:color w:val="000000"/>
        </w:rPr>
        <w:t>g</w:t>
      </w:r>
      <w:r w:rsidRPr="006C37DC">
        <w:rPr>
          <w:rFonts w:ascii="Arial" w:eastAsia="Times New Roman" w:hAnsi="Arial" w:cs="Arial"/>
          <w:bCs/>
          <w:color w:val="000000"/>
        </w:rPr>
        <w:t>) involved in clustering.</w:t>
      </w:r>
      <w:r w:rsidRPr="006C37DC">
        <w:rPr>
          <w:rFonts w:ascii="Arial" w:eastAsia="Times New Roman" w:hAnsi="Arial" w:cs="Arial"/>
          <w:bCs/>
          <w:color w:val="000000"/>
          <w:lang w:bidi="en-US"/>
        </w:rPr>
        <w:t xml:space="preserve"> For (</w:t>
      </w:r>
      <w:r w:rsidRPr="006C37DC">
        <w:rPr>
          <w:rFonts w:ascii="Arial" w:eastAsia="Times New Roman" w:hAnsi="Arial" w:cs="Arial"/>
          <w:b/>
          <w:bCs/>
          <w:color w:val="000000"/>
          <w:lang w:bidi="en-US"/>
        </w:rPr>
        <w:t>g</w:t>
      </w:r>
      <w:r w:rsidRPr="006C37DC">
        <w:rPr>
          <w:rFonts w:ascii="Arial" w:eastAsia="Times New Roman" w:hAnsi="Arial" w:cs="Arial"/>
          <w:bCs/>
          <w:color w:val="000000"/>
          <w:lang w:bidi="en-US"/>
        </w:rPr>
        <w:t xml:space="preserve"> and </w:t>
      </w:r>
      <w:r w:rsidRPr="006C37DC">
        <w:rPr>
          <w:rFonts w:ascii="Arial" w:eastAsia="Times New Roman" w:hAnsi="Arial" w:cs="Arial"/>
          <w:b/>
          <w:bCs/>
          <w:color w:val="000000"/>
          <w:lang w:bidi="en-US"/>
        </w:rPr>
        <w:t>h)</w:t>
      </w:r>
      <w:r w:rsidRPr="006C37DC">
        <w:rPr>
          <w:rFonts w:ascii="Arial" w:eastAsia="Times New Roman" w:hAnsi="Arial" w:cs="Arial"/>
          <w:bCs/>
          <w:color w:val="000000"/>
          <w:lang w:bidi="en-US"/>
        </w:rPr>
        <w:t xml:space="preserve"> lines with different letters can be distinguished from each other (</w:t>
      </w:r>
      <w:r w:rsidRPr="006C37DC">
        <w:rPr>
          <w:rFonts w:ascii="Arial" w:eastAsia="Times New Roman" w:hAnsi="Arial" w:cs="Arial"/>
          <w:bCs/>
          <w:i/>
          <w:color w:val="000000"/>
          <w:lang w:bidi="en-US"/>
        </w:rPr>
        <w:t>P</w:t>
      </w:r>
      <w:r w:rsidRPr="006C37DC">
        <w:rPr>
          <w:rFonts w:ascii="Arial" w:eastAsia="Times New Roman" w:hAnsi="Arial" w:cs="Arial"/>
          <w:bCs/>
          <w:color w:val="000000"/>
          <w:lang w:bidi="en-US"/>
        </w:rPr>
        <w:t xml:space="preserve"> &lt; 0.001) (one-way ANOVA with multiple comparisons corrected using a Dunnett’s test, n=7). Note, for (</w:t>
      </w:r>
      <w:r w:rsidRPr="006C37DC">
        <w:rPr>
          <w:rFonts w:ascii="Arial" w:eastAsia="Times New Roman" w:hAnsi="Arial" w:cs="Arial"/>
          <w:b/>
          <w:bCs/>
          <w:color w:val="000000"/>
          <w:lang w:bidi="en-US"/>
        </w:rPr>
        <w:t>h</w:t>
      </w:r>
      <w:r w:rsidRPr="006C37DC">
        <w:rPr>
          <w:rFonts w:ascii="Arial" w:eastAsia="Times New Roman" w:hAnsi="Arial" w:cs="Arial"/>
          <w:bCs/>
          <w:color w:val="000000"/>
          <w:lang w:bidi="en-US"/>
        </w:rPr>
        <w:t>) prior to statistical analysis, an arcsin transformation of values was performed. (</w:t>
      </w:r>
      <w:r w:rsidRPr="006C37DC">
        <w:rPr>
          <w:rFonts w:ascii="Arial" w:eastAsia="Times New Roman" w:hAnsi="Arial" w:cs="Arial"/>
          <w:b/>
          <w:bCs/>
          <w:color w:val="000000"/>
          <w:lang w:bidi="en-US"/>
        </w:rPr>
        <w:t>i</w:t>
      </w:r>
      <w:r w:rsidRPr="006C37DC">
        <w:rPr>
          <w:rFonts w:ascii="Arial" w:eastAsia="Times New Roman" w:hAnsi="Arial" w:cs="Arial"/>
          <w:bCs/>
          <w:color w:val="000000"/>
          <w:lang w:bidi="en-US"/>
        </w:rPr>
        <w:t>) Average instances of clustering per capsule and the number of stomata in each cluster. E.g. When 5 stomata formed in a cluster a 5-er was scored. (</w:t>
      </w:r>
      <w:r w:rsidRPr="006C37DC">
        <w:rPr>
          <w:rFonts w:ascii="Arial" w:eastAsia="Times New Roman" w:hAnsi="Arial" w:cs="Arial"/>
          <w:b/>
          <w:bCs/>
          <w:color w:val="000000"/>
          <w:lang w:bidi="en-US"/>
        </w:rPr>
        <w:t>j</w:t>
      </w:r>
      <w:r w:rsidRPr="006C37DC">
        <w:rPr>
          <w:rFonts w:ascii="Arial" w:eastAsia="Times New Roman" w:hAnsi="Arial" w:cs="Arial"/>
          <w:bCs/>
          <w:color w:val="000000"/>
          <w:lang w:bidi="en-US"/>
        </w:rPr>
        <w:t>) Carnoy’s fixed orange to brown capsule illustrating inflammation and break down in capsule integrity (see black arrow). (</w:t>
      </w:r>
      <w:r w:rsidRPr="006C37DC">
        <w:rPr>
          <w:rFonts w:ascii="Arial" w:eastAsia="Times New Roman" w:hAnsi="Arial" w:cs="Arial"/>
          <w:b/>
          <w:bCs/>
          <w:color w:val="000000"/>
          <w:lang w:bidi="en-US"/>
        </w:rPr>
        <w:t>k</w:t>
      </w:r>
      <w:r w:rsidRPr="006C37DC">
        <w:rPr>
          <w:rFonts w:ascii="Arial" w:eastAsia="Times New Roman" w:hAnsi="Arial" w:cs="Arial"/>
          <w:bCs/>
          <w:color w:val="000000"/>
          <w:lang w:bidi="en-US"/>
        </w:rPr>
        <w:t>) A technovit sectioned capsule equivalent in age to (</w:t>
      </w:r>
      <w:r w:rsidRPr="006C37DC">
        <w:rPr>
          <w:rFonts w:ascii="Arial" w:eastAsia="Times New Roman" w:hAnsi="Arial" w:cs="Arial"/>
          <w:b/>
          <w:bCs/>
          <w:color w:val="000000"/>
          <w:lang w:bidi="en-US"/>
        </w:rPr>
        <w:t>j</w:t>
      </w:r>
      <w:r w:rsidRPr="006C37DC">
        <w:rPr>
          <w:rFonts w:ascii="Arial" w:eastAsia="Times New Roman" w:hAnsi="Arial" w:cs="Arial"/>
          <w:bCs/>
          <w:color w:val="000000"/>
          <w:lang w:bidi="en-US"/>
        </w:rPr>
        <w:t>) illustrating stomata underlying sub-stomatal cavity. (</w:t>
      </w:r>
      <w:r w:rsidRPr="006C37DC">
        <w:rPr>
          <w:rFonts w:ascii="Arial" w:eastAsia="Times New Roman" w:hAnsi="Arial" w:cs="Arial"/>
          <w:b/>
          <w:bCs/>
          <w:color w:val="000000"/>
          <w:lang w:bidi="en-US"/>
        </w:rPr>
        <w:t>l</w:t>
      </w:r>
      <w:r w:rsidRPr="006C37DC">
        <w:rPr>
          <w:rFonts w:ascii="Arial" w:eastAsia="Times New Roman" w:hAnsi="Arial" w:cs="Arial"/>
          <w:bCs/>
          <w:color w:val="000000"/>
          <w:lang w:bidi="en-US"/>
        </w:rPr>
        <w:t xml:space="preserve">) </w:t>
      </w:r>
      <w:r w:rsidRPr="006C37DC">
        <w:rPr>
          <w:rFonts w:ascii="Arial" w:eastAsia="Times New Roman" w:hAnsi="Arial" w:cs="Arial"/>
          <w:bCs/>
          <w:i/>
          <w:color w:val="000000"/>
          <w:lang w:bidi="en-US"/>
        </w:rPr>
        <w:t>ppepf1-4</w:t>
      </w:r>
      <w:r w:rsidRPr="006C37DC">
        <w:rPr>
          <w:rFonts w:ascii="Arial" w:eastAsia="Times New Roman" w:hAnsi="Arial" w:cs="Arial"/>
          <w:bCs/>
          <w:color w:val="000000"/>
          <w:lang w:bidi="en-US"/>
        </w:rPr>
        <w:t xml:space="preserve"> representative capsule equivalent to (</w:t>
      </w:r>
      <w:r w:rsidRPr="006C37DC">
        <w:rPr>
          <w:rFonts w:ascii="Arial" w:eastAsia="Times New Roman" w:hAnsi="Arial" w:cs="Arial"/>
          <w:b/>
          <w:bCs/>
          <w:color w:val="000000"/>
          <w:lang w:bidi="en-US"/>
        </w:rPr>
        <w:t>k</w:t>
      </w:r>
      <w:r w:rsidRPr="006C37DC">
        <w:rPr>
          <w:rFonts w:ascii="Arial" w:eastAsia="Times New Roman" w:hAnsi="Arial" w:cs="Arial"/>
          <w:bCs/>
          <w:color w:val="000000"/>
          <w:lang w:bidi="en-US"/>
        </w:rPr>
        <w:t>) illustrating conjoined sub-stomatal cavities beneath clustered stomata. For (</w:t>
      </w:r>
      <w:r w:rsidRPr="006C37DC">
        <w:rPr>
          <w:rFonts w:ascii="Arial" w:eastAsia="Times New Roman" w:hAnsi="Arial" w:cs="Arial"/>
          <w:b/>
          <w:bCs/>
          <w:color w:val="000000"/>
          <w:lang w:bidi="en-US"/>
        </w:rPr>
        <w:t>k</w:t>
      </w:r>
      <w:r w:rsidRPr="006C37DC">
        <w:rPr>
          <w:rFonts w:ascii="Arial" w:eastAsia="Times New Roman" w:hAnsi="Arial" w:cs="Arial"/>
          <w:bCs/>
          <w:color w:val="000000"/>
          <w:lang w:bidi="en-US"/>
        </w:rPr>
        <w:t>) and (</w:t>
      </w:r>
      <w:r w:rsidRPr="006C37DC">
        <w:rPr>
          <w:rFonts w:ascii="Arial" w:eastAsia="Times New Roman" w:hAnsi="Arial" w:cs="Arial"/>
          <w:b/>
          <w:bCs/>
          <w:color w:val="000000"/>
          <w:lang w:bidi="en-US"/>
        </w:rPr>
        <w:t>l</w:t>
      </w:r>
      <w:r w:rsidRPr="006C37DC">
        <w:rPr>
          <w:rFonts w:ascii="Arial" w:eastAsia="Times New Roman" w:hAnsi="Arial" w:cs="Arial"/>
          <w:bCs/>
          <w:color w:val="000000"/>
          <w:lang w:bidi="en-US"/>
        </w:rPr>
        <w:t xml:space="preserve">) black arrows indicate stomata. Note quantification of the </w:t>
      </w:r>
      <w:r w:rsidRPr="006C37DC">
        <w:rPr>
          <w:rFonts w:ascii="Arial" w:eastAsia="Times New Roman" w:hAnsi="Arial" w:cs="Arial"/>
          <w:bCs/>
          <w:i/>
          <w:color w:val="000000"/>
          <w:lang w:bidi="en-US"/>
        </w:rPr>
        <w:t>ppepf1-4</w:t>
      </w:r>
      <w:r w:rsidRPr="006C37DC">
        <w:rPr>
          <w:rFonts w:ascii="Arial" w:eastAsia="Times New Roman" w:hAnsi="Arial" w:cs="Arial"/>
          <w:bCs/>
          <w:color w:val="000000"/>
          <w:lang w:bidi="en-US"/>
        </w:rPr>
        <w:t xml:space="preserve"> line illustrated a similar number of stomata to that observed in the three </w:t>
      </w:r>
      <w:r w:rsidRPr="006C37DC">
        <w:rPr>
          <w:rFonts w:ascii="Arial" w:eastAsia="Times New Roman" w:hAnsi="Arial" w:cs="Arial"/>
          <w:bCs/>
          <w:i/>
          <w:color w:val="000000"/>
          <w:lang w:bidi="en-US"/>
        </w:rPr>
        <w:t xml:space="preserve">ppepf1 </w:t>
      </w:r>
      <w:r w:rsidRPr="006C37DC">
        <w:rPr>
          <w:rFonts w:ascii="Arial" w:eastAsia="Times New Roman" w:hAnsi="Arial" w:cs="Arial"/>
          <w:bCs/>
          <w:color w:val="000000"/>
          <w:lang w:bidi="en-US"/>
        </w:rPr>
        <w:t>lines in (</w:t>
      </w:r>
      <w:r w:rsidRPr="006C37DC">
        <w:rPr>
          <w:rFonts w:ascii="Arial" w:eastAsia="Times New Roman" w:hAnsi="Arial" w:cs="Arial"/>
          <w:b/>
          <w:bCs/>
          <w:color w:val="000000"/>
          <w:lang w:bidi="en-US"/>
        </w:rPr>
        <w:t>g</w:t>
      </w:r>
      <w:r w:rsidRPr="006C37DC">
        <w:rPr>
          <w:rFonts w:ascii="Arial" w:eastAsia="Times New Roman" w:hAnsi="Arial" w:cs="Arial"/>
          <w:bCs/>
          <w:color w:val="000000"/>
          <w:lang w:bidi="en-US"/>
        </w:rPr>
        <w:t xml:space="preserve">) (data not shown). </w:t>
      </w:r>
      <w:r w:rsidRPr="006C37DC">
        <w:rPr>
          <w:rFonts w:ascii="Arial" w:eastAsia="Times New Roman" w:hAnsi="Arial" w:cs="Arial"/>
          <w:bCs/>
          <w:color w:val="000000"/>
        </w:rPr>
        <w:t xml:space="preserve">Scale bars are as follows: </w:t>
      </w:r>
      <w:r w:rsidRPr="006C37DC">
        <w:rPr>
          <w:rFonts w:ascii="Arial" w:eastAsia="Times New Roman" w:hAnsi="Arial" w:cs="Arial"/>
          <w:b/>
          <w:bCs/>
          <w:color w:val="000000"/>
        </w:rPr>
        <w:t xml:space="preserve">c-f, </w:t>
      </w:r>
      <w:r w:rsidRPr="006C37DC">
        <w:rPr>
          <w:rFonts w:ascii="Arial" w:eastAsia="Times New Roman" w:hAnsi="Arial" w:cs="Arial"/>
          <w:bCs/>
          <w:color w:val="000000"/>
        </w:rPr>
        <w:t xml:space="preserve">100µm, </w:t>
      </w:r>
      <w:r w:rsidRPr="006C37DC">
        <w:rPr>
          <w:rFonts w:ascii="Arial" w:eastAsia="Times New Roman" w:hAnsi="Arial" w:cs="Arial"/>
          <w:b/>
          <w:bCs/>
          <w:color w:val="000000"/>
        </w:rPr>
        <w:t xml:space="preserve">j-l, </w:t>
      </w:r>
      <w:r w:rsidRPr="006C37DC">
        <w:rPr>
          <w:rFonts w:ascii="Arial" w:eastAsia="Times New Roman" w:hAnsi="Arial" w:cs="Arial"/>
          <w:bCs/>
          <w:color w:val="000000"/>
        </w:rPr>
        <w:t xml:space="preserve">50µm. </w:t>
      </w:r>
      <w:r w:rsidRPr="006C37DC">
        <w:rPr>
          <w:rFonts w:ascii="Arial" w:eastAsia="Times New Roman" w:hAnsi="Arial" w:cs="Arial"/>
          <w:bCs/>
          <w:color w:val="000000"/>
          <w:lang w:bidi="en-US"/>
        </w:rPr>
        <w:t>Error bars = s.e.m.</w:t>
      </w:r>
    </w:p>
    <w:p w14:paraId="0563AFF5" w14:textId="6E704D5D" w:rsidR="006C37DC" w:rsidRPr="00476449"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Cs/>
          <w:color w:val="000000"/>
        </w:rPr>
        <w:t xml:space="preserve">When the sporophyte capsules of wild-type capsules were compared with those of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lines a striking phenotype was visible (</w:t>
      </w:r>
      <w:r w:rsidRPr="006C37DC">
        <w:rPr>
          <w:rFonts w:ascii="Arial" w:eastAsia="Times New Roman" w:hAnsi="Arial" w:cs="Arial"/>
          <w:b/>
          <w:bCs/>
          <w:color w:val="000000"/>
        </w:rPr>
        <w:t>Fig. 9c</w:t>
      </w:r>
      <w:r w:rsidRPr="006C37DC">
        <w:rPr>
          <w:rFonts w:ascii="Arial" w:eastAsia="Times New Roman" w:hAnsi="Arial" w:cs="Arial"/>
          <w:bCs/>
          <w:color w:val="000000"/>
        </w:rPr>
        <w:t>-</w:t>
      </w:r>
      <w:r w:rsidRPr="006C37DC">
        <w:rPr>
          <w:rFonts w:ascii="Arial" w:eastAsia="Times New Roman" w:hAnsi="Arial" w:cs="Arial"/>
          <w:b/>
          <w:bCs/>
          <w:color w:val="000000"/>
        </w:rPr>
        <w:t>f</w:t>
      </w:r>
      <w:r w:rsidRPr="006C37DC">
        <w:rPr>
          <w:rFonts w:ascii="Arial" w:eastAsia="Times New Roman" w:hAnsi="Arial" w:cs="Arial"/>
          <w:bCs/>
          <w:color w:val="000000"/>
        </w:rPr>
        <w:t xml:space="preserve">). In all six lines with interrupted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loci, a large increase in total number of stomata was present comparatively to the wild-type. Quantification of the stomatal number in the 3 lines assayed for sporophyte gene expression illustrated that </w:t>
      </w:r>
      <w:r w:rsidRPr="006C37DC">
        <w:rPr>
          <w:rFonts w:ascii="Arial" w:eastAsia="Times New Roman" w:hAnsi="Arial" w:cs="Arial"/>
          <w:bCs/>
          <w:i/>
          <w:color w:val="000000"/>
        </w:rPr>
        <w:t xml:space="preserve">ppefp1 </w:t>
      </w:r>
      <w:r w:rsidRPr="006C37DC">
        <w:rPr>
          <w:rFonts w:ascii="Arial" w:eastAsia="Times New Roman" w:hAnsi="Arial" w:cs="Arial"/>
          <w:bCs/>
          <w:color w:val="000000"/>
        </w:rPr>
        <w:t>mutant sporophyte capsules had significantly more stomata than the wild-type (</w:t>
      </w:r>
      <w:r w:rsidRPr="006C37DC">
        <w:rPr>
          <w:rFonts w:ascii="Arial" w:eastAsia="Times New Roman" w:hAnsi="Arial" w:cs="Arial"/>
          <w:b/>
          <w:bCs/>
          <w:color w:val="000000"/>
        </w:rPr>
        <w:t xml:space="preserve">Fig. 9g). </w:t>
      </w:r>
      <w:r w:rsidRPr="006C37DC">
        <w:rPr>
          <w:rFonts w:ascii="Arial" w:eastAsia="Times New Roman" w:hAnsi="Arial" w:cs="Arial"/>
          <w:bCs/>
          <w:color w:val="000000"/>
        </w:rPr>
        <w:t xml:space="preserve">The mutant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lines also had marked increases in the percentage of total stomata involved in clustering and overall number of clusters in comparison to wild-type (</w:t>
      </w:r>
      <w:r w:rsidRPr="006C37DC">
        <w:rPr>
          <w:rFonts w:ascii="Arial" w:eastAsia="Times New Roman" w:hAnsi="Arial" w:cs="Arial"/>
          <w:b/>
          <w:bCs/>
          <w:color w:val="000000"/>
        </w:rPr>
        <w:t>Fig. 9h</w:t>
      </w:r>
      <w:r w:rsidRPr="006C37DC">
        <w:rPr>
          <w:rFonts w:ascii="Arial" w:eastAsia="Times New Roman" w:hAnsi="Arial" w:cs="Arial"/>
          <w:bCs/>
          <w:color w:val="000000"/>
        </w:rPr>
        <w:t xml:space="preserve"> and </w:t>
      </w:r>
      <w:r w:rsidRPr="006C37DC">
        <w:rPr>
          <w:rFonts w:ascii="Arial" w:eastAsia="Times New Roman" w:hAnsi="Arial" w:cs="Arial"/>
          <w:b/>
          <w:bCs/>
          <w:color w:val="000000"/>
        </w:rPr>
        <w:t>i</w:t>
      </w:r>
      <w:r w:rsidRPr="006C37DC">
        <w:rPr>
          <w:rFonts w:ascii="Arial" w:eastAsia="Times New Roman" w:hAnsi="Arial" w:cs="Arial"/>
          <w:bCs/>
          <w:color w:val="000000"/>
        </w:rPr>
        <w:t xml:space="preserve">). Such was the clustering phenotype that it was not uncommon to find chains of seven or more stomata occurring in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lines (</w:t>
      </w:r>
      <w:r w:rsidRPr="006C37DC">
        <w:rPr>
          <w:rFonts w:ascii="Arial" w:eastAsia="Times New Roman" w:hAnsi="Arial" w:cs="Arial"/>
          <w:b/>
          <w:bCs/>
          <w:color w:val="000000"/>
        </w:rPr>
        <w:t>Fig. 9i</w:t>
      </w:r>
      <w:r w:rsidRPr="006C37DC">
        <w:rPr>
          <w:rFonts w:ascii="Arial" w:eastAsia="Times New Roman" w:hAnsi="Arial" w:cs="Arial"/>
          <w:bCs/>
          <w:color w:val="000000"/>
        </w:rPr>
        <w:t>). The increased stomatal formation at times lead to distorted areas where clusters had formed and the integrity of the epidermal layer appeared compromised (</w:t>
      </w:r>
      <w:r w:rsidRPr="006C37DC">
        <w:rPr>
          <w:rFonts w:ascii="Arial" w:eastAsia="Times New Roman" w:hAnsi="Arial" w:cs="Arial"/>
          <w:b/>
          <w:bCs/>
          <w:color w:val="000000"/>
        </w:rPr>
        <w:t>Fig. 9j</w:t>
      </w:r>
      <w:r w:rsidRPr="006C37DC">
        <w:rPr>
          <w:rFonts w:ascii="Arial" w:eastAsia="Times New Roman" w:hAnsi="Arial" w:cs="Arial"/>
          <w:bCs/>
          <w:color w:val="000000"/>
        </w:rPr>
        <w:t xml:space="preserve">). Inspection of the sub-stomatal cavity regions of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lines suggested that cavities formed under the additional stomata but that </w:t>
      </w:r>
      <w:r w:rsidRPr="006C37DC">
        <w:rPr>
          <w:rFonts w:ascii="Arial" w:eastAsia="Times New Roman" w:hAnsi="Arial" w:cs="Arial"/>
          <w:bCs/>
          <w:color w:val="000000"/>
        </w:rPr>
        <w:lastRenderedPageBreak/>
        <w:t xml:space="preserve">compartmentalisation of cavities between adjacent stomata of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lines was not occurring (</w:t>
      </w:r>
      <w:r w:rsidRPr="006C37DC">
        <w:rPr>
          <w:rFonts w:ascii="Arial" w:eastAsia="Times New Roman" w:hAnsi="Arial" w:cs="Arial"/>
          <w:b/>
          <w:bCs/>
          <w:color w:val="000000"/>
        </w:rPr>
        <w:t>Fig. 9k</w:t>
      </w:r>
      <w:r w:rsidRPr="006C37DC">
        <w:rPr>
          <w:rFonts w:ascii="Arial" w:eastAsia="Times New Roman" w:hAnsi="Arial" w:cs="Arial"/>
          <w:bCs/>
          <w:color w:val="000000"/>
        </w:rPr>
        <w:t>-</w:t>
      </w:r>
      <w:r w:rsidRPr="006C37DC">
        <w:rPr>
          <w:rFonts w:ascii="Arial" w:eastAsia="Times New Roman" w:hAnsi="Arial" w:cs="Arial"/>
          <w:b/>
          <w:bCs/>
          <w:color w:val="000000"/>
        </w:rPr>
        <w:t>l</w:t>
      </w:r>
      <w:r w:rsidRPr="006C37DC">
        <w:rPr>
          <w:rFonts w:ascii="Arial" w:eastAsia="Times New Roman" w:hAnsi="Arial" w:cs="Arial"/>
          <w:bCs/>
          <w:color w:val="000000"/>
        </w:rPr>
        <w:t xml:space="preserve">) which might partly explain the lapses in capsule integrity highlighted in </w:t>
      </w:r>
      <w:r w:rsidRPr="006C37DC">
        <w:rPr>
          <w:rFonts w:ascii="Arial" w:eastAsia="Times New Roman" w:hAnsi="Arial" w:cs="Arial"/>
          <w:b/>
          <w:bCs/>
          <w:color w:val="000000"/>
        </w:rPr>
        <w:t>Fig. 9j.</w:t>
      </w:r>
    </w:p>
    <w:p w14:paraId="5C62039F" w14:textId="77777777" w:rsidR="006C37DC" w:rsidRPr="006C37DC" w:rsidRDefault="006C37DC" w:rsidP="006C37DC">
      <w:pPr>
        <w:spacing w:after="160" w:line="360" w:lineRule="auto"/>
        <w:rPr>
          <w:rFonts w:ascii="Arial" w:eastAsia="Times New Roman" w:hAnsi="Arial" w:cs="Arial"/>
          <w:bCs/>
          <w:color w:val="000000"/>
          <w:u w:val="single"/>
        </w:rPr>
      </w:pPr>
      <w:r w:rsidRPr="006C37DC">
        <w:rPr>
          <w:rFonts w:ascii="Arial" w:eastAsia="Times New Roman" w:hAnsi="Arial" w:cs="Arial"/>
          <w:bCs/>
          <w:color w:val="000000"/>
          <w:u w:val="single"/>
        </w:rPr>
        <w:t xml:space="preserve">4.2.5 Overexpression of the </w:t>
      </w:r>
      <w:r w:rsidRPr="006C37DC">
        <w:rPr>
          <w:rFonts w:ascii="Arial" w:eastAsia="Times New Roman" w:hAnsi="Arial" w:cs="Arial"/>
          <w:bCs/>
          <w:i/>
          <w:color w:val="000000"/>
          <w:u w:val="single"/>
        </w:rPr>
        <w:t>PpEPF1</w:t>
      </w:r>
      <w:r w:rsidRPr="006C37DC">
        <w:rPr>
          <w:rFonts w:ascii="Arial" w:eastAsia="Times New Roman" w:hAnsi="Arial" w:cs="Arial"/>
          <w:bCs/>
          <w:color w:val="000000"/>
          <w:u w:val="single"/>
        </w:rPr>
        <w:t xml:space="preserve"> coding sequence reduces stomatal number</w:t>
      </w:r>
    </w:p>
    <w:p w14:paraId="3731DEC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Having established that ordinarily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functions to negatively regulate stomatal development it was next tested to see whether over-expressing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would have the opposite effect to the observed knock-out phenotype. To accomplish this, the coding sequence of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was fused to the constitutively active rice actin promoter, which was then cloned between two sequences that enabled targeting to the neutral ʎ108 locus in the </w:t>
      </w:r>
      <w:r w:rsidRPr="006C37DC">
        <w:rPr>
          <w:rFonts w:ascii="Arial" w:eastAsia="Times New Roman" w:hAnsi="Arial" w:cs="Arial"/>
          <w:bCs/>
          <w:i/>
          <w:color w:val="000000"/>
        </w:rPr>
        <w:t xml:space="preserve">P. patens </w:t>
      </w:r>
      <w:r w:rsidRPr="006C37DC">
        <w:rPr>
          <w:rFonts w:ascii="Arial" w:eastAsia="Times New Roman" w:hAnsi="Arial" w:cs="Arial"/>
          <w:bCs/>
          <w:color w:val="000000"/>
        </w:rPr>
        <w:t xml:space="preserve">genome via homologous recombination </w:t>
      </w:r>
      <w:r w:rsidRPr="006C37DC">
        <w:rPr>
          <w:rFonts w:ascii="Arial" w:eastAsia="Times New Roman" w:hAnsi="Arial" w:cs="Arial"/>
          <w:bCs/>
          <w:color w:val="000000"/>
        </w:rPr>
        <w:fldChar w:fldCharType="begin">
          <w:fldData xml:space="preserve">PEVuZE5vdGU+PENpdGU+PEF1dGhvcj5XYWxsYWNlPC9BdXRob3I+PFllYXI+MjAxNTwvWWVhcj48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PEVuZE5vdGU+PENpdGU+PEF1dGhvcj5XYWxsYWNlPC9BdXRob3I+PFllYXI+MjAxNTwvWWVhcj48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(Kamisugi et al., 2006; Wallace et al., 2015)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From transformants that had been grown on selection, three independent lines of </w:t>
      </w:r>
      <w:r w:rsidRPr="006C37DC">
        <w:rPr>
          <w:rFonts w:ascii="Arial" w:eastAsia="Times New Roman" w:hAnsi="Arial" w:cs="Arial"/>
          <w:bCs/>
          <w:i/>
          <w:color w:val="000000"/>
        </w:rPr>
        <w:t xml:space="preserve">PpEPF1OE </w:t>
      </w:r>
      <w:r w:rsidRPr="006C37DC">
        <w:rPr>
          <w:rFonts w:ascii="Arial" w:eastAsia="Times New Roman" w:hAnsi="Arial" w:cs="Arial"/>
          <w:bCs/>
          <w:color w:val="000000"/>
        </w:rPr>
        <w:t>were isolated via PCR targeting of 5’ and ‘3 transgene integration at the targeted 5’ and 3’ genomic regions of the ʎ108 locus (</w:t>
      </w:r>
      <w:r w:rsidRPr="006C37DC">
        <w:rPr>
          <w:rFonts w:ascii="Arial" w:eastAsia="Times New Roman" w:hAnsi="Arial" w:cs="Arial"/>
          <w:b/>
          <w:bCs/>
          <w:color w:val="000000"/>
        </w:rPr>
        <w:t>Fig. 8)</w:t>
      </w:r>
      <w:r w:rsidRPr="006C37DC">
        <w:rPr>
          <w:rFonts w:ascii="Arial" w:eastAsia="Times New Roman" w:hAnsi="Arial" w:cs="Arial"/>
          <w:bCs/>
          <w:color w:val="000000"/>
        </w:rPr>
        <w:t xml:space="preserve">. To verify over-expression of the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coding sequence RT-PCR was performed on both protonemal and gametophyte-sporophyte mix </w:t>
      </w:r>
      <w:r w:rsidRPr="006C37DC">
        <w:rPr>
          <w:rFonts w:ascii="Arial" w:eastAsia="Times New Roman" w:hAnsi="Arial" w:cs="Arial"/>
          <w:bCs/>
          <w:i/>
          <w:color w:val="000000"/>
        </w:rPr>
        <w:t xml:space="preserve">PpEPF1OE </w:t>
      </w:r>
      <w:r w:rsidRPr="006C37DC">
        <w:rPr>
          <w:rFonts w:ascii="Arial" w:eastAsia="Times New Roman" w:hAnsi="Arial" w:cs="Arial"/>
          <w:bCs/>
          <w:color w:val="000000"/>
        </w:rPr>
        <w:t>samples and the wild-type. In both protonemal tissue and the displayed gametophyte-sporophyte mix tissue samples (</w:t>
      </w:r>
      <w:r w:rsidRPr="006C37DC">
        <w:rPr>
          <w:rFonts w:ascii="Arial" w:eastAsia="Times New Roman" w:hAnsi="Arial" w:cs="Arial"/>
          <w:b/>
          <w:bCs/>
          <w:color w:val="000000"/>
        </w:rPr>
        <w:t>Fig. 10a</w:t>
      </w:r>
      <w:r w:rsidRPr="006C37DC">
        <w:rPr>
          <w:rFonts w:ascii="Arial" w:eastAsia="Times New Roman" w:hAnsi="Arial" w:cs="Arial"/>
          <w:bCs/>
          <w:color w:val="000000"/>
        </w:rPr>
        <w:t>-</w:t>
      </w:r>
      <w:r w:rsidRPr="006C37DC">
        <w:rPr>
          <w:rFonts w:ascii="Arial" w:eastAsia="Times New Roman" w:hAnsi="Arial" w:cs="Arial"/>
          <w:b/>
          <w:bCs/>
          <w:color w:val="000000"/>
        </w:rPr>
        <w:t>b</w:t>
      </w:r>
      <w:r w:rsidRPr="006C37DC">
        <w:rPr>
          <w:rFonts w:ascii="Arial" w:eastAsia="Times New Roman" w:hAnsi="Arial" w:cs="Arial"/>
          <w:bCs/>
          <w:color w:val="000000"/>
        </w:rPr>
        <w:t xml:space="preserve">), there was noticeably more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product in </w:t>
      </w:r>
      <w:r w:rsidRPr="006C37DC">
        <w:rPr>
          <w:rFonts w:ascii="Arial" w:eastAsia="Times New Roman" w:hAnsi="Arial" w:cs="Arial"/>
          <w:bCs/>
          <w:i/>
          <w:color w:val="000000"/>
        </w:rPr>
        <w:t xml:space="preserve">PpEPF1OE </w:t>
      </w:r>
      <w:r w:rsidRPr="006C37DC">
        <w:rPr>
          <w:rFonts w:ascii="Arial" w:eastAsia="Times New Roman" w:hAnsi="Arial" w:cs="Arial"/>
          <w:bCs/>
          <w:color w:val="000000"/>
        </w:rPr>
        <w:t xml:space="preserve">mutant samples than in the wild-type equivalents. </w:t>
      </w:r>
    </w:p>
    <w:p w14:paraId="0F3B4C7C" w14:textId="77777777"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Cs/>
          <w:color w:val="000000"/>
        </w:rPr>
        <w:t xml:space="preserve">The phenotypes displayed by sporophyte capsules of </w:t>
      </w:r>
      <w:r w:rsidRPr="006C37DC">
        <w:rPr>
          <w:rFonts w:ascii="Arial" w:eastAsia="Times New Roman" w:hAnsi="Arial" w:cs="Arial"/>
          <w:bCs/>
          <w:i/>
          <w:color w:val="000000"/>
        </w:rPr>
        <w:t xml:space="preserve">PpEPF1OE </w:t>
      </w:r>
      <w:r w:rsidRPr="006C37DC">
        <w:rPr>
          <w:rFonts w:ascii="Arial" w:eastAsia="Times New Roman" w:hAnsi="Arial" w:cs="Arial"/>
          <w:bCs/>
          <w:color w:val="000000"/>
        </w:rPr>
        <w:t xml:space="preserve">lines were distinctly different from the wild-type and had essentially the opposite phenotype to that of the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lines in </w:t>
      </w:r>
      <w:r w:rsidRPr="006C37DC">
        <w:rPr>
          <w:rFonts w:ascii="Arial" w:eastAsia="Times New Roman" w:hAnsi="Arial" w:cs="Arial"/>
          <w:b/>
          <w:bCs/>
          <w:color w:val="000000"/>
        </w:rPr>
        <w:t>Fig. 9</w:t>
      </w:r>
      <w:r w:rsidRPr="006C37DC">
        <w:rPr>
          <w:rFonts w:ascii="Arial" w:eastAsia="Times New Roman" w:hAnsi="Arial" w:cs="Arial"/>
          <w:bCs/>
          <w:color w:val="000000"/>
        </w:rPr>
        <w:t xml:space="preserve">. Over-expression of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lead to the loss of the characteristic ring of stomata that ordinarily encircle the central seta region, instead, a reduced number of sporadically placed stomata were observed (</w:t>
      </w:r>
      <w:r w:rsidRPr="006C37DC">
        <w:rPr>
          <w:rFonts w:ascii="Arial" w:eastAsia="Times New Roman" w:hAnsi="Arial" w:cs="Arial"/>
          <w:b/>
          <w:bCs/>
          <w:color w:val="000000"/>
        </w:rPr>
        <w:t>Fig. 10c</w:t>
      </w:r>
      <w:r w:rsidRPr="006C37DC">
        <w:rPr>
          <w:rFonts w:ascii="Arial" w:eastAsia="Times New Roman" w:hAnsi="Arial" w:cs="Arial"/>
          <w:bCs/>
          <w:color w:val="000000"/>
        </w:rPr>
        <w:t>-</w:t>
      </w:r>
      <w:r w:rsidRPr="006C37DC">
        <w:rPr>
          <w:rFonts w:ascii="Arial" w:eastAsia="Times New Roman" w:hAnsi="Arial" w:cs="Arial"/>
          <w:b/>
          <w:bCs/>
          <w:color w:val="000000"/>
        </w:rPr>
        <w:t>d</w:t>
      </w:r>
      <w:r w:rsidRPr="006C37DC">
        <w:rPr>
          <w:rFonts w:ascii="Arial" w:eastAsia="Times New Roman" w:hAnsi="Arial" w:cs="Arial"/>
          <w:bCs/>
          <w:color w:val="000000"/>
        </w:rPr>
        <w:t xml:space="preserve">). In extreme instances, capsules formed with no stomata at all, akin to </w:t>
      </w:r>
      <w:r w:rsidRPr="006C37DC">
        <w:rPr>
          <w:rFonts w:ascii="Arial" w:eastAsia="Times New Roman" w:hAnsi="Arial" w:cs="Arial"/>
          <w:bCs/>
          <w:i/>
          <w:color w:val="000000"/>
        </w:rPr>
        <w:t xml:space="preserve">ppsmf1 </w:t>
      </w:r>
      <w:r w:rsidRPr="006C37DC">
        <w:rPr>
          <w:rFonts w:ascii="Arial" w:eastAsia="Times New Roman" w:hAnsi="Arial" w:cs="Arial"/>
          <w:bCs/>
          <w:color w:val="000000"/>
        </w:rPr>
        <w:t xml:space="preserve">and </w:t>
      </w:r>
      <w:r w:rsidRPr="006C37DC">
        <w:rPr>
          <w:rFonts w:ascii="Arial" w:eastAsia="Times New Roman" w:hAnsi="Arial" w:cs="Arial"/>
          <w:bCs/>
          <w:i/>
          <w:color w:val="000000"/>
        </w:rPr>
        <w:t>ppscrm1</w:t>
      </w:r>
      <w:r w:rsidRPr="006C37DC">
        <w:rPr>
          <w:rFonts w:ascii="Arial" w:eastAsia="Times New Roman" w:hAnsi="Arial" w:cs="Arial"/>
          <w:bCs/>
          <w:color w:val="000000"/>
        </w:rPr>
        <w:t xml:space="preserve"> mutant capsules (see fig. 11 and fig. 13 in chapter 3, </w:t>
      </w:r>
      <w:r w:rsidRPr="006C37DC">
        <w:rPr>
          <w:rFonts w:ascii="Arial" w:eastAsia="Times New Roman" w:hAnsi="Arial" w:cs="Arial"/>
          <w:b/>
          <w:bCs/>
          <w:color w:val="000000"/>
        </w:rPr>
        <w:t>Fig. 10e</w:t>
      </w:r>
      <w:r w:rsidRPr="006C37DC">
        <w:rPr>
          <w:rFonts w:ascii="Arial" w:eastAsia="Times New Roman" w:hAnsi="Arial" w:cs="Arial"/>
          <w:bCs/>
          <w:color w:val="000000"/>
        </w:rPr>
        <w:t>).</w:t>
      </w:r>
      <w:r w:rsidRPr="006C37DC">
        <w:rPr>
          <w:rFonts w:ascii="Arial" w:eastAsia="Times New Roman" w:hAnsi="Arial" w:cs="Arial"/>
          <w:b/>
          <w:bCs/>
          <w:color w:val="000000"/>
        </w:rPr>
        <w:t xml:space="preserve"> </w:t>
      </w:r>
      <w:r w:rsidRPr="006C37DC">
        <w:rPr>
          <w:rFonts w:ascii="Arial" w:eastAsia="Times New Roman" w:hAnsi="Arial" w:cs="Arial"/>
          <w:bCs/>
          <w:color w:val="000000"/>
        </w:rPr>
        <w:t xml:space="preserve">Upon closer inspection of the epidermis of </w:t>
      </w:r>
      <w:r w:rsidRPr="006C37DC">
        <w:rPr>
          <w:rFonts w:ascii="Arial" w:eastAsia="Times New Roman" w:hAnsi="Arial" w:cs="Arial"/>
          <w:bCs/>
          <w:i/>
          <w:color w:val="000000"/>
        </w:rPr>
        <w:t xml:space="preserve">PpEPF1OE </w:t>
      </w:r>
      <w:r w:rsidRPr="006C37DC">
        <w:rPr>
          <w:rFonts w:ascii="Arial" w:eastAsia="Times New Roman" w:hAnsi="Arial" w:cs="Arial"/>
          <w:bCs/>
          <w:color w:val="000000"/>
        </w:rPr>
        <w:t>sporophyte capsules, what appeared to be aborted stomatal lineage cells and round cells which might have been stomatal pre-cursor cells were present (</w:t>
      </w:r>
      <w:r w:rsidRPr="006C37DC">
        <w:rPr>
          <w:rFonts w:ascii="Arial" w:eastAsia="Times New Roman" w:hAnsi="Arial" w:cs="Arial"/>
          <w:b/>
          <w:bCs/>
          <w:color w:val="000000"/>
        </w:rPr>
        <w:t>Fig. 10f</w:t>
      </w:r>
      <w:r w:rsidRPr="006C37DC">
        <w:rPr>
          <w:rFonts w:ascii="Arial" w:eastAsia="Times New Roman" w:hAnsi="Arial" w:cs="Arial"/>
          <w:bCs/>
          <w:color w:val="000000"/>
        </w:rPr>
        <w:t>-</w:t>
      </w:r>
      <w:r w:rsidRPr="006C37DC">
        <w:rPr>
          <w:rFonts w:ascii="Arial" w:eastAsia="Times New Roman" w:hAnsi="Arial" w:cs="Arial"/>
          <w:b/>
          <w:bCs/>
          <w:color w:val="000000"/>
        </w:rPr>
        <w:t>h</w:t>
      </w:r>
      <w:r w:rsidRPr="006C37DC">
        <w:rPr>
          <w:rFonts w:ascii="Arial" w:eastAsia="Times New Roman" w:hAnsi="Arial" w:cs="Arial"/>
          <w:bCs/>
          <w:color w:val="000000"/>
        </w:rPr>
        <w:t xml:space="preserve">). Additionally, other conformations of epidermal cells were present that were again not dissimilar to cellular arrangements that were seen in </w:t>
      </w:r>
      <w:r w:rsidRPr="006C37DC">
        <w:rPr>
          <w:rFonts w:ascii="Arial" w:eastAsia="Times New Roman" w:hAnsi="Arial" w:cs="Arial"/>
          <w:bCs/>
          <w:i/>
          <w:color w:val="000000"/>
        </w:rPr>
        <w:t xml:space="preserve">ppsmf1 </w:t>
      </w:r>
      <w:r w:rsidRPr="006C37DC">
        <w:rPr>
          <w:rFonts w:ascii="Arial" w:eastAsia="Times New Roman" w:hAnsi="Arial" w:cs="Arial"/>
          <w:bCs/>
          <w:color w:val="000000"/>
        </w:rPr>
        <w:t xml:space="preserve">and </w:t>
      </w:r>
      <w:r w:rsidRPr="006C37DC">
        <w:rPr>
          <w:rFonts w:ascii="Arial" w:eastAsia="Times New Roman" w:hAnsi="Arial" w:cs="Arial"/>
          <w:bCs/>
          <w:i/>
          <w:color w:val="000000"/>
        </w:rPr>
        <w:t xml:space="preserve">ppscrm1 </w:t>
      </w:r>
      <w:r w:rsidRPr="006C37DC">
        <w:rPr>
          <w:rFonts w:ascii="Arial" w:eastAsia="Times New Roman" w:hAnsi="Arial" w:cs="Arial"/>
          <w:bCs/>
          <w:color w:val="000000"/>
        </w:rPr>
        <w:t xml:space="preserve">lines (see fig. 11 and fig. 13 in chapter 3, </w:t>
      </w:r>
      <w:r w:rsidRPr="006C37DC">
        <w:rPr>
          <w:rFonts w:ascii="Arial" w:eastAsia="Times New Roman" w:hAnsi="Arial" w:cs="Arial"/>
          <w:b/>
          <w:bCs/>
          <w:color w:val="000000"/>
        </w:rPr>
        <w:t>Fig. 10i</w:t>
      </w:r>
      <w:r w:rsidRPr="006C37DC">
        <w:rPr>
          <w:rFonts w:ascii="Arial" w:eastAsia="Times New Roman" w:hAnsi="Arial" w:cs="Arial"/>
          <w:bCs/>
          <w:color w:val="000000"/>
        </w:rPr>
        <w:t>-</w:t>
      </w:r>
      <w:r w:rsidRPr="006C37DC">
        <w:rPr>
          <w:rFonts w:ascii="Arial" w:eastAsia="Times New Roman" w:hAnsi="Arial" w:cs="Arial"/>
          <w:b/>
          <w:bCs/>
          <w:color w:val="000000"/>
        </w:rPr>
        <w:t>k</w:t>
      </w:r>
      <w:r w:rsidRPr="006C37DC">
        <w:rPr>
          <w:rFonts w:ascii="Arial" w:eastAsia="Times New Roman" w:hAnsi="Arial" w:cs="Arial"/>
          <w:bCs/>
          <w:color w:val="000000"/>
        </w:rPr>
        <w:t>). These included files of cells which with no irregularly dividing cells (</w:t>
      </w:r>
      <w:r w:rsidRPr="006C37DC">
        <w:rPr>
          <w:rFonts w:ascii="Arial" w:eastAsia="Times New Roman" w:hAnsi="Arial" w:cs="Arial"/>
          <w:b/>
          <w:bCs/>
          <w:color w:val="000000"/>
        </w:rPr>
        <w:t>Fig. 10i</w:t>
      </w:r>
      <w:r w:rsidRPr="006C37DC">
        <w:rPr>
          <w:rFonts w:ascii="Arial" w:eastAsia="Times New Roman" w:hAnsi="Arial" w:cs="Arial"/>
          <w:bCs/>
          <w:color w:val="000000"/>
        </w:rPr>
        <w:t>), smaller cells placed next to larger cells that appear to have arisen from one pre-cursor cell (</w:t>
      </w:r>
      <w:r w:rsidRPr="006C37DC">
        <w:rPr>
          <w:rFonts w:ascii="Arial" w:eastAsia="Times New Roman" w:hAnsi="Arial" w:cs="Arial"/>
          <w:b/>
          <w:bCs/>
          <w:color w:val="000000"/>
        </w:rPr>
        <w:t>Fig. 10j</w:t>
      </w:r>
      <w:r w:rsidRPr="006C37DC">
        <w:rPr>
          <w:rFonts w:ascii="Arial" w:eastAsia="Times New Roman" w:hAnsi="Arial" w:cs="Arial"/>
          <w:bCs/>
          <w:color w:val="000000"/>
        </w:rPr>
        <w:t>) and groups of epidermal cells where a central cell was surrounded by a 6-9 neighbouring epidermal cells (</w:t>
      </w:r>
      <w:r w:rsidRPr="006C37DC">
        <w:rPr>
          <w:rFonts w:ascii="Arial" w:eastAsia="Times New Roman" w:hAnsi="Arial" w:cs="Arial"/>
          <w:b/>
          <w:bCs/>
          <w:color w:val="000000"/>
        </w:rPr>
        <w:t>Fig. 10j</w:t>
      </w:r>
      <w:r w:rsidRPr="006C37DC">
        <w:rPr>
          <w:rFonts w:ascii="Arial" w:eastAsia="Times New Roman" w:hAnsi="Arial" w:cs="Arial"/>
          <w:bCs/>
          <w:color w:val="000000"/>
        </w:rPr>
        <w:t xml:space="preserve">). Quantification of the stomatal number in the 3 mutant lines showed that </w:t>
      </w:r>
      <w:r w:rsidRPr="006C37DC">
        <w:rPr>
          <w:rFonts w:ascii="Arial" w:eastAsia="Times New Roman" w:hAnsi="Arial" w:cs="Arial"/>
          <w:bCs/>
          <w:i/>
          <w:color w:val="000000"/>
        </w:rPr>
        <w:t xml:space="preserve">PpEPF1OE </w:t>
      </w:r>
      <w:r w:rsidRPr="006C37DC">
        <w:rPr>
          <w:rFonts w:ascii="Arial" w:eastAsia="Times New Roman" w:hAnsi="Arial" w:cs="Arial"/>
          <w:bCs/>
          <w:color w:val="000000"/>
        </w:rPr>
        <w:t>sporophyte capsules had significantly fewer stomata than the wild-type (</w:t>
      </w:r>
      <w:r w:rsidRPr="006C37DC">
        <w:rPr>
          <w:rFonts w:ascii="Arial" w:eastAsia="Times New Roman" w:hAnsi="Arial" w:cs="Arial"/>
          <w:b/>
          <w:bCs/>
          <w:color w:val="000000"/>
        </w:rPr>
        <w:t xml:space="preserve">Fig. 10j). </w:t>
      </w:r>
    </w:p>
    <w:p w14:paraId="70F1F7A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noProof/>
          <w:color w:val="000000"/>
          <w:lang w:eastAsia="ja-JP"/>
        </w:rPr>
        <w:lastRenderedPageBreak/>
        <w:drawing>
          <wp:inline distT="0" distB="0" distL="0" distR="0" wp14:anchorId="2D505799" wp14:editId="7E3D5A40">
            <wp:extent cx="5205730" cy="58515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pf1oeupdatemod.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05730" cy="5851525"/>
                    </a:xfrm>
                    <a:prstGeom prst="rect">
                      <a:avLst/>
                    </a:prstGeom>
                  </pic:spPr>
                </pic:pic>
              </a:graphicData>
            </a:graphic>
          </wp:inline>
        </w:drawing>
      </w:r>
    </w:p>
    <w:p w14:paraId="0DB5B960" w14:textId="6955369A" w:rsidR="006C37DC" w:rsidRPr="006C37DC"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
          <w:bCs/>
          <w:color w:val="000000"/>
        </w:rPr>
        <w:t xml:space="preserve">Figure 10. Over-expression of </w:t>
      </w:r>
      <w:r w:rsidRPr="006C37DC">
        <w:rPr>
          <w:rFonts w:ascii="Arial" w:eastAsia="Times New Roman" w:hAnsi="Arial" w:cs="Arial"/>
          <w:b/>
          <w:bCs/>
          <w:i/>
          <w:color w:val="000000"/>
        </w:rPr>
        <w:t>PpEPF1</w:t>
      </w:r>
      <w:r w:rsidRPr="006C37DC">
        <w:rPr>
          <w:rFonts w:ascii="Arial" w:eastAsia="Times New Roman" w:hAnsi="Arial" w:cs="Arial"/>
          <w:b/>
          <w:bCs/>
          <w:color w:val="000000"/>
        </w:rPr>
        <w:t xml:space="preserve"> leads to an inhibition of stomatal development in </w:t>
      </w:r>
      <w:r w:rsidRPr="006C37DC">
        <w:rPr>
          <w:rFonts w:ascii="Arial" w:eastAsia="Times New Roman" w:hAnsi="Arial" w:cs="Arial"/>
          <w:b/>
          <w:bCs/>
          <w:i/>
          <w:color w:val="000000"/>
        </w:rPr>
        <w:t>P. patens</w:t>
      </w:r>
      <w:r w:rsidRPr="006C37DC">
        <w:rPr>
          <w:rFonts w:ascii="Arial" w:eastAsia="Times New Roman" w:hAnsi="Arial" w:cs="Arial"/>
          <w:b/>
          <w:bCs/>
          <w:color w:val="000000"/>
        </w:rPr>
        <w:t>.</w:t>
      </w:r>
      <w:r w:rsidRPr="006C37DC">
        <w:rPr>
          <w:rFonts w:ascii="Arial" w:eastAsia="Times New Roman" w:hAnsi="Arial" w:cs="Arial"/>
          <w:b/>
          <w:bCs/>
          <w:i/>
          <w:color w:val="000000"/>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xml:space="preserve">) RT-PCR gel image illustrating increased expression of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in gametophyte-sporophyte mix tissue samples in three independent </w:t>
      </w:r>
      <w:r w:rsidRPr="006C37DC">
        <w:rPr>
          <w:rFonts w:ascii="Arial" w:eastAsia="Times New Roman" w:hAnsi="Arial" w:cs="Arial"/>
          <w:bCs/>
          <w:i/>
          <w:color w:val="000000"/>
        </w:rPr>
        <w:t xml:space="preserve">PpEPF1OE </w:t>
      </w:r>
      <w:r w:rsidRPr="006C37DC">
        <w:rPr>
          <w:rFonts w:ascii="Arial" w:eastAsia="Times New Roman" w:hAnsi="Arial" w:cs="Arial"/>
          <w:bCs/>
          <w:color w:val="000000"/>
        </w:rPr>
        <w:t>lines comparatively to the wild-type.</w:t>
      </w:r>
      <w:r w:rsidRPr="006C37DC">
        <w:rPr>
          <w:rFonts w:ascii="Arial" w:eastAsia="Times New Roman" w:hAnsi="Arial" w:cs="Arial"/>
          <w:b/>
          <w:bCs/>
          <w:color w:val="000000"/>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b</w:t>
      </w:r>
      <w:r w:rsidRPr="006C37DC">
        <w:rPr>
          <w:rFonts w:ascii="Arial" w:eastAsia="Times New Roman" w:hAnsi="Arial" w:cs="Arial"/>
          <w:bCs/>
          <w:color w:val="000000"/>
        </w:rPr>
        <w:t>) Rubisco small sub-unit controls (RbcS) for corresponding samples in (</w:t>
      </w:r>
      <w:r w:rsidRPr="006C37DC">
        <w:rPr>
          <w:rFonts w:ascii="Arial" w:eastAsia="Times New Roman" w:hAnsi="Arial" w:cs="Arial"/>
          <w:b/>
          <w:bCs/>
          <w:color w:val="000000"/>
        </w:rPr>
        <w:t>a</w:t>
      </w:r>
      <w:r w:rsidRPr="006C37DC">
        <w:rPr>
          <w:rFonts w:ascii="Arial" w:eastAsia="Times New Roman" w:hAnsi="Arial" w:cs="Arial"/>
          <w:bCs/>
          <w:color w:val="000000"/>
        </w:rPr>
        <w:t>). Wild-type samples are marked WT, water controls are marked W. Note a similar result was also obtained when cDNA derived from protonemal samples was assayed. (</w:t>
      </w:r>
      <w:r w:rsidRPr="006C37DC">
        <w:rPr>
          <w:rFonts w:ascii="Arial" w:eastAsia="Times New Roman" w:hAnsi="Arial" w:cs="Arial"/>
          <w:b/>
          <w:bCs/>
          <w:color w:val="000000"/>
        </w:rPr>
        <w:t>c</w:t>
      </w:r>
      <w:r w:rsidRPr="006C37DC">
        <w:rPr>
          <w:rFonts w:ascii="Arial" w:eastAsia="Times New Roman" w:hAnsi="Arial" w:cs="Arial"/>
          <w:bCs/>
          <w:color w:val="000000"/>
        </w:rPr>
        <w:t>) Stacked fluorescence image of a fully expanded fresh green-to-yellow wild-type sporophyte capsule with evenly spaced stomata. (</w:t>
      </w:r>
      <w:r w:rsidRPr="006C37DC">
        <w:rPr>
          <w:rFonts w:ascii="Arial" w:eastAsia="Times New Roman" w:hAnsi="Arial" w:cs="Arial"/>
          <w:b/>
          <w:bCs/>
          <w:color w:val="000000"/>
        </w:rPr>
        <w:t>d</w:t>
      </w:r>
      <w:r w:rsidRPr="006C37DC">
        <w:rPr>
          <w:rFonts w:ascii="Arial" w:eastAsia="Times New Roman" w:hAnsi="Arial" w:cs="Arial"/>
          <w:bCs/>
          <w:color w:val="000000"/>
        </w:rPr>
        <w:t xml:space="preserve">) Equivalent </w:t>
      </w:r>
      <w:r w:rsidRPr="006C37DC">
        <w:rPr>
          <w:rFonts w:ascii="Arial" w:eastAsia="Times New Roman" w:hAnsi="Arial" w:cs="Arial"/>
          <w:bCs/>
          <w:i/>
          <w:color w:val="000000"/>
        </w:rPr>
        <w:t xml:space="preserve">PpEPF1OE-3 </w:t>
      </w:r>
      <w:r w:rsidRPr="006C37DC">
        <w:rPr>
          <w:rFonts w:ascii="Arial" w:eastAsia="Times New Roman" w:hAnsi="Arial" w:cs="Arial"/>
          <w:bCs/>
          <w:color w:val="000000"/>
        </w:rPr>
        <w:t>sporophyte capsule to (</w:t>
      </w:r>
      <w:r w:rsidRPr="006C37DC">
        <w:rPr>
          <w:rFonts w:ascii="Arial" w:eastAsia="Times New Roman" w:hAnsi="Arial" w:cs="Arial"/>
          <w:b/>
          <w:bCs/>
          <w:color w:val="000000"/>
        </w:rPr>
        <w:t>c</w:t>
      </w:r>
      <w:r w:rsidRPr="006C37DC">
        <w:rPr>
          <w:rFonts w:ascii="Arial" w:eastAsia="Times New Roman" w:hAnsi="Arial" w:cs="Arial"/>
          <w:bCs/>
          <w:color w:val="000000"/>
        </w:rPr>
        <w:t>) with few stomata present. Note, stomata are fluorescing a white to yellow colour and are encircling the darkened central seta-joining region in the wild-type (</w:t>
      </w:r>
      <w:r w:rsidRPr="006C37DC">
        <w:rPr>
          <w:rFonts w:ascii="Arial" w:eastAsia="Times New Roman" w:hAnsi="Arial" w:cs="Arial"/>
          <w:b/>
          <w:bCs/>
          <w:color w:val="000000"/>
        </w:rPr>
        <w:t>c</w:t>
      </w:r>
      <w:r w:rsidRPr="006C37DC">
        <w:rPr>
          <w:rFonts w:ascii="Arial" w:eastAsia="Times New Roman" w:hAnsi="Arial" w:cs="Arial"/>
          <w:bCs/>
          <w:color w:val="000000"/>
        </w:rPr>
        <w:t>) and are sporadically placed in (</w:t>
      </w:r>
      <w:r w:rsidRPr="006C37DC">
        <w:rPr>
          <w:rFonts w:ascii="Arial" w:eastAsia="Times New Roman" w:hAnsi="Arial" w:cs="Arial"/>
          <w:b/>
          <w:bCs/>
          <w:color w:val="000000"/>
        </w:rPr>
        <w:t>d</w:t>
      </w:r>
      <w:r w:rsidRPr="006C37DC">
        <w:rPr>
          <w:rFonts w:ascii="Arial" w:eastAsia="Times New Roman" w:hAnsi="Arial" w:cs="Arial"/>
          <w:bCs/>
          <w:color w:val="000000"/>
        </w:rPr>
        <w:t>). (</w:t>
      </w:r>
      <w:r w:rsidRPr="006C37DC">
        <w:rPr>
          <w:rFonts w:ascii="Arial" w:eastAsia="Times New Roman" w:hAnsi="Arial" w:cs="Arial"/>
          <w:b/>
          <w:bCs/>
          <w:color w:val="000000"/>
        </w:rPr>
        <w:t>e</w:t>
      </w:r>
      <w:r w:rsidRPr="006C37DC">
        <w:rPr>
          <w:rFonts w:ascii="Arial" w:eastAsia="Times New Roman" w:hAnsi="Arial" w:cs="Arial"/>
          <w:bCs/>
          <w:color w:val="000000"/>
        </w:rPr>
        <w:t>)</w:t>
      </w:r>
      <w:r w:rsidRPr="006C37DC">
        <w:rPr>
          <w:rFonts w:ascii="Arial" w:eastAsia="Times New Roman" w:hAnsi="Arial" w:cs="Arial"/>
          <w:b/>
          <w:bCs/>
          <w:color w:val="000000"/>
        </w:rPr>
        <w:t xml:space="preserve"> </w:t>
      </w:r>
      <w:r w:rsidRPr="006C37DC">
        <w:rPr>
          <w:rFonts w:ascii="Arial" w:eastAsia="Times New Roman" w:hAnsi="Arial" w:cs="Arial"/>
          <w:bCs/>
          <w:color w:val="000000"/>
        </w:rPr>
        <w:t xml:space="preserve">Mature orange to brown </w:t>
      </w:r>
      <w:r w:rsidRPr="006C37DC">
        <w:rPr>
          <w:rFonts w:ascii="Arial" w:eastAsia="Times New Roman" w:hAnsi="Arial" w:cs="Arial"/>
          <w:bCs/>
          <w:i/>
          <w:color w:val="000000"/>
        </w:rPr>
        <w:t xml:space="preserve">PpEPF1OE-2 </w:t>
      </w:r>
      <w:r w:rsidRPr="006C37DC">
        <w:rPr>
          <w:rFonts w:ascii="Arial" w:eastAsia="Times New Roman" w:hAnsi="Arial" w:cs="Arial"/>
          <w:bCs/>
          <w:color w:val="000000"/>
        </w:rPr>
        <w:t>sporophyte capsule with no stomata. (</w:t>
      </w:r>
      <w:r w:rsidRPr="006C37DC">
        <w:rPr>
          <w:rFonts w:ascii="Arial" w:eastAsia="Times New Roman" w:hAnsi="Arial" w:cs="Arial"/>
          <w:b/>
          <w:bCs/>
          <w:color w:val="000000"/>
        </w:rPr>
        <w:t>f</w:t>
      </w:r>
      <w:r w:rsidRPr="006C37DC">
        <w:rPr>
          <w:rFonts w:ascii="Arial" w:eastAsia="Times New Roman" w:hAnsi="Arial" w:cs="Arial"/>
          <w:bCs/>
          <w:color w:val="000000"/>
        </w:rPr>
        <w:t xml:space="preserve">) </w:t>
      </w:r>
      <w:r w:rsidR="003C7D86">
        <w:rPr>
          <w:rFonts w:ascii="Arial" w:eastAsia="Times New Roman" w:hAnsi="Arial" w:cs="Arial"/>
          <w:bCs/>
          <w:color w:val="000000"/>
        </w:rPr>
        <w:t>Bright-field w</w:t>
      </w:r>
      <w:r w:rsidRPr="006C37DC">
        <w:rPr>
          <w:rFonts w:ascii="Arial" w:eastAsia="Times New Roman" w:hAnsi="Arial" w:cs="Arial"/>
          <w:bCs/>
          <w:color w:val="000000"/>
        </w:rPr>
        <w:t>ild-type close up equivalent to (</w:t>
      </w:r>
      <w:r w:rsidRPr="006C37DC">
        <w:rPr>
          <w:rFonts w:ascii="Arial" w:eastAsia="Times New Roman" w:hAnsi="Arial" w:cs="Arial"/>
          <w:b/>
          <w:bCs/>
          <w:color w:val="000000"/>
        </w:rPr>
        <w:t>c</w:t>
      </w:r>
      <w:r w:rsidRPr="006C37DC">
        <w:rPr>
          <w:rFonts w:ascii="Arial" w:eastAsia="Times New Roman" w:hAnsi="Arial" w:cs="Arial"/>
          <w:bCs/>
          <w:color w:val="000000"/>
        </w:rPr>
        <w:t xml:space="preserve">) illustrating a central guard </w:t>
      </w:r>
      <w:r w:rsidRPr="006C37DC">
        <w:rPr>
          <w:rFonts w:ascii="Arial" w:eastAsia="Times New Roman" w:hAnsi="Arial" w:cs="Arial"/>
          <w:bCs/>
          <w:color w:val="000000"/>
        </w:rPr>
        <w:lastRenderedPageBreak/>
        <w:t>cell being encircled by a number of non-stomatal cells. (</w:t>
      </w:r>
      <w:r w:rsidRPr="006C37DC">
        <w:rPr>
          <w:rFonts w:ascii="Arial" w:eastAsia="Times New Roman" w:hAnsi="Arial" w:cs="Arial"/>
          <w:b/>
          <w:bCs/>
          <w:color w:val="000000"/>
        </w:rPr>
        <w:t>g</w:t>
      </w:r>
      <w:r w:rsidRPr="006C37DC">
        <w:rPr>
          <w:rFonts w:ascii="Arial" w:eastAsia="Times New Roman" w:hAnsi="Arial" w:cs="Arial"/>
          <w:bCs/>
          <w:color w:val="000000"/>
        </w:rPr>
        <w:t xml:space="preserve">) </w:t>
      </w:r>
      <w:r w:rsidR="003C7D86">
        <w:rPr>
          <w:rFonts w:ascii="Arial" w:eastAsia="Times New Roman" w:hAnsi="Arial" w:cs="Arial"/>
          <w:bCs/>
          <w:color w:val="000000"/>
        </w:rPr>
        <w:t xml:space="preserve">Bright-field </w:t>
      </w:r>
      <w:r w:rsidRPr="006C37DC">
        <w:rPr>
          <w:rFonts w:ascii="Arial" w:eastAsia="Times New Roman" w:hAnsi="Arial" w:cs="Arial"/>
          <w:bCs/>
          <w:i/>
          <w:color w:val="000000"/>
        </w:rPr>
        <w:t xml:space="preserve">PpEPF1OE-3 </w:t>
      </w:r>
      <w:r w:rsidRPr="006C37DC">
        <w:rPr>
          <w:rFonts w:ascii="Arial" w:eastAsia="Times New Roman" w:hAnsi="Arial" w:cs="Arial"/>
          <w:bCs/>
          <w:color w:val="000000"/>
        </w:rPr>
        <w:t>close-up equivalent to (</w:t>
      </w:r>
      <w:r w:rsidRPr="006C37DC">
        <w:rPr>
          <w:rFonts w:ascii="Arial" w:eastAsia="Times New Roman" w:hAnsi="Arial" w:cs="Arial"/>
          <w:b/>
          <w:bCs/>
          <w:color w:val="000000"/>
        </w:rPr>
        <w:t>d</w:t>
      </w:r>
      <w:r w:rsidRPr="006C37DC">
        <w:rPr>
          <w:rFonts w:ascii="Arial" w:eastAsia="Times New Roman" w:hAnsi="Arial" w:cs="Arial"/>
          <w:bCs/>
          <w:color w:val="000000"/>
        </w:rPr>
        <w:t>) illustrating what appears to be an aborted stomatal lineage cell (see black arrow). (</w:t>
      </w:r>
      <w:r w:rsidRPr="006C37DC">
        <w:rPr>
          <w:rFonts w:ascii="Arial" w:eastAsia="Times New Roman" w:hAnsi="Arial" w:cs="Arial"/>
          <w:b/>
          <w:bCs/>
          <w:color w:val="000000"/>
        </w:rPr>
        <w:t>h</w:t>
      </w:r>
      <w:r w:rsidRPr="006C37DC">
        <w:rPr>
          <w:rFonts w:ascii="Arial" w:eastAsia="Times New Roman" w:hAnsi="Arial" w:cs="Arial"/>
          <w:bCs/>
          <w:color w:val="000000"/>
        </w:rPr>
        <w:t xml:space="preserve">) A second </w:t>
      </w:r>
      <w:r w:rsidRPr="006C37DC">
        <w:rPr>
          <w:rFonts w:ascii="Arial" w:eastAsia="Times New Roman" w:hAnsi="Arial" w:cs="Arial"/>
          <w:bCs/>
          <w:i/>
          <w:color w:val="000000"/>
        </w:rPr>
        <w:t xml:space="preserve">PpEPF1OE-3 </w:t>
      </w:r>
      <w:r w:rsidRPr="006C37DC">
        <w:rPr>
          <w:rFonts w:ascii="Arial" w:eastAsia="Times New Roman" w:hAnsi="Arial" w:cs="Arial"/>
          <w:bCs/>
          <w:color w:val="000000"/>
        </w:rPr>
        <w:t>close-up equivalent to (</w:t>
      </w:r>
      <w:r w:rsidRPr="006C37DC">
        <w:rPr>
          <w:rFonts w:ascii="Arial" w:eastAsia="Times New Roman" w:hAnsi="Arial" w:cs="Arial"/>
          <w:b/>
          <w:bCs/>
          <w:color w:val="000000"/>
        </w:rPr>
        <w:t>d</w:t>
      </w:r>
      <w:r w:rsidRPr="006C37DC">
        <w:rPr>
          <w:rFonts w:ascii="Arial" w:eastAsia="Times New Roman" w:hAnsi="Arial" w:cs="Arial"/>
          <w:bCs/>
          <w:color w:val="000000"/>
        </w:rPr>
        <w:t>) illustrating a central round cell being surrounded by four radiating non-stomatal cells. (</w:t>
      </w:r>
      <w:r w:rsidRPr="006C37DC">
        <w:rPr>
          <w:rFonts w:ascii="Arial" w:eastAsia="Times New Roman" w:hAnsi="Arial" w:cs="Arial"/>
          <w:b/>
          <w:bCs/>
          <w:color w:val="000000"/>
        </w:rPr>
        <w:t>i</w:t>
      </w:r>
      <w:r w:rsidRPr="006C37DC">
        <w:rPr>
          <w:rFonts w:ascii="Arial" w:eastAsia="Times New Roman" w:hAnsi="Arial" w:cs="Arial"/>
          <w:bCs/>
          <w:color w:val="000000"/>
        </w:rPr>
        <w:t xml:space="preserve">) </w:t>
      </w:r>
      <w:r w:rsidRPr="006C37DC">
        <w:rPr>
          <w:rFonts w:ascii="Arial" w:eastAsia="Times New Roman" w:hAnsi="Arial" w:cs="Arial"/>
          <w:bCs/>
          <w:i/>
          <w:color w:val="000000"/>
        </w:rPr>
        <w:t xml:space="preserve">PpEPF1OE-1 </w:t>
      </w:r>
      <w:r w:rsidRPr="006C37DC">
        <w:rPr>
          <w:rFonts w:ascii="Arial" w:eastAsia="Times New Roman" w:hAnsi="Arial" w:cs="Arial"/>
          <w:bCs/>
          <w:color w:val="000000"/>
        </w:rPr>
        <w:t>Orange to brown sporophyte-capsule with chains of epidermal cells (marked by red dots) lacking stomata. (</w:t>
      </w:r>
      <w:r w:rsidRPr="006C37DC">
        <w:rPr>
          <w:rFonts w:ascii="Arial" w:eastAsia="Times New Roman" w:hAnsi="Arial" w:cs="Arial"/>
          <w:b/>
          <w:bCs/>
          <w:color w:val="000000"/>
        </w:rPr>
        <w:t>j</w:t>
      </w:r>
      <w:r w:rsidRPr="006C37DC">
        <w:rPr>
          <w:rFonts w:ascii="Arial" w:eastAsia="Times New Roman" w:hAnsi="Arial" w:cs="Arial"/>
          <w:bCs/>
          <w:color w:val="000000"/>
        </w:rPr>
        <w:t>) Equivalent to (</w:t>
      </w:r>
      <w:r w:rsidRPr="006C37DC">
        <w:rPr>
          <w:rFonts w:ascii="Arial" w:eastAsia="Times New Roman" w:hAnsi="Arial" w:cs="Arial"/>
          <w:b/>
          <w:bCs/>
          <w:color w:val="000000"/>
        </w:rPr>
        <w:t>i</w:t>
      </w:r>
      <w:r w:rsidRPr="006C37DC">
        <w:rPr>
          <w:rFonts w:ascii="Arial" w:eastAsia="Times New Roman" w:hAnsi="Arial" w:cs="Arial"/>
          <w:bCs/>
          <w:color w:val="000000"/>
        </w:rPr>
        <w:t>) illustrating a smaller cell (green dot) and larger</w:t>
      </w:r>
      <w:r w:rsidRPr="006C37DC">
        <w:rPr>
          <w:rFonts w:ascii="Arial" w:eastAsia="Times New Roman" w:hAnsi="Arial" w:cs="Arial"/>
          <w:b/>
          <w:bCs/>
          <w:color w:val="000000"/>
        </w:rPr>
        <w:t xml:space="preserve"> </w:t>
      </w:r>
      <w:r w:rsidRPr="006C37DC">
        <w:rPr>
          <w:rFonts w:ascii="Arial" w:eastAsia="Times New Roman" w:hAnsi="Arial" w:cs="Arial"/>
          <w:bCs/>
          <w:color w:val="000000"/>
        </w:rPr>
        <w:t>cell (purple dot) which may have been derived from a single mother cell</w:t>
      </w:r>
      <w:r w:rsidRPr="006C37DC">
        <w:rPr>
          <w:rFonts w:ascii="Arial" w:eastAsia="Times New Roman" w:hAnsi="Arial" w:cs="Arial"/>
          <w:b/>
          <w:bCs/>
          <w:color w:val="000000"/>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k</w:t>
      </w:r>
      <w:r w:rsidRPr="006C37DC">
        <w:rPr>
          <w:rFonts w:ascii="Arial" w:eastAsia="Times New Roman" w:hAnsi="Arial" w:cs="Arial"/>
          <w:bCs/>
          <w:color w:val="000000"/>
        </w:rPr>
        <w:t xml:space="preserve">) A central epidermal cell (yellow dot) with other radiating epidermal cells (blue dot) in a conformation where a stomate </w:t>
      </w:r>
      <w:r w:rsidR="003C7D86">
        <w:rPr>
          <w:rFonts w:ascii="Arial" w:eastAsia="Times New Roman" w:hAnsi="Arial" w:cs="Arial"/>
          <w:bCs/>
          <w:color w:val="000000"/>
        </w:rPr>
        <w:t xml:space="preserve">might </w:t>
      </w:r>
      <w:r w:rsidRPr="006C37DC">
        <w:rPr>
          <w:rFonts w:ascii="Arial" w:eastAsia="Times New Roman" w:hAnsi="Arial" w:cs="Arial"/>
          <w:bCs/>
          <w:color w:val="000000"/>
        </w:rPr>
        <w:t>normally form in the wild-type. (</w:t>
      </w:r>
      <w:r w:rsidRPr="006C37DC">
        <w:rPr>
          <w:rFonts w:ascii="Arial" w:eastAsia="Times New Roman" w:hAnsi="Arial" w:cs="Arial"/>
          <w:b/>
          <w:bCs/>
          <w:color w:val="000000"/>
        </w:rPr>
        <w:t>l</w:t>
      </w:r>
      <w:r w:rsidRPr="006C37DC">
        <w:rPr>
          <w:rFonts w:ascii="Arial" w:eastAsia="Times New Roman" w:hAnsi="Arial" w:cs="Arial"/>
          <w:bCs/>
          <w:color w:val="000000"/>
        </w:rPr>
        <w:t xml:space="preserve">) Quantification of the number of stomata in equally sized orange to brown mature sporophyte capsules. </w:t>
      </w:r>
      <w:r w:rsidRPr="006C37DC">
        <w:rPr>
          <w:rFonts w:ascii="Arial" w:eastAsia="Times New Roman" w:hAnsi="Arial" w:cs="Arial"/>
          <w:bCs/>
          <w:color w:val="000000"/>
          <w:lang w:bidi="en-US"/>
        </w:rPr>
        <w:t>Lines with different letters can be distinguished from each other (</w:t>
      </w:r>
      <w:r w:rsidRPr="006C37DC">
        <w:rPr>
          <w:rFonts w:ascii="Arial" w:eastAsia="Times New Roman" w:hAnsi="Arial" w:cs="Arial"/>
          <w:bCs/>
          <w:i/>
          <w:color w:val="000000"/>
          <w:lang w:bidi="en-US"/>
        </w:rPr>
        <w:t>P</w:t>
      </w:r>
      <w:r w:rsidRPr="006C37DC">
        <w:rPr>
          <w:rFonts w:ascii="Arial" w:eastAsia="Times New Roman" w:hAnsi="Arial" w:cs="Arial"/>
          <w:bCs/>
          <w:color w:val="000000"/>
          <w:lang w:bidi="en-US"/>
        </w:rPr>
        <w:t xml:space="preserve"> &lt; 0.001) (one-way ANOVA with multiple comparisons corrected using a Dunnett’s test, n=8) </w:t>
      </w:r>
      <w:r w:rsidRPr="006C37DC">
        <w:rPr>
          <w:rFonts w:ascii="Arial" w:eastAsia="Times New Roman" w:hAnsi="Arial" w:cs="Arial"/>
          <w:bCs/>
          <w:color w:val="000000"/>
        </w:rPr>
        <w:t xml:space="preserve">Scale bars are as follows: </w:t>
      </w:r>
      <w:r w:rsidRPr="006C37DC">
        <w:rPr>
          <w:rFonts w:ascii="Arial" w:eastAsia="Times New Roman" w:hAnsi="Arial" w:cs="Arial"/>
          <w:b/>
          <w:bCs/>
          <w:color w:val="000000"/>
        </w:rPr>
        <w:t xml:space="preserve">c-e, </w:t>
      </w:r>
      <w:r w:rsidRPr="006C37DC">
        <w:rPr>
          <w:rFonts w:ascii="Arial" w:eastAsia="Times New Roman" w:hAnsi="Arial" w:cs="Arial"/>
          <w:bCs/>
          <w:color w:val="000000"/>
        </w:rPr>
        <w:t xml:space="preserve">100µm, </w:t>
      </w:r>
      <w:r w:rsidRPr="006C37DC">
        <w:rPr>
          <w:rFonts w:ascii="Arial" w:eastAsia="Times New Roman" w:hAnsi="Arial" w:cs="Arial"/>
          <w:b/>
          <w:bCs/>
          <w:color w:val="000000"/>
        </w:rPr>
        <w:t xml:space="preserve">f-k, </w:t>
      </w:r>
      <w:r w:rsidRPr="006C37DC">
        <w:rPr>
          <w:rFonts w:ascii="Arial" w:eastAsia="Times New Roman" w:hAnsi="Arial" w:cs="Arial"/>
          <w:bCs/>
          <w:color w:val="000000"/>
        </w:rPr>
        <w:t xml:space="preserve">25µm. </w:t>
      </w:r>
      <w:r w:rsidRPr="006C37DC">
        <w:rPr>
          <w:rFonts w:ascii="Arial" w:eastAsia="Times New Roman" w:hAnsi="Arial" w:cs="Arial"/>
          <w:bCs/>
          <w:color w:val="000000"/>
          <w:lang w:bidi="en-US"/>
        </w:rPr>
        <w:t>Error bars = s.e.m.</w:t>
      </w:r>
    </w:p>
    <w:p w14:paraId="70E825CA" w14:textId="20F5D321" w:rsidR="006C37DC" w:rsidRPr="00476449"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Cs/>
          <w:color w:val="000000"/>
          <w:u w:val="single"/>
          <w:lang w:bidi="en-US"/>
        </w:rPr>
        <w:t>4.2.6</w:t>
      </w:r>
      <w:r w:rsidR="00C7050F">
        <w:rPr>
          <w:rFonts w:ascii="Arial" w:eastAsia="Times New Roman" w:hAnsi="Arial" w:cs="Arial"/>
          <w:bCs/>
          <w:color w:val="000000"/>
          <w:u w:val="single"/>
          <w:lang w:bidi="en-US"/>
        </w:rPr>
        <w:t xml:space="preserve"> Stomatal developmental ontogeny</w:t>
      </w:r>
      <w:r w:rsidRPr="006C37DC">
        <w:rPr>
          <w:rFonts w:ascii="Arial" w:eastAsia="Times New Roman" w:hAnsi="Arial" w:cs="Arial"/>
          <w:bCs/>
          <w:color w:val="000000"/>
          <w:u w:val="single"/>
          <w:lang w:bidi="en-US"/>
        </w:rPr>
        <w:t xml:space="preserve"> in mutant </w:t>
      </w:r>
      <w:r w:rsidRPr="006C37DC">
        <w:rPr>
          <w:rFonts w:ascii="Arial" w:eastAsia="Times New Roman" w:hAnsi="Arial" w:cs="Arial"/>
          <w:bCs/>
          <w:i/>
          <w:color w:val="000000"/>
          <w:u w:val="single"/>
          <w:lang w:bidi="en-US"/>
        </w:rPr>
        <w:t xml:space="preserve">ppepf1 </w:t>
      </w:r>
      <w:r w:rsidRPr="006C37DC">
        <w:rPr>
          <w:rFonts w:ascii="Arial" w:eastAsia="Times New Roman" w:hAnsi="Arial" w:cs="Arial"/>
          <w:bCs/>
          <w:color w:val="000000"/>
          <w:u w:val="single"/>
          <w:lang w:bidi="en-US"/>
        </w:rPr>
        <w:t xml:space="preserve">and </w:t>
      </w:r>
      <w:r w:rsidRPr="006C37DC">
        <w:rPr>
          <w:rFonts w:ascii="Arial" w:eastAsia="Times New Roman" w:hAnsi="Arial" w:cs="Arial"/>
          <w:bCs/>
          <w:i/>
          <w:color w:val="000000"/>
          <w:u w:val="single"/>
          <w:lang w:bidi="en-US"/>
        </w:rPr>
        <w:t xml:space="preserve">PpEPF1OE </w:t>
      </w:r>
      <w:r w:rsidRPr="006C37DC">
        <w:rPr>
          <w:rFonts w:ascii="Arial" w:eastAsia="Times New Roman" w:hAnsi="Arial" w:cs="Arial"/>
          <w:bCs/>
          <w:color w:val="000000"/>
          <w:u w:val="single"/>
          <w:lang w:bidi="en-US"/>
        </w:rPr>
        <w:t>plants</w:t>
      </w:r>
    </w:p>
    <w:p w14:paraId="14FEBB15" w14:textId="77777777" w:rsidR="006C37DC" w:rsidRPr="006C37DC"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Cs/>
          <w:color w:val="000000"/>
          <w:lang w:bidi="en-US"/>
        </w:rPr>
        <w:t xml:space="preserve">Study of the </w:t>
      </w:r>
      <w:r w:rsidRPr="006C37DC">
        <w:rPr>
          <w:rFonts w:ascii="Arial" w:eastAsia="Times New Roman" w:hAnsi="Arial" w:cs="Arial"/>
          <w:bCs/>
          <w:i/>
          <w:color w:val="000000"/>
          <w:lang w:bidi="en-US"/>
        </w:rPr>
        <w:t xml:space="preserve">ppepf1 </w:t>
      </w:r>
      <w:r w:rsidRPr="006C37DC">
        <w:rPr>
          <w:rFonts w:ascii="Arial" w:eastAsia="Times New Roman" w:hAnsi="Arial" w:cs="Arial"/>
          <w:bCs/>
          <w:color w:val="000000"/>
          <w:lang w:bidi="en-US"/>
        </w:rPr>
        <w:t xml:space="preserve">and </w:t>
      </w:r>
      <w:r w:rsidRPr="006C37DC">
        <w:rPr>
          <w:rFonts w:ascii="Arial" w:eastAsia="Times New Roman" w:hAnsi="Arial" w:cs="Arial"/>
          <w:bCs/>
          <w:i/>
          <w:color w:val="000000"/>
          <w:lang w:bidi="en-US"/>
        </w:rPr>
        <w:t>PpEPF1OE</w:t>
      </w:r>
      <w:r w:rsidRPr="006C37DC">
        <w:rPr>
          <w:rFonts w:ascii="Arial" w:eastAsia="Times New Roman" w:hAnsi="Arial" w:cs="Arial"/>
          <w:bCs/>
          <w:color w:val="000000"/>
          <w:lang w:bidi="en-US"/>
        </w:rPr>
        <w:t xml:space="preserve"> mature sporophyte capsules indicates that ordinarily </w:t>
      </w:r>
      <w:r w:rsidRPr="006C37DC">
        <w:rPr>
          <w:rFonts w:ascii="Arial" w:eastAsia="Times New Roman" w:hAnsi="Arial" w:cs="Arial"/>
          <w:bCs/>
          <w:i/>
          <w:color w:val="000000"/>
          <w:lang w:bidi="en-US"/>
        </w:rPr>
        <w:t xml:space="preserve">PpEPF1 </w:t>
      </w:r>
      <w:r w:rsidRPr="006C37DC">
        <w:rPr>
          <w:rFonts w:ascii="Arial" w:eastAsia="Times New Roman" w:hAnsi="Arial" w:cs="Arial"/>
          <w:bCs/>
          <w:color w:val="000000"/>
          <w:lang w:bidi="en-US"/>
        </w:rPr>
        <w:t xml:space="preserve">functions to negatively regulate stomatal development. However, by observing mature capsules it was not clear at what stage </w:t>
      </w:r>
      <w:r w:rsidRPr="006C37DC">
        <w:rPr>
          <w:rFonts w:ascii="Arial" w:eastAsia="Times New Roman" w:hAnsi="Arial" w:cs="Arial"/>
          <w:bCs/>
          <w:i/>
          <w:color w:val="000000"/>
          <w:lang w:bidi="en-US"/>
        </w:rPr>
        <w:t xml:space="preserve">PpEPF1 </w:t>
      </w:r>
      <w:r w:rsidRPr="006C37DC">
        <w:rPr>
          <w:rFonts w:ascii="Arial" w:eastAsia="Times New Roman" w:hAnsi="Arial" w:cs="Arial"/>
          <w:bCs/>
          <w:color w:val="000000"/>
          <w:lang w:bidi="en-US"/>
        </w:rPr>
        <w:t xml:space="preserve">ordinarily functions during stomatal development. To address this, elongating and expanding sporophyte capsules from the wild-type (See also Figs 2-4 in Chapter 3), </w:t>
      </w:r>
      <w:r w:rsidRPr="006C37DC">
        <w:rPr>
          <w:rFonts w:ascii="Arial" w:eastAsia="Times New Roman" w:hAnsi="Arial" w:cs="Arial"/>
          <w:bCs/>
          <w:i/>
          <w:color w:val="000000"/>
          <w:lang w:bidi="en-US"/>
        </w:rPr>
        <w:t xml:space="preserve">ppepf1 </w:t>
      </w:r>
      <w:r w:rsidRPr="006C37DC">
        <w:rPr>
          <w:rFonts w:ascii="Arial" w:eastAsia="Times New Roman" w:hAnsi="Arial" w:cs="Arial"/>
          <w:bCs/>
          <w:color w:val="000000"/>
          <w:lang w:bidi="en-US"/>
        </w:rPr>
        <w:t xml:space="preserve">and </w:t>
      </w:r>
      <w:r w:rsidRPr="006C37DC">
        <w:rPr>
          <w:rFonts w:ascii="Arial" w:eastAsia="Times New Roman" w:hAnsi="Arial" w:cs="Arial"/>
          <w:bCs/>
          <w:i/>
          <w:color w:val="000000"/>
          <w:lang w:bidi="en-US"/>
        </w:rPr>
        <w:t xml:space="preserve">PpEPF1OE </w:t>
      </w:r>
      <w:r w:rsidRPr="006C37DC">
        <w:rPr>
          <w:rFonts w:ascii="Arial" w:eastAsia="Times New Roman" w:hAnsi="Arial" w:cs="Arial"/>
          <w:bCs/>
          <w:color w:val="000000"/>
          <w:lang w:bidi="en-US"/>
        </w:rPr>
        <w:t>were observed (</w:t>
      </w:r>
      <w:r w:rsidRPr="006C37DC">
        <w:rPr>
          <w:rFonts w:ascii="Arial" w:eastAsia="Times New Roman" w:hAnsi="Arial" w:cs="Arial"/>
          <w:b/>
          <w:bCs/>
          <w:color w:val="000000"/>
          <w:lang w:bidi="en-US"/>
        </w:rPr>
        <w:t>Fig. 11</w:t>
      </w:r>
      <w:r w:rsidRPr="006C37DC">
        <w:rPr>
          <w:rFonts w:ascii="Arial" w:eastAsia="Times New Roman" w:hAnsi="Arial" w:cs="Arial"/>
          <w:bCs/>
          <w:color w:val="000000"/>
          <w:lang w:bidi="en-US"/>
        </w:rPr>
        <w:t>).</w:t>
      </w:r>
    </w:p>
    <w:p w14:paraId="0B5BE27C" w14:textId="794E03BA"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lang w:bidi="en-US"/>
        </w:rPr>
        <w:t>On wild-type sporophyte capsules during early stomatal development, early GMC cells are found which are yet to undergo a final symmetric division (</w:t>
      </w:r>
      <w:r w:rsidRPr="006C37DC">
        <w:rPr>
          <w:rFonts w:ascii="Arial" w:eastAsia="Times New Roman" w:hAnsi="Arial" w:cs="Arial"/>
          <w:b/>
          <w:bCs/>
          <w:color w:val="000000"/>
          <w:lang w:bidi="en-US"/>
        </w:rPr>
        <w:t>Fig. 11a</w:t>
      </w:r>
      <w:r w:rsidRPr="006C37DC">
        <w:rPr>
          <w:rFonts w:ascii="Arial" w:eastAsia="Times New Roman" w:hAnsi="Arial" w:cs="Arial"/>
          <w:bCs/>
          <w:color w:val="000000"/>
        </w:rPr>
        <w:t>-</w:t>
      </w:r>
      <w:r w:rsidRPr="006C37DC">
        <w:rPr>
          <w:rFonts w:ascii="Arial" w:eastAsia="Times New Roman" w:hAnsi="Arial" w:cs="Arial"/>
          <w:b/>
          <w:bCs/>
          <w:color w:val="000000"/>
          <w:lang w:bidi="en-US"/>
        </w:rPr>
        <w:t>b</w:t>
      </w:r>
      <w:r w:rsidRPr="006C37DC">
        <w:rPr>
          <w:rFonts w:ascii="Arial" w:eastAsia="Times New Roman" w:hAnsi="Arial" w:cs="Arial"/>
          <w:bCs/>
          <w:color w:val="000000"/>
          <w:lang w:bidi="en-US"/>
        </w:rPr>
        <w:t xml:space="preserve">). Such stomatal lineage cells are normally spaced by at least one epidermal cell. Conversely during stomatal development in equivalent sized </w:t>
      </w:r>
      <w:r w:rsidRPr="006C37DC">
        <w:rPr>
          <w:rFonts w:ascii="Arial" w:eastAsia="Times New Roman" w:hAnsi="Arial" w:cs="Arial"/>
          <w:bCs/>
          <w:i/>
          <w:color w:val="000000"/>
          <w:lang w:bidi="en-US"/>
        </w:rPr>
        <w:t xml:space="preserve">ppepf1 </w:t>
      </w:r>
      <w:r w:rsidRPr="006C37DC">
        <w:rPr>
          <w:rFonts w:ascii="Arial" w:eastAsia="Times New Roman" w:hAnsi="Arial" w:cs="Arial"/>
          <w:bCs/>
          <w:color w:val="000000"/>
        </w:rPr>
        <w:t xml:space="preserve">capsules, it was found that multiple clustered early GMC cells formed in adjacent stomatal lineage cells (with no fluorescence material) suggesting that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functions in regulating which early GMC formation (</w:t>
      </w:r>
      <w:r w:rsidRPr="006C37DC">
        <w:rPr>
          <w:rFonts w:ascii="Arial" w:eastAsia="Times New Roman" w:hAnsi="Arial" w:cs="Arial"/>
          <w:b/>
          <w:bCs/>
          <w:color w:val="000000"/>
        </w:rPr>
        <w:t>Fig. 11c</w:t>
      </w:r>
      <w:r w:rsidRPr="006C37DC">
        <w:rPr>
          <w:rFonts w:ascii="Arial" w:eastAsia="Times New Roman" w:hAnsi="Arial" w:cs="Arial"/>
          <w:bCs/>
          <w:color w:val="000000"/>
        </w:rPr>
        <w:t>-</w:t>
      </w:r>
      <w:r w:rsidRPr="006C37DC">
        <w:rPr>
          <w:rFonts w:ascii="Arial" w:eastAsia="Times New Roman" w:hAnsi="Arial" w:cs="Arial"/>
          <w:b/>
          <w:bCs/>
          <w:color w:val="000000"/>
        </w:rPr>
        <w:t>d</w:t>
      </w:r>
      <w:r w:rsidRPr="006C37DC">
        <w:rPr>
          <w:rFonts w:ascii="Arial" w:eastAsia="Times New Roman" w:hAnsi="Arial" w:cs="Arial"/>
          <w:bCs/>
          <w:color w:val="000000"/>
        </w:rPr>
        <w:t xml:space="preserve">). On the epidermis of </w:t>
      </w:r>
      <w:r w:rsidRPr="006C37DC">
        <w:rPr>
          <w:rFonts w:ascii="Arial" w:eastAsia="Times New Roman" w:hAnsi="Arial" w:cs="Arial"/>
          <w:bCs/>
          <w:i/>
          <w:color w:val="000000"/>
        </w:rPr>
        <w:t>PpEPF1OE</w:t>
      </w:r>
      <w:r w:rsidRPr="006C37DC">
        <w:rPr>
          <w:rFonts w:ascii="Arial" w:eastAsia="Times New Roman" w:hAnsi="Arial" w:cs="Arial"/>
          <w:bCs/>
          <w:color w:val="000000"/>
        </w:rPr>
        <w:t xml:space="preserve"> sporophyte capsules a number of differences were observed relative to wild-type (</w:t>
      </w:r>
      <w:r w:rsidRPr="006C37DC">
        <w:rPr>
          <w:rFonts w:ascii="Arial" w:eastAsia="Times New Roman" w:hAnsi="Arial" w:cs="Arial"/>
          <w:b/>
          <w:bCs/>
          <w:color w:val="000000"/>
        </w:rPr>
        <w:t>Fig 11e</w:t>
      </w:r>
      <w:r w:rsidRPr="006C37DC">
        <w:rPr>
          <w:rFonts w:ascii="Arial" w:eastAsia="Times New Roman" w:hAnsi="Arial" w:cs="Arial"/>
          <w:bCs/>
          <w:color w:val="000000"/>
        </w:rPr>
        <w:t>-</w:t>
      </w:r>
      <w:r w:rsidRPr="006C37DC">
        <w:rPr>
          <w:rFonts w:ascii="Arial" w:eastAsia="Times New Roman" w:hAnsi="Arial" w:cs="Arial"/>
          <w:b/>
          <w:bCs/>
          <w:color w:val="000000"/>
        </w:rPr>
        <w:t>h</w:t>
      </w:r>
      <w:r w:rsidRPr="006C37DC">
        <w:rPr>
          <w:rFonts w:ascii="Arial" w:eastAsia="Times New Roman" w:hAnsi="Arial" w:cs="Arial"/>
          <w:bCs/>
          <w:color w:val="000000"/>
        </w:rPr>
        <w:t>). These included large areas with no obvious stomatal lineage cells where irregularly orientated epidermal cells were present (</w:t>
      </w:r>
      <w:r w:rsidRPr="006C37DC">
        <w:rPr>
          <w:rFonts w:ascii="Arial" w:eastAsia="Times New Roman" w:hAnsi="Arial" w:cs="Arial"/>
          <w:b/>
          <w:bCs/>
          <w:color w:val="000000"/>
        </w:rPr>
        <w:t>Fig. 11e</w:t>
      </w:r>
      <w:r w:rsidRPr="006C37DC">
        <w:rPr>
          <w:rFonts w:ascii="Arial" w:eastAsia="Times New Roman" w:hAnsi="Arial" w:cs="Arial"/>
          <w:bCs/>
          <w:color w:val="000000"/>
        </w:rPr>
        <w:t>-</w:t>
      </w:r>
      <w:r w:rsidRPr="006C37DC">
        <w:rPr>
          <w:rFonts w:ascii="Arial" w:eastAsia="Times New Roman" w:hAnsi="Arial" w:cs="Arial"/>
          <w:b/>
          <w:bCs/>
          <w:color w:val="000000"/>
        </w:rPr>
        <w:t>f</w:t>
      </w:r>
      <w:r w:rsidRPr="006C37DC">
        <w:rPr>
          <w:rFonts w:ascii="Arial" w:eastAsia="Times New Roman" w:hAnsi="Arial" w:cs="Arial"/>
          <w:bCs/>
          <w:color w:val="000000"/>
        </w:rPr>
        <w:t>), and early GMCs which contained large numbers of cellular organelles (</w:t>
      </w:r>
      <w:r w:rsidRPr="006C37DC">
        <w:rPr>
          <w:rFonts w:ascii="Arial" w:eastAsia="Times New Roman" w:hAnsi="Arial" w:cs="Arial"/>
          <w:b/>
          <w:bCs/>
          <w:color w:val="000000"/>
        </w:rPr>
        <w:t>Fig. 11g</w:t>
      </w:r>
      <w:r w:rsidRPr="006C37DC">
        <w:rPr>
          <w:rFonts w:ascii="Arial" w:eastAsia="Times New Roman" w:hAnsi="Arial" w:cs="Arial"/>
          <w:bCs/>
          <w:color w:val="000000"/>
        </w:rPr>
        <w:t>-</w:t>
      </w:r>
      <w:r w:rsidRPr="006C37DC">
        <w:rPr>
          <w:rFonts w:ascii="Arial" w:eastAsia="Times New Roman" w:hAnsi="Arial" w:cs="Arial"/>
          <w:b/>
          <w:bCs/>
          <w:color w:val="000000"/>
        </w:rPr>
        <w:t>h</w:t>
      </w:r>
      <w:r w:rsidRPr="006C37DC">
        <w:rPr>
          <w:rFonts w:ascii="Arial" w:eastAsia="Times New Roman" w:hAnsi="Arial" w:cs="Arial"/>
          <w:bCs/>
          <w:color w:val="000000"/>
        </w:rPr>
        <w:t xml:space="preserve">). Taken together these data suggest that ordinarily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functions to permit the correct spacing of early GMCs (</w:t>
      </w:r>
      <w:r w:rsidRPr="006C37DC">
        <w:rPr>
          <w:rFonts w:ascii="Arial" w:eastAsia="Times New Roman" w:hAnsi="Arial" w:cs="Arial"/>
          <w:b/>
          <w:bCs/>
          <w:color w:val="000000"/>
        </w:rPr>
        <w:t>Fig. 11c</w:t>
      </w:r>
      <w:r w:rsidRPr="006C37DC">
        <w:rPr>
          <w:rFonts w:ascii="Arial" w:eastAsia="Times New Roman" w:hAnsi="Arial" w:cs="Arial"/>
          <w:bCs/>
          <w:color w:val="000000"/>
        </w:rPr>
        <w:t>-</w:t>
      </w:r>
      <w:r w:rsidRPr="006C37DC">
        <w:rPr>
          <w:rFonts w:ascii="Arial" w:eastAsia="Times New Roman" w:hAnsi="Arial" w:cs="Arial"/>
          <w:b/>
          <w:bCs/>
          <w:color w:val="000000"/>
        </w:rPr>
        <w:t>d</w:t>
      </w:r>
      <w:r w:rsidRPr="006C37DC">
        <w:rPr>
          <w:rFonts w:ascii="Arial" w:eastAsia="Times New Roman" w:hAnsi="Arial" w:cs="Arial"/>
          <w:bCs/>
          <w:color w:val="000000"/>
        </w:rPr>
        <w:t xml:space="preserve">). Furthermore,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may also function in assisting in the placing of epidermal cells either directly or indirectly (through preventing the formation of stomata) and may also contribute to the developmental potential of early stomatal lineages cells both prior to</w:t>
      </w:r>
      <w:r w:rsidR="003C7D86">
        <w:rPr>
          <w:rFonts w:ascii="Arial" w:eastAsia="Times New Roman" w:hAnsi="Arial" w:cs="Arial"/>
          <w:bCs/>
          <w:color w:val="000000"/>
        </w:rPr>
        <w:t>, during</w:t>
      </w:r>
      <w:r w:rsidRPr="006C37DC">
        <w:rPr>
          <w:rFonts w:ascii="Arial" w:eastAsia="Times New Roman" w:hAnsi="Arial" w:cs="Arial"/>
          <w:bCs/>
          <w:color w:val="000000"/>
        </w:rPr>
        <w:t xml:space="preserve"> and after the formation of the early GMCs (</w:t>
      </w:r>
      <w:r w:rsidRPr="006C37DC">
        <w:rPr>
          <w:rFonts w:ascii="Arial" w:eastAsia="Times New Roman" w:hAnsi="Arial" w:cs="Arial"/>
          <w:b/>
          <w:bCs/>
          <w:color w:val="000000"/>
        </w:rPr>
        <w:t>Fig. 11g</w:t>
      </w:r>
      <w:r w:rsidRPr="006C37DC">
        <w:rPr>
          <w:rFonts w:ascii="Arial" w:eastAsia="Times New Roman" w:hAnsi="Arial" w:cs="Arial"/>
          <w:bCs/>
          <w:color w:val="000000"/>
        </w:rPr>
        <w:t>-</w:t>
      </w:r>
      <w:r w:rsidRPr="006C37DC">
        <w:rPr>
          <w:rFonts w:ascii="Arial" w:eastAsia="Times New Roman" w:hAnsi="Arial" w:cs="Arial"/>
          <w:b/>
          <w:bCs/>
          <w:color w:val="000000"/>
        </w:rPr>
        <w:t>h</w:t>
      </w:r>
      <w:r w:rsidRPr="006C37DC">
        <w:rPr>
          <w:rFonts w:ascii="Arial" w:eastAsia="Times New Roman" w:hAnsi="Arial" w:cs="Arial"/>
          <w:bCs/>
          <w:color w:val="000000"/>
        </w:rPr>
        <w:t>).</w:t>
      </w:r>
    </w:p>
    <w:p w14:paraId="544C242D" w14:textId="77777777" w:rsidR="008653D0"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Cs/>
          <w:noProof/>
          <w:color w:val="000000"/>
          <w:lang w:eastAsia="ja-JP"/>
        </w:rPr>
        <w:lastRenderedPageBreak/>
        <w:drawing>
          <wp:inline distT="0" distB="0" distL="0" distR="0" wp14:anchorId="12BC4901" wp14:editId="2CD329C5">
            <wp:extent cx="5374433" cy="8809009"/>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ertical figure.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76850" cy="8812971"/>
                    </a:xfrm>
                    <a:prstGeom prst="rect">
                      <a:avLst/>
                    </a:prstGeom>
                  </pic:spPr>
                </pic:pic>
              </a:graphicData>
            </a:graphic>
          </wp:inline>
        </w:drawing>
      </w:r>
      <w:r w:rsidRPr="006C37DC">
        <w:rPr>
          <w:rFonts w:ascii="Arial" w:eastAsia="Times New Roman" w:hAnsi="Arial" w:cs="Arial"/>
          <w:b/>
          <w:bCs/>
          <w:color w:val="000000"/>
        </w:rPr>
        <w:t xml:space="preserve"> </w:t>
      </w:r>
    </w:p>
    <w:p w14:paraId="5F0C57F5" w14:textId="1EB9ADC5"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
          <w:bCs/>
          <w:color w:val="000000"/>
        </w:rPr>
        <w:lastRenderedPageBreak/>
        <w:t>Figure 11. Stomatal developmental on</w:t>
      </w:r>
      <w:r w:rsidR="00C7050F">
        <w:rPr>
          <w:rFonts w:ascii="Arial" w:eastAsia="Times New Roman" w:hAnsi="Arial" w:cs="Arial"/>
          <w:b/>
          <w:bCs/>
          <w:color w:val="000000"/>
        </w:rPr>
        <w:t>togeny</w:t>
      </w:r>
      <w:r w:rsidRPr="006C37DC">
        <w:rPr>
          <w:rFonts w:ascii="Arial" w:eastAsia="Times New Roman" w:hAnsi="Arial" w:cs="Arial"/>
          <w:b/>
          <w:bCs/>
          <w:color w:val="000000"/>
        </w:rPr>
        <w:t xml:space="preserve"> in </w:t>
      </w:r>
      <w:r w:rsidRPr="006C37DC">
        <w:rPr>
          <w:rFonts w:ascii="Arial" w:eastAsia="Times New Roman" w:hAnsi="Arial" w:cs="Arial"/>
          <w:b/>
          <w:bCs/>
          <w:i/>
          <w:color w:val="000000"/>
        </w:rPr>
        <w:t xml:space="preserve">ppepf1 </w:t>
      </w:r>
      <w:r w:rsidRPr="006C37DC">
        <w:rPr>
          <w:rFonts w:ascii="Arial" w:eastAsia="Times New Roman" w:hAnsi="Arial" w:cs="Arial"/>
          <w:b/>
          <w:bCs/>
          <w:color w:val="000000"/>
        </w:rPr>
        <w:t xml:space="preserve">and </w:t>
      </w:r>
      <w:r w:rsidRPr="006C37DC">
        <w:rPr>
          <w:rFonts w:ascii="Arial" w:eastAsia="Times New Roman" w:hAnsi="Arial" w:cs="Arial"/>
          <w:b/>
          <w:bCs/>
          <w:i/>
          <w:color w:val="000000"/>
        </w:rPr>
        <w:t xml:space="preserve">PpEPF1OE </w:t>
      </w:r>
      <w:r w:rsidRPr="006C37DC">
        <w:rPr>
          <w:rFonts w:ascii="Arial" w:eastAsia="Times New Roman" w:hAnsi="Arial" w:cs="Arial"/>
          <w:b/>
          <w:bCs/>
          <w:color w:val="000000"/>
        </w:rPr>
        <w:t>indicates PpEPF1 functions early in stomatal development to prevent clustering and regulate the identity of stomatal lineage cells</w:t>
      </w:r>
      <w:r w:rsidRPr="006C37DC">
        <w:rPr>
          <w:rFonts w:ascii="Arial" w:eastAsia="Times New Roman" w:hAnsi="Arial" w:cs="Arial"/>
          <w:b/>
          <w:bCs/>
          <w:i/>
          <w:color w:val="000000"/>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Bright-field wild-type epidermis illustrating early GMCs with aggregated organelles which are spaced by epidermal cells. (</w:t>
      </w:r>
      <w:r w:rsidRPr="006C37DC">
        <w:rPr>
          <w:rFonts w:ascii="Arial" w:eastAsia="Times New Roman" w:hAnsi="Arial" w:cs="Arial"/>
          <w:b/>
          <w:bCs/>
          <w:color w:val="000000"/>
        </w:rPr>
        <w:t>b</w:t>
      </w:r>
      <w:r w:rsidRPr="006C37DC">
        <w:rPr>
          <w:rFonts w:ascii="Arial" w:eastAsia="Times New Roman" w:hAnsi="Arial" w:cs="Arial"/>
          <w:bCs/>
          <w:color w:val="000000"/>
        </w:rPr>
        <w:t>) Fluorescence image of (</w:t>
      </w:r>
      <w:r w:rsidRPr="006C37DC">
        <w:rPr>
          <w:rFonts w:ascii="Arial" w:eastAsia="Times New Roman" w:hAnsi="Arial" w:cs="Arial"/>
          <w:b/>
          <w:bCs/>
          <w:color w:val="000000"/>
        </w:rPr>
        <w:t>a</w:t>
      </w:r>
      <w:r w:rsidRPr="006C37DC">
        <w:rPr>
          <w:rFonts w:ascii="Arial" w:eastAsia="Times New Roman" w:hAnsi="Arial" w:cs="Arial"/>
          <w:bCs/>
          <w:color w:val="000000"/>
        </w:rPr>
        <w:t>) with no fluorescence material in the sub-stomatal cavities of expanded early GMCs. (</w:t>
      </w:r>
      <w:r w:rsidRPr="006C37DC">
        <w:rPr>
          <w:rFonts w:ascii="Arial" w:eastAsia="Times New Roman" w:hAnsi="Arial" w:cs="Arial"/>
          <w:b/>
          <w:bCs/>
          <w:color w:val="000000"/>
        </w:rPr>
        <w:t>c</w:t>
      </w:r>
      <w:r w:rsidRPr="006C37DC">
        <w:rPr>
          <w:rFonts w:ascii="Arial" w:eastAsia="Times New Roman" w:hAnsi="Arial" w:cs="Arial"/>
          <w:bCs/>
          <w:color w:val="000000"/>
        </w:rPr>
        <w:t xml:space="preserve">) </w:t>
      </w:r>
      <w:r w:rsidRPr="006C37DC">
        <w:rPr>
          <w:rFonts w:ascii="Arial" w:eastAsia="Times New Roman" w:hAnsi="Arial" w:cs="Arial"/>
          <w:bCs/>
          <w:i/>
          <w:color w:val="000000"/>
        </w:rPr>
        <w:t>ppepf1-2</w:t>
      </w:r>
      <w:r w:rsidRPr="006C37DC">
        <w:rPr>
          <w:rFonts w:ascii="Arial" w:eastAsia="Times New Roman" w:hAnsi="Arial" w:cs="Arial"/>
          <w:bCs/>
          <w:color w:val="000000"/>
        </w:rPr>
        <w:t xml:space="preserve"> bright-field image with clustering early GMCs. (</w:t>
      </w:r>
      <w:r w:rsidRPr="006C37DC">
        <w:rPr>
          <w:rFonts w:ascii="Arial" w:eastAsia="Times New Roman" w:hAnsi="Arial" w:cs="Arial"/>
          <w:b/>
          <w:bCs/>
          <w:color w:val="000000"/>
        </w:rPr>
        <w:t>d</w:t>
      </w:r>
      <w:r w:rsidRPr="006C37DC">
        <w:rPr>
          <w:rFonts w:ascii="Arial" w:eastAsia="Times New Roman" w:hAnsi="Arial" w:cs="Arial"/>
          <w:bCs/>
          <w:color w:val="000000"/>
        </w:rPr>
        <w:t>) Fluorescence image of (</w:t>
      </w:r>
      <w:r w:rsidRPr="006C37DC">
        <w:rPr>
          <w:rFonts w:ascii="Arial" w:eastAsia="Times New Roman" w:hAnsi="Arial" w:cs="Arial"/>
          <w:b/>
          <w:bCs/>
          <w:color w:val="000000"/>
        </w:rPr>
        <w:t>c</w:t>
      </w:r>
      <w:r w:rsidRPr="006C37DC">
        <w:rPr>
          <w:rFonts w:ascii="Arial" w:eastAsia="Times New Roman" w:hAnsi="Arial" w:cs="Arial"/>
          <w:bCs/>
          <w:color w:val="000000"/>
        </w:rPr>
        <w:t xml:space="preserve">) with no fluorescence material present beneath the epidermis confirming </w:t>
      </w:r>
      <w:r w:rsidRPr="006C37DC">
        <w:rPr>
          <w:rFonts w:ascii="Arial" w:eastAsia="Times New Roman" w:hAnsi="Arial" w:cs="Arial"/>
          <w:bCs/>
          <w:i/>
          <w:color w:val="000000"/>
        </w:rPr>
        <w:t xml:space="preserve">PpEPF1’s </w:t>
      </w:r>
      <w:r w:rsidRPr="006C37DC">
        <w:rPr>
          <w:rFonts w:ascii="Arial" w:eastAsia="Times New Roman" w:hAnsi="Arial" w:cs="Arial"/>
          <w:bCs/>
          <w:color w:val="000000"/>
        </w:rPr>
        <w:t>early functioning. (</w:t>
      </w:r>
      <w:r w:rsidRPr="006C37DC">
        <w:rPr>
          <w:rFonts w:ascii="Arial" w:eastAsia="Times New Roman" w:hAnsi="Arial" w:cs="Arial"/>
          <w:b/>
          <w:bCs/>
          <w:color w:val="000000"/>
        </w:rPr>
        <w:t>e</w:t>
      </w:r>
      <w:r w:rsidRPr="006C37DC">
        <w:rPr>
          <w:rFonts w:ascii="Arial" w:eastAsia="Times New Roman" w:hAnsi="Arial" w:cs="Arial"/>
          <w:bCs/>
          <w:color w:val="000000"/>
        </w:rPr>
        <w:t xml:space="preserve">) Bright-field </w:t>
      </w:r>
      <w:r w:rsidRPr="006C37DC">
        <w:rPr>
          <w:rFonts w:ascii="Arial" w:eastAsia="Times New Roman" w:hAnsi="Arial" w:cs="Arial"/>
          <w:bCs/>
          <w:i/>
          <w:color w:val="000000"/>
        </w:rPr>
        <w:t xml:space="preserve">PpEPF1OE </w:t>
      </w:r>
      <w:r w:rsidRPr="006C37DC">
        <w:rPr>
          <w:rFonts w:ascii="Arial" w:eastAsia="Times New Roman" w:hAnsi="Arial" w:cs="Arial"/>
          <w:bCs/>
          <w:color w:val="000000"/>
        </w:rPr>
        <w:t>epidermis with no stomata. (</w:t>
      </w:r>
      <w:r w:rsidRPr="006C37DC">
        <w:rPr>
          <w:rFonts w:ascii="Arial" w:eastAsia="Times New Roman" w:hAnsi="Arial" w:cs="Arial"/>
          <w:b/>
          <w:bCs/>
          <w:color w:val="000000"/>
        </w:rPr>
        <w:t>f</w:t>
      </w:r>
      <w:r w:rsidRPr="006C37DC">
        <w:rPr>
          <w:rFonts w:ascii="Arial" w:eastAsia="Times New Roman" w:hAnsi="Arial" w:cs="Arial"/>
          <w:bCs/>
          <w:color w:val="000000"/>
        </w:rPr>
        <w:t>) Fluorescence image of (</w:t>
      </w:r>
      <w:r w:rsidRPr="006C37DC">
        <w:rPr>
          <w:rFonts w:ascii="Arial" w:eastAsia="Times New Roman" w:hAnsi="Arial" w:cs="Arial"/>
          <w:b/>
          <w:bCs/>
          <w:color w:val="000000"/>
        </w:rPr>
        <w:t>e</w:t>
      </w:r>
      <w:r w:rsidRPr="006C37DC">
        <w:rPr>
          <w:rFonts w:ascii="Arial" w:eastAsia="Times New Roman" w:hAnsi="Arial" w:cs="Arial"/>
          <w:bCs/>
          <w:color w:val="000000"/>
        </w:rPr>
        <w:t>) confirming the absence of stomatal lineage cells. (</w:t>
      </w:r>
      <w:r w:rsidRPr="006C37DC">
        <w:rPr>
          <w:rFonts w:ascii="Arial" w:eastAsia="Times New Roman" w:hAnsi="Arial" w:cs="Arial"/>
          <w:b/>
          <w:bCs/>
          <w:color w:val="000000"/>
        </w:rPr>
        <w:t>g</w:t>
      </w:r>
      <w:r w:rsidRPr="006C37DC">
        <w:rPr>
          <w:rFonts w:ascii="Arial" w:eastAsia="Times New Roman" w:hAnsi="Arial" w:cs="Arial"/>
          <w:bCs/>
          <w:color w:val="000000"/>
        </w:rPr>
        <w:t xml:space="preserve">)  Bright-field </w:t>
      </w:r>
      <w:r w:rsidRPr="006C37DC">
        <w:rPr>
          <w:rFonts w:ascii="Arial" w:eastAsia="Times New Roman" w:hAnsi="Arial" w:cs="Arial"/>
          <w:bCs/>
          <w:i/>
          <w:color w:val="000000"/>
        </w:rPr>
        <w:t xml:space="preserve">PpEPF1OE </w:t>
      </w:r>
      <w:r w:rsidRPr="006C37DC">
        <w:rPr>
          <w:rFonts w:ascii="Arial" w:eastAsia="Times New Roman" w:hAnsi="Arial" w:cs="Arial"/>
          <w:bCs/>
          <w:color w:val="000000"/>
        </w:rPr>
        <w:t>epidermis with bulging early GMC laden with organelles (</w:t>
      </w:r>
      <w:r w:rsidRPr="006C37DC">
        <w:rPr>
          <w:rFonts w:ascii="Arial" w:eastAsia="Times New Roman" w:hAnsi="Arial" w:cs="Arial"/>
          <w:b/>
          <w:bCs/>
          <w:color w:val="000000"/>
        </w:rPr>
        <w:t>h</w:t>
      </w:r>
      <w:r w:rsidRPr="006C37DC">
        <w:rPr>
          <w:rFonts w:ascii="Arial" w:eastAsia="Times New Roman" w:hAnsi="Arial" w:cs="Arial"/>
          <w:bCs/>
          <w:color w:val="000000"/>
        </w:rPr>
        <w:t>) Fluorescence image of (</w:t>
      </w:r>
      <w:r w:rsidRPr="006C37DC">
        <w:rPr>
          <w:rFonts w:ascii="Arial" w:eastAsia="Times New Roman" w:hAnsi="Arial" w:cs="Arial"/>
          <w:b/>
          <w:bCs/>
          <w:color w:val="000000"/>
        </w:rPr>
        <w:t>g</w:t>
      </w:r>
      <w:r w:rsidRPr="006C37DC">
        <w:rPr>
          <w:rFonts w:ascii="Arial" w:eastAsia="Times New Roman" w:hAnsi="Arial" w:cs="Arial"/>
          <w:bCs/>
          <w:color w:val="000000"/>
        </w:rPr>
        <w:t>) with no fluorescence material beneath the early GMC pictured. All</w:t>
      </w:r>
      <w:r w:rsidRPr="006C37DC">
        <w:rPr>
          <w:rFonts w:ascii="Arial" w:eastAsia="Times New Roman" w:hAnsi="Arial" w:cs="Arial"/>
          <w:b/>
          <w:bCs/>
          <w:color w:val="000000"/>
        </w:rPr>
        <w:t xml:space="preserve"> </w:t>
      </w:r>
      <w:r w:rsidRPr="006C37DC">
        <w:rPr>
          <w:rFonts w:ascii="Arial" w:eastAsia="Times New Roman" w:hAnsi="Arial" w:cs="Arial"/>
          <w:bCs/>
          <w:color w:val="000000"/>
        </w:rPr>
        <w:t>sporophyte capsules equivalent in size to sporophytes from Fig. 2C-D in chapter 3. For further details relating to wild-type</w:t>
      </w:r>
      <w:r w:rsidR="00C7050F">
        <w:rPr>
          <w:rFonts w:ascii="Arial" w:eastAsia="Times New Roman" w:hAnsi="Arial" w:cs="Arial"/>
          <w:bCs/>
          <w:color w:val="000000"/>
        </w:rPr>
        <w:t xml:space="preserve"> stomatal developmental ontogeny</w:t>
      </w:r>
      <w:r w:rsidRPr="006C37DC">
        <w:rPr>
          <w:rFonts w:ascii="Arial" w:eastAsia="Times New Roman" w:hAnsi="Arial" w:cs="Arial"/>
          <w:bCs/>
          <w:color w:val="000000"/>
        </w:rPr>
        <w:t xml:space="preserve"> see also Fig. 2-4</w:t>
      </w:r>
      <w:r w:rsidRPr="006C37DC">
        <w:rPr>
          <w:rFonts w:ascii="Arial" w:eastAsia="Times New Roman" w:hAnsi="Arial" w:cs="Arial"/>
          <w:b/>
          <w:bCs/>
          <w:color w:val="000000"/>
        </w:rPr>
        <w:t xml:space="preserve"> </w:t>
      </w:r>
      <w:r w:rsidRPr="006C37DC">
        <w:rPr>
          <w:rFonts w:ascii="Arial" w:eastAsia="Times New Roman" w:hAnsi="Arial" w:cs="Arial"/>
          <w:bCs/>
          <w:color w:val="000000"/>
        </w:rPr>
        <w:t>in chapter 3. Scale bars = 25µm.</w:t>
      </w:r>
    </w:p>
    <w:p w14:paraId="7E7C837F" w14:textId="051B04A4" w:rsidR="006C37DC" w:rsidRPr="00476449"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u w:val="single"/>
        </w:rPr>
        <w:t xml:space="preserve">4.2.7 TOO MANY MOUTHS functions during </w:t>
      </w:r>
      <w:r w:rsidRPr="006C37DC">
        <w:rPr>
          <w:rFonts w:ascii="Arial" w:eastAsia="Times New Roman" w:hAnsi="Arial" w:cs="Arial"/>
          <w:bCs/>
          <w:i/>
          <w:color w:val="000000"/>
          <w:u w:val="single"/>
        </w:rPr>
        <w:t xml:space="preserve">P. patens </w:t>
      </w:r>
      <w:r w:rsidRPr="006C37DC">
        <w:rPr>
          <w:rFonts w:ascii="Arial" w:eastAsia="Times New Roman" w:hAnsi="Arial" w:cs="Arial"/>
          <w:bCs/>
          <w:color w:val="000000"/>
          <w:u w:val="single"/>
        </w:rPr>
        <w:t xml:space="preserve">stomatal development to intricately pattern stomata </w:t>
      </w:r>
    </w:p>
    <w:p w14:paraId="09CDABA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Having established that the function of the signalling peptide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has been broadly conserved through evolutionary time and functions during </w:t>
      </w:r>
      <w:r w:rsidRPr="006C37DC">
        <w:rPr>
          <w:rFonts w:ascii="Arial" w:eastAsia="Times New Roman" w:hAnsi="Arial" w:cs="Arial"/>
          <w:bCs/>
          <w:i/>
          <w:color w:val="000000"/>
        </w:rPr>
        <w:t xml:space="preserve">P. patens </w:t>
      </w:r>
      <w:r w:rsidRPr="006C37DC">
        <w:rPr>
          <w:rFonts w:ascii="Arial" w:eastAsia="Times New Roman" w:hAnsi="Arial" w:cs="Arial"/>
          <w:bCs/>
          <w:color w:val="000000"/>
        </w:rPr>
        <w:t xml:space="preserve">stomatal development, it was next decided to investigate whether conservation also extended to the membrane receptor-like component TOO MANY MOUTHS (TMM). As with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an up-to-date phylogenetic analysis was carried out which indicated only one </w:t>
      </w:r>
      <w:r w:rsidRPr="006C37DC">
        <w:rPr>
          <w:rFonts w:ascii="Arial" w:eastAsia="Times New Roman" w:hAnsi="Arial" w:cs="Arial"/>
          <w:bCs/>
          <w:i/>
          <w:color w:val="000000"/>
        </w:rPr>
        <w:t>P. patens TMM</w:t>
      </w:r>
      <w:r w:rsidRPr="006C37DC">
        <w:rPr>
          <w:rFonts w:ascii="Arial" w:eastAsia="Times New Roman" w:hAnsi="Arial" w:cs="Arial"/>
          <w:bCs/>
          <w:color w:val="000000"/>
        </w:rPr>
        <w:t xml:space="preserve"> orthologue, </w:t>
      </w:r>
      <w:r w:rsidRPr="006C37DC">
        <w:rPr>
          <w:rFonts w:ascii="Arial" w:eastAsia="Times New Roman" w:hAnsi="Arial" w:cs="Arial"/>
          <w:bCs/>
          <w:i/>
          <w:color w:val="000000"/>
        </w:rPr>
        <w:t>PpTMM</w:t>
      </w:r>
      <w:r w:rsidRPr="006C37DC">
        <w:rPr>
          <w:rFonts w:ascii="Arial" w:eastAsia="Times New Roman" w:hAnsi="Arial" w:cs="Arial"/>
          <w:bCs/>
          <w:color w:val="000000"/>
        </w:rPr>
        <w:t>, which</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clusters closely with </w:t>
      </w:r>
      <w:r w:rsidRPr="006C37DC">
        <w:rPr>
          <w:rFonts w:ascii="Arial" w:eastAsia="Times New Roman" w:hAnsi="Arial" w:cs="Arial"/>
          <w:bCs/>
          <w:i/>
          <w:color w:val="000000"/>
        </w:rPr>
        <w:t xml:space="preserve">AtTMM </w:t>
      </w:r>
      <w:r w:rsidRPr="006C37DC">
        <w:rPr>
          <w:rFonts w:ascii="Arial" w:eastAsia="Times New Roman" w:hAnsi="Arial" w:cs="Arial"/>
          <w:bCs/>
          <w:color w:val="000000"/>
        </w:rPr>
        <w:t xml:space="preserve">and other putative </w:t>
      </w:r>
      <w:r w:rsidRPr="006C37DC">
        <w:rPr>
          <w:rFonts w:ascii="Arial" w:eastAsia="Times New Roman" w:hAnsi="Arial" w:cs="Arial"/>
          <w:bCs/>
          <w:i/>
          <w:color w:val="000000"/>
        </w:rPr>
        <w:t xml:space="preserve">TMM </w:t>
      </w:r>
      <w:r w:rsidRPr="006C37DC">
        <w:rPr>
          <w:rFonts w:ascii="Arial" w:eastAsia="Times New Roman" w:hAnsi="Arial" w:cs="Arial"/>
          <w:bCs/>
          <w:color w:val="000000"/>
        </w:rPr>
        <w:t>representatives, as</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previously suggested by Peterson and colleagues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 ExcludeAuth="1"&gt;&lt;Author&gt;Peterson&lt;/Author&gt;&lt;Year&gt;2010&lt;/Year&gt;&lt;IDText&gt;Out of the Mouths of Plants: The Molecular Basis of the Evolution and Diversity of Stomatal Development&lt;/IDText&gt;&lt;DisplayText&gt;(2010)&lt;/DisplayText&gt;&lt;record&gt;&lt;dates&gt;&lt;pub-dates&gt;&lt;date&gt;Feb&lt;/date&gt;&lt;/pub-dates&gt;&lt;year&gt;2010&lt;/year&gt;&lt;/dates&gt;&lt;keywords&gt;&lt;keyword&gt;ASYMMETRIC CELL-DIVISION&lt;/keyword&gt;&lt;keyword&gt;ACTIVATED PROTEIN-KINASES&lt;/keyword&gt;&lt;keyword&gt;RECEPTOR-LIKE&lt;/keyword&gt;&lt;keyword&gt;KINASES&lt;/keyword&gt;&lt;keyword&gt;EARLY LAND PLANTS&lt;/keyword&gt;&lt;keyword&gt;ARABIDOPSIS-THALIANA&lt;/keyword&gt;&lt;keyword&gt;MEDIATED REGULATION&lt;/keyword&gt;&lt;keyword&gt;SECRETORY PEPTIDE&lt;/keyword&gt;&lt;keyword&gt;MAPKK KINASE&lt;/keyword&gt;&lt;keyword&gt;DIFFERENTIATION&lt;/keyword&gt;&lt;keyword&gt;DENSITY&lt;/keyword&gt;&lt;/keywords&gt;&lt;urls&gt;&lt;related-urls&gt;&lt;url&gt;&amp;lt;Go to ISI&amp;gt;://WOS:000275926200004&lt;/url&gt;&lt;/related-urls&gt;&lt;/urls&gt;&lt;isbn&gt;1040-4651&lt;/isbn&gt;&lt;work-type&gt;Review&lt;/work-type&gt;&lt;titles&gt;&lt;title&gt;Out of the Mouths of Plants: The Molecular Basis of the Evolution and Diversity of Stomatal Development&lt;/title&gt;&lt;secondary-title&gt;Plant Cell&lt;/secondary-title&gt;&lt;alt-title&gt;Plant Cell&lt;/alt-title&gt;&lt;/titles&gt;&lt;pages&gt;296-306&lt;/pages&gt;&lt;number&gt;2&lt;/number&gt;&lt;contributors&gt;&lt;authors&gt;&lt;author&gt;Peterson, K. M.&lt;/author&gt;&lt;author&gt;Rychel, A. L.&lt;/author&gt;&lt;author&gt;Torii, K. U.&lt;/author&gt;&lt;/authors&gt;&lt;/contributors&gt;&lt;language&gt;English&lt;/language&gt;&lt;added-date format="utc"&gt;1354439861&lt;/added-date&gt;&lt;ref-type name="Journal Article"&gt;17&lt;/ref-type&gt;&lt;auth-address&gt;[Peterson, Kylee M.&amp;#xD;Rychel, Amanda L.&amp;#xD;Torii, Keiko U.] Univ Washington, Dept Biol, Seattle, WA 98195 USA. [Torii, Keiko U.] Japan Sci &amp;amp; Technol Agcy, PREST, Tokyo 1020075, Japan.&amp;#xD;Torii, KU (reprint author), Univ Washington, Dept Biol, Seattle, WA 98195 USA.&amp;#xD;ktorii@u.washington.edu&lt;/auth-address&gt;&lt;rec-number&gt;82&lt;/rec-number&gt;&lt;last-updated-date format="utc"&gt;1354439861&lt;/last-updated-date&gt;&lt;accession-num&gt;WOS:000275926200004&lt;/accession-num&gt;&lt;electronic-resource-num&gt;10.1105/tpc.109.072777&lt;/electronic-resource-num&gt;&lt;volume&gt;22&lt;/volume&gt;&lt;/record&gt;&lt;/Cite&gt;&lt;/EndNote&gt;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(2010)</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t>
      </w:r>
      <w:r w:rsidRPr="006C37DC">
        <w:rPr>
          <w:rFonts w:ascii="Arial" w:eastAsia="Times New Roman" w:hAnsi="Arial" w:cs="Arial"/>
          <w:b/>
          <w:bCs/>
          <w:color w:val="000000"/>
        </w:rPr>
        <w:t>Fig. 12</w:t>
      </w:r>
      <w:r w:rsidRPr="006C37DC">
        <w:rPr>
          <w:rFonts w:ascii="Arial" w:eastAsia="Times New Roman" w:hAnsi="Arial" w:cs="Arial"/>
          <w:bCs/>
          <w:color w:val="000000"/>
        </w:rPr>
        <w:t xml:space="preserve">). Having corroborated this finding it was decided to test whether, like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if PpTMM could function in Arabidopsis in the absence of the native </w:t>
      </w:r>
      <w:r w:rsidRPr="006C37DC">
        <w:rPr>
          <w:rFonts w:ascii="Arial" w:eastAsia="Times New Roman" w:hAnsi="Arial" w:cs="Arial"/>
          <w:bCs/>
          <w:i/>
          <w:color w:val="000000"/>
        </w:rPr>
        <w:t xml:space="preserve">AtTMM </w:t>
      </w:r>
      <w:r w:rsidRPr="006C37DC">
        <w:rPr>
          <w:rFonts w:ascii="Arial" w:eastAsia="Times New Roman" w:hAnsi="Arial" w:cs="Arial"/>
          <w:bCs/>
          <w:color w:val="000000"/>
        </w:rPr>
        <w:t xml:space="preserve">in the </w:t>
      </w:r>
      <w:r w:rsidRPr="006C37DC">
        <w:rPr>
          <w:rFonts w:ascii="Arial" w:eastAsia="Times New Roman" w:hAnsi="Arial" w:cs="Arial"/>
          <w:bCs/>
          <w:i/>
          <w:color w:val="000000"/>
        </w:rPr>
        <w:t xml:space="preserve">attmm </w:t>
      </w:r>
      <w:r w:rsidRPr="006C37DC">
        <w:rPr>
          <w:rFonts w:ascii="Arial" w:eastAsia="Times New Roman" w:hAnsi="Arial" w:cs="Arial"/>
          <w:bCs/>
          <w:color w:val="000000"/>
        </w:rPr>
        <w:t>mutant background by rescuing the stomatal phenotype (</w:t>
      </w:r>
      <w:r w:rsidRPr="006C37DC">
        <w:rPr>
          <w:rFonts w:ascii="Arial" w:eastAsia="Times New Roman" w:hAnsi="Arial" w:cs="Arial"/>
          <w:b/>
          <w:bCs/>
          <w:color w:val="000000"/>
        </w:rPr>
        <w:t>Fig. 12</w:t>
      </w:r>
      <w:r w:rsidRPr="006C37DC">
        <w:rPr>
          <w:rFonts w:ascii="Arial" w:eastAsia="Times New Roman" w:hAnsi="Arial" w:cs="Arial"/>
          <w:bCs/>
          <w:color w:val="000000"/>
        </w:rPr>
        <w:t xml:space="preserve">). </w:t>
      </w:r>
    </w:p>
    <w:p w14:paraId="323E092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
          <w:bCs/>
          <w:noProof/>
          <w:color w:val="000000"/>
          <w:lang w:eastAsia="ja-JP"/>
        </w:rPr>
        <w:lastRenderedPageBreak/>
        <w:drawing>
          <wp:inline distT="0" distB="0" distL="0" distR="0" wp14:anchorId="09CD417B" wp14:editId="330EC852">
            <wp:extent cx="5682343" cy="5215168"/>
            <wp:effectExtent l="0" t="0" r="0" b="508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mm tree.png"/>
                    <pic:cNvPicPr/>
                  </pic:nvPicPr>
                  <pic:blipFill>
                    <a:blip r:embed="rId61">
                      <a:extLst>
                        <a:ext uri="{28A0092B-C50C-407E-A947-70E740481C1C}">
                          <a14:useLocalDpi xmlns:a14="http://schemas.microsoft.com/office/drawing/2010/main" val="0"/>
                        </a:ext>
                      </a:extLst>
                    </a:blip>
                    <a:stretch>
                      <a:fillRect/>
                    </a:stretch>
                  </pic:blipFill>
                  <pic:spPr>
                    <a:xfrm>
                      <a:off x="0" y="0"/>
                      <a:ext cx="5685610" cy="5218166"/>
                    </a:xfrm>
                    <a:prstGeom prst="rect">
                      <a:avLst/>
                    </a:prstGeom>
                  </pic:spPr>
                </pic:pic>
              </a:graphicData>
            </a:graphic>
          </wp:inline>
        </w:drawing>
      </w:r>
      <w:r w:rsidRPr="006C37DC">
        <w:rPr>
          <w:rFonts w:ascii="Arial" w:eastAsia="Times New Roman" w:hAnsi="Arial" w:cs="Arial"/>
          <w:b/>
          <w:bCs/>
          <w:color w:val="000000"/>
        </w:rPr>
        <w:t xml:space="preserve"> Figure 12. Phylogenetic relationship of TMM and closely related peptides in selected vascular and non-vascular land plant representatives</w:t>
      </w:r>
      <w:r w:rsidRPr="006C37DC">
        <w:rPr>
          <w:rFonts w:ascii="Arial" w:eastAsia="Times New Roman" w:hAnsi="Arial" w:cs="Arial"/>
          <w:bCs/>
          <w:color w:val="000000"/>
        </w:rPr>
        <w:t xml:space="preserve">. Amino acid sequences were obtained by via gene family predictions of genes related to </w:t>
      </w:r>
      <w:r w:rsidRPr="006C37DC">
        <w:rPr>
          <w:rFonts w:ascii="Arial" w:eastAsia="Times New Roman" w:hAnsi="Arial" w:cs="Arial"/>
          <w:bCs/>
          <w:i/>
          <w:color w:val="000000"/>
        </w:rPr>
        <w:t>AtTMM</w:t>
      </w:r>
      <w:r w:rsidRPr="006C37DC">
        <w:rPr>
          <w:rFonts w:ascii="Arial" w:eastAsia="Times New Roman" w:hAnsi="Arial" w:cs="Arial"/>
          <w:bCs/>
          <w:color w:val="000000"/>
        </w:rPr>
        <w:t xml:space="preserve"> on Phytozome V11. Sequences were aligned using the MUSCLE alignment algorithm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&lt;EndNote&gt;&lt;Cite&gt;&lt;Author&gt;Edgar&lt;/Author&gt;&lt;Year&gt;2004&lt;/Year&gt;&lt;IDText&gt;MUSCLE: a multiple sequence alignment method with reduced time and space complexity&lt;/IDText&gt;&lt;DisplayText&gt;(Edgar, 2004)&lt;/DisplayText&gt;&lt;record&gt;&lt;dates&gt;&lt;pub-dates&gt;&lt;date&gt;Aug 19&lt;/date&gt;&lt;/pub-dates&gt;&lt;year&gt;2004&lt;/year&gt;&lt;/dates&gt;&lt;keywords&gt;&lt;keyword&gt;Cluster Analysis&lt;/keyword&gt;&lt;keyword&gt;Computational Biology/methods/statistics &amp;amp; numerical data/trends&lt;/keyword&gt;&lt;keyword&gt;Phylogeny&lt;/keyword&gt;&lt;keyword&gt;Sequence Alignment/*methods/statistics &amp;amp; numerical data/*trends&lt;/keyword&gt;&lt;keyword&gt;*Software&lt;/keyword&gt;&lt;keyword&gt;Software Design&lt;/keyword&gt;&lt;keyword&gt;Time Factors&lt;/keyword&gt;&lt;/keywords&gt;&lt;isbn&gt;1471-2105&lt;/isbn&gt;&lt;custom2&gt;PMC517706&lt;/custom2&gt;&lt;titles&gt;&lt;title&gt;MUSCLE: a multiple sequence alignment method with reduced time and space complexity&lt;/title&gt;&lt;secondary-title&gt;BMC Bioinformatics&lt;/secondary-title&gt;&lt;alt-title&gt;BMC bioinformatics&lt;/alt-title&gt;&lt;/titles&gt;&lt;pages&gt;113&lt;/pages&gt;&lt;contributors&gt;&lt;authors&gt;&lt;author&gt;Edgar, R. C.&lt;/author&gt;&lt;/authors&gt;&lt;/contributors&gt;&lt;edition&gt;2004/08/21&lt;/edition&gt;&lt;language&gt;eng&lt;/language&gt;&lt;added-date format="utc"&gt;1452355510&lt;/added-date&gt;&lt;ref-type name="Journal Article"&gt;17&lt;/ref-type&gt;&lt;auth-address&gt;Department of Plant and Microbial Biology, 461 Koshland Hall, University of California, Berkeley, CA 94720-3102, USA. bob@drive5.com&lt;/auth-address&gt;&lt;remote-database-provider&gt;NLM&lt;/remote-database-provider&gt;&lt;rec-number&gt;420&lt;/rec-number&gt;&lt;last-updated-date format="utc"&gt;1452355510&lt;/last-updated-date&gt;&lt;accession-num&gt;15318951&lt;/accession-num&gt;&lt;electronic-resource-num&gt;10.1186/1471-2105-5-113&lt;/electronic-resource-num&gt;&lt;volume&gt;5&lt;/volume&gt;&lt;/record&gt;&lt;/Cite&gt;&lt;/EndNote&gt;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(Edgar, 2004)</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in MEGA6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&lt;EndNote&gt;&lt;Cite&gt;&lt;Author&gt;Tamura&lt;/Author&gt;&lt;Year&gt;2013&lt;/Year&gt;&lt;IDText&gt;MEGA6: Molecular Evolutionary Genetics Analysis version 6.0&lt;/IDText&gt;&lt;DisplayText&gt;(Tamura et al., 2013)&lt;/DisplayText&gt;&lt;record&gt;&lt;dates&gt;&lt;pub-dates&gt;&lt;date&gt;Dec&lt;/date&gt;&lt;/pub-dates&gt;&lt;year&gt;2013&lt;/year&gt;&lt;/dates&gt;&lt;keywords&gt;&lt;keyword&gt;Algorithms&lt;/keyword&gt;&lt;keyword&gt;Databases, Genetic&lt;/keyword&gt;&lt;keyword&gt;*Evolution, Molecular&lt;/keyword&gt;&lt;keyword&gt;Internet&lt;/keyword&gt;&lt;keyword&gt;Phylogeny&lt;/keyword&gt;&lt;keyword&gt;*Software&lt;/keyword&gt;&lt;keyword&gt;*User-Computer Interface&lt;/keyword&gt;&lt;keyword&gt;phylogeny&lt;/keyword&gt;&lt;keyword&gt;relaxed clocks&lt;/keyword&gt;&lt;keyword&gt;software&lt;/keyword&gt;&lt;/keywords&gt;&lt;isbn&gt;0737-4038&lt;/isbn&gt;&lt;custom2&gt;PMC3840312&lt;/custom2&gt;&lt;titles&gt;&lt;title&gt;MEGA6: Molecular Evolutionary Genetics Analysis version 6.0&lt;/title&gt;&lt;secondary-title&gt;Mol Biol Evol&lt;/secondary-title&gt;&lt;alt-title&gt;Molecular biology and evolution&lt;/alt-title&gt;&lt;/titles&gt;&lt;pages&gt;2725-9&lt;/pages&gt;&lt;number&gt;12&lt;/number&gt;&lt;contributors&gt;&lt;authors&gt;&lt;author&gt;Tamura, K.&lt;/author&gt;&lt;author&gt;Stecher, G.&lt;/author&gt;&lt;author&gt;Peterson, D.&lt;/author&gt;&lt;author&gt;Filipski, A.&lt;/author&gt;&lt;author&gt;Kumar, S.&lt;/author&gt;&lt;/authors&gt;&lt;/contributors&gt;&lt;edition&gt;2013/10/18&lt;/edition&gt;&lt;language&gt;eng&lt;/language&gt;&lt;added-date format="utc"&gt;1453907986&lt;/added-date&gt;&lt;ref-type name="Journal Article"&gt;17&lt;/ref-type&gt;&lt;auth-address&gt;Research Center for Genomics and Bioinformatics, Tokyo Metropolitan University, Hachioji, Tokyo, Japan.&lt;/auth-address&gt;&lt;remote-database-provider&gt;NLM&lt;/remote-database-provider&gt;&lt;rec-number&gt;455&lt;/rec-number&gt;&lt;last-updated-date format="utc"&gt;1453907986&lt;/last-updated-date&gt;&lt;accession-num&gt;24132122&lt;/accession-num&gt;&lt;electronic-resource-num&gt;10.1093/molbev/mst197&lt;/electronic-resource-num&gt;&lt;volume&gt;30&lt;/volume&gt;&lt;/record&gt;&lt;/Cite&gt;&lt;/EndNote&gt;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(Tamura et al.,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To construct the phylogenetic tree the Neighbour-Joining method was used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&lt;EndNote&gt;&lt;Cite&gt;&lt;Author&gt;Saitou&lt;/Author&gt;&lt;Year&gt;1987&lt;/Year&gt;&lt;IDText&gt;The neighbor-joining method: a new method for reconstructing phylogenetic trees&lt;/IDText&gt;&lt;DisplayText&gt;(Saitou and Nei, 1987)&lt;/DisplayText&gt;&lt;record&gt;&lt;dates&gt;&lt;pub-dates&gt;&lt;date&gt;Jul&lt;/date&gt;&lt;/pub-dates&gt;&lt;year&gt;1987&lt;/year&gt;&lt;/dates&gt;&lt;keywords&gt;&lt;keyword&gt;Animals&lt;/keyword&gt;&lt;keyword&gt;Biological Evolution&lt;/keyword&gt;&lt;keyword&gt;Biometry&lt;/keyword&gt;&lt;keyword&gt;*Models, Genetic&lt;/keyword&gt;&lt;keyword&gt;*Phylogeny&lt;/keyword&gt;&lt;keyword&gt;Ranidae/*genetics&lt;/keyword&gt;&lt;/keywords&gt;&lt;isbn&gt;0737-4038 (Print)&amp;#xD;0737-4038&lt;/isbn&gt;&lt;titles&gt;&lt;title&gt;The neighbor-joining method: a new method for reconstructing phylogenetic trees&lt;/title&gt;&lt;secondary-title&gt;Mol Biol Evol&lt;/secondary-title&gt;&lt;alt-title&gt;Molecular biology and evolution&lt;/alt-title&gt;&lt;/titles&gt;&lt;pages&gt;406-25&lt;/pages&gt;&lt;number&gt;4&lt;/number&gt;&lt;contributors&gt;&lt;authors&gt;&lt;author&gt;Saitou, N.&lt;/author&gt;&lt;author&gt;Nei, M.&lt;/author&gt;&lt;/authors&gt;&lt;/contributors&gt;&lt;edition&gt;1987/07/01&lt;/edition&gt;&lt;language&gt;eng&lt;/language&gt;&lt;added-date format="utc"&gt;1453907563&lt;/added-date&gt;&lt;ref-type name="Journal Article"&gt;17&lt;/ref-type&gt;&lt;auth-address&gt;Center for Demographic and Population Genetics, University of Texas Health Science Center, Houston 77225.&lt;/auth-address&gt;&lt;remote-database-provider&gt;NLM&lt;/remote-database-provider&gt;&lt;rec-number&gt;451&lt;/rec-number&gt;&lt;last-updated-date format="utc"&gt;1453907563&lt;/last-updated-date&gt;&lt;accession-num&gt;3447015&lt;/accession-num&gt;&lt;volume&gt;4&lt;/volume&gt;&lt;/record&gt;&lt;/Cite&gt;&lt;/EndNote&gt;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(Saitou and Nei, 1987)</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 bootstrap test (1000 replicates) was performed, with percentages generated listed next to branches to illustrate how often associated taxa cluster together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&lt;EndNote&gt;&lt;Cite&gt;&lt;Author&gt;Felsenstein&lt;/Author&gt;&lt;Year&gt;1985&lt;/Year&gt;&lt;IDText&gt;Confidence Limits on Phylogenies: An Approach Using the Bootstrap&lt;/IDText&gt;&lt;DisplayText&gt;(Felsenstein, 1985)&lt;/DisplayText&gt;&lt;record&gt;&lt;urls&gt;&lt;related-urls&gt;&lt;url&gt;http://www.jstor.org/stable/2408678&lt;/url&gt;&lt;/related-urls&gt;&lt;/urls&gt;&lt;isbn&gt;00143820, 15585646&lt;/isbn&gt;&lt;custom1&gt;Full publication date: Jul., 1985&lt;/custom1&gt;&lt;titles&gt;&lt;title&gt;Confidence Limits on Phylogenies: An Approach Using the Bootstrap&lt;/title&gt;&lt;secondary-title&gt;Evolution&lt;/secondary-title&gt;&lt;/titles&gt;&lt;pages&gt;783-791&lt;/pages&gt;&lt;number&gt;4&lt;/number&gt;&lt;contributors&gt;&lt;authors&gt;&lt;author&gt;Felsenstein, Joseph&lt;/author&gt;&lt;/authors&gt;&lt;/contributors&gt;&lt;added-date format="utc"&gt;1453907641&lt;/added-date&gt;&lt;ref-type name="Journal Article"&gt;17&lt;/ref-type&gt;&lt;dates&gt;&lt;year&gt;1985&lt;/year&gt;&lt;/dates&gt;&lt;rec-number&gt;452&lt;/rec-number&gt;&lt;publisher&gt;[Society for the Study of Evolution, Wiley]&lt;/publisher&gt;&lt;last-updated-date format="utc"&gt;1453907641&lt;/last-updated-date&gt;&lt;electronic-resource-num&gt;10.2307/2408678&lt;/electronic-resource-num&gt;&lt;volume&gt;39&lt;/volume&gt;&lt;/record&gt;&lt;/Cite&gt;&lt;/EndNote&gt;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(Felsenstein, 1985)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 Poisson correction method was used to compute evolutionary distances with units equating to the number of amino acid substitutions per site applied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&lt;EndNote&gt;&lt;Cite&gt;&lt;Author&gt;Zuckerkandl&lt;/Author&gt;&lt;Year&gt;1965&lt;/Year&gt;&lt;IDText&gt;Molecules as documents of evolutionary history&lt;/IDText&gt;&lt;DisplayText&gt;(Zuckerkandl and Pauling, 1965)&lt;/DisplayText&gt;&lt;record&gt;&lt;dates&gt;&lt;pub-dates&gt;&lt;date&gt;Mar&lt;/date&gt;&lt;/pub-dates&gt;&lt;year&gt;1965&lt;/year&gt;&lt;/dates&gt;&lt;keywords&gt;&lt;keyword&gt;Amino Acid Sequence&lt;/keyword&gt;&lt;keyword&gt;*Biological Evolution&lt;/keyword&gt;&lt;keyword&gt;*Genes&lt;/keyword&gt;&lt;keyword&gt;*Genetic Code&lt;/keyword&gt;&lt;keyword&gt;*Macromolecular Substances&lt;/keyword&gt;&lt;keyword&gt;Nucleic Acids&lt;/keyword&gt;&lt;keyword&gt;*RNA, Messenger&lt;/keyword&gt;&lt;/keywords&gt;&lt;isbn&gt;0022-5193 (Print)&amp;#xD;0022-5193&lt;/isbn&gt;&lt;titles&gt;&lt;title&gt;Molecules as documents of evolutionary history&lt;/title&gt;&lt;secondary-title&gt;J Theor Biol&lt;/secondary-title&gt;&lt;alt-title&gt;Journal of theoretical biology&lt;/alt-title&gt;&lt;/titles&gt;&lt;pages&gt;357-66&lt;/pages&gt;&lt;number&gt;2&lt;/number&gt;&lt;contributors&gt;&lt;authors&gt;&lt;author&gt;Zuckerkandl, E.&lt;/author&gt;&lt;author&gt;Pauling, L.&lt;/author&gt;&lt;/authors&gt;&lt;/contributors&gt;&lt;edition&gt;1965/03/01&lt;/edition&gt;&lt;language&gt;eng&lt;/language&gt;&lt;added-date format="utc"&gt;1453907838&lt;/added-date&gt;&lt;ref-type name="Journal Article"&gt;17&lt;/ref-type&gt;&lt;remote-database-provider&gt;NLM&lt;/remote-database-provider&gt;&lt;rec-number&gt;454&lt;/rec-number&gt;&lt;last-updated-date format="utc"&gt;1453907838&lt;/last-updated-date&gt;&lt;accession-num&gt;5876245&lt;/accession-num&gt;&lt;volume&gt;8&lt;/volume&gt;&lt;/record&gt;&lt;/Cite&gt;&lt;/EndNote&gt;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(Zuckerkandl and Pauling, 1965)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All positions containing gaps and missing data were eliminated. The phylogenetic tree was constructed in MEGA6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&lt;EndNote&gt;&lt;Cite&gt;&lt;Author&gt;Tamura&lt;/Author&gt;&lt;Year&gt;2013&lt;/Year&gt;&lt;IDText&gt;MEGA6: Molecular Evolutionary Genetics Analysis version 6.0&lt;/IDText&gt;&lt;DisplayText&gt;(Tamura et al., 2013)&lt;/DisplayText&gt;&lt;record&gt;&lt;dates&gt;&lt;pub-dates&gt;&lt;date&gt;Dec&lt;/date&gt;&lt;/pub-dates&gt;&lt;year&gt;2013&lt;/year&gt;&lt;/dates&gt;&lt;keywords&gt;&lt;keyword&gt;Algorithms&lt;/keyword&gt;&lt;keyword&gt;Databases, Genetic&lt;/keyword&gt;&lt;keyword&gt;*Evolution, Molecular&lt;/keyword&gt;&lt;keyword&gt;Internet&lt;/keyword&gt;&lt;keyword&gt;Phylogeny&lt;/keyword&gt;&lt;keyword&gt;*Software&lt;/keyword&gt;&lt;keyword&gt;*User-Computer Interface&lt;/keyword&gt;&lt;keyword&gt;phylogeny&lt;/keyword&gt;&lt;keyword&gt;relaxed clocks&lt;/keyword&gt;&lt;keyword&gt;software&lt;/keyword&gt;&lt;/keywords&gt;&lt;isbn&gt;0737-4038&lt;/isbn&gt;&lt;custom2&gt;PMC3840312&lt;/custom2&gt;&lt;titles&gt;&lt;title&gt;MEGA6: Molecular Evolutionary Genetics Analysis version 6.0&lt;/title&gt;&lt;secondary-title&gt;Mol Biol Evol&lt;/secondary-title&gt;&lt;alt-title&gt;Molecular biology and evolution&lt;/alt-title&gt;&lt;/titles&gt;&lt;pages&gt;2725-9&lt;/pages&gt;&lt;number&gt;12&lt;/number&gt;&lt;contributors&gt;&lt;authors&gt;&lt;author&gt;Tamura, K.&lt;/author&gt;&lt;author&gt;Stecher, G.&lt;/author&gt;&lt;author&gt;Peterson, D.&lt;/author&gt;&lt;author&gt;Filipski, A.&lt;/author&gt;&lt;author&gt;Kumar, S.&lt;/author&gt;&lt;/authors&gt;&lt;/contributors&gt;&lt;edition&gt;2013/10/18&lt;/edition&gt;&lt;language&gt;eng&lt;/language&gt;&lt;added-date format="utc"&gt;1453907986&lt;/added-date&gt;&lt;ref-type name="Journal Article"&gt;17&lt;/ref-type&gt;&lt;auth-address&gt;Research Center for Genomics and Bioinformatics, Tokyo Metropolitan University, Hachioji, Tokyo, Japan.&lt;/auth-address&gt;&lt;remote-database-provider&gt;NLM&lt;/remote-database-provider&gt;&lt;rec-number&gt;455&lt;/rec-number&gt;&lt;last-updated-date format="utc"&gt;1453907986&lt;/last-updated-date&gt;&lt;accession-num&gt;24132122&lt;/accession-num&gt;&lt;electronic-resource-num&gt;10.1093/molbev/mst197&lt;/electronic-resource-num&gt;&lt;volume&gt;30&lt;/volume&gt;&lt;/record&gt;&lt;/Cite&gt;&lt;/EndNote&gt;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(Tamura et al.,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 abbreviated forms of species prefixes are Sf, </w:t>
      </w:r>
      <w:r w:rsidRPr="006C37DC">
        <w:rPr>
          <w:rFonts w:ascii="Arial" w:eastAsia="Times New Roman" w:hAnsi="Arial" w:cs="Arial"/>
          <w:bCs/>
          <w:i/>
          <w:color w:val="000000"/>
        </w:rPr>
        <w:t>Sphagnum fallax</w:t>
      </w:r>
      <w:r w:rsidRPr="006C37DC">
        <w:rPr>
          <w:rFonts w:ascii="Arial" w:eastAsia="Times New Roman" w:hAnsi="Arial" w:cs="Arial"/>
          <w:bCs/>
          <w:color w:val="000000"/>
        </w:rPr>
        <w:t xml:space="preserve">; Pp, </w:t>
      </w:r>
      <w:r w:rsidRPr="006C37DC">
        <w:rPr>
          <w:rFonts w:ascii="Arial" w:eastAsia="Times New Roman" w:hAnsi="Arial" w:cs="Arial"/>
          <w:bCs/>
          <w:i/>
          <w:color w:val="000000"/>
        </w:rPr>
        <w:t>Physcomitrella patens</w:t>
      </w:r>
      <w:r w:rsidRPr="006C37DC">
        <w:rPr>
          <w:rFonts w:ascii="Arial" w:eastAsia="Times New Roman" w:hAnsi="Arial" w:cs="Arial"/>
          <w:bCs/>
          <w:color w:val="000000"/>
        </w:rPr>
        <w:t xml:space="preserve">; Sm, </w:t>
      </w:r>
      <w:r w:rsidRPr="006C37DC">
        <w:rPr>
          <w:rFonts w:ascii="Arial" w:eastAsia="Times New Roman" w:hAnsi="Arial" w:cs="Arial"/>
          <w:bCs/>
          <w:i/>
          <w:color w:val="000000"/>
        </w:rPr>
        <w:t>Selaginella moellendorffii</w:t>
      </w:r>
      <w:r w:rsidRPr="006C37DC">
        <w:rPr>
          <w:rFonts w:ascii="Arial" w:eastAsia="Times New Roman" w:hAnsi="Arial" w:cs="Arial"/>
          <w:bCs/>
          <w:color w:val="000000"/>
        </w:rPr>
        <w:t xml:space="preserve">, Os, </w:t>
      </w:r>
      <w:r w:rsidRPr="006C37DC">
        <w:rPr>
          <w:rFonts w:ascii="Arial" w:eastAsia="Times New Roman" w:hAnsi="Arial" w:cs="Arial"/>
          <w:bCs/>
          <w:i/>
          <w:color w:val="000000"/>
        </w:rPr>
        <w:t>Oryza sativa</w:t>
      </w:r>
      <w:r w:rsidRPr="006C37DC">
        <w:rPr>
          <w:rFonts w:ascii="Arial" w:eastAsia="Times New Roman" w:hAnsi="Arial" w:cs="Arial"/>
          <w:bCs/>
          <w:color w:val="000000"/>
        </w:rPr>
        <w:t xml:space="preserve">; Eg, </w:t>
      </w:r>
      <w:r w:rsidRPr="006C37DC">
        <w:rPr>
          <w:rFonts w:ascii="Arial" w:eastAsia="Times New Roman" w:hAnsi="Arial" w:cs="Arial"/>
          <w:bCs/>
          <w:i/>
          <w:color w:val="000000"/>
        </w:rPr>
        <w:t xml:space="preserve">Eucalyptus grandis; </w:t>
      </w:r>
      <w:r w:rsidRPr="006C37DC">
        <w:rPr>
          <w:rFonts w:ascii="Arial" w:eastAsia="Times New Roman" w:hAnsi="Arial" w:cs="Arial"/>
          <w:bCs/>
          <w:color w:val="000000"/>
        </w:rPr>
        <w:t xml:space="preserve">At, </w:t>
      </w:r>
      <w:r w:rsidRPr="006C37DC">
        <w:rPr>
          <w:rFonts w:ascii="Arial" w:eastAsia="Times New Roman" w:hAnsi="Arial" w:cs="Arial"/>
          <w:bCs/>
          <w:i/>
          <w:color w:val="000000"/>
        </w:rPr>
        <w:t>Arabidopsis thaliana</w:t>
      </w:r>
      <w:r w:rsidRPr="006C37DC">
        <w:rPr>
          <w:rFonts w:ascii="Arial" w:eastAsia="Times New Roman" w:hAnsi="Arial" w:cs="Arial"/>
          <w:bCs/>
          <w:color w:val="000000"/>
        </w:rPr>
        <w:t xml:space="preserve">. See </w:t>
      </w:r>
      <w:r w:rsidRPr="006C37DC">
        <w:rPr>
          <w:rFonts w:ascii="Arial" w:eastAsia="Times New Roman" w:hAnsi="Arial" w:cs="Arial"/>
          <w:b/>
          <w:bCs/>
          <w:color w:val="000000"/>
        </w:rPr>
        <w:t>appendix 1</w:t>
      </w:r>
      <w:r w:rsidRPr="006C37DC">
        <w:rPr>
          <w:rFonts w:ascii="Arial" w:eastAsia="Times New Roman" w:hAnsi="Arial" w:cs="Arial"/>
          <w:bCs/>
          <w:color w:val="000000"/>
        </w:rPr>
        <w:t xml:space="preserve"> for accession details of genes used in this study. For accessions relating to </w:t>
      </w:r>
      <w:r w:rsidRPr="006C37DC">
        <w:rPr>
          <w:rFonts w:ascii="Arial" w:eastAsia="Times New Roman" w:hAnsi="Arial" w:cs="Arial"/>
          <w:bCs/>
          <w:i/>
          <w:color w:val="000000"/>
        </w:rPr>
        <w:t xml:space="preserve">S. moellendorffii </w:t>
      </w:r>
      <w:r w:rsidRPr="006C37DC">
        <w:rPr>
          <w:rFonts w:ascii="Arial" w:eastAsia="Times New Roman" w:hAnsi="Arial" w:cs="Arial"/>
          <w:bCs/>
          <w:color w:val="000000"/>
        </w:rPr>
        <w:t>Sm has been added for identification purposes.</w:t>
      </w:r>
    </w:p>
    <w:p w14:paraId="1F8C1B72" w14:textId="410D896F"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lastRenderedPageBreak/>
        <w:t xml:space="preserve">To test if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could complement </w:t>
      </w:r>
      <w:r w:rsidRPr="006C37DC">
        <w:rPr>
          <w:rFonts w:ascii="Arial" w:eastAsia="Times New Roman" w:hAnsi="Arial" w:cs="Arial"/>
          <w:bCs/>
          <w:i/>
          <w:color w:val="000000"/>
        </w:rPr>
        <w:t>attmm</w:t>
      </w:r>
      <w:r w:rsidRPr="006C37DC">
        <w:rPr>
          <w:rFonts w:ascii="Arial" w:eastAsia="Times New Roman" w:hAnsi="Arial" w:cs="Arial"/>
          <w:bCs/>
          <w:color w:val="000000"/>
        </w:rPr>
        <w:t xml:space="preserve">, the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coding sequence was fused in front of the native </w:t>
      </w:r>
      <w:r w:rsidRPr="006C37DC">
        <w:rPr>
          <w:rFonts w:ascii="Arial" w:eastAsia="Times New Roman" w:hAnsi="Arial" w:cs="Arial"/>
          <w:bCs/>
          <w:i/>
          <w:color w:val="000000"/>
        </w:rPr>
        <w:t xml:space="preserve">AtTMM </w:t>
      </w:r>
      <w:r w:rsidRPr="006C37DC">
        <w:rPr>
          <w:rFonts w:ascii="Arial" w:eastAsia="Times New Roman" w:hAnsi="Arial" w:cs="Arial"/>
          <w:bCs/>
          <w:color w:val="000000"/>
        </w:rPr>
        <w:t xml:space="preserve">promoter specified by Dr Lee Hunt (personal communication). Quantification of stomatal density of mature rosette leaves showed no difference between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expressing lines and the </w:t>
      </w:r>
      <w:r w:rsidRPr="006C37DC">
        <w:rPr>
          <w:rFonts w:ascii="Arial" w:eastAsia="Times New Roman" w:hAnsi="Arial" w:cs="Arial"/>
          <w:bCs/>
          <w:i/>
          <w:color w:val="000000"/>
        </w:rPr>
        <w:t xml:space="preserve">attmm </w:t>
      </w:r>
      <w:r w:rsidRPr="006C37DC">
        <w:rPr>
          <w:rFonts w:ascii="Arial" w:eastAsia="Times New Roman" w:hAnsi="Arial" w:cs="Arial"/>
          <w:bCs/>
          <w:color w:val="000000"/>
        </w:rPr>
        <w:t>untransformed background (</w:t>
      </w:r>
      <w:r w:rsidRPr="006C37DC">
        <w:rPr>
          <w:rFonts w:ascii="Arial" w:eastAsia="Times New Roman" w:hAnsi="Arial" w:cs="Arial"/>
          <w:b/>
          <w:bCs/>
          <w:color w:val="000000"/>
        </w:rPr>
        <w:t>Fig. 13a</w:t>
      </w:r>
      <w:r w:rsidRPr="006C37DC">
        <w:rPr>
          <w:rFonts w:ascii="Arial" w:eastAsia="Times New Roman" w:hAnsi="Arial" w:cs="Arial"/>
          <w:bCs/>
          <w:color w:val="000000"/>
        </w:rPr>
        <w:t>) and neither were any apparent reductions in stomatal clustering present apparent. To target an organ more analogous to a sporophyte capsule base, the stomata on the base of the flower stalk were also analysed (</w:t>
      </w:r>
      <w:r w:rsidRPr="006C37DC">
        <w:rPr>
          <w:rFonts w:ascii="Arial" w:eastAsia="Times New Roman" w:hAnsi="Arial" w:cs="Arial"/>
          <w:b/>
          <w:bCs/>
          <w:color w:val="000000"/>
        </w:rPr>
        <w:t>Fig. 13b</w:t>
      </w:r>
      <w:r w:rsidRPr="006C37DC">
        <w:rPr>
          <w:rFonts w:ascii="Arial" w:eastAsia="Times New Roman" w:hAnsi="Arial" w:cs="Arial"/>
          <w:bCs/>
          <w:color w:val="000000"/>
        </w:rPr>
        <w:t xml:space="preserve">). As previously mentioned, in Arabidopsis </w:t>
      </w:r>
      <w:r w:rsidRPr="006C37DC">
        <w:rPr>
          <w:rFonts w:ascii="Arial" w:eastAsia="Times New Roman" w:hAnsi="Arial" w:cs="Arial"/>
          <w:bCs/>
          <w:i/>
          <w:color w:val="000000"/>
        </w:rPr>
        <w:t xml:space="preserve">tmm </w:t>
      </w:r>
      <w:r w:rsidRPr="006C37DC">
        <w:rPr>
          <w:rFonts w:ascii="Arial" w:eastAsia="Times New Roman" w:hAnsi="Arial" w:cs="Arial"/>
          <w:bCs/>
          <w:color w:val="000000"/>
        </w:rPr>
        <w:t>mutants display a gradient of phenotypes in this organ ranging from no stomata at the base to many stomata that often cluster at the apex (</w:t>
      </w:r>
      <w:r w:rsidRPr="006C37DC">
        <w:rPr>
          <w:rFonts w:ascii="Arial" w:eastAsia="Times New Roman" w:hAnsi="Arial" w:cs="Arial"/>
          <w:b/>
          <w:bCs/>
          <w:color w:val="000000"/>
        </w:rPr>
        <w:t>Fig. 5</w:t>
      </w:r>
      <w:r w:rsidRPr="006C37DC">
        <w:rPr>
          <w:rFonts w:ascii="Arial" w:eastAsia="Times New Roman" w:hAnsi="Arial" w:cs="Arial"/>
          <w:bCs/>
          <w:color w:val="000000"/>
        </w:rPr>
        <w:t xml:space="preserve">). To address this gradient of phenotypes the base, middle and apices of flower stalks were counted to obtain stomatal density values. Whilst </w:t>
      </w:r>
      <w:r w:rsidRPr="003C7D86">
        <w:rPr>
          <w:rFonts w:ascii="Arial" w:eastAsia="Times New Roman" w:hAnsi="Arial" w:cs="Arial"/>
          <w:bCs/>
          <w:color w:val="000000"/>
        </w:rPr>
        <w:t>PpTMM</w:t>
      </w:r>
      <w:r w:rsidRPr="006C37DC">
        <w:rPr>
          <w:rFonts w:ascii="Arial" w:eastAsia="Times New Roman" w:hAnsi="Arial" w:cs="Arial"/>
          <w:bCs/>
          <w:i/>
          <w:color w:val="000000"/>
        </w:rPr>
        <w:t xml:space="preserve"> </w:t>
      </w:r>
      <w:r w:rsidR="003C7D86">
        <w:rPr>
          <w:rFonts w:ascii="Arial" w:eastAsia="Times New Roman" w:hAnsi="Arial" w:cs="Arial"/>
          <w:bCs/>
          <w:color w:val="000000"/>
        </w:rPr>
        <w:t>complemented plants were</w:t>
      </w:r>
      <w:r w:rsidRPr="006C37DC">
        <w:rPr>
          <w:rFonts w:ascii="Arial" w:eastAsia="Times New Roman" w:hAnsi="Arial" w:cs="Arial"/>
          <w:bCs/>
          <w:color w:val="000000"/>
        </w:rPr>
        <w:t xml:space="preserve"> unable to induce stomata at the flower stalk base </w:t>
      </w:r>
      <w:r w:rsidR="003C7D86">
        <w:rPr>
          <w:rFonts w:ascii="Arial" w:eastAsia="Times New Roman" w:hAnsi="Arial" w:cs="Arial"/>
          <w:bCs/>
          <w:color w:val="000000"/>
        </w:rPr>
        <w:t xml:space="preserve">a partial rescue of stomatal </w:t>
      </w:r>
      <w:r w:rsidRPr="006C37DC">
        <w:rPr>
          <w:rFonts w:ascii="Arial" w:eastAsia="Times New Roman" w:hAnsi="Arial" w:cs="Arial"/>
          <w:bCs/>
          <w:color w:val="000000"/>
        </w:rPr>
        <w:t>phenotypes</w:t>
      </w:r>
      <w:r w:rsidR="004E7161">
        <w:rPr>
          <w:rFonts w:ascii="Arial" w:eastAsia="Times New Roman" w:hAnsi="Arial" w:cs="Arial"/>
          <w:bCs/>
          <w:color w:val="000000"/>
        </w:rPr>
        <w:t xml:space="preserve"> were observed in the middle and </w:t>
      </w:r>
      <w:r w:rsidRPr="006C37DC">
        <w:rPr>
          <w:rFonts w:ascii="Arial" w:eastAsia="Times New Roman" w:hAnsi="Arial" w:cs="Arial"/>
          <w:bCs/>
          <w:color w:val="000000"/>
        </w:rPr>
        <w:t>apical portions of the flower stalk, where stomatal density values were closer to wild-type values (</w:t>
      </w:r>
      <w:r w:rsidRPr="006C37DC">
        <w:rPr>
          <w:rFonts w:ascii="Arial" w:eastAsia="Times New Roman" w:hAnsi="Arial" w:cs="Arial"/>
          <w:b/>
          <w:bCs/>
          <w:color w:val="000000"/>
        </w:rPr>
        <w:t>Fig. 13b</w:t>
      </w:r>
      <w:r w:rsidRPr="006C37DC">
        <w:rPr>
          <w:rFonts w:ascii="Arial" w:eastAsia="Times New Roman" w:hAnsi="Arial" w:cs="Arial"/>
          <w:bCs/>
          <w:color w:val="000000"/>
        </w:rPr>
        <w:t>). However, owing to the large variability and the rather small sample number no significant differences were detected between any of the samples when two individual multiple comparisons one-way ANOVAs were performed for the middle and apical values obtained.</w:t>
      </w:r>
    </w:p>
    <w:p w14:paraId="5D05AE7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noProof/>
          <w:color w:val="000000"/>
          <w:lang w:eastAsia="ja-JP"/>
        </w:rPr>
        <w:drawing>
          <wp:inline distT="0" distB="0" distL="0" distR="0" wp14:anchorId="51A13664" wp14:editId="37C97E37">
            <wp:extent cx="5778792" cy="2981739"/>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mm complementation fig.png"/>
                    <pic:cNvPicPr/>
                  </pic:nvPicPr>
                  <pic:blipFill rotWithShape="1">
                    <a:blip r:embed="rId62" cstate="print">
                      <a:extLst>
                        <a:ext uri="{28A0092B-C50C-407E-A947-70E740481C1C}">
                          <a14:useLocalDpi xmlns:a14="http://schemas.microsoft.com/office/drawing/2010/main" val="0"/>
                        </a:ext>
                      </a:extLst>
                    </a:blip>
                    <a:srcRect t="3900" b="4442"/>
                    <a:stretch/>
                  </pic:blipFill>
                  <pic:spPr bwMode="auto">
                    <a:xfrm>
                      <a:off x="0" y="0"/>
                      <a:ext cx="5787648" cy="2986309"/>
                    </a:xfrm>
                    <a:prstGeom prst="rect">
                      <a:avLst/>
                    </a:prstGeom>
                    <a:ln>
                      <a:noFill/>
                    </a:ln>
                    <a:extLst>
                      <a:ext uri="{53640926-AAD7-44D8-BBD7-CCE9431645EC}">
                        <a14:shadowObscured xmlns:a14="http://schemas.microsoft.com/office/drawing/2010/main"/>
                      </a:ext>
                    </a:extLst>
                  </pic:spPr>
                </pic:pic>
              </a:graphicData>
            </a:graphic>
          </wp:inline>
        </w:drawing>
      </w:r>
    </w:p>
    <w:p w14:paraId="3E021093" w14:textId="77777777" w:rsidR="006C37DC" w:rsidRPr="006C37DC"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
          <w:bCs/>
          <w:color w:val="000000"/>
        </w:rPr>
        <w:t xml:space="preserve">Figure 13. </w:t>
      </w:r>
      <w:r w:rsidRPr="006C37DC">
        <w:rPr>
          <w:rFonts w:ascii="Arial" w:eastAsia="Times New Roman" w:hAnsi="Arial" w:cs="Arial"/>
          <w:b/>
          <w:bCs/>
          <w:i/>
          <w:color w:val="000000"/>
        </w:rPr>
        <w:t xml:space="preserve">PpTMM </w:t>
      </w:r>
      <w:r w:rsidRPr="006C37DC">
        <w:rPr>
          <w:rFonts w:ascii="Arial" w:eastAsia="Times New Roman" w:hAnsi="Arial" w:cs="Arial"/>
          <w:b/>
          <w:bCs/>
          <w:color w:val="000000"/>
        </w:rPr>
        <w:t xml:space="preserve">can partially rescue the </w:t>
      </w:r>
      <w:r w:rsidRPr="006C37DC">
        <w:rPr>
          <w:rFonts w:ascii="Arial" w:eastAsia="Times New Roman" w:hAnsi="Arial" w:cs="Arial"/>
          <w:b/>
          <w:bCs/>
          <w:i/>
          <w:color w:val="000000"/>
        </w:rPr>
        <w:t xml:space="preserve">attmm </w:t>
      </w:r>
      <w:r w:rsidRPr="006C37DC">
        <w:rPr>
          <w:rFonts w:ascii="Arial" w:eastAsia="Times New Roman" w:hAnsi="Arial" w:cs="Arial"/>
          <w:b/>
          <w:bCs/>
          <w:color w:val="000000"/>
        </w:rPr>
        <w:t xml:space="preserve">stomatal phenotype in the flower stalk but cannot rescue the mature rosette leaf phenotype.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xml:space="preserve">) Stomatal densities from mature fully expanded rosette leaves of </w:t>
      </w:r>
      <w:r w:rsidRPr="006C37DC">
        <w:rPr>
          <w:rFonts w:ascii="Arial" w:eastAsia="Times New Roman" w:hAnsi="Arial" w:cs="Arial"/>
          <w:bCs/>
          <w:i/>
          <w:color w:val="000000"/>
        </w:rPr>
        <w:t xml:space="preserve">attmm </w:t>
      </w:r>
      <w:r w:rsidRPr="006C37DC">
        <w:rPr>
          <w:rFonts w:ascii="Arial" w:eastAsia="Times New Roman" w:hAnsi="Arial" w:cs="Arial"/>
          <w:bCs/>
          <w:color w:val="000000"/>
        </w:rPr>
        <w:t xml:space="preserve">transformed with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under the </w:t>
      </w:r>
      <w:r w:rsidRPr="006C37DC">
        <w:rPr>
          <w:rFonts w:ascii="Arial" w:eastAsia="Times New Roman" w:hAnsi="Arial" w:cs="Arial"/>
          <w:bCs/>
          <w:i/>
          <w:color w:val="000000"/>
        </w:rPr>
        <w:t xml:space="preserve">AtTMM </w:t>
      </w:r>
      <w:r w:rsidRPr="006C37DC">
        <w:rPr>
          <w:rFonts w:ascii="Arial" w:eastAsia="Times New Roman" w:hAnsi="Arial" w:cs="Arial"/>
          <w:bCs/>
          <w:color w:val="000000"/>
        </w:rPr>
        <w:t>promoter as specified by Dr Lee Hunt (Personal communication. (</w:t>
      </w:r>
      <w:r w:rsidRPr="006C37DC">
        <w:rPr>
          <w:rFonts w:ascii="Arial" w:eastAsia="Times New Roman" w:hAnsi="Arial" w:cs="Arial"/>
          <w:b/>
          <w:bCs/>
          <w:color w:val="000000"/>
        </w:rPr>
        <w:t>b</w:t>
      </w:r>
      <w:r w:rsidRPr="006C37DC">
        <w:rPr>
          <w:rFonts w:ascii="Arial" w:eastAsia="Times New Roman" w:hAnsi="Arial" w:cs="Arial"/>
          <w:bCs/>
          <w:color w:val="000000"/>
        </w:rPr>
        <w:t>) Stomatal densities from the flower stalk of equivalent lines used in (</w:t>
      </w:r>
      <w:r w:rsidRPr="006C37DC">
        <w:rPr>
          <w:rFonts w:ascii="Arial" w:eastAsia="Times New Roman" w:hAnsi="Arial" w:cs="Arial"/>
          <w:b/>
          <w:bCs/>
          <w:color w:val="000000"/>
        </w:rPr>
        <w:t>a</w:t>
      </w:r>
      <w:r w:rsidRPr="006C37DC">
        <w:rPr>
          <w:rFonts w:ascii="Arial" w:eastAsia="Times New Roman" w:hAnsi="Arial" w:cs="Arial"/>
          <w:bCs/>
          <w:color w:val="000000"/>
        </w:rPr>
        <w:t xml:space="preserve">). </w:t>
      </w:r>
      <w:r w:rsidRPr="006C37DC">
        <w:rPr>
          <w:rFonts w:ascii="Arial" w:eastAsia="Times New Roman" w:hAnsi="Arial" w:cs="Arial"/>
          <w:bCs/>
          <w:color w:val="000000"/>
          <w:lang w:bidi="en-US"/>
        </w:rPr>
        <w:t>For (</w:t>
      </w:r>
      <w:r w:rsidRPr="006C37DC">
        <w:rPr>
          <w:rFonts w:ascii="Arial" w:eastAsia="Times New Roman" w:hAnsi="Arial" w:cs="Arial"/>
          <w:b/>
          <w:bCs/>
          <w:color w:val="000000"/>
          <w:lang w:bidi="en-US"/>
        </w:rPr>
        <w:t>a</w:t>
      </w:r>
      <w:r w:rsidRPr="006C37DC">
        <w:rPr>
          <w:rFonts w:ascii="Arial" w:eastAsia="Times New Roman" w:hAnsi="Arial" w:cs="Arial"/>
          <w:bCs/>
          <w:color w:val="000000"/>
        </w:rPr>
        <w:t>-</w:t>
      </w:r>
      <w:r w:rsidRPr="006C37DC">
        <w:rPr>
          <w:rFonts w:ascii="Arial" w:eastAsia="Times New Roman" w:hAnsi="Arial" w:cs="Arial"/>
          <w:b/>
          <w:bCs/>
          <w:color w:val="000000"/>
          <w:lang w:bidi="en-US"/>
        </w:rPr>
        <w:t>b</w:t>
      </w:r>
      <w:r w:rsidRPr="006C37DC">
        <w:rPr>
          <w:rFonts w:ascii="Arial" w:eastAsia="Times New Roman" w:hAnsi="Arial" w:cs="Arial"/>
          <w:bCs/>
          <w:color w:val="000000"/>
          <w:lang w:bidi="en-US"/>
        </w:rPr>
        <w:t>) lines marked with different letters within a graph can be distinguished from each other by (</w:t>
      </w:r>
      <w:r w:rsidRPr="006C37DC">
        <w:rPr>
          <w:rFonts w:ascii="Arial" w:eastAsia="Times New Roman" w:hAnsi="Arial" w:cs="Arial"/>
          <w:bCs/>
          <w:i/>
          <w:color w:val="000000"/>
          <w:lang w:bidi="en-US"/>
        </w:rPr>
        <w:t>P</w:t>
      </w:r>
      <w:r w:rsidRPr="006C37DC">
        <w:rPr>
          <w:rFonts w:ascii="Arial" w:eastAsia="Times New Roman" w:hAnsi="Arial" w:cs="Arial"/>
          <w:bCs/>
          <w:color w:val="000000"/>
          <w:lang w:bidi="en-US"/>
        </w:rPr>
        <w:t xml:space="preserve"> ≤ 0.0001). For each graph a </w:t>
      </w:r>
      <w:r w:rsidRPr="006C37DC">
        <w:rPr>
          <w:rFonts w:ascii="Arial" w:eastAsia="Times New Roman" w:hAnsi="Arial" w:cs="Arial"/>
          <w:bCs/>
          <w:color w:val="000000"/>
          <w:lang w:bidi="en-US"/>
        </w:rPr>
        <w:lastRenderedPageBreak/>
        <w:t xml:space="preserve">separate one-way ANOVA with multiple comparisons corrected using a Tukey test was performed. </w:t>
      </w:r>
      <w:r w:rsidRPr="006C37DC">
        <w:rPr>
          <w:rFonts w:ascii="Arial" w:eastAsia="Times New Roman" w:hAnsi="Arial" w:cs="Arial"/>
          <w:bCs/>
          <w:color w:val="000000"/>
        </w:rPr>
        <w:t>For (</w:t>
      </w:r>
      <w:r w:rsidRPr="006C37DC">
        <w:rPr>
          <w:rFonts w:ascii="Arial" w:eastAsia="Times New Roman" w:hAnsi="Arial" w:cs="Arial"/>
          <w:b/>
          <w:bCs/>
          <w:color w:val="000000"/>
        </w:rPr>
        <w:t>a</w:t>
      </w:r>
      <w:r w:rsidRPr="006C37DC">
        <w:rPr>
          <w:rFonts w:ascii="Arial" w:eastAsia="Times New Roman" w:hAnsi="Arial" w:cs="Arial"/>
          <w:bCs/>
          <w:color w:val="000000"/>
        </w:rPr>
        <w:t>) n = 8, for (</w:t>
      </w:r>
      <w:r w:rsidRPr="006C37DC">
        <w:rPr>
          <w:rFonts w:ascii="Arial" w:eastAsia="Times New Roman" w:hAnsi="Arial" w:cs="Arial"/>
          <w:b/>
          <w:bCs/>
          <w:color w:val="000000"/>
        </w:rPr>
        <w:t>b</w:t>
      </w:r>
      <w:r w:rsidRPr="006C37DC">
        <w:rPr>
          <w:rFonts w:ascii="Arial" w:eastAsia="Times New Roman" w:hAnsi="Arial" w:cs="Arial"/>
          <w:bCs/>
          <w:color w:val="000000"/>
        </w:rPr>
        <w:t xml:space="preserve">) n = 4 or 5. </w:t>
      </w:r>
      <w:r w:rsidRPr="006C37DC">
        <w:rPr>
          <w:rFonts w:ascii="Arial" w:eastAsia="Times New Roman" w:hAnsi="Arial" w:cs="Arial"/>
          <w:bCs/>
          <w:color w:val="000000"/>
          <w:lang w:bidi="en-US"/>
        </w:rPr>
        <w:t>Error bars = s.e.m.</w:t>
      </w:r>
    </w:p>
    <w:p w14:paraId="4799A016" w14:textId="67EDE41C" w:rsidR="006C37DC" w:rsidRPr="006C37DC"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Cs/>
          <w:color w:val="000000"/>
        </w:rPr>
        <w:t xml:space="preserve">The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KO lines used were very kindly provided by Dr Yasuko Kamisugi at the University of Leeds. The following was undertaken prior receiving the lines: KO construct design and manufacture, transformations of </w:t>
      </w:r>
      <w:r w:rsidRPr="006C37DC">
        <w:rPr>
          <w:rFonts w:ascii="Arial" w:eastAsia="Times New Roman" w:hAnsi="Arial" w:cs="Arial"/>
          <w:bCs/>
          <w:i/>
          <w:color w:val="000000"/>
        </w:rPr>
        <w:t xml:space="preserve">P. patens </w:t>
      </w:r>
      <w:r w:rsidRPr="006C37DC">
        <w:rPr>
          <w:rFonts w:ascii="Arial" w:eastAsia="Times New Roman" w:hAnsi="Arial" w:cs="Arial"/>
          <w:bCs/>
          <w:color w:val="000000"/>
        </w:rPr>
        <w:t xml:space="preserve">with the KO construct, anti-biotic resistance selection of putative mutants and preliminary genotyping of antibiotic resistance lines. Eleven stable transformants were supplied from which three lines were verified via genomic integration of the transgene at the targeted locus (see </w:t>
      </w:r>
      <w:r w:rsidRPr="006C37DC">
        <w:rPr>
          <w:rFonts w:ascii="Arial" w:eastAsia="Times New Roman" w:hAnsi="Arial" w:cs="Arial"/>
          <w:b/>
          <w:bCs/>
          <w:color w:val="000000"/>
        </w:rPr>
        <w:t xml:space="preserve">Fig. 8 </w:t>
      </w:r>
      <w:r w:rsidRPr="006C37DC">
        <w:rPr>
          <w:rFonts w:ascii="Arial" w:eastAsia="Times New Roman" w:hAnsi="Arial" w:cs="Arial"/>
          <w:bCs/>
          <w:color w:val="000000"/>
        </w:rPr>
        <w:t xml:space="preserve">for more details). Absence of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expression in expanding sporophyte tissue was then verified via RT-PCR (</w:t>
      </w:r>
      <w:r w:rsidRPr="006C37DC">
        <w:rPr>
          <w:rFonts w:ascii="Arial" w:eastAsia="Times New Roman" w:hAnsi="Arial" w:cs="Arial"/>
          <w:b/>
          <w:bCs/>
          <w:color w:val="000000"/>
        </w:rPr>
        <w:t>Fig. 14a</w:t>
      </w:r>
      <w:r w:rsidRPr="006C37DC">
        <w:rPr>
          <w:rFonts w:ascii="Arial" w:eastAsia="Times New Roman" w:hAnsi="Arial" w:cs="Arial"/>
          <w:bCs/>
          <w:color w:val="000000"/>
        </w:rPr>
        <w:t>-</w:t>
      </w:r>
      <w:r w:rsidRPr="006C37DC">
        <w:rPr>
          <w:rFonts w:ascii="Arial" w:eastAsia="Times New Roman" w:hAnsi="Arial" w:cs="Arial"/>
          <w:b/>
          <w:bCs/>
          <w:color w:val="000000"/>
        </w:rPr>
        <w:t>b</w:t>
      </w:r>
      <w:r w:rsidRPr="006C37DC">
        <w:rPr>
          <w:rFonts w:ascii="Arial" w:eastAsia="Times New Roman" w:hAnsi="Arial" w:cs="Arial"/>
          <w:bCs/>
          <w:color w:val="000000"/>
        </w:rPr>
        <w:t>).</w:t>
      </w:r>
    </w:p>
    <w:p w14:paraId="6B9F45FB" w14:textId="02E9C057" w:rsidR="006C37DC" w:rsidRPr="006C37DC"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Cs/>
          <w:color w:val="000000"/>
        </w:rPr>
        <w:t xml:space="preserve">The three confirmed lines of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illustrated an array of stomatal phenotypes (</w:t>
      </w:r>
      <w:r w:rsidRPr="006C37DC">
        <w:rPr>
          <w:rFonts w:ascii="Arial" w:eastAsia="Times New Roman" w:hAnsi="Arial" w:cs="Arial"/>
          <w:b/>
          <w:bCs/>
          <w:color w:val="000000"/>
        </w:rPr>
        <w:t>Fig. 14c</w:t>
      </w:r>
      <w:r w:rsidRPr="006C37DC">
        <w:rPr>
          <w:rFonts w:ascii="Arial" w:eastAsia="Times New Roman" w:hAnsi="Arial" w:cs="Arial"/>
          <w:bCs/>
          <w:color w:val="000000"/>
        </w:rPr>
        <w:t>-</w:t>
      </w:r>
      <w:r w:rsidRPr="006C37DC">
        <w:rPr>
          <w:rFonts w:ascii="Arial" w:eastAsia="Times New Roman" w:hAnsi="Arial" w:cs="Arial"/>
          <w:b/>
          <w:bCs/>
          <w:color w:val="000000"/>
        </w:rPr>
        <w:t>h</w:t>
      </w:r>
      <w:r w:rsidRPr="006C37DC">
        <w:rPr>
          <w:rFonts w:ascii="Arial" w:eastAsia="Times New Roman" w:hAnsi="Arial" w:cs="Arial"/>
          <w:bCs/>
          <w:color w:val="000000"/>
        </w:rPr>
        <w:t xml:space="preserve">). Overall stomatal spacing was significantly affected in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lines with the ordered patterning associated with wild-type stomata being disrupted (</w:t>
      </w:r>
      <w:r w:rsidRPr="006C37DC">
        <w:rPr>
          <w:rFonts w:ascii="Arial" w:eastAsia="Times New Roman" w:hAnsi="Arial" w:cs="Arial"/>
          <w:b/>
          <w:bCs/>
          <w:color w:val="000000"/>
        </w:rPr>
        <w:t>Fig. 14c</w:t>
      </w:r>
      <w:r w:rsidRPr="006C37DC">
        <w:rPr>
          <w:rFonts w:ascii="Arial" w:eastAsia="Times New Roman" w:hAnsi="Arial" w:cs="Arial"/>
          <w:bCs/>
          <w:color w:val="000000"/>
        </w:rPr>
        <w:t>-</w:t>
      </w:r>
      <w:r w:rsidRPr="006C37DC">
        <w:rPr>
          <w:rFonts w:ascii="Arial" w:eastAsia="Times New Roman" w:hAnsi="Arial" w:cs="Arial"/>
          <w:b/>
          <w:bCs/>
          <w:color w:val="000000"/>
        </w:rPr>
        <w:t>f</w:t>
      </w:r>
      <w:r w:rsidRPr="006C37DC">
        <w:rPr>
          <w:rFonts w:ascii="Arial" w:eastAsia="Times New Roman" w:hAnsi="Arial" w:cs="Arial"/>
          <w:bCs/>
          <w:color w:val="000000"/>
        </w:rPr>
        <w:t>). In all three independent lines, in some instances this led to very few stomata forming (</w:t>
      </w:r>
      <w:r w:rsidRPr="006C37DC">
        <w:rPr>
          <w:rFonts w:ascii="Arial" w:eastAsia="Times New Roman" w:hAnsi="Arial" w:cs="Arial"/>
          <w:b/>
          <w:bCs/>
          <w:color w:val="000000"/>
        </w:rPr>
        <w:t>Fig. 14e</w:t>
      </w:r>
      <w:r w:rsidRPr="006C37DC">
        <w:rPr>
          <w:rFonts w:ascii="Arial" w:eastAsia="Times New Roman" w:hAnsi="Arial" w:cs="Arial"/>
          <w:bCs/>
          <w:color w:val="000000"/>
        </w:rPr>
        <w:t>), whilst on other occasions stomata appeared more profuse than on wild-type sporophyte capsules, with obvious clustering apparent (</w:t>
      </w:r>
      <w:r w:rsidRPr="006C37DC">
        <w:rPr>
          <w:rFonts w:ascii="Arial" w:eastAsia="Times New Roman" w:hAnsi="Arial" w:cs="Arial"/>
          <w:b/>
          <w:bCs/>
          <w:color w:val="000000"/>
        </w:rPr>
        <w:t>Fig. 14f</w:t>
      </w:r>
      <w:r w:rsidRPr="006C37DC">
        <w:rPr>
          <w:rFonts w:ascii="Arial" w:eastAsia="Times New Roman" w:hAnsi="Arial" w:cs="Arial"/>
          <w:bCs/>
          <w:color w:val="000000"/>
        </w:rPr>
        <w:t xml:space="preserve">). Close-up observations of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lines illustrated a range of cell morphologies including clustering, irregular patterned epidermal cells, aborted stomatal lineage cells (purple dot) and small round to triangular shaped cells (green dot) (</w:t>
      </w:r>
      <w:r w:rsidRPr="006C37DC">
        <w:rPr>
          <w:rFonts w:ascii="Arial" w:eastAsia="Times New Roman" w:hAnsi="Arial" w:cs="Arial"/>
          <w:b/>
          <w:bCs/>
          <w:color w:val="000000"/>
        </w:rPr>
        <w:t>Fig. 14g</w:t>
      </w:r>
      <w:r w:rsidRPr="006C37DC">
        <w:rPr>
          <w:rFonts w:ascii="Arial" w:eastAsia="Times New Roman" w:hAnsi="Arial" w:cs="Arial"/>
          <w:bCs/>
          <w:color w:val="000000"/>
        </w:rPr>
        <w:t>-</w:t>
      </w:r>
      <w:r w:rsidRPr="006C37DC">
        <w:rPr>
          <w:rFonts w:ascii="Arial" w:eastAsia="Times New Roman" w:hAnsi="Arial" w:cs="Arial"/>
          <w:b/>
          <w:bCs/>
          <w:color w:val="000000"/>
        </w:rPr>
        <w:t>h</w:t>
      </w:r>
      <w:r w:rsidRPr="006C37DC">
        <w:rPr>
          <w:rFonts w:ascii="Arial" w:eastAsia="Times New Roman" w:hAnsi="Arial" w:cs="Arial"/>
          <w:bCs/>
          <w:color w:val="000000"/>
        </w:rPr>
        <w:t xml:space="preserve">). Although not shown, on occasion epidermal cell pattering akin to the phenotypes observed in </w:t>
      </w:r>
      <w:r w:rsidRPr="006C37DC">
        <w:rPr>
          <w:rFonts w:ascii="Arial" w:eastAsia="Times New Roman" w:hAnsi="Arial" w:cs="Arial"/>
          <w:bCs/>
          <w:i/>
          <w:color w:val="000000"/>
        </w:rPr>
        <w:t xml:space="preserve">PpEPF1OE </w:t>
      </w:r>
      <w:r w:rsidRPr="006C37DC">
        <w:rPr>
          <w:rFonts w:ascii="Arial" w:eastAsia="Times New Roman" w:hAnsi="Arial" w:cs="Arial"/>
          <w:bCs/>
          <w:color w:val="000000"/>
        </w:rPr>
        <w:t xml:space="preserve">lines (see </w:t>
      </w:r>
      <w:r w:rsidRPr="006C37DC">
        <w:rPr>
          <w:rFonts w:ascii="Arial" w:eastAsia="Times New Roman" w:hAnsi="Arial" w:cs="Arial"/>
          <w:b/>
          <w:bCs/>
          <w:color w:val="000000"/>
        </w:rPr>
        <w:t>Fig. 10h</w:t>
      </w:r>
      <w:r w:rsidRPr="006C37DC">
        <w:rPr>
          <w:rFonts w:ascii="Arial" w:eastAsia="Times New Roman" w:hAnsi="Arial" w:cs="Arial"/>
          <w:bCs/>
          <w:color w:val="000000"/>
        </w:rPr>
        <w:t>-</w:t>
      </w:r>
      <w:r w:rsidRPr="006C37DC">
        <w:rPr>
          <w:rFonts w:ascii="Arial" w:eastAsia="Times New Roman" w:hAnsi="Arial" w:cs="Arial"/>
          <w:b/>
          <w:bCs/>
          <w:color w:val="000000"/>
        </w:rPr>
        <w:t>j</w:t>
      </w:r>
      <w:r w:rsidRPr="006C37DC">
        <w:rPr>
          <w:rFonts w:ascii="Arial" w:eastAsia="Times New Roman" w:hAnsi="Arial" w:cs="Arial"/>
          <w:bCs/>
          <w:color w:val="000000"/>
        </w:rPr>
        <w:t xml:space="preserve">) and those observed in </w:t>
      </w:r>
      <w:r w:rsidRPr="006C37DC">
        <w:rPr>
          <w:rFonts w:ascii="Arial" w:eastAsia="Times New Roman" w:hAnsi="Arial" w:cs="Arial"/>
          <w:bCs/>
          <w:i/>
          <w:color w:val="000000"/>
        </w:rPr>
        <w:t xml:space="preserve">ppsmf1 and ppscrim1 </w:t>
      </w:r>
      <w:r w:rsidRPr="006C37DC">
        <w:rPr>
          <w:rFonts w:ascii="Arial" w:eastAsia="Times New Roman" w:hAnsi="Arial" w:cs="Arial"/>
          <w:bCs/>
          <w:color w:val="000000"/>
        </w:rPr>
        <w:t xml:space="preserve">(chapter 3) were also present on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capsule bases. Quantification of stomatal number in the 3 verified mutant lines showed a slight decrease in the overall number of stomata per sporophyte capsule comparatively to the wild-type, for which one line (</w:t>
      </w:r>
      <w:r w:rsidRPr="006C37DC">
        <w:rPr>
          <w:rFonts w:ascii="Arial" w:eastAsia="Times New Roman" w:hAnsi="Arial" w:cs="Arial"/>
          <w:bCs/>
          <w:i/>
          <w:color w:val="000000"/>
        </w:rPr>
        <w:t>pptmm</w:t>
      </w:r>
      <w:r w:rsidRPr="006C37DC">
        <w:rPr>
          <w:rFonts w:ascii="Arial" w:eastAsia="Times New Roman" w:hAnsi="Arial" w:cs="Arial"/>
          <w:bCs/>
          <w:color w:val="000000"/>
        </w:rPr>
        <w:t>-</w:t>
      </w:r>
      <w:r w:rsidRPr="006C37DC">
        <w:rPr>
          <w:rFonts w:ascii="Arial" w:eastAsia="Times New Roman" w:hAnsi="Arial" w:cs="Arial"/>
          <w:bCs/>
          <w:i/>
          <w:color w:val="000000"/>
        </w:rPr>
        <w:t>3</w:t>
      </w:r>
      <w:r w:rsidRPr="006C37DC">
        <w:rPr>
          <w:rFonts w:ascii="Arial" w:eastAsia="Times New Roman" w:hAnsi="Arial" w:cs="Arial"/>
          <w:bCs/>
          <w:color w:val="000000"/>
        </w:rPr>
        <w:t xml:space="preserve">) was significant </w:t>
      </w:r>
      <w:r w:rsidRPr="006C37DC">
        <w:rPr>
          <w:rFonts w:ascii="Arial" w:eastAsia="Times New Roman" w:hAnsi="Arial" w:cs="Arial"/>
          <w:bCs/>
          <w:color w:val="000000"/>
          <w:lang w:bidi="en-US"/>
        </w:rPr>
        <w:t>when a one-way ANOVA with multiple comparisons corrected using a Dunnett’s test was performed (</w:t>
      </w:r>
      <w:r w:rsidRPr="006C37DC">
        <w:rPr>
          <w:rFonts w:ascii="Arial" w:eastAsia="Times New Roman" w:hAnsi="Arial" w:cs="Arial"/>
          <w:bCs/>
          <w:i/>
          <w:color w:val="000000"/>
          <w:lang w:bidi="en-US"/>
        </w:rPr>
        <w:t xml:space="preserve">P &lt; </w:t>
      </w:r>
      <w:r w:rsidRPr="006C37DC">
        <w:rPr>
          <w:rFonts w:ascii="Arial" w:eastAsia="Times New Roman" w:hAnsi="Arial" w:cs="Arial"/>
          <w:bCs/>
          <w:color w:val="000000"/>
          <w:lang w:bidi="en-US"/>
        </w:rPr>
        <w:t>0.05) (</w:t>
      </w:r>
      <w:r w:rsidRPr="006C37DC">
        <w:rPr>
          <w:rFonts w:ascii="Arial" w:eastAsia="Times New Roman" w:hAnsi="Arial" w:cs="Arial"/>
          <w:b/>
          <w:bCs/>
          <w:color w:val="000000"/>
          <w:lang w:bidi="en-US"/>
        </w:rPr>
        <w:t>Fig. 14i</w:t>
      </w:r>
      <w:r w:rsidRPr="006C37DC">
        <w:rPr>
          <w:rFonts w:ascii="Arial" w:eastAsia="Times New Roman" w:hAnsi="Arial" w:cs="Arial"/>
          <w:bCs/>
          <w:color w:val="000000"/>
          <w:lang w:bidi="en-US"/>
        </w:rPr>
        <w:t xml:space="preserve">). Despite there being an overall decrease in stomata on </w:t>
      </w:r>
      <w:r w:rsidRPr="006C37DC">
        <w:rPr>
          <w:rFonts w:ascii="Arial" w:eastAsia="Times New Roman" w:hAnsi="Arial" w:cs="Arial"/>
          <w:bCs/>
          <w:i/>
          <w:color w:val="000000"/>
          <w:lang w:bidi="en-US"/>
        </w:rPr>
        <w:t xml:space="preserve">pptmm </w:t>
      </w:r>
      <w:r w:rsidRPr="006C37DC">
        <w:rPr>
          <w:rFonts w:ascii="Arial" w:eastAsia="Times New Roman" w:hAnsi="Arial" w:cs="Arial"/>
          <w:bCs/>
          <w:color w:val="000000"/>
          <w:lang w:bidi="en-US"/>
        </w:rPr>
        <w:t>lines the percentage of stomata that clustered per capsule was increased in all three lines</w:t>
      </w:r>
      <w:r w:rsidR="004E7161">
        <w:rPr>
          <w:rFonts w:ascii="Arial" w:eastAsia="Times New Roman" w:hAnsi="Arial" w:cs="Arial"/>
          <w:bCs/>
          <w:color w:val="000000"/>
          <w:lang w:bidi="en-US"/>
        </w:rPr>
        <w:t>, although this was not statistically significant</w:t>
      </w:r>
      <w:r w:rsidRPr="006C37DC">
        <w:rPr>
          <w:rFonts w:ascii="Arial" w:eastAsia="Times New Roman" w:hAnsi="Arial" w:cs="Arial"/>
          <w:bCs/>
          <w:color w:val="000000"/>
          <w:lang w:bidi="en-US"/>
        </w:rPr>
        <w:t xml:space="preserve"> (</w:t>
      </w:r>
      <w:r w:rsidRPr="006C37DC">
        <w:rPr>
          <w:rFonts w:ascii="Arial" w:eastAsia="Times New Roman" w:hAnsi="Arial" w:cs="Arial"/>
          <w:b/>
          <w:bCs/>
          <w:color w:val="000000"/>
          <w:lang w:bidi="en-US"/>
        </w:rPr>
        <w:t>Fig. 14j</w:t>
      </w:r>
      <w:r w:rsidRPr="006C37DC">
        <w:rPr>
          <w:rFonts w:ascii="Arial" w:eastAsia="Times New Roman" w:hAnsi="Arial" w:cs="Arial"/>
          <w:bCs/>
          <w:color w:val="000000"/>
          <w:lang w:bidi="en-US"/>
        </w:rPr>
        <w:t>).</w:t>
      </w:r>
    </w:p>
    <w:p w14:paraId="584C8DCA" w14:textId="77777777" w:rsidR="006C37DC" w:rsidRPr="006C37DC" w:rsidRDefault="006C37DC" w:rsidP="006C37DC">
      <w:pPr>
        <w:spacing w:after="160" w:line="360" w:lineRule="auto"/>
        <w:rPr>
          <w:rFonts w:ascii="Arial" w:eastAsia="Times New Roman" w:hAnsi="Arial" w:cs="Arial"/>
          <w:bCs/>
          <w:color w:val="000000"/>
          <w:lang w:bidi="en-US"/>
        </w:rPr>
      </w:pPr>
    </w:p>
    <w:p w14:paraId="0BE875E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i/>
          <w:noProof/>
          <w:color w:val="000000"/>
          <w:lang w:eastAsia="ja-JP"/>
        </w:rPr>
        <w:lastRenderedPageBreak/>
        <w:drawing>
          <wp:inline distT="0" distB="0" distL="0" distR="0" wp14:anchorId="7B12368D" wp14:editId="15603C98">
            <wp:extent cx="5815584" cy="7479105"/>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mmfigmodexported.png"/>
                    <pic:cNvPicPr/>
                  </pic:nvPicPr>
                  <pic:blipFill>
                    <a:blip r:embed="rId63">
                      <a:extLst>
                        <a:ext uri="{28A0092B-C50C-407E-A947-70E740481C1C}">
                          <a14:useLocalDpi xmlns:a14="http://schemas.microsoft.com/office/drawing/2010/main" val="0"/>
                        </a:ext>
                      </a:extLst>
                    </a:blip>
                    <a:stretch>
                      <a:fillRect/>
                    </a:stretch>
                  </pic:blipFill>
                  <pic:spPr>
                    <a:xfrm>
                      <a:off x="0" y="0"/>
                      <a:ext cx="5819264" cy="7483838"/>
                    </a:xfrm>
                    <a:prstGeom prst="rect">
                      <a:avLst/>
                    </a:prstGeom>
                  </pic:spPr>
                </pic:pic>
              </a:graphicData>
            </a:graphic>
          </wp:inline>
        </w:drawing>
      </w:r>
    </w:p>
    <w:p w14:paraId="6FFFA12A" w14:textId="70F6030F" w:rsidR="006C37DC" w:rsidRPr="006C37DC"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
          <w:bCs/>
          <w:color w:val="000000"/>
        </w:rPr>
        <w:t xml:space="preserve">Figure 14. </w:t>
      </w:r>
      <w:r w:rsidRPr="006C37DC">
        <w:rPr>
          <w:rFonts w:ascii="Arial" w:eastAsia="Times New Roman" w:hAnsi="Arial" w:cs="Arial"/>
          <w:b/>
          <w:bCs/>
          <w:i/>
          <w:color w:val="000000"/>
        </w:rPr>
        <w:t xml:space="preserve">PpTMM </w:t>
      </w:r>
      <w:r w:rsidRPr="006C37DC">
        <w:rPr>
          <w:rFonts w:ascii="Arial" w:eastAsia="Times New Roman" w:hAnsi="Arial" w:cs="Arial"/>
          <w:b/>
          <w:bCs/>
          <w:color w:val="000000"/>
        </w:rPr>
        <w:t>functions during stomatal development to correctly instigate stomatal development and patterning</w:t>
      </w:r>
      <w:r w:rsidRPr="006C37DC">
        <w:rPr>
          <w:rFonts w:ascii="Arial" w:eastAsia="Times New Roman" w:hAnsi="Arial" w:cs="Arial"/>
          <w:b/>
          <w:bCs/>
          <w:i/>
          <w:color w:val="000000"/>
        </w:rPr>
        <w:t>.</w:t>
      </w:r>
      <w:r w:rsidRPr="006C37DC">
        <w:rPr>
          <w:rFonts w:ascii="Arial" w:eastAsia="Times New Roman" w:hAnsi="Arial" w:cs="Arial"/>
          <w:b/>
          <w:bCs/>
          <w:color w:val="000000"/>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xml:space="preserve">) RT-PCR gel image illustrating no expression in three independent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lines. (</w:t>
      </w:r>
      <w:r w:rsidRPr="006C37DC">
        <w:rPr>
          <w:rFonts w:ascii="Arial" w:eastAsia="Times New Roman" w:hAnsi="Arial" w:cs="Arial"/>
          <w:b/>
          <w:bCs/>
          <w:color w:val="000000"/>
        </w:rPr>
        <w:t>b</w:t>
      </w:r>
      <w:r w:rsidRPr="006C37DC">
        <w:rPr>
          <w:rFonts w:ascii="Arial" w:eastAsia="Times New Roman" w:hAnsi="Arial" w:cs="Arial"/>
          <w:bCs/>
          <w:color w:val="000000"/>
        </w:rPr>
        <w:t>) Rubisco small sub-unit controls (RbcS) for the corresponding samples in (</w:t>
      </w:r>
      <w:r w:rsidRPr="006C37DC">
        <w:rPr>
          <w:rFonts w:ascii="Arial" w:eastAsia="Times New Roman" w:hAnsi="Arial" w:cs="Arial"/>
          <w:b/>
          <w:bCs/>
          <w:color w:val="000000"/>
        </w:rPr>
        <w:t>a</w:t>
      </w:r>
      <w:r w:rsidRPr="006C37DC">
        <w:rPr>
          <w:rFonts w:ascii="Arial" w:eastAsia="Times New Roman" w:hAnsi="Arial" w:cs="Arial"/>
          <w:bCs/>
          <w:color w:val="000000"/>
        </w:rPr>
        <w:t>). Wild-type samples are marked WT, the water controls are marked W. (</w:t>
      </w:r>
      <w:r w:rsidRPr="006C37DC">
        <w:rPr>
          <w:rFonts w:ascii="Arial" w:eastAsia="Times New Roman" w:hAnsi="Arial" w:cs="Arial"/>
          <w:b/>
          <w:bCs/>
          <w:color w:val="000000"/>
        </w:rPr>
        <w:t>c</w:t>
      </w:r>
      <w:r w:rsidRPr="006C37DC">
        <w:rPr>
          <w:rFonts w:ascii="Arial" w:eastAsia="Times New Roman" w:hAnsi="Arial" w:cs="Arial"/>
          <w:bCs/>
          <w:color w:val="000000"/>
        </w:rPr>
        <w:t xml:space="preserve">) Stacked </w:t>
      </w:r>
      <w:r w:rsidR="00EE0DEA">
        <w:rPr>
          <w:rFonts w:ascii="Arial" w:eastAsia="Times New Roman" w:hAnsi="Arial" w:cs="Arial"/>
          <w:bCs/>
          <w:color w:val="000000"/>
        </w:rPr>
        <w:t>fluorescence</w:t>
      </w:r>
      <w:r w:rsidRPr="006C37DC">
        <w:rPr>
          <w:rFonts w:ascii="Arial" w:eastAsia="Times New Roman" w:hAnsi="Arial" w:cs="Arial"/>
          <w:bCs/>
          <w:color w:val="000000"/>
        </w:rPr>
        <w:t xml:space="preserve"> image of a fully expanded green-to-yellow wild-type </w:t>
      </w:r>
      <w:r w:rsidRPr="006C37DC">
        <w:rPr>
          <w:rFonts w:ascii="Arial" w:eastAsia="Times New Roman" w:hAnsi="Arial" w:cs="Arial"/>
          <w:bCs/>
          <w:color w:val="000000"/>
        </w:rPr>
        <w:lastRenderedPageBreak/>
        <w:t>sporophyte capsule with evenly spaced stomata. (</w:t>
      </w:r>
      <w:r w:rsidRPr="006C37DC">
        <w:rPr>
          <w:rFonts w:ascii="Arial" w:eastAsia="Times New Roman" w:hAnsi="Arial" w:cs="Arial"/>
          <w:b/>
          <w:bCs/>
          <w:color w:val="000000"/>
        </w:rPr>
        <w:t>d</w:t>
      </w:r>
      <w:r w:rsidRPr="006C37DC">
        <w:rPr>
          <w:rFonts w:ascii="Arial" w:eastAsia="Times New Roman" w:hAnsi="Arial" w:cs="Arial"/>
          <w:bCs/>
          <w:color w:val="000000"/>
        </w:rPr>
        <w:t xml:space="preserve">) Equivalent </w:t>
      </w:r>
      <w:r w:rsidRPr="006C37DC">
        <w:rPr>
          <w:rFonts w:ascii="Arial" w:eastAsia="Times New Roman" w:hAnsi="Arial" w:cs="Arial"/>
          <w:bCs/>
          <w:i/>
          <w:color w:val="000000"/>
        </w:rPr>
        <w:t xml:space="preserve">pptmm-1 </w:t>
      </w:r>
      <w:r w:rsidRPr="006C37DC">
        <w:rPr>
          <w:rFonts w:ascii="Arial" w:eastAsia="Times New Roman" w:hAnsi="Arial" w:cs="Arial"/>
          <w:bCs/>
          <w:color w:val="000000"/>
        </w:rPr>
        <w:t>sporophyte capsule to (</w:t>
      </w:r>
      <w:r w:rsidRPr="006C37DC">
        <w:rPr>
          <w:rFonts w:ascii="Arial" w:eastAsia="Times New Roman" w:hAnsi="Arial" w:cs="Arial"/>
          <w:b/>
          <w:bCs/>
          <w:color w:val="000000"/>
        </w:rPr>
        <w:t>c</w:t>
      </w:r>
      <w:r w:rsidRPr="006C37DC">
        <w:rPr>
          <w:rFonts w:ascii="Arial" w:eastAsia="Times New Roman" w:hAnsi="Arial" w:cs="Arial"/>
          <w:bCs/>
          <w:color w:val="000000"/>
        </w:rPr>
        <w:t>) with unevenly spaced stomata. Note, stomata are fluorescing a white to yellow colour and are generally encircling the darkened central seta-joining region. (</w:t>
      </w:r>
      <w:r w:rsidRPr="006C37DC">
        <w:rPr>
          <w:rFonts w:ascii="Arial" w:eastAsia="Times New Roman" w:hAnsi="Arial" w:cs="Arial"/>
          <w:b/>
          <w:bCs/>
          <w:color w:val="000000"/>
        </w:rPr>
        <w:t>e</w:t>
      </w:r>
      <w:r w:rsidRPr="006C37DC">
        <w:rPr>
          <w:rFonts w:ascii="Arial" w:eastAsia="Times New Roman" w:hAnsi="Arial" w:cs="Arial"/>
          <w:bCs/>
          <w:color w:val="000000"/>
        </w:rPr>
        <w:t>)</w:t>
      </w:r>
      <w:r w:rsidRPr="006C37DC">
        <w:rPr>
          <w:rFonts w:ascii="Arial" w:eastAsia="Times New Roman" w:hAnsi="Arial" w:cs="Arial"/>
          <w:b/>
          <w:bCs/>
          <w:color w:val="000000"/>
        </w:rPr>
        <w:t xml:space="preserve"> </w:t>
      </w:r>
      <w:r w:rsidRPr="006C37DC">
        <w:rPr>
          <w:rFonts w:ascii="Arial" w:eastAsia="Times New Roman" w:hAnsi="Arial" w:cs="Arial"/>
          <w:bCs/>
          <w:color w:val="000000"/>
        </w:rPr>
        <w:t xml:space="preserve">Stacked and flattened image of mature </w:t>
      </w:r>
      <w:r w:rsidRPr="006C37DC">
        <w:rPr>
          <w:rFonts w:ascii="Arial" w:eastAsia="Times New Roman" w:hAnsi="Arial" w:cs="Arial"/>
          <w:bCs/>
          <w:i/>
          <w:color w:val="000000"/>
        </w:rPr>
        <w:t xml:space="preserve">pptmm-3 </w:t>
      </w:r>
      <w:r w:rsidRPr="006C37DC">
        <w:rPr>
          <w:rFonts w:ascii="Arial" w:eastAsia="Times New Roman" w:hAnsi="Arial" w:cs="Arial"/>
          <w:bCs/>
          <w:color w:val="000000"/>
        </w:rPr>
        <w:t>sporophyte capsule with a single stomate present. (</w:t>
      </w:r>
      <w:r w:rsidRPr="006C37DC">
        <w:rPr>
          <w:rFonts w:ascii="Arial" w:eastAsia="Times New Roman" w:hAnsi="Arial" w:cs="Arial"/>
          <w:b/>
          <w:bCs/>
          <w:color w:val="000000"/>
        </w:rPr>
        <w:t>f</w:t>
      </w:r>
      <w:r w:rsidRPr="006C37DC">
        <w:rPr>
          <w:rFonts w:ascii="Arial" w:eastAsia="Times New Roman" w:hAnsi="Arial" w:cs="Arial"/>
          <w:bCs/>
          <w:color w:val="000000"/>
        </w:rPr>
        <w:t xml:space="preserve">) Mutant </w:t>
      </w:r>
      <w:r w:rsidRPr="006C37DC">
        <w:rPr>
          <w:rFonts w:ascii="Arial" w:eastAsia="Times New Roman" w:hAnsi="Arial" w:cs="Arial"/>
          <w:bCs/>
          <w:i/>
          <w:color w:val="000000"/>
        </w:rPr>
        <w:t xml:space="preserve">pptmm-2 </w:t>
      </w:r>
      <w:r w:rsidRPr="006C37DC">
        <w:rPr>
          <w:rFonts w:ascii="Arial" w:eastAsia="Times New Roman" w:hAnsi="Arial" w:cs="Arial"/>
          <w:bCs/>
          <w:color w:val="000000"/>
        </w:rPr>
        <w:t>sporophyte capsule equivalent to (</w:t>
      </w:r>
      <w:r w:rsidRPr="006C37DC">
        <w:rPr>
          <w:rFonts w:ascii="Arial" w:eastAsia="Times New Roman" w:hAnsi="Arial" w:cs="Arial"/>
          <w:b/>
          <w:bCs/>
          <w:color w:val="000000"/>
        </w:rPr>
        <w:t>e</w:t>
      </w:r>
      <w:r w:rsidRPr="006C37DC">
        <w:rPr>
          <w:rFonts w:ascii="Arial" w:eastAsia="Times New Roman" w:hAnsi="Arial" w:cs="Arial"/>
          <w:bCs/>
          <w:color w:val="000000"/>
        </w:rPr>
        <w:t>) with clustering stomata. (</w:t>
      </w:r>
      <w:r w:rsidRPr="006C37DC">
        <w:rPr>
          <w:rFonts w:ascii="Arial" w:eastAsia="Times New Roman" w:hAnsi="Arial" w:cs="Arial"/>
          <w:b/>
          <w:bCs/>
          <w:color w:val="000000"/>
        </w:rPr>
        <w:t>g</w:t>
      </w:r>
      <w:r w:rsidRPr="006C37DC">
        <w:rPr>
          <w:rFonts w:ascii="Arial" w:eastAsia="Times New Roman" w:hAnsi="Arial" w:cs="Arial"/>
          <w:bCs/>
          <w:color w:val="000000"/>
        </w:rPr>
        <w:t>) Close-up of a mature wild-type sporophyte capsule with epidermal cells neighbouring a central stoma.</w:t>
      </w:r>
      <w:r w:rsidRPr="006C37DC">
        <w:rPr>
          <w:rFonts w:ascii="Arial" w:eastAsia="Times New Roman" w:hAnsi="Arial" w:cs="Arial"/>
          <w:bCs/>
          <w:color w:val="000000"/>
          <w:lang w:bidi="en-US"/>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h</w:t>
      </w:r>
      <w:r w:rsidRPr="006C37DC">
        <w:rPr>
          <w:rFonts w:ascii="Arial" w:eastAsia="Times New Roman" w:hAnsi="Arial" w:cs="Arial"/>
          <w:bCs/>
          <w:color w:val="000000"/>
        </w:rPr>
        <w:t xml:space="preserve">) A </w:t>
      </w:r>
      <w:r w:rsidRPr="006C37DC">
        <w:rPr>
          <w:rFonts w:ascii="Arial" w:eastAsia="Times New Roman" w:hAnsi="Arial" w:cs="Arial"/>
          <w:bCs/>
          <w:i/>
          <w:color w:val="000000"/>
        </w:rPr>
        <w:t xml:space="preserve">pptmm-3 </w:t>
      </w:r>
      <w:r w:rsidRPr="006C37DC">
        <w:rPr>
          <w:rFonts w:ascii="Arial" w:eastAsia="Times New Roman" w:hAnsi="Arial" w:cs="Arial"/>
          <w:bCs/>
          <w:color w:val="000000"/>
        </w:rPr>
        <w:t>close-up equivalent to (</w:t>
      </w:r>
      <w:r w:rsidRPr="006C37DC">
        <w:rPr>
          <w:rFonts w:ascii="Arial" w:eastAsia="Times New Roman" w:hAnsi="Arial" w:cs="Arial"/>
          <w:b/>
          <w:bCs/>
          <w:color w:val="000000"/>
        </w:rPr>
        <w:t>g</w:t>
      </w:r>
      <w:r w:rsidRPr="006C37DC">
        <w:rPr>
          <w:rFonts w:ascii="Arial" w:eastAsia="Times New Roman" w:hAnsi="Arial" w:cs="Arial"/>
          <w:bCs/>
          <w:color w:val="000000"/>
        </w:rPr>
        <w:t>) with clustering and abnormal forming stomata. The cells marked with green and purple dots may have originated from a single cell. The cell marked with a purple dot appears to have arrested during stomatal development.</w:t>
      </w:r>
      <w:r w:rsidRPr="006C37DC">
        <w:rPr>
          <w:rFonts w:ascii="Arial" w:eastAsia="Times New Roman" w:hAnsi="Arial" w:cs="Arial"/>
          <w:bCs/>
          <w:color w:val="000000"/>
          <w:lang w:bidi="en-US"/>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i</w:t>
      </w:r>
      <w:r w:rsidRPr="006C37DC">
        <w:rPr>
          <w:rFonts w:ascii="Arial" w:eastAsia="Times New Roman" w:hAnsi="Arial" w:cs="Arial"/>
          <w:bCs/>
          <w:color w:val="000000"/>
        </w:rPr>
        <w:t>) Quantification of the number of stomata in equally sized orange to brown mature sporophyte capsules.</w:t>
      </w:r>
      <w:r w:rsidRPr="006C37DC">
        <w:rPr>
          <w:rFonts w:ascii="Arial" w:eastAsia="Times New Roman" w:hAnsi="Arial" w:cs="Arial"/>
          <w:bCs/>
          <w:color w:val="000000"/>
          <w:lang w:bidi="en-US"/>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j</w:t>
      </w:r>
      <w:r w:rsidRPr="006C37DC">
        <w:rPr>
          <w:rFonts w:ascii="Arial" w:eastAsia="Times New Roman" w:hAnsi="Arial" w:cs="Arial"/>
          <w:bCs/>
          <w:color w:val="000000"/>
        </w:rPr>
        <w:t>) Quantification of the percentage of total stomata from (</w:t>
      </w:r>
      <w:r w:rsidRPr="006C37DC">
        <w:rPr>
          <w:rFonts w:ascii="Arial" w:eastAsia="Times New Roman" w:hAnsi="Arial" w:cs="Arial"/>
          <w:b/>
          <w:bCs/>
          <w:color w:val="000000"/>
        </w:rPr>
        <w:t>i</w:t>
      </w:r>
      <w:r w:rsidRPr="006C37DC">
        <w:rPr>
          <w:rFonts w:ascii="Arial" w:eastAsia="Times New Roman" w:hAnsi="Arial" w:cs="Arial"/>
          <w:bCs/>
          <w:color w:val="000000"/>
        </w:rPr>
        <w:t>) involved in clustering.</w:t>
      </w:r>
      <w:r w:rsidRPr="006C37DC">
        <w:rPr>
          <w:rFonts w:ascii="Arial" w:eastAsia="Times New Roman" w:hAnsi="Arial" w:cs="Arial"/>
          <w:bCs/>
          <w:color w:val="000000"/>
          <w:lang w:bidi="en-US"/>
        </w:rPr>
        <w:t xml:space="preserve"> For (</w:t>
      </w:r>
      <w:r w:rsidRPr="006C37DC">
        <w:rPr>
          <w:rFonts w:ascii="Arial" w:eastAsia="Times New Roman" w:hAnsi="Arial" w:cs="Arial"/>
          <w:b/>
          <w:bCs/>
          <w:color w:val="000000"/>
          <w:lang w:bidi="en-US"/>
        </w:rPr>
        <w:t>i</w:t>
      </w:r>
      <w:r w:rsidRPr="006C37DC">
        <w:rPr>
          <w:rFonts w:ascii="Arial" w:eastAsia="Times New Roman" w:hAnsi="Arial" w:cs="Arial"/>
          <w:bCs/>
          <w:color w:val="000000"/>
          <w:lang w:bidi="en-US"/>
        </w:rPr>
        <w:t xml:space="preserve"> and </w:t>
      </w:r>
      <w:r w:rsidRPr="006C37DC">
        <w:rPr>
          <w:rFonts w:ascii="Arial" w:eastAsia="Times New Roman" w:hAnsi="Arial" w:cs="Arial"/>
          <w:b/>
          <w:bCs/>
          <w:color w:val="000000"/>
          <w:lang w:bidi="en-US"/>
        </w:rPr>
        <w:t>j)</w:t>
      </w:r>
      <w:r w:rsidRPr="006C37DC">
        <w:rPr>
          <w:rFonts w:ascii="Arial" w:eastAsia="Times New Roman" w:hAnsi="Arial" w:cs="Arial"/>
          <w:bCs/>
          <w:color w:val="000000"/>
          <w:lang w:bidi="en-US"/>
        </w:rPr>
        <w:t xml:space="preserve"> lines with different letters can be distinguished from each other (</w:t>
      </w:r>
      <w:r w:rsidRPr="006C37DC">
        <w:rPr>
          <w:rFonts w:ascii="Arial" w:eastAsia="Times New Roman" w:hAnsi="Arial" w:cs="Arial"/>
          <w:bCs/>
          <w:i/>
          <w:color w:val="000000"/>
          <w:lang w:bidi="en-US"/>
        </w:rPr>
        <w:t>P</w:t>
      </w:r>
      <w:r w:rsidRPr="006C37DC">
        <w:rPr>
          <w:rFonts w:ascii="Arial" w:eastAsia="Times New Roman" w:hAnsi="Arial" w:cs="Arial"/>
          <w:bCs/>
          <w:color w:val="000000"/>
          <w:lang w:bidi="en-US"/>
        </w:rPr>
        <w:t xml:space="preserve"> &lt; 0.05) (one-way ANOVA with multiple comparisons corrected using a Dunnett’s test, n=6 or 7). Note, for (</w:t>
      </w:r>
      <w:r w:rsidRPr="006C37DC">
        <w:rPr>
          <w:rFonts w:ascii="Arial" w:eastAsia="Times New Roman" w:hAnsi="Arial" w:cs="Arial"/>
          <w:b/>
          <w:bCs/>
          <w:color w:val="000000"/>
          <w:lang w:bidi="en-US"/>
        </w:rPr>
        <w:t>j</w:t>
      </w:r>
      <w:r w:rsidRPr="006C37DC">
        <w:rPr>
          <w:rFonts w:ascii="Arial" w:eastAsia="Times New Roman" w:hAnsi="Arial" w:cs="Arial"/>
          <w:bCs/>
          <w:color w:val="000000"/>
          <w:lang w:bidi="en-US"/>
        </w:rPr>
        <w:t xml:space="preserve">) prior to statistical analysis, an arcsin transformation of values was performed. </w:t>
      </w:r>
      <w:r w:rsidRPr="006C37DC">
        <w:rPr>
          <w:rFonts w:ascii="Arial" w:eastAsia="Times New Roman" w:hAnsi="Arial" w:cs="Arial"/>
          <w:bCs/>
          <w:color w:val="000000"/>
        </w:rPr>
        <w:t xml:space="preserve">Scale bars are as follows: </w:t>
      </w:r>
      <w:r w:rsidRPr="006C37DC">
        <w:rPr>
          <w:rFonts w:ascii="Arial" w:eastAsia="Times New Roman" w:hAnsi="Arial" w:cs="Arial"/>
          <w:b/>
          <w:bCs/>
          <w:color w:val="000000"/>
        </w:rPr>
        <w:t xml:space="preserve">c-f, </w:t>
      </w:r>
      <w:r w:rsidRPr="006C37DC">
        <w:rPr>
          <w:rFonts w:ascii="Arial" w:eastAsia="Times New Roman" w:hAnsi="Arial" w:cs="Arial"/>
          <w:bCs/>
          <w:color w:val="000000"/>
        </w:rPr>
        <w:t xml:space="preserve">100µm, </w:t>
      </w:r>
      <w:r w:rsidRPr="006C37DC">
        <w:rPr>
          <w:rFonts w:ascii="Arial" w:eastAsia="Times New Roman" w:hAnsi="Arial" w:cs="Arial"/>
          <w:b/>
          <w:bCs/>
          <w:color w:val="000000"/>
        </w:rPr>
        <w:t xml:space="preserve">g-h, </w:t>
      </w:r>
      <w:r w:rsidRPr="006C37DC">
        <w:rPr>
          <w:rFonts w:ascii="Arial" w:eastAsia="Times New Roman" w:hAnsi="Arial" w:cs="Arial"/>
          <w:bCs/>
          <w:color w:val="000000"/>
        </w:rPr>
        <w:t xml:space="preserve">25µm. </w:t>
      </w:r>
      <w:r w:rsidRPr="006C37DC">
        <w:rPr>
          <w:rFonts w:ascii="Arial" w:eastAsia="Times New Roman" w:hAnsi="Arial" w:cs="Arial"/>
          <w:bCs/>
          <w:color w:val="000000"/>
          <w:lang w:bidi="en-US"/>
        </w:rPr>
        <w:t>Error bars = s.e.m.</w:t>
      </w:r>
    </w:p>
    <w:p w14:paraId="13AA8D16" w14:textId="07DF5D4A" w:rsidR="006C37DC" w:rsidRPr="006C37DC"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Cs/>
          <w:color w:val="000000"/>
          <w:lang w:bidi="en-US"/>
        </w:rPr>
        <w:t xml:space="preserve">To further ascertain how </w:t>
      </w:r>
      <w:r w:rsidRPr="006C37DC">
        <w:rPr>
          <w:rFonts w:ascii="Arial" w:eastAsia="Times New Roman" w:hAnsi="Arial" w:cs="Arial"/>
          <w:bCs/>
          <w:i/>
          <w:color w:val="000000"/>
          <w:lang w:bidi="en-US"/>
        </w:rPr>
        <w:t xml:space="preserve">PpTMM </w:t>
      </w:r>
      <w:r w:rsidRPr="006C37DC">
        <w:rPr>
          <w:rFonts w:ascii="Arial" w:eastAsia="Times New Roman" w:hAnsi="Arial" w:cs="Arial"/>
          <w:bCs/>
          <w:color w:val="000000"/>
          <w:lang w:bidi="en-US"/>
        </w:rPr>
        <w:t xml:space="preserve">functions, in a similar way to the </w:t>
      </w:r>
      <w:r w:rsidRPr="006C37DC">
        <w:rPr>
          <w:rFonts w:ascii="Arial" w:eastAsia="Times New Roman" w:hAnsi="Arial" w:cs="Arial"/>
          <w:bCs/>
          <w:i/>
          <w:color w:val="000000"/>
          <w:lang w:bidi="en-US"/>
        </w:rPr>
        <w:t xml:space="preserve">PpEPF1 </w:t>
      </w:r>
      <w:r w:rsidRPr="006C37DC">
        <w:rPr>
          <w:rFonts w:ascii="Arial" w:eastAsia="Times New Roman" w:hAnsi="Arial" w:cs="Arial"/>
          <w:bCs/>
          <w:color w:val="000000"/>
          <w:lang w:bidi="en-US"/>
        </w:rPr>
        <w:t xml:space="preserve">investigations described above, over-expression of </w:t>
      </w:r>
      <w:r w:rsidRPr="006C37DC">
        <w:rPr>
          <w:rFonts w:ascii="Arial" w:eastAsia="Times New Roman" w:hAnsi="Arial" w:cs="Arial"/>
          <w:bCs/>
          <w:i/>
          <w:color w:val="000000"/>
          <w:lang w:bidi="en-US"/>
        </w:rPr>
        <w:t xml:space="preserve">PpTMM </w:t>
      </w:r>
      <w:r w:rsidRPr="006C37DC">
        <w:rPr>
          <w:rFonts w:ascii="Arial" w:eastAsia="Times New Roman" w:hAnsi="Arial" w:cs="Arial"/>
          <w:bCs/>
          <w:color w:val="000000"/>
          <w:lang w:bidi="en-US"/>
        </w:rPr>
        <w:t xml:space="preserve">in the wild-type was investigated. To achieve this the </w:t>
      </w:r>
      <w:r w:rsidRPr="006C37DC">
        <w:rPr>
          <w:rFonts w:ascii="Arial" w:eastAsia="Times New Roman" w:hAnsi="Arial" w:cs="Arial"/>
          <w:bCs/>
          <w:i/>
          <w:color w:val="000000"/>
          <w:lang w:bidi="en-US"/>
        </w:rPr>
        <w:t xml:space="preserve">PpTMM </w:t>
      </w:r>
      <w:r w:rsidRPr="006C37DC">
        <w:rPr>
          <w:rFonts w:ascii="Arial" w:eastAsia="Times New Roman" w:hAnsi="Arial" w:cs="Arial"/>
          <w:bCs/>
          <w:color w:val="000000"/>
          <w:lang w:bidi="en-US"/>
        </w:rPr>
        <w:t xml:space="preserve">gene was also fused to the rice actin promoter, and targeted to the </w:t>
      </w:r>
      <w:r w:rsidRPr="006C37DC">
        <w:rPr>
          <w:rFonts w:ascii="Arial" w:eastAsia="Times New Roman" w:hAnsi="Arial" w:cs="Arial"/>
          <w:bCs/>
          <w:color w:val="000000"/>
        </w:rPr>
        <w:t xml:space="preserve">ʎ108 using the same procedure as with </w:t>
      </w:r>
      <w:r w:rsidRPr="006C37DC">
        <w:rPr>
          <w:rFonts w:ascii="Arial" w:eastAsia="Times New Roman" w:hAnsi="Arial" w:cs="Arial"/>
          <w:bCs/>
          <w:i/>
          <w:color w:val="000000"/>
        </w:rPr>
        <w:t>PpEPF1OE</w:t>
      </w:r>
      <w:r w:rsidRPr="006C37DC">
        <w:rPr>
          <w:rFonts w:ascii="Arial" w:eastAsia="Times New Roman" w:hAnsi="Arial" w:cs="Arial"/>
          <w:bCs/>
          <w:color w:val="000000"/>
        </w:rPr>
        <w:t xml:space="preserve"> line generation. Despite recovering a number of anti-biotic resistance lines it was not possible to detect any mutants that could be confirmed as targeted to the ʎ108 locus at the 5’ and 3’ targeted regions. However, one line identified had a large upregulation of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in both the protonemal and gametophyte-sporophyte mix tissue (for gametophyte-sporophyte mix see </w:t>
      </w:r>
      <w:r w:rsidRPr="006C37DC">
        <w:rPr>
          <w:rFonts w:ascii="Arial" w:eastAsia="Times New Roman" w:hAnsi="Arial" w:cs="Arial"/>
          <w:b/>
          <w:bCs/>
          <w:color w:val="000000"/>
        </w:rPr>
        <w:t>Fig. 15a</w:t>
      </w:r>
      <w:r w:rsidRPr="006C37DC">
        <w:rPr>
          <w:rFonts w:ascii="Arial" w:eastAsia="Times New Roman" w:hAnsi="Arial" w:cs="Arial"/>
          <w:bCs/>
          <w:color w:val="000000"/>
        </w:rPr>
        <w:t>-</w:t>
      </w:r>
      <w:r w:rsidRPr="006C37DC">
        <w:rPr>
          <w:rFonts w:ascii="Arial" w:eastAsia="Times New Roman" w:hAnsi="Arial" w:cs="Arial"/>
          <w:b/>
          <w:bCs/>
          <w:color w:val="000000"/>
        </w:rPr>
        <w:t>b</w:t>
      </w:r>
      <w:r w:rsidRPr="006C37DC">
        <w:rPr>
          <w:rFonts w:ascii="Arial" w:eastAsia="Times New Roman" w:hAnsi="Arial" w:cs="Arial"/>
          <w:bCs/>
          <w:color w:val="000000"/>
        </w:rPr>
        <w:t xml:space="preserve">). The phenotype in the one </w:t>
      </w:r>
      <w:r w:rsidRPr="006C37DC">
        <w:rPr>
          <w:rFonts w:ascii="Arial" w:eastAsia="Times New Roman" w:hAnsi="Arial" w:cs="Arial"/>
          <w:bCs/>
          <w:i/>
          <w:color w:val="000000"/>
        </w:rPr>
        <w:t xml:space="preserve">PpTMMOE </w:t>
      </w:r>
      <w:r w:rsidRPr="006C37DC">
        <w:rPr>
          <w:rFonts w:ascii="Arial" w:eastAsia="Times New Roman" w:hAnsi="Arial" w:cs="Arial"/>
          <w:bCs/>
          <w:color w:val="000000"/>
        </w:rPr>
        <w:t>isolated did not appear to differ from the wild-type with regular spacing of stomata occurring (</w:t>
      </w:r>
      <w:r w:rsidRPr="006C37DC">
        <w:rPr>
          <w:rFonts w:ascii="Arial" w:eastAsia="Times New Roman" w:hAnsi="Arial" w:cs="Arial"/>
          <w:b/>
          <w:bCs/>
          <w:color w:val="000000"/>
        </w:rPr>
        <w:t>Fig. 15c</w:t>
      </w:r>
      <w:r w:rsidRPr="006C37DC">
        <w:rPr>
          <w:rFonts w:ascii="Arial" w:eastAsia="Times New Roman" w:hAnsi="Arial" w:cs="Arial"/>
          <w:bCs/>
          <w:color w:val="000000"/>
        </w:rPr>
        <w:t>-</w:t>
      </w:r>
      <w:r w:rsidRPr="006C37DC">
        <w:rPr>
          <w:rFonts w:ascii="Arial" w:eastAsia="Times New Roman" w:hAnsi="Arial" w:cs="Arial"/>
          <w:b/>
          <w:bCs/>
          <w:color w:val="000000"/>
        </w:rPr>
        <w:t>f</w:t>
      </w:r>
      <w:r w:rsidRPr="006C37DC">
        <w:rPr>
          <w:rFonts w:ascii="Arial" w:eastAsia="Times New Roman" w:hAnsi="Arial" w:cs="Arial"/>
          <w:bCs/>
          <w:color w:val="000000"/>
        </w:rPr>
        <w:t>) A minor increase in stomata was detected but this was not significant when a Two-tailed t test was performed with equal variance (</w:t>
      </w:r>
      <w:r w:rsidRPr="006C37DC">
        <w:rPr>
          <w:rFonts w:ascii="Arial" w:eastAsia="Times New Roman" w:hAnsi="Arial" w:cs="Arial"/>
          <w:b/>
          <w:bCs/>
          <w:color w:val="000000"/>
        </w:rPr>
        <w:t>Fig. 15g</w:t>
      </w:r>
      <w:r w:rsidRPr="006C37DC">
        <w:rPr>
          <w:rFonts w:ascii="Arial" w:eastAsia="Times New Roman" w:hAnsi="Arial" w:cs="Arial"/>
          <w:bCs/>
          <w:color w:val="000000"/>
        </w:rPr>
        <w:t xml:space="preserve">). Such findings are not dissimilar to what has been previously described in Arabidopsis, where the over-expressing </w:t>
      </w:r>
      <w:r w:rsidRPr="006C37DC">
        <w:rPr>
          <w:rFonts w:ascii="Arial" w:eastAsia="Times New Roman" w:hAnsi="Arial" w:cs="Arial"/>
          <w:bCs/>
          <w:i/>
          <w:color w:val="000000"/>
        </w:rPr>
        <w:t xml:space="preserve">AtTMM </w:t>
      </w:r>
      <w:r w:rsidRPr="006C37DC">
        <w:rPr>
          <w:rFonts w:ascii="Arial" w:eastAsia="Times New Roman" w:hAnsi="Arial" w:cs="Arial"/>
          <w:bCs/>
          <w:color w:val="000000"/>
        </w:rPr>
        <w:t xml:space="preserve">had no effect on stomatal density, index or patterning </w:t>
      </w:r>
      <w:r w:rsidRPr="006C37DC">
        <w:rPr>
          <w:rFonts w:ascii="Arial" w:eastAsia="Times New Roman" w:hAnsi="Arial" w:cs="Arial"/>
          <w:bCs/>
          <w:color w:val="000000"/>
        </w:rPr>
        <w:fldChar w:fldCharType="begin">
          <w:fldData xml:space="preserve">PEVuZE5vdGU+PENpdGU+PEF1dGhvcj5ZYW48L0F1dGhvcj48WWVhcj4yMDE0PC9ZZWFyPjxJRFRl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PEVuZE5vdGU+PENpdGU+PEF1dGhvcj5ZYW48L0F1dGhvcj48WWVhcj4yMDE0PC9ZZWFyPjxJRFRl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(Yan et al., 2014)</w:t>
      </w:r>
      <w:r w:rsidRPr="006C37DC">
        <w:rPr>
          <w:rFonts w:ascii="Arial" w:eastAsia="Times New Roman" w:hAnsi="Arial" w:cs="Arial"/>
          <w:bCs/>
          <w:color w:val="000000"/>
        </w:rPr>
        <w:fldChar w:fldCharType="end"/>
      </w:r>
      <w:r w:rsidRPr="006C37DC">
        <w:rPr>
          <w:rFonts w:ascii="Arial" w:eastAsia="Times New Roman" w:hAnsi="Arial" w:cs="Arial"/>
          <w:bCs/>
          <w:color w:val="000000"/>
        </w:rPr>
        <w:t>.</w:t>
      </w:r>
    </w:p>
    <w:p w14:paraId="63ACD524" w14:textId="77777777" w:rsidR="008653D0" w:rsidRDefault="006C37DC" w:rsidP="008653D0">
      <w:pPr>
        <w:spacing w:after="160" w:line="360" w:lineRule="auto"/>
        <w:jc w:val="center"/>
        <w:rPr>
          <w:rFonts w:ascii="Arial" w:eastAsia="Times New Roman" w:hAnsi="Arial" w:cs="Arial"/>
          <w:b/>
          <w:bCs/>
          <w:color w:val="000000"/>
        </w:rPr>
      </w:pPr>
      <w:r w:rsidRPr="006C37DC">
        <w:rPr>
          <w:rFonts w:ascii="Arial" w:eastAsia="Times New Roman" w:hAnsi="Arial" w:cs="Arial"/>
          <w:b/>
          <w:bCs/>
          <w:noProof/>
          <w:color w:val="000000"/>
          <w:lang w:eastAsia="ja-JP"/>
        </w:rPr>
        <w:lastRenderedPageBreak/>
        <w:drawing>
          <wp:inline distT="0" distB="0" distL="0" distR="0" wp14:anchorId="62A52096" wp14:editId="0AFA06AC">
            <wp:extent cx="5669280" cy="5551717"/>
            <wp:effectExtent l="0" t="0" r="762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pdated tmmoe.png"/>
                    <pic:cNvPicPr/>
                  </pic:nvPicPr>
                  <pic:blipFill>
                    <a:blip r:embed="rId64">
                      <a:extLst>
                        <a:ext uri="{28A0092B-C50C-407E-A947-70E740481C1C}">
                          <a14:useLocalDpi xmlns:a14="http://schemas.microsoft.com/office/drawing/2010/main" val="0"/>
                        </a:ext>
                      </a:extLst>
                    </a:blip>
                    <a:stretch>
                      <a:fillRect/>
                    </a:stretch>
                  </pic:blipFill>
                  <pic:spPr>
                    <a:xfrm>
                      <a:off x="0" y="0"/>
                      <a:ext cx="5673038" cy="5555397"/>
                    </a:xfrm>
                    <a:prstGeom prst="rect">
                      <a:avLst/>
                    </a:prstGeom>
                  </pic:spPr>
                </pic:pic>
              </a:graphicData>
            </a:graphic>
          </wp:inline>
        </w:drawing>
      </w:r>
    </w:p>
    <w:p w14:paraId="10F34A3B" w14:textId="2250D524" w:rsidR="006C37DC" w:rsidRPr="006C37DC"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
          <w:bCs/>
          <w:color w:val="000000"/>
        </w:rPr>
        <w:t xml:space="preserve">Figure 15. Over-expression of </w:t>
      </w:r>
      <w:r w:rsidRPr="006C37DC">
        <w:rPr>
          <w:rFonts w:ascii="Arial" w:eastAsia="Times New Roman" w:hAnsi="Arial" w:cs="Arial"/>
          <w:b/>
          <w:bCs/>
          <w:i/>
          <w:color w:val="000000"/>
        </w:rPr>
        <w:t>PpTMM</w:t>
      </w:r>
      <w:r w:rsidRPr="006C37DC">
        <w:rPr>
          <w:rFonts w:ascii="Arial" w:eastAsia="Times New Roman" w:hAnsi="Arial" w:cs="Arial"/>
          <w:b/>
          <w:bCs/>
          <w:color w:val="000000"/>
        </w:rPr>
        <w:t xml:space="preserve"> has little effect on stomatal development and patterning.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xml:space="preserve">) RT-PCR gel image illustrating increased expression of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in gametophyte-sporophyte mix tissue samples of the one </w:t>
      </w:r>
      <w:r w:rsidRPr="006C37DC">
        <w:rPr>
          <w:rFonts w:ascii="Arial" w:eastAsia="Times New Roman" w:hAnsi="Arial" w:cs="Arial"/>
          <w:bCs/>
          <w:i/>
          <w:color w:val="000000"/>
        </w:rPr>
        <w:t xml:space="preserve">PpEPF1OE </w:t>
      </w:r>
      <w:r w:rsidRPr="006C37DC">
        <w:rPr>
          <w:rFonts w:ascii="Arial" w:eastAsia="Times New Roman" w:hAnsi="Arial" w:cs="Arial"/>
          <w:bCs/>
          <w:color w:val="000000"/>
        </w:rPr>
        <w:t>comparatively to wild-type.</w:t>
      </w:r>
      <w:r w:rsidRPr="006C37DC">
        <w:rPr>
          <w:rFonts w:ascii="Arial" w:eastAsia="Times New Roman" w:hAnsi="Arial" w:cs="Arial"/>
          <w:b/>
          <w:bCs/>
          <w:color w:val="000000"/>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b</w:t>
      </w:r>
      <w:r w:rsidRPr="006C37DC">
        <w:rPr>
          <w:rFonts w:ascii="Arial" w:eastAsia="Times New Roman" w:hAnsi="Arial" w:cs="Arial"/>
          <w:bCs/>
          <w:color w:val="000000"/>
        </w:rPr>
        <w:t>) Rubisco small sub-unit controls (RbcS) for corresponding samples in (</w:t>
      </w:r>
      <w:r w:rsidRPr="006C37DC">
        <w:rPr>
          <w:rFonts w:ascii="Arial" w:eastAsia="Times New Roman" w:hAnsi="Arial" w:cs="Arial"/>
          <w:b/>
          <w:bCs/>
          <w:color w:val="000000"/>
        </w:rPr>
        <w:t>a</w:t>
      </w:r>
      <w:r w:rsidRPr="006C37DC">
        <w:rPr>
          <w:rFonts w:ascii="Arial" w:eastAsia="Times New Roman" w:hAnsi="Arial" w:cs="Arial"/>
          <w:bCs/>
          <w:color w:val="000000"/>
        </w:rPr>
        <w:t>). Wild-type samples are marked WT, water controls are marked W. (</w:t>
      </w:r>
      <w:r w:rsidRPr="006C37DC">
        <w:rPr>
          <w:rFonts w:ascii="Arial" w:eastAsia="Times New Roman" w:hAnsi="Arial" w:cs="Arial"/>
          <w:b/>
          <w:bCs/>
          <w:color w:val="000000"/>
        </w:rPr>
        <w:t>c</w:t>
      </w:r>
      <w:r w:rsidRPr="006C37DC">
        <w:rPr>
          <w:rFonts w:ascii="Arial" w:eastAsia="Times New Roman" w:hAnsi="Arial" w:cs="Arial"/>
          <w:bCs/>
          <w:color w:val="000000"/>
        </w:rPr>
        <w:t xml:space="preserve">) Stacked </w:t>
      </w:r>
      <w:r w:rsidR="00EE0DEA">
        <w:rPr>
          <w:rFonts w:ascii="Arial" w:eastAsia="Times New Roman" w:hAnsi="Arial" w:cs="Arial"/>
          <w:bCs/>
          <w:color w:val="000000"/>
        </w:rPr>
        <w:t>fluorescence</w:t>
      </w:r>
      <w:r w:rsidRPr="006C37DC">
        <w:rPr>
          <w:rFonts w:ascii="Arial" w:eastAsia="Times New Roman" w:hAnsi="Arial" w:cs="Arial"/>
          <w:bCs/>
          <w:color w:val="000000"/>
        </w:rPr>
        <w:t xml:space="preserve"> image of a fully expanded fresh green-to-yellow wild-type sporophyte capsule with regularly spaced stomata. (</w:t>
      </w:r>
      <w:r w:rsidRPr="006C37DC">
        <w:rPr>
          <w:rFonts w:ascii="Arial" w:eastAsia="Times New Roman" w:hAnsi="Arial" w:cs="Arial"/>
          <w:b/>
          <w:bCs/>
          <w:color w:val="000000"/>
        </w:rPr>
        <w:t>d</w:t>
      </w:r>
      <w:r w:rsidRPr="006C37DC">
        <w:rPr>
          <w:rFonts w:ascii="Arial" w:eastAsia="Times New Roman" w:hAnsi="Arial" w:cs="Arial"/>
          <w:bCs/>
          <w:color w:val="000000"/>
        </w:rPr>
        <w:t xml:space="preserve">) Equivalent </w:t>
      </w:r>
      <w:r w:rsidRPr="006C37DC">
        <w:rPr>
          <w:rFonts w:ascii="Arial" w:eastAsia="Times New Roman" w:hAnsi="Arial" w:cs="Arial"/>
          <w:bCs/>
          <w:i/>
          <w:color w:val="000000"/>
        </w:rPr>
        <w:t xml:space="preserve">PpTMMOE-1 </w:t>
      </w:r>
      <w:r w:rsidRPr="006C37DC">
        <w:rPr>
          <w:rFonts w:ascii="Arial" w:eastAsia="Times New Roman" w:hAnsi="Arial" w:cs="Arial"/>
          <w:bCs/>
          <w:color w:val="000000"/>
        </w:rPr>
        <w:t>sporophyte capsule to (</w:t>
      </w:r>
      <w:r w:rsidRPr="006C37DC">
        <w:rPr>
          <w:rFonts w:ascii="Arial" w:eastAsia="Times New Roman" w:hAnsi="Arial" w:cs="Arial"/>
          <w:b/>
          <w:bCs/>
          <w:color w:val="000000"/>
        </w:rPr>
        <w:t>c</w:t>
      </w:r>
      <w:r w:rsidRPr="006C37DC">
        <w:rPr>
          <w:rFonts w:ascii="Arial" w:eastAsia="Times New Roman" w:hAnsi="Arial" w:cs="Arial"/>
          <w:bCs/>
          <w:color w:val="000000"/>
        </w:rPr>
        <w:t>). Note, stomata are fluorescing a white to yellow colour and are encircling the darkened central seta region. (</w:t>
      </w:r>
      <w:r w:rsidRPr="006C37DC">
        <w:rPr>
          <w:rFonts w:ascii="Arial" w:eastAsia="Times New Roman" w:hAnsi="Arial" w:cs="Arial"/>
          <w:b/>
          <w:bCs/>
          <w:color w:val="000000"/>
        </w:rPr>
        <w:t>e</w:t>
      </w:r>
      <w:r w:rsidRPr="006C37DC">
        <w:rPr>
          <w:rFonts w:ascii="Arial" w:eastAsia="Times New Roman" w:hAnsi="Arial" w:cs="Arial"/>
          <w:bCs/>
          <w:color w:val="000000"/>
        </w:rPr>
        <w:t>) Wild-type close up equivalent to (</w:t>
      </w:r>
      <w:r w:rsidRPr="006C37DC">
        <w:rPr>
          <w:rFonts w:ascii="Arial" w:eastAsia="Times New Roman" w:hAnsi="Arial" w:cs="Arial"/>
          <w:b/>
          <w:bCs/>
          <w:color w:val="000000"/>
        </w:rPr>
        <w:t>c</w:t>
      </w:r>
      <w:r w:rsidRPr="006C37DC">
        <w:rPr>
          <w:rFonts w:ascii="Arial" w:eastAsia="Times New Roman" w:hAnsi="Arial" w:cs="Arial"/>
          <w:bCs/>
          <w:color w:val="000000"/>
        </w:rPr>
        <w:t>). (</w:t>
      </w:r>
      <w:r w:rsidRPr="006C37DC">
        <w:rPr>
          <w:rFonts w:ascii="Arial" w:eastAsia="Times New Roman" w:hAnsi="Arial" w:cs="Arial"/>
          <w:b/>
          <w:bCs/>
          <w:color w:val="000000"/>
        </w:rPr>
        <w:t>f</w:t>
      </w:r>
      <w:r w:rsidRPr="006C37DC">
        <w:rPr>
          <w:rFonts w:ascii="Arial" w:eastAsia="Times New Roman" w:hAnsi="Arial" w:cs="Arial"/>
          <w:bCs/>
          <w:color w:val="000000"/>
        </w:rPr>
        <w:t xml:space="preserve">) </w:t>
      </w:r>
      <w:r w:rsidRPr="006C37DC">
        <w:rPr>
          <w:rFonts w:ascii="Arial" w:eastAsia="Times New Roman" w:hAnsi="Arial" w:cs="Arial"/>
          <w:bCs/>
          <w:i/>
          <w:color w:val="000000"/>
        </w:rPr>
        <w:t>PpTMMOE-1</w:t>
      </w:r>
      <w:r w:rsidRPr="006C37DC">
        <w:rPr>
          <w:rFonts w:ascii="Arial" w:eastAsia="Times New Roman" w:hAnsi="Arial" w:cs="Arial"/>
          <w:bCs/>
          <w:color w:val="000000"/>
        </w:rPr>
        <w:t xml:space="preserve"> close-up equivalent to (</w:t>
      </w:r>
      <w:r w:rsidRPr="006C37DC">
        <w:rPr>
          <w:rFonts w:ascii="Arial" w:eastAsia="Times New Roman" w:hAnsi="Arial" w:cs="Arial"/>
          <w:b/>
          <w:bCs/>
          <w:color w:val="000000"/>
        </w:rPr>
        <w:t>d</w:t>
      </w:r>
      <w:r w:rsidRPr="006C37DC">
        <w:rPr>
          <w:rFonts w:ascii="Arial" w:eastAsia="Times New Roman" w:hAnsi="Arial" w:cs="Arial"/>
          <w:bCs/>
          <w:color w:val="000000"/>
        </w:rPr>
        <w:t>) with spacing not dissimilar to wild-type. (</w:t>
      </w:r>
      <w:r w:rsidRPr="006C37DC">
        <w:rPr>
          <w:rFonts w:ascii="Arial" w:eastAsia="Times New Roman" w:hAnsi="Arial" w:cs="Arial"/>
          <w:b/>
          <w:bCs/>
          <w:color w:val="000000"/>
        </w:rPr>
        <w:t>g</w:t>
      </w:r>
      <w:r w:rsidRPr="006C37DC">
        <w:rPr>
          <w:rFonts w:ascii="Arial" w:eastAsia="Times New Roman" w:hAnsi="Arial" w:cs="Arial"/>
          <w:bCs/>
          <w:color w:val="000000"/>
        </w:rPr>
        <w:t xml:space="preserve">) Quantification of the number of stomata in equally sized orange to brown mature sporophyte capsules. </w:t>
      </w:r>
      <w:r w:rsidRPr="006C37DC">
        <w:rPr>
          <w:rFonts w:ascii="Arial" w:eastAsia="Times New Roman" w:hAnsi="Arial" w:cs="Arial"/>
          <w:bCs/>
          <w:color w:val="000000"/>
          <w:lang w:bidi="en-US"/>
        </w:rPr>
        <w:t xml:space="preserve">Samples marked with the same lettering are not statistically significantly different when a Two-tailed t test with equal variances was conducted, n=8. </w:t>
      </w:r>
      <w:r w:rsidRPr="006C37DC">
        <w:rPr>
          <w:rFonts w:ascii="Arial" w:eastAsia="Times New Roman" w:hAnsi="Arial" w:cs="Arial"/>
          <w:bCs/>
          <w:color w:val="000000"/>
        </w:rPr>
        <w:t xml:space="preserve">Scale bars are as follows: </w:t>
      </w:r>
      <w:r w:rsidRPr="006C37DC">
        <w:rPr>
          <w:rFonts w:ascii="Arial" w:eastAsia="Times New Roman" w:hAnsi="Arial" w:cs="Arial"/>
          <w:b/>
          <w:bCs/>
          <w:color w:val="000000"/>
        </w:rPr>
        <w:t xml:space="preserve">c-d, </w:t>
      </w:r>
      <w:r w:rsidRPr="006C37DC">
        <w:rPr>
          <w:rFonts w:ascii="Arial" w:eastAsia="Times New Roman" w:hAnsi="Arial" w:cs="Arial"/>
          <w:bCs/>
          <w:color w:val="000000"/>
        </w:rPr>
        <w:t xml:space="preserve">100µm, </w:t>
      </w:r>
      <w:r w:rsidRPr="006C37DC">
        <w:rPr>
          <w:rFonts w:ascii="Arial" w:eastAsia="Times New Roman" w:hAnsi="Arial" w:cs="Arial"/>
          <w:b/>
          <w:bCs/>
          <w:color w:val="000000"/>
        </w:rPr>
        <w:t xml:space="preserve">e-f, </w:t>
      </w:r>
      <w:r w:rsidRPr="006C37DC">
        <w:rPr>
          <w:rFonts w:ascii="Arial" w:eastAsia="Times New Roman" w:hAnsi="Arial" w:cs="Arial"/>
          <w:bCs/>
          <w:color w:val="000000"/>
        </w:rPr>
        <w:t xml:space="preserve">25µm. </w:t>
      </w:r>
      <w:r w:rsidRPr="006C37DC">
        <w:rPr>
          <w:rFonts w:ascii="Arial" w:eastAsia="Times New Roman" w:hAnsi="Arial" w:cs="Arial"/>
          <w:bCs/>
          <w:color w:val="000000"/>
          <w:lang w:bidi="en-US"/>
        </w:rPr>
        <w:t>Error bars = s.e.m.</w:t>
      </w:r>
      <w:r w:rsidRPr="006C37DC">
        <w:rPr>
          <w:rFonts w:ascii="Arial" w:eastAsia="Times New Roman" w:hAnsi="Arial" w:cs="Arial"/>
          <w:bCs/>
          <w:color w:val="000000"/>
          <w:lang w:bidi="en-US"/>
        </w:rPr>
        <w:br w:type="page"/>
      </w:r>
    </w:p>
    <w:p w14:paraId="6073669D" w14:textId="61A3F288" w:rsidR="006C37DC" w:rsidRPr="006C37DC" w:rsidRDefault="006C37DC" w:rsidP="006C37DC">
      <w:pPr>
        <w:spacing w:after="160" w:line="360" w:lineRule="auto"/>
        <w:rPr>
          <w:rFonts w:ascii="Arial" w:eastAsia="Times New Roman" w:hAnsi="Arial" w:cs="Arial"/>
          <w:bCs/>
          <w:color w:val="000000"/>
          <w:u w:val="single"/>
          <w:lang w:bidi="en-US"/>
        </w:rPr>
      </w:pPr>
      <w:r w:rsidRPr="006C37DC">
        <w:rPr>
          <w:rFonts w:ascii="Arial" w:eastAsia="Times New Roman" w:hAnsi="Arial" w:cs="Arial"/>
          <w:bCs/>
          <w:color w:val="000000"/>
          <w:u w:val="single"/>
          <w:lang w:bidi="en-US"/>
        </w:rPr>
        <w:lastRenderedPageBreak/>
        <w:t>4.2.8</w:t>
      </w:r>
      <w:r w:rsidR="00C7050F">
        <w:rPr>
          <w:rFonts w:ascii="Arial" w:eastAsia="Times New Roman" w:hAnsi="Arial" w:cs="Arial"/>
          <w:bCs/>
          <w:color w:val="000000"/>
          <w:u w:val="single"/>
          <w:lang w:bidi="en-US"/>
        </w:rPr>
        <w:t xml:space="preserve"> Stomatal developmental ontogeny</w:t>
      </w:r>
      <w:r w:rsidRPr="006C37DC">
        <w:rPr>
          <w:rFonts w:ascii="Arial" w:eastAsia="Times New Roman" w:hAnsi="Arial" w:cs="Arial"/>
          <w:bCs/>
          <w:color w:val="000000"/>
          <w:u w:val="single"/>
          <w:lang w:bidi="en-US"/>
        </w:rPr>
        <w:t xml:space="preserve"> in </w:t>
      </w:r>
      <w:r w:rsidRPr="006C37DC">
        <w:rPr>
          <w:rFonts w:ascii="Arial" w:eastAsia="Times New Roman" w:hAnsi="Arial" w:cs="Arial"/>
          <w:bCs/>
          <w:i/>
          <w:color w:val="000000"/>
          <w:u w:val="single"/>
          <w:lang w:bidi="en-US"/>
        </w:rPr>
        <w:t xml:space="preserve">pptmm </w:t>
      </w:r>
      <w:r w:rsidRPr="006C37DC">
        <w:rPr>
          <w:rFonts w:ascii="Arial" w:eastAsia="Times New Roman" w:hAnsi="Arial" w:cs="Arial"/>
          <w:bCs/>
          <w:color w:val="000000"/>
          <w:u w:val="single"/>
          <w:lang w:bidi="en-US"/>
        </w:rPr>
        <w:t xml:space="preserve">and </w:t>
      </w:r>
      <w:r w:rsidRPr="006C37DC">
        <w:rPr>
          <w:rFonts w:ascii="Arial" w:eastAsia="Times New Roman" w:hAnsi="Arial" w:cs="Arial"/>
          <w:bCs/>
          <w:i/>
          <w:color w:val="000000"/>
          <w:u w:val="single"/>
          <w:lang w:bidi="en-US"/>
        </w:rPr>
        <w:t>PpTMMOE</w:t>
      </w:r>
    </w:p>
    <w:p w14:paraId="4634832E" w14:textId="2D034FA0" w:rsidR="006C37DC" w:rsidRPr="006C37DC"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Cs/>
          <w:color w:val="000000"/>
          <w:lang w:bidi="en-US"/>
        </w:rPr>
        <w:t>The above experiments clearly show that PpTMM</w:t>
      </w:r>
      <w:r w:rsidRPr="006C37DC">
        <w:rPr>
          <w:rFonts w:ascii="Arial" w:eastAsia="Times New Roman" w:hAnsi="Arial" w:cs="Arial"/>
          <w:bCs/>
          <w:i/>
          <w:color w:val="000000"/>
          <w:lang w:bidi="en-US"/>
        </w:rPr>
        <w:t xml:space="preserve"> </w:t>
      </w:r>
      <w:r w:rsidRPr="006C37DC">
        <w:rPr>
          <w:rFonts w:ascii="Arial" w:eastAsia="Times New Roman" w:hAnsi="Arial" w:cs="Arial"/>
          <w:bCs/>
          <w:color w:val="000000"/>
          <w:lang w:bidi="en-US"/>
        </w:rPr>
        <w:t xml:space="preserve">is required for normal stomatal spacing, and that lack of PpTMM results in a destabilization of stomatal patterning leading to </w:t>
      </w:r>
      <w:r w:rsidR="006029DA">
        <w:rPr>
          <w:rFonts w:ascii="Arial" w:eastAsia="Times New Roman" w:hAnsi="Arial" w:cs="Arial"/>
          <w:bCs/>
          <w:color w:val="000000"/>
          <w:lang w:bidi="en-US"/>
        </w:rPr>
        <w:t xml:space="preserve">the sporophytes of </w:t>
      </w:r>
      <w:r w:rsidRPr="006C37DC">
        <w:rPr>
          <w:rFonts w:ascii="Arial" w:eastAsia="Times New Roman" w:hAnsi="Arial" w:cs="Arial"/>
          <w:bCs/>
          <w:i/>
          <w:color w:val="000000"/>
          <w:lang w:bidi="en-US"/>
        </w:rPr>
        <w:t>pptmm</w:t>
      </w:r>
      <w:r w:rsidRPr="006C37DC">
        <w:rPr>
          <w:rFonts w:ascii="Arial" w:eastAsia="Times New Roman" w:hAnsi="Arial" w:cs="Arial"/>
          <w:bCs/>
          <w:color w:val="000000"/>
          <w:lang w:bidi="en-US"/>
        </w:rPr>
        <w:t xml:space="preserve"> KO lines showing </w:t>
      </w:r>
      <w:r w:rsidR="006029DA">
        <w:rPr>
          <w:rFonts w:ascii="Arial" w:eastAsia="Times New Roman" w:hAnsi="Arial" w:cs="Arial"/>
          <w:bCs/>
          <w:color w:val="000000"/>
          <w:lang w:bidi="en-US"/>
        </w:rPr>
        <w:t>a variety of phenotypes from very few stomata to</w:t>
      </w:r>
      <w:r w:rsidRPr="006C37DC">
        <w:rPr>
          <w:rFonts w:ascii="Arial" w:eastAsia="Times New Roman" w:hAnsi="Arial" w:cs="Arial"/>
          <w:bCs/>
          <w:color w:val="000000"/>
          <w:lang w:bidi="en-US"/>
        </w:rPr>
        <w:t xml:space="preserve"> many </w:t>
      </w:r>
      <w:r w:rsidR="006029DA">
        <w:rPr>
          <w:rFonts w:ascii="Arial" w:eastAsia="Times New Roman" w:hAnsi="Arial" w:cs="Arial"/>
          <w:bCs/>
          <w:color w:val="000000"/>
          <w:lang w:bidi="en-US"/>
        </w:rPr>
        <w:t xml:space="preserve">stomata that often </w:t>
      </w:r>
      <w:r w:rsidRPr="006C37DC">
        <w:rPr>
          <w:rFonts w:ascii="Arial" w:eastAsia="Times New Roman" w:hAnsi="Arial" w:cs="Arial"/>
          <w:bCs/>
          <w:color w:val="000000"/>
          <w:lang w:bidi="en-US"/>
        </w:rPr>
        <w:t xml:space="preserve">clustered. However, as with the study of mature </w:t>
      </w:r>
      <w:r w:rsidRPr="006C37DC">
        <w:rPr>
          <w:rFonts w:ascii="Arial" w:eastAsia="Times New Roman" w:hAnsi="Arial" w:cs="Arial"/>
          <w:bCs/>
          <w:i/>
          <w:color w:val="000000"/>
          <w:lang w:bidi="en-US"/>
        </w:rPr>
        <w:t xml:space="preserve">ppepf1 </w:t>
      </w:r>
      <w:r w:rsidRPr="006C37DC">
        <w:rPr>
          <w:rFonts w:ascii="Arial" w:eastAsia="Times New Roman" w:hAnsi="Arial" w:cs="Arial"/>
          <w:bCs/>
          <w:color w:val="000000"/>
          <w:lang w:bidi="en-US"/>
        </w:rPr>
        <w:t xml:space="preserve">and </w:t>
      </w:r>
      <w:r w:rsidRPr="006C37DC">
        <w:rPr>
          <w:rFonts w:ascii="Arial" w:eastAsia="Times New Roman" w:hAnsi="Arial" w:cs="Arial"/>
          <w:bCs/>
          <w:i/>
          <w:color w:val="000000"/>
          <w:lang w:bidi="en-US"/>
        </w:rPr>
        <w:t xml:space="preserve">PpEPF1OE </w:t>
      </w:r>
      <w:r w:rsidRPr="006C37DC">
        <w:rPr>
          <w:rFonts w:ascii="Arial" w:eastAsia="Times New Roman" w:hAnsi="Arial" w:cs="Arial"/>
          <w:bCs/>
          <w:color w:val="000000"/>
          <w:lang w:bidi="en-US"/>
        </w:rPr>
        <w:t xml:space="preserve">sporophyte capsules, the study of mature </w:t>
      </w:r>
      <w:r w:rsidRPr="006C37DC">
        <w:rPr>
          <w:rFonts w:ascii="Arial" w:eastAsia="Times New Roman" w:hAnsi="Arial" w:cs="Arial"/>
          <w:bCs/>
          <w:i/>
          <w:color w:val="000000"/>
          <w:lang w:bidi="en-US"/>
        </w:rPr>
        <w:t xml:space="preserve">pptmm </w:t>
      </w:r>
      <w:r w:rsidRPr="006C37DC">
        <w:rPr>
          <w:rFonts w:ascii="Arial" w:eastAsia="Times New Roman" w:hAnsi="Arial" w:cs="Arial"/>
          <w:bCs/>
          <w:color w:val="000000"/>
          <w:lang w:bidi="en-US"/>
        </w:rPr>
        <w:t xml:space="preserve">and </w:t>
      </w:r>
      <w:r w:rsidRPr="006C37DC">
        <w:rPr>
          <w:rFonts w:ascii="Arial" w:eastAsia="Times New Roman" w:hAnsi="Arial" w:cs="Arial"/>
          <w:bCs/>
          <w:i/>
          <w:color w:val="000000"/>
          <w:lang w:bidi="en-US"/>
        </w:rPr>
        <w:t xml:space="preserve">PpTMMOE </w:t>
      </w:r>
      <w:r w:rsidRPr="006C37DC">
        <w:rPr>
          <w:rFonts w:ascii="Arial" w:eastAsia="Times New Roman" w:hAnsi="Arial" w:cs="Arial"/>
          <w:bCs/>
          <w:color w:val="000000"/>
          <w:lang w:bidi="en-US"/>
        </w:rPr>
        <w:t xml:space="preserve">sporophyte capsules revealed little about how early stomatal development is altered when wild-type </w:t>
      </w:r>
      <w:r w:rsidR="006029DA" w:rsidRPr="006029DA">
        <w:rPr>
          <w:rFonts w:ascii="Arial" w:eastAsia="Times New Roman" w:hAnsi="Arial" w:cs="Arial"/>
          <w:bCs/>
          <w:i/>
          <w:color w:val="000000"/>
          <w:lang w:bidi="en-US"/>
        </w:rPr>
        <w:t>Pp</w:t>
      </w:r>
      <w:r w:rsidRPr="006029DA">
        <w:rPr>
          <w:rFonts w:ascii="Arial" w:eastAsia="Times New Roman" w:hAnsi="Arial" w:cs="Arial"/>
          <w:bCs/>
          <w:i/>
          <w:color w:val="000000"/>
          <w:lang w:bidi="en-US"/>
        </w:rPr>
        <w:t>TMM</w:t>
      </w:r>
      <w:r w:rsidRPr="006C37DC">
        <w:rPr>
          <w:rFonts w:ascii="Arial" w:eastAsia="Times New Roman" w:hAnsi="Arial" w:cs="Arial"/>
          <w:bCs/>
          <w:i/>
          <w:color w:val="000000"/>
          <w:lang w:bidi="en-US"/>
        </w:rPr>
        <w:t xml:space="preserve"> </w:t>
      </w:r>
      <w:r w:rsidRPr="006C37DC">
        <w:rPr>
          <w:rFonts w:ascii="Arial" w:eastAsia="Times New Roman" w:hAnsi="Arial" w:cs="Arial"/>
          <w:bCs/>
          <w:color w:val="000000"/>
          <w:lang w:bidi="en-US"/>
        </w:rPr>
        <w:t xml:space="preserve">function is perturbed. Therefore, early elongating and expanding </w:t>
      </w:r>
      <w:r w:rsidRPr="006C37DC">
        <w:rPr>
          <w:rFonts w:ascii="Arial" w:eastAsia="Times New Roman" w:hAnsi="Arial" w:cs="Arial"/>
          <w:bCs/>
          <w:i/>
          <w:color w:val="000000"/>
          <w:lang w:bidi="en-US"/>
        </w:rPr>
        <w:t xml:space="preserve">pptmm </w:t>
      </w:r>
      <w:r w:rsidRPr="006C37DC">
        <w:rPr>
          <w:rFonts w:ascii="Arial" w:eastAsia="Times New Roman" w:hAnsi="Arial" w:cs="Arial"/>
          <w:bCs/>
          <w:color w:val="000000"/>
          <w:lang w:bidi="en-US"/>
        </w:rPr>
        <w:t>(</w:t>
      </w:r>
      <w:r w:rsidRPr="006C37DC">
        <w:rPr>
          <w:rFonts w:ascii="Arial" w:eastAsia="Times New Roman" w:hAnsi="Arial" w:cs="Arial"/>
          <w:b/>
          <w:bCs/>
          <w:color w:val="000000"/>
          <w:lang w:bidi="en-US"/>
        </w:rPr>
        <w:t>Fig. 16</w:t>
      </w:r>
      <w:r w:rsidRPr="006C37DC">
        <w:rPr>
          <w:rFonts w:ascii="Arial" w:eastAsia="Times New Roman" w:hAnsi="Arial" w:cs="Arial"/>
          <w:bCs/>
          <w:color w:val="000000"/>
          <w:lang w:bidi="en-US"/>
        </w:rPr>
        <w:t>)</w:t>
      </w:r>
      <w:r w:rsidRPr="006C37DC">
        <w:rPr>
          <w:rFonts w:ascii="Arial" w:eastAsia="Times New Roman" w:hAnsi="Arial" w:cs="Arial"/>
          <w:bCs/>
          <w:i/>
          <w:color w:val="000000"/>
          <w:lang w:bidi="en-US"/>
        </w:rPr>
        <w:t xml:space="preserve"> </w:t>
      </w:r>
      <w:r w:rsidRPr="006C37DC">
        <w:rPr>
          <w:rFonts w:ascii="Arial" w:eastAsia="Times New Roman" w:hAnsi="Arial" w:cs="Arial"/>
          <w:bCs/>
          <w:color w:val="000000"/>
          <w:lang w:bidi="en-US"/>
        </w:rPr>
        <w:t xml:space="preserve">and </w:t>
      </w:r>
      <w:r w:rsidRPr="006C37DC">
        <w:rPr>
          <w:rFonts w:ascii="Arial" w:eastAsia="Times New Roman" w:hAnsi="Arial" w:cs="Arial"/>
          <w:bCs/>
          <w:i/>
          <w:color w:val="000000"/>
          <w:lang w:bidi="en-US"/>
        </w:rPr>
        <w:t xml:space="preserve">PpTMMOE </w:t>
      </w:r>
      <w:r w:rsidRPr="006C37DC">
        <w:rPr>
          <w:rFonts w:ascii="Arial" w:eastAsia="Times New Roman" w:hAnsi="Arial" w:cs="Arial"/>
          <w:bCs/>
          <w:color w:val="000000"/>
          <w:lang w:bidi="en-US"/>
        </w:rPr>
        <w:t xml:space="preserve">capsules (data not shown) were observed and compared with the wild-type to further understand </w:t>
      </w:r>
      <w:r w:rsidRPr="006C37DC">
        <w:rPr>
          <w:rFonts w:ascii="Arial" w:eastAsia="Times New Roman" w:hAnsi="Arial" w:cs="Arial"/>
          <w:bCs/>
          <w:i/>
          <w:color w:val="000000"/>
          <w:lang w:bidi="en-US"/>
        </w:rPr>
        <w:t xml:space="preserve">PpTMM </w:t>
      </w:r>
      <w:r w:rsidRPr="006C37DC">
        <w:rPr>
          <w:rFonts w:ascii="Arial" w:eastAsia="Times New Roman" w:hAnsi="Arial" w:cs="Arial"/>
          <w:bCs/>
          <w:color w:val="000000"/>
          <w:lang w:bidi="en-US"/>
        </w:rPr>
        <w:t xml:space="preserve">function. Whilst there were no observable differences between wild-type and </w:t>
      </w:r>
      <w:r w:rsidRPr="006C37DC">
        <w:rPr>
          <w:rFonts w:ascii="Arial" w:eastAsia="Times New Roman" w:hAnsi="Arial" w:cs="Arial"/>
          <w:bCs/>
          <w:i/>
          <w:color w:val="000000"/>
          <w:lang w:bidi="en-US"/>
        </w:rPr>
        <w:t xml:space="preserve">PpTMMOE </w:t>
      </w:r>
      <w:r w:rsidRPr="006C37DC">
        <w:rPr>
          <w:rFonts w:ascii="Arial" w:eastAsia="Times New Roman" w:hAnsi="Arial" w:cs="Arial"/>
          <w:bCs/>
          <w:color w:val="000000"/>
          <w:lang w:bidi="en-US"/>
        </w:rPr>
        <w:t>in relation to</w:t>
      </w:r>
      <w:r w:rsidRPr="006C37DC">
        <w:rPr>
          <w:rFonts w:ascii="Arial" w:eastAsia="Times New Roman" w:hAnsi="Arial" w:cs="Arial"/>
          <w:bCs/>
          <w:i/>
          <w:color w:val="000000"/>
          <w:lang w:bidi="en-US"/>
        </w:rPr>
        <w:t xml:space="preserve"> </w:t>
      </w:r>
      <w:r w:rsidR="00C7050F">
        <w:rPr>
          <w:rFonts w:ascii="Arial" w:eastAsia="Times New Roman" w:hAnsi="Arial" w:cs="Arial"/>
          <w:bCs/>
          <w:color w:val="000000"/>
          <w:lang w:bidi="en-US"/>
        </w:rPr>
        <w:t>stomatal developmental ontogeny</w:t>
      </w:r>
      <w:r w:rsidRPr="006C37DC">
        <w:rPr>
          <w:rFonts w:ascii="Arial" w:eastAsia="Times New Roman" w:hAnsi="Arial" w:cs="Arial"/>
          <w:bCs/>
          <w:color w:val="000000"/>
          <w:lang w:bidi="en-US"/>
        </w:rPr>
        <w:t xml:space="preserve">, a number of differences were clearly apparent between wild-type and </w:t>
      </w:r>
      <w:r w:rsidRPr="006C37DC">
        <w:rPr>
          <w:rFonts w:ascii="Arial" w:eastAsia="Times New Roman" w:hAnsi="Arial" w:cs="Arial"/>
          <w:bCs/>
          <w:i/>
          <w:color w:val="000000"/>
          <w:lang w:bidi="en-US"/>
        </w:rPr>
        <w:t xml:space="preserve">pptmm </w:t>
      </w:r>
      <w:r w:rsidRPr="006C37DC">
        <w:rPr>
          <w:rFonts w:ascii="Arial" w:eastAsia="Times New Roman" w:hAnsi="Arial" w:cs="Arial"/>
          <w:bCs/>
          <w:color w:val="000000"/>
          <w:lang w:bidi="en-US"/>
        </w:rPr>
        <w:t xml:space="preserve">expanding sporophytes. Firstly, in </w:t>
      </w:r>
      <w:r w:rsidRPr="006C37DC">
        <w:rPr>
          <w:rFonts w:ascii="Arial" w:eastAsia="Times New Roman" w:hAnsi="Arial" w:cs="Arial"/>
          <w:bCs/>
          <w:i/>
          <w:color w:val="000000"/>
          <w:lang w:bidi="en-US"/>
        </w:rPr>
        <w:t xml:space="preserve">pptmm </w:t>
      </w:r>
      <w:r w:rsidRPr="006C37DC">
        <w:rPr>
          <w:rFonts w:ascii="Arial" w:eastAsia="Times New Roman" w:hAnsi="Arial" w:cs="Arial"/>
          <w:bCs/>
          <w:color w:val="000000"/>
          <w:lang w:bidi="en-US"/>
        </w:rPr>
        <w:t>there were large regions of the developing epidermis where no stomata or stomatal pre-cursors formed (</w:t>
      </w:r>
      <w:r w:rsidRPr="006C37DC">
        <w:rPr>
          <w:rFonts w:ascii="Arial" w:eastAsia="Times New Roman" w:hAnsi="Arial" w:cs="Arial"/>
          <w:b/>
          <w:bCs/>
          <w:color w:val="000000"/>
          <w:lang w:bidi="en-US"/>
        </w:rPr>
        <w:t>Fig. 16c</w:t>
      </w:r>
      <w:r w:rsidRPr="006C37DC">
        <w:rPr>
          <w:rFonts w:ascii="Arial" w:eastAsia="Times New Roman" w:hAnsi="Arial" w:cs="Arial"/>
          <w:bCs/>
          <w:color w:val="000000"/>
        </w:rPr>
        <w:t>-</w:t>
      </w:r>
      <w:r w:rsidRPr="006C37DC">
        <w:rPr>
          <w:rFonts w:ascii="Arial" w:eastAsia="Times New Roman" w:hAnsi="Arial" w:cs="Arial"/>
          <w:b/>
          <w:bCs/>
          <w:color w:val="000000"/>
          <w:lang w:bidi="en-US"/>
        </w:rPr>
        <w:t>d</w:t>
      </w:r>
      <w:r w:rsidRPr="006C37DC">
        <w:rPr>
          <w:rFonts w:ascii="Arial" w:eastAsia="Times New Roman" w:hAnsi="Arial" w:cs="Arial"/>
          <w:bCs/>
          <w:color w:val="000000"/>
          <w:lang w:bidi="en-US"/>
        </w:rPr>
        <w:t>). Secondly, there were early GMCs which appeared to be dividing towards other already formed early GMCs unlike in wild-type (</w:t>
      </w:r>
      <w:r w:rsidRPr="006C37DC">
        <w:rPr>
          <w:rFonts w:ascii="Arial" w:eastAsia="Times New Roman" w:hAnsi="Arial" w:cs="Arial"/>
          <w:b/>
          <w:bCs/>
          <w:color w:val="000000"/>
          <w:lang w:bidi="en-US"/>
        </w:rPr>
        <w:t>Fig. 16g</w:t>
      </w:r>
      <w:r w:rsidRPr="006C37DC">
        <w:rPr>
          <w:rFonts w:ascii="Arial" w:eastAsia="Times New Roman" w:hAnsi="Arial" w:cs="Arial"/>
          <w:bCs/>
          <w:color w:val="000000"/>
        </w:rPr>
        <w:t>-</w:t>
      </w:r>
      <w:r w:rsidRPr="006C37DC">
        <w:rPr>
          <w:rFonts w:ascii="Arial" w:eastAsia="Times New Roman" w:hAnsi="Arial" w:cs="Arial"/>
          <w:b/>
          <w:bCs/>
          <w:color w:val="000000"/>
          <w:lang w:bidi="en-US"/>
        </w:rPr>
        <w:t>h</w:t>
      </w:r>
      <w:r w:rsidRPr="006C37DC">
        <w:rPr>
          <w:rFonts w:ascii="Arial" w:eastAsia="Times New Roman" w:hAnsi="Arial" w:cs="Arial"/>
          <w:bCs/>
          <w:color w:val="000000"/>
          <w:lang w:bidi="en-US"/>
        </w:rPr>
        <w:t>). Finally, there were clustering of early GMCs which displayed no signs of undergoing a final incomplete symmetric division (</w:t>
      </w:r>
      <w:r w:rsidRPr="006C37DC">
        <w:rPr>
          <w:rFonts w:ascii="Arial" w:eastAsia="Times New Roman" w:hAnsi="Arial" w:cs="Arial"/>
          <w:b/>
          <w:bCs/>
          <w:color w:val="000000"/>
          <w:lang w:bidi="en-US"/>
        </w:rPr>
        <w:t>Fig. 16e</w:t>
      </w:r>
      <w:r w:rsidRPr="006C37DC">
        <w:rPr>
          <w:rFonts w:ascii="Arial" w:eastAsia="Times New Roman" w:hAnsi="Arial" w:cs="Arial"/>
          <w:bCs/>
          <w:color w:val="000000"/>
        </w:rPr>
        <w:t>-</w:t>
      </w:r>
      <w:r w:rsidRPr="006C37DC">
        <w:rPr>
          <w:rFonts w:ascii="Arial" w:eastAsia="Times New Roman" w:hAnsi="Arial" w:cs="Arial"/>
          <w:b/>
          <w:bCs/>
          <w:color w:val="000000"/>
          <w:lang w:bidi="en-US"/>
        </w:rPr>
        <w:t>f</w:t>
      </w:r>
      <w:r w:rsidRPr="006C37DC">
        <w:rPr>
          <w:rFonts w:ascii="Arial" w:eastAsia="Times New Roman" w:hAnsi="Arial" w:cs="Arial"/>
          <w:bCs/>
          <w:color w:val="000000"/>
          <w:lang w:bidi="en-US"/>
        </w:rPr>
        <w:t xml:space="preserve">) These data taken together suggests that PpTMM function is required early on in stomatal development to encourage the formation of the early GMC but also to prevent multiple early GMCs from developing in close proximity. </w:t>
      </w:r>
    </w:p>
    <w:p w14:paraId="679955FF" w14:textId="77777777" w:rsidR="006C37DC" w:rsidRPr="006C37DC" w:rsidRDefault="006C37DC" w:rsidP="006C37DC">
      <w:pPr>
        <w:spacing w:after="160" w:line="360" w:lineRule="auto"/>
        <w:rPr>
          <w:rFonts w:ascii="Arial" w:eastAsia="Times New Roman" w:hAnsi="Arial" w:cs="Arial"/>
          <w:bCs/>
          <w:color w:val="000000"/>
          <w:lang w:bidi="en-US"/>
        </w:rPr>
      </w:pPr>
    </w:p>
    <w:p w14:paraId="6FAF0400" w14:textId="77777777" w:rsidR="008653D0" w:rsidRDefault="006C37DC" w:rsidP="008653D0">
      <w:pPr>
        <w:spacing w:after="160" w:line="360" w:lineRule="auto"/>
        <w:jc w:val="center"/>
        <w:rPr>
          <w:rFonts w:ascii="Arial" w:eastAsia="Times New Roman" w:hAnsi="Arial" w:cs="Arial"/>
          <w:b/>
          <w:bCs/>
          <w:color w:val="000000"/>
        </w:rPr>
      </w:pPr>
      <w:r w:rsidRPr="006C37DC">
        <w:rPr>
          <w:rFonts w:ascii="Arial" w:eastAsia="Times New Roman" w:hAnsi="Arial" w:cs="Arial"/>
          <w:b/>
          <w:bCs/>
          <w:i/>
          <w:noProof/>
          <w:color w:val="000000"/>
          <w:lang w:eastAsia="ja-JP"/>
        </w:rPr>
        <w:lastRenderedPageBreak/>
        <w:drawing>
          <wp:inline distT="0" distB="0" distL="0" distR="0" wp14:anchorId="7564A7BE" wp14:editId="31840E7F">
            <wp:extent cx="5205730" cy="8602345"/>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chpaterfinsihed.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05730" cy="8602345"/>
                    </a:xfrm>
                    <a:prstGeom prst="rect">
                      <a:avLst/>
                    </a:prstGeom>
                  </pic:spPr>
                </pic:pic>
              </a:graphicData>
            </a:graphic>
          </wp:inline>
        </w:drawing>
      </w:r>
    </w:p>
    <w:p w14:paraId="0085131F" w14:textId="2090D7AE"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
          <w:bCs/>
          <w:color w:val="000000"/>
        </w:rPr>
        <w:lastRenderedPageBreak/>
        <w:t>Figure 16.</w:t>
      </w:r>
      <w:r w:rsidR="00C7050F">
        <w:rPr>
          <w:rFonts w:ascii="Arial" w:eastAsia="Times New Roman" w:hAnsi="Arial" w:cs="Arial"/>
          <w:b/>
          <w:bCs/>
          <w:color w:val="000000"/>
        </w:rPr>
        <w:t xml:space="preserve"> Stomatal developmental ontogeny</w:t>
      </w:r>
      <w:r w:rsidRPr="006C37DC">
        <w:rPr>
          <w:rFonts w:ascii="Arial" w:eastAsia="Times New Roman" w:hAnsi="Arial" w:cs="Arial"/>
          <w:b/>
          <w:bCs/>
          <w:color w:val="000000"/>
        </w:rPr>
        <w:t xml:space="preserve"> in </w:t>
      </w:r>
      <w:r w:rsidRPr="006C37DC">
        <w:rPr>
          <w:rFonts w:ascii="Arial" w:eastAsia="Times New Roman" w:hAnsi="Arial" w:cs="Arial"/>
          <w:b/>
          <w:bCs/>
          <w:i/>
          <w:color w:val="000000"/>
        </w:rPr>
        <w:t xml:space="preserve">pptmm </w:t>
      </w:r>
      <w:r w:rsidRPr="006C37DC">
        <w:rPr>
          <w:rFonts w:ascii="Arial" w:eastAsia="Times New Roman" w:hAnsi="Arial" w:cs="Arial"/>
          <w:b/>
          <w:bCs/>
          <w:color w:val="000000"/>
        </w:rPr>
        <w:t xml:space="preserve">lines indicates </w:t>
      </w:r>
      <w:r w:rsidRPr="006C37DC">
        <w:rPr>
          <w:rFonts w:ascii="Arial" w:eastAsia="Times New Roman" w:hAnsi="Arial" w:cs="Arial"/>
          <w:b/>
          <w:bCs/>
          <w:i/>
          <w:color w:val="000000"/>
        </w:rPr>
        <w:t xml:space="preserve">PpTMM </w:t>
      </w:r>
      <w:r w:rsidRPr="006C37DC">
        <w:rPr>
          <w:rFonts w:ascii="Arial" w:eastAsia="Times New Roman" w:hAnsi="Arial" w:cs="Arial"/>
          <w:b/>
          <w:bCs/>
          <w:color w:val="000000"/>
        </w:rPr>
        <w:t>functions primarily early in stomatal development to instigate early GMC formation and to regulate spacing</w:t>
      </w:r>
      <w:r w:rsidRPr="006C37DC">
        <w:rPr>
          <w:rFonts w:ascii="Arial" w:eastAsia="Times New Roman" w:hAnsi="Arial" w:cs="Arial"/>
          <w:b/>
          <w:bCs/>
          <w:i/>
          <w:color w:val="000000"/>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Bright-field image of wild-type epidermis illustrating an expanded early GMC containing aggregated organelles, an expanded late GMC with fragmented organelles and a putative round early stomatal lineage cell. (</w:t>
      </w:r>
      <w:r w:rsidRPr="006C37DC">
        <w:rPr>
          <w:rFonts w:ascii="Arial" w:eastAsia="Times New Roman" w:hAnsi="Arial" w:cs="Arial"/>
          <w:b/>
          <w:bCs/>
          <w:color w:val="000000"/>
        </w:rPr>
        <w:t>b</w:t>
      </w:r>
      <w:r w:rsidRPr="006C37DC">
        <w:rPr>
          <w:rFonts w:ascii="Arial" w:eastAsia="Times New Roman" w:hAnsi="Arial" w:cs="Arial"/>
          <w:bCs/>
          <w:color w:val="000000"/>
        </w:rPr>
        <w:t>) Fluorescence image of (</w:t>
      </w:r>
      <w:r w:rsidRPr="006C37DC">
        <w:rPr>
          <w:rFonts w:ascii="Arial" w:eastAsia="Times New Roman" w:hAnsi="Arial" w:cs="Arial"/>
          <w:b/>
          <w:bCs/>
          <w:color w:val="000000"/>
        </w:rPr>
        <w:t>a</w:t>
      </w:r>
      <w:r w:rsidRPr="006C37DC">
        <w:rPr>
          <w:rFonts w:ascii="Arial" w:eastAsia="Times New Roman" w:hAnsi="Arial" w:cs="Arial"/>
          <w:bCs/>
          <w:color w:val="000000"/>
        </w:rPr>
        <w:t>) with a fluorescent material present in the sub-stomatal cavity of the corresponding mid GMC but not in the early GMC. (</w:t>
      </w:r>
      <w:r w:rsidRPr="006C37DC">
        <w:rPr>
          <w:rFonts w:ascii="Arial" w:eastAsia="Times New Roman" w:hAnsi="Arial" w:cs="Arial"/>
          <w:b/>
          <w:bCs/>
          <w:color w:val="000000"/>
        </w:rPr>
        <w:t>c</w:t>
      </w:r>
      <w:r w:rsidRPr="006C37DC">
        <w:rPr>
          <w:rFonts w:ascii="Arial" w:eastAsia="Times New Roman" w:hAnsi="Arial" w:cs="Arial"/>
          <w:bCs/>
          <w:color w:val="000000"/>
        </w:rPr>
        <w:t xml:space="preserve">) </w:t>
      </w:r>
      <w:r w:rsidRPr="006C37DC">
        <w:rPr>
          <w:rFonts w:ascii="Arial" w:eastAsia="Times New Roman" w:hAnsi="Arial" w:cs="Arial"/>
          <w:bCs/>
          <w:i/>
          <w:color w:val="000000"/>
        </w:rPr>
        <w:t xml:space="preserve">pptmm-1 </w:t>
      </w:r>
      <w:r w:rsidRPr="006C37DC">
        <w:rPr>
          <w:rFonts w:ascii="Arial" w:eastAsia="Times New Roman" w:hAnsi="Arial" w:cs="Arial"/>
          <w:bCs/>
          <w:color w:val="000000"/>
        </w:rPr>
        <w:t>bright-field image with large epidermal region devoid of GMCs. (</w:t>
      </w:r>
      <w:r w:rsidRPr="006C37DC">
        <w:rPr>
          <w:rFonts w:ascii="Arial" w:eastAsia="Times New Roman" w:hAnsi="Arial" w:cs="Arial"/>
          <w:b/>
          <w:bCs/>
          <w:color w:val="000000"/>
        </w:rPr>
        <w:t>d</w:t>
      </w:r>
      <w:r w:rsidRPr="006C37DC">
        <w:rPr>
          <w:rFonts w:ascii="Arial" w:eastAsia="Times New Roman" w:hAnsi="Arial" w:cs="Arial"/>
          <w:bCs/>
          <w:color w:val="000000"/>
        </w:rPr>
        <w:t>) Fluorescence image of (</w:t>
      </w:r>
      <w:r w:rsidRPr="006C37DC">
        <w:rPr>
          <w:rFonts w:ascii="Arial" w:eastAsia="Times New Roman" w:hAnsi="Arial" w:cs="Arial"/>
          <w:b/>
          <w:bCs/>
          <w:color w:val="000000"/>
        </w:rPr>
        <w:t>c</w:t>
      </w:r>
      <w:r w:rsidRPr="006C37DC">
        <w:rPr>
          <w:rFonts w:ascii="Arial" w:eastAsia="Times New Roman" w:hAnsi="Arial" w:cs="Arial"/>
          <w:bCs/>
          <w:color w:val="000000"/>
        </w:rPr>
        <w:t>) with no fluorescent material present beneath the epidermis. (</w:t>
      </w:r>
      <w:r w:rsidRPr="006C37DC">
        <w:rPr>
          <w:rFonts w:ascii="Arial" w:eastAsia="Times New Roman" w:hAnsi="Arial" w:cs="Arial"/>
          <w:b/>
          <w:bCs/>
          <w:color w:val="000000"/>
        </w:rPr>
        <w:t>e</w:t>
      </w:r>
      <w:r w:rsidRPr="006C37DC">
        <w:rPr>
          <w:rFonts w:ascii="Arial" w:eastAsia="Times New Roman" w:hAnsi="Arial" w:cs="Arial"/>
          <w:bCs/>
          <w:color w:val="000000"/>
        </w:rPr>
        <w:t xml:space="preserve">) Bright-field </w:t>
      </w:r>
      <w:r w:rsidRPr="006C37DC">
        <w:rPr>
          <w:rFonts w:ascii="Arial" w:eastAsia="Times New Roman" w:hAnsi="Arial" w:cs="Arial"/>
          <w:bCs/>
          <w:i/>
          <w:color w:val="000000"/>
        </w:rPr>
        <w:t xml:space="preserve">pptmm-1 </w:t>
      </w:r>
      <w:r w:rsidRPr="006C37DC">
        <w:rPr>
          <w:rFonts w:ascii="Arial" w:eastAsia="Times New Roman" w:hAnsi="Arial" w:cs="Arial"/>
          <w:bCs/>
          <w:color w:val="000000"/>
        </w:rPr>
        <w:t xml:space="preserve">epidermis with </w:t>
      </w:r>
      <w:r w:rsidR="00D57BED">
        <w:rPr>
          <w:rFonts w:ascii="Arial" w:eastAsia="Times New Roman" w:hAnsi="Arial" w:cs="Arial"/>
          <w:bCs/>
          <w:color w:val="000000"/>
        </w:rPr>
        <w:t xml:space="preserve">a </w:t>
      </w:r>
      <w:r w:rsidRPr="006C37DC">
        <w:rPr>
          <w:rFonts w:ascii="Arial" w:eastAsia="Times New Roman" w:hAnsi="Arial" w:cs="Arial"/>
          <w:bCs/>
          <w:color w:val="000000"/>
        </w:rPr>
        <w:t>GMC dividing towards a</w:t>
      </w:r>
      <w:r w:rsidR="00D57BED">
        <w:rPr>
          <w:rFonts w:ascii="Arial" w:eastAsia="Times New Roman" w:hAnsi="Arial" w:cs="Arial"/>
          <w:bCs/>
          <w:color w:val="000000"/>
        </w:rPr>
        <w:t>nother</w:t>
      </w:r>
      <w:r w:rsidRPr="006C37DC">
        <w:rPr>
          <w:rFonts w:ascii="Arial" w:eastAsia="Times New Roman" w:hAnsi="Arial" w:cs="Arial"/>
          <w:bCs/>
          <w:color w:val="000000"/>
        </w:rPr>
        <w:t xml:space="preserve"> close-by early GMC. (</w:t>
      </w:r>
      <w:r w:rsidRPr="006C37DC">
        <w:rPr>
          <w:rFonts w:ascii="Arial" w:eastAsia="Times New Roman" w:hAnsi="Arial" w:cs="Arial"/>
          <w:b/>
          <w:bCs/>
          <w:color w:val="000000"/>
        </w:rPr>
        <w:t>f</w:t>
      </w:r>
      <w:r w:rsidRPr="006C37DC">
        <w:rPr>
          <w:rFonts w:ascii="Arial" w:eastAsia="Times New Roman" w:hAnsi="Arial" w:cs="Arial"/>
          <w:bCs/>
          <w:color w:val="000000"/>
        </w:rPr>
        <w:t>) Fluorescence image of (</w:t>
      </w:r>
      <w:r w:rsidRPr="006C37DC">
        <w:rPr>
          <w:rFonts w:ascii="Arial" w:eastAsia="Times New Roman" w:hAnsi="Arial" w:cs="Arial"/>
          <w:b/>
          <w:bCs/>
          <w:color w:val="000000"/>
        </w:rPr>
        <w:t>e</w:t>
      </w:r>
      <w:r w:rsidRPr="006C37DC">
        <w:rPr>
          <w:rFonts w:ascii="Arial" w:eastAsia="Times New Roman" w:hAnsi="Arial" w:cs="Arial"/>
          <w:bCs/>
          <w:color w:val="000000"/>
        </w:rPr>
        <w:t>) with no fluorescent material present beneath any of the early GMCs. (</w:t>
      </w:r>
      <w:r w:rsidRPr="006C37DC">
        <w:rPr>
          <w:rFonts w:ascii="Arial" w:eastAsia="Times New Roman" w:hAnsi="Arial" w:cs="Arial"/>
          <w:b/>
          <w:bCs/>
          <w:color w:val="000000"/>
        </w:rPr>
        <w:t>g</w:t>
      </w:r>
      <w:r w:rsidRPr="006C37DC">
        <w:rPr>
          <w:rFonts w:ascii="Arial" w:eastAsia="Times New Roman" w:hAnsi="Arial" w:cs="Arial"/>
          <w:bCs/>
          <w:color w:val="000000"/>
        </w:rPr>
        <w:t xml:space="preserve">)  Bright-field </w:t>
      </w:r>
      <w:r w:rsidRPr="006C37DC">
        <w:rPr>
          <w:rFonts w:ascii="Arial" w:eastAsia="Times New Roman" w:hAnsi="Arial" w:cs="Arial"/>
          <w:bCs/>
          <w:i/>
          <w:color w:val="000000"/>
        </w:rPr>
        <w:t xml:space="preserve">pptmm-1 </w:t>
      </w:r>
      <w:r w:rsidRPr="006C37DC">
        <w:rPr>
          <w:rFonts w:ascii="Arial" w:eastAsia="Times New Roman" w:hAnsi="Arial" w:cs="Arial"/>
          <w:bCs/>
          <w:color w:val="000000"/>
        </w:rPr>
        <w:t>epidermis with clustering GMCs. (</w:t>
      </w:r>
      <w:r w:rsidRPr="006C37DC">
        <w:rPr>
          <w:rFonts w:ascii="Arial" w:eastAsia="Times New Roman" w:hAnsi="Arial" w:cs="Arial"/>
          <w:b/>
          <w:bCs/>
          <w:color w:val="000000"/>
        </w:rPr>
        <w:t>h</w:t>
      </w:r>
      <w:r w:rsidRPr="006C37DC">
        <w:rPr>
          <w:rFonts w:ascii="Arial" w:eastAsia="Times New Roman" w:hAnsi="Arial" w:cs="Arial"/>
          <w:bCs/>
          <w:color w:val="000000"/>
        </w:rPr>
        <w:t>) Fluorescence image of (</w:t>
      </w:r>
      <w:r w:rsidRPr="006C37DC">
        <w:rPr>
          <w:rFonts w:ascii="Arial" w:eastAsia="Times New Roman" w:hAnsi="Arial" w:cs="Arial"/>
          <w:b/>
          <w:bCs/>
          <w:color w:val="000000"/>
        </w:rPr>
        <w:t>g</w:t>
      </w:r>
      <w:r w:rsidRPr="006C37DC">
        <w:rPr>
          <w:rFonts w:ascii="Arial" w:eastAsia="Times New Roman" w:hAnsi="Arial" w:cs="Arial"/>
          <w:bCs/>
          <w:color w:val="000000"/>
        </w:rPr>
        <w:t>) with no fluorescent material detected beneath any of the clustering early GMCs. All</w:t>
      </w:r>
      <w:r w:rsidRPr="006C37DC">
        <w:rPr>
          <w:rFonts w:ascii="Arial" w:eastAsia="Times New Roman" w:hAnsi="Arial" w:cs="Arial"/>
          <w:b/>
          <w:bCs/>
          <w:color w:val="000000"/>
        </w:rPr>
        <w:t xml:space="preserve"> </w:t>
      </w:r>
      <w:r w:rsidRPr="006C37DC">
        <w:rPr>
          <w:rFonts w:ascii="Arial" w:eastAsia="Times New Roman" w:hAnsi="Arial" w:cs="Arial"/>
          <w:bCs/>
          <w:color w:val="000000"/>
        </w:rPr>
        <w:t>sporophyte capsules equivalent in size to sporophytes ranging is sizes from Fig. 2C-D in chapter 3. For further details relating to wild-type</w:t>
      </w:r>
      <w:r w:rsidR="00C7050F">
        <w:rPr>
          <w:rFonts w:ascii="Arial" w:eastAsia="Times New Roman" w:hAnsi="Arial" w:cs="Arial"/>
          <w:bCs/>
          <w:color w:val="000000"/>
        </w:rPr>
        <w:t xml:space="preserve"> stomatal developmental ontogeny</w:t>
      </w:r>
      <w:r w:rsidRPr="006C37DC">
        <w:rPr>
          <w:rFonts w:ascii="Arial" w:eastAsia="Times New Roman" w:hAnsi="Arial" w:cs="Arial"/>
          <w:bCs/>
          <w:color w:val="000000"/>
        </w:rPr>
        <w:t xml:space="preserve"> see also Fig. 2-4 and 11 in chapter 3. Scale bars = 25µm.</w:t>
      </w:r>
    </w:p>
    <w:p w14:paraId="5A02F092" w14:textId="26194998" w:rsidR="006C37DC" w:rsidRPr="00476449"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u w:val="single"/>
        </w:rPr>
        <w:t>4.2.9</w:t>
      </w:r>
      <w:r w:rsidRPr="006C37DC">
        <w:rPr>
          <w:rFonts w:ascii="Arial" w:eastAsia="Times New Roman" w:hAnsi="Arial" w:cs="Arial"/>
          <w:bCs/>
          <w:i/>
          <w:color w:val="000000"/>
          <w:u w:val="single"/>
        </w:rPr>
        <w:t xml:space="preserve"> PpTMM </w:t>
      </w:r>
      <w:r w:rsidRPr="006C37DC">
        <w:rPr>
          <w:rFonts w:ascii="Arial" w:eastAsia="Times New Roman" w:hAnsi="Arial" w:cs="Arial"/>
          <w:bCs/>
          <w:color w:val="000000"/>
          <w:u w:val="single"/>
        </w:rPr>
        <w:t>is epistatic to</w:t>
      </w:r>
      <w:r w:rsidRPr="006C37DC">
        <w:rPr>
          <w:rFonts w:ascii="Arial" w:eastAsia="Times New Roman" w:hAnsi="Arial" w:cs="Arial"/>
          <w:bCs/>
          <w:i/>
          <w:color w:val="000000"/>
          <w:u w:val="single"/>
        </w:rPr>
        <w:t xml:space="preserve"> PpEPF1 </w:t>
      </w:r>
      <w:r w:rsidRPr="006C37DC">
        <w:rPr>
          <w:rFonts w:ascii="Arial" w:eastAsia="Times New Roman" w:hAnsi="Arial" w:cs="Arial"/>
          <w:bCs/>
          <w:color w:val="000000"/>
          <w:u w:val="single"/>
        </w:rPr>
        <w:t xml:space="preserve">during stomatal development in </w:t>
      </w:r>
      <w:r w:rsidRPr="006C37DC">
        <w:rPr>
          <w:rFonts w:ascii="Arial" w:eastAsia="Times New Roman" w:hAnsi="Arial" w:cs="Arial"/>
          <w:bCs/>
          <w:i/>
          <w:color w:val="000000"/>
          <w:u w:val="single"/>
        </w:rPr>
        <w:t>P. patens</w:t>
      </w:r>
    </w:p>
    <w:p w14:paraId="3DD3F98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To investigate whether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and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function in the same pathway during stomatal development and patterning double </w:t>
      </w:r>
      <w:r w:rsidRPr="006C37DC">
        <w:rPr>
          <w:rFonts w:ascii="Arial" w:eastAsia="Times New Roman" w:hAnsi="Arial" w:cs="Arial"/>
          <w:bCs/>
          <w:i/>
          <w:color w:val="000000"/>
        </w:rPr>
        <w:t>pptmm-epf1</w:t>
      </w:r>
      <w:r w:rsidRPr="006C37DC">
        <w:rPr>
          <w:rFonts w:ascii="Arial" w:eastAsia="Times New Roman" w:hAnsi="Arial" w:cs="Arial"/>
          <w:bCs/>
          <w:color w:val="000000"/>
        </w:rPr>
        <w:t xml:space="preserve"> mutants were produced via homologous recombination </w:t>
      </w:r>
      <w:r w:rsidRPr="006C37DC">
        <w:rPr>
          <w:rFonts w:ascii="Arial" w:eastAsia="Times New Roman" w:hAnsi="Arial" w:cs="Arial"/>
          <w:bCs/>
          <w:color w:val="000000"/>
        </w:rPr>
        <w:fldChar w:fldCharType="begin">
          <w:fldData xml:space="preserve">PEVuZE5vdGU+PENpdGU+PEF1dGhvcj5LYW1pc3VnaTwvQXV0aG9yPjxZZWFyPjIwMDY8L1llYXI+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PEVuZE5vdGU+PENpdGU+PEF1dGhvcj5LYW1pc3VnaTwvQXV0aG9yPjxZZWFyPjIwMDY8L1llYXI+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(Kamisugi et al., 2006)</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This was achieved by transforming </w:t>
      </w:r>
      <w:r w:rsidRPr="006C37DC">
        <w:rPr>
          <w:rFonts w:ascii="Arial" w:eastAsia="Times New Roman" w:hAnsi="Arial" w:cs="Arial"/>
          <w:bCs/>
          <w:i/>
          <w:color w:val="000000"/>
        </w:rPr>
        <w:t xml:space="preserve">pptmm-1 </w:t>
      </w:r>
      <w:r w:rsidRPr="006C37DC">
        <w:rPr>
          <w:rFonts w:ascii="Arial" w:eastAsia="Times New Roman" w:hAnsi="Arial" w:cs="Arial"/>
          <w:bCs/>
          <w:color w:val="000000"/>
        </w:rPr>
        <w:t xml:space="preserve">lines with the KO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construct produced by Dr Caspar Chater. Two independent KO lines were isolated and verified by confirming the genomic integration of the KO construct at the targeted locus (for more info see </w:t>
      </w:r>
      <w:r w:rsidRPr="006C37DC">
        <w:rPr>
          <w:rFonts w:ascii="Arial" w:eastAsia="Times New Roman" w:hAnsi="Arial" w:cs="Arial"/>
          <w:b/>
          <w:bCs/>
          <w:color w:val="000000"/>
        </w:rPr>
        <w:t>Fig. 8</w:t>
      </w:r>
      <w:r w:rsidRPr="006C37DC">
        <w:rPr>
          <w:rFonts w:ascii="Arial" w:eastAsia="Times New Roman" w:hAnsi="Arial" w:cs="Arial"/>
          <w:bCs/>
          <w:color w:val="000000"/>
        </w:rPr>
        <w:t xml:space="preserve">). To verify no expression of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gametophyte-sporophyte mix samples from the two isolated of </w:t>
      </w:r>
      <w:r w:rsidRPr="006C37DC">
        <w:rPr>
          <w:rFonts w:ascii="Arial" w:eastAsia="Times New Roman" w:hAnsi="Arial" w:cs="Arial"/>
          <w:bCs/>
          <w:i/>
          <w:color w:val="000000"/>
        </w:rPr>
        <w:t xml:space="preserve">pptmm-epf1 </w:t>
      </w:r>
      <w:r w:rsidRPr="006C37DC">
        <w:rPr>
          <w:rFonts w:ascii="Arial" w:eastAsia="Times New Roman" w:hAnsi="Arial" w:cs="Arial"/>
          <w:bCs/>
          <w:color w:val="000000"/>
        </w:rPr>
        <w:t>lines were checked via RT-PCR (</w:t>
      </w:r>
      <w:r w:rsidRPr="006C37DC">
        <w:rPr>
          <w:rFonts w:ascii="Arial" w:eastAsia="Times New Roman" w:hAnsi="Arial" w:cs="Arial"/>
          <w:b/>
          <w:bCs/>
          <w:color w:val="000000"/>
        </w:rPr>
        <w:t>Fig. 17a</w:t>
      </w:r>
      <w:r w:rsidRPr="006C37DC">
        <w:rPr>
          <w:rFonts w:ascii="Arial" w:eastAsia="Times New Roman" w:hAnsi="Arial" w:cs="Arial"/>
          <w:bCs/>
          <w:color w:val="000000"/>
        </w:rPr>
        <w:t>-</w:t>
      </w:r>
      <w:r w:rsidRPr="006C37DC">
        <w:rPr>
          <w:rFonts w:ascii="Arial" w:eastAsia="Times New Roman" w:hAnsi="Arial" w:cs="Arial"/>
          <w:b/>
          <w:bCs/>
          <w:color w:val="000000"/>
        </w:rPr>
        <w:t>b</w:t>
      </w:r>
      <w:r w:rsidRPr="006C37DC">
        <w:rPr>
          <w:rFonts w:ascii="Arial" w:eastAsia="Times New Roman" w:hAnsi="Arial" w:cs="Arial"/>
          <w:bCs/>
          <w:color w:val="000000"/>
        </w:rPr>
        <w:t>).</w:t>
      </w:r>
    </w:p>
    <w:p w14:paraId="0818822B" w14:textId="4DD68901"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Inspection of the stomatal patterning on </w:t>
      </w:r>
      <w:r w:rsidRPr="006C37DC">
        <w:rPr>
          <w:rFonts w:ascii="Arial" w:eastAsia="Times New Roman" w:hAnsi="Arial" w:cs="Arial"/>
          <w:bCs/>
          <w:i/>
          <w:color w:val="000000"/>
        </w:rPr>
        <w:t>pptmm-epf1</w:t>
      </w:r>
      <w:r w:rsidRPr="006C37DC">
        <w:rPr>
          <w:rFonts w:ascii="Arial" w:eastAsia="Times New Roman" w:hAnsi="Arial" w:cs="Arial"/>
          <w:bCs/>
          <w:color w:val="000000"/>
        </w:rPr>
        <w:t xml:space="preserve"> sporophyte capsules, as with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lines, produced a range of phenotypes (</w:t>
      </w:r>
      <w:r w:rsidRPr="006C37DC">
        <w:rPr>
          <w:rFonts w:ascii="Arial" w:eastAsia="Times New Roman" w:hAnsi="Arial" w:cs="Arial"/>
          <w:b/>
          <w:bCs/>
          <w:color w:val="000000"/>
        </w:rPr>
        <w:t>Fig. 17c</w:t>
      </w:r>
      <w:r w:rsidRPr="006C37DC">
        <w:rPr>
          <w:rFonts w:ascii="Arial" w:eastAsia="Times New Roman" w:hAnsi="Arial" w:cs="Arial"/>
          <w:bCs/>
          <w:color w:val="000000"/>
        </w:rPr>
        <w:t>-</w:t>
      </w:r>
      <w:r w:rsidRPr="006C37DC">
        <w:rPr>
          <w:rFonts w:ascii="Arial" w:eastAsia="Times New Roman" w:hAnsi="Arial" w:cs="Arial"/>
          <w:b/>
          <w:bCs/>
          <w:color w:val="000000"/>
        </w:rPr>
        <w:t>l</w:t>
      </w:r>
      <w:r w:rsidRPr="006C37DC">
        <w:rPr>
          <w:rFonts w:ascii="Arial" w:eastAsia="Times New Roman" w:hAnsi="Arial" w:cs="Arial"/>
          <w:bCs/>
          <w:color w:val="000000"/>
        </w:rPr>
        <w:t xml:space="preserve">) Again like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in </w:t>
      </w:r>
      <w:r w:rsidRPr="006C37DC">
        <w:rPr>
          <w:rFonts w:ascii="Arial" w:eastAsia="Times New Roman" w:hAnsi="Arial" w:cs="Arial"/>
          <w:bCs/>
          <w:i/>
          <w:color w:val="000000"/>
        </w:rPr>
        <w:t>pptmm</w:t>
      </w:r>
      <w:r w:rsidRPr="006C37DC">
        <w:rPr>
          <w:rFonts w:ascii="Arial" w:eastAsia="Times New Roman" w:hAnsi="Arial" w:cs="Arial"/>
          <w:bCs/>
          <w:color w:val="000000"/>
        </w:rPr>
        <w:t>-</w:t>
      </w:r>
      <w:r w:rsidRPr="006C37DC">
        <w:rPr>
          <w:rFonts w:ascii="Arial" w:eastAsia="Times New Roman" w:hAnsi="Arial" w:cs="Arial"/>
          <w:bCs/>
          <w:i/>
          <w:color w:val="000000"/>
        </w:rPr>
        <w:t>epf1</w:t>
      </w:r>
      <w:r w:rsidRPr="006C37DC">
        <w:rPr>
          <w:rFonts w:ascii="Arial" w:eastAsia="Times New Roman" w:hAnsi="Arial" w:cs="Arial"/>
          <w:bCs/>
          <w:color w:val="000000"/>
        </w:rPr>
        <w:t xml:space="preserve"> lines,</w:t>
      </w:r>
      <w:r w:rsidRPr="006C37DC">
        <w:rPr>
          <w:rFonts w:ascii="Arial" w:eastAsia="Times New Roman" w:hAnsi="Arial" w:cs="Arial"/>
          <w:bCs/>
          <w:i/>
          <w:color w:val="000000"/>
        </w:rPr>
        <w:t xml:space="preserve"> </w:t>
      </w:r>
      <w:r w:rsidRPr="006C37DC">
        <w:rPr>
          <w:rFonts w:ascii="Arial" w:eastAsia="Times New Roman" w:hAnsi="Arial" w:cs="Arial"/>
          <w:bCs/>
          <w:color w:val="000000"/>
        </w:rPr>
        <w:t>ordered patterning around the base of the sporophyte capsule was generally absent and stomata were often sporadically placed (</w:t>
      </w:r>
      <w:r w:rsidRPr="006C37DC">
        <w:rPr>
          <w:rFonts w:ascii="Arial" w:eastAsia="Times New Roman" w:hAnsi="Arial" w:cs="Arial"/>
          <w:b/>
          <w:bCs/>
          <w:color w:val="000000"/>
        </w:rPr>
        <w:t>Fig. 17c</w:t>
      </w:r>
      <w:r w:rsidRPr="006C37DC">
        <w:rPr>
          <w:rFonts w:ascii="Arial" w:eastAsia="Times New Roman" w:hAnsi="Arial" w:cs="Arial"/>
          <w:bCs/>
          <w:color w:val="000000"/>
        </w:rPr>
        <w:t>-</w:t>
      </w:r>
      <w:r w:rsidRPr="006C37DC">
        <w:rPr>
          <w:rFonts w:ascii="Arial" w:eastAsia="Times New Roman" w:hAnsi="Arial" w:cs="Arial"/>
          <w:b/>
          <w:bCs/>
          <w:color w:val="000000"/>
        </w:rPr>
        <w:t>h</w:t>
      </w:r>
      <w:r w:rsidRPr="006C37DC">
        <w:rPr>
          <w:rFonts w:ascii="Arial" w:eastAsia="Times New Roman" w:hAnsi="Arial" w:cs="Arial"/>
          <w:bCs/>
          <w:color w:val="000000"/>
        </w:rPr>
        <w:t>). In some instances, there were fewer stomata than the wild-type with obvious gaps (</w:t>
      </w:r>
      <w:r w:rsidRPr="006C37DC">
        <w:rPr>
          <w:rFonts w:ascii="Arial" w:eastAsia="Times New Roman" w:hAnsi="Arial" w:cs="Arial"/>
          <w:b/>
          <w:bCs/>
          <w:color w:val="000000"/>
        </w:rPr>
        <w:t>Fig. 17f</w:t>
      </w:r>
      <w:r w:rsidRPr="006C37DC">
        <w:rPr>
          <w:rFonts w:ascii="Arial" w:eastAsia="Times New Roman" w:hAnsi="Arial" w:cs="Arial"/>
          <w:bCs/>
          <w:color w:val="000000"/>
        </w:rPr>
        <w:t>), whilst on other occasions stomata were more profuse with extensive clustering (</w:t>
      </w:r>
      <w:r w:rsidRPr="006C37DC">
        <w:rPr>
          <w:rFonts w:ascii="Arial" w:eastAsia="Times New Roman" w:hAnsi="Arial" w:cs="Arial"/>
          <w:b/>
          <w:bCs/>
          <w:color w:val="000000"/>
        </w:rPr>
        <w:t>Fig. 17g</w:t>
      </w:r>
      <w:r w:rsidRPr="006C37DC">
        <w:rPr>
          <w:rFonts w:ascii="Arial" w:eastAsia="Times New Roman" w:hAnsi="Arial" w:cs="Arial"/>
          <w:bCs/>
          <w:color w:val="000000"/>
        </w:rPr>
        <w:t xml:space="preserve">). On other capsules the phenotype was similar to wild-type but often </w:t>
      </w:r>
      <w:r w:rsidR="006029DA">
        <w:rPr>
          <w:rFonts w:ascii="Arial" w:eastAsia="Times New Roman" w:hAnsi="Arial" w:cs="Arial"/>
          <w:bCs/>
          <w:color w:val="000000"/>
        </w:rPr>
        <w:t xml:space="preserve">stomata </w:t>
      </w:r>
      <w:r w:rsidRPr="006C37DC">
        <w:rPr>
          <w:rFonts w:ascii="Arial" w:eastAsia="Times New Roman" w:hAnsi="Arial" w:cs="Arial"/>
          <w:bCs/>
          <w:color w:val="000000"/>
        </w:rPr>
        <w:t>appeared more clustered (</w:t>
      </w:r>
      <w:r w:rsidRPr="006C37DC">
        <w:rPr>
          <w:rFonts w:ascii="Arial" w:eastAsia="Times New Roman" w:hAnsi="Arial" w:cs="Arial"/>
          <w:b/>
          <w:bCs/>
          <w:color w:val="000000"/>
        </w:rPr>
        <w:t>Fig. 17h</w:t>
      </w:r>
      <w:r w:rsidRPr="006C37DC">
        <w:rPr>
          <w:rFonts w:ascii="Arial" w:eastAsia="Times New Roman" w:hAnsi="Arial" w:cs="Arial"/>
          <w:bCs/>
          <w:color w:val="000000"/>
        </w:rPr>
        <w:t xml:space="preserve">). An additional phenotype sometimes observed in </w:t>
      </w:r>
      <w:r w:rsidRPr="006C37DC">
        <w:rPr>
          <w:rFonts w:ascii="Arial" w:eastAsia="Times New Roman" w:hAnsi="Arial" w:cs="Arial"/>
          <w:bCs/>
          <w:i/>
          <w:color w:val="000000"/>
        </w:rPr>
        <w:t xml:space="preserve">pptmm-epf1 </w:t>
      </w:r>
      <w:r w:rsidRPr="006C37DC">
        <w:rPr>
          <w:rFonts w:ascii="Arial" w:eastAsia="Times New Roman" w:hAnsi="Arial" w:cs="Arial"/>
          <w:bCs/>
          <w:color w:val="000000"/>
        </w:rPr>
        <w:t>lines was square or irregularly shaped pointed stomata which resembled epidermal cell shape (</w:t>
      </w:r>
      <w:r w:rsidRPr="006C37DC">
        <w:rPr>
          <w:rFonts w:ascii="Arial" w:eastAsia="Times New Roman" w:hAnsi="Arial" w:cs="Arial"/>
          <w:b/>
          <w:bCs/>
          <w:color w:val="000000"/>
        </w:rPr>
        <w:t>Fig. 17k</w:t>
      </w:r>
      <w:r w:rsidRPr="006C37DC">
        <w:rPr>
          <w:rFonts w:ascii="Arial" w:eastAsia="Times New Roman" w:hAnsi="Arial" w:cs="Arial"/>
          <w:bCs/>
          <w:color w:val="000000"/>
        </w:rPr>
        <w:t>-</w:t>
      </w:r>
      <w:r w:rsidRPr="006C37DC">
        <w:rPr>
          <w:rFonts w:ascii="Arial" w:eastAsia="Times New Roman" w:hAnsi="Arial" w:cs="Arial"/>
          <w:b/>
          <w:bCs/>
          <w:color w:val="000000"/>
        </w:rPr>
        <w:t>l</w:t>
      </w:r>
      <w:r w:rsidRPr="006C37DC">
        <w:rPr>
          <w:rFonts w:ascii="Arial" w:eastAsia="Times New Roman" w:hAnsi="Arial" w:cs="Arial"/>
          <w:bCs/>
          <w:color w:val="000000"/>
        </w:rPr>
        <w:t xml:space="preserve">). Such cells were </w:t>
      </w:r>
      <w:r w:rsidRPr="006C37DC">
        <w:rPr>
          <w:rFonts w:ascii="Arial" w:eastAsia="Times New Roman" w:hAnsi="Arial" w:cs="Arial"/>
          <w:bCs/>
          <w:color w:val="000000"/>
        </w:rPr>
        <w:lastRenderedPageBreak/>
        <w:t>sometimes found on the outside edges of where stomatal formation occurred where epidermal cell length increases (</w:t>
      </w:r>
      <w:r w:rsidRPr="006C37DC">
        <w:rPr>
          <w:rFonts w:ascii="Arial" w:eastAsia="Times New Roman" w:hAnsi="Arial" w:cs="Arial"/>
          <w:b/>
          <w:bCs/>
          <w:color w:val="000000"/>
        </w:rPr>
        <w:t>Fig. 17k</w:t>
      </w:r>
      <w:r w:rsidRPr="006C37DC">
        <w:rPr>
          <w:rFonts w:ascii="Arial" w:eastAsia="Times New Roman" w:hAnsi="Arial" w:cs="Arial"/>
          <w:bCs/>
          <w:color w:val="000000"/>
        </w:rPr>
        <w:t xml:space="preserve">). </w:t>
      </w:r>
    </w:p>
    <w:p w14:paraId="2F466218" w14:textId="77777777" w:rsidR="006C37DC" w:rsidRPr="006C37DC" w:rsidRDefault="006C37DC" w:rsidP="006C37DC">
      <w:pPr>
        <w:spacing w:after="160" w:line="360" w:lineRule="auto"/>
        <w:rPr>
          <w:rFonts w:ascii="Arial" w:eastAsia="Times New Roman" w:hAnsi="Arial" w:cs="Arial"/>
          <w:bCs/>
          <w:i/>
          <w:color w:val="000000"/>
        </w:rPr>
      </w:pPr>
      <w:r w:rsidRPr="006C37DC">
        <w:rPr>
          <w:rFonts w:ascii="Arial" w:eastAsia="Times New Roman" w:hAnsi="Arial" w:cs="Arial"/>
          <w:bCs/>
          <w:color w:val="000000"/>
        </w:rPr>
        <w:t xml:space="preserve">Quantification of stomatal number found that </w:t>
      </w:r>
      <w:r w:rsidRPr="006C37DC">
        <w:rPr>
          <w:rFonts w:ascii="Arial" w:eastAsia="Times New Roman" w:hAnsi="Arial" w:cs="Arial"/>
          <w:bCs/>
          <w:i/>
          <w:color w:val="000000"/>
        </w:rPr>
        <w:t>pptmm</w:t>
      </w:r>
      <w:r w:rsidRPr="006C37DC">
        <w:rPr>
          <w:rFonts w:ascii="Arial" w:eastAsia="Times New Roman" w:hAnsi="Arial" w:cs="Arial"/>
          <w:bCs/>
          <w:color w:val="000000"/>
        </w:rPr>
        <w:t xml:space="preserve"> and </w:t>
      </w:r>
      <w:r w:rsidRPr="006C37DC">
        <w:rPr>
          <w:rFonts w:ascii="Arial" w:eastAsia="Times New Roman" w:hAnsi="Arial" w:cs="Arial"/>
          <w:bCs/>
          <w:i/>
          <w:color w:val="000000"/>
        </w:rPr>
        <w:t xml:space="preserve">pptmm-epf1 </w:t>
      </w:r>
      <w:r w:rsidRPr="006C37DC">
        <w:rPr>
          <w:rFonts w:ascii="Arial" w:eastAsia="Times New Roman" w:hAnsi="Arial" w:cs="Arial"/>
          <w:bCs/>
          <w:color w:val="000000"/>
        </w:rPr>
        <w:t xml:space="preserve">lines had similar numbers of stomata. However, the </w:t>
      </w:r>
      <w:r w:rsidRPr="006C37DC">
        <w:rPr>
          <w:rFonts w:ascii="Arial" w:eastAsia="Times New Roman" w:hAnsi="Arial" w:cs="Arial"/>
          <w:bCs/>
          <w:i/>
          <w:color w:val="000000"/>
        </w:rPr>
        <w:t xml:space="preserve">pptmm-epf1 </w:t>
      </w:r>
      <w:r w:rsidRPr="006C37DC">
        <w:rPr>
          <w:rFonts w:ascii="Arial" w:eastAsia="Times New Roman" w:hAnsi="Arial" w:cs="Arial"/>
          <w:bCs/>
          <w:color w:val="000000"/>
        </w:rPr>
        <w:t xml:space="preserve">lines, like </w:t>
      </w:r>
      <w:r w:rsidRPr="006C37DC">
        <w:rPr>
          <w:rFonts w:ascii="Arial" w:eastAsia="Times New Roman" w:hAnsi="Arial" w:cs="Arial"/>
          <w:bCs/>
          <w:i/>
          <w:color w:val="000000"/>
        </w:rPr>
        <w:t>pptmm-1</w:t>
      </w:r>
      <w:r w:rsidRPr="006C37DC">
        <w:rPr>
          <w:rFonts w:ascii="Arial" w:eastAsia="Times New Roman" w:hAnsi="Arial" w:cs="Arial"/>
          <w:bCs/>
          <w:color w:val="000000"/>
        </w:rPr>
        <w:t xml:space="preserve">, had significantly fewer stomata than </w:t>
      </w:r>
      <w:r w:rsidRPr="006C37DC">
        <w:rPr>
          <w:rFonts w:ascii="Arial" w:eastAsia="Times New Roman" w:hAnsi="Arial" w:cs="Arial"/>
          <w:bCs/>
          <w:i/>
          <w:color w:val="000000"/>
        </w:rPr>
        <w:t xml:space="preserve">ppepf1-2 </w:t>
      </w:r>
      <w:r w:rsidRPr="006C37DC">
        <w:rPr>
          <w:rFonts w:ascii="Arial" w:eastAsia="Times New Roman" w:hAnsi="Arial" w:cs="Arial"/>
          <w:bCs/>
          <w:color w:val="000000"/>
        </w:rPr>
        <w:t>when a one-way ANOVA with multiple comparisons corrected using a Tukey’s test was performed (</w:t>
      </w:r>
      <w:r w:rsidRPr="006C37DC">
        <w:rPr>
          <w:rFonts w:ascii="Arial" w:eastAsia="Times New Roman" w:hAnsi="Arial" w:cs="Arial"/>
          <w:bCs/>
          <w:i/>
          <w:color w:val="000000"/>
        </w:rPr>
        <w:t xml:space="preserve">P </w:t>
      </w:r>
      <w:r w:rsidRPr="006C37DC">
        <w:rPr>
          <w:rFonts w:ascii="Arial" w:eastAsia="Times New Roman" w:hAnsi="Arial" w:cs="Arial"/>
          <w:bCs/>
          <w:color w:val="000000"/>
        </w:rPr>
        <w:t>&lt; 0.0001) (</w:t>
      </w:r>
      <w:r w:rsidRPr="006C37DC">
        <w:rPr>
          <w:rFonts w:ascii="Arial" w:eastAsia="Times New Roman" w:hAnsi="Arial" w:cs="Arial"/>
          <w:b/>
          <w:bCs/>
          <w:color w:val="000000"/>
        </w:rPr>
        <w:t>Fig. 17m</w:t>
      </w:r>
      <w:r w:rsidRPr="006C37DC">
        <w:rPr>
          <w:rFonts w:ascii="Arial" w:eastAsia="Times New Roman" w:hAnsi="Arial" w:cs="Arial"/>
          <w:bCs/>
          <w:color w:val="000000"/>
        </w:rPr>
        <w:t xml:space="preserve">). Similarly, when the percentage of total stomata that clustered was compared between lines, the </w:t>
      </w:r>
      <w:r w:rsidRPr="006C37DC">
        <w:rPr>
          <w:rFonts w:ascii="Arial" w:eastAsia="Times New Roman" w:hAnsi="Arial" w:cs="Arial"/>
          <w:bCs/>
          <w:i/>
          <w:color w:val="000000"/>
        </w:rPr>
        <w:t xml:space="preserve">pptmm-1 </w:t>
      </w:r>
      <w:r w:rsidRPr="006C37DC">
        <w:rPr>
          <w:rFonts w:ascii="Arial" w:eastAsia="Times New Roman" w:hAnsi="Arial" w:cs="Arial"/>
          <w:bCs/>
          <w:color w:val="000000"/>
        </w:rPr>
        <w:t xml:space="preserve">and </w:t>
      </w:r>
      <w:r w:rsidRPr="006C37DC">
        <w:rPr>
          <w:rFonts w:ascii="Arial" w:eastAsia="Times New Roman" w:hAnsi="Arial" w:cs="Arial"/>
          <w:bCs/>
          <w:i/>
          <w:color w:val="000000"/>
        </w:rPr>
        <w:t>pptmm-epf1</w:t>
      </w:r>
      <w:r w:rsidRPr="006C37DC">
        <w:rPr>
          <w:rFonts w:ascii="Arial" w:eastAsia="Times New Roman" w:hAnsi="Arial" w:cs="Arial"/>
          <w:bCs/>
          <w:color w:val="000000"/>
        </w:rPr>
        <w:t xml:space="preserve"> lines showed no significant differences, whereas when </w:t>
      </w:r>
      <w:r w:rsidRPr="006C37DC">
        <w:rPr>
          <w:rFonts w:ascii="Arial" w:eastAsia="Times New Roman" w:hAnsi="Arial" w:cs="Arial"/>
          <w:bCs/>
          <w:i/>
          <w:color w:val="000000"/>
        </w:rPr>
        <w:t>pptmm-epf1</w:t>
      </w:r>
      <w:r w:rsidRPr="006C37DC">
        <w:rPr>
          <w:rFonts w:ascii="Arial" w:eastAsia="Times New Roman" w:hAnsi="Arial" w:cs="Arial"/>
          <w:bCs/>
          <w:color w:val="000000"/>
        </w:rPr>
        <w:t xml:space="preserve"> lines were compared with </w:t>
      </w:r>
      <w:r w:rsidRPr="006C37DC">
        <w:rPr>
          <w:rFonts w:ascii="Arial" w:eastAsia="Times New Roman" w:hAnsi="Arial" w:cs="Arial"/>
          <w:bCs/>
          <w:i/>
          <w:color w:val="000000"/>
        </w:rPr>
        <w:t xml:space="preserve">ppepf1-2 </w:t>
      </w:r>
      <w:r w:rsidRPr="006C37DC">
        <w:rPr>
          <w:rFonts w:ascii="Arial" w:eastAsia="Times New Roman" w:hAnsi="Arial" w:cs="Arial"/>
          <w:bCs/>
          <w:color w:val="000000"/>
        </w:rPr>
        <w:t>significant differences were detected (</w:t>
      </w:r>
      <w:r w:rsidRPr="006C37DC">
        <w:rPr>
          <w:rFonts w:ascii="Arial" w:eastAsia="Times New Roman" w:hAnsi="Arial" w:cs="Arial"/>
          <w:bCs/>
          <w:i/>
          <w:color w:val="000000"/>
        </w:rPr>
        <w:t xml:space="preserve">P </w:t>
      </w:r>
      <w:r w:rsidRPr="006C37DC">
        <w:rPr>
          <w:rFonts w:ascii="Arial" w:eastAsia="Times New Roman" w:hAnsi="Arial" w:cs="Arial"/>
          <w:bCs/>
          <w:color w:val="000000"/>
        </w:rPr>
        <w:t>≤ 0.01) (</w:t>
      </w:r>
      <w:r w:rsidRPr="006C37DC">
        <w:rPr>
          <w:rFonts w:ascii="Arial" w:eastAsia="Times New Roman" w:hAnsi="Arial" w:cs="Arial"/>
          <w:b/>
          <w:bCs/>
          <w:color w:val="000000"/>
        </w:rPr>
        <w:t>Fig. 17n</w:t>
      </w:r>
      <w:r w:rsidRPr="006C37DC">
        <w:rPr>
          <w:rFonts w:ascii="Arial" w:eastAsia="Times New Roman" w:hAnsi="Arial" w:cs="Arial"/>
          <w:bCs/>
          <w:color w:val="000000"/>
        </w:rPr>
        <w:t xml:space="preserve">). Taken together, neither stomatal number nor the percentage of total stomata involved in clustering was significantly different between </w:t>
      </w:r>
      <w:r w:rsidRPr="006C37DC">
        <w:rPr>
          <w:rFonts w:ascii="Arial" w:eastAsia="Times New Roman" w:hAnsi="Arial" w:cs="Arial"/>
          <w:bCs/>
          <w:i/>
          <w:color w:val="000000"/>
        </w:rPr>
        <w:t>pptmm-1</w:t>
      </w:r>
      <w:r w:rsidRPr="006C37DC">
        <w:rPr>
          <w:rFonts w:ascii="Arial" w:eastAsia="Times New Roman" w:hAnsi="Arial" w:cs="Arial"/>
          <w:bCs/>
          <w:color w:val="000000"/>
        </w:rPr>
        <w:t xml:space="preserve"> and </w:t>
      </w:r>
      <w:r w:rsidRPr="006C37DC">
        <w:rPr>
          <w:rFonts w:ascii="Arial" w:eastAsia="Times New Roman" w:hAnsi="Arial" w:cs="Arial"/>
          <w:bCs/>
          <w:i/>
          <w:color w:val="000000"/>
        </w:rPr>
        <w:t xml:space="preserve">pptmm-epf1 </w:t>
      </w:r>
      <w:r w:rsidRPr="006C37DC">
        <w:rPr>
          <w:rFonts w:ascii="Arial" w:eastAsia="Times New Roman" w:hAnsi="Arial" w:cs="Arial"/>
          <w:bCs/>
          <w:color w:val="000000"/>
        </w:rPr>
        <w:t xml:space="preserve">lines, which implies that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function is reliant on </w:t>
      </w:r>
      <w:r w:rsidRPr="006C37DC">
        <w:rPr>
          <w:rFonts w:ascii="Arial" w:eastAsia="Times New Roman" w:hAnsi="Arial" w:cs="Arial"/>
          <w:bCs/>
          <w:i/>
          <w:color w:val="000000"/>
        </w:rPr>
        <w:t>PpTMM</w:t>
      </w:r>
      <w:r w:rsidRPr="006C37DC">
        <w:rPr>
          <w:rFonts w:ascii="Arial" w:eastAsia="Times New Roman" w:hAnsi="Arial" w:cs="Arial"/>
          <w:bCs/>
          <w:color w:val="000000"/>
        </w:rPr>
        <w:t xml:space="preserve">, and therefore,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is epistatic to </w:t>
      </w:r>
      <w:r w:rsidRPr="006C37DC">
        <w:rPr>
          <w:rFonts w:ascii="Arial" w:eastAsia="Times New Roman" w:hAnsi="Arial" w:cs="Arial"/>
          <w:bCs/>
          <w:i/>
          <w:color w:val="000000"/>
        </w:rPr>
        <w:t>PpEPF1.</w:t>
      </w:r>
    </w:p>
    <w:p w14:paraId="3A2E0E9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noProof/>
          <w:color w:val="000000"/>
          <w:lang w:eastAsia="ja-JP"/>
        </w:rPr>
        <w:lastRenderedPageBreak/>
        <w:drawing>
          <wp:inline distT="0" distB="0" distL="0" distR="0" wp14:anchorId="322CFC53" wp14:editId="459DA110">
            <wp:extent cx="5526157" cy="7881413"/>
            <wp:effectExtent l="0" t="0" r="0" b="571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mmepf1figure mod.png"/>
                    <pic:cNvPicPr/>
                  </pic:nvPicPr>
                  <pic:blipFill>
                    <a:blip r:embed="rId66">
                      <a:extLst>
                        <a:ext uri="{28A0092B-C50C-407E-A947-70E740481C1C}">
                          <a14:useLocalDpi xmlns:a14="http://schemas.microsoft.com/office/drawing/2010/main" val="0"/>
                        </a:ext>
                      </a:extLst>
                    </a:blip>
                    <a:stretch>
                      <a:fillRect/>
                    </a:stretch>
                  </pic:blipFill>
                  <pic:spPr>
                    <a:xfrm>
                      <a:off x="0" y="0"/>
                      <a:ext cx="5529759" cy="7886551"/>
                    </a:xfrm>
                    <a:prstGeom prst="rect">
                      <a:avLst/>
                    </a:prstGeom>
                  </pic:spPr>
                </pic:pic>
              </a:graphicData>
            </a:graphic>
          </wp:inline>
        </w:drawing>
      </w:r>
      <w:r w:rsidRPr="006C37DC">
        <w:rPr>
          <w:rFonts w:ascii="Arial" w:eastAsia="Times New Roman" w:hAnsi="Arial" w:cs="Arial"/>
          <w:bCs/>
          <w:color w:val="000000"/>
        </w:rPr>
        <w:t xml:space="preserve"> </w:t>
      </w:r>
    </w:p>
    <w:p w14:paraId="13F23822" w14:textId="77777777" w:rsidR="006C37DC" w:rsidRPr="006C37DC"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
          <w:bCs/>
          <w:color w:val="000000"/>
        </w:rPr>
        <w:t xml:space="preserve">Figure 17. </w:t>
      </w:r>
      <w:r w:rsidRPr="006C37DC">
        <w:rPr>
          <w:rFonts w:ascii="Arial" w:eastAsia="Times New Roman" w:hAnsi="Arial" w:cs="Arial"/>
          <w:b/>
          <w:bCs/>
          <w:i/>
          <w:color w:val="000000"/>
        </w:rPr>
        <w:t xml:space="preserve">PpTMM </w:t>
      </w:r>
      <w:r w:rsidRPr="006C37DC">
        <w:rPr>
          <w:rFonts w:ascii="Arial" w:eastAsia="Times New Roman" w:hAnsi="Arial" w:cs="Arial"/>
          <w:b/>
          <w:bCs/>
          <w:color w:val="000000"/>
        </w:rPr>
        <w:t xml:space="preserve">is epistatic to </w:t>
      </w:r>
      <w:r w:rsidRPr="006C37DC">
        <w:rPr>
          <w:rFonts w:ascii="Arial" w:eastAsia="Times New Roman" w:hAnsi="Arial" w:cs="Arial"/>
          <w:b/>
          <w:bCs/>
          <w:i/>
          <w:color w:val="000000"/>
        </w:rPr>
        <w:t>PpEPF1</w:t>
      </w:r>
      <w:r w:rsidRPr="006C37DC">
        <w:rPr>
          <w:rFonts w:ascii="Arial" w:eastAsia="Times New Roman" w:hAnsi="Arial" w:cs="Arial"/>
          <w:b/>
          <w:bCs/>
          <w:color w:val="000000"/>
        </w:rPr>
        <w:t xml:space="preserve"> during </w:t>
      </w:r>
      <w:r w:rsidRPr="006C37DC">
        <w:rPr>
          <w:rFonts w:ascii="Arial" w:eastAsia="Times New Roman" w:hAnsi="Arial" w:cs="Arial"/>
          <w:b/>
          <w:bCs/>
          <w:i/>
          <w:color w:val="000000"/>
        </w:rPr>
        <w:t xml:space="preserve">P. patens </w:t>
      </w:r>
      <w:r w:rsidRPr="006C37DC">
        <w:rPr>
          <w:rFonts w:ascii="Arial" w:eastAsia="Times New Roman" w:hAnsi="Arial" w:cs="Arial"/>
          <w:b/>
          <w:bCs/>
          <w:color w:val="000000"/>
        </w:rPr>
        <w:t xml:space="preserve">stomatal development and patterning.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xml:space="preserve">) RT-PCR gel image illustrating lack of </w:t>
      </w:r>
      <w:r w:rsidRPr="006029DA">
        <w:rPr>
          <w:rFonts w:ascii="Arial" w:eastAsia="Times New Roman" w:hAnsi="Arial" w:cs="Arial"/>
          <w:bCs/>
          <w:i/>
          <w:color w:val="000000"/>
        </w:rPr>
        <w:t>PpEPF1</w:t>
      </w:r>
      <w:r w:rsidRPr="006C37DC">
        <w:rPr>
          <w:rFonts w:ascii="Arial" w:eastAsia="Times New Roman" w:hAnsi="Arial" w:cs="Arial"/>
          <w:bCs/>
          <w:color w:val="000000"/>
        </w:rPr>
        <w:t xml:space="preserve"> expression in two independent </w:t>
      </w:r>
      <w:r w:rsidRPr="006C37DC">
        <w:rPr>
          <w:rFonts w:ascii="Arial" w:eastAsia="Times New Roman" w:hAnsi="Arial" w:cs="Arial"/>
          <w:bCs/>
          <w:i/>
          <w:color w:val="000000"/>
        </w:rPr>
        <w:t xml:space="preserve">pptmm-epf1 </w:t>
      </w:r>
      <w:r w:rsidRPr="006C37DC">
        <w:rPr>
          <w:rFonts w:ascii="Arial" w:eastAsia="Times New Roman" w:hAnsi="Arial" w:cs="Arial"/>
          <w:bCs/>
          <w:color w:val="000000"/>
        </w:rPr>
        <w:t xml:space="preserve">lines in the </w:t>
      </w:r>
      <w:r w:rsidRPr="006C37DC">
        <w:rPr>
          <w:rFonts w:ascii="Arial" w:eastAsia="Times New Roman" w:hAnsi="Arial" w:cs="Arial"/>
          <w:bCs/>
          <w:i/>
          <w:color w:val="000000"/>
        </w:rPr>
        <w:t>pptmm-1</w:t>
      </w:r>
      <w:r w:rsidRPr="006C37DC">
        <w:rPr>
          <w:rFonts w:ascii="Arial" w:eastAsia="Times New Roman" w:hAnsi="Arial" w:cs="Arial"/>
          <w:bCs/>
          <w:color w:val="000000"/>
        </w:rPr>
        <w:t xml:space="preserve"> background in gametophyte-sporophyte mix </w:t>
      </w:r>
      <w:r w:rsidRPr="006C37DC">
        <w:rPr>
          <w:rFonts w:ascii="Arial" w:eastAsia="Times New Roman" w:hAnsi="Arial" w:cs="Arial"/>
          <w:bCs/>
          <w:color w:val="000000"/>
        </w:rPr>
        <w:lastRenderedPageBreak/>
        <w:t>tissue samples. (</w:t>
      </w:r>
      <w:r w:rsidRPr="006C37DC">
        <w:rPr>
          <w:rFonts w:ascii="Arial" w:eastAsia="Times New Roman" w:hAnsi="Arial" w:cs="Arial"/>
          <w:b/>
          <w:bCs/>
          <w:color w:val="000000"/>
        </w:rPr>
        <w:t>b</w:t>
      </w:r>
      <w:r w:rsidRPr="006C37DC">
        <w:rPr>
          <w:rFonts w:ascii="Arial" w:eastAsia="Times New Roman" w:hAnsi="Arial" w:cs="Arial"/>
          <w:bCs/>
          <w:color w:val="000000"/>
        </w:rPr>
        <w:t>) Rubisco small sub-unit controls (RbcS) for the corresponding samples in (</w:t>
      </w:r>
      <w:r w:rsidRPr="006C37DC">
        <w:rPr>
          <w:rFonts w:ascii="Arial" w:eastAsia="Times New Roman" w:hAnsi="Arial" w:cs="Arial"/>
          <w:b/>
          <w:bCs/>
          <w:color w:val="000000"/>
        </w:rPr>
        <w:t>a</w:t>
      </w:r>
      <w:r w:rsidRPr="006C37DC">
        <w:rPr>
          <w:rFonts w:ascii="Arial" w:eastAsia="Times New Roman" w:hAnsi="Arial" w:cs="Arial"/>
          <w:bCs/>
          <w:color w:val="000000"/>
        </w:rPr>
        <w:t xml:space="preserve">). </w:t>
      </w:r>
      <w:r w:rsidRPr="006C37DC">
        <w:rPr>
          <w:rFonts w:ascii="Arial" w:eastAsia="Times New Roman" w:hAnsi="Arial" w:cs="Arial"/>
          <w:bCs/>
          <w:i/>
          <w:color w:val="000000"/>
        </w:rPr>
        <w:t>pptmm-1</w:t>
      </w:r>
      <w:r w:rsidRPr="006C37DC">
        <w:rPr>
          <w:rFonts w:ascii="Arial" w:eastAsia="Times New Roman" w:hAnsi="Arial" w:cs="Arial"/>
          <w:bCs/>
          <w:color w:val="000000"/>
        </w:rPr>
        <w:t xml:space="preserve"> samples is marked as WT, the water controls are marked W. (</w:t>
      </w:r>
      <w:r w:rsidRPr="006C37DC">
        <w:rPr>
          <w:rFonts w:ascii="Arial" w:eastAsia="Times New Roman" w:hAnsi="Arial" w:cs="Arial"/>
          <w:b/>
          <w:bCs/>
          <w:color w:val="000000"/>
        </w:rPr>
        <w:t>c-h</w:t>
      </w:r>
      <w:r w:rsidRPr="006C37DC">
        <w:rPr>
          <w:rFonts w:ascii="Arial" w:eastAsia="Times New Roman" w:hAnsi="Arial" w:cs="Arial"/>
          <w:bCs/>
          <w:color w:val="000000"/>
        </w:rPr>
        <w:t>) Bright-field stacked images of mature sporophyte capsule relating to: (</w:t>
      </w:r>
      <w:r w:rsidRPr="006C37DC">
        <w:rPr>
          <w:rFonts w:ascii="Arial" w:eastAsia="Times New Roman" w:hAnsi="Arial" w:cs="Arial"/>
          <w:b/>
          <w:bCs/>
          <w:color w:val="000000"/>
        </w:rPr>
        <w:t>c</w:t>
      </w:r>
      <w:r w:rsidRPr="006C37DC">
        <w:rPr>
          <w:rFonts w:ascii="Arial" w:eastAsia="Times New Roman" w:hAnsi="Arial" w:cs="Arial"/>
          <w:bCs/>
          <w:color w:val="000000"/>
        </w:rPr>
        <w:t>) wild-type, (</w:t>
      </w:r>
      <w:r w:rsidRPr="006C37DC">
        <w:rPr>
          <w:rFonts w:ascii="Arial" w:eastAsia="Times New Roman" w:hAnsi="Arial" w:cs="Arial"/>
          <w:b/>
          <w:bCs/>
          <w:color w:val="000000"/>
        </w:rPr>
        <w:t>d</w:t>
      </w:r>
      <w:r w:rsidRPr="006C37DC">
        <w:rPr>
          <w:rFonts w:ascii="Arial" w:eastAsia="Times New Roman" w:hAnsi="Arial" w:cs="Arial"/>
          <w:bCs/>
          <w:color w:val="000000"/>
        </w:rPr>
        <w:t xml:space="preserve">) </w:t>
      </w:r>
      <w:r w:rsidRPr="006C37DC">
        <w:rPr>
          <w:rFonts w:ascii="Arial" w:eastAsia="Times New Roman" w:hAnsi="Arial" w:cs="Arial"/>
          <w:bCs/>
          <w:i/>
          <w:color w:val="000000"/>
        </w:rPr>
        <w:t>pptmm-1</w:t>
      </w:r>
      <w:r w:rsidRPr="006C37DC">
        <w:rPr>
          <w:rFonts w:ascii="Arial" w:eastAsia="Times New Roman" w:hAnsi="Arial" w:cs="Arial"/>
          <w:bCs/>
          <w:color w:val="000000"/>
        </w:rPr>
        <w:t>, (</w:t>
      </w:r>
      <w:r w:rsidRPr="006C37DC">
        <w:rPr>
          <w:rFonts w:ascii="Arial" w:eastAsia="Times New Roman" w:hAnsi="Arial" w:cs="Arial"/>
          <w:b/>
          <w:bCs/>
          <w:color w:val="000000"/>
        </w:rPr>
        <w:t>e</w:t>
      </w:r>
      <w:r w:rsidRPr="006C37DC">
        <w:rPr>
          <w:rFonts w:ascii="Arial" w:eastAsia="Times New Roman" w:hAnsi="Arial" w:cs="Arial"/>
          <w:bCs/>
          <w:color w:val="000000"/>
        </w:rPr>
        <w:t xml:space="preserve">) </w:t>
      </w:r>
      <w:r w:rsidRPr="006C37DC">
        <w:rPr>
          <w:rFonts w:ascii="Arial" w:eastAsia="Times New Roman" w:hAnsi="Arial" w:cs="Arial"/>
          <w:bCs/>
          <w:i/>
          <w:color w:val="000000"/>
        </w:rPr>
        <w:t>ppepf1-2</w:t>
      </w:r>
      <w:r w:rsidRPr="006C37DC">
        <w:rPr>
          <w:rFonts w:ascii="Arial" w:eastAsia="Times New Roman" w:hAnsi="Arial" w:cs="Arial"/>
          <w:bCs/>
          <w:color w:val="000000"/>
        </w:rPr>
        <w:t>, (</w:t>
      </w:r>
      <w:r w:rsidRPr="006C37DC">
        <w:rPr>
          <w:rFonts w:ascii="Arial" w:eastAsia="Times New Roman" w:hAnsi="Arial" w:cs="Arial"/>
          <w:b/>
          <w:bCs/>
          <w:color w:val="000000"/>
        </w:rPr>
        <w:t>f</w:t>
      </w:r>
      <w:r w:rsidRPr="006C37DC">
        <w:rPr>
          <w:rFonts w:ascii="Arial" w:eastAsia="Times New Roman" w:hAnsi="Arial" w:cs="Arial"/>
          <w:bCs/>
          <w:color w:val="000000"/>
        </w:rPr>
        <w:t xml:space="preserve"> and </w:t>
      </w:r>
      <w:r w:rsidRPr="006C37DC">
        <w:rPr>
          <w:rFonts w:ascii="Arial" w:eastAsia="Times New Roman" w:hAnsi="Arial" w:cs="Arial"/>
          <w:b/>
          <w:bCs/>
          <w:color w:val="000000"/>
        </w:rPr>
        <w:t>g</w:t>
      </w:r>
      <w:r w:rsidRPr="006C37DC">
        <w:rPr>
          <w:rFonts w:ascii="Arial" w:eastAsia="Times New Roman" w:hAnsi="Arial" w:cs="Arial"/>
          <w:bCs/>
          <w:color w:val="000000"/>
        </w:rPr>
        <w:t xml:space="preserve">) </w:t>
      </w:r>
      <w:r w:rsidRPr="006C37DC">
        <w:rPr>
          <w:rFonts w:ascii="Arial" w:eastAsia="Times New Roman" w:hAnsi="Arial" w:cs="Arial"/>
          <w:bCs/>
          <w:i/>
          <w:color w:val="000000"/>
        </w:rPr>
        <w:t>pptmm-epf1-1</w:t>
      </w:r>
      <w:r w:rsidRPr="006C37DC">
        <w:rPr>
          <w:rFonts w:ascii="Arial" w:eastAsia="Times New Roman" w:hAnsi="Arial" w:cs="Arial"/>
          <w:bCs/>
          <w:color w:val="000000"/>
        </w:rPr>
        <w:t xml:space="preserve"> and (</w:t>
      </w:r>
      <w:r w:rsidRPr="006C37DC">
        <w:rPr>
          <w:rFonts w:ascii="Arial" w:eastAsia="Times New Roman" w:hAnsi="Arial" w:cs="Arial"/>
          <w:b/>
          <w:bCs/>
          <w:color w:val="000000"/>
        </w:rPr>
        <w:t>h</w:t>
      </w:r>
      <w:r w:rsidRPr="006C37DC">
        <w:rPr>
          <w:rFonts w:ascii="Arial" w:eastAsia="Times New Roman" w:hAnsi="Arial" w:cs="Arial"/>
          <w:bCs/>
          <w:color w:val="000000"/>
        </w:rPr>
        <w:t xml:space="preserve">) </w:t>
      </w:r>
      <w:r w:rsidRPr="006C37DC">
        <w:rPr>
          <w:rFonts w:ascii="Arial" w:eastAsia="Times New Roman" w:hAnsi="Arial" w:cs="Arial"/>
          <w:bCs/>
          <w:i/>
          <w:color w:val="000000"/>
        </w:rPr>
        <w:t>pptmm-epf1-2</w:t>
      </w:r>
      <w:r w:rsidRPr="006C37DC">
        <w:rPr>
          <w:rFonts w:ascii="Arial" w:eastAsia="Times New Roman" w:hAnsi="Arial" w:cs="Arial"/>
          <w:bCs/>
          <w:color w:val="000000"/>
        </w:rPr>
        <w:t>.</w:t>
      </w:r>
      <w:r w:rsidRPr="006C37DC">
        <w:rPr>
          <w:rFonts w:ascii="Arial" w:eastAsia="Times New Roman" w:hAnsi="Arial" w:cs="Arial"/>
          <w:bCs/>
          <w:i/>
          <w:color w:val="000000"/>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i</w:t>
      </w:r>
      <w:r w:rsidRPr="006C37DC">
        <w:rPr>
          <w:rFonts w:ascii="Arial" w:eastAsia="Times New Roman" w:hAnsi="Arial" w:cs="Arial"/>
          <w:bCs/>
          <w:color w:val="000000"/>
        </w:rPr>
        <w:t xml:space="preserve">) Mutant </w:t>
      </w:r>
      <w:r w:rsidRPr="006C37DC">
        <w:rPr>
          <w:rFonts w:ascii="Arial" w:eastAsia="Times New Roman" w:hAnsi="Arial" w:cs="Arial"/>
          <w:bCs/>
          <w:i/>
          <w:color w:val="000000"/>
        </w:rPr>
        <w:t xml:space="preserve">pptmm-1 </w:t>
      </w:r>
      <w:r w:rsidRPr="006C37DC">
        <w:rPr>
          <w:rFonts w:ascii="Arial" w:eastAsia="Times New Roman" w:hAnsi="Arial" w:cs="Arial"/>
          <w:bCs/>
          <w:color w:val="000000"/>
        </w:rPr>
        <w:t>close-up equivalent to (</w:t>
      </w:r>
      <w:r w:rsidRPr="006C37DC">
        <w:rPr>
          <w:rFonts w:ascii="Arial" w:eastAsia="Times New Roman" w:hAnsi="Arial" w:cs="Arial"/>
          <w:b/>
          <w:bCs/>
          <w:color w:val="000000"/>
        </w:rPr>
        <w:t>d</w:t>
      </w:r>
      <w:r w:rsidRPr="006C37DC">
        <w:rPr>
          <w:rFonts w:ascii="Arial" w:eastAsia="Times New Roman" w:hAnsi="Arial" w:cs="Arial"/>
          <w:bCs/>
          <w:color w:val="000000"/>
        </w:rPr>
        <w:t>) showing stomatal cluster. (</w:t>
      </w:r>
      <w:r w:rsidRPr="006C37DC">
        <w:rPr>
          <w:rFonts w:ascii="Arial" w:eastAsia="Times New Roman" w:hAnsi="Arial" w:cs="Arial"/>
          <w:b/>
          <w:bCs/>
          <w:color w:val="000000"/>
        </w:rPr>
        <w:t>j</w:t>
      </w:r>
      <w:r w:rsidRPr="006C37DC">
        <w:rPr>
          <w:rFonts w:ascii="Arial" w:eastAsia="Times New Roman" w:hAnsi="Arial" w:cs="Arial"/>
          <w:bCs/>
          <w:color w:val="000000"/>
        </w:rPr>
        <w:t xml:space="preserve">) A </w:t>
      </w:r>
      <w:r w:rsidRPr="006C37DC">
        <w:rPr>
          <w:rFonts w:ascii="Arial" w:eastAsia="Times New Roman" w:hAnsi="Arial" w:cs="Arial"/>
          <w:bCs/>
          <w:i/>
          <w:color w:val="000000"/>
        </w:rPr>
        <w:t xml:space="preserve">ppepf1-2 </w:t>
      </w:r>
      <w:r w:rsidRPr="006C37DC">
        <w:rPr>
          <w:rFonts w:ascii="Arial" w:eastAsia="Times New Roman" w:hAnsi="Arial" w:cs="Arial"/>
          <w:bCs/>
          <w:color w:val="000000"/>
        </w:rPr>
        <w:t>close-up equivalent to (</w:t>
      </w:r>
      <w:r w:rsidRPr="006C37DC">
        <w:rPr>
          <w:rFonts w:ascii="Arial" w:eastAsia="Times New Roman" w:hAnsi="Arial" w:cs="Arial"/>
          <w:b/>
          <w:bCs/>
          <w:color w:val="000000"/>
        </w:rPr>
        <w:t>e</w:t>
      </w:r>
      <w:r w:rsidRPr="006C37DC">
        <w:rPr>
          <w:rFonts w:ascii="Arial" w:eastAsia="Times New Roman" w:hAnsi="Arial" w:cs="Arial"/>
          <w:bCs/>
          <w:color w:val="000000"/>
        </w:rPr>
        <w:t>) with stomata clustering in a chain. (</w:t>
      </w:r>
      <w:r w:rsidRPr="006C37DC">
        <w:rPr>
          <w:rFonts w:ascii="Arial" w:eastAsia="Times New Roman" w:hAnsi="Arial" w:cs="Arial"/>
          <w:b/>
          <w:bCs/>
          <w:color w:val="000000"/>
        </w:rPr>
        <w:t xml:space="preserve">k </w:t>
      </w:r>
      <w:r w:rsidRPr="006C37DC">
        <w:rPr>
          <w:rFonts w:ascii="Arial" w:eastAsia="Times New Roman" w:hAnsi="Arial" w:cs="Arial"/>
          <w:bCs/>
          <w:color w:val="000000"/>
        </w:rPr>
        <w:t xml:space="preserve">and </w:t>
      </w:r>
      <w:r w:rsidRPr="006C37DC">
        <w:rPr>
          <w:rFonts w:ascii="Arial" w:eastAsia="Times New Roman" w:hAnsi="Arial" w:cs="Arial"/>
          <w:b/>
          <w:bCs/>
          <w:color w:val="000000"/>
        </w:rPr>
        <w:t>l</w:t>
      </w:r>
      <w:r w:rsidRPr="006C37DC">
        <w:rPr>
          <w:rFonts w:ascii="Arial" w:eastAsia="Times New Roman" w:hAnsi="Arial" w:cs="Arial"/>
          <w:bCs/>
          <w:color w:val="000000"/>
        </w:rPr>
        <w:t xml:space="preserve">) </w:t>
      </w:r>
      <w:r w:rsidRPr="006C37DC">
        <w:rPr>
          <w:rFonts w:ascii="Arial" w:eastAsia="Times New Roman" w:hAnsi="Arial" w:cs="Arial"/>
          <w:bCs/>
          <w:i/>
          <w:color w:val="000000"/>
        </w:rPr>
        <w:t xml:space="preserve">pptmm-epf1-1 </w:t>
      </w:r>
      <w:r w:rsidRPr="006C37DC">
        <w:rPr>
          <w:rFonts w:ascii="Arial" w:eastAsia="Times New Roman" w:hAnsi="Arial" w:cs="Arial"/>
          <w:bCs/>
          <w:color w:val="000000"/>
        </w:rPr>
        <w:t>close-up equivalents to (</w:t>
      </w:r>
      <w:r w:rsidRPr="006C37DC">
        <w:rPr>
          <w:rFonts w:ascii="Arial" w:eastAsia="Times New Roman" w:hAnsi="Arial" w:cs="Arial"/>
          <w:b/>
          <w:bCs/>
          <w:color w:val="000000"/>
        </w:rPr>
        <w:t xml:space="preserve">f </w:t>
      </w:r>
      <w:r w:rsidRPr="006C37DC">
        <w:rPr>
          <w:rFonts w:ascii="Arial" w:eastAsia="Times New Roman" w:hAnsi="Arial" w:cs="Arial"/>
          <w:bCs/>
          <w:color w:val="000000"/>
        </w:rPr>
        <w:t xml:space="preserve">and </w:t>
      </w:r>
      <w:r w:rsidRPr="006C37DC">
        <w:rPr>
          <w:rFonts w:ascii="Arial" w:eastAsia="Times New Roman" w:hAnsi="Arial" w:cs="Arial"/>
          <w:b/>
          <w:bCs/>
          <w:color w:val="000000"/>
        </w:rPr>
        <w:t>g</w:t>
      </w:r>
      <w:r w:rsidRPr="006C37DC">
        <w:rPr>
          <w:rFonts w:ascii="Arial" w:eastAsia="Times New Roman" w:hAnsi="Arial" w:cs="Arial"/>
          <w:bCs/>
          <w:color w:val="000000"/>
        </w:rPr>
        <w:t>) illustrating irregularly shaped elongated (</w:t>
      </w:r>
      <w:r w:rsidRPr="006C37DC">
        <w:rPr>
          <w:rFonts w:ascii="Arial" w:eastAsia="Times New Roman" w:hAnsi="Arial" w:cs="Arial"/>
          <w:b/>
          <w:bCs/>
          <w:color w:val="000000"/>
        </w:rPr>
        <w:t>k</w:t>
      </w:r>
      <w:r w:rsidRPr="006C37DC">
        <w:rPr>
          <w:rFonts w:ascii="Arial" w:eastAsia="Times New Roman" w:hAnsi="Arial" w:cs="Arial"/>
          <w:bCs/>
          <w:color w:val="000000"/>
        </w:rPr>
        <w:t>) and square (</w:t>
      </w:r>
      <w:r w:rsidRPr="006C37DC">
        <w:rPr>
          <w:rFonts w:ascii="Arial" w:eastAsia="Times New Roman" w:hAnsi="Arial" w:cs="Arial"/>
          <w:b/>
          <w:bCs/>
          <w:color w:val="000000"/>
        </w:rPr>
        <w:t>l</w:t>
      </w:r>
      <w:r w:rsidRPr="006C37DC">
        <w:rPr>
          <w:rFonts w:ascii="Arial" w:eastAsia="Times New Roman" w:hAnsi="Arial" w:cs="Arial"/>
          <w:bCs/>
          <w:color w:val="000000"/>
        </w:rPr>
        <w:t>) stomata. (</w:t>
      </w:r>
      <w:r w:rsidRPr="006C37DC">
        <w:rPr>
          <w:rFonts w:ascii="Arial" w:eastAsia="Times New Roman" w:hAnsi="Arial" w:cs="Arial"/>
          <w:b/>
          <w:bCs/>
          <w:color w:val="000000"/>
        </w:rPr>
        <w:t>m</w:t>
      </w:r>
      <w:r w:rsidRPr="006C37DC">
        <w:rPr>
          <w:rFonts w:ascii="Arial" w:eastAsia="Times New Roman" w:hAnsi="Arial" w:cs="Arial"/>
          <w:bCs/>
          <w:color w:val="000000"/>
        </w:rPr>
        <w:t>) Quantification of the number of stomata in equally sized orange to brown mature sporophyte capsules.</w:t>
      </w:r>
      <w:r w:rsidRPr="006C37DC">
        <w:rPr>
          <w:rFonts w:ascii="Arial" w:eastAsia="Times New Roman" w:hAnsi="Arial" w:cs="Arial"/>
          <w:bCs/>
          <w:color w:val="000000"/>
          <w:lang w:bidi="en-US"/>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j</w:t>
      </w:r>
      <w:r w:rsidRPr="006C37DC">
        <w:rPr>
          <w:rFonts w:ascii="Arial" w:eastAsia="Times New Roman" w:hAnsi="Arial" w:cs="Arial"/>
          <w:bCs/>
          <w:color w:val="000000"/>
        </w:rPr>
        <w:t>) Quantification of the percentage of total stomata from (</w:t>
      </w:r>
      <w:r w:rsidRPr="006C37DC">
        <w:rPr>
          <w:rFonts w:ascii="Arial" w:eastAsia="Times New Roman" w:hAnsi="Arial" w:cs="Arial"/>
          <w:b/>
          <w:bCs/>
          <w:color w:val="000000"/>
        </w:rPr>
        <w:t>i</w:t>
      </w:r>
      <w:r w:rsidRPr="006C37DC">
        <w:rPr>
          <w:rFonts w:ascii="Arial" w:eastAsia="Times New Roman" w:hAnsi="Arial" w:cs="Arial"/>
          <w:bCs/>
          <w:color w:val="000000"/>
        </w:rPr>
        <w:t>) involved in clustering.</w:t>
      </w:r>
      <w:r w:rsidRPr="006C37DC">
        <w:rPr>
          <w:rFonts w:ascii="Arial" w:eastAsia="Times New Roman" w:hAnsi="Arial" w:cs="Arial"/>
          <w:bCs/>
          <w:color w:val="000000"/>
          <w:lang w:bidi="en-US"/>
        </w:rPr>
        <w:t xml:space="preserve"> For (</w:t>
      </w:r>
      <w:r w:rsidRPr="006C37DC">
        <w:rPr>
          <w:rFonts w:ascii="Arial" w:eastAsia="Times New Roman" w:hAnsi="Arial" w:cs="Arial"/>
          <w:b/>
          <w:bCs/>
          <w:color w:val="000000"/>
          <w:lang w:bidi="en-US"/>
        </w:rPr>
        <w:t>i</w:t>
      </w:r>
      <w:r w:rsidRPr="006C37DC">
        <w:rPr>
          <w:rFonts w:ascii="Arial" w:eastAsia="Times New Roman" w:hAnsi="Arial" w:cs="Arial"/>
          <w:bCs/>
          <w:color w:val="000000"/>
          <w:lang w:bidi="en-US"/>
        </w:rPr>
        <w:t xml:space="preserve"> and </w:t>
      </w:r>
      <w:r w:rsidRPr="006C37DC">
        <w:rPr>
          <w:rFonts w:ascii="Arial" w:eastAsia="Times New Roman" w:hAnsi="Arial" w:cs="Arial"/>
          <w:b/>
          <w:bCs/>
          <w:color w:val="000000"/>
          <w:lang w:bidi="en-US"/>
        </w:rPr>
        <w:t>j)</w:t>
      </w:r>
      <w:r w:rsidRPr="006C37DC">
        <w:rPr>
          <w:rFonts w:ascii="Arial" w:eastAsia="Times New Roman" w:hAnsi="Arial" w:cs="Arial"/>
          <w:bCs/>
          <w:color w:val="000000"/>
          <w:lang w:bidi="en-US"/>
        </w:rPr>
        <w:t xml:space="preserve"> lines with different letters can be distinguished from each other (</w:t>
      </w:r>
      <w:r w:rsidRPr="006C37DC">
        <w:rPr>
          <w:rFonts w:ascii="Arial" w:eastAsia="Times New Roman" w:hAnsi="Arial" w:cs="Arial"/>
          <w:bCs/>
          <w:i/>
          <w:color w:val="000000"/>
          <w:lang w:bidi="en-US"/>
        </w:rPr>
        <w:t>P</w:t>
      </w:r>
      <w:r w:rsidRPr="006C37DC">
        <w:rPr>
          <w:rFonts w:ascii="Arial" w:eastAsia="Times New Roman" w:hAnsi="Arial" w:cs="Arial"/>
          <w:bCs/>
          <w:color w:val="000000"/>
          <w:lang w:bidi="en-US"/>
        </w:rPr>
        <w:t xml:space="preserve"> ≤ 0.01) (one-way ANOVA with multiple comparisons corrected using a Tukey’s test, n=8). Note, for (</w:t>
      </w:r>
      <w:r w:rsidRPr="006C37DC">
        <w:rPr>
          <w:rFonts w:ascii="Arial" w:eastAsia="Times New Roman" w:hAnsi="Arial" w:cs="Arial"/>
          <w:b/>
          <w:bCs/>
          <w:color w:val="000000"/>
          <w:lang w:bidi="en-US"/>
        </w:rPr>
        <w:t>j</w:t>
      </w:r>
      <w:r w:rsidRPr="006C37DC">
        <w:rPr>
          <w:rFonts w:ascii="Arial" w:eastAsia="Times New Roman" w:hAnsi="Arial" w:cs="Arial"/>
          <w:bCs/>
          <w:color w:val="000000"/>
          <w:lang w:bidi="en-US"/>
        </w:rPr>
        <w:t xml:space="preserve">) prior to statistical analysis, an arcsin transformation of values was performed. </w:t>
      </w:r>
      <w:r w:rsidRPr="006C37DC">
        <w:rPr>
          <w:rFonts w:ascii="Arial" w:eastAsia="Times New Roman" w:hAnsi="Arial" w:cs="Arial"/>
          <w:bCs/>
          <w:color w:val="000000"/>
        </w:rPr>
        <w:t xml:space="preserve">Scale bars are as follows: </w:t>
      </w:r>
      <w:r w:rsidRPr="006C37DC">
        <w:rPr>
          <w:rFonts w:ascii="Arial" w:eastAsia="Times New Roman" w:hAnsi="Arial" w:cs="Arial"/>
          <w:b/>
          <w:bCs/>
          <w:color w:val="000000"/>
        </w:rPr>
        <w:t xml:space="preserve">c-h, </w:t>
      </w:r>
      <w:r w:rsidRPr="006C37DC">
        <w:rPr>
          <w:rFonts w:ascii="Arial" w:eastAsia="Times New Roman" w:hAnsi="Arial" w:cs="Arial"/>
          <w:bCs/>
          <w:color w:val="000000"/>
        </w:rPr>
        <w:t xml:space="preserve">100µm, </w:t>
      </w:r>
      <w:r w:rsidRPr="006C37DC">
        <w:rPr>
          <w:rFonts w:ascii="Arial" w:eastAsia="Times New Roman" w:hAnsi="Arial" w:cs="Arial"/>
          <w:b/>
          <w:bCs/>
          <w:color w:val="000000"/>
        </w:rPr>
        <w:t xml:space="preserve">i-l, </w:t>
      </w:r>
      <w:r w:rsidRPr="006C37DC">
        <w:rPr>
          <w:rFonts w:ascii="Arial" w:eastAsia="Times New Roman" w:hAnsi="Arial" w:cs="Arial"/>
          <w:bCs/>
          <w:color w:val="000000"/>
        </w:rPr>
        <w:t xml:space="preserve">25µm. </w:t>
      </w:r>
      <w:r w:rsidRPr="006C37DC">
        <w:rPr>
          <w:rFonts w:ascii="Arial" w:eastAsia="Times New Roman" w:hAnsi="Arial" w:cs="Arial"/>
          <w:bCs/>
          <w:color w:val="000000"/>
          <w:lang w:bidi="en-US"/>
        </w:rPr>
        <w:t>Error bars = s.e.m.</w:t>
      </w:r>
    </w:p>
    <w:p w14:paraId="59CCA7DE" w14:textId="5D59B95A" w:rsidR="006C37DC" w:rsidRPr="00476449"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Cs/>
          <w:color w:val="000000"/>
          <w:u w:val="single"/>
        </w:rPr>
        <w:t xml:space="preserve">4.2.10 At least one member of the </w:t>
      </w:r>
      <w:r w:rsidRPr="006C37DC">
        <w:rPr>
          <w:rFonts w:ascii="Arial" w:eastAsia="Times New Roman" w:hAnsi="Arial" w:cs="Arial"/>
          <w:bCs/>
          <w:i/>
          <w:color w:val="000000"/>
          <w:u w:val="single"/>
        </w:rPr>
        <w:t xml:space="preserve">P. patens </w:t>
      </w:r>
      <w:r w:rsidRPr="006C37DC">
        <w:rPr>
          <w:rFonts w:ascii="Arial" w:eastAsia="Times New Roman" w:hAnsi="Arial" w:cs="Arial"/>
          <w:bCs/>
          <w:color w:val="000000"/>
          <w:u w:val="single"/>
        </w:rPr>
        <w:t>ERECTA family, PpERECTA1</w:t>
      </w:r>
      <w:r w:rsidRPr="006C37DC">
        <w:rPr>
          <w:rFonts w:ascii="Arial" w:eastAsia="Times New Roman" w:hAnsi="Arial" w:cs="Arial"/>
          <w:bCs/>
          <w:i/>
          <w:color w:val="000000"/>
          <w:u w:val="single"/>
        </w:rPr>
        <w:t xml:space="preserve">, </w:t>
      </w:r>
      <w:r w:rsidRPr="006C37DC">
        <w:rPr>
          <w:rFonts w:ascii="Arial" w:eastAsia="Times New Roman" w:hAnsi="Arial" w:cs="Arial"/>
          <w:bCs/>
          <w:color w:val="000000"/>
          <w:u w:val="single"/>
        </w:rPr>
        <w:t>functions during stomatal development to encourage stomatal formation and regulate positioning</w:t>
      </w:r>
    </w:p>
    <w:p w14:paraId="1B50CF69" w14:textId="78246D80"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It is evident in Arabidopsis</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that both EPF/L and TMM functioning is interlinked with the function of ERf members during stomatal development and patterning </w: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IDIwMDc7IEhhcmEgZXQgYWwuLCAyMDA5OyBIdW50IGFuZCBHcmF5LCAyMDA5OyBMZWUgZXQgYWwu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</w:fldData>
        </w:fldChar>
      </w:r>
      <w:r w:rsidR="00417B1E">
        <w:rPr>
          <w:rFonts w:ascii="Arial" w:eastAsia="Times New Roman" w:hAnsi="Arial" w:cs="Arial"/>
          <w:bCs/>
          <w:color w:val="000000"/>
        </w:rPr>
        <w:instrText xml:space="preserve"> ADDIN EN.CITE </w:instrText>
      </w:r>
      <w:r w:rsidR="00417B1E">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IDIwMDc7IEhhcmEgZXQgYWwuLCAyMDA5OyBIdW50IGFuZCBHcmF5LCAyMDA5OyBMZWUgZXQgYWwu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</w:fldData>
        </w:fldChar>
      </w:r>
      <w:r w:rsidR="00417B1E">
        <w:rPr>
          <w:rFonts w:ascii="Arial" w:eastAsia="Times New Roman" w:hAnsi="Arial" w:cs="Arial"/>
          <w:bCs/>
          <w:color w:val="000000"/>
        </w:rPr>
        <w:instrText xml:space="preserve"> ADDIN EN.CITE.DATA </w:instrText>
      </w:r>
      <w:r w:rsidR="00417B1E">
        <w:rPr>
          <w:rFonts w:ascii="Arial" w:eastAsia="Times New Roman" w:hAnsi="Arial" w:cs="Arial"/>
          <w:bCs/>
          <w:color w:val="000000"/>
        </w:rPr>
      </w:r>
      <w:r w:rsidR="00417B1E">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417B1E">
        <w:rPr>
          <w:rFonts w:ascii="Arial" w:eastAsia="Times New Roman" w:hAnsi="Arial" w:cs="Arial"/>
          <w:bCs/>
          <w:noProof/>
          <w:color w:val="000000"/>
        </w:rPr>
        <w:t>(Hara et al., 2007; Hara et al., 2009; Hunt and Gray, 2009; Lee et al., 2015b; Lee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Therefore, having ascertained that PpEPF1</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and PpTMM function during stomatal development in </w:t>
      </w:r>
      <w:r w:rsidRPr="006C37DC">
        <w:rPr>
          <w:rFonts w:ascii="Arial" w:eastAsia="Times New Roman" w:hAnsi="Arial" w:cs="Arial"/>
          <w:bCs/>
          <w:i/>
          <w:color w:val="000000"/>
        </w:rPr>
        <w:t xml:space="preserve">P. patens </w:t>
      </w:r>
      <w:r w:rsidRPr="006C37DC">
        <w:rPr>
          <w:rFonts w:ascii="Arial" w:eastAsia="Times New Roman" w:hAnsi="Arial" w:cs="Arial"/>
          <w:bCs/>
          <w:color w:val="000000"/>
        </w:rPr>
        <w:t>it was hypothesised that ERECTA</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family orthologues might also be involved during stomatal development and patterning. In </w:t>
      </w:r>
      <w:r w:rsidRPr="006C37DC">
        <w:rPr>
          <w:rFonts w:ascii="Arial" w:eastAsia="Times New Roman" w:hAnsi="Arial" w:cs="Arial"/>
          <w:bCs/>
          <w:i/>
          <w:color w:val="000000"/>
        </w:rPr>
        <w:t xml:space="preserve">P. patens </w:t>
      </w:r>
      <w:r w:rsidRPr="006C37DC">
        <w:rPr>
          <w:rFonts w:ascii="Arial" w:eastAsia="Times New Roman" w:hAnsi="Arial" w:cs="Arial"/>
          <w:bCs/>
          <w:color w:val="000000"/>
        </w:rPr>
        <w:t xml:space="preserve">there are 16 putative gene orthologues of Arabidopsis ERf members, with 6 that cluster in an ERf clade along with representatives from other species  </w:t>
      </w:r>
      <w:r w:rsidRPr="006C37DC">
        <w:rPr>
          <w:rFonts w:ascii="Arial" w:eastAsia="Times New Roman" w:hAnsi="Arial" w:cs="Arial"/>
          <w:bCs/>
          <w:color w:val="000000"/>
        </w:rPr>
        <w:fldChar w:fldCharType="begin">
          <w:fldData xml:space="preserve">PEVuZE5vdGU+PENpdGU+PEF1dGhvcj5WaWxsYWdhcmNpYTwvQXV0aG9yPjxZZWFyPjIwMTI8L1ll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</w:fldData>
        </w:fldChar>
      </w:r>
      <w:r w:rsidR="00DA38AC">
        <w:rPr>
          <w:rFonts w:ascii="Arial" w:eastAsia="Times New Roman" w:hAnsi="Arial" w:cs="Arial"/>
          <w:bCs/>
          <w:color w:val="000000"/>
        </w:rPr>
        <w:instrText xml:space="preserve"> ADDIN EN.CITE </w:instrText>
      </w:r>
      <w:r w:rsidR="00DA38AC">
        <w:rPr>
          <w:rFonts w:ascii="Arial" w:eastAsia="Times New Roman" w:hAnsi="Arial" w:cs="Arial"/>
          <w:bCs/>
          <w:color w:val="000000"/>
        </w:rPr>
        <w:fldChar w:fldCharType="begin">
          <w:fldData xml:space="preserve">PEVuZE5vdGU+PENpdGU+PEF1dGhvcj5WaWxsYWdhcmNpYTwvQXV0aG9yPjxZZWFyPjIwMTI8L1ll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</w:fldData>
        </w:fldChar>
      </w:r>
      <w:r w:rsidR="00DA38AC">
        <w:rPr>
          <w:rFonts w:ascii="Arial" w:eastAsia="Times New Roman" w:hAnsi="Arial" w:cs="Arial"/>
          <w:bCs/>
          <w:color w:val="000000"/>
        </w:rPr>
        <w:instrText xml:space="preserve"> ADDIN EN.CITE.DATA </w:instrText>
      </w:r>
      <w:r w:rsidR="00DA38AC">
        <w:rPr>
          <w:rFonts w:ascii="Arial" w:eastAsia="Times New Roman" w:hAnsi="Arial" w:cs="Arial"/>
          <w:bCs/>
          <w:color w:val="000000"/>
        </w:rPr>
      </w:r>
      <w:r w:rsidR="00DA38A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DA38AC">
        <w:rPr>
          <w:rFonts w:ascii="Arial" w:eastAsia="Times New Roman" w:hAnsi="Arial" w:cs="Arial"/>
          <w:bCs/>
          <w:noProof/>
          <w:color w:val="000000"/>
        </w:rPr>
        <w:t>(Caine et al., 2016; Villagarcia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t>
      </w:r>
      <w:r w:rsidRPr="006C37DC">
        <w:rPr>
          <w:rFonts w:ascii="Arial" w:eastAsia="Times New Roman" w:hAnsi="Arial" w:cs="Arial"/>
          <w:b/>
          <w:bCs/>
          <w:color w:val="000000"/>
        </w:rPr>
        <w:t xml:space="preserve">Fig. 18a </w:t>
      </w:r>
      <w:r w:rsidRPr="006C37DC">
        <w:rPr>
          <w:rFonts w:ascii="Arial" w:eastAsia="Times New Roman" w:hAnsi="Arial" w:cs="Arial"/>
          <w:bCs/>
          <w:color w:val="000000"/>
        </w:rPr>
        <w:t xml:space="preserve">and </w:t>
      </w:r>
      <w:r w:rsidRPr="006C37DC">
        <w:rPr>
          <w:rFonts w:ascii="Arial" w:eastAsia="Times New Roman" w:hAnsi="Arial" w:cs="Arial"/>
          <w:b/>
          <w:bCs/>
          <w:color w:val="000000"/>
        </w:rPr>
        <w:t>appendix 2</w:t>
      </w:r>
      <w:r w:rsidRPr="006C37DC">
        <w:rPr>
          <w:rFonts w:ascii="Arial" w:eastAsia="Times New Roman" w:hAnsi="Arial" w:cs="Arial"/>
          <w:bCs/>
          <w:color w:val="000000"/>
        </w:rPr>
        <w:t xml:space="preserve">). Owing to the large gene family size which encompasses genes that function in other non-ERf processes, only the ERf clade of selected species is presented with some other known family members presented as outliers (see </w:t>
      </w:r>
      <w:r w:rsidRPr="006C37DC">
        <w:rPr>
          <w:rFonts w:ascii="Arial" w:eastAsia="Times New Roman" w:hAnsi="Arial" w:cs="Arial"/>
          <w:b/>
          <w:bCs/>
          <w:color w:val="000000"/>
        </w:rPr>
        <w:t>appendix 2</w:t>
      </w:r>
      <w:r w:rsidRPr="006C37DC">
        <w:rPr>
          <w:rFonts w:ascii="Arial" w:eastAsia="Times New Roman" w:hAnsi="Arial" w:cs="Arial"/>
          <w:bCs/>
          <w:color w:val="000000"/>
        </w:rPr>
        <w:t xml:space="preserve"> for a detailed study). The family as a whole appears to have been important for plant development even prior to the transition to land as gene family members are also found in algal relatives such as </w:t>
      </w:r>
      <w:r w:rsidRPr="006C37DC">
        <w:rPr>
          <w:rFonts w:ascii="Arial" w:eastAsia="Times New Roman" w:hAnsi="Arial" w:cs="Arial"/>
          <w:bCs/>
          <w:i/>
          <w:color w:val="000000"/>
        </w:rPr>
        <w:t>Chlamydomonas reinhardtii</w:t>
      </w:r>
      <w:r w:rsidRPr="006C37DC">
        <w:rPr>
          <w:rFonts w:ascii="Arial" w:eastAsia="Times New Roman" w:hAnsi="Arial" w:cs="Arial"/>
          <w:bCs/>
          <w:color w:val="000000"/>
        </w:rPr>
        <w:t xml:space="preserve"> (</w:t>
      </w:r>
      <w:r w:rsidRPr="006C37DC">
        <w:rPr>
          <w:rFonts w:ascii="Arial" w:eastAsia="Times New Roman" w:hAnsi="Arial" w:cs="Arial"/>
          <w:b/>
          <w:bCs/>
          <w:color w:val="000000"/>
        </w:rPr>
        <w:t>Fig. 18a, appendix 2</w:t>
      </w:r>
      <w:r w:rsidRPr="006C37DC">
        <w:rPr>
          <w:rFonts w:ascii="Arial" w:eastAsia="Times New Roman" w:hAnsi="Arial" w:cs="Arial"/>
          <w:bCs/>
          <w:color w:val="000000"/>
        </w:rPr>
        <w:t xml:space="preserve">), which implies that the ancestral function of genes in this family predates the evolution of stomata. </w:t>
      </w:r>
    </w:p>
    <w:p w14:paraId="0631A7D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There was not sufficient time in this project to isolate the functions of all 6 </w:t>
      </w:r>
      <w:r w:rsidRPr="006C37DC">
        <w:rPr>
          <w:rFonts w:ascii="Arial" w:eastAsia="Times New Roman" w:hAnsi="Arial" w:cs="Arial"/>
          <w:bCs/>
          <w:i/>
          <w:color w:val="000000"/>
        </w:rPr>
        <w:t xml:space="preserve">PpERECTA </w:t>
      </w:r>
      <w:r w:rsidRPr="006C37DC">
        <w:rPr>
          <w:rFonts w:ascii="Arial" w:eastAsia="Times New Roman" w:hAnsi="Arial" w:cs="Arial"/>
          <w:bCs/>
          <w:color w:val="000000"/>
        </w:rPr>
        <w:t xml:space="preserve">genes which probably act redundantly as in Arabidopsis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&lt;EndNote&gt;&lt;Cite&gt;&lt;Author&gt;Shpak&lt;/Author&gt;&lt;Year&gt;2005&lt;/Year&gt;&lt;IDText&gt;Stomatal patterning and differentiation by synergistic interactions of receptor kinases&lt;/IDText&gt;&lt;DisplayText&gt;(Shpak et al., 2005)&lt;/DisplayText&gt;&lt;record&gt;&lt;dates&gt;&lt;pub-dates&gt;&lt;date&gt;Jul&lt;/date&gt;&lt;/pub-dates&gt;&lt;year&gt;2005&lt;/year&gt;&lt;/dates&gt;&lt;keywords&gt;&lt;keyword&gt;FLOWER DEVELOPMENT&lt;/keyword&gt;&lt;keyword&gt;ARABIDOPSIS&lt;/keyword&gt;&lt;keyword&gt;MOUTHS&lt;/keyword&gt;&lt;keyword&gt;ORGAN&lt;/keyword&gt;&lt;keyword&gt;TOO&lt;/keyword&gt;&lt;/keywords&gt;&lt;urls&gt;&lt;related-urls&gt;&lt;url&gt;&amp;lt;Go to ISI&amp;gt;://WOS:000230449800042&lt;/url&gt;&lt;/related-urls&gt;&lt;/urls&gt;&lt;isbn&gt;0036-8075&lt;/isbn&gt;&lt;work-type&gt;Article&lt;/work-type&gt;&lt;titles&gt;&lt;title&gt;Stomatal patterning and differentiation by synergistic interactions of receptor kinases&lt;/title&gt;&lt;secondary-title&gt;Science&lt;/secondary-title&gt;&lt;alt-title&gt;Science&lt;/alt-title&gt;&lt;/titles&gt;&lt;pages&gt;290-293&lt;/pages&gt;&lt;number&gt;5732&lt;/number&gt;&lt;contributors&gt;&lt;authors&gt;&lt;author&gt;Shpak, E. D.&lt;/author&gt;&lt;author&gt;McAbee, J. M.&lt;/author&gt;&lt;author&gt;Pillitteri, L. J.&lt;/author&gt;&lt;author&gt;Torii, K. U.&lt;/author&gt;&lt;/authors&gt;&lt;/contributors&gt;&lt;language&gt;English&lt;/language&gt;&lt;added-date format="utc"&gt;1351507806&lt;/added-date&gt;&lt;ref-type name="Journal Article"&gt;17&lt;/ref-type&gt;&lt;auth-address&gt;Univ Washington, Dept Biol, Seattle, WA 98195 USA. Japan Sci &amp;amp; Technol Agcy, Core Res Evolut Sci &amp;amp; Technol, Saitama 3320012, Japan.&amp;#xD;Torii, KU (reprint author), Univ Washington, Dept Biol, Seattle, WA 98195 USA.&amp;#xD;ktorii@u.washington.edu&lt;/auth-address&gt;&lt;rec-number&gt;14&lt;/rec-number&gt;&lt;last-updated-date format="utc"&gt;1351507806&lt;/last-updated-date&gt;&lt;accession-num&gt;WOS:000230449800042&lt;/accession-num&gt;&lt;electronic-resource-num&gt;10.1126/science.1109710&lt;/electronic-resource-num&gt;&lt;volume&gt;309&lt;/volume&gt;&lt;/record&gt;&lt;/Cite&gt;&lt;/EndNote&gt;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(Shpak et al., 2005)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Therefore, it was decided that a single </w:t>
      </w:r>
      <w:r w:rsidRPr="006C37DC">
        <w:rPr>
          <w:rFonts w:ascii="Arial" w:eastAsia="Times New Roman" w:hAnsi="Arial" w:cs="Arial"/>
          <w:bCs/>
          <w:i/>
          <w:color w:val="000000"/>
        </w:rPr>
        <w:t xml:space="preserve">PpERECTA </w:t>
      </w:r>
      <w:r w:rsidRPr="006C37DC">
        <w:rPr>
          <w:rFonts w:ascii="Arial" w:eastAsia="Times New Roman" w:hAnsi="Arial" w:cs="Arial"/>
          <w:bCs/>
          <w:color w:val="000000"/>
        </w:rPr>
        <w:t xml:space="preserve">gene would be targeted based on upregulation in the sporophyte where stomatal development and patterning occur. Indeed, such a gene, </w:t>
      </w:r>
      <w:r w:rsidRPr="006C37DC">
        <w:rPr>
          <w:rFonts w:ascii="Arial" w:eastAsia="Times New Roman" w:hAnsi="Arial" w:cs="Arial"/>
          <w:bCs/>
          <w:i/>
          <w:color w:val="000000"/>
        </w:rPr>
        <w:t>PpERL2b</w:t>
      </w:r>
      <w:r w:rsidRPr="006C37DC">
        <w:rPr>
          <w:rFonts w:ascii="Arial" w:eastAsia="Times New Roman" w:hAnsi="Arial" w:cs="Arial"/>
          <w:bCs/>
          <w:color w:val="000000"/>
        </w:rPr>
        <w:t xml:space="preserve"> which we have renamed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appears to be expressed preferentially in </w:t>
      </w:r>
      <w:r w:rsidRPr="006C37DC">
        <w:rPr>
          <w:rFonts w:ascii="Arial" w:eastAsia="Times New Roman" w:hAnsi="Arial" w:cs="Arial"/>
          <w:bCs/>
          <w:color w:val="000000"/>
        </w:rPr>
        <w:lastRenderedPageBreak/>
        <w:t xml:space="preserve">the developing sporophyte relative to protonemal tissue </w:t>
      </w:r>
      <w:r w:rsidRPr="006C37DC">
        <w:rPr>
          <w:rFonts w:ascii="Arial" w:eastAsia="Times New Roman" w:hAnsi="Arial" w:cs="Arial"/>
          <w:bCs/>
          <w:color w:val="000000"/>
        </w:rPr>
        <w:fldChar w:fldCharType="begin">
          <w:fldData xml:space="preserve">PEVuZE5vdGU+PENpdGU+PEF1dGhvcj5PJmFwb3M7RG9ub2dodWU8L0F1dGhvcj48WWVhcj4yMDEz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PEVuZE5vdGU+PENpdGU+PEF1dGhvcj5PJmFwb3M7RG9ub2dodWU8L0F1dGhvcj48WWVhcj4yMDEz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(O'Donoghue et al., 2013; Villagarcia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and thus represents a good candidate for study. To verify that this gene was upregulated during sporophyte development qPCR was performed to compare expression of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in protonemal tissue relative to sporophyte tissue (</w:t>
      </w:r>
      <w:r w:rsidRPr="006C37DC">
        <w:rPr>
          <w:rFonts w:ascii="Arial" w:eastAsia="Times New Roman" w:hAnsi="Arial" w:cs="Arial"/>
          <w:b/>
          <w:bCs/>
          <w:color w:val="000000"/>
        </w:rPr>
        <w:t>Fig. 18b</w:t>
      </w:r>
      <w:r w:rsidRPr="006C37DC">
        <w:rPr>
          <w:rFonts w:ascii="Arial" w:eastAsia="Times New Roman" w:hAnsi="Arial" w:cs="Arial"/>
          <w:bCs/>
          <w:color w:val="000000"/>
        </w:rPr>
        <w:t xml:space="preserve">). Large upregulation in sporophyte tissue samples was found relative to protonema which confirmed the microarray based findings of O’Donoghue and colleagues. It should be noted that all 5 other </w:t>
      </w:r>
      <w:r w:rsidRPr="006C37DC">
        <w:rPr>
          <w:rFonts w:ascii="Arial" w:eastAsia="Times New Roman" w:hAnsi="Arial" w:cs="Arial"/>
          <w:bCs/>
          <w:i/>
          <w:color w:val="000000"/>
        </w:rPr>
        <w:t xml:space="preserve">PpERECTA </w:t>
      </w:r>
      <w:r w:rsidRPr="006C37DC">
        <w:rPr>
          <w:rFonts w:ascii="Arial" w:eastAsia="Times New Roman" w:hAnsi="Arial" w:cs="Arial"/>
          <w:bCs/>
          <w:color w:val="000000"/>
        </w:rPr>
        <w:t xml:space="preserve">genes are also expressed in the sporophyte but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was the only that was suggested to be upregulated relative to protonema </w:t>
      </w:r>
      <w:r w:rsidRPr="006C37DC">
        <w:rPr>
          <w:rFonts w:ascii="Arial" w:eastAsia="Times New Roman" w:hAnsi="Arial" w:cs="Arial"/>
          <w:bCs/>
          <w:color w:val="000000"/>
        </w:rPr>
        <w:fldChar w:fldCharType="begin">
          <w:fldData xml:space="preserve">PEVuZE5vdGU+PENpdGU+PEF1dGhvcj5PJmFwb3M7RG9ub2dodWU8L0F1dGhvcj48WWVhcj4yMDEz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PEVuZE5vdGU+PENpdGU+PEF1dGhvcj5PJmFwb3M7RG9ub2dodWU8L0F1dGhvcj48WWVhcj4yMDEz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(O'Donoghue et al.,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t>
      </w:r>
    </w:p>
    <w:p w14:paraId="3A01B662" w14:textId="77777777" w:rsidR="006C37DC" w:rsidRPr="006C37DC"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
          <w:bCs/>
          <w:noProof/>
          <w:color w:val="000000"/>
          <w:lang w:eastAsia="ja-JP"/>
        </w:rPr>
        <w:drawing>
          <wp:inline distT="0" distB="0" distL="0" distR="0" wp14:anchorId="4FB0CFD2" wp14:editId="087A7226">
            <wp:extent cx="5638800" cy="5003936"/>
            <wp:effectExtent l="0" t="0" r="0" b="635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pdated ER based on appendix.png"/>
                    <pic:cNvPicPr/>
                  </pic:nvPicPr>
                  <pic:blipFill>
                    <a:blip r:embed="rId67">
                      <a:extLst>
                        <a:ext uri="{28A0092B-C50C-407E-A947-70E740481C1C}">
                          <a14:useLocalDpi xmlns:a14="http://schemas.microsoft.com/office/drawing/2010/main" val="0"/>
                        </a:ext>
                      </a:extLst>
                    </a:blip>
                    <a:stretch>
                      <a:fillRect/>
                    </a:stretch>
                  </pic:blipFill>
                  <pic:spPr>
                    <a:xfrm>
                      <a:off x="0" y="0"/>
                      <a:ext cx="5643019" cy="5007680"/>
                    </a:xfrm>
                    <a:prstGeom prst="rect">
                      <a:avLst/>
                    </a:prstGeom>
                  </pic:spPr>
                </pic:pic>
              </a:graphicData>
            </a:graphic>
          </wp:inline>
        </w:drawing>
      </w:r>
      <w:r w:rsidRPr="006C37DC">
        <w:rPr>
          <w:rFonts w:ascii="Arial" w:eastAsia="Times New Roman" w:hAnsi="Arial" w:cs="Arial"/>
          <w:b/>
          <w:bCs/>
          <w:color w:val="000000"/>
        </w:rPr>
        <w:t xml:space="preserve">Figure 18. Phylogenetic relationship of </w:t>
      </w:r>
      <w:r w:rsidRPr="006C37DC">
        <w:rPr>
          <w:rFonts w:ascii="Arial" w:eastAsia="Times New Roman" w:hAnsi="Arial" w:cs="Arial"/>
          <w:b/>
          <w:bCs/>
          <w:i/>
          <w:color w:val="000000"/>
        </w:rPr>
        <w:t xml:space="preserve">Erecta </w:t>
      </w:r>
      <w:r w:rsidRPr="006C37DC">
        <w:rPr>
          <w:rFonts w:ascii="Arial" w:eastAsia="Times New Roman" w:hAnsi="Arial" w:cs="Arial"/>
          <w:b/>
          <w:bCs/>
          <w:color w:val="000000"/>
        </w:rPr>
        <w:t>family (</w:t>
      </w:r>
      <w:r w:rsidRPr="006C37DC">
        <w:rPr>
          <w:rFonts w:ascii="Arial" w:eastAsia="Times New Roman" w:hAnsi="Arial" w:cs="Arial"/>
          <w:b/>
          <w:bCs/>
          <w:i/>
          <w:color w:val="000000"/>
        </w:rPr>
        <w:t>ERf</w:t>
      </w:r>
      <w:r w:rsidRPr="006C37DC">
        <w:rPr>
          <w:rFonts w:ascii="Arial" w:eastAsia="Times New Roman" w:hAnsi="Arial" w:cs="Arial"/>
          <w:b/>
          <w:bCs/>
          <w:color w:val="000000"/>
        </w:rPr>
        <w:t xml:space="preserve">) genes from selected plants and expression </w:t>
      </w:r>
      <w:r w:rsidRPr="006C37DC">
        <w:rPr>
          <w:rFonts w:ascii="Arial" w:eastAsia="Times New Roman" w:hAnsi="Arial" w:cs="Arial"/>
          <w:b/>
          <w:bCs/>
          <w:i/>
          <w:color w:val="000000"/>
        </w:rPr>
        <w:t xml:space="preserve">PpERECTA1 </w:t>
      </w:r>
      <w:r w:rsidRPr="006C37DC">
        <w:rPr>
          <w:rFonts w:ascii="Arial" w:eastAsia="Times New Roman" w:hAnsi="Arial" w:cs="Arial"/>
          <w:b/>
          <w:bCs/>
          <w:color w:val="000000"/>
        </w:rPr>
        <w:t xml:space="preserve">in </w:t>
      </w:r>
      <w:r w:rsidRPr="006C37DC">
        <w:rPr>
          <w:rFonts w:ascii="Arial" w:eastAsia="Times New Roman" w:hAnsi="Arial" w:cs="Arial"/>
          <w:b/>
          <w:bCs/>
          <w:i/>
          <w:color w:val="000000"/>
        </w:rPr>
        <w:t>P. patens</w:t>
      </w:r>
      <w:r w:rsidRPr="006C37DC">
        <w:rPr>
          <w:rFonts w:ascii="Arial" w:eastAsia="Times New Roman" w:hAnsi="Arial" w:cs="Arial"/>
          <w:b/>
          <w:bCs/>
          <w:color w:val="000000"/>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xml:space="preserve">) Amino acid sequences for all </w:t>
      </w:r>
      <w:r w:rsidRPr="006C37DC">
        <w:rPr>
          <w:rFonts w:ascii="Arial" w:eastAsia="Times New Roman" w:hAnsi="Arial" w:cs="Arial"/>
          <w:bCs/>
          <w:i/>
          <w:color w:val="000000"/>
        </w:rPr>
        <w:t>ERf</w:t>
      </w:r>
      <w:r w:rsidRPr="006C37DC">
        <w:rPr>
          <w:rFonts w:ascii="Arial" w:eastAsia="Times New Roman" w:hAnsi="Arial" w:cs="Arial"/>
          <w:bCs/>
          <w:color w:val="000000"/>
        </w:rPr>
        <w:t xml:space="preserve"> family members were obtained by via gene family predictions of genes related to </w:t>
      </w:r>
      <w:r w:rsidRPr="006C37DC">
        <w:rPr>
          <w:rFonts w:ascii="Arial" w:eastAsia="Times New Roman" w:hAnsi="Arial" w:cs="Arial"/>
          <w:bCs/>
          <w:i/>
          <w:color w:val="000000"/>
        </w:rPr>
        <w:t xml:space="preserve">AtERECTA </w:t>
      </w:r>
      <w:r w:rsidRPr="006C37DC">
        <w:rPr>
          <w:rFonts w:ascii="Arial" w:eastAsia="Times New Roman" w:hAnsi="Arial" w:cs="Arial"/>
          <w:bCs/>
          <w:color w:val="000000"/>
        </w:rPr>
        <w:t xml:space="preserve">on Phytozome V11. Sequences were aligned using the MUSCLE alignment algorithm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&lt;EndNote&gt;&lt;Cite&gt;&lt;Author&gt;Edgar&lt;/Author&gt;&lt;Year&gt;2004&lt;/Year&gt;&lt;IDText&gt;MUSCLE: a multiple sequence alignment method with reduced time and space complexity&lt;/IDText&gt;&lt;DisplayText&gt;(Edgar, 2004)&lt;/DisplayText&gt;&lt;record&gt;&lt;dates&gt;&lt;pub-dates&gt;&lt;date&gt;Aug 19&lt;/date&gt;&lt;/pub-dates&gt;&lt;year&gt;2004&lt;/year&gt;&lt;/dates&gt;&lt;keywords&gt;&lt;keyword&gt;Cluster Analysis&lt;/keyword&gt;&lt;keyword&gt;Computational Biology/methods/statistics &amp;amp; numerical data/trends&lt;/keyword&gt;&lt;keyword&gt;Phylogeny&lt;/keyword&gt;&lt;keyword&gt;Sequence Alignment/*methods/statistics &amp;amp; numerical data/*trends&lt;/keyword&gt;&lt;keyword&gt;*Software&lt;/keyword&gt;&lt;keyword&gt;Software Design&lt;/keyword&gt;&lt;keyword&gt;Time Factors&lt;/keyword&gt;&lt;/keywords&gt;&lt;isbn&gt;1471-2105&lt;/isbn&gt;&lt;custom2&gt;PMC517706&lt;/custom2&gt;&lt;titles&gt;&lt;title&gt;MUSCLE: a multiple sequence alignment method with reduced time and space complexity&lt;/title&gt;&lt;secondary-title&gt;BMC Bioinformatics&lt;/secondary-title&gt;&lt;alt-title&gt;BMC bioinformatics&lt;/alt-title&gt;&lt;/titles&gt;&lt;pages&gt;113&lt;/pages&gt;&lt;contributors&gt;&lt;authors&gt;&lt;author&gt;Edgar, R. C.&lt;/author&gt;&lt;/authors&gt;&lt;/contributors&gt;&lt;edition&gt;2004/08/21&lt;/edition&gt;&lt;language&gt;eng&lt;/language&gt;&lt;added-date format="utc"&gt;1452355510&lt;/added-date&gt;&lt;ref-type name="Journal Article"&gt;17&lt;/ref-type&gt;&lt;auth-address&gt;Department of Plant and Microbial Biology, 461 Koshland Hall, University of California, Berkeley, CA 94720-3102, USA. bob@drive5.com&lt;/auth-address&gt;&lt;remote-database-provider&gt;NLM&lt;/remote-database-provider&gt;&lt;rec-number&gt;420&lt;/rec-number&gt;&lt;last-updated-date format="utc"&gt;1452355510&lt;/last-updated-date&gt;&lt;accession-num&gt;15318951&lt;/accession-num&gt;&lt;electronic-resource-num&gt;10.1186/1471-2105-5-113&lt;/electronic-resource-num&gt;&lt;volume&gt;5&lt;/volume&gt;&lt;/record&gt;&lt;/Cite&gt;&lt;/EndNote&gt;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(Edgar, 2004)</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in MEGA6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&lt;EndNote&gt;&lt;Cite&gt;&lt;Author&gt;Tamura&lt;/Author&gt;&lt;Year&gt;2013&lt;/Year&gt;&lt;IDText&gt;MEGA6: Molecular Evolutionary Genetics Analysis version 6.0&lt;/IDText&gt;&lt;DisplayText&gt;(Tamura et al., 2013)&lt;/DisplayText&gt;&lt;record&gt;&lt;dates&gt;&lt;pub-dates&gt;&lt;date&gt;Dec&lt;/date&gt;&lt;/pub-dates&gt;&lt;year&gt;2013&lt;/year&gt;&lt;/dates&gt;&lt;keywords&gt;&lt;keyword&gt;Algorithms&lt;/keyword&gt;&lt;keyword&gt;Databases, Genetic&lt;/keyword&gt;&lt;keyword&gt;*Evolution, Molecular&lt;/keyword&gt;&lt;keyword&gt;Internet&lt;/keyword&gt;&lt;keyword&gt;Phylogeny&lt;/keyword&gt;&lt;keyword&gt;*Software&lt;/keyword&gt;&lt;keyword&gt;*User-Computer Interface&lt;/keyword&gt;&lt;keyword&gt;phylogeny&lt;/keyword&gt;&lt;keyword&gt;relaxed clocks&lt;/keyword&gt;&lt;keyword&gt;software&lt;/keyword&gt;&lt;/keywords&gt;&lt;isbn&gt;0737-4038&lt;/isbn&gt;&lt;custom2&gt;PMC3840312&lt;/custom2&gt;&lt;titles&gt;&lt;title&gt;MEGA6: Molecular Evolutionary Genetics Analysis version 6.0&lt;/title&gt;&lt;secondary-title&gt;Mol Biol Evol&lt;/secondary-title&gt;&lt;alt-title&gt;Molecular biology and evolution&lt;/alt-title&gt;&lt;/titles&gt;&lt;pages&gt;2725-9&lt;/pages&gt;&lt;number&gt;12&lt;/number&gt;&lt;contributors&gt;&lt;authors&gt;&lt;author&gt;Tamura, K.&lt;/author&gt;&lt;author&gt;Stecher, G.&lt;/author&gt;&lt;author&gt;Peterson, D.&lt;/author&gt;&lt;author&gt;Filipski, A.&lt;/author&gt;&lt;author&gt;Kumar, S.&lt;/author&gt;&lt;/authors&gt;&lt;/contributors&gt;&lt;edition&gt;2013/10/18&lt;/edition&gt;&lt;language&gt;eng&lt;/language&gt;&lt;added-date format="utc"&gt;1453907986&lt;/added-date&gt;&lt;ref-type name="Journal Article"&gt;17&lt;/ref-type&gt;&lt;auth-address&gt;Research Center for Genomics and Bioinformatics, Tokyo Metropolitan University, Hachioji, Tokyo, Japan.&lt;/auth-address&gt;&lt;remote-database-provider&gt;NLM&lt;/remote-database-provider&gt;&lt;rec-number&gt;455&lt;/rec-number&gt;&lt;last-updated-date format="utc"&gt;1453907986&lt;/last-updated-date&gt;&lt;accession-num&gt;24132122&lt;/accession-num&gt;&lt;electronic-resource-num&gt;10.1093/molbev/mst197&lt;/electronic-resource-num&gt;&lt;volume&gt;30&lt;/volume&gt;&lt;/record&gt;&lt;/Cite&gt;&lt;/EndNote&gt;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(Tamura et al.,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 full phylogenetic tree was first produced using the Neighbour-joining method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&lt;EndNote&gt;&lt;Cite&gt;&lt;Author&gt;Saitou&lt;/Author&gt;&lt;Year&gt;1987&lt;/Year&gt;&lt;IDText&gt;The neighbor-joining method: a new method for reconstructing phylogenetic trees&lt;/IDText&gt;&lt;DisplayText&gt;(Saitou and Nei, 1987)&lt;/DisplayText&gt;&lt;record&gt;&lt;dates&gt;&lt;pub-dates&gt;&lt;date&gt;Jul&lt;/date&gt;&lt;/pub-dates&gt;&lt;year&gt;1987&lt;/year&gt;&lt;/dates&gt;&lt;keywords&gt;&lt;keyword&gt;Animals&lt;/keyword&gt;&lt;keyword&gt;Biological Evolution&lt;/keyword&gt;&lt;keyword&gt;Biometry&lt;/keyword&gt;&lt;keyword&gt;*Models, Genetic&lt;/keyword&gt;&lt;keyword&gt;*Phylogeny&lt;/keyword&gt;&lt;keyword&gt;Ranidae/*genetics&lt;/keyword&gt;&lt;/keywords&gt;&lt;isbn&gt;0737-4038 (Print)&amp;#xD;0737-4038&lt;/isbn&gt;&lt;titles&gt;&lt;title&gt;The neighbor-joining method: a new method for reconstructing phylogenetic trees&lt;/title&gt;&lt;secondary-title&gt;Mol Biol Evol&lt;/secondary-title&gt;&lt;alt-title&gt;Molecular biology and evolution&lt;/alt-title&gt;&lt;/titles&gt;&lt;pages&gt;406-25&lt;/pages&gt;&lt;number&gt;4&lt;/number&gt;&lt;contributors&gt;&lt;authors&gt;&lt;author&gt;Saitou, N.&lt;/author&gt;&lt;author&gt;Nei, M.&lt;/author&gt;&lt;/authors&gt;&lt;/contributors&gt;&lt;edition&gt;1987/07/01&lt;/edition&gt;&lt;language&gt;eng&lt;/language&gt;&lt;added-date format="utc"&gt;1453907563&lt;/added-date&gt;&lt;ref-type name="Journal Article"&gt;17&lt;/ref-type&gt;&lt;auth-address&gt;Center for Demographic and Population Genetics, University of Texas Health Science Center, Houston 77225.&lt;/auth-address&gt;&lt;remote-database-provider&gt;NLM&lt;/remote-database-provider&gt;&lt;rec-number&gt;451&lt;/rec-number&gt;&lt;last-updated-date format="utc"&gt;1453907563&lt;/last-updated-date&gt;&lt;accession-num&gt;3447015&lt;/accession-num&gt;&lt;volume&gt;4&lt;/volume&gt;&lt;/record&gt;&lt;/Cite&gt;&lt;/EndNote&gt;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(Saitou and Nei, 1987)</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(See </w:t>
      </w:r>
      <w:r w:rsidRPr="006C37DC">
        <w:rPr>
          <w:rFonts w:ascii="Arial" w:eastAsia="Times New Roman" w:hAnsi="Arial" w:cs="Arial"/>
          <w:b/>
          <w:bCs/>
          <w:color w:val="000000"/>
        </w:rPr>
        <w:t>appendix 2</w:t>
      </w:r>
      <w:r w:rsidRPr="006C37DC">
        <w:rPr>
          <w:rFonts w:ascii="Arial" w:eastAsia="Times New Roman" w:hAnsi="Arial" w:cs="Arial"/>
          <w:bCs/>
          <w:color w:val="000000"/>
        </w:rPr>
        <w:t xml:space="preserve">). From the full tree, the </w:t>
      </w:r>
      <w:r w:rsidRPr="006C37DC">
        <w:rPr>
          <w:rFonts w:ascii="Arial" w:eastAsia="Times New Roman" w:hAnsi="Arial" w:cs="Arial"/>
          <w:bCs/>
          <w:color w:val="000000"/>
        </w:rPr>
        <w:lastRenderedPageBreak/>
        <w:t xml:space="preserve">sequences of species that cluster in an ERf clade were extracted together with AtCLAVATA, AtBAM1, AtBAM2 and AtBAM3 and the 4 identified algal gene family representatives belonging to </w:t>
      </w:r>
      <w:r w:rsidRPr="006C37DC">
        <w:rPr>
          <w:rFonts w:ascii="Arial" w:eastAsia="Times New Roman" w:hAnsi="Arial" w:cs="Arial"/>
          <w:bCs/>
          <w:i/>
          <w:color w:val="000000"/>
        </w:rPr>
        <w:t xml:space="preserve">Chlamydomonas reinhardtii </w:t>
      </w:r>
      <w:r w:rsidRPr="006C37DC">
        <w:rPr>
          <w:rFonts w:ascii="Arial" w:eastAsia="Times New Roman" w:hAnsi="Arial" w:cs="Arial"/>
          <w:bCs/>
          <w:color w:val="000000"/>
        </w:rPr>
        <w:t xml:space="preserve">termed CrRK1 to CrRK4. The isolated sequences were then re-aligned using MUSCLE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&lt;EndNote&gt;&lt;Cite&gt;&lt;Author&gt;Edgar&lt;/Author&gt;&lt;Year&gt;2004&lt;/Year&gt;&lt;IDText&gt;MUSCLE: a multiple sequence alignment method with reduced time and space complexity&lt;/IDText&gt;&lt;DisplayText&gt;(Edgar, 2004)&lt;/DisplayText&gt;&lt;record&gt;&lt;dates&gt;&lt;pub-dates&gt;&lt;date&gt;Aug 19&lt;/date&gt;&lt;/pub-dates&gt;&lt;year&gt;2004&lt;/year&gt;&lt;/dates&gt;&lt;keywords&gt;&lt;keyword&gt;Cluster Analysis&lt;/keyword&gt;&lt;keyword&gt;Computational Biology/methods/statistics &amp;amp; numerical data/trends&lt;/keyword&gt;&lt;keyword&gt;Phylogeny&lt;/keyword&gt;&lt;keyword&gt;Sequence Alignment/*methods/statistics &amp;amp; numerical data/*trends&lt;/keyword&gt;&lt;keyword&gt;*Software&lt;/keyword&gt;&lt;keyword&gt;Software Design&lt;/keyword&gt;&lt;keyword&gt;Time Factors&lt;/keyword&gt;&lt;/keywords&gt;&lt;isbn&gt;1471-2105&lt;/isbn&gt;&lt;custom2&gt;PMC517706&lt;/custom2&gt;&lt;titles&gt;&lt;title&gt;MUSCLE: a multiple sequence alignment method with reduced time and space complexity&lt;/title&gt;&lt;secondary-title&gt;BMC Bioinformatics&lt;/secondary-title&gt;&lt;alt-title&gt;BMC bioinformatics&lt;/alt-title&gt;&lt;/titles&gt;&lt;pages&gt;113&lt;/pages&gt;&lt;contributors&gt;&lt;authors&gt;&lt;author&gt;Edgar, R. C.&lt;/author&gt;&lt;/authors&gt;&lt;/contributors&gt;&lt;edition&gt;2004/08/21&lt;/edition&gt;&lt;language&gt;eng&lt;/language&gt;&lt;added-date format="utc"&gt;1452355510&lt;/added-date&gt;&lt;ref-type name="Journal Article"&gt;17&lt;/ref-type&gt;&lt;auth-address&gt;Department of Plant and Microbial Biology, 461 Koshland Hall, University of California, Berkeley, CA 94720-3102, USA. bob@drive5.com&lt;/auth-address&gt;&lt;remote-database-provider&gt;NLM&lt;/remote-database-provider&gt;&lt;rec-number&gt;420&lt;/rec-number&gt;&lt;last-updated-date format="utc"&gt;1452355510&lt;/last-updated-date&gt;&lt;accession-num&gt;15318951&lt;/accession-num&gt;&lt;electronic-resource-num&gt;10.1186/1471-2105-5-113&lt;/electronic-resource-num&gt;&lt;volume&gt;5&lt;/volume&gt;&lt;/record&gt;&lt;/Cite&gt;&lt;/EndNote&gt;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(Edgar, 2004)</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and a subsequent tree which is displayed was produced again using the Neighbour-Joining method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&lt;EndNote&gt;&lt;Cite&gt;&lt;Author&gt;Saitou&lt;/Author&gt;&lt;Year&gt;1987&lt;/Year&gt;&lt;IDText&gt;The neighbor-joining method: a new method for reconstructing phylogenetic trees&lt;/IDText&gt;&lt;DisplayText&gt;(Saitou and Nei, 1987)&lt;/DisplayText&gt;&lt;record&gt;&lt;dates&gt;&lt;pub-dates&gt;&lt;date&gt;Jul&lt;/date&gt;&lt;/pub-dates&gt;&lt;year&gt;1987&lt;/year&gt;&lt;/dates&gt;&lt;keywords&gt;&lt;keyword&gt;Animals&lt;/keyword&gt;&lt;keyword&gt;Biological Evolution&lt;/keyword&gt;&lt;keyword&gt;Biometry&lt;/keyword&gt;&lt;keyword&gt;*Models, Genetic&lt;/keyword&gt;&lt;keyword&gt;*Phylogeny&lt;/keyword&gt;&lt;keyword&gt;Ranidae/*genetics&lt;/keyword&gt;&lt;/keywords&gt;&lt;isbn&gt;0737-4038 (Print)&amp;#xD;0737-4038&lt;/isbn&gt;&lt;titles&gt;&lt;title&gt;The neighbor-joining method: a new method for reconstructing phylogenetic trees&lt;/title&gt;&lt;secondary-title&gt;Mol Biol Evol&lt;/secondary-title&gt;&lt;alt-title&gt;Molecular biology and evolution&lt;/alt-title&gt;&lt;/titles&gt;&lt;pages&gt;406-25&lt;/pages&gt;&lt;number&gt;4&lt;/number&gt;&lt;contributors&gt;&lt;authors&gt;&lt;author&gt;Saitou, N.&lt;/author&gt;&lt;author&gt;Nei, M.&lt;/author&gt;&lt;/authors&gt;&lt;/contributors&gt;&lt;edition&gt;1987/07/01&lt;/edition&gt;&lt;language&gt;eng&lt;/language&gt;&lt;added-date format="utc"&gt;1453907563&lt;/added-date&gt;&lt;ref-type name="Journal Article"&gt;17&lt;/ref-type&gt;&lt;auth-address&gt;Center for Demographic and Population Genetics, University of Texas Health Science Center, Houston 77225.&lt;/auth-address&gt;&lt;remote-database-provider&gt;NLM&lt;/remote-database-provider&gt;&lt;rec-number&gt;451&lt;/rec-number&gt;&lt;last-updated-date format="utc"&gt;1453907563&lt;/last-updated-date&gt;&lt;accession-num&gt;3447015&lt;/accession-num&gt;&lt;volume&gt;4&lt;/volume&gt;&lt;/record&gt;&lt;/Cite&gt;&lt;/EndNote&gt;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(Saitou and Nei, 1987)</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 bootstrap test (1000 replicates) was performed, with percentages generated listed next to branches to illustrate how often associated taxa cluster together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&lt;EndNote&gt;&lt;Cite&gt;&lt;Author&gt;Felsenstein&lt;/Author&gt;&lt;Year&gt;1985&lt;/Year&gt;&lt;IDText&gt;Confidence Limits on Phylogenies: An Approach Using the Bootstrap&lt;/IDText&gt;&lt;DisplayText&gt;(Felsenstein, 1985)&lt;/DisplayText&gt;&lt;record&gt;&lt;urls&gt;&lt;related-urls&gt;&lt;url&gt;http://www.jstor.org/stable/2408678&lt;/url&gt;&lt;/related-urls&gt;&lt;/urls&gt;&lt;isbn&gt;00143820, 15585646&lt;/isbn&gt;&lt;custom1&gt;Full publication date: Jul., 1985&lt;/custom1&gt;&lt;titles&gt;&lt;title&gt;Confidence Limits on Phylogenies: An Approach Using the Bootstrap&lt;/title&gt;&lt;secondary-title&gt;Evolution&lt;/secondary-title&gt;&lt;/titles&gt;&lt;pages&gt;783-791&lt;/pages&gt;&lt;number&gt;4&lt;/number&gt;&lt;contributors&gt;&lt;authors&gt;&lt;author&gt;Felsenstein, Joseph&lt;/author&gt;&lt;/authors&gt;&lt;/contributors&gt;&lt;added-date format="utc"&gt;1453907641&lt;/added-date&gt;&lt;ref-type name="Journal Article"&gt;17&lt;/ref-type&gt;&lt;dates&gt;&lt;year&gt;1985&lt;/year&gt;&lt;/dates&gt;&lt;rec-number&gt;452&lt;/rec-number&gt;&lt;publisher&gt;[Society for the Study of Evolution, Wiley]&lt;/publisher&gt;&lt;last-updated-date format="utc"&gt;1453907641&lt;/last-updated-date&gt;&lt;electronic-resource-num&gt;10.2307/2408678&lt;/electronic-resource-num&gt;&lt;volume&gt;39&lt;/volume&gt;&lt;/record&gt;&lt;/Cite&gt;&lt;/EndNote&gt;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(Felsenstein, 1985)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 Poisson correction method was used to compute evolutionary distances with units equating to the number of amino acid substitutions per site applied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&lt;EndNote&gt;&lt;Cite&gt;&lt;Author&gt;Zuckerkandl&lt;/Author&gt;&lt;Year&gt;1965&lt;/Year&gt;&lt;IDText&gt;Molecules as documents of evolutionary history&lt;/IDText&gt;&lt;DisplayText&gt;(Zuckerkandl and Pauling, 1965)&lt;/DisplayText&gt;&lt;record&gt;&lt;dates&gt;&lt;pub-dates&gt;&lt;date&gt;Mar&lt;/date&gt;&lt;/pub-dates&gt;&lt;year&gt;1965&lt;/year&gt;&lt;/dates&gt;&lt;keywords&gt;&lt;keyword&gt;Amino Acid Sequence&lt;/keyword&gt;&lt;keyword&gt;*Biological Evolution&lt;/keyword&gt;&lt;keyword&gt;*Genes&lt;/keyword&gt;&lt;keyword&gt;*Genetic Code&lt;/keyword&gt;&lt;keyword&gt;*Macromolecular Substances&lt;/keyword&gt;&lt;keyword&gt;Nucleic Acids&lt;/keyword&gt;&lt;keyword&gt;*RNA, Messenger&lt;/keyword&gt;&lt;/keywords&gt;&lt;isbn&gt;0022-5193 (Print)&amp;#xD;0022-5193&lt;/isbn&gt;&lt;titles&gt;&lt;title&gt;Molecules as documents of evolutionary history&lt;/title&gt;&lt;secondary-title&gt;J Theor Biol&lt;/secondary-title&gt;&lt;alt-title&gt;Journal of theoretical biology&lt;/alt-title&gt;&lt;/titles&gt;&lt;pages&gt;357-66&lt;/pages&gt;&lt;number&gt;2&lt;/number&gt;&lt;contributors&gt;&lt;authors&gt;&lt;author&gt;Zuckerkandl, E.&lt;/author&gt;&lt;author&gt;Pauling, L.&lt;/author&gt;&lt;/authors&gt;&lt;/contributors&gt;&lt;edition&gt;1965/03/01&lt;/edition&gt;&lt;language&gt;eng&lt;/language&gt;&lt;added-date format="utc"&gt;1453907838&lt;/added-date&gt;&lt;ref-type name="Journal Article"&gt;17&lt;/ref-type&gt;&lt;remote-database-provider&gt;NLM&lt;/remote-database-provider&gt;&lt;rec-number&gt;454&lt;/rec-number&gt;&lt;last-updated-date format="utc"&gt;1453907838&lt;/last-updated-date&gt;&lt;accession-num&gt;5876245&lt;/accession-num&gt;&lt;volume&gt;8&lt;/volume&gt;&lt;/record&gt;&lt;/Cite&gt;&lt;/EndNote&gt;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(Zuckerkandl and Pauling, 1965)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All positions containing gaps and missing data were eliminated. The abbreviated forms of species prefixes are Cr, </w:t>
      </w:r>
      <w:r w:rsidRPr="006C37DC">
        <w:rPr>
          <w:rFonts w:ascii="Arial" w:eastAsia="Times New Roman" w:hAnsi="Arial" w:cs="Arial"/>
          <w:bCs/>
          <w:i/>
          <w:color w:val="000000"/>
        </w:rPr>
        <w:t>Chlamydomonas reinhardtii</w:t>
      </w:r>
      <w:r w:rsidRPr="006C37DC">
        <w:rPr>
          <w:rFonts w:ascii="Arial" w:eastAsia="Times New Roman" w:hAnsi="Arial" w:cs="Arial"/>
          <w:bCs/>
          <w:color w:val="000000"/>
        </w:rPr>
        <w:t xml:space="preserve">; Sf, </w:t>
      </w:r>
      <w:r w:rsidRPr="006C37DC">
        <w:rPr>
          <w:rFonts w:ascii="Arial" w:eastAsia="Times New Roman" w:hAnsi="Arial" w:cs="Arial"/>
          <w:bCs/>
          <w:i/>
          <w:color w:val="000000"/>
        </w:rPr>
        <w:t>Sphagnum fallax</w:t>
      </w:r>
      <w:r w:rsidRPr="006C37DC">
        <w:rPr>
          <w:rFonts w:ascii="Arial" w:eastAsia="Times New Roman" w:hAnsi="Arial" w:cs="Arial"/>
          <w:bCs/>
          <w:color w:val="000000"/>
        </w:rPr>
        <w:t xml:space="preserve">; Pp, </w:t>
      </w:r>
      <w:r w:rsidRPr="006C37DC">
        <w:rPr>
          <w:rFonts w:ascii="Arial" w:eastAsia="Times New Roman" w:hAnsi="Arial" w:cs="Arial"/>
          <w:bCs/>
          <w:i/>
          <w:color w:val="000000"/>
        </w:rPr>
        <w:t>Physcomitrella patens</w:t>
      </w:r>
      <w:r w:rsidRPr="006C37DC">
        <w:rPr>
          <w:rFonts w:ascii="Arial" w:eastAsia="Times New Roman" w:hAnsi="Arial" w:cs="Arial"/>
          <w:bCs/>
          <w:color w:val="000000"/>
        </w:rPr>
        <w:t xml:space="preserve">; Sm, </w:t>
      </w:r>
      <w:r w:rsidRPr="006C37DC">
        <w:rPr>
          <w:rFonts w:ascii="Arial" w:eastAsia="Times New Roman" w:hAnsi="Arial" w:cs="Arial"/>
          <w:bCs/>
          <w:i/>
          <w:color w:val="000000"/>
        </w:rPr>
        <w:t>Selaginella moellendorffii</w:t>
      </w:r>
      <w:r w:rsidRPr="006C37DC">
        <w:rPr>
          <w:rFonts w:ascii="Arial" w:eastAsia="Times New Roman" w:hAnsi="Arial" w:cs="Arial"/>
          <w:bCs/>
          <w:color w:val="000000"/>
        </w:rPr>
        <w:t xml:space="preserve">, Os, </w:t>
      </w:r>
      <w:r w:rsidRPr="006C37DC">
        <w:rPr>
          <w:rFonts w:ascii="Arial" w:eastAsia="Times New Roman" w:hAnsi="Arial" w:cs="Arial"/>
          <w:bCs/>
          <w:i/>
          <w:color w:val="000000"/>
        </w:rPr>
        <w:t>Oryza sativa</w:t>
      </w:r>
      <w:r w:rsidRPr="006C37DC">
        <w:rPr>
          <w:rFonts w:ascii="Arial" w:eastAsia="Times New Roman" w:hAnsi="Arial" w:cs="Arial"/>
          <w:bCs/>
          <w:color w:val="000000"/>
        </w:rPr>
        <w:t xml:space="preserve">; Eg, </w:t>
      </w:r>
      <w:r w:rsidRPr="006C37DC">
        <w:rPr>
          <w:rFonts w:ascii="Arial" w:eastAsia="Times New Roman" w:hAnsi="Arial" w:cs="Arial"/>
          <w:bCs/>
          <w:i/>
          <w:color w:val="000000"/>
        </w:rPr>
        <w:t xml:space="preserve">Eucalyptus grandis; </w:t>
      </w:r>
      <w:r w:rsidRPr="006C37DC">
        <w:rPr>
          <w:rFonts w:ascii="Arial" w:eastAsia="Times New Roman" w:hAnsi="Arial" w:cs="Arial"/>
          <w:bCs/>
          <w:color w:val="000000"/>
        </w:rPr>
        <w:t xml:space="preserve">At, </w:t>
      </w:r>
      <w:r w:rsidRPr="006C37DC">
        <w:rPr>
          <w:rFonts w:ascii="Arial" w:eastAsia="Times New Roman" w:hAnsi="Arial" w:cs="Arial"/>
          <w:bCs/>
          <w:i/>
          <w:color w:val="000000"/>
        </w:rPr>
        <w:t>Arabidopsis thaliana</w:t>
      </w:r>
      <w:r w:rsidRPr="006C37DC">
        <w:rPr>
          <w:rFonts w:ascii="Arial" w:eastAsia="Times New Roman" w:hAnsi="Arial" w:cs="Arial"/>
          <w:bCs/>
          <w:color w:val="000000"/>
        </w:rPr>
        <w:t xml:space="preserve">. See </w:t>
      </w:r>
      <w:r w:rsidRPr="006C37DC">
        <w:rPr>
          <w:rFonts w:ascii="Arial" w:eastAsia="Times New Roman" w:hAnsi="Arial" w:cs="Arial"/>
          <w:b/>
          <w:bCs/>
          <w:color w:val="000000"/>
        </w:rPr>
        <w:t>appendix</w:t>
      </w:r>
      <w:r w:rsidRPr="006C37DC">
        <w:rPr>
          <w:rFonts w:ascii="Arial" w:eastAsia="Times New Roman" w:hAnsi="Arial" w:cs="Arial"/>
          <w:bCs/>
          <w:color w:val="000000"/>
        </w:rPr>
        <w:t xml:space="preserve"> 1 for accession details of genes used in this study. (</w:t>
      </w:r>
      <w:r w:rsidRPr="006C37DC">
        <w:rPr>
          <w:rFonts w:ascii="Arial" w:eastAsia="Times New Roman" w:hAnsi="Arial" w:cs="Arial"/>
          <w:b/>
          <w:bCs/>
          <w:color w:val="000000"/>
        </w:rPr>
        <w:t>b</w:t>
      </w:r>
      <w:r w:rsidRPr="006C37DC">
        <w:rPr>
          <w:rFonts w:ascii="Arial" w:eastAsia="Times New Roman" w:hAnsi="Arial" w:cs="Arial"/>
          <w:bCs/>
          <w:color w:val="000000"/>
        </w:rPr>
        <w:t xml:space="preserve">) qPCR analysis of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expression in the sporophyte relative to protonemal tissue. Each tissue type was performed in triplicate. </w:t>
      </w:r>
      <w:r w:rsidRPr="006C37DC">
        <w:rPr>
          <w:rFonts w:ascii="Arial" w:eastAsia="Times New Roman" w:hAnsi="Arial" w:cs="Arial"/>
          <w:bCs/>
          <w:color w:val="000000"/>
          <w:lang w:bidi="en-US"/>
        </w:rPr>
        <w:t>Error bars = s.e.m. For detailed qPCR method, see methods section.</w:t>
      </w:r>
    </w:p>
    <w:p w14:paraId="201C8EE7" w14:textId="59EEF28F" w:rsidR="006C37DC" w:rsidRPr="00476449"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Cs/>
          <w:color w:val="000000"/>
          <w:u w:val="single"/>
        </w:rPr>
        <w:t xml:space="preserve">4.2.11 The function of </w:t>
      </w:r>
      <w:r w:rsidRPr="006C37DC">
        <w:rPr>
          <w:rFonts w:ascii="Arial" w:eastAsia="Times New Roman" w:hAnsi="Arial" w:cs="Arial"/>
          <w:bCs/>
          <w:i/>
          <w:color w:val="000000"/>
          <w:u w:val="single"/>
        </w:rPr>
        <w:t xml:space="preserve">PpERECTA1 </w:t>
      </w:r>
      <w:r w:rsidRPr="006C37DC">
        <w:rPr>
          <w:rFonts w:ascii="Arial" w:eastAsia="Times New Roman" w:hAnsi="Arial" w:cs="Arial"/>
          <w:bCs/>
          <w:color w:val="000000"/>
          <w:u w:val="single"/>
        </w:rPr>
        <w:t xml:space="preserve">is discrete and is linked to that of </w:t>
      </w:r>
      <w:r w:rsidRPr="006C37DC">
        <w:rPr>
          <w:rFonts w:ascii="Arial" w:eastAsia="Times New Roman" w:hAnsi="Arial" w:cs="Arial"/>
          <w:bCs/>
          <w:i/>
          <w:color w:val="000000"/>
          <w:u w:val="single"/>
        </w:rPr>
        <w:t>PpEPF1</w:t>
      </w:r>
      <w:r w:rsidRPr="006C37DC">
        <w:rPr>
          <w:rFonts w:ascii="Arial" w:eastAsia="Times New Roman" w:hAnsi="Arial" w:cs="Arial"/>
          <w:bCs/>
          <w:color w:val="000000"/>
          <w:u w:val="single"/>
        </w:rPr>
        <w:t xml:space="preserve"> and </w:t>
      </w:r>
      <w:r w:rsidRPr="006C37DC">
        <w:rPr>
          <w:rFonts w:ascii="Arial" w:eastAsia="Times New Roman" w:hAnsi="Arial" w:cs="Arial"/>
          <w:bCs/>
          <w:i/>
          <w:color w:val="000000"/>
          <w:u w:val="single"/>
        </w:rPr>
        <w:t>PpTMM</w:t>
      </w:r>
    </w:p>
    <w:p w14:paraId="02A2EF7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To understand </w:t>
      </w:r>
      <w:r w:rsidRPr="006C37DC">
        <w:rPr>
          <w:rFonts w:ascii="Arial" w:eastAsia="Times New Roman" w:hAnsi="Arial" w:cs="Arial"/>
          <w:bCs/>
          <w:i/>
          <w:color w:val="000000"/>
        </w:rPr>
        <w:t>PpERECTA1</w:t>
      </w:r>
      <w:r w:rsidRPr="006C37DC">
        <w:rPr>
          <w:rFonts w:ascii="Arial" w:eastAsia="Times New Roman" w:hAnsi="Arial" w:cs="Arial"/>
          <w:bCs/>
          <w:color w:val="000000"/>
        </w:rPr>
        <w:t xml:space="preserve"> function, interruption and removal of the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gene via homologous recombination was undertaken </w:t>
      </w:r>
      <w:r w:rsidRPr="006C37DC">
        <w:rPr>
          <w:rFonts w:ascii="Arial" w:eastAsia="Times New Roman" w:hAnsi="Arial" w:cs="Arial"/>
          <w:bCs/>
          <w:color w:val="000000"/>
        </w:rPr>
        <w:fldChar w:fldCharType="begin">
          <w:fldData xml:space="preserve">PEVuZE5vdGU+PENpdGU+PEF1dGhvcj5LYW1pc3VnaTwvQXV0aG9yPjxZZWFyPjIwMDY8L1llYXI+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PEVuZE5vdGU+PENpdGU+PEF1dGhvcj5LYW1pc3VnaTwvQXV0aG9yPjxZZWFyPjIwMDY8L1llYXI+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(Kamisugi et al., 2006)</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Unfortunately, although a large number of resistant transformants where recovered across a number of different transformation experiments, only a single line of </w:t>
      </w:r>
      <w:r w:rsidRPr="006C37DC">
        <w:rPr>
          <w:rFonts w:ascii="Arial" w:eastAsia="Times New Roman" w:hAnsi="Arial" w:cs="Arial"/>
          <w:bCs/>
          <w:i/>
          <w:color w:val="000000"/>
        </w:rPr>
        <w:t xml:space="preserve">PpERECTA1, pperecta1-1, </w:t>
      </w:r>
      <w:r w:rsidRPr="006C37DC">
        <w:rPr>
          <w:rFonts w:ascii="Arial" w:eastAsia="Times New Roman" w:hAnsi="Arial" w:cs="Arial"/>
          <w:bCs/>
          <w:color w:val="000000"/>
        </w:rPr>
        <w:t xml:space="preserve">was isolated which had integration of the KO construct at the targeted locus at both the 5’ and 3’ ends which did not express the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gene (</w:t>
      </w:r>
      <w:r w:rsidRPr="006C37DC">
        <w:rPr>
          <w:rFonts w:ascii="Arial" w:eastAsia="Times New Roman" w:hAnsi="Arial" w:cs="Arial"/>
          <w:b/>
          <w:bCs/>
          <w:color w:val="000000"/>
        </w:rPr>
        <w:t>Fig. 8, Fig. 19a</w:t>
      </w:r>
      <w:r w:rsidRPr="006C37DC">
        <w:rPr>
          <w:rFonts w:ascii="Arial" w:eastAsia="Times New Roman" w:hAnsi="Arial" w:cs="Arial"/>
          <w:bCs/>
          <w:color w:val="000000"/>
        </w:rPr>
        <w:t>-</w:t>
      </w:r>
      <w:r w:rsidRPr="006C37DC">
        <w:rPr>
          <w:rFonts w:ascii="Arial" w:eastAsia="Times New Roman" w:hAnsi="Arial" w:cs="Arial"/>
          <w:b/>
          <w:bCs/>
          <w:color w:val="000000"/>
        </w:rPr>
        <w:t>b</w:t>
      </w:r>
      <w:r w:rsidRPr="006C37DC">
        <w:rPr>
          <w:rFonts w:ascii="Arial" w:eastAsia="Times New Roman" w:hAnsi="Arial" w:cs="Arial"/>
          <w:bCs/>
          <w:color w:val="000000"/>
        </w:rPr>
        <w:t>). A further 2 lines which again showed integration of the KO construct at both the 5’ and 3’ ends of the targeted locus were isolated (</w:t>
      </w:r>
      <w:r w:rsidRPr="006C37DC">
        <w:rPr>
          <w:rFonts w:ascii="Arial" w:eastAsia="Times New Roman" w:hAnsi="Arial" w:cs="Arial"/>
          <w:bCs/>
          <w:i/>
          <w:color w:val="000000"/>
        </w:rPr>
        <w:t>pperecta1-2</w:t>
      </w:r>
      <w:r w:rsidRPr="006C37DC">
        <w:rPr>
          <w:rFonts w:ascii="Arial" w:eastAsia="Times New Roman" w:hAnsi="Arial" w:cs="Arial"/>
          <w:bCs/>
          <w:color w:val="000000"/>
        </w:rPr>
        <w:t xml:space="preserve"> and </w:t>
      </w:r>
      <w:r w:rsidRPr="006C37DC">
        <w:rPr>
          <w:rFonts w:ascii="Arial" w:eastAsia="Times New Roman" w:hAnsi="Arial" w:cs="Arial"/>
          <w:bCs/>
          <w:i/>
          <w:color w:val="000000"/>
        </w:rPr>
        <w:t>pperecta1-</w:t>
      </w:r>
      <w:commentRangeStart w:id="7"/>
      <w:r w:rsidRPr="006C37DC">
        <w:rPr>
          <w:rFonts w:ascii="Arial" w:eastAsia="Times New Roman" w:hAnsi="Arial" w:cs="Arial"/>
          <w:bCs/>
          <w:i/>
          <w:color w:val="000000"/>
        </w:rPr>
        <w:t>3</w:t>
      </w:r>
      <w:commentRangeEnd w:id="7"/>
      <w:r w:rsidRPr="006C37DC">
        <w:rPr>
          <w:rFonts w:ascii="Arial" w:eastAsia="Times New Roman" w:hAnsi="Arial" w:cs="Arial"/>
          <w:bCs/>
          <w:color w:val="000000"/>
        </w:rPr>
        <w:commentReference w:id="7"/>
      </w:r>
      <w:r w:rsidRPr="006C37DC">
        <w:rPr>
          <w:rFonts w:ascii="Arial" w:eastAsia="Times New Roman" w:hAnsi="Arial" w:cs="Arial"/>
          <w:bCs/>
          <w:color w:val="000000"/>
        </w:rPr>
        <w:t xml:space="preserve">), however, these lines still expressed the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gene at a high level (</w:t>
      </w:r>
      <w:r w:rsidRPr="006C37DC">
        <w:rPr>
          <w:rFonts w:ascii="Arial" w:eastAsia="Times New Roman" w:hAnsi="Arial" w:cs="Arial"/>
          <w:b/>
          <w:bCs/>
          <w:color w:val="000000"/>
        </w:rPr>
        <w:t>Fig. 19a</w:t>
      </w:r>
      <w:r w:rsidRPr="006C37DC">
        <w:rPr>
          <w:rFonts w:ascii="Arial" w:eastAsia="Times New Roman" w:hAnsi="Arial" w:cs="Arial"/>
          <w:bCs/>
          <w:color w:val="000000"/>
        </w:rPr>
        <w:t>-</w:t>
      </w:r>
      <w:r w:rsidRPr="006C37DC">
        <w:rPr>
          <w:rFonts w:ascii="Arial" w:eastAsia="Times New Roman" w:hAnsi="Arial" w:cs="Arial"/>
          <w:b/>
          <w:bCs/>
          <w:color w:val="000000"/>
        </w:rPr>
        <w:t>b</w:t>
      </w:r>
      <w:r w:rsidRPr="006C37DC">
        <w:rPr>
          <w:rFonts w:ascii="Arial" w:eastAsia="Times New Roman" w:hAnsi="Arial" w:cs="Arial"/>
          <w:bCs/>
          <w:color w:val="000000"/>
        </w:rPr>
        <w:t xml:space="preserve">). </w:t>
      </w:r>
    </w:p>
    <w:p w14:paraId="3FCA5165" w14:textId="4F89DD9F"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Observations of the </w:t>
      </w:r>
      <w:r w:rsidRPr="006C37DC">
        <w:rPr>
          <w:rFonts w:ascii="Arial" w:eastAsia="Times New Roman" w:hAnsi="Arial" w:cs="Arial"/>
          <w:bCs/>
          <w:i/>
          <w:color w:val="000000"/>
        </w:rPr>
        <w:t>pperecta1-1</w:t>
      </w:r>
      <w:r w:rsidRPr="006C37DC">
        <w:rPr>
          <w:rFonts w:ascii="Arial" w:eastAsia="Times New Roman" w:hAnsi="Arial" w:cs="Arial"/>
          <w:bCs/>
          <w:color w:val="000000"/>
        </w:rPr>
        <w:t xml:space="preserve"> sporophyte capsule base suggests that on its own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only plays a very limited role during stomatal development (</w:t>
      </w:r>
      <w:r w:rsidRPr="006C37DC">
        <w:rPr>
          <w:rFonts w:ascii="Arial" w:eastAsia="Times New Roman" w:hAnsi="Arial" w:cs="Arial"/>
          <w:b/>
          <w:bCs/>
          <w:color w:val="000000"/>
        </w:rPr>
        <w:t>Fig. 19c</w:t>
      </w:r>
      <w:r w:rsidRPr="006C37DC">
        <w:rPr>
          <w:rFonts w:ascii="Arial" w:eastAsia="Times New Roman" w:hAnsi="Arial" w:cs="Arial"/>
          <w:bCs/>
          <w:color w:val="000000"/>
        </w:rPr>
        <w:t>-</w:t>
      </w:r>
      <w:r w:rsidRPr="006C37DC">
        <w:rPr>
          <w:rFonts w:ascii="Arial" w:eastAsia="Times New Roman" w:hAnsi="Arial" w:cs="Arial"/>
          <w:b/>
          <w:bCs/>
          <w:color w:val="000000"/>
        </w:rPr>
        <w:t>e</w:t>
      </w:r>
      <w:r w:rsidRPr="006C37DC">
        <w:rPr>
          <w:rFonts w:ascii="Arial" w:eastAsia="Times New Roman" w:hAnsi="Arial" w:cs="Arial"/>
          <w:bCs/>
          <w:color w:val="000000"/>
        </w:rPr>
        <w:t xml:space="preserve">). </w:t>
      </w:r>
      <w:r w:rsidR="006029DA">
        <w:rPr>
          <w:rFonts w:ascii="Arial" w:eastAsia="Times New Roman" w:hAnsi="Arial" w:cs="Arial"/>
          <w:bCs/>
          <w:color w:val="000000"/>
        </w:rPr>
        <w:t>Although, a</w:t>
      </w:r>
      <w:r w:rsidRPr="006C37DC">
        <w:rPr>
          <w:rFonts w:ascii="Arial" w:eastAsia="Times New Roman" w:hAnsi="Arial" w:cs="Arial"/>
          <w:bCs/>
          <w:color w:val="000000"/>
        </w:rPr>
        <w:t xml:space="preserve"> small difference between the wild-type and </w:t>
      </w:r>
      <w:r w:rsidR="006029DA">
        <w:rPr>
          <w:rFonts w:ascii="Arial" w:eastAsia="Times New Roman" w:hAnsi="Arial" w:cs="Arial"/>
          <w:bCs/>
          <w:color w:val="000000"/>
        </w:rPr>
        <w:t xml:space="preserve">the single </w:t>
      </w:r>
      <w:r w:rsidR="006029DA">
        <w:rPr>
          <w:rFonts w:ascii="Arial" w:eastAsia="Times New Roman" w:hAnsi="Arial" w:cs="Arial"/>
          <w:bCs/>
          <w:i/>
          <w:color w:val="000000"/>
        </w:rPr>
        <w:t>pperecta1</w:t>
      </w:r>
      <w:r w:rsidRPr="006C37DC">
        <w:rPr>
          <w:rFonts w:ascii="Arial" w:eastAsia="Times New Roman" w:hAnsi="Arial" w:cs="Arial"/>
          <w:bCs/>
          <w:i/>
          <w:color w:val="000000"/>
        </w:rPr>
        <w:t xml:space="preserve"> </w:t>
      </w:r>
      <w:r w:rsidRPr="006C37DC">
        <w:rPr>
          <w:rFonts w:ascii="Arial" w:eastAsia="Times New Roman" w:hAnsi="Arial" w:cs="Arial"/>
          <w:bCs/>
          <w:color w:val="000000"/>
        </w:rPr>
        <w:t>line occurred with regard the spacing of stomata (</w:t>
      </w:r>
      <w:r w:rsidRPr="006C37DC">
        <w:rPr>
          <w:rFonts w:ascii="Arial" w:eastAsia="Times New Roman" w:hAnsi="Arial" w:cs="Arial"/>
          <w:b/>
          <w:bCs/>
          <w:color w:val="000000"/>
        </w:rPr>
        <w:t>Fig. 19c</w:t>
      </w:r>
      <w:r w:rsidRPr="006C37DC">
        <w:rPr>
          <w:rFonts w:ascii="Arial" w:eastAsia="Times New Roman" w:hAnsi="Arial" w:cs="Arial"/>
          <w:bCs/>
          <w:color w:val="000000"/>
        </w:rPr>
        <w:t>-</w:t>
      </w:r>
      <w:r w:rsidRPr="006C37DC">
        <w:rPr>
          <w:rFonts w:ascii="Arial" w:eastAsia="Times New Roman" w:hAnsi="Arial" w:cs="Arial"/>
          <w:b/>
          <w:bCs/>
          <w:color w:val="000000"/>
        </w:rPr>
        <w:t>g</w:t>
      </w:r>
      <w:r w:rsidRPr="006C37DC">
        <w:rPr>
          <w:rFonts w:ascii="Arial" w:eastAsia="Times New Roman" w:hAnsi="Arial" w:cs="Arial"/>
          <w:bCs/>
          <w:color w:val="000000"/>
        </w:rPr>
        <w:t xml:space="preserve">). For </w:t>
      </w:r>
      <w:r w:rsidRPr="006C37DC">
        <w:rPr>
          <w:rFonts w:ascii="Arial" w:eastAsia="Times New Roman" w:hAnsi="Arial" w:cs="Arial"/>
          <w:bCs/>
          <w:i/>
          <w:color w:val="000000"/>
        </w:rPr>
        <w:t>pperecta1-1</w:t>
      </w:r>
      <w:r w:rsidRPr="006C37DC">
        <w:rPr>
          <w:rFonts w:ascii="Arial" w:eastAsia="Times New Roman" w:hAnsi="Arial" w:cs="Arial"/>
          <w:bCs/>
          <w:color w:val="000000"/>
        </w:rPr>
        <w:t>, stomata appeared to be spread further apart from each other than in the wild-type. In some instances, this involved guard cells forming that tended to not be so tightly constrained to the basal region of the sporophyte capsule (</w:t>
      </w:r>
      <w:r w:rsidRPr="006C37DC">
        <w:rPr>
          <w:rFonts w:ascii="Arial" w:eastAsia="Times New Roman" w:hAnsi="Arial" w:cs="Arial"/>
          <w:b/>
          <w:bCs/>
          <w:color w:val="000000"/>
        </w:rPr>
        <w:t>Fig. 19e</w:t>
      </w:r>
      <w:r w:rsidRPr="006C37DC">
        <w:rPr>
          <w:rFonts w:ascii="Arial" w:eastAsia="Times New Roman" w:hAnsi="Arial" w:cs="Arial"/>
          <w:bCs/>
          <w:color w:val="000000"/>
        </w:rPr>
        <w:t>-</w:t>
      </w:r>
      <w:r w:rsidRPr="006C37DC">
        <w:rPr>
          <w:rFonts w:ascii="Arial" w:eastAsia="Times New Roman" w:hAnsi="Arial" w:cs="Arial"/>
          <w:b/>
          <w:bCs/>
          <w:color w:val="000000"/>
        </w:rPr>
        <w:t>g</w:t>
      </w:r>
      <w:r w:rsidRPr="006C37DC">
        <w:rPr>
          <w:rFonts w:ascii="Arial" w:eastAsia="Times New Roman" w:hAnsi="Arial" w:cs="Arial"/>
          <w:bCs/>
          <w:color w:val="000000"/>
        </w:rPr>
        <w:t>). When quantification of the stomata was performed a small decrease in stomatal number was observed although this was not significantly different from wild-type (</w:t>
      </w:r>
      <w:r w:rsidRPr="006C37DC">
        <w:rPr>
          <w:rFonts w:ascii="Arial" w:eastAsia="Times New Roman" w:hAnsi="Arial" w:cs="Arial"/>
          <w:b/>
          <w:bCs/>
          <w:color w:val="000000"/>
        </w:rPr>
        <w:t>Fig. 19h</w:t>
      </w:r>
      <w:r w:rsidRPr="006C37DC">
        <w:rPr>
          <w:rFonts w:ascii="Arial" w:eastAsia="Times New Roman" w:hAnsi="Arial" w:cs="Arial"/>
          <w:bCs/>
          <w:color w:val="000000"/>
        </w:rPr>
        <w:t xml:space="preserve">). The two other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lines generated also did not differ significantly </w:t>
      </w:r>
      <w:r w:rsidRPr="006C37DC">
        <w:rPr>
          <w:rFonts w:ascii="Arial" w:eastAsia="Times New Roman" w:hAnsi="Arial" w:cs="Arial"/>
          <w:bCs/>
          <w:color w:val="000000"/>
        </w:rPr>
        <w:lastRenderedPageBreak/>
        <w:t>from the wild-type (</w:t>
      </w:r>
      <w:r w:rsidRPr="006C37DC">
        <w:rPr>
          <w:rFonts w:ascii="Arial" w:eastAsia="Times New Roman" w:hAnsi="Arial" w:cs="Arial"/>
          <w:b/>
          <w:bCs/>
          <w:color w:val="000000"/>
        </w:rPr>
        <w:t>Fig. 19g</w:t>
      </w:r>
      <w:r w:rsidRPr="006C37DC">
        <w:rPr>
          <w:rFonts w:ascii="Arial" w:eastAsia="Times New Roman" w:hAnsi="Arial" w:cs="Arial"/>
          <w:bCs/>
          <w:color w:val="000000"/>
        </w:rPr>
        <w:t xml:space="preserve">). There were no other obvious differences in the morphology of </w:t>
      </w:r>
      <w:r w:rsidRPr="006C37DC">
        <w:rPr>
          <w:rFonts w:ascii="Arial" w:eastAsia="Times New Roman" w:hAnsi="Arial" w:cs="Arial"/>
          <w:bCs/>
          <w:i/>
          <w:color w:val="000000"/>
        </w:rPr>
        <w:t xml:space="preserve">pperecta1-1 </w:t>
      </w:r>
      <w:r w:rsidRPr="006C37DC">
        <w:rPr>
          <w:rFonts w:ascii="Arial" w:eastAsia="Times New Roman" w:hAnsi="Arial" w:cs="Arial"/>
          <w:bCs/>
          <w:color w:val="000000"/>
        </w:rPr>
        <w:t>sporophyte capsules relative to the wild-type (data not shown).</w:t>
      </w:r>
    </w:p>
    <w:p w14:paraId="4FA1785E" w14:textId="77777777"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
          <w:bCs/>
          <w:noProof/>
          <w:color w:val="000000"/>
          <w:lang w:eastAsia="ja-JP"/>
        </w:rPr>
        <w:drawing>
          <wp:inline distT="0" distB="0" distL="0" distR="0" wp14:anchorId="1B813A35" wp14:editId="2BD1F0BB">
            <wp:extent cx="5612524" cy="6345068"/>
            <wp:effectExtent l="0" t="0" r="762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rectaadapted.png"/>
                    <pic:cNvPicPr/>
                  </pic:nvPicPr>
                  <pic:blipFill>
                    <a:blip r:embed="rId68">
                      <a:extLst>
                        <a:ext uri="{28A0092B-C50C-407E-A947-70E740481C1C}">
                          <a14:useLocalDpi xmlns:a14="http://schemas.microsoft.com/office/drawing/2010/main" val="0"/>
                        </a:ext>
                      </a:extLst>
                    </a:blip>
                    <a:stretch>
                      <a:fillRect/>
                    </a:stretch>
                  </pic:blipFill>
                  <pic:spPr>
                    <a:xfrm>
                      <a:off x="0" y="0"/>
                      <a:ext cx="5620004" cy="6353524"/>
                    </a:xfrm>
                    <a:prstGeom prst="rect">
                      <a:avLst/>
                    </a:prstGeom>
                  </pic:spPr>
                </pic:pic>
              </a:graphicData>
            </a:graphic>
          </wp:inline>
        </w:drawing>
      </w:r>
    </w:p>
    <w:p w14:paraId="38DA2F4E" w14:textId="3CC5C2AD" w:rsidR="006C37DC" w:rsidRPr="006C37DC"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
          <w:bCs/>
          <w:color w:val="000000"/>
        </w:rPr>
        <w:t xml:space="preserve">Figure 19. </w:t>
      </w:r>
      <w:r w:rsidRPr="006C37DC">
        <w:rPr>
          <w:rFonts w:ascii="Arial" w:eastAsia="Times New Roman" w:hAnsi="Arial" w:cs="Arial"/>
          <w:b/>
          <w:bCs/>
          <w:i/>
          <w:color w:val="000000"/>
        </w:rPr>
        <w:t>PpERECTA1</w:t>
      </w:r>
      <w:r w:rsidRPr="006C37DC">
        <w:rPr>
          <w:rFonts w:ascii="Arial" w:eastAsia="Times New Roman" w:hAnsi="Arial" w:cs="Arial"/>
          <w:b/>
          <w:bCs/>
          <w:color w:val="000000"/>
        </w:rPr>
        <w:t xml:space="preserve"> function in stomatal development appears to be subtle, suggesting a minor or redundant role in spacing.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xml:space="preserve">) RT-PCR analysis illustrating the presence or absence of expression in three independent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lines. Note, in </w:t>
      </w:r>
      <w:r w:rsidRPr="006C37DC">
        <w:rPr>
          <w:rFonts w:ascii="Arial" w:eastAsia="Times New Roman" w:hAnsi="Arial" w:cs="Arial"/>
          <w:bCs/>
          <w:i/>
          <w:color w:val="000000"/>
        </w:rPr>
        <w:t xml:space="preserve">pperecta1-2 </w:t>
      </w:r>
      <w:r w:rsidRPr="006C37DC">
        <w:rPr>
          <w:rFonts w:ascii="Arial" w:eastAsia="Times New Roman" w:hAnsi="Arial" w:cs="Arial"/>
          <w:bCs/>
          <w:color w:val="000000"/>
        </w:rPr>
        <w:t xml:space="preserve">and </w:t>
      </w:r>
      <w:r w:rsidRPr="006C37DC">
        <w:rPr>
          <w:rFonts w:ascii="Arial" w:eastAsia="Times New Roman" w:hAnsi="Arial" w:cs="Arial"/>
          <w:bCs/>
          <w:i/>
          <w:color w:val="000000"/>
        </w:rPr>
        <w:t xml:space="preserve">pperecta1-3 </w:t>
      </w:r>
      <w:r w:rsidRPr="006C37DC">
        <w:rPr>
          <w:rFonts w:ascii="Arial" w:eastAsia="Times New Roman" w:hAnsi="Arial" w:cs="Arial"/>
          <w:bCs/>
          <w:color w:val="000000"/>
        </w:rPr>
        <w:t xml:space="preserve">the genomic locus of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was interrupted but a high level of expression was still detected (</w:t>
      </w:r>
      <w:r w:rsidRPr="006C37DC">
        <w:rPr>
          <w:rFonts w:ascii="Arial" w:eastAsia="Times New Roman" w:hAnsi="Arial" w:cs="Arial"/>
          <w:b/>
          <w:bCs/>
          <w:color w:val="000000"/>
        </w:rPr>
        <w:t>b</w:t>
      </w:r>
      <w:r w:rsidRPr="006C37DC">
        <w:rPr>
          <w:rFonts w:ascii="Arial" w:eastAsia="Times New Roman" w:hAnsi="Arial" w:cs="Arial"/>
          <w:bCs/>
          <w:color w:val="000000"/>
        </w:rPr>
        <w:t>) Rubisco small sub-unit (RbcS) controls for the corresponding samples in (</w:t>
      </w:r>
      <w:r w:rsidRPr="006C37DC">
        <w:rPr>
          <w:rFonts w:ascii="Arial" w:eastAsia="Times New Roman" w:hAnsi="Arial" w:cs="Arial"/>
          <w:b/>
          <w:bCs/>
          <w:color w:val="000000"/>
        </w:rPr>
        <w:t>a</w:t>
      </w:r>
      <w:r w:rsidRPr="006C37DC">
        <w:rPr>
          <w:rFonts w:ascii="Arial" w:eastAsia="Times New Roman" w:hAnsi="Arial" w:cs="Arial"/>
          <w:bCs/>
          <w:color w:val="000000"/>
        </w:rPr>
        <w:t>). Wild-type sample is marked as WT, the water controls are marked W. Gametophyte-sporophyte mix tissue samples were used for this analysis (</w:t>
      </w:r>
      <w:r w:rsidRPr="006C37DC">
        <w:rPr>
          <w:rFonts w:ascii="Arial" w:eastAsia="Times New Roman" w:hAnsi="Arial" w:cs="Arial"/>
          <w:b/>
          <w:bCs/>
          <w:color w:val="000000"/>
        </w:rPr>
        <w:t>c</w:t>
      </w:r>
      <w:r w:rsidRPr="006C37DC">
        <w:rPr>
          <w:rFonts w:ascii="Arial" w:eastAsia="Times New Roman" w:hAnsi="Arial" w:cs="Arial"/>
          <w:bCs/>
          <w:color w:val="000000"/>
        </w:rPr>
        <w:t xml:space="preserve">) </w:t>
      </w:r>
      <w:r w:rsidRPr="006C37DC">
        <w:rPr>
          <w:rFonts w:ascii="Arial" w:eastAsia="Times New Roman" w:hAnsi="Arial" w:cs="Arial"/>
          <w:bCs/>
          <w:color w:val="000000"/>
        </w:rPr>
        <w:lastRenderedPageBreak/>
        <w:t>Stacked and flattened bright-field image of mature orange to brown sporophyte capsule with evenly spaced stomata (</w:t>
      </w:r>
      <w:r w:rsidRPr="006C37DC">
        <w:rPr>
          <w:rFonts w:ascii="Arial" w:eastAsia="Times New Roman" w:hAnsi="Arial" w:cs="Arial"/>
          <w:b/>
          <w:bCs/>
          <w:color w:val="000000"/>
        </w:rPr>
        <w:t>d</w:t>
      </w:r>
      <w:r w:rsidRPr="006C37DC">
        <w:rPr>
          <w:rFonts w:ascii="Arial" w:eastAsia="Times New Roman" w:hAnsi="Arial" w:cs="Arial"/>
          <w:bCs/>
          <w:color w:val="000000"/>
        </w:rPr>
        <w:t xml:space="preserve">) </w:t>
      </w:r>
      <w:r w:rsidRPr="006C37DC">
        <w:rPr>
          <w:rFonts w:ascii="Arial" w:eastAsia="Times New Roman" w:hAnsi="Arial" w:cs="Arial"/>
          <w:bCs/>
          <w:i/>
          <w:color w:val="000000"/>
        </w:rPr>
        <w:t xml:space="preserve">pperecta1-1 </w:t>
      </w:r>
      <w:r w:rsidRPr="006C37DC">
        <w:rPr>
          <w:rFonts w:ascii="Arial" w:eastAsia="Times New Roman" w:hAnsi="Arial" w:cs="Arial"/>
          <w:bCs/>
          <w:color w:val="000000"/>
        </w:rPr>
        <w:t>equivalent to (</w:t>
      </w:r>
      <w:r w:rsidRPr="006C37DC">
        <w:rPr>
          <w:rFonts w:ascii="Arial" w:eastAsia="Times New Roman" w:hAnsi="Arial" w:cs="Arial"/>
          <w:b/>
          <w:bCs/>
          <w:color w:val="000000"/>
        </w:rPr>
        <w:t>c</w:t>
      </w:r>
      <w:r w:rsidRPr="006C37DC">
        <w:rPr>
          <w:rFonts w:ascii="Arial" w:eastAsia="Times New Roman" w:hAnsi="Arial" w:cs="Arial"/>
          <w:bCs/>
          <w:color w:val="000000"/>
        </w:rPr>
        <w:t>) with slightly fewer stomata which are spaced further apart. (</w:t>
      </w:r>
      <w:r w:rsidRPr="006C37DC">
        <w:rPr>
          <w:rFonts w:ascii="Arial" w:eastAsia="Times New Roman" w:hAnsi="Arial" w:cs="Arial"/>
          <w:b/>
          <w:bCs/>
          <w:color w:val="000000"/>
        </w:rPr>
        <w:t>e</w:t>
      </w:r>
      <w:r w:rsidRPr="006C37DC">
        <w:rPr>
          <w:rFonts w:ascii="Arial" w:eastAsia="Times New Roman" w:hAnsi="Arial" w:cs="Arial"/>
          <w:bCs/>
          <w:color w:val="000000"/>
        </w:rPr>
        <w:t xml:space="preserve">) Flattened </w:t>
      </w:r>
      <w:r w:rsidR="00EE0DEA">
        <w:rPr>
          <w:rFonts w:ascii="Arial" w:eastAsia="Times New Roman" w:hAnsi="Arial" w:cs="Arial"/>
          <w:bCs/>
          <w:color w:val="000000"/>
        </w:rPr>
        <w:t>fluorescence</w:t>
      </w:r>
      <w:r w:rsidRPr="006C37DC">
        <w:rPr>
          <w:rFonts w:ascii="Arial" w:eastAsia="Times New Roman" w:hAnsi="Arial" w:cs="Arial"/>
          <w:bCs/>
          <w:color w:val="000000"/>
        </w:rPr>
        <w:t xml:space="preserve"> image of the base of a fresh fully expanded green to yellow sporophyte capsule with spread out stomata. (</w:t>
      </w:r>
      <w:r w:rsidRPr="006C37DC">
        <w:rPr>
          <w:rFonts w:ascii="Arial" w:eastAsia="Times New Roman" w:hAnsi="Arial" w:cs="Arial"/>
          <w:b/>
          <w:bCs/>
          <w:color w:val="000000"/>
        </w:rPr>
        <w:t>f</w:t>
      </w:r>
      <w:r w:rsidRPr="006C37DC">
        <w:rPr>
          <w:rFonts w:ascii="Arial" w:eastAsia="Times New Roman" w:hAnsi="Arial" w:cs="Arial"/>
          <w:bCs/>
          <w:color w:val="000000"/>
        </w:rPr>
        <w:t>) Close-up bright-field wild-type epidermal image of stomata and surrounding pavement cells. (</w:t>
      </w:r>
      <w:r w:rsidRPr="006C37DC">
        <w:rPr>
          <w:rFonts w:ascii="Arial" w:eastAsia="Times New Roman" w:hAnsi="Arial" w:cs="Arial"/>
          <w:b/>
          <w:bCs/>
          <w:color w:val="000000"/>
        </w:rPr>
        <w:t>g</w:t>
      </w:r>
      <w:r w:rsidRPr="006C37DC">
        <w:rPr>
          <w:rFonts w:ascii="Arial" w:eastAsia="Times New Roman" w:hAnsi="Arial" w:cs="Arial"/>
          <w:bCs/>
          <w:color w:val="000000"/>
        </w:rPr>
        <w:t xml:space="preserve">) </w:t>
      </w:r>
      <w:r w:rsidRPr="006C37DC">
        <w:rPr>
          <w:rFonts w:ascii="Arial" w:eastAsia="Times New Roman" w:hAnsi="Arial" w:cs="Arial"/>
          <w:bCs/>
          <w:i/>
          <w:color w:val="000000"/>
        </w:rPr>
        <w:t xml:space="preserve">pperecta1-1 </w:t>
      </w:r>
      <w:r w:rsidRPr="006C37DC">
        <w:rPr>
          <w:rFonts w:ascii="Arial" w:eastAsia="Times New Roman" w:hAnsi="Arial" w:cs="Arial"/>
          <w:bCs/>
          <w:color w:val="000000"/>
        </w:rPr>
        <w:t>equivalent to (</w:t>
      </w:r>
      <w:r w:rsidRPr="006C37DC">
        <w:rPr>
          <w:rFonts w:ascii="Arial" w:eastAsia="Times New Roman" w:hAnsi="Arial" w:cs="Arial"/>
          <w:b/>
          <w:bCs/>
          <w:color w:val="000000"/>
        </w:rPr>
        <w:t>f</w:t>
      </w:r>
      <w:r w:rsidRPr="006C37DC">
        <w:rPr>
          <w:rFonts w:ascii="Arial" w:eastAsia="Times New Roman" w:hAnsi="Arial" w:cs="Arial"/>
          <w:bCs/>
          <w:color w:val="000000"/>
        </w:rPr>
        <w:t>). Quantification of the number of stomata in equally sized orange to brown mature sporophyte capsules. Samples marked with different letters are significantly different. For the left graph a</w:t>
      </w:r>
      <w:r w:rsidRPr="006C37DC">
        <w:rPr>
          <w:rFonts w:ascii="Arial" w:eastAsia="Times New Roman" w:hAnsi="Arial" w:cs="Arial"/>
          <w:bCs/>
          <w:color w:val="000000"/>
          <w:lang w:bidi="en-US"/>
        </w:rPr>
        <w:t xml:space="preserve"> one-way ANOVA with multiple comparisons corrected using a Dunnett’s test was performed. For the right graph a Two-tailed t-test with equal variances was performed, in both instances no significant differences were detected between samples, n=8. </w:t>
      </w:r>
      <w:r w:rsidRPr="006C37DC">
        <w:rPr>
          <w:rFonts w:ascii="Arial" w:eastAsia="Times New Roman" w:hAnsi="Arial" w:cs="Arial"/>
          <w:bCs/>
          <w:color w:val="000000"/>
        </w:rPr>
        <w:t xml:space="preserve">Scale bars are as follows: </w:t>
      </w:r>
      <w:r w:rsidRPr="006C37DC">
        <w:rPr>
          <w:rFonts w:ascii="Arial" w:eastAsia="Times New Roman" w:hAnsi="Arial" w:cs="Arial"/>
          <w:b/>
          <w:bCs/>
          <w:color w:val="000000"/>
        </w:rPr>
        <w:t xml:space="preserve">c-e, </w:t>
      </w:r>
      <w:r w:rsidRPr="006C37DC">
        <w:rPr>
          <w:rFonts w:ascii="Arial" w:eastAsia="Times New Roman" w:hAnsi="Arial" w:cs="Arial"/>
          <w:bCs/>
          <w:color w:val="000000"/>
        </w:rPr>
        <w:t xml:space="preserve">100µm, </w:t>
      </w:r>
      <w:r w:rsidRPr="006C37DC">
        <w:rPr>
          <w:rFonts w:ascii="Arial" w:eastAsia="Times New Roman" w:hAnsi="Arial" w:cs="Arial"/>
          <w:b/>
          <w:bCs/>
          <w:color w:val="000000"/>
        </w:rPr>
        <w:t xml:space="preserve">f-g, </w:t>
      </w:r>
      <w:r w:rsidRPr="006C37DC">
        <w:rPr>
          <w:rFonts w:ascii="Arial" w:eastAsia="Times New Roman" w:hAnsi="Arial" w:cs="Arial"/>
          <w:bCs/>
          <w:color w:val="000000"/>
        </w:rPr>
        <w:t xml:space="preserve">25µm. </w:t>
      </w:r>
      <w:r w:rsidR="00476449">
        <w:rPr>
          <w:rFonts w:ascii="Arial" w:eastAsia="Times New Roman" w:hAnsi="Arial" w:cs="Arial"/>
          <w:bCs/>
          <w:color w:val="000000"/>
          <w:lang w:bidi="en-US"/>
        </w:rPr>
        <w:t>Error bars = s.e.m.</w:t>
      </w:r>
    </w:p>
    <w:p w14:paraId="25558FD7" w14:textId="77777777" w:rsidR="006C37DC" w:rsidRPr="006C37DC" w:rsidRDefault="006C37DC" w:rsidP="006C37DC">
      <w:pPr>
        <w:spacing w:after="160" w:line="360" w:lineRule="auto"/>
        <w:rPr>
          <w:rFonts w:ascii="Arial" w:eastAsia="Times New Roman" w:hAnsi="Arial" w:cs="Arial"/>
          <w:bCs/>
          <w:i/>
          <w:color w:val="000000"/>
        </w:rPr>
      </w:pPr>
      <w:r w:rsidRPr="006C37DC">
        <w:rPr>
          <w:rFonts w:ascii="Arial" w:eastAsia="Times New Roman" w:hAnsi="Arial" w:cs="Arial"/>
          <w:bCs/>
          <w:color w:val="000000"/>
        </w:rPr>
        <w:t xml:space="preserve">Having considered the slight stomatal phenotype apparent in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mutants, it was decided that double KO mutant lines featuring combinations of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and </w:t>
      </w:r>
      <w:r w:rsidRPr="006C37DC">
        <w:rPr>
          <w:rFonts w:ascii="Arial" w:eastAsia="Times New Roman" w:hAnsi="Arial" w:cs="Arial"/>
          <w:bCs/>
          <w:i/>
          <w:color w:val="000000"/>
        </w:rPr>
        <w:t>PpERECTA1</w:t>
      </w:r>
      <w:r w:rsidRPr="006C37DC">
        <w:rPr>
          <w:rFonts w:ascii="Arial" w:eastAsia="Times New Roman" w:hAnsi="Arial" w:cs="Arial"/>
          <w:bCs/>
          <w:color w:val="000000"/>
        </w:rPr>
        <w:t>,</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and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and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would also be produced to further understand how </w:t>
      </w:r>
      <w:r w:rsidRPr="006C37DC">
        <w:rPr>
          <w:rFonts w:ascii="Arial" w:eastAsia="Times New Roman" w:hAnsi="Arial" w:cs="Arial"/>
          <w:bCs/>
          <w:i/>
          <w:color w:val="000000"/>
        </w:rPr>
        <w:t>PpERECTA1</w:t>
      </w:r>
      <w:r w:rsidRPr="006C37DC">
        <w:rPr>
          <w:rFonts w:ascii="Arial" w:eastAsia="Times New Roman" w:hAnsi="Arial" w:cs="Arial"/>
          <w:bCs/>
          <w:color w:val="000000"/>
        </w:rPr>
        <w:t xml:space="preserve"> might contribute to stomatal development. To achieve this </w:t>
      </w:r>
      <w:r w:rsidRPr="006C37DC">
        <w:rPr>
          <w:rFonts w:ascii="Arial" w:eastAsia="Times New Roman" w:hAnsi="Arial" w:cs="Arial"/>
          <w:bCs/>
          <w:i/>
          <w:color w:val="000000"/>
        </w:rPr>
        <w:t xml:space="preserve">pptmm-1 </w:t>
      </w:r>
      <w:r w:rsidRPr="006C37DC">
        <w:rPr>
          <w:rFonts w:ascii="Arial" w:eastAsia="Times New Roman" w:hAnsi="Arial" w:cs="Arial"/>
          <w:bCs/>
          <w:color w:val="000000"/>
        </w:rPr>
        <w:t xml:space="preserve">and </w:t>
      </w:r>
      <w:r w:rsidRPr="006C37DC">
        <w:rPr>
          <w:rFonts w:ascii="Arial" w:eastAsia="Times New Roman" w:hAnsi="Arial" w:cs="Arial"/>
          <w:bCs/>
          <w:i/>
          <w:color w:val="000000"/>
        </w:rPr>
        <w:t xml:space="preserve">ppepf1-1 </w:t>
      </w:r>
      <w:r w:rsidRPr="006C37DC">
        <w:rPr>
          <w:rFonts w:ascii="Arial" w:eastAsia="Times New Roman" w:hAnsi="Arial" w:cs="Arial"/>
          <w:bCs/>
          <w:color w:val="000000"/>
        </w:rPr>
        <w:t xml:space="preserve">single mutants were transformed with a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KO construct (For further details see the methods section). As with producing single KO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lines in the wild-type, it was found that producing double KO lines involving the removal of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was challenging. However, some success was achieved, with one line of </w:t>
      </w:r>
      <w:r w:rsidRPr="006C37DC">
        <w:rPr>
          <w:rFonts w:ascii="Arial" w:eastAsia="Times New Roman" w:hAnsi="Arial" w:cs="Arial"/>
          <w:bCs/>
          <w:i/>
          <w:color w:val="000000"/>
        </w:rPr>
        <w:t xml:space="preserve">pptmm-erecta1 </w:t>
      </w:r>
      <w:r w:rsidRPr="006C37DC">
        <w:rPr>
          <w:rFonts w:ascii="Arial" w:eastAsia="Times New Roman" w:hAnsi="Arial" w:cs="Arial"/>
          <w:bCs/>
          <w:color w:val="000000"/>
        </w:rPr>
        <w:t xml:space="preserve">and two lines of </w:t>
      </w:r>
      <w:r w:rsidRPr="006C37DC">
        <w:rPr>
          <w:rFonts w:ascii="Arial" w:eastAsia="Times New Roman" w:hAnsi="Arial" w:cs="Arial"/>
          <w:bCs/>
          <w:i/>
          <w:color w:val="000000"/>
        </w:rPr>
        <w:t xml:space="preserve">ppepf1-erecta1 </w:t>
      </w:r>
      <w:r w:rsidRPr="006C37DC">
        <w:rPr>
          <w:rFonts w:ascii="Arial" w:eastAsia="Times New Roman" w:hAnsi="Arial" w:cs="Arial"/>
          <w:bCs/>
          <w:color w:val="000000"/>
        </w:rPr>
        <w:t>being</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produced which had integration of the KO construct at both the 5’ and 3’ regions of the targeted locus (see </w:t>
      </w:r>
      <w:r w:rsidRPr="006C37DC">
        <w:rPr>
          <w:rFonts w:ascii="Arial" w:eastAsia="Times New Roman" w:hAnsi="Arial" w:cs="Arial"/>
          <w:b/>
          <w:bCs/>
          <w:color w:val="000000"/>
        </w:rPr>
        <w:t>Fig. 8</w:t>
      </w:r>
      <w:r w:rsidRPr="006C37DC">
        <w:rPr>
          <w:rFonts w:ascii="Arial" w:eastAsia="Times New Roman" w:hAnsi="Arial" w:cs="Arial"/>
          <w:bCs/>
          <w:color w:val="000000"/>
        </w:rPr>
        <w:t xml:space="preserve">). The identified lines also showed no expression of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when RT-PCR was performed on cDNA derived from gametophyte-sporophyte mix samples (</w:t>
      </w:r>
      <w:r w:rsidRPr="006C37DC">
        <w:rPr>
          <w:rFonts w:ascii="Arial" w:eastAsia="Times New Roman" w:hAnsi="Arial" w:cs="Arial"/>
          <w:b/>
          <w:bCs/>
          <w:color w:val="000000"/>
        </w:rPr>
        <w:t>Fig. 20a</w:t>
      </w:r>
      <w:r w:rsidRPr="006C37DC">
        <w:rPr>
          <w:rFonts w:ascii="Arial" w:eastAsia="Times New Roman" w:hAnsi="Arial" w:cs="Arial"/>
          <w:bCs/>
          <w:color w:val="000000"/>
        </w:rPr>
        <w:t>-</w:t>
      </w:r>
      <w:r w:rsidRPr="006C37DC">
        <w:rPr>
          <w:rFonts w:ascii="Arial" w:eastAsia="Times New Roman" w:hAnsi="Arial" w:cs="Arial"/>
          <w:b/>
          <w:bCs/>
          <w:color w:val="000000"/>
        </w:rPr>
        <w:t>b</w:t>
      </w:r>
      <w:r w:rsidRPr="006C37DC">
        <w:rPr>
          <w:rFonts w:ascii="Arial" w:eastAsia="Times New Roman" w:hAnsi="Arial" w:cs="Arial"/>
          <w:bCs/>
          <w:color w:val="000000"/>
        </w:rPr>
        <w:t xml:space="preserve">). It should be noted that the </w:t>
      </w:r>
      <w:r w:rsidRPr="006C37DC">
        <w:rPr>
          <w:rFonts w:ascii="Arial" w:eastAsia="Times New Roman" w:hAnsi="Arial" w:cs="Arial"/>
          <w:bCs/>
          <w:i/>
          <w:color w:val="000000"/>
        </w:rPr>
        <w:t xml:space="preserve">ppefp1-1 </w:t>
      </w:r>
      <w:r w:rsidRPr="006C37DC">
        <w:rPr>
          <w:rFonts w:ascii="Arial" w:eastAsia="Times New Roman" w:hAnsi="Arial" w:cs="Arial"/>
          <w:bCs/>
          <w:color w:val="000000"/>
        </w:rPr>
        <w:t>background (</w:t>
      </w:r>
      <w:r w:rsidRPr="006C37DC">
        <w:rPr>
          <w:rFonts w:ascii="Arial" w:eastAsia="Times New Roman" w:hAnsi="Arial" w:cs="Arial"/>
          <w:b/>
          <w:bCs/>
          <w:color w:val="000000"/>
        </w:rPr>
        <w:t>Fig. 9</w:t>
      </w:r>
      <w:r w:rsidRPr="006C37DC">
        <w:rPr>
          <w:rFonts w:ascii="Arial" w:eastAsia="Times New Roman" w:hAnsi="Arial" w:cs="Arial"/>
          <w:bCs/>
          <w:color w:val="000000"/>
        </w:rPr>
        <w:t xml:space="preserve">) which expressed a small amount of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was used to perform </w:t>
      </w:r>
      <w:r w:rsidRPr="006C37DC">
        <w:rPr>
          <w:rFonts w:ascii="Arial" w:eastAsia="Times New Roman" w:hAnsi="Arial" w:cs="Arial"/>
          <w:bCs/>
          <w:i/>
          <w:color w:val="000000"/>
        </w:rPr>
        <w:t xml:space="preserve">ppepf1-erecta1 </w:t>
      </w:r>
      <w:r w:rsidRPr="006C37DC">
        <w:rPr>
          <w:rFonts w:ascii="Arial" w:eastAsia="Times New Roman" w:hAnsi="Arial" w:cs="Arial"/>
          <w:bCs/>
          <w:color w:val="000000"/>
        </w:rPr>
        <w:t xml:space="preserve">mutant lines. This expression was only detected after the </w:t>
      </w:r>
      <w:r w:rsidRPr="006C37DC">
        <w:rPr>
          <w:rFonts w:ascii="Arial" w:eastAsia="Times New Roman" w:hAnsi="Arial" w:cs="Arial"/>
          <w:bCs/>
          <w:i/>
          <w:color w:val="000000"/>
        </w:rPr>
        <w:t xml:space="preserve">ppepf1-erecta1 </w:t>
      </w:r>
      <w:r w:rsidRPr="006C37DC">
        <w:rPr>
          <w:rFonts w:ascii="Arial" w:eastAsia="Times New Roman" w:hAnsi="Arial" w:cs="Arial"/>
          <w:bCs/>
          <w:color w:val="000000"/>
        </w:rPr>
        <w:t xml:space="preserve">lines had been produced. </w:t>
      </w:r>
    </w:p>
    <w:p w14:paraId="559BF252" w14:textId="77777777" w:rsidR="008653D0"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Cs/>
          <w:noProof/>
          <w:color w:val="000000"/>
          <w:lang w:eastAsia="ja-JP"/>
        </w:rPr>
        <w:lastRenderedPageBreak/>
        <w:drawing>
          <wp:inline distT="0" distB="0" distL="0" distR="0" wp14:anchorId="49B8E50D" wp14:editId="74E4F09D">
            <wp:extent cx="5031105" cy="886333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pdated tmmepfer.png"/>
                    <pic:cNvPicPr/>
                  </pic:nvPicPr>
                  <pic:blipFill>
                    <a:blip r:embed="rId69">
                      <a:extLst>
                        <a:ext uri="{28A0092B-C50C-407E-A947-70E740481C1C}">
                          <a14:useLocalDpi xmlns:a14="http://schemas.microsoft.com/office/drawing/2010/main" val="0"/>
                        </a:ext>
                      </a:extLst>
                    </a:blip>
                    <a:stretch>
                      <a:fillRect/>
                    </a:stretch>
                  </pic:blipFill>
                  <pic:spPr>
                    <a:xfrm>
                      <a:off x="0" y="0"/>
                      <a:ext cx="5035294" cy="8870710"/>
                    </a:xfrm>
                    <a:prstGeom prst="rect">
                      <a:avLst/>
                    </a:prstGeom>
                  </pic:spPr>
                </pic:pic>
              </a:graphicData>
            </a:graphic>
          </wp:inline>
        </w:drawing>
      </w:r>
      <w:r w:rsidRPr="006C37DC">
        <w:rPr>
          <w:rFonts w:ascii="Arial" w:eastAsia="Times New Roman" w:hAnsi="Arial" w:cs="Arial"/>
          <w:bCs/>
          <w:color w:val="000000"/>
          <w:lang w:bidi="en-US"/>
        </w:rPr>
        <w:t xml:space="preserve"> </w:t>
      </w:r>
    </w:p>
    <w:p w14:paraId="5E7BFB81" w14:textId="16D3C792" w:rsidR="006C37DC" w:rsidRPr="006C37DC"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
          <w:bCs/>
          <w:color w:val="000000"/>
          <w:lang w:bidi="en-US"/>
        </w:rPr>
        <w:lastRenderedPageBreak/>
        <w:t>Figure 20. Synergistic functioning between the membrane receptors PpTMM</w:t>
      </w:r>
      <w:r w:rsidRPr="006C37DC">
        <w:rPr>
          <w:rFonts w:ascii="Arial" w:eastAsia="Times New Roman" w:hAnsi="Arial" w:cs="Arial"/>
          <w:b/>
          <w:bCs/>
          <w:i/>
          <w:color w:val="000000"/>
          <w:lang w:bidi="en-US"/>
        </w:rPr>
        <w:t xml:space="preserve"> </w:t>
      </w:r>
      <w:r w:rsidRPr="006C37DC">
        <w:rPr>
          <w:rFonts w:ascii="Arial" w:eastAsia="Times New Roman" w:hAnsi="Arial" w:cs="Arial"/>
          <w:b/>
          <w:bCs/>
          <w:color w:val="000000"/>
          <w:lang w:bidi="en-US"/>
        </w:rPr>
        <w:t>and PpERECTA1</w:t>
      </w:r>
      <w:r w:rsidRPr="006C37DC">
        <w:rPr>
          <w:rFonts w:ascii="Arial" w:eastAsia="Times New Roman" w:hAnsi="Arial" w:cs="Arial"/>
          <w:b/>
          <w:bCs/>
          <w:i/>
          <w:color w:val="000000"/>
          <w:lang w:bidi="en-US"/>
        </w:rPr>
        <w:t xml:space="preserve"> </w:t>
      </w:r>
      <w:r w:rsidRPr="006C37DC">
        <w:rPr>
          <w:rFonts w:ascii="Arial" w:eastAsia="Times New Roman" w:hAnsi="Arial" w:cs="Arial"/>
          <w:b/>
          <w:bCs/>
          <w:color w:val="000000"/>
          <w:lang w:bidi="en-US"/>
        </w:rPr>
        <w:t>and the signaling peptide PpEPF1</w:t>
      </w:r>
      <w:r w:rsidRPr="006C37DC">
        <w:rPr>
          <w:rFonts w:ascii="Arial" w:eastAsia="Times New Roman" w:hAnsi="Arial" w:cs="Arial"/>
          <w:b/>
          <w:bCs/>
          <w:i/>
          <w:color w:val="000000"/>
          <w:lang w:bidi="en-US"/>
        </w:rPr>
        <w:t xml:space="preserve"> </w:t>
      </w:r>
      <w:r w:rsidRPr="006C37DC">
        <w:rPr>
          <w:rFonts w:ascii="Arial" w:eastAsia="Times New Roman" w:hAnsi="Arial" w:cs="Arial"/>
          <w:b/>
          <w:bCs/>
          <w:color w:val="000000"/>
          <w:lang w:bidi="en-US"/>
        </w:rPr>
        <w:t>and</w:t>
      </w:r>
      <w:r w:rsidRPr="006C37DC">
        <w:rPr>
          <w:rFonts w:ascii="Arial" w:eastAsia="Times New Roman" w:hAnsi="Arial" w:cs="Arial"/>
          <w:b/>
          <w:bCs/>
          <w:i/>
          <w:color w:val="000000"/>
          <w:lang w:bidi="en-US"/>
        </w:rPr>
        <w:t xml:space="preserve"> </w:t>
      </w:r>
      <w:r w:rsidRPr="006C37DC">
        <w:rPr>
          <w:rFonts w:ascii="Arial" w:eastAsia="Times New Roman" w:hAnsi="Arial" w:cs="Arial"/>
          <w:b/>
          <w:bCs/>
          <w:color w:val="000000"/>
          <w:lang w:bidi="en-US"/>
        </w:rPr>
        <w:t>PpERECTA1</w:t>
      </w:r>
      <w:r w:rsidRPr="006C37DC">
        <w:rPr>
          <w:rFonts w:ascii="Arial" w:eastAsia="Times New Roman" w:hAnsi="Arial" w:cs="Arial"/>
          <w:b/>
          <w:bCs/>
          <w:i/>
          <w:color w:val="000000"/>
          <w:lang w:bidi="en-US"/>
        </w:rPr>
        <w:t xml:space="preserve"> </w:t>
      </w:r>
      <w:r w:rsidRPr="006C37DC">
        <w:rPr>
          <w:rFonts w:ascii="Arial" w:eastAsia="Times New Roman" w:hAnsi="Arial" w:cs="Arial"/>
          <w:b/>
          <w:bCs/>
          <w:color w:val="000000"/>
          <w:lang w:bidi="en-US"/>
        </w:rPr>
        <w:t xml:space="preserve">both contribute to the correct patterning and morphology of stomata and their neighboring cells during stomatal development in </w:t>
      </w:r>
      <w:r w:rsidRPr="006C37DC">
        <w:rPr>
          <w:rFonts w:ascii="Arial" w:eastAsia="Times New Roman" w:hAnsi="Arial" w:cs="Arial"/>
          <w:b/>
          <w:bCs/>
          <w:i/>
          <w:color w:val="000000"/>
          <w:lang w:bidi="en-US"/>
        </w:rPr>
        <w:t>P. patens</w:t>
      </w:r>
      <w:r w:rsidRPr="006C37DC">
        <w:rPr>
          <w:rFonts w:ascii="Arial" w:eastAsia="Times New Roman" w:hAnsi="Arial" w:cs="Arial"/>
          <w:b/>
          <w:bCs/>
          <w:color w:val="000000"/>
          <w:lang w:bidi="en-US"/>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xml:space="preserve">) RT-PCR gel image showing no expression in one independent </w:t>
      </w:r>
      <w:r w:rsidRPr="006C37DC">
        <w:rPr>
          <w:rFonts w:ascii="Arial" w:eastAsia="Times New Roman" w:hAnsi="Arial" w:cs="Arial"/>
          <w:bCs/>
          <w:i/>
          <w:color w:val="000000"/>
        </w:rPr>
        <w:t xml:space="preserve">pptmm-erecta1 </w:t>
      </w:r>
      <w:r w:rsidRPr="006C37DC">
        <w:rPr>
          <w:rFonts w:ascii="Arial" w:eastAsia="Times New Roman" w:hAnsi="Arial" w:cs="Arial"/>
          <w:bCs/>
          <w:color w:val="000000"/>
        </w:rPr>
        <w:t xml:space="preserve">line in the </w:t>
      </w:r>
      <w:r w:rsidRPr="006C37DC">
        <w:rPr>
          <w:rFonts w:ascii="Arial" w:eastAsia="Times New Roman" w:hAnsi="Arial" w:cs="Arial"/>
          <w:bCs/>
          <w:i/>
          <w:color w:val="000000"/>
        </w:rPr>
        <w:t>pptmm-1</w:t>
      </w:r>
      <w:r w:rsidRPr="006C37DC">
        <w:rPr>
          <w:rFonts w:ascii="Arial" w:eastAsia="Times New Roman" w:hAnsi="Arial" w:cs="Arial"/>
          <w:bCs/>
          <w:color w:val="000000"/>
        </w:rPr>
        <w:t xml:space="preserve"> background in gametophyte-sporophyte mix tissue samples. (</w:t>
      </w:r>
      <w:r w:rsidRPr="006C37DC">
        <w:rPr>
          <w:rFonts w:ascii="Arial" w:eastAsia="Times New Roman" w:hAnsi="Arial" w:cs="Arial"/>
          <w:b/>
          <w:bCs/>
          <w:color w:val="000000"/>
        </w:rPr>
        <w:t>b</w:t>
      </w:r>
      <w:r w:rsidRPr="006C37DC">
        <w:rPr>
          <w:rFonts w:ascii="Arial" w:eastAsia="Times New Roman" w:hAnsi="Arial" w:cs="Arial"/>
          <w:bCs/>
          <w:color w:val="000000"/>
        </w:rPr>
        <w:t>) Rubisco small sub-unit controls (RbcS) for the corresponding samples in (</w:t>
      </w:r>
      <w:r w:rsidRPr="006C37DC">
        <w:rPr>
          <w:rFonts w:ascii="Arial" w:eastAsia="Times New Roman" w:hAnsi="Arial" w:cs="Arial"/>
          <w:b/>
          <w:bCs/>
          <w:color w:val="000000"/>
        </w:rPr>
        <w:t>a</w:t>
      </w:r>
      <w:r w:rsidRPr="006C37DC">
        <w:rPr>
          <w:rFonts w:ascii="Arial" w:eastAsia="Times New Roman" w:hAnsi="Arial" w:cs="Arial"/>
          <w:bCs/>
          <w:color w:val="000000"/>
        </w:rPr>
        <w:t>). (</w:t>
      </w:r>
      <w:r w:rsidRPr="006C37DC">
        <w:rPr>
          <w:rFonts w:ascii="Arial" w:eastAsia="Times New Roman" w:hAnsi="Arial" w:cs="Arial"/>
          <w:b/>
          <w:bCs/>
          <w:color w:val="000000"/>
        </w:rPr>
        <w:t>c</w:t>
      </w:r>
      <w:r w:rsidRPr="006C37DC">
        <w:rPr>
          <w:rFonts w:ascii="Arial" w:eastAsia="Times New Roman" w:hAnsi="Arial" w:cs="Arial"/>
          <w:bCs/>
          <w:color w:val="000000"/>
        </w:rPr>
        <w:t xml:space="preserve">) RT-PCR gel image illustrating no expression in two independent </w:t>
      </w:r>
      <w:r w:rsidRPr="006C37DC">
        <w:rPr>
          <w:rFonts w:ascii="Arial" w:eastAsia="Times New Roman" w:hAnsi="Arial" w:cs="Arial"/>
          <w:bCs/>
          <w:i/>
          <w:color w:val="000000"/>
        </w:rPr>
        <w:t xml:space="preserve">ppepf1-erecta1 </w:t>
      </w:r>
      <w:r w:rsidRPr="006C37DC">
        <w:rPr>
          <w:rFonts w:ascii="Arial" w:eastAsia="Times New Roman" w:hAnsi="Arial" w:cs="Arial"/>
          <w:bCs/>
          <w:color w:val="000000"/>
        </w:rPr>
        <w:t xml:space="preserve">lines in the </w:t>
      </w:r>
      <w:r w:rsidRPr="006C37DC">
        <w:rPr>
          <w:rFonts w:ascii="Arial" w:eastAsia="Times New Roman" w:hAnsi="Arial" w:cs="Arial"/>
          <w:bCs/>
          <w:i/>
          <w:color w:val="000000"/>
        </w:rPr>
        <w:t>ppepf1-1</w:t>
      </w:r>
      <w:r w:rsidRPr="006C37DC">
        <w:rPr>
          <w:rFonts w:ascii="Arial" w:eastAsia="Times New Roman" w:hAnsi="Arial" w:cs="Arial"/>
          <w:bCs/>
          <w:color w:val="000000"/>
        </w:rPr>
        <w:t xml:space="preserve"> background in gametophyte-sporophyte mix tissue samples. (</w:t>
      </w:r>
      <w:r w:rsidRPr="006C37DC">
        <w:rPr>
          <w:rFonts w:ascii="Arial" w:eastAsia="Times New Roman" w:hAnsi="Arial" w:cs="Arial"/>
          <w:b/>
          <w:bCs/>
          <w:color w:val="000000"/>
        </w:rPr>
        <w:t>d</w:t>
      </w:r>
      <w:r w:rsidRPr="006C37DC">
        <w:rPr>
          <w:rFonts w:ascii="Arial" w:eastAsia="Times New Roman" w:hAnsi="Arial" w:cs="Arial"/>
          <w:bCs/>
          <w:color w:val="000000"/>
        </w:rPr>
        <w:t>) Rubisco small sub-unit (RbcS) controls for the corresponding samples in (</w:t>
      </w:r>
      <w:r w:rsidRPr="006C37DC">
        <w:rPr>
          <w:rFonts w:ascii="Arial" w:eastAsia="Times New Roman" w:hAnsi="Arial" w:cs="Arial"/>
          <w:b/>
          <w:bCs/>
          <w:color w:val="000000"/>
        </w:rPr>
        <w:t>c</w:t>
      </w:r>
      <w:r w:rsidRPr="006C37DC">
        <w:rPr>
          <w:rFonts w:ascii="Arial" w:eastAsia="Times New Roman" w:hAnsi="Arial" w:cs="Arial"/>
          <w:bCs/>
          <w:color w:val="000000"/>
        </w:rPr>
        <w:t xml:space="preserve">). </w:t>
      </w:r>
      <w:r w:rsidRPr="006C37DC">
        <w:rPr>
          <w:rFonts w:ascii="Arial" w:eastAsia="Times New Roman" w:hAnsi="Arial" w:cs="Arial"/>
          <w:bCs/>
          <w:i/>
          <w:color w:val="000000"/>
        </w:rPr>
        <w:t xml:space="preserve">pptmm-1 </w:t>
      </w:r>
      <w:r w:rsidRPr="006C37DC">
        <w:rPr>
          <w:rFonts w:ascii="Arial" w:eastAsia="Times New Roman" w:hAnsi="Arial" w:cs="Arial"/>
          <w:bCs/>
          <w:color w:val="000000"/>
        </w:rPr>
        <w:t xml:space="preserve">and </w:t>
      </w:r>
      <w:r w:rsidRPr="006C37DC">
        <w:rPr>
          <w:rFonts w:ascii="Arial" w:eastAsia="Times New Roman" w:hAnsi="Arial" w:cs="Arial"/>
          <w:bCs/>
          <w:i/>
          <w:color w:val="000000"/>
        </w:rPr>
        <w:t xml:space="preserve">ppefp1-1 </w:t>
      </w:r>
      <w:r w:rsidRPr="006C37DC">
        <w:rPr>
          <w:rFonts w:ascii="Arial" w:eastAsia="Times New Roman" w:hAnsi="Arial" w:cs="Arial"/>
          <w:bCs/>
          <w:color w:val="000000"/>
        </w:rPr>
        <w:t>background samples are marked as WT in (</w:t>
      </w:r>
      <w:r w:rsidRPr="006C37DC">
        <w:rPr>
          <w:rFonts w:ascii="Arial" w:eastAsia="Times New Roman" w:hAnsi="Arial" w:cs="Arial"/>
          <w:b/>
          <w:bCs/>
          <w:color w:val="000000"/>
        </w:rPr>
        <w:t>a</w:t>
      </w:r>
      <w:r w:rsidRPr="006C37DC">
        <w:rPr>
          <w:rFonts w:ascii="Arial" w:eastAsia="Times New Roman" w:hAnsi="Arial" w:cs="Arial"/>
          <w:bCs/>
          <w:color w:val="000000"/>
        </w:rPr>
        <w:t>-</w:t>
      </w:r>
      <w:r w:rsidRPr="006C37DC">
        <w:rPr>
          <w:rFonts w:ascii="Arial" w:eastAsia="Times New Roman" w:hAnsi="Arial" w:cs="Arial"/>
          <w:b/>
          <w:bCs/>
          <w:color w:val="000000"/>
        </w:rPr>
        <w:t>d</w:t>
      </w:r>
      <w:r w:rsidRPr="006C37DC">
        <w:rPr>
          <w:rFonts w:ascii="Arial" w:eastAsia="Times New Roman" w:hAnsi="Arial" w:cs="Arial"/>
          <w:bCs/>
          <w:color w:val="000000"/>
        </w:rPr>
        <w:t>), the water controls are marked W. (</w:t>
      </w:r>
      <w:r w:rsidRPr="006C37DC">
        <w:rPr>
          <w:rFonts w:ascii="Arial" w:eastAsia="Times New Roman" w:hAnsi="Arial" w:cs="Arial"/>
          <w:b/>
          <w:bCs/>
          <w:color w:val="000000"/>
        </w:rPr>
        <w:t>e</w:t>
      </w:r>
      <w:r w:rsidRPr="006C37DC">
        <w:rPr>
          <w:rFonts w:ascii="Arial" w:eastAsia="Times New Roman" w:hAnsi="Arial" w:cs="Arial"/>
          <w:bCs/>
          <w:color w:val="000000"/>
        </w:rPr>
        <w:t>-</w:t>
      </w:r>
      <w:r w:rsidRPr="006C37DC">
        <w:rPr>
          <w:rFonts w:ascii="Arial" w:eastAsia="Times New Roman" w:hAnsi="Arial" w:cs="Arial"/>
          <w:b/>
          <w:bCs/>
          <w:color w:val="000000"/>
        </w:rPr>
        <w:t>j</w:t>
      </w:r>
      <w:r w:rsidRPr="006C37DC">
        <w:rPr>
          <w:rFonts w:ascii="Arial" w:eastAsia="Times New Roman" w:hAnsi="Arial" w:cs="Arial"/>
          <w:bCs/>
          <w:color w:val="000000"/>
        </w:rPr>
        <w:t>) Stacked and flattened sporophyte capsule bright-field images of: (</w:t>
      </w:r>
      <w:r w:rsidRPr="006C37DC">
        <w:rPr>
          <w:rFonts w:ascii="Arial" w:eastAsia="Times New Roman" w:hAnsi="Arial" w:cs="Arial"/>
          <w:b/>
          <w:bCs/>
          <w:color w:val="000000"/>
        </w:rPr>
        <w:t>e</w:t>
      </w:r>
      <w:r w:rsidRPr="006C37DC">
        <w:rPr>
          <w:rFonts w:ascii="Arial" w:eastAsia="Times New Roman" w:hAnsi="Arial" w:cs="Arial"/>
          <w:bCs/>
          <w:color w:val="000000"/>
        </w:rPr>
        <w:t>) wild-type, (</w:t>
      </w:r>
      <w:r w:rsidRPr="006C37DC">
        <w:rPr>
          <w:rFonts w:ascii="Arial" w:eastAsia="Times New Roman" w:hAnsi="Arial" w:cs="Arial"/>
          <w:b/>
          <w:bCs/>
          <w:color w:val="000000"/>
        </w:rPr>
        <w:t>f</w:t>
      </w:r>
      <w:r w:rsidRPr="006C37DC">
        <w:rPr>
          <w:rFonts w:ascii="Arial" w:eastAsia="Times New Roman" w:hAnsi="Arial" w:cs="Arial"/>
          <w:bCs/>
          <w:color w:val="000000"/>
        </w:rPr>
        <w:t xml:space="preserve">) </w:t>
      </w:r>
      <w:r w:rsidRPr="006C37DC">
        <w:rPr>
          <w:rFonts w:ascii="Arial" w:eastAsia="Times New Roman" w:hAnsi="Arial" w:cs="Arial"/>
          <w:bCs/>
          <w:i/>
          <w:color w:val="000000"/>
        </w:rPr>
        <w:t>pptmm-1</w:t>
      </w:r>
      <w:r w:rsidRPr="006C37DC">
        <w:rPr>
          <w:rFonts w:ascii="Arial" w:eastAsia="Times New Roman" w:hAnsi="Arial" w:cs="Arial"/>
          <w:bCs/>
          <w:color w:val="000000"/>
        </w:rPr>
        <w:t>, (</w:t>
      </w:r>
      <w:r w:rsidRPr="006C37DC">
        <w:rPr>
          <w:rFonts w:ascii="Arial" w:eastAsia="Times New Roman" w:hAnsi="Arial" w:cs="Arial"/>
          <w:b/>
          <w:bCs/>
          <w:color w:val="000000"/>
        </w:rPr>
        <w:t>g</w:t>
      </w:r>
      <w:r w:rsidRPr="006C37DC">
        <w:rPr>
          <w:rFonts w:ascii="Arial" w:eastAsia="Times New Roman" w:hAnsi="Arial" w:cs="Arial"/>
          <w:bCs/>
          <w:color w:val="000000"/>
        </w:rPr>
        <w:t xml:space="preserve">) </w:t>
      </w:r>
      <w:r w:rsidRPr="006C37DC">
        <w:rPr>
          <w:rFonts w:ascii="Arial" w:eastAsia="Times New Roman" w:hAnsi="Arial" w:cs="Arial"/>
          <w:bCs/>
          <w:i/>
          <w:color w:val="000000"/>
        </w:rPr>
        <w:t>pperecta1-1</w:t>
      </w:r>
      <w:r w:rsidRPr="006C37DC">
        <w:rPr>
          <w:rFonts w:ascii="Arial" w:eastAsia="Times New Roman" w:hAnsi="Arial" w:cs="Arial"/>
          <w:bCs/>
          <w:color w:val="000000"/>
        </w:rPr>
        <w:t>, (</w:t>
      </w:r>
      <w:r w:rsidRPr="006C37DC">
        <w:rPr>
          <w:rFonts w:ascii="Arial" w:eastAsia="Times New Roman" w:hAnsi="Arial" w:cs="Arial"/>
          <w:b/>
          <w:bCs/>
          <w:color w:val="000000"/>
        </w:rPr>
        <w:t>h</w:t>
      </w:r>
      <w:r w:rsidRPr="006C37DC">
        <w:rPr>
          <w:rFonts w:ascii="Arial" w:eastAsia="Times New Roman" w:hAnsi="Arial" w:cs="Arial"/>
          <w:bCs/>
          <w:color w:val="000000"/>
        </w:rPr>
        <w:t xml:space="preserve">) </w:t>
      </w:r>
      <w:r w:rsidRPr="006C37DC">
        <w:rPr>
          <w:rFonts w:ascii="Arial" w:eastAsia="Times New Roman" w:hAnsi="Arial" w:cs="Arial"/>
          <w:bCs/>
          <w:i/>
          <w:color w:val="000000"/>
        </w:rPr>
        <w:t>pptmm-erecta1-1</w:t>
      </w:r>
      <w:r w:rsidRPr="006C37DC">
        <w:rPr>
          <w:rFonts w:ascii="Arial" w:eastAsia="Times New Roman" w:hAnsi="Arial" w:cs="Arial"/>
          <w:bCs/>
          <w:color w:val="000000"/>
        </w:rPr>
        <w:t>, (</w:t>
      </w:r>
      <w:r w:rsidRPr="006C37DC">
        <w:rPr>
          <w:rFonts w:ascii="Arial" w:eastAsia="Times New Roman" w:hAnsi="Arial" w:cs="Arial"/>
          <w:b/>
          <w:bCs/>
          <w:color w:val="000000"/>
        </w:rPr>
        <w:t>i</w:t>
      </w:r>
      <w:r w:rsidRPr="006C37DC">
        <w:rPr>
          <w:rFonts w:ascii="Arial" w:eastAsia="Times New Roman" w:hAnsi="Arial" w:cs="Arial"/>
          <w:bCs/>
          <w:color w:val="000000"/>
        </w:rPr>
        <w:t xml:space="preserve">) </w:t>
      </w:r>
      <w:r w:rsidRPr="006C37DC">
        <w:rPr>
          <w:rFonts w:ascii="Arial" w:eastAsia="Times New Roman" w:hAnsi="Arial" w:cs="Arial"/>
          <w:bCs/>
          <w:i/>
          <w:color w:val="000000"/>
        </w:rPr>
        <w:t>ppepf1-1</w:t>
      </w:r>
      <w:r w:rsidRPr="006C37DC">
        <w:rPr>
          <w:rFonts w:ascii="Arial" w:eastAsia="Times New Roman" w:hAnsi="Arial" w:cs="Arial"/>
          <w:bCs/>
          <w:color w:val="000000"/>
        </w:rPr>
        <w:t xml:space="preserve"> and (</w:t>
      </w:r>
      <w:r w:rsidRPr="006C37DC">
        <w:rPr>
          <w:rFonts w:ascii="Arial" w:eastAsia="Times New Roman" w:hAnsi="Arial" w:cs="Arial"/>
          <w:b/>
          <w:bCs/>
          <w:color w:val="000000"/>
        </w:rPr>
        <w:t>j</w:t>
      </w:r>
      <w:r w:rsidRPr="006C37DC">
        <w:rPr>
          <w:rFonts w:ascii="Arial" w:eastAsia="Times New Roman" w:hAnsi="Arial" w:cs="Arial"/>
          <w:bCs/>
          <w:color w:val="000000"/>
        </w:rPr>
        <w:t xml:space="preserve">) </w:t>
      </w:r>
      <w:r w:rsidRPr="006C37DC">
        <w:rPr>
          <w:rFonts w:ascii="Arial" w:eastAsia="Times New Roman" w:hAnsi="Arial" w:cs="Arial"/>
          <w:bCs/>
          <w:i/>
          <w:color w:val="000000"/>
        </w:rPr>
        <w:t>ppepf1-erecta1-2</w:t>
      </w:r>
      <w:r w:rsidRPr="006C37DC">
        <w:rPr>
          <w:rFonts w:ascii="Arial" w:eastAsia="Times New Roman" w:hAnsi="Arial" w:cs="Arial"/>
          <w:bCs/>
          <w:color w:val="000000"/>
        </w:rPr>
        <w:t>.</w:t>
      </w:r>
      <w:r w:rsidRPr="006C37DC">
        <w:rPr>
          <w:rFonts w:ascii="Arial" w:eastAsia="Times New Roman" w:hAnsi="Arial" w:cs="Arial"/>
          <w:bCs/>
          <w:i/>
          <w:color w:val="000000"/>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k</w:t>
      </w:r>
      <w:r w:rsidRPr="006C37DC">
        <w:rPr>
          <w:rFonts w:ascii="Arial" w:eastAsia="Times New Roman" w:hAnsi="Arial" w:cs="Arial"/>
          <w:bCs/>
          <w:color w:val="000000"/>
        </w:rPr>
        <w:t>-</w:t>
      </w:r>
      <w:r w:rsidRPr="006C37DC">
        <w:rPr>
          <w:rFonts w:ascii="Arial" w:eastAsia="Times New Roman" w:hAnsi="Arial" w:cs="Arial"/>
          <w:b/>
          <w:bCs/>
          <w:color w:val="000000"/>
        </w:rPr>
        <w:t>p</w:t>
      </w:r>
      <w:r w:rsidRPr="006C37DC">
        <w:rPr>
          <w:rFonts w:ascii="Arial" w:eastAsia="Times New Roman" w:hAnsi="Arial" w:cs="Arial"/>
          <w:bCs/>
          <w:color w:val="000000"/>
        </w:rPr>
        <w:t>)</w:t>
      </w:r>
      <w:r w:rsidRPr="006C37DC">
        <w:rPr>
          <w:rFonts w:ascii="Arial" w:eastAsia="Times New Roman" w:hAnsi="Arial" w:cs="Arial"/>
          <w:b/>
          <w:bCs/>
          <w:color w:val="000000"/>
        </w:rPr>
        <w:t xml:space="preserve"> </w:t>
      </w:r>
      <w:r w:rsidRPr="006C37DC">
        <w:rPr>
          <w:rFonts w:ascii="Arial" w:eastAsia="Times New Roman" w:hAnsi="Arial" w:cs="Arial"/>
          <w:bCs/>
          <w:color w:val="000000"/>
        </w:rPr>
        <w:t>Close-up equivalents of (</w:t>
      </w:r>
      <w:r w:rsidRPr="006C37DC">
        <w:rPr>
          <w:rFonts w:ascii="Arial" w:eastAsia="Times New Roman" w:hAnsi="Arial" w:cs="Arial"/>
          <w:b/>
          <w:bCs/>
          <w:color w:val="000000"/>
        </w:rPr>
        <w:t>e-j</w:t>
      </w:r>
      <w:r w:rsidRPr="006C37DC">
        <w:rPr>
          <w:rFonts w:ascii="Arial" w:eastAsia="Times New Roman" w:hAnsi="Arial" w:cs="Arial"/>
          <w:bCs/>
          <w:color w:val="000000"/>
        </w:rPr>
        <w:t>) of: (</w:t>
      </w:r>
      <w:r w:rsidRPr="006C37DC">
        <w:rPr>
          <w:rFonts w:ascii="Arial" w:eastAsia="Times New Roman" w:hAnsi="Arial" w:cs="Arial"/>
          <w:b/>
          <w:bCs/>
          <w:color w:val="000000"/>
        </w:rPr>
        <w:t>k</w:t>
      </w:r>
      <w:r w:rsidRPr="006C37DC">
        <w:rPr>
          <w:rFonts w:ascii="Arial" w:eastAsia="Times New Roman" w:hAnsi="Arial" w:cs="Arial"/>
          <w:bCs/>
          <w:color w:val="000000"/>
        </w:rPr>
        <w:t>) wild-type, (</w:t>
      </w:r>
      <w:r w:rsidRPr="006C37DC">
        <w:rPr>
          <w:rFonts w:ascii="Arial" w:eastAsia="Times New Roman" w:hAnsi="Arial" w:cs="Arial"/>
          <w:b/>
          <w:bCs/>
          <w:color w:val="000000"/>
        </w:rPr>
        <w:t>l</w:t>
      </w:r>
      <w:r w:rsidRPr="006C37DC">
        <w:rPr>
          <w:rFonts w:ascii="Arial" w:eastAsia="Times New Roman" w:hAnsi="Arial" w:cs="Arial"/>
          <w:bCs/>
          <w:color w:val="000000"/>
        </w:rPr>
        <w:t xml:space="preserve">) </w:t>
      </w:r>
      <w:r w:rsidRPr="006C37DC">
        <w:rPr>
          <w:rFonts w:ascii="Arial" w:eastAsia="Times New Roman" w:hAnsi="Arial" w:cs="Arial"/>
          <w:bCs/>
          <w:i/>
          <w:color w:val="000000"/>
        </w:rPr>
        <w:t>pptmm-1</w:t>
      </w:r>
      <w:r w:rsidRPr="006C37DC">
        <w:rPr>
          <w:rFonts w:ascii="Arial" w:eastAsia="Times New Roman" w:hAnsi="Arial" w:cs="Arial"/>
          <w:bCs/>
          <w:color w:val="000000"/>
        </w:rPr>
        <w:t>, (</w:t>
      </w:r>
      <w:r w:rsidRPr="006C37DC">
        <w:rPr>
          <w:rFonts w:ascii="Arial" w:eastAsia="Times New Roman" w:hAnsi="Arial" w:cs="Arial"/>
          <w:b/>
          <w:bCs/>
          <w:color w:val="000000"/>
        </w:rPr>
        <w:t>m</w:t>
      </w:r>
      <w:r w:rsidRPr="006C37DC">
        <w:rPr>
          <w:rFonts w:ascii="Arial" w:eastAsia="Times New Roman" w:hAnsi="Arial" w:cs="Arial"/>
          <w:bCs/>
          <w:color w:val="000000"/>
        </w:rPr>
        <w:t xml:space="preserve">) </w:t>
      </w:r>
      <w:r w:rsidRPr="006C37DC">
        <w:rPr>
          <w:rFonts w:ascii="Arial" w:eastAsia="Times New Roman" w:hAnsi="Arial" w:cs="Arial"/>
          <w:bCs/>
          <w:i/>
          <w:color w:val="000000"/>
        </w:rPr>
        <w:t>pperecta1-1</w:t>
      </w:r>
      <w:r w:rsidRPr="006C37DC">
        <w:rPr>
          <w:rFonts w:ascii="Arial" w:eastAsia="Times New Roman" w:hAnsi="Arial" w:cs="Arial"/>
          <w:bCs/>
          <w:color w:val="000000"/>
        </w:rPr>
        <w:t>, (</w:t>
      </w:r>
      <w:r w:rsidRPr="006C37DC">
        <w:rPr>
          <w:rFonts w:ascii="Arial" w:eastAsia="Times New Roman" w:hAnsi="Arial" w:cs="Arial"/>
          <w:b/>
          <w:bCs/>
          <w:color w:val="000000"/>
        </w:rPr>
        <w:t>n</w:t>
      </w:r>
      <w:r w:rsidRPr="006C37DC">
        <w:rPr>
          <w:rFonts w:ascii="Arial" w:eastAsia="Times New Roman" w:hAnsi="Arial" w:cs="Arial"/>
          <w:bCs/>
          <w:color w:val="000000"/>
        </w:rPr>
        <w:t xml:space="preserve">) </w:t>
      </w:r>
      <w:r w:rsidRPr="006C37DC">
        <w:rPr>
          <w:rFonts w:ascii="Arial" w:eastAsia="Times New Roman" w:hAnsi="Arial" w:cs="Arial"/>
          <w:bCs/>
          <w:i/>
          <w:color w:val="000000"/>
        </w:rPr>
        <w:t>pptmm-erecta1-1</w:t>
      </w:r>
      <w:r w:rsidRPr="006C37DC">
        <w:rPr>
          <w:rFonts w:ascii="Arial" w:eastAsia="Times New Roman" w:hAnsi="Arial" w:cs="Arial"/>
          <w:bCs/>
          <w:color w:val="000000"/>
        </w:rPr>
        <w:t>, (</w:t>
      </w:r>
      <w:r w:rsidRPr="006C37DC">
        <w:rPr>
          <w:rFonts w:ascii="Arial" w:eastAsia="Times New Roman" w:hAnsi="Arial" w:cs="Arial"/>
          <w:b/>
          <w:bCs/>
          <w:color w:val="000000"/>
        </w:rPr>
        <w:t>o</w:t>
      </w:r>
      <w:r w:rsidRPr="006C37DC">
        <w:rPr>
          <w:rFonts w:ascii="Arial" w:eastAsia="Times New Roman" w:hAnsi="Arial" w:cs="Arial"/>
          <w:bCs/>
          <w:color w:val="000000"/>
        </w:rPr>
        <w:t xml:space="preserve">) </w:t>
      </w:r>
      <w:r w:rsidRPr="006C37DC">
        <w:rPr>
          <w:rFonts w:ascii="Arial" w:eastAsia="Times New Roman" w:hAnsi="Arial" w:cs="Arial"/>
          <w:bCs/>
          <w:i/>
          <w:color w:val="000000"/>
        </w:rPr>
        <w:t>ppepf1-1</w:t>
      </w:r>
      <w:r w:rsidRPr="006C37DC">
        <w:rPr>
          <w:rFonts w:ascii="Arial" w:eastAsia="Times New Roman" w:hAnsi="Arial" w:cs="Arial"/>
          <w:bCs/>
          <w:color w:val="000000"/>
        </w:rPr>
        <w:t xml:space="preserve"> and (</w:t>
      </w:r>
      <w:r w:rsidRPr="006C37DC">
        <w:rPr>
          <w:rFonts w:ascii="Arial" w:eastAsia="Times New Roman" w:hAnsi="Arial" w:cs="Arial"/>
          <w:b/>
          <w:bCs/>
          <w:color w:val="000000"/>
        </w:rPr>
        <w:t>p</w:t>
      </w:r>
      <w:r w:rsidRPr="006C37DC">
        <w:rPr>
          <w:rFonts w:ascii="Arial" w:eastAsia="Times New Roman" w:hAnsi="Arial" w:cs="Arial"/>
          <w:bCs/>
          <w:color w:val="000000"/>
        </w:rPr>
        <w:t xml:space="preserve">) </w:t>
      </w:r>
      <w:r w:rsidRPr="006C37DC">
        <w:rPr>
          <w:rFonts w:ascii="Arial" w:eastAsia="Times New Roman" w:hAnsi="Arial" w:cs="Arial"/>
          <w:bCs/>
          <w:i/>
          <w:color w:val="000000"/>
        </w:rPr>
        <w:t>ppepf1-erecta1-2</w:t>
      </w:r>
      <w:r w:rsidRPr="006C37DC">
        <w:rPr>
          <w:rFonts w:ascii="Arial" w:eastAsia="Times New Roman" w:hAnsi="Arial" w:cs="Arial"/>
          <w:bCs/>
          <w:color w:val="000000"/>
        </w:rPr>
        <w:t>. Note the irregular shaped stomata in (</w:t>
      </w:r>
      <w:r w:rsidRPr="006C37DC">
        <w:rPr>
          <w:rFonts w:ascii="Arial" w:eastAsia="Times New Roman" w:hAnsi="Arial" w:cs="Arial"/>
          <w:b/>
          <w:bCs/>
          <w:color w:val="000000"/>
        </w:rPr>
        <w:t>o</w:t>
      </w:r>
      <w:r w:rsidRPr="006C37DC">
        <w:rPr>
          <w:rFonts w:ascii="Arial" w:eastAsia="Times New Roman" w:hAnsi="Arial" w:cs="Arial"/>
          <w:bCs/>
          <w:color w:val="000000"/>
        </w:rPr>
        <w:t>) and (</w:t>
      </w:r>
      <w:r w:rsidRPr="006C37DC">
        <w:rPr>
          <w:rFonts w:ascii="Arial" w:eastAsia="Times New Roman" w:hAnsi="Arial" w:cs="Arial"/>
          <w:b/>
          <w:bCs/>
          <w:color w:val="000000"/>
        </w:rPr>
        <w:t>p</w:t>
      </w:r>
      <w:r w:rsidRPr="006C37DC">
        <w:rPr>
          <w:rFonts w:ascii="Arial" w:eastAsia="Times New Roman" w:hAnsi="Arial" w:cs="Arial"/>
          <w:bCs/>
          <w:color w:val="000000"/>
        </w:rPr>
        <w:t xml:space="preserve">). Quantification of the number of stomata in equally sized orange to brown mature sporophyte capsules of </w:t>
      </w:r>
      <w:r w:rsidRPr="006C37DC">
        <w:rPr>
          <w:rFonts w:ascii="Arial" w:eastAsia="Times New Roman" w:hAnsi="Arial" w:cs="Arial"/>
          <w:bCs/>
          <w:i/>
          <w:color w:val="000000"/>
        </w:rPr>
        <w:t xml:space="preserve">pptmm-erecta1 </w:t>
      </w:r>
      <w:r w:rsidRPr="006C37DC">
        <w:rPr>
          <w:rFonts w:ascii="Arial" w:eastAsia="Times New Roman" w:hAnsi="Arial" w:cs="Arial"/>
          <w:bCs/>
          <w:color w:val="000000"/>
        </w:rPr>
        <w:t>(</w:t>
      </w:r>
      <w:r w:rsidRPr="006C37DC">
        <w:rPr>
          <w:rFonts w:ascii="Arial" w:eastAsia="Times New Roman" w:hAnsi="Arial" w:cs="Arial"/>
          <w:b/>
          <w:bCs/>
          <w:color w:val="000000"/>
        </w:rPr>
        <w:t>q</w:t>
      </w:r>
      <w:r w:rsidRPr="006C37DC">
        <w:rPr>
          <w:rFonts w:ascii="Arial" w:eastAsia="Times New Roman" w:hAnsi="Arial" w:cs="Arial"/>
          <w:bCs/>
          <w:color w:val="000000"/>
        </w:rPr>
        <w:t xml:space="preserve">) and </w:t>
      </w:r>
      <w:r w:rsidRPr="006C37DC">
        <w:rPr>
          <w:rFonts w:ascii="Arial" w:eastAsia="Times New Roman" w:hAnsi="Arial" w:cs="Arial"/>
          <w:bCs/>
          <w:i/>
          <w:color w:val="000000"/>
        </w:rPr>
        <w:t xml:space="preserve">ppepf1-erecta1 </w:t>
      </w:r>
      <w:r w:rsidRPr="006C37DC">
        <w:rPr>
          <w:rFonts w:ascii="Arial" w:eastAsia="Times New Roman" w:hAnsi="Arial" w:cs="Arial"/>
          <w:bCs/>
          <w:color w:val="000000"/>
        </w:rPr>
        <w:t>(</w:t>
      </w:r>
      <w:r w:rsidRPr="006C37DC">
        <w:rPr>
          <w:rFonts w:ascii="Arial" w:eastAsia="Times New Roman" w:hAnsi="Arial" w:cs="Arial"/>
          <w:b/>
          <w:bCs/>
          <w:color w:val="000000"/>
        </w:rPr>
        <w:t>r</w:t>
      </w:r>
      <w:r w:rsidRPr="006C37DC">
        <w:rPr>
          <w:rFonts w:ascii="Arial" w:eastAsia="Times New Roman" w:hAnsi="Arial" w:cs="Arial"/>
          <w:bCs/>
          <w:color w:val="000000"/>
        </w:rPr>
        <w:t>) and the respective background lines.</w:t>
      </w:r>
      <w:r w:rsidRPr="006C37DC">
        <w:rPr>
          <w:rFonts w:ascii="Arial" w:eastAsia="Times New Roman" w:hAnsi="Arial" w:cs="Arial"/>
          <w:bCs/>
          <w:color w:val="000000"/>
          <w:lang w:bidi="en-US"/>
        </w:rPr>
        <w:t xml:space="preserve"> </w:t>
      </w:r>
      <w:r w:rsidRPr="006C37DC">
        <w:rPr>
          <w:rFonts w:ascii="Arial" w:eastAsia="Times New Roman" w:hAnsi="Arial" w:cs="Arial"/>
          <w:bCs/>
          <w:color w:val="000000"/>
        </w:rPr>
        <w:t xml:space="preserve">Quantification of the percentage of total stomata involved in clustering on sporophyte capsules of </w:t>
      </w:r>
      <w:r w:rsidRPr="006C37DC">
        <w:rPr>
          <w:rFonts w:ascii="Arial" w:eastAsia="Times New Roman" w:hAnsi="Arial" w:cs="Arial"/>
          <w:bCs/>
          <w:i/>
          <w:color w:val="000000"/>
        </w:rPr>
        <w:t xml:space="preserve">pptmm-erecta1 </w:t>
      </w:r>
      <w:r w:rsidRPr="006C37DC">
        <w:rPr>
          <w:rFonts w:ascii="Arial" w:eastAsia="Times New Roman" w:hAnsi="Arial" w:cs="Arial"/>
          <w:bCs/>
          <w:color w:val="000000"/>
        </w:rPr>
        <w:t>(</w:t>
      </w:r>
      <w:r w:rsidRPr="006C37DC">
        <w:rPr>
          <w:rFonts w:ascii="Arial" w:eastAsia="Times New Roman" w:hAnsi="Arial" w:cs="Arial"/>
          <w:b/>
          <w:bCs/>
          <w:color w:val="000000"/>
        </w:rPr>
        <w:t>s</w:t>
      </w:r>
      <w:r w:rsidRPr="006C37DC">
        <w:rPr>
          <w:rFonts w:ascii="Arial" w:eastAsia="Times New Roman" w:hAnsi="Arial" w:cs="Arial"/>
          <w:bCs/>
          <w:color w:val="000000"/>
        </w:rPr>
        <w:t xml:space="preserve">) and </w:t>
      </w:r>
      <w:r w:rsidRPr="006C37DC">
        <w:rPr>
          <w:rFonts w:ascii="Arial" w:eastAsia="Times New Roman" w:hAnsi="Arial" w:cs="Arial"/>
          <w:bCs/>
          <w:i/>
          <w:color w:val="000000"/>
        </w:rPr>
        <w:t xml:space="preserve">ppepf1-erecta1 </w:t>
      </w:r>
      <w:r w:rsidRPr="006C37DC">
        <w:rPr>
          <w:rFonts w:ascii="Arial" w:eastAsia="Times New Roman" w:hAnsi="Arial" w:cs="Arial"/>
          <w:bCs/>
          <w:color w:val="000000"/>
        </w:rPr>
        <w:t>(</w:t>
      </w:r>
      <w:r w:rsidRPr="006C37DC">
        <w:rPr>
          <w:rFonts w:ascii="Arial" w:eastAsia="Times New Roman" w:hAnsi="Arial" w:cs="Arial"/>
          <w:b/>
          <w:bCs/>
          <w:color w:val="000000"/>
        </w:rPr>
        <w:t>t</w:t>
      </w:r>
      <w:r w:rsidRPr="006C37DC">
        <w:rPr>
          <w:rFonts w:ascii="Arial" w:eastAsia="Times New Roman" w:hAnsi="Arial" w:cs="Arial"/>
          <w:bCs/>
          <w:color w:val="000000"/>
        </w:rPr>
        <w:t xml:space="preserve">) and their respective backgrounds. </w:t>
      </w:r>
      <w:r w:rsidRPr="006C37DC">
        <w:rPr>
          <w:rFonts w:ascii="Arial" w:eastAsia="Times New Roman" w:hAnsi="Arial" w:cs="Arial"/>
          <w:bCs/>
          <w:color w:val="000000"/>
          <w:lang w:bidi="en-US"/>
        </w:rPr>
        <w:t>For (</w:t>
      </w:r>
      <w:r w:rsidRPr="006C37DC">
        <w:rPr>
          <w:rFonts w:ascii="Arial" w:eastAsia="Times New Roman" w:hAnsi="Arial" w:cs="Arial"/>
          <w:b/>
          <w:bCs/>
          <w:color w:val="000000"/>
          <w:lang w:bidi="en-US"/>
        </w:rPr>
        <w:t>q</w:t>
      </w:r>
      <w:r w:rsidRPr="006C37DC">
        <w:rPr>
          <w:rFonts w:ascii="Arial" w:eastAsia="Times New Roman" w:hAnsi="Arial" w:cs="Arial"/>
          <w:bCs/>
          <w:color w:val="000000"/>
          <w:lang w:bidi="en-US"/>
        </w:rPr>
        <w:t>-</w:t>
      </w:r>
      <w:r w:rsidRPr="006C37DC">
        <w:rPr>
          <w:rFonts w:ascii="Arial" w:eastAsia="Times New Roman" w:hAnsi="Arial" w:cs="Arial"/>
          <w:b/>
          <w:bCs/>
          <w:color w:val="000000"/>
          <w:lang w:bidi="en-US"/>
        </w:rPr>
        <w:t>t</w:t>
      </w:r>
      <w:r w:rsidRPr="006C37DC">
        <w:rPr>
          <w:rFonts w:ascii="Arial" w:eastAsia="Times New Roman" w:hAnsi="Arial" w:cs="Arial"/>
          <w:bCs/>
          <w:color w:val="000000"/>
          <w:lang w:bidi="en-US"/>
        </w:rPr>
        <w:t>) lines with different letters can be distinguished from each other (</w:t>
      </w:r>
      <w:r w:rsidRPr="006C37DC">
        <w:rPr>
          <w:rFonts w:ascii="Arial" w:eastAsia="Times New Roman" w:hAnsi="Arial" w:cs="Arial"/>
          <w:bCs/>
          <w:i/>
          <w:color w:val="000000"/>
          <w:lang w:bidi="en-US"/>
        </w:rPr>
        <w:t>P</w:t>
      </w:r>
      <w:r w:rsidRPr="006C37DC">
        <w:rPr>
          <w:rFonts w:ascii="Arial" w:eastAsia="Times New Roman" w:hAnsi="Arial" w:cs="Arial"/>
          <w:bCs/>
          <w:color w:val="000000"/>
          <w:lang w:bidi="en-US"/>
        </w:rPr>
        <w:t xml:space="preserve"> ≤ 0.05) (one-way ANOVA with multiple comparisons corrected using a Tukey’s test, n=8). Note, for (</w:t>
      </w:r>
      <w:r w:rsidRPr="006C37DC">
        <w:rPr>
          <w:rFonts w:ascii="Arial" w:eastAsia="Times New Roman" w:hAnsi="Arial" w:cs="Arial"/>
          <w:b/>
          <w:bCs/>
          <w:color w:val="000000"/>
          <w:lang w:bidi="en-US"/>
        </w:rPr>
        <w:t>s</w:t>
      </w:r>
      <w:r w:rsidRPr="006C37DC">
        <w:rPr>
          <w:rFonts w:ascii="Arial" w:eastAsia="Times New Roman" w:hAnsi="Arial" w:cs="Arial"/>
          <w:bCs/>
          <w:color w:val="000000"/>
          <w:lang w:bidi="en-US"/>
        </w:rPr>
        <w:t xml:space="preserve"> and </w:t>
      </w:r>
      <w:r w:rsidRPr="006C37DC">
        <w:rPr>
          <w:rFonts w:ascii="Arial" w:eastAsia="Times New Roman" w:hAnsi="Arial" w:cs="Arial"/>
          <w:b/>
          <w:bCs/>
          <w:color w:val="000000"/>
          <w:lang w:bidi="en-US"/>
        </w:rPr>
        <w:t>t</w:t>
      </w:r>
      <w:r w:rsidRPr="006C37DC">
        <w:rPr>
          <w:rFonts w:ascii="Arial" w:eastAsia="Times New Roman" w:hAnsi="Arial" w:cs="Arial"/>
          <w:bCs/>
          <w:color w:val="000000"/>
          <w:lang w:bidi="en-US"/>
        </w:rPr>
        <w:t xml:space="preserve">) prior to statistical analysis, an arcsin transformation of values was performed. </w:t>
      </w:r>
      <w:r w:rsidRPr="006C37DC">
        <w:rPr>
          <w:rFonts w:ascii="Arial" w:eastAsia="Times New Roman" w:hAnsi="Arial" w:cs="Arial"/>
          <w:bCs/>
          <w:color w:val="000000"/>
        </w:rPr>
        <w:t xml:space="preserve">Scale bars are as follows: </w:t>
      </w:r>
      <w:r w:rsidRPr="006C37DC">
        <w:rPr>
          <w:rFonts w:ascii="Arial" w:eastAsia="Times New Roman" w:hAnsi="Arial" w:cs="Arial"/>
          <w:b/>
          <w:bCs/>
          <w:color w:val="000000"/>
        </w:rPr>
        <w:t xml:space="preserve">e-j, </w:t>
      </w:r>
      <w:r w:rsidRPr="006C37DC">
        <w:rPr>
          <w:rFonts w:ascii="Arial" w:eastAsia="Times New Roman" w:hAnsi="Arial" w:cs="Arial"/>
          <w:bCs/>
          <w:color w:val="000000"/>
        </w:rPr>
        <w:t xml:space="preserve">100µm, </w:t>
      </w:r>
      <w:r w:rsidRPr="006C37DC">
        <w:rPr>
          <w:rFonts w:ascii="Arial" w:eastAsia="Times New Roman" w:hAnsi="Arial" w:cs="Arial"/>
          <w:b/>
          <w:bCs/>
          <w:color w:val="000000"/>
        </w:rPr>
        <w:t xml:space="preserve">k-p, </w:t>
      </w:r>
      <w:r w:rsidRPr="006C37DC">
        <w:rPr>
          <w:rFonts w:ascii="Arial" w:eastAsia="Times New Roman" w:hAnsi="Arial" w:cs="Arial"/>
          <w:bCs/>
          <w:color w:val="000000"/>
        </w:rPr>
        <w:t xml:space="preserve">25µm. </w:t>
      </w:r>
      <w:r w:rsidRPr="006C37DC">
        <w:rPr>
          <w:rFonts w:ascii="Arial" w:eastAsia="Times New Roman" w:hAnsi="Arial" w:cs="Arial"/>
          <w:bCs/>
          <w:color w:val="000000"/>
          <w:lang w:bidi="en-US"/>
        </w:rPr>
        <w:t>Error bars = s.e.m.</w:t>
      </w:r>
    </w:p>
    <w:p w14:paraId="38C0FAA9" w14:textId="22A1558C" w:rsidR="006C37DC" w:rsidRPr="006C37DC" w:rsidRDefault="006C37DC" w:rsidP="006C37DC">
      <w:pPr>
        <w:spacing w:after="160" w:line="360" w:lineRule="auto"/>
        <w:rPr>
          <w:rFonts w:ascii="Arial" w:eastAsia="Times New Roman" w:hAnsi="Arial" w:cs="Arial"/>
          <w:bCs/>
          <w:color w:val="000000"/>
          <w:lang w:bidi="en-US"/>
        </w:rPr>
      </w:pPr>
      <w:r w:rsidRPr="006C37DC">
        <w:rPr>
          <w:rFonts w:ascii="Arial" w:eastAsia="Times New Roman" w:hAnsi="Arial" w:cs="Arial"/>
          <w:bCs/>
          <w:color w:val="000000"/>
          <w:lang w:bidi="en-US"/>
        </w:rPr>
        <w:t xml:space="preserve">Having established that overall </w:t>
      </w:r>
      <w:r w:rsidRPr="006C37DC">
        <w:rPr>
          <w:rFonts w:ascii="Arial" w:eastAsia="Times New Roman" w:hAnsi="Arial" w:cs="Arial"/>
          <w:bCs/>
          <w:i/>
          <w:color w:val="000000"/>
          <w:lang w:bidi="en-US"/>
        </w:rPr>
        <w:t xml:space="preserve">PpTMM </w:t>
      </w:r>
      <w:r w:rsidRPr="006C37DC">
        <w:rPr>
          <w:rFonts w:ascii="Arial" w:eastAsia="Times New Roman" w:hAnsi="Arial" w:cs="Arial"/>
          <w:bCs/>
          <w:color w:val="000000"/>
          <w:lang w:bidi="en-US"/>
        </w:rPr>
        <w:t xml:space="preserve">and </w:t>
      </w:r>
      <w:r w:rsidRPr="006C37DC">
        <w:rPr>
          <w:rFonts w:ascii="Arial" w:eastAsia="Times New Roman" w:hAnsi="Arial" w:cs="Arial"/>
          <w:bCs/>
          <w:i/>
          <w:color w:val="000000"/>
          <w:lang w:bidi="en-US"/>
        </w:rPr>
        <w:t xml:space="preserve">PpERECTA1 </w:t>
      </w:r>
      <w:r w:rsidRPr="006C37DC">
        <w:rPr>
          <w:rFonts w:ascii="Arial" w:eastAsia="Times New Roman" w:hAnsi="Arial" w:cs="Arial"/>
          <w:bCs/>
          <w:color w:val="000000"/>
          <w:lang w:bidi="en-US"/>
        </w:rPr>
        <w:t xml:space="preserve">absence results generally in fewer stomata forming in single mutant backgrounds it was hypothesized that a synergistic interaction between these membrane receptor components might occur. Indeed, in the </w:t>
      </w:r>
      <w:r w:rsidRPr="006C37DC">
        <w:rPr>
          <w:rFonts w:ascii="Arial" w:eastAsia="Times New Roman" w:hAnsi="Arial" w:cs="Arial"/>
          <w:bCs/>
          <w:i/>
          <w:color w:val="000000"/>
          <w:lang w:bidi="en-US"/>
        </w:rPr>
        <w:t xml:space="preserve">pptmm-erecta1 </w:t>
      </w:r>
      <w:r w:rsidRPr="006C37DC">
        <w:rPr>
          <w:rFonts w:ascii="Arial" w:eastAsia="Times New Roman" w:hAnsi="Arial" w:cs="Arial"/>
          <w:bCs/>
          <w:color w:val="000000"/>
          <w:lang w:bidi="en-US"/>
        </w:rPr>
        <w:t xml:space="preserve">line isolated, fewer stomata were apparent than in either of the single </w:t>
      </w:r>
      <w:r w:rsidRPr="006C37DC">
        <w:rPr>
          <w:rFonts w:ascii="Arial" w:eastAsia="Times New Roman" w:hAnsi="Arial" w:cs="Arial"/>
          <w:bCs/>
          <w:i/>
          <w:color w:val="000000"/>
          <w:lang w:bidi="en-US"/>
        </w:rPr>
        <w:t xml:space="preserve">pptmm </w:t>
      </w:r>
      <w:r w:rsidRPr="006C37DC">
        <w:rPr>
          <w:rFonts w:ascii="Arial" w:eastAsia="Times New Roman" w:hAnsi="Arial" w:cs="Arial"/>
          <w:bCs/>
          <w:color w:val="000000"/>
          <w:lang w:bidi="en-US"/>
        </w:rPr>
        <w:t xml:space="preserve">or </w:t>
      </w:r>
      <w:r w:rsidRPr="006C37DC">
        <w:rPr>
          <w:rFonts w:ascii="Arial" w:eastAsia="Times New Roman" w:hAnsi="Arial" w:cs="Arial"/>
          <w:bCs/>
          <w:i/>
          <w:color w:val="000000"/>
          <w:lang w:bidi="en-US"/>
        </w:rPr>
        <w:t xml:space="preserve">pperecta1 </w:t>
      </w:r>
      <w:r w:rsidRPr="006C37DC">
        <w:rPr>
          <w:rFonts w:ascii="Arial" w:eastAsia="Times New Roman" w:hAnsi="Arial" w:cs="Arial"/>
          <w:bCs/>
          <w:color w:val="000000"/>
          <w:lang w:bidi="en-US"/>
        </w:rPr>
        <w:t>backgrounds when sporophyte capsule bases were surveyed (</w:t>
      </w:r>
      <w:r w:rsidRPr="006C37DC">
        <w:rPr>
          <w:rFonts w:ascii="Arial" w:eastAsia="Times New Roman" w:hAnsi="Arial" w:cs="Arial"/>
          <w:b/>
          <w:bCs/>
          <w:color w:val="000000"/>
          <w:lang w:bidi="en-US"/>
        </w:rPr>
        <w:t>Fig. 20e</w:t>
      </w:r>
      <w:r w:rsidRPr="006C37DC">
        <w:rPr>
          <w:rFonts w:ascii="Arial" w:eastAsia="Times New Roman" w:hAnsi="Arial" w:cs="Arial"/>
          <w:bCs/>
          <w:color w:val="000000"/>
          <w:lang w:bidi="en-US"/>
        </w:rPr>
        <w:t>-</w:t>
      </w:r>
      <w:r w:rsidRPr="006C37DC">
        <w:rPr>
          <w:rFonts w:ascii="Arial" w:eastAsia="Times New Roman" w:hAnsi="Arial" w:cs="Arial"/>
          <w:b/>
          <w:bCs/>
          <w:color w:val="000000"/>
          <w:lang w:bidi="en-US"/>
        </w:rPr>
        <w:t>h</w:t>
      </w:r>
      <w:r w:rsidRPr="006C37DC">
        <w:rPr>
          <w:rFonts w:ascii="Arial" w:eastAsia="Times New Roman" w:hAnsi="Arial" w:cs="Arial"/>
          <w:bCs/>
          <w:color w:val="000000"/>
          <w:lang w:bidi="en-US"/>
        </w:rPr>
        <w:t xml:space="preserve">). Like with the mutant </w:t>
      </w:r>
      <w:r w:rsidRPr="006C37DC">
        <w:rPr>
          <w:rFonts w:ascii="Arial" w:eastAsia="Times New Roman" w:hAnsi="Arial" w:cs="Arial"/>
          <w:bCs/>
          <w:i/>
          <w:color w:val="000000"/>
          <w:lang w:bidi="en-US"/>
        </w:rPr>
        <w:t xml:space="preserve">pptmm-erecta1 </w:t>
      </w:r>
      <w:r w:rsidRPr="006C37DC">
        <w:rPr>
          <w:rFonts w:ascii="Arial" w:eastAsia="Times New Roman" w:hAnsi="Arial" w:cs="Arial"/>
          <w:bCs/>
          <w:color w:val="000000"/>
          <w:lang w:bidi="en-US"/>
        </w:rPr>
        <w:t xml:space="preserve">line, removal of </w:t>
      </w:r>
      <w:r w:rsidRPr="006C37DC">
        <w:rPr>
          <w:rFonts w:ascii="Arial" w:eastAsia="Times New Roman" w:hAnsi="Arial" w:cs="Arial"/>
          <w:bCs/>
          <w:i/>
          <w:color w:val="000000"/>
          <w:lang w:bidi="en-US"/>
        </w:rPr>
        <w:t xml:space="preserve">PpERECTA1 </w:t>
      </w:r>
      <w:r w:rsidRPr="006C37DC">
        <w:rPr>
          <w:rFonts w:ascii="Arial" w:eastAsia="Times New Roman" w:hAnsi="Arial" w:cs="Arial"/>
          <w:bCs/>
          <w:color w:val="000000"/>
          <w:lang w:bidi="en-US"/>
        </w:rPr>
        <w:t xml:space="preserve">in </w:t>
      </w:r>
      <w:r w:rsidRPr="006C37DC">
        <w:rPr>
          <w:rFonts w:ascii="Arial" w:eastAsia="Times New Roman" w:hAnsi="Arial" w:cs="Arial"/>
          <w:bCs/>
          <w:i/>
          <w:color w:val="000000"/>
          <w:lang w:bidi="en-US"/>
        </w:rPr>
        <w:t xml:space="preserve">ppepf1-1 </w:t>
      </w:r>
      <w:r w:rsidRPr="006C37DC">
        <w:rPr>
          <w:rFonts w:ascii="Arial" w:eastAsia="Times New Roman" w:hAnsi="Arial" w:cs="Arial"/>
          <w:bCs/>
          <w:color w:val="000000"/>
          <w:lang w:bidi="en-US"/>
        </w:rPr>
        <w:t xml:space="preserve">led to feewer stomata forming comparably to the single </w:t>
      </w:r>
      <w:r w:rsidRPr="006C37DC">
        <w:rPr>
          <w:rFonts w:ascii="Arial" w:eastAsia="Times New Roman" w:hAnsi="Arial" w:cs="Arial"/>
          <w:bCs/>
          <w:i/>
          <w:color w:val="000000"/>
          <w:lang w:bidi="en-US"/>
        </w:rPr>
        <w:t xml:space="preserve">ppepf1-1 </w:t>
      </w:r>
      <w:r w:rsidRPr="006C37DC">
        <w:rPr>
          <w:rFonts w:ascii="Arial" w:eastAsia="Times New Roman" w:hAnsi="Arial" w:cs="Arial"/>
          <w:bCs/>
          <w:color w:val="000000"/>
          <w:lang w:bidi="en-US"/>
        </w:rPr>
        <w:t xml:space="preserve">background. However, akin to single mutant </w:t>
      </w:r>
      <w:r w:rsidRPr="006C37DC">
        <w:rPr>
          <w:rFonts w:ascii="Arial" w:eastAsia="Times New Roman" w:hAnsi="Arial" w:cs="Arial"/>
          <w:bCs/>
          <w:i/>
          <w:color w:val="000000"/>
          <w:lang w:bidi="en-US"/>
        </w:rPr>
        <w:t xml:space="preserve">ppepf1 </w:t>
      </w:r>
      <w:r w:rsidRPr="006C37DC">
        <w:rPr>
          <w:rFonts w:ascii="Arial" w:eastAsia="Times New Roman" w:hAnsi="Arial" w:cs="Arial"/>
          <w:bCs/>
          <w:color w:val="000000"/>
          <w:lang w:bidi="en-US"/>
        </w:rPr>
        <w:t xml:space="preserve">lines, clustering was profuse in </w:t>
      </w:r>
      <w:r w:rsidRPr="006C37DC">
        <w:rPr>
          <w:rFonts w:ascii="Arial" w:eastAsia="Times New Roman" w:hAnsi="Arial" w:cs="Arial"/>
          <w:bCs/>
          <w:i/>
          <w:color w:val="000000"/>
          <w:lang w:bidi="en-US"/>
        </w:rPr>
        <w:t xml:space="preserve">ppepf1-erecta1 </w:t>
      </w:r>
      <w:r w:rsidRPr="006C37DC">
        <w:rPr>
          <w:rFonts w:ascii="Arial" w:eastAsia="Times New Roman" w:hAnsi="Arial" w:cs="Arial"/>
          <w:bCs/>
          <w:color w:val="000000"/>
          <w:lang w:bidi="en-US"/>
        </w:rPr>
        <w:t>mutant lines (</w:t>
      </w:r>
      <w:r w:rsidRPr="006C37DC">
        <w:rPr>
          <w:rFonts w:ascii="Arial" w:eastAsia="Times New Roman" w:hAnsi="Arial" w:cs="Arial"/>
          <w:b/>
          <w:bCs/>
          <w:color w:val="000000"/>
          <w:lang w:bidi="en-US"/>
        </w:rPr>
        <w:t>Fig. 20g</w:t>
      </w:r>
      <w:r w:rsidRPr="006C37DC">
        <w:rPr>
          <w:rFonts w:ascii="Arial" w:eastAsia="Times New Roman" w:hAnsi="Arial" w:cs="Arial"/>
          <w:bCs/>
          <w:color w:val="000000"/>
          <w:lang w:bidi="en-US"/>
        </w:rPr>
        <w:t>-</w:t>
      </w:r>
      <w:r w:rsidRPr="006C37DC">
        <w:rPr>
          <w:rFonts w:ascii="Arial" w:eastAsia="Times New Roman" w:hAnsi="Arial" w:cs="Arial"/>
          <w:b/>
          <w:bCs/>
          <w:color w:val="000000"/>
          <w:lang w:bidi="en-US"/>
        </w:rPr>
        <w:t>j</w:t>
      </w:r>
      <w:r w:rsidRPr="006C37DC">
        <w:rPr>
          <w:rFonts w:ascii="Arial" w:eastAsia="Times New Roman" w:hAnsi="Arial" w:cs="Arial"/>
          <w:bCs/>
          <w:color w:val="000000"/>
          <w:lang w:bidi="en-US"/>
        </w:rPr>
        <w:t xml:space="preserve">). Closer observations of the epidermis of </w:t>
      </w:r>
      <w:r w:rsidRPr="006C37DC">
        <w:rPr>
          <w:rFonts w:ascii="Arial" w:eastAsia="Times New Roman" w:hAnsi="Arial" w:cs="Arial"/>
          <w:bCs/>
          <w:i/>
          <w:color w:val="000000"/>
          <w:lang w:bidi="en-US"/>
        </w:rPr>
        <w:t xml:space="preserve">pptmm-erecta1 </w:t>
      </w:r>
      <w:r w:rsidRPr="006C37DC">
        <w:rPr>
          <w:rFonts w:ascii="Arial" w:eastAsia="Times New Roman" w:hAnsi="Arial" w:cs="Arial"/>
          <w:bCs/>
          <w:color w:val="000000"/>
          <w:lang w:bidi="en-US"/>
        </w:rPr>
        <w:t xml:space="preserve">and </w:t>
      </w:r>
      <w:r w:rsidRPr="006C37DC">
        <w:rPr>
          <w:rFonts w:ascii="Arial" w:eastAsia="Times New Roman" w:hAnsi="Arial" w:cs="Arial"/>
          <w:bCs/>
          <w:i/>
          <w:color w:val="000000"/>
          <w:lang w:bidi="en-US"/>
        </w:rPr>
        <w:t>ppepf1-erecta1</w:t>
      </w:r>
      <w:r w:rsidRPr="006C37DC">
        <w:rPr>
          <w:rFonts w:ascii="Arial" w:eastAsia="Times New Roman" w:hAnsi="Arial" w:cs="Arial"/>
          <w:bCs/>
          <w:color w:val="000000"/>
          <w:lang w:bidi="en-US"/>
        </w:rPr>
        <w:t xml:space="preserve"> mutants suggested that like the </w:t>
      </w:r>
      <w:r w:rsidRPr="006C37DC">
        <w:rPr>
          <w:rFonts w:ascii="Arial" w:eastAsia="Times New Roman" w:hAnsi="Arial" w:cs="Arial"/>
          <w:bCs/>
          <w:i/>
          <w:color w:val="000000"/>
          <w:lang w:bidi="en-US"/>
        </w:rPr>
        <w:t xml:space="preserve">pptmm-epf1 </w:t>
      </w:r>
      <w:r w:rsidRPr="006C37DC">
        <w:rPr>
          <w:rFonts w:ascii="Arial" w:eastAsia="Times New Roman" w:hAnsi="Arial" w:cs="Arial"/>
          <w:bCs/>
          <w:color w:val="000000"/>
          <w:lang w:bidi="en-US"/>
        </w:rPr>
        <w:t>mutant that abnormally shaped stomata were forming and again this often occurred at the peripheral boundaries of where stomata ordinarily formed (</w:t>
      </w:r>
      <w:r w:rsidRPr="006C37DC">
        <w:rPr>
          <w:rFonts w:ascii="Arial" w:eastAsia="Times New Roman" w:hAnsi="Arial" w:cs="Arial"/>
          <w:b/>
          <w:bCs/>
          <w:color w:val="000000"/>
          <w:lang w:bidi="en-US"/>
        </w:rPr>
        <w:t>Fig. 20k</w:t>
      </w:r>
      <w:r w:rsidRPr="006C37DC">
        <w:rPr>
          <w:rFonts w:ascii="Arial" w:eastAsia="Times New Roman" w:hAnsi="Arial" w:cs="Arial"/>
          <w:bCs/>
          <w:color w:val="000000"/>
          <w:lang w:bidi="en-US"/>
        </w:rPr>
        <w:t>-</w:t>
      </w:r>
      <w:r w:rsidRPr="006C37DC">
        <w:rPr>
          <w:rFonts w:ascii="Arial" w:eastAsia="Times New Roman" w:hAnsi="Arial" w:cs="Arial"/>
          <w:b/>
          <w:bCs/>
          <w:color w:val="000000"/>
          <w:lang w:bidi="en-US"/>
        </w:rPr>
        <w:t>p</w:t>
      </w:r>
      <w:r w:rsidRPr="006C37DC">
        <w:rPr>
          <w:rFonts w:ascii="Arial" w:eastAsia="Times New Roman" w:hAnsi="Arial" w:cs="Arial"/>
          <w:bCs/>
          <w:color w:val="000000"/>
          <w:lang w:bidi="en-US"/>
        </w:rPr>
        <w:t xml:space="preserve">). </w:t>
      </w:r>
    </w:p>
    <w:p w14:paraId="5E5CEAC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lang w:bidi="en-US"/>
        </w:rPr>
        <w:t xml:space="preserve">Quantification of the overall number of stomata that formed in </w:t>
      </w:r>
      <w:r w:rsidRPr="006C37DC">
        <w:rPr>
          <w:rFonts w:ascii="Arial" w:eastAsia="Times New Roman" w:hAnsi="Arial" w:cs="Arial"/>
          <w:bCs/>
          <w:i/>
          <w:color w:val="000000"/>
        </w:rPr>
        <w:t xml:space="preserve">pptmm-erecta1 </w:t>
      </w:r>
      <w:r w:rsidRPr="006C37DC">
        <w:rPr>
          <w:rFonts w:ascii="Arial" w:eastAsia="Times New Roman" w:hAnsi="Arial" w:cs="Arial"/>
          <w:bCs/>
          <w:color w:val="000000"/>
        </w:rPr>
        <w:t xml:space="preserve">and </w:t>
      </w:r>
      <w:r w:rsidRPr="006C37DC">
        <w:rPr>
          <w:rFonts w:ascii="Arial" w:eastAsia="Times New Roman" w:hAnsi="Arial" w:cs="Arial"/>
          <w:bCs/>
          <w:i/>
          <w:color w:val="000000"/>
        </w:rPr>
        <w:t xml:space="preserve">ppepf1-erecta1-1 </w:t>
      </w:r>
      <w:r w:rsidRPr="006C37DC">
        <w:rPr>
          <w:rFonts w:ascii="Arial" w:eastAsia="Times New Roman" w:hAnsi="Arial" w:cs="Arial"/>
          <w:bCs/>
          <w:color w:val="000000"/>
        </w:rPr>
        <w:t xml:space="preserve">found that in both cases stomatal number was reduced relative to the single </w:t>
      </w:r>
      <w:r w:rsidRPr="006C37DC">
        <w:rPr>
          <w:rFonts w:ascii="Arial" w:eastAsia="Times New Roman" w:hAnsi="Arial" w:cs="Arial"/>
          <w:bCs/>
          <w:color w:val="000000"/>
        </w:rPr>
        <w:lastRenderedPageBreak/>
        <w:t xml:space="preserve">background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and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equivalents (</w:t>
      </w:r>
      <w:r w:rsidRPr="006C37DC">
        <w:rPr>
          <w:rFonts w:ascii="Arial" w:eastAsia="Times New Roman" w:hAnsi="Arial" w:cs="Arial"/>
          <w:b/>
          <w:bCs/>
          <w:color w:val="000000"/>
        </w:rPr>
        <w:t xml:space="preserve">Fig. 20q </w:t>
      </w:r>
      <w:r w:rsidRPr="006C37DC">
        <w:rPr>
          <w:rFonts w:ascii="Arial" w:eastAsia="Times New Roman" w:hAnsi="Arial" w:cs="Arial"/>
          <w:bCs/>
          <w:color w:val="000000"/>
        </w:rPr>
        <w:t xml:space="preserve">and </w:t>
      </w:r>
      <w:r w:rsidRPr="006C37DC">
        <w:rPr>
          <w:rFonts w:ascii="Arial" w:eastAsia="Times New Roman" w:hAnsi="Arial" w:cs="Arial"/>
          <w:b/>
          <w:bCs/>
          <w:color w:val="000000"/>
        </w:rPr>
        <w:t>r</w:t>
      </w:r>
      <w:r w:rsidRPr="006C37DC">
        <w:rPr>
          <w:rFonts w:ascii="Arial" w:eastAsia="Times New Roman" w:hAnsi="Arial" w:cs="Arial"/>
          <w:bCs/>
          <w:color w:val="000000"/>
        </w:rPr>
        <w:t xml:space="preserve">). This was significantly so for the </w:t>
      </w:r>
      <w:r w:rsidRPr="006C37DC">
        <w:rPr>
          <w:rFonts w:ascii="Arial" w:eastAsia="Times New Roman" w:hAnsi="Arial" w:cs="Arial"/>
          <w:bCs/>
          <w:i/>
          <w:color w:val="000000"/>
        </w:rPr>
        <w:t xml:space="preserve">ppepf1-erecta1-2 </w:t>
      </w:r>
      <w:r w:rsidRPr="006C37DC">
        <w:rPr>
          <w:rFonts w:ascii="Arial" w:eastAsia="Times New Roman" w:hAnsi="Arial" w:cs="Arial"/>
          <w:bCs/>
          <w:color w:val="000000"/>
        </w:rPr>
        <w:t xml:space="preserve">line comparatively to the </w:t>
      </w:r>
      <w:r w:rsidRPr="006C37DC">
        <w:rPr>
          <w:rFonts w:ascii="Arial" w:eastAsia="Times New Roman" w:hAnsi="Arial" w:cs="Arial"/>
          <w:bCs/>
          <w:i/>
          <w:color w:val="000000"/>
        </w:rPr>
        <w:t xml:space="preserve">ppepf1-1 </w:t>
      </w:r>
      <w:r w:rsidRPr="006C37DC">
        <w:rPr>
          <w:rFonts w:ascii="Arial" w:eastAsia="Times New Roman" w:hAnsi="Arial" w:cs="Arial"/>
          <w:bCs/>
          <w:color w:val="000000"/>
        </w:rPr>
        <w:t>background when a one-way ANOVA with multiple comparisons corrected using a Tukey test was performed (</w:t>
      </w:r>
      <w:r w:rsidRPr="006C37DC">
        <w:rPr>
          <w:rFonts w:ascii="Arial" w:eastAsia="Times New Roman" w:hAnsi="Arial" w:cs="Arial"/>
          <w:bCs/>
          <w:i/>
          <w:color w:val="000000"/>
        </w:rPr>
        <w:t xml:space="preserve">P </w:t>
      </w:r>
      <w:r w:rsidRPr="006C37DC">
        <w:rPr>
          <w:rFonts w:ascii="Arial" w:eastAsia="Times New Roman" w:hAnsi="Arial" w:cs="Arial"/>
          <w:bCs/>
          <w:color w:val="000000"/>
        </w:rPr>
        <w:t xml:space="preserve">&lt; 0.05). The number of stomata in </w:t>
      </w:r>
      <w:r w:rsidRPr="006C37DC">
        <w:rPr>
          <w:rFonts w:ascii="Arial" w:eastAsia="Times New Roman" w:hAnsi="Arial" w:cs="Arial"/>
          <w:bCs/>
          <w:i/>
          <w:color w:val="000000"/>
        </w:rPr>
        <w:t xml:space="preserve">ppepf1-erecta1 </w:t>
      </w:r>
      <w:r w:rsidRPr="006C37DC">
        <w:rPr>
          <w:rFonts w:ascii="Arial" w:eastAsia="Times New Roman" w:hAnsi="Arial" w:cs="Arial"/>
          <w:bCs/>
          <w:color w:val="000000"/>
        </w:rPr>
        <w:t xml:space="preserve">lines were however significantly greater than the single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line which implies that the same level of epistasis exhibited between </w:t>
      </w:r>
      <w:r w:rsidRPr="006C37DC">
        <w:rPr>
          <w:rFonts w:ascii="Arial" w:eastAsia="Times New Roman" w:hAnsi="Arial" w:cs="Arial"/>
          <w:bCs/>
          <w:i/>
          <w:color w:val="000000"/>
        </w:rPr>
        <w:t>PpTMM</w:t>
      </w:r>
      <w:r w:rsidRPr="006C37DC">
        <w:rPr>
          <w:rFonts w:ascii="Arial" w:eastAsia="Times New Roman" w:hAnsi="Arial" w:cs="Arial"/>
          <w:bCs/>
          <w:color w:val="000000"/>
        </w:rPr>
        <w:t xml:space="preserve"> and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does not occur between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and </w:t>
      </w:r>
      <w:r w:rsidRPr="006C37DC">
        <w:rPr>
          <w:rFonts w:ascii="Arial" w:eastAsia="Times New Roman" w:hAnsi="Arial" w:cs="Arial"/>
          <w:bCs/>
          <w:i/>
          <w:color w:val="000000"/>
        </w:rPr>
        <w:t>PpEPF1</w:t>
      </w:r>
      <w:r w:rsidRPr="006C37DC">
        <w:rPr>
          <w:rFonts w:ascii="Arial" w:eastAsia="Times New Roman" w:hAnsi="Arial" w:cs="Arial"/>
          <w:bCs/>
          <w:color w:val="000000"/>
        </w:rPr>
        <w:t>. That is, in respect to overall functioning, PpEPF1 appears to be less heavily reliant on PpERECTA1 comparatively to PpTMM, which is perhaps explained by the redundancy that could occur amongst PpERECTAs during stomatal patterning (and other growth processes). The percentage of total stomata that formed in clusters was also quantified and no significant differences were detected between the background lines (</w:t>
      </w:r>
      <w:r w:rsidRPr="006C37DC">
        <w:rPr>
          <w:rFonts w:ascii="Arial" w:eastAsia="Times New Roman" w:hAnsi="Arial" w:cs="Arial"/>
          <w:bCs/>
          <w:i/>
          <w:color w:val="000000"/>
        </w:rPr>
        <w:t xml:space="preserve">pptmm-1 </w:t>
      </w:r>
      <w:r w:rsidRPr="006C37DC">
        <w:rPr>
          <w:rFonts w:ascii="Arial" w:eastAsia="Times New Roman" w:hAnsi="Arial" w:cs="Arial"/>
          <w:bCs/>
          <w:color w:val="000000"/>
        </w:rPr>
        <w:t xml:space="preserve">and </w:t>
      </w:r>
      <w:r w:rsidRPr="006C37DC">
        <w:rPr>
          <w:rFonts w:ascii="Arial" w:eastAsia="Times New Roman" w:hAnsi="Arial" w:cs="Arial"/>
          <w:bCs/>
          <w:i/>
          <w:color w:val="000000"/>
        </w:rPr>
        <w:t>ppepf1-1</w:t>
      </w:r>
      <w:r w:rsidRPr="006C37DC">
        <w:rPr>
          <w:rFonts w:ascii="Arial" w:eastAsia="Times New Roman" w:hAnsi="Arial" w:cs="Arial"/>
          <w:bCs/>
          <w:color w:val="000000"/>
        </w:rPr>
        <w:t>) and the double mutants (</w:t>
      </w:r>
      <w:r w:rsidRPr="006C37DC">
        <w:rPr>
          <w:rFonts w:ascii="Arial" w:eastAsia="Times New Roman" w:hAnsi="Arial" w:cs="Arial"/>
          <w:b/>
          <w:bCs/>
          <w:color w:val="000000"/>
        </w:rPr>
        <w:t>Fig. 20s</w:t>
      </w:r>
      <w:r w:rsidRPr="006C37DC">
        <w:rPr>
          <w:rFonts w:ascii="Arial" w:eastAsia="Times New Roman" w:hAnsi="Arial" w:cs="Arial"/>
          <w:bCs/>
          <w:color w:val="000000"/>
        </w:rPr>
        <w:t>-</w:t>
      </w:r>
      <w:r w:rsidRPr="006C37DC">
        <w:rPr>
          <w:rFonts w:ascii="Arial" w:eastAsia="Times New Roman" w:hAnsi="Arial" w:cs="Arial"/>
          <w:b/>
          <w:bCs/>
          <w:color w:val="000000"/>
        </w:rPr>
        <w:t>t</w:t>
      </w:r>
      <w:r w:rsidRPr="006C37DC">
        <w:rPr>
          <w:rFonts w:ascii="Arial" w:eastAsia="Times New Roman" w:hAnsi="Arial" w:cs="Arial"/>
          <w:bCs/>
          <w:color w:val="000000"/>
        </w:rPr>
        <w:t xml:space="preserve">). However, in both </w:t>
      </w:r>
      <w:r w:rsidRPr="006C37DC">
        <w:rPr>
          <w:rFonts w:ascii="Arial" w:eastAsia="Times New Roman" w:hAnsi="Arial" w:cs="Arial"/>
          <w:bCs/>
          <w:i/>
          <w:color w:val="000000"/>
        </w:rPr>
        <w:t xml:space="preserve">pptmm-erecta1 </w:t>
      </w:r>
      <w:r w:rsidRPr="006C37DC">
        <w:rPr>
          <w:rFonts w:ascii="Arial" w:eastAsia="Times New Roman" w:hAnsi="Arial" w:cs="Arial"/>
          <w:bCs/>
          <w:color w:val="000000"/>
        </w:rPr>
        <w:t xml:space="preserve">and </w:t>
      </w:r>
      <w:r w:rsidRPr="006C37DC">
        <w:rPr>
          <w:rFonts w:ascii="Arial" w:eastAsia="Times New Roman" w:hAnsi="Arial" w:cs="Arial"/>
          <w:bCs/>
          <w:i/>
          <w:color w:val="000000"/>
        </w:rPr>
        <w:t>ppepf1-erecta1</w:t>
      </w:r>
      <w:r w:rsidRPr="006C37DC">
        <w:rPr>
          <w:rFonts w:ascii="Arial" w:eastAsia="Times New Roman" w:hAnsi="Arial" w:cs="Arial"/>
          <w:bCs/>
          <w:color w:val="000000"/>
        </w:rPr>
        <w:t xml:space="preserve"> lines there was significantly more clustering than in the single </w:t>
      </w:r>
      <w:r w:rsidRPr="006C37DC">
        <w:rPr>
          <w:rFonts w:ascii="Arial" w:eastAsia="Times New Roman" w:hAnsi="Arial" w:cs="Arial"/>
          <w:bCs/>
          <w:i/>
          <w:color w:val="000000"/>
        </w:rPr>
        <w:t xml:space="preserve">pperecta1-1 </w:t>
      </w:r>
      <w:r w:rsidRPr="006C37DC">
        <w:rPr>
          <w:rFonts w:ascii="Arial" w:eastAsia="Times New Roman" w:hAnsi="Arial" w:cs="Arial"/>
          <w:bCs/>
          <w:color w:val="000000"/>
        </w:rPr>
        <w:t>line which further illustrates the importance of both PpTMM</w:t>
      </w:r>
      <w:r w:rsidRPr="006C37DC">
        <w:rPr>
          <w:rFonts w:ascii="Arial" w:eastAsia="Times New Roman" w:hAnsi="Arial" w:cs="Arial"/>
          <w:bCs/>
          <w:i/>
          <w:color w:val="000000"/>
        </w:rPr>
        <w:t xml:space="preserve"> and </w:t>
      </w:r>
      <w:r w:rsidRPr="006C37DC">
        <w:rPr>
          <w:rFonts w:ascii="Arial" w:eastAsia="Times New Roman" w:hAnsi="Arial" w:cs="Arial"/>
          <w:bCs/>
          <w:color w:val="000000"/>
        </w:rPr>
        <w:t>PpEPF1</w:t>
      </w:r>
      <w:r w:rsidRPr="006C37DC">
        <w:rPr>
          <w:rFonts w:ascii="Arial" w:eastAsia="Times New Roman" w:hAnsi="Arial" w:cs="Arial"/>
          <w:bCs/>
          <w:i/>
          <w:color w:val="000000"/>
        </w:rPr>
        <w:t xml:space="preserve"> </w:t>
      </w:r>
      <w:r w:rsidRPr="006C37DC">
        <w:rPr>
          <w:rFonts w:ascii="Arial" w:eastAsia="Times New Roman" w:hAnsi="Arial" w:cs="Arial"/>
          <w:bCs/>
          <w:color w:val="000000"/>
        </w:rPr>
        <w:t>in regulating stomatal clustering (</w:t>
      </w:r>
      <w:r w:rsidRPr="006C37DC">
        <w:rPr>
          <w:rFonts w:ascii="Arial" w:eastAsia="Times New Roman" w:hAnsi="Arial" w:cs="Arial"/>
          <w:b/>
          <w:bCs/>
          <w:color w:val="000000"/>
        </w:rPr>
        <w:t>Fig. 20s</w:t>
      </w:r>
      <w:r w:rsidRPr="006C37DC">
        <w:rPr>
          <w:rFonts w:ascii="Arial" w:eastAsia="Times New Roman" w:hAnsi="Arial" w:cs="Arial"/>
          <w:bCs/>
          <w:color w:val="000000"/>
        </w:rPr>
        <w:t>-</w:t>
      </w:r>
      <w:r w:rsidRPr="006C37DC">
        <w:rPr>
          <w:rFonts w:ascii="Arial" w:eastAsia="Times New Roman" w:hAnsi="Arial" w:cs="Arial"/>
          <w:b/>
          <w:bCs/>
          <w:color w:val="000000"/>
        </w:rPr>
        <w:t>t</w:t>
      </w:r>
      <w:r w:rsidRPr="006C37DC">
        <w:rPr>
          <w:rFonts w:ascii="Arial" w:eastAsia="Times New Roman" w:hAnsi="Arial" w:cs="Arial"/>
          <w:bCs/>
          <w:color w:val="000000"/>
        </w:rPr>
        <w:t>).</w:t>
      </w:r>
    </w:p>
    <w:p w14:paraId="2DA7B5C7" w14:textId="77777777" w:rsidR="006C37DC" w:rsidRPr="006C37DC" w:rsidRDefault="006C37DC" w:rsidP="006C37DC">
      <w:pPr>
        <w:spacing w:after="160" w:line="360" w:lineRule="auto"/>
        <w:rPr>
          <w:rFonts w:ascii="Arial" w:eastAsia="Times New Roman" w:hAnsi="Arial" w:cs="Arial"/>
          <w:b/>
          <w:bCs/>
          <w:color w:val="000000"/>
          <w:u w:val="single"/>
        </w:rPr>
      </w:pPr>
      <w:r w:rsidRPr="006C37DC">
        <w:rPr>
          <w:rFonts w:ascii="Arial" w:eastAsia="Times New Roman" w:hAnsi="Arial" w:cs="Arial"/>
          <w:b/>
          <w:bCs/>
          <w:color w:val="000000"/>
          <w:u w:val="single"/>
        </w:rPr>
        <w:t>4.3 Discussion</w:t>
      </w:r>
    </w:p>
    <w:p w14:paraId="15F552D6" w14:textId="33369EB0"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Ancient fossilised remains of plant cuticles suggest that stomata have been spaced by neighbouring epidermal cells on</w:t>
      </w:r>
      <w:r w:rsidR="006029DA">
        <w:rPr>
          <w:rFonts w:ascii="Arial" w:eastAsia="Times New Roman" w:hAnsi="Arial" w:cs="Arial"/>
          <w:bCs/>
          <w:color w:val="000000"/>
        </w:rPr>
        <w:t xml:space="preserve"> plant surfaces for at least 418</w:t>
      </w:r>
      <w:r w:rsidRPr="006C37DC">
        <w:rPr>
          <w:rFonts w:ascii="Arial" w:eastAsia="Times New Roman" w:hAnsi="Arial" w:cs="Arial"/>
          <w:bCs/>
          <w:color w:val="000000"/>
        </w:rPr>
        <w:t xml:space="preserve"> million years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&lt;EndNote&gt;&lt;Cite&gt;&lt;Author&gt;Edwards&lt;/Author&gt;&lt;Year&gt;1998&lt;/Year&gt;&lt;IDText&gt;Stomata in early land plants: an anatomical and ecophysiological approach&lt;/IDText&gt;&lt;DisplayText&gt;(Edwards et al., 1998)&lt;/DisplayText&gt;&lt;record&gt;&lt;dates&gt;&lt;pub-dates&gt;&lt;date&gt;Mar&lt;/date&gt;&lt;/pub-dates&gt;&lt;year&gt;1998&lt;/year&gt;&lt;/dates&gt;&lt;keywords&gt;&lt;keyword&gt;paleoecophysiology&lt;/keyword&gt;&lt;keyword&gt;Rhynie Chert&lt;/keyword&gt;&lt;keyword&gt;Siluro-Devonian&lt;/keyword&gt;&lt;keyword&gt;stomata&lt;/keyword&gt;&lt;keyword&gt;substomatal&lt;/keyword&gt;&lt;keyword&gt;chamber&lt;/keyword&gt;&lt;keyword&gt;VASCULAR PLANTS&lt;/keyword&gt;&lt;keyword&gt;SPOROPHYTES&lt;/keyword&gt;&lt;keyword&gt;EVAPORATION&lt;/keyword&gt;&lt;keyword&gt;EVOLUTION&lt;/keyword&gt;&lt;keyword&gt;CUTICLES&lt;/keyword&gt;&lt;keyword&gt;CELLS&lt;/keyword&gt;&lt;keyword&gt;CO2&lt;/keyword&gt;&lt;/keywords&gt;&lt;urls&gt;&lt;related-urls&gt;&lt;url&gt;&amp;lt;Go to ISI&amp;gt;://WOS:000072842300002&lt;/url&gt;&lt;/related-urls&gt;&lt;/urls&gt;&lt;isbn&gt;0022-0957&lt;/isbn&gt;&lt;work-type&gt;Article; Proceedings Paper&lt;/work-type&gt;&lt;titles&gt;&lt;title&gt;Stomata in early land plants: an anatomical and ecophysiological approach&lt;/title&gt;&lt;secondary-title&gt;Journal of Experimental Botany&lt;/secondary-title&gt;&lt;alt-title&gt;J. Exp. Bot.&lt;/alt-title&gt;&lt;/titles&gt;&lt;pages&gt;255-278&lt;/pages&gt;&lt;contributors&gt;&lt;authors&gt;&lt;author&gt;Edwards, D.&lt;/author&gt;&lt;author&gt;Kerp, H.&lt;/author&gt;&lt;author&gt;Hass, H.&lt;/author&gt;&lt;/authors&gt;&lt;/contributors&gt;&lt;language&gt;English&lt;/language&gt;&lt;added-date format="utc"&gt;1353956596&lt;/added-date&gt;&lt;ref-type name="Journal Article"&gt;17&lt;/ref-type&gt;&lt;auth-address&gt;Univ Wales, Dept Earth Sci, Cardiff CF1 3YE, S Glam, Wales. Univ Munster, Abt Palaobot, D-48143 Munster, Germany.&amp;#xD;Edwards, D (reprint author), Univ Wales, Dept Earth Sci, POB 914, Cardiff CF1 3YE, S Glam, Wales.&lt;/auth-address&gt;&lt;rec-number&gt;56&lt;/rec-number&gt;&lt;last-updated-date format="utc"&gt;1353956596&lt;/last-updated-date&gt;&lt;accession-num&gt;WOS:000072842300002&lt;/accession-num&gt;&lt;electronic-resource-num&gt;10.1093/jexbot/49.suppl_1.255&lt;/electronic-resource-num&gt;&lt;volume&gt;49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(Edwards et al., 1998)</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t>
      </w:r>
      <w:r w:rsidRPr="006C37DC">
        <w:rPr>
          <w:rFonts w:ascii="Arial" w:eastAsia="Times New Roman" w:hAnsi="Arial" w:cs="Arial"/>
          <w:b/>
          <w:bCs/>
          <w:color w:val="000000"/>
        </w:rPr>
        <w:t>Fig. 1</w:t>
      </w:r>
      <w:r w:rsidRPr="006C37DC">
        <w:rPr>
          <w:rFonts w:ascii="Arial" w:eastAsia="Times New Roman" w:hAnsi="Arial" w:cs="Arial"/>
          <w:bCs/>
          <w:color w:val="000000"/>
        </w:rPr>
        <w:t xml:space="preserve">). Such fossilised remains come from an age when the early diverging bryophyte lineages of today had already split from the ancestral plant lineage which perhaps suggests that stomata and their patterning mechanisms are very ancient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&lt;EndNote&gt;&lt;Cite&gt;&lt;Author&gt;Bowman&lt;/Author&gt;&lt;Year&gt;2011&lt;/Year&gt;&lt;IDText&gt;Stomata: Active Portals for Flourishing on Land&lt;/IDText&gt;&lt;DisplayText&gt;(Bowman, 2011; Bowman, 2013)&lt;/DisplayText&gt;&lt;record&gt;&lt;dates&gt;&lt;pub-dates&gt;&lt;date&gt;Jul&lt;/date&gt;&lt;/pub-dates&gt;&lt;year&gt;2011&lt;/year&gt;&lt;/dates&gt;&lt;urls&gt;&lt;related-urls&gt;&lt;url&gt;&amp;lt;Go to ISI&amp;gt;://WOS:000293320000007&lt;/url&gt;&lt;/related-urls&gt;&lt;/urls&gt;&lt;isbn&gt;0960-9822&lt;/isbn&gt;&lt;titles&gt;&lt;title&gt;Stomata: Active Portals for Flourishing on Land&lt;/title&gt;&lt;secondary-title&gt;Current Biology&lt;/secondary-title&gt;&lt;/titles&gt;&lt;pages&gt;R540-R541&lt;/pages&gt;&lt;number&gt;14&lt;/number&gt;&lt;contributors&gt;&lt;authors&gt;&lt;author&gt;Bowman, J. L.&lt;/author&gt;&lt;/authors&gt;&lt;/contributors&gt;&lt;added-date format="utc"&gt;1380190132&lt;/added-date&gt;&lt;ref-type name="Journal Article"&gt;17&lt;/ref-type&gt;&lt;rec-number&gt;117&lt;/rec-number&gt;&lt;last-updated-date format="utc"&gt;1380190132&lt;/last-updated-date&gt;&lt;accession-num&gt;WOS:000293320000007&lt;/accession-num&gt;&lt;electronic-resource-num&gt;10.1016/j.cub.2011.06.021&lt;/electronic-resource-num&gt;&lt;volume&gt;21&lt;/volume&gt;&lt;/record&gt;&lt;/Cite&gt;&lt;Cite&gt;&lt;Author&gt;Bowman&lt;/Author&gt;&lt;Year&gt;2013&lt;/Year&gt;&lt;IDText&gt;Walkabout on the long branches of plant evolution&lt;/IDText&gt;&lt;record&gt;&lt;dates&gt;&lt;pub-dates&gt;&lt;date&gt;2//&lt;/date&gt;&lt;/pub-dates&gt;&lt;year&gt;2013&lt;/year&gt;&lt;/dates&gt;&lt;urls&gt;&lt;related-urls&gt;&lt;url&gt;http://www.sciencedirect.com/science/article/pii/S1369526612001288&lt;/url&gt;&lt;/related-urls&gt;&lt;/urls&gt;&lt;isbn&gt;1369-5266&lt;/isbn&gt;&lt;titles&gt;&lt;title&gt;Walkabout on the long branches of plant evolution&lt;/title&gt;&lt;secondary-title&gt;Current Opinion in Plant Biology&lt;/secondary-title&gt;&lt;/titles&gt;&lt;pages&gt;70-77&lt;/pages&gt;&lt;number&gt;1&lt;/number&gt;&lt;contributors&gt;&lt;authors&gt;&lt;author&gt;Bowman, John L.&lt;/author&gt;&lt;/authors&gt;&lt;/contributors&gt;&lt;added-date format="utc"&gt;1458034627&lt;/added-date&gt;&lt;ref-type name="Journal Article"&gt;17&lt;/ref-type&gt;&lt;rec-number&gt;1083&lt;/rec-number&gt;&lt;last-updated-date format="utc"&gt;1458034627&lt;/last-updated-date&gt;&lt;electronic-resource-num&gt;http://dx.doi.org/10.1016/j.pbi.2012.10.001&lt;/electronic-resource-num&gt;&lt;volume&gt;16&lt;/volume&gt;&lt;/record&gt;&lt;/Cite&gt;&lt;/EndNote&gt;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(Bowman, 2011; Bowman,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When cuticle and epidermal comparisons are made between ancient plant specimens and extant moss and hornwort plant equivalents (personal observations), and when phylogenies of extant land plant stomatal patterning genes are considered (</w:t>
      </w:r>
      <w:r w:rsidRPr="006C37DC">
        <w:rPr>
          <w:rFonts w:ascii="Arial" w:eastAsia="Times New Roman" w:hAnsi="Arial" w:cs="Arial"/>
          <w:b/>
          <w:bCs/>
          <w:color w:val="000000"/>
        </w:rPr>
        <w:t>Fig. 6</w:t>
      </w:r>
      <w:r w:rsidRPr="006C37DC">
        <w:rPr>
          <w:rFonts w:ascii="Arial" w:eastAsia="Times New Roman" w:hAnsi="Arial" w:cs="Arial"/>
          <w:bCs/>
          <w:color w:val="000000"/>
        </w:rPr>
        <w:t xml:space="preserve">, </w:t>
      </w:r>
      <w:r w:rsidRPr="006C37DC">
        <w:rPr>
          <w:rFonts w:ascii="Arial" w:eastAsia="Times New Roman" w:hAnsi="Arial" w:cs="Arial"/>
          <w:b/>
          <w:bCs/>
          <w:color w:val="000000"/>
        </w:rPr>
        <w:t xml:space="preserve">12 </w:t>
      </w:r>
      <w:r w:rsidRPr="006C37DC">
        <w:rPr>
          <w:rFonts w:ascii="Arial" w:eastAsia="Times New Roman" w:hAnsi="Arial" w:cs="Arial"/>
          <w:bCs/>
          <w:color w:val="000000"/>
        </w:rPr>
        <w:t xml:space="preserve">and </w:t>
      </w:r>
      <w:r w:rsidRPr="006C37DC">
        <w:rPr>
          <w:rFonts w:ascii="Arial" w:eastAsia="Times New Roman" w:hAnsi="Arial" w:cs="Arial"/>
          <w:b/>
          <w:bCs/>
          <w:color w:val="000000"/>
        </w:rPr>
        <w:t>18</w:t>
      </w:r>
      <w:r w:rsidRPr="006C37DC">
        <w:rPr>
          <w:rFonts w:ascii="Arial" w:eastAsia="Times New Roman" w:hAnsi="Arial" w:cs="Arial"/>
          <w:bCs/>
          <w:color w:val="000000"/>
        </w:rPr>
        <w:t xml:space="preserve">) </w:t>
      </w:r>
      <w:r w:rsidRPr="006C37DC">
        <w:rPr>
          <w:rFonts w:ascii="Arial" w:eastAsia="Times New Roman" w:hAnsi="Arial" w:cs="Arial"/>
          <w:bCs/>
          <w:color w:val="000000"/>
        </w:rPr>
        <w:fldChar w:fldCharType="begin">
          <w:fldData xml:space="preserve">PEVuZE5vdGU+PENpdGU+PEF1dGhvcj5UYWthdGE8L0F1dGhvcj48WWVhcj4yMDEzPC9ZZWFyPjxJ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PEVuZE5vdGU+PENpdGU+PEF1dGhvcj5UYWthdGE8L0F1dGhvcj48WWVhcj4yMDEzPC9ZZWFyPjxJ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(Peterson et al., 2010; Takata et al., 2013; Villagarcia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evidence begins to accumulate that suggesting that the mechanism that permits the correct patterning of stomata may have been conserved from a very early point in land plant evolution. The findings in this chapter which are discussed below provide strong evidence to support the hypothesis that core stomatal patterning mechanisms have indeed been conserved in all extant land plant lineages including the hornworts which will be discussed at the end of this section. </w:t>
      </w:r>
    </w:p>
    <w:p w14:paraId="7F77906A" w14:textId="46D749AF"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To ascertain whether </w:t>
      </w:r>
      <w:r w:rsidRPr="006C37DC">
        <w:rPr>
          <w:rFonts w:ascii="Arial" w:eastAsia="Times New Roman" w:hAnsi="Arial" w:cs="Arial"/>
          <w:bCs/>
          <w:i/>
          <w:color w:val="000000"/>
        </w:rPr>
        <w:t xml:space="preserve">P. patens </w:t>
      </w:r>
      <w:r w:rsidRPr="006C37DC">
        <w:rPr>
          <w:rFonts w:ascii="Arial" w:eastAsia="Times New Roman" w:hAnsi="Arial" w:cs="Arial"/>
          <w:bCs/>
          <w:color w:val="000000"/>
        </w:rPr>
        <w:t xml:space="preserve">encodes genes that function in regulating stomatal patterning it was first tested whether a putative patterning gene: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could function when expressed in Arabidopsis (</w:t>
      </w:r>
      <w:r w:rsidRPr="006C37DC">
        <w:rPr>
          <w:rFonts w:ascii="Arial" w:eastAsia="Times New Roman" w:hAnsi="Arial" w:cs="Arial"/>
          <w:b/>
          <w:bCs/>
          <w:color w:val="000000"/>
        </w:rPr>
        <w:t>Fig. 6</w:t>
      </w:r>
      <w:r w:rsidRPr="006C37DC">
        <w:rPr>
          <w:rFonts w:ascii="Arial" w:eastAsia="Times New Roman" w:hAnsi="Arial" w:cs="Arial"/>
          <w:bCs/>
          <w:color w:val="000000"/>
        </w:rPr>
        <w:t>-</w:t>
      </w:r>
      <w:r w:rsidRPr="006C37DC">
        <w:rPr>
          <w:rFonts w:ascii="Arial" w:eastAsia="Times New Roman" w:hAnsi="Arial" w:cs="Arial"/>
          <w:b/>
          <w:bCs/>
          <w:color w:val="000000"/>
        </w:rPr>
        <w:t>7</w:t>
      </w:r>
      <w:r w:rsidRPr="006C37DC">
        <w:rPr>
          <w:rFonts w:ascii="Arial" w:eastAsia="Times New Roman" w:hAnsi="Arial" w:cs="Arial"/>
          <w:bCs/>
          <w:color w:val="000000"/>
        </w:rPr>
        <w:t xml:space="preserve">)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&lt;EndNote&gt;&lt;Cite&gt;&lt;Author&gt;Takata&lt;/Author&gt;&lt;Year&gt;2013&lt;/Year&gt;&lt;IDText&gt;Evolutionary Relationship and Structural Characterization of the EPF/EPFL Gene Family&lt;/IDText&gt;&lt;DisplayText&gt;(Takata et al., 2013)&lt;/DisplayText&gt;&lt;record&gt;&lt;dates&gt;&lt;pub-dates&gt;&lt;date&gt;06/03&amp;#xD;12/28/received&amp;#xD;04/24/accepted&lt;/date&gt;&lt;/pub-dates&gt;&lt;year&gt;2013&lt;/year&gt;&lt;/dates&gt;&lt;urls&gt;&lt;related-urls&gt;&lt;url&gt;http://www.ncbi.nlm.nih.gov/pmc/articles/PMC3670920/&lt;/url&gt;&lt;/related-urls&gt;&lt;/urls&gt;&lt;isbn&gt;1932-6203&lt;/isbn&gt;&lt;titles&gt;&lt;title&gt;Evolutionary Relationship and Structural Characterization of the EPF/EPFL Gene Family&lt;/title&gt;&lt;secondary-title&gt;PLoS ONE&lt;/secondary-title&gt;&lt;/titles&gt;&lt;pages&gt;e65183&lt;/pages&gt;&lt;number&gt;6&lt;/number&gt;&lt;contributors&gt;&lt;authors&gt;&lt;author&gt;Takata, Naoki&lt;/author&gt;&lt;author&gt;Yokota, Kiyonobu&lt;/author&gt;&lt;author&gt;Ohki, Shinya&lt;/author&gt;&lt;author&gt;Mori, Masashi&lt;/author&gt;&lt;author&gt;Taniguchi, Toru&lt;/author&gt;&lt;author&gt;Kurita, Manabu&lt;/author&gt;&lt;/authors&gt;&lt;/contributors&gt;&lt;added-date format="utc"&gt;1451494706&lt;/added-date&gt;&lt;pub-location&gt;San Francisco, USA&lt;/pub-location&gt;&lt;ref-type name="Journal Article"&gt;17&lt;/ref-type&gt;&lt;rec-number&gt;217&lt;/rec-number&gt;&lt;publisher&gt;Public Library of Science&lt;/publisher&gt;&lt;last-updated-date format="utc"&gt;1451494706&lt;/last-updated-date&gt;&lt;accession-num&gt;PMC3670920&lt;/accession-num&gt;&lt;electronic-resource-num&gt;10.1371/journal.pone.0065183&lt;/electronic-resource-num&gt;&lt;volume&gt;8&lt;/volume&gt;&lt;remote-database-name&gt;PMC&lt;/remote-database-na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(Takata et al., 2013)</w:t>
      </w:r>
      <w:r w:rsidRPr="006C37DC">
        <w:rPr>
          <w:rFonts w:ascii="Arial" w:eastAsia="Times New Roman" w:hAnsi="Arial" w:cs="Arial"/>
          <w:bCs/>
          <w:color w:val="000000"/>
        </w:rPr>
        <w:fldChar w:fldCharType="end"/>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Indeed, it was found that like Arabidopsis orthologues </w:t>
      </w:r>
      <w:r w:rsidRPr="006C37DC">
        <w:rPr>
          <w:rFonts w:ascii="Arial" w:eastAsia="Times New Roman" w:hAnsi="Arial" w:cs="Arial"/>
          <w:bCs/>
          <w:i/>
          <w:color w:val="000000"/>
        </w:rPr>
        <w:t xml:space="preserve">EPF2 </w:t>
      </w:r>
      <w:r w:rsidRPr="006C37DC">
        <w:rPr>
          <w:rFonts w:ascii="Arial" w:eastAsia="Times New Roman" w:hAnsi="Arial" w:cs="Arial"/>
          <w:bCs/>
          <w:color w:val="000000"/>
        </w:rPr>
        <w:t xml:space="preserve">and </w:t>
      </w:r>
      <w:r w:rsidRPr="006C37DC">
        <w:rPr>
          <w:rFonts w:ascii="Arial" w:eastAsia="Times New Roman" w:hAnsi="Arial" w:cs="Arial"/>
          <w:bCs/>
          <w:i/>
          <w:color w:val="000000"/>
        </w:rPr>
        <w:t>EPF1</w:t>
      </w:r>
      <w:r w:rsidRPr="006C37DC">
        <w:rPr>
          <w:rFonts w:ascii="Arial" w:eastAsia="Times New Roman" w:hAnsi="Arial" w:cs="Arial"/>
          <w:bCs/>
          <w:color w:val="000000"/>
        </w:rPr>
        <w:t xml:space="preserve">,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could function during stomatal development by negatively regulating the formation of stomata (</w:t>
      </w:r>
      <w:r w:rsidRPr="006C37DC">
        <w:rPr>
          <w:rFonts w:ascii="Arial" w:eastAsia="Times New Roman" w:hAnsi="Arial" w:cs="Arial"/>
          <w:b/>
          <w:bCs/>
          <w:color w:val="000000"/>
        </w:rPr>
        <w:t>Fig. 7</w:t>
      </w:r>
      <w:r w:rsidRPr="006C37DC">
        <w:rPr>
          <w:rFonts w:ascii="Arial" w:eastAsia="Times New Roman" w:hAnsi="Arial" w:cs="Arial"/>
          <w:bCs/>
          <w:color w:val="000000"/>
        </w:rPr>
        <w:t xml:space="preserve">). The results </w:t>
      </w:r>
      <w:r w:rsidRPr="006C37DC">
        <w:rPr>
          <w:rFonts w:ascii="Arial" w:eastAsia="Times New Roman" w:hAnsi="Arial" w:cs="Arial"/>
          <w:bCs/>
          <w:color w:val="000000"/>
        </w:rPr>
        <w:lastRenderedPageBreak/>
        <w:t>suggested that whilst PpEPF1</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could perform some negative regulation of stomatal development in Arabidopsis it clearly did not have the specificity of either AtEPF2 in regulating asymmetric divisions or AtEPF1 in regulating clustering as both of these processes were not repressed when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was expressed </w: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IG9uZS1jZWxsLXNwYWNpbmcgcnVsZTwvSURUZXh0PjxEaXNwbGF5VGV4dD4oQ2FpbmUgZXQgYWwu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</w:fldData>
        </w:fldChar>
      </w:r>
      <w:r w:rsidR="00DA38AC">
        <w:rPr>
          <w:rFonts w:ascii="Arial" w:eastAsia="Times New Roman" w:hAnsi="Arial" w:cs="Arial"/>
          <w:bCs/>
          <w:color w:val="000000"/>
        </w:rPr>
        <w:instrText xml:space="preserve"> ADDIN EN.CITE </w:instrText>
      </w:r>
      <w:r w:rsidR="00DA38A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IG9uZS1jZWxsLXNwYWNpbmcgcnVsZTwvSURUZXh0PjxEaXNwbGF5VGV4dD4oQ2FpbmUgZXQgYWwu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</w:fldData>
        </w:fldChar>
      </w:r>
      <w:r w:rsidR="00DA38AC">
        <w:rPr>
          <w:rFonts w:ascii="Arial" w:eastAsia="Times New Roman" w:hAnsi="Arial" w:cs="Arial"/>
          <w:bCs/>
          <w:color w:val="000000"/>
        </w:rPr>
        <w:instrText xml:space="preserve"> ADDIN EN.CITE.DATA </w:instrText>
      </w:r>
      <w:r w:rsidR="00DA38AC">
        <w:rPr>
          <w:rFonts w:ascii="Arial" w:eastAsia="Times New Roman" w:hAnsi="Arial" w:cs="Arial"/>
          <w:bCs/>
          <w:color w:val="000000"/>
        </w:rPr>
      </w:r>
      <w:r w:rsidR="00DA38A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00DA38AC">
        <w:rPr>
          <w:rFonts w:ascii="Arial" w:eastAsia="Times New Roman" w:hAnsi="Arial" w:cs="Arial"/>
          <w:bCs/>
          <w:noProof/>
          <w:color w:val="000000"/>
        </w:rPr>
        <w:t>(Caine et al., 2016; Hara et al., 2007; Hara et al., 2009; Hunt and Gray, 2009)</w:t>
      </w:r>
      <w:r w:rsidRPr="006C37DC">
        <w:rPr>
          <w:rFonts w:ascii="Arial" w:eastAsia="Times New Roman" w:hAnsi="Arial" w:cs="Arial"/>
          <w:bCs/>
          <w:color w:val="000000"/>
        </w:rPr>
        <w:fldChar w:fldCharType="end"/>
      </w:r>
      <w:r w:rsidRPr="006C37DC">
        <w:rPr>
          <w:rFonts w:ascii="Arial" w:eastAsia="Times New Roman" w:hAnsi="Arial" w:cs="Arial"/>
          <w:bCs/>
          <w:color w:val="000000"/>
        </w:rPr>
        <w:t>. With the complementation result and the observations that PpEPF1 has 8 rather than 6 cysteine residues in its C-terminal loop region (</w:t>
      </w:r>
      <w:r w:rsidRPr="006C37DC">
        <w:rPr>
          <w:rFonts w:ascii="Arial" w:eastAsia="Times New Roman" w:hAnsi="Arial" w:cs="Arial"/>
          <w:b/>
          <w:bCs/>
          <w:color w:val="000000"/>
        </w:rPr>
        <w:t>Fig. 4</w:t>
      </w:r>
      <w:r w:rsidRPr="006C37DC">
        <w:rPr>
          <w:rFonts w:ascii="Arial" w:eastAsia="Times New Roman" w:hAnsi="Arial" w:cs="Arial"/>
          <w:bCs/>
          <w:color w:val="000000"/>
        </w:rPr>
        <w:t>),</w:t>
      </w:r>
      <w:r w:rsidRPr="006C37DC">
        <w:rPr>
          <w:rFonts w:ascii="Arial" w:eastAsia="Times New Roman" w:hAnsi="Arial" w:cs="Arial"/>
          <w:b/>
          <w:bCs/>
          <w:color w:val="000000"/>
        </w:rPr>
        <w:t xml:space="preserve"> </w:t>
      </w:r>
      <w:r w:rsidRPr="006C37DC">
        <w:rPr>
          <w:rFonts w:ascii="Arial" w:eastAsia="Times New Roman" w:hAnsi="Arial" w:cs="Arial"/>
          <w:bCs/>
          <w:color w:val="000000"/>
        </w:rPr>
        <w:t xml:space="preserve">it was hypothesised that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would negatively regulate stomatal development in </w:t>
      </w:r>
      <w:r w:rsidRPr="006C37DC">
        <w:rPr>
          <w:rFonts w:ascii="Arial" w:eastAsia="Times New Roman" w:hAnsi="Arial" w:cs="Arial"/>
          <w:bCs/>
          <w:i/>
          <w:color w:val="000000"/>
        </w:rPr>
        <w:t>P. patens</w:t>
      </w:r>
      <w:r w:rsidRPr="006C37DC">
        <w:rPr>
          <w:rFonts w:ascii="Arial" w:eastAsia="Times New Roman" w:hAnsi="Arial" w:cs="Arial"/>
          <w:bCs/>
          <w:color w:val="000000"/>
        </w:rPr>
        <w:t xml:space="preserve">. The results produced confirmed such a research hypothesis, as profuse stomatal formation with clustering was regularly found on the bases of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sporophyte capsules (</w:t>
      </w:r>
      <w:r w:rsidRPr="006C37DC">
        <w:rPr>
          <w:rFonts w:ascii="Arial" w:eastAsia="Times New Roman" w:hAnsi="Arial" w:cs="Arial"/>
          <w:b/>
          <w:bCs/>
          <w:color w:val="000000"/>
        </w:rPr>
        <w:t>Fig. 9</w:t>
      </w:r>
      <w:r w:rsidRPr="006C37DC">
        <w:rPr>
          <w:rFonts w:ascii="Arial" w:eastAsia="Times New Roman" w:hAnsi="Arial" w:cs="Arial"/>
          <w:bCs/>
          <w:color w:val="000000"/>
        </w:rPr>
        <w:t xml:space="preserve">). There were no observable differences in small cells in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sporophyte capsules equivalent to the </w:t>
      </w:r>
      <w:r w:rsidRPr="006C37DC">
        <w:rPr>
          <w:rFonts w:ascii="Arial" w:eastAsia="Times New Roman" w:hAnsi="Arial" w:cs="Arial"/>
          <w:bCs/>
          <w:i/>
          <w:color w:val="000000"/>
        </w:rPr>
        <w:t xml:space="preserve">atepf2 </w:t>
      </w:r>
      <w:r w:rsidRPr="006C37DC">
        <w:rPr>
          <w:rFonts w:ascii="Arial" w:eastAsia="Times New Roman" w:hAnsi="Arial" w:cs="Arial"/>
          <w:bCs/>
          <w:color w:val="000000"/>
        </w:rPr>
        <w:t xml:space="preserve">phenotype in Arabidopsis suggesting the early stages of stomatal development are different between </w:t>
      </w:r>
      <w:r w:rsidRPr="006C37DC">
        <w:rPr>
          <w:rFonts w:ascii="Arial" w:eastAsia="Times New Roman" w:hAnsi="Arial" w:cs="Arial"/>
          <w:bCs/>
          <w:i/>
          <w:color w:val="000000"/>
        </w:rPr>
        <w:t xml:space="preserve">P. patens </w:t>
      </w:r>
      <w:r w:rsidRPr="006C37DC">
        <w:rPr>
          <w:rFonts w:ascii="Arial" w:eastAsia="Times New Roman" w:hAnsi="Arial" w:cs="Arial"/>
          <w:bCs/>
          <w:color w:val="000000"/>
        </w:rPr>
        <w:t xml:space="preserve">and Arabidopsis </w:t>
      </w:r>
      <w:r w:rsidRPr="006C37DC">
        <w:rPr>
          <w:rFonts w:ascii="Arial" w:eastAsia="Times New Roman" w:hAnsi="Arial" w:cs="Arial"/>
          <w:bCs/>
          <w:color w:val="000000"/>
        </w:rPr>
        <w:fldChar w:fldCharType="begin"/>
      </w:r>
      <w:r w:rsidR="00DA38AC">
        <w:rPr>
          <w:rFonts w:ascii="Arial" w:eastAsia="Times New Roman" w:hAnsi="Arial" w:cs="Arial"/>
          <w:bCs/>
          <w:color w:val="000000"/>
        </w:rPr>
        <w:instrText xml:space="preserve"> ADDIN EN.CITE &lt;EndNote&gt;&lt;Cite&gt;&lt;Author&gt;Caine&lt;/Author&gt;&lt;Year&gt;2016&lt;/Year&gt;&lt;IDText&gt;An ancestral stomatal patterning module revealed in the non-vascular land plant Physcomitrella patens&lt;/IDText&gt;&lt;DisplayText&gt;(Caine et al., 2016)&lt;/DisplayText&gt;&lt;record&gt;&lt;urls&gt;&lt;related-urls&gt;&lt;url&gt;http://dev.biologists.org/content/early/2016/06/09/dev.135038.abstract&lt;/url&gt;&lt;/related-urls&gt;&lt;/urls&gt;&lt;work-type&gt;10.1242/dev.135038&lt;/work-type&gt;&lt;titles&gt;&lt;title&gt;An ancestral stomatal patterning module revealed in the non-vascular land plant Physcomitrella patens&lt;/title&gt;&lt;secondary-title&gt;Development&lt;/secondary-title&gt;&lt;/titles&gt;&lt;contributors&gt;&lt;authors&gt;&lt;author&gt;Caine, Robert&lt;/author&gt;&lt;author&gt;Chater, Caspar C.&lt;/author&gt;&lt;author&gt;Kamisugi, Yasuko&lt;/author&gt;&lt;author&gt;Cuming, Andrew C.&lt;/author&gt;&lt;author&gt;Beerling, David J.&lt;/author&gt;&lt;author&gt;Gray, Julie E.&lt;/author&gt;&lt;author&gt;Fleming, Andrew J.&lt;/author&gt;&lt;/authors&gt;&lt;/contributors&gt;&lt;added-date format="utc"&gt;1468852925&lt;/added-date&gt;&lt;ref-type name="Journal Article"&gt;17&lt;/ref-type&gt;&lt;dates&gt;&lt;year&gt;2016&lt;/year&gt;&lt;/dates&gt;&lt;rec-number&gt;1317&lt;/rec-number&gt;&lt;last-updated-date format="utc"&gt;1468852925&lt;/last-updated-date&gt;&lt;/record&gt;&lt;/Cite&gt;&lt;/EndNote&gt;</w:instrText>
      </w:r>
      <w:r w:rsidRPr="006C37DC">
        <w:rPr>
          <w:rFonts w:ascii="Arial" w:eastAsia="Times New Roman" w:hAnsi="Arial" w:cs="Arial"/>
          <w:bCs/>
          <w:color w:val="000000"/>
        </w:rPr>
        <w:fldChar w:fldCharType="separate"/>
      </w:r>
      <w:r w:rsidR="00DA38AC">
        <w:rPr>
          <w:rFonts w:ascii="Arial" w:eastAsia="Times New Roman" w:hAnsi="Arial" w:cs="Arial"/>
          <w:bCs/>
          <w:noProof/>
          <w:color w:val="000000"/>
        </w:rPr>
        <w:t>(Caine et al., 2016)</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Rather, in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lines either clustering stomata or normal sized epidermal cells were present (</w:t>
      </w:r>
      <w:r w:rsidRPr="006C37DC">
        <w:rPr>
          <w:rFonts w:ascii="Arial" w:eastAsia="Times New Roman" w:hAnsi="Arial" w:cs="Arial"/>
          <w:b/>
          <w:bCs/>
          <w:color w:val="000000"/>
        </w:rPr>
        <w:t>Fig. 9</w:t>
      </w:r>
      <w:r w:rsidRPr="006C37DC">
        <w:rPr>
          <w:rFonts w:ascii="Arial" w:eastAsia="Times New Roman" w:hAnsi="Arial" w:cs="Arial"/>
          <w:bCs/>
          <w:color w:val="000000"/>
        </w:rPr>
        <w:t xml:space="preserve">). Based on the findings presented here, it seems that over evolutionary time, a duplication event may have occurred within vascular land plant lineages which has led to the evolution of at least two </w:t>
      </w:r>
      <w:r w:rsidRPr="006C37DC">
        <w:rPr>
          <w:rFonts w:ascii="Arial" w:eastAsia="Times New Roman" w:hAnsi="Arial" w:cs="Arial"/>
          <w:bCs/>
          <w:i/>
          <w:color w:val="000000"/>
        </w:rPr>
        <w:t>EPFs</w:t>
      </w:r>
      <w:r w:rsidRPr="006C37DC">
        <w:rPr>
          <w:rFonts w:ascii="Arial" w:eastAsia="Times New Roman" w:hAnsi="Arial" w:cs="Arial"/>
          <w:bCs/>
          <w:color w:val="000000"/>
        </w:rPr>
        <w:t xml:space="preserve"> which have undergone a compartmentalisation of functioning </w:t>
      </w:r>
      <w:r w:rsidRPr="006C37DC">
        <w:rPr>
          <w:rFonts w:ascii="Arial" w:eastAsia="Times New Roman" w:hAnsi="Arial" w:cs="Arial"/>
          <w:bCs/>
          <w:color w:val="000000"/>
        </w:rPr>
        <w:fldChar w:fldCharType="begin">
          <w:fldData xml:space="preserve">PEVuZE5vdGU+PENpdGU+PEF1dGhvcj5IdW50PC9BdXRob3I+PFllYXI+MjAwOTwvWWVhcj48SURU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PEVuZE5vdGU+PENpdGU+PEF1dGhvcj5IdW50PC9BdXRob3I+PFllYXI+MjAwOTwvWWVhcj48SURU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(Hunt and Gray, 2009; Rychel et al., 2010)</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Of course, to verify this conclusion further information relating to </w:t>
      </w:r>
      <w:r w:rsidRPr="006C37DC">
        <w:rPr>
          <w:rFonts w:ascii="Arial" w:eastAsia="Times New Roman" w:hAnsi="Arial" w:cs="Arial"/>
          <w:bCs/>
          <w:i/>
          <w:color w:val="000000"/>
        </w:rPr>
        <w:t>EPF</w:t>
      </w:r>
      <w:r w:rsidRPr="006C37DC">
        <w:rPr>
          <w:rFonts w:ascii="Arial" w:eastAsia="Times New Roman" w:hAnsi="Arial" w:cs="Arial"/>
          <w:bCs/>
          <w:color w:val="000000"/>
        </w:rPr>
        <w:t>/</w:t>
      </w:r>
      <w:r w:rsidRPr="006C37DC">
        <w:rPr>
          <w:rFonts w:ascii="Arial" w:eastAsia="Times New Roman" w:hAnsi="Arial" w:cs="Arial"/>
          <w:bCs/>
          <w:i/>
          <w:color w:val="000000"/>
        </w:rPr>
        <w:t xml:space="preserve">Ls </w:t>
      </w:r>
      <w:r w:rsidRPr="006C37DC">
        <w:rPr>
          <w:rFonts w:ascii="Arial" w:eastAsia="Times New Roman" w:hAnsi="Arial" w:cs="Arial"/>
          <w:bCs/>
          <w:color w:val="000000"/>
        </w:rPr>
        <w:t>genes in non-vascular land plant lineages is required.</w:t>
      </w:r>
    </w:p>
    <w:p w14:paraId="28EC26F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Whilst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mutants</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showed increases in stomatal number it was found that the opposite occurred in plants over-expressing the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coding region (</w:t>
      </w:r>
      <w:r w:rsidRPr="006C37DC">
        <w:rPr>
          <w:rFonts w:ascii="Arial" w:eastAsia="Times New Roman" w:hAnsi="Arial" w:cs="Arial"/>
          <w:b/>
          <w:bCs/>
          <w:color w:val="000000"/>
        </w:rPr>
        <w:t>Fig. 10</w:t>
      </w:r>
      <w:r w:rsidRPr="006C37DC">
        <w:rPr>
          <w:rFonts w:ascii="Arial" w:eastAsia="Times New Roman" w:hAnsi="Arial" w:cs="Arial"/>
          <w:bCs/>
          <w:color w:val="000000"/>
        </w:rPr>
        <w:t xml:space="preserve">). Such was the potency of this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over-expression that in some cases no stomata formed on the base of sporophyte capsules</w:t>
      </w:r>
      <w:r w:rsidRPr="006C37DC">
        <w:rPr>
          <w:rFonts w:ascii="Arial" w:eastAsia="Times New Roman" w:hAnsi="Arial" w:cs="Arial"/>
          <w:bCs/>
          <w:i/>
          <w:color w:val="000000"/>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Fig. 10e</w:t>
      </w:r>
      <w:r w:rsidRPr="006C37DC">
        <w:rPr>
          <w:rFonts w:ascii="Arial" w:eastAsia="Times New Roman" w:hAnsi="Arial" w:cs="Arial"/>
          <w:bCs/>
          <w:color w:val="000000"/>
        </w:rPr>
        <w:t xml:space="preserve">). Close-up analysis of the </w:t>
      </w:r>
      <w:r w:rsidRPr="006C37DC">
        <w:rPr>
          <w:rFonts w:ascii="Arial" w:eastAsia="Times New Roman" w:hAnsi="Arial" w:cs="Arial"/>
          <w:bCs/>
          <w:i/>
          <w:color w:val="000000"/>
        </w:rPr>
        <w:t xml:space="preserve">PpEPF1OE </w:t>
      </w:r>
      <w:r w:rsidRPr="006C37DC">
        <w:rPr>
          <w:rFonts w:ascii="Arial" w:eastAsia="Times New Roman" w:hAnsi="Arial" w:cs="Arial"/>
          <w:bCs/>
          <w:color w:val="000000"/>
        </w:rPr>
        <w:t>capsules revealed a wide range of epidermal morphologies which included aberrantly formed aborted guard cells and a number of epidermal conformations which were distinctive from the wild-type (</w:t>
      </w:r>
      <w:r w:rsidRPr="006C37DC">
        <w:rPr>
          <w:rFonts w:ascii="Arial" w:eastAsia="Times New Roman" w:hAnsi="Arial" w:cs="Arial"/>
          <w:b/>
          <w:bCs/>
          <w:color w:val="000000"/>
        </w:rPr>
        <w:t>Fig. 10g</w:t>
      </w:r>
      <w:r w:rsidRPr="006C37DC">
        <w:rPr>
          <w:rFonts w:ascii="Arial" w:eastAsia="Times New Roman" w:hAnsi="Arial" w:cs="Arial"/>
          <w:bCs/>
          <w:color w:val="000000"/>
        </w:rPr>
        <w:t>-</w:t>
      </w:r>
      <w:r w:rsidRPr="006C37DC">
        <w:rPr>
          <w:rFonts w:ascii="Arial" w:eastAsia="Times New Roman" w:hAnsi="Arial" w:cs="Arial"/>
          <w:b/>
          <w:bCs/>
          <w:color w:val="000000"/>
        </w:rPr>
        <w:t>k</w:t>
      </w:r>
      <w:r w:rsidRPr="006C37DC">
        <w:rPr>
          <w:rFonts w:ascii="Arial" w:eastAsia="Times New Roman" w:hAnsi="Arial" w:cs="Arial"/>
          <w:bCs/>
          <w:color w:val="000000"/>
        </w:rPr>
        <w:t xml:space="preserve">). Such findings suggest that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ordinarily has the potential to negatively regulate stomatal lineage formation at various points during stomatal development.  This regulation may also extend to prior to and during the formation of the early GMC (</w:t>
      </w:r>
      <w:r w:rsidRPr="006C37DC">
        <w:rPr>
          <w:rFonts w:ascii="Arial" w:eastAsia="Times New Roman" w:hAnsi="Arial" w:cs="Arial"/>
          <w:b/>
          <w:bCs/>
          <w:color w:val="000000"/>
        </w:rPr>
        <w:t>Fig. 10h</w:t>
      </w:r>
      <w:r w:rsidRPr="006C37DC">
        <w:rPr>
          <w:rFonts w:ascii="Arial" w:eastAsia="Times New Roman" w:hAnsi="Arial" w:cs="Arial"/>
          <w:bCs/>
          <w:color w:val="000000"/>
        </w:rPr>
        <w:t>-</w:t>
      </w:r>
      <w:r w:rsidRPr="006C37DC">
        <w:rPr>
          <w:rFonts w:ascii="Arial" w:eastAsia="Times New Roman" w:hAnsi="Arial" w:cs="Arial"/>
          <w:b/>
          <w:bCs/>
          <w:color w:val="000000"/>
        </w:rPr>
        <w:t xml:space="preserve">k </w:t>
      </w:r>
      <w:r w:rsidRPr="006C37DC">
        <w:rPr>
          <w:rFonts w:ascii="Arial" w:eastAsia="Times New Roman" w:hAnsi="Arial" w:cs="Arial"/>
          <w:bCs/>
          <w:color w:val="000000"/>
        </w:rPr>
        <w:t>and</w:t>
      </w:r>
      <w:r w:rsidRPr="006C37DC">
        <w:rPr>
          <w:rFonts w:ascii="Arial" w:eastAsia="Times New Roman" w:hAnsi="Arial" w:cs="Arial"/>
          <w:b/>
          <w:bCs/>
          <w:color w:val="000000"/>
        </w:rPr>
        <w:t xml:space="preserve"> Fig. 11</w:t>
      </w:r>
      <w:r w:rsidRPr="006C37DC">
        <w:rPr>
          <w:rFonts w:ascii="Arial" w:eastAsia="Times New Roman" w:hAnsi="Arial" w:cs="Arial"/>
          <w:bCs/>
          <w:color w:val="000000"/>
        </w:rPr>
        <w:t xml:space="preserve">). These findings show that like both </w:t>
      </w:r>
      <w:r w:rsidRPr="006C37DC">
        <w:rPr>
          <w:rFonts w:ascii="Arial" w:eastAsia="Times New Roman" w:hAnsi="Arial" w:cs="Arial"/>
          <w:bCs/>
          <w:i/>
          <w:color w:val="000000"/>
        </w:rPr>
        <w:t>AtEPF2</w:t>
      </w:r>
      <w:r w:rsidRPr="006C37DC">
        <w:rPr>
          <w:rFonts w:ascii="Arial" w:eastAsia="Times New Roman" w:hAnsi="Arial" w:cs="Arial"/>
          <w:bCs/>
          <w:color w:val="000000"/>
        </w:rPr>
        <w:t xml:space="preserve"> and </w:t>
      </w:r>
      <w:r w:rsidRPr="006C37DC">
        <w:rPr>
          <w:rFonts w:ascii="Arial" w:eastAsia="Times New Roman" w:hAnsi="Arial" w:cs="Arial"/>
          <w:bCs/>
          <w:i/>
          <w:color w:val="000000"/>
        </w:rPr>
        <w:t xml:space="preserve">AtEPF1 </w:t>
      </w:r>
      <w:r w:rsidRPr="006C37DC">
        <w:rPr>
          <w:rFonts w:ascii="Arial" w:eastAsia="Times New Roman" w:hAnsi="Arial" w:cs="Arial"/>
          <w:bCs/>
          <w:color w:val="000000"/>
        </w:rPr>
        <w:t>over-expression that</w:t>
      </w:r>
      <w:r w:rsidRPr="006C37DC">
        <w:rPr>
          <w:rFonts w:ascii="Arial" w:eastAsia="Times New Roman" w:hAnsi="Arial" w:cs="Arial"/>
          <w:bCs/>
          <w:i/>
          <w:color w:val="000000"/>
        </w:rPr>
        <w:t xml:space="preserve"> PpEPF1 </w:t>
      </w:r>
      <w:r w:rsidRPr="006C37DC">
        <w:rPr>
          <w:rFonts w:ascii="Arial" w:eastAsia="Times New Roman" w:hAnsi="Arial" w:cs="Arial"/>
          <w:bCs/>
          <w:color w:val="000000"/>
        </w:rPr>
        <w:t xml:space="preserve">has the potential to halt stomatal formation very early during epidermal development when ectopically expressed </w:t>
      </w:r>
      <w:r w:rsidRPr="006C37DC">
        <w:rPr>
          <w:rFonts w:ascii="Arial" w:eastAsia="Times New Roman" w:hAnsi="Arial" w:cs="Arial"/>
          <w:bCs/>
          <w:color w:val="000000"/>
        </w:rPr>
        <w:fldChar w:fldCharType="begin">
          <w:fldData xml:space="preserve">PEVuZE5vdGU+PENpdGU+PEF1dGhvcj5IYXJhPC9BdXRob3I+PFllYXI+MjAwOTwvWWVhcj48SURU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PEVuZE5vdGU+PENpdGU+PEF1dGhvcj5IYXJhPC9BdXRob3I+PFllYXI+MjAwOTwvWWVhcj48SURU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(Hara et al., 2007; Hara et al., 2009; Hunt and Gray, 2009)</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t>
      </w:r>
    </w:p>
    <w:p w14:paraId="069EF63F" w14:textId="318B0894"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Similar experiments were undertaken to understand whether another key stomatal patterning gene: </w:t>
      </w:r>
      <w:r w:rsidRPr="006C37DC">
        <w:rPr>
          <w:rFonts w:ascii="Arial" w:eastAsia="Times New Roman" w:hAnsi="Arial" w:cs="Arial"/>
          <w:bCs/>
          <w:i/>
          <w:color w:val="000000"/>
        </w:rPr>
        <w:t>PpTMM</w:t>
      </w:r>
      <w:r w:rsidRPr="006C37DC">
        <w:rPr>
          <w:rFonts w:ascii="Arial" w:eastAsia="Times New Roman" w:hAnsi="Arial" w:cs="Arial"/>
          <w:bCs/>
          <w:color w:val="000000"/>
        </w:rPr>
        <w:t xml:space="preserve"> has also been conserved in </w:t>
      </w:r>
      <w:r w:rsidRPr="006C37DC">
        <w:rPr>
          <w:rFonts w:ascii="Arial" w:eastAsia="Times New Roman" w:hAnsi="Arial" w:cs="Arial"/>
          <w:bCs/>
          <w:i/>
          <w:color w:val="000000"/>
        </w:rPr>
        <w:t>P. patens</w:t>
      </w:r>
      <w:r w:rsidRPr="006C37DC">
        <w:rPr>
          <w:rFonts w:ascii="Arial" w:eastAsia="Times New Roman" w:hAnsi="Arial" w:cs="Arial"/>
          <w:bCs/>
          <w:color w:val="000000"/>
        </w:rPr>
        <w:t xml:space="preserve">. The results of complementation experiments in the Arabidopsis </w:t>
      </w:r>
      <w:r w:rsidRPr="006C37DC">
        <w:rPr>
          <w:rFonts w:ascii="Arial" w:eastAsia="Times New Roman" w:hAnsi="Arial" w:cs="Arial"/>
          <w:bCs/>
          <w:i/>
          <w:color w:val="000000"/>
        </w:rPr>
        <w:t>tmm</w:t>
      </w:r>
      <w:r w:rsidRPr="006C37DC">
        <w:rPr>
          <w:rFonts w:ascii="Arial" w:eastAsia="Times New Roman" w:hAnsi="Arial" w:cs="Arial"/>
          <w:bCs/>
          <w:color w:val="000000"/>
        </w:rPr>
        <w:t xml:space="preserve"> background suggest that in rosette leaves under the native </w:t>
      </w:r>
      <w:r w:rsidRPr="006C37DC">
        <w:rPr>
          <w:rFonts w:ascii="Arial" w:eastAsia="Times New Roman" w:hAnsi="Arial" w:cs="Arial"/>
          <w:bCs/>
          <w:i/>
          <w:color w:val="000000"/>
        </w:rPr>
        <w:t xml:space="preserve">attmm </w:t>
      </w:r>
      <w:r w:rsidRPr="006C37DC">
        <w:rPr>
          <w:rFonts w:ascii="Arial" w:eastAsia="Times New Roman" w:hAnsi="Arial" w:cs="Arial"/>
          <w:bCs/>
          <w:color w:val="000000"/>
        </w:rPr>
        <w:t xml:space="preserve">promoter,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cannot rescue the </w:t>
      </w:r>
      <w:r w:rsidRPr="006C37DC">
        <w:rPr>
          <w:rFonts w:ascii="Arial" w:eastAsia="Times New Roman" w:hAnsi="Arial" w:cs="Arial"/>
          <w:bCs/>
          <w:i/>
          <w:color w:val="000000"/>
        </w:rPr>
        <w:t xml:space="preserve">attmm </w:t>
      </w:r>
      <w:r w:rsidRPr="006C37DC">
        <w:rPr>
          <w:rFonts w:ascii="Arial" w:eastAsia="Times New Roman" w:hAnsi="Arial" w:cs="Arial"/>
          <w:bCs/>
          <w:color w:val="000000"/>
        </w:rPr>
        <w:t>phenotype (</w:t>
      </w:r>
      <w:r w:rsidRPr="006C37DC">
        <w:rPr>
          <w:rFonts w:ascii="Arial" w:eastAsia="Times New Roman" w:hAnsi="Arial" w:cs="Arial"/>
          <w:b/>
          <w:bCs/>
          <w:color w:val="000000"/>
        </w:rPr>
        <w:t>Fig. 13</w:t>
      </w:r>
      <w:r w:rsidRPr="006C37DC">
        <w:rPr>
          <w:rFonts w:ascii="Arial" w:eastAsia="Times New Roman" w:hAnsi="Arial" w:cs="Arial"/>
          <w:bCs/>
          <w:color w:val="000000"/>
        </w:rPr>
        <w:t xml:space="preserve">). At the molecular level, </w:t>
      </w:r>
      <w:r w:rsidR="006029DA">
        <w:rPr>
          <w:rFonts w:ascii="Arial" w:eastAsia="Times New Roman" w:hAnsi="Arial" w:cs="Arial"/>
          <w:bCs/>
          <w:color w:val="000000"/>
        </w:rPr>
        <w:t xml:space="preserve">this </w:t>
      </w:r>
      <w:r w:rsidRPr="006C37DC">
        <w:rPr>
          <w:rFonts w:ascii="Arial" w:eastAsia="Times New Roman" w:hAnsi="Arial" w:cs="Arial"/>
          <w:bCs/>
          <w:color w:val="000000"/>
        </w:rPr>
        <w:t>suggests that PpTMM</w:t>
      </w:r>
      <w:r w:rsidRPr="006C37DC">
        <w:rPr>
          <w:rFonts w:ascii="Arial" w:eastAsia="Times New Roman" w:hAnsi="Arial" w:cs="Arial"/>
          <w:bCs/>
          <w:i/>
          <w:color w:val="000000"/>
        </w:rPr>
        <w:t xml:space="preserve"> </w:t>
      </w:r>
      <w:r w:rsidRPr="006C37DC">
        <w:rPr>
          <w:rFonts w:ascii="Arial" w:eastAsia="Times New Roman" w:hAnsi="Arial" w:cs="Arial"/>
          <w:bCs/>
          <w:color w:val="000000"/>
        </w:rPr>
        <w:t>is incapable of assisting in the transduction of signals across the plasma membrane during leaf  development akin to how AtTMM</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operates </w:t>
      </w:r>
      <w:r w:rsidRPr="006C37DC">
        <w:rPr>
          <w:rFonts w:ascii="Arial" w:eastAsia="Times New Roman" w:hAnsi="Arial" w:cs="Arial"/>
          <w:bCs/>
          <w:color w:val="000000"/>
        </w:rPr>
        <w:lastRenderedPageBreak/>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IDIwMDc7IEhhcmEgZXQgYWwuLCAyMDA5OyBIdW50IGFuZCBHcmF5LCAyMDA5OyBTaHBhayBldCBh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=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IDIwMDc7IEhhcmEgZXQgYWwuLCAyMDA5OyBIdW50IGFuZCBHcmF5LCAyMDA5OyBTaHBhayBldCBh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=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(Hara et al., 2007; Hara et al., 2009; Hunt and Gray, 2009; Shpak et al., 2005; Yang and Sack, 1995)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In contrast, in the developing flower stalks of </w:t>
      </w:r>
      <w:r w:rsidRPr="006C37DC">
        <w:rPr>
          <w:rFonts w:ascii="Arial" w:eastAsia="Times New Roman" w:hAnsi="Arial" w:cs="Arial"/>
          <w:bCs/>
          <w:i/>
          <w:color w:val="000000"/>
        </w:rPr>
        <w:t xml:space="preserve">attmm </w:t>
      </w:r>
      <w:r w:rsidRPr="006C37DC">
        <w:rPr>
          <w:rFonts w:ascii="Arial" w:eastAsia="Times New Roman" w:hAnsi="Arial" w:cs="Arial"/>
          <w:bCs/>
          <w:color w:val="000000"/>
        </w:rPr>
        <w:t xml:space="preserve">plants, when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was expressed</w:t>
      </w:r>
      <w:r w:rsidRPr="006C37DC">
        <w:rPr>
          <w:rFonts w:ascii="Arial" w:eastAsia="Times New Roman" w:hAnsi="Arial" w:cs="Arial"/>
          <w:bCs/>
          <w:i/>
          <w:color w:val="000000"/>
        </w:rPr>
        <w:t xml:space="preserve"> </w:t>
      </w:r>
      <w:r w:rsidRPr="006C37DC">
        <w:rPr>
          <w:rFonts w:ascii="Arial" w:eastAsia="Times New Roman" w:hAnsi="Arial" w:cs="Arial"/>
          <w:bCs/>
          <w:color w:val="000000"/>
        </w:rPr>
        <w:t>a partial rescue of stomatal phenotype was achieved (</w:t>
      </w:r>
      <w:r w:rsidRPr="006C37DC">
        <w:rPr>
          <w:rFonts w:ascii="Arial" w:eastAsia="Times New Roman" w:hAnsi="Arial" w:cs="Arial"/>
          <w:b/>
          <w:bCs/>
          <w:color w:val="000000"/>
        </w:rPr>
        <w:t>Fig. 13b</w:t>
      </w:r>
      <w:r w:rsidRPr="006C37DC">
        <w:rPr>
          <w:rFonts w:ascii="Arial" w:eastAsia="Times New Roman" w:hAnsi="Arial" w:cs="Arial"/>
          <w:bCs/>
          <w:color w:val="000000"/>
        </w:rPr>
        <w:t>). This could be that unlike in rosette leaves, in flower stalks PpTMM</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can help transduce some stomatal related signals and or block other growth related signals during stomatal development. For example, in the apical regions of the developing </w:t>
      </w:r>
      <w:r w:rsidR="00EE0DEA">
        <w:rPr>
          <w:rFonts w:ascii="Arial" w:eastAsia="Times New Roman" w:hAnsi="Arial" w:cs="Arial"/>
          <w:bCs/>
          <w:color w:val="000000"/>
        </w:rPr>
        <w:t>inflorescence</w:t>
      </w:r>
      <w:r w:rsidRPr="006C37DC">
        <w:rPr>
          <w:rFonts w:ascii="Arial" w:eastAsia="Times New Roman" w:hAnsi="Arial" w:cs="Arial"/>
          <w:bCs/>
          <w:color w:val="000000"/>
        </w:rPr>
        <w:t xml:space="preserve"> in Arabidopsis it has been shown that signalling peptides involved with growth and expansion such as the EPFLs: CHAL and CLL2 are expressed which ordinarily are blocked from partaking in stomatal development and patterning processes by AtTMM in </w:t>
      </w:r>
      <w:r w:rsidR="00EE0DEA">
        <w:rPr>
          <w:rFonts w:ascii="Arial" w:eastAsia="Times New Roman" w:hAnsi="Arial" w:cs="Arial"/>
          <w:bCs/>
          <w:color w:val="000000"/>
        </w:rPr>
        <w:t>inflorescence</w:t>
      </w:r>
      <w:r w:rsidRPr="006C37DC">
        <w:rPr>
          <w:rFonts w:ascii="Arial" w:eastAsia="Times New Roman" w:hAnsi="Arial" w:cs="Arial"/>
          <w:bCs/>
          <w:color w:val="000000"/>
        </w:rPr>
        <w:t xml:space="preserve"> stems </w:t>
      </w:r>
      <w:r w:rsidRPr="006C37DC">
        <w:rPr>
          <w:rFonts w:ascii="Arial" w:eastAsia="Times New Roman" w:hAnsi="Arial" w:cs="Arial"/>
          <w:bCs/>
          <w:color w:val="000000"/>
        </w:rPr>
        <w:fldChar w:fldCharType="begin">
          <w:fldData xml:space="preserve">PEVuZE5vdGU+PENpdGU+PEF1dGhvcj5BYnJhc2g8L0F1dGhvcj48WWVhcj4yMDEwPC9ZZWFyPjxJ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PEVuZE5vdGU+PENpdGU+PEF1dGhvcj5BYnJhc2g8L0F1dGhvcj48WWVhcj4yMDEwPC9ZZWFyPjxJ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(Abrash and Bergmann, 2010; Abrash et al., 2011)</w:t>
      </w:r>
      <w:r w:rsidRPr="006C37DC">
        <w:rPr>
          <w:rFonts w:ascii="Arial" w:eastAsia="Times New Roman" w:hAnsi="Arial" w:cs="Arial"/>
          <w:bCs/>
          <w:color w:val="000000"/>
        </w:rPr>
        <w:fldChar w:fldCharType="end"/>
      </w:r>
      <w:r w:rsidRPr="006C37DC">
        <w:rPr>
          <w:rFonts w:ascii="Arial" w:eastAsia="Times New Roman" w:hAnsi="Arial" w:cs="Arial"/>
          <w:bCs/>
          <w:color w:val="000000"/>
        </w:rPr>
        <w:t>. It may be that like AtTMM, in the middle regions of the Arabidopsis flower stalk that PpTMM</w:t>
      </w:r>
      <w:r w:rsidRPr="006C37DC">
        <w:rPr>
          <w:rFonts w:ascii="Arial" w:eastAsia="Times New Roman" w:hAnsi="Arial" w:cs="Arial"/>
          <w:bCs/>
          <w:i/>
          <w:color w:val="000000"/>
        </w:rPr>
        <w:t xml:space="preserve"> </w:t>
      </w:r>
      <w:r w:rsidRPr="006C37DC">
        <w:rPr>
          <w:rFonts w:ascii="Arial" w:eastAsia="Times New Roman" w:hAnsi="Arial" w:cs="Arial"/>
          <w:bCs/>
          <w:color w:val="000000"/>
        </w:rPr>
        <w:t>can partially disable such signals</w:t>
      </w:r>
      <w:r w:rsidRPr="006C37DC">
        <w:rPr>
          <w:rFonts w:ascii="Arial" w:eastAsia="Times New Roman" w:hAnsi="Arial" w:cs="Arial"/>
          <w:bCs/>
          <w:i/>
          <w:color w:val="000000"/>
        </w:rPr>
        <w:t xml:space="preserve"> </w:t>
      </w:r>
      <w:r w:rsidRPr="006C37DC">
        <w:rPr>
          <w:rFonts w:ascii="Arial" w:eastAsia="Times New Roman" w:hAnsi="Arial" w:cs="Arial"/>
          <w:bCs/>
          <w:color w:val="000000"/>
        </w:rPr>
        <w:t>from negatively effecting stomatal development, but not as effectively as the native AtTMM (</w:t>
      </w:r>
      <w:r w:rsidRPr="006C37DC">
        <w:rPr>
          <w:rFonts w:ascii="Arial" w:eastAsia="Times New Roman" w:hAnsi="Arial" w:cs="Arial"/>
          <w:b/>
          <w:bCs/>
          <w:color w:val="000000"/>
        </w:rPr>
        <w:t>Fig. 13b</w:t>
      </w:r>
      <w:r w:rsidRPr="006C37DC">
        <w:rPr>
          <w:rFonts w:ascii="Arial" w:eastAsia="Times New Roman" w:hAnsi="Arial" w:cs="Arial"/>
          <w:bCs/>
          <w:color w:val="000000"/>
        </w:rPr>
        <w:t xml:space="preserve">). Of course, this assessment of functioning would require more scientific experimentation to verify but provides a plausible explanation as to how PpTMM assists in regulating stomatal patterning in the </w:t>
      </w:r>
      <w:r w:rsidRPr="006C37DC">
        <w:rPr>
          <w:rFonts w:ascii="Arial" w:eastAsia="Times New Roman" w:hAnsi="Arial" w:cs="Arial"/>
          <w:bCs/>
          <w:i/>
          <w:color w:val="000000"/>
        </w:rPr>
        <w:t xml:space="preserve">P. patens </w:t>
      </w:r>
      <w:r w:rsidRPr="006C37DC">
        <w:rPr>
          <w:rFonts w:ascii="Arial" w:eastAsia="Times New Roman" w:hAnsi="Arial" w:cs="Arial"/>
          <w:bCs/>
          <w:color w:val="000000"/>
        </w:rPr>
        <w:t xml:space="preserve">sporophyte capsules. </w:t>
      </w:r>
    </w:p>
    <w:p w14:paraId="1B598AA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Given the above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complementation results, it seems entirely likely that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might function during sporophyte development in </w:t>
      </w:r>
      <w:r w:rsidRPr="006C37DC">
        <w:rPr>
          <w:rFonts w:ascii="Arial" w:eastAsia="Times New Roman" w:hAnsi="Arial" w:cs="Arial"/>
          <w:bCs/>
          <w:i/>
          <w:color w:val="000000"/>
        </w:rPr>
        <w:t xml:space="preserve">P. patens </w:t>
      </w:r>
      <w:r w:rsidRPr="006C37DC">
        <w:rPr>
          <w:rFonts w:ascii="Arial" w:eastAsia="Times New Roman" w:hAnsi="Arial" w:cs="Arial"/>
          <w:bCs/>
          <w:color w:val="000000"/>
        </w:rPr>
        <w:t xml:space="preserve">and so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mutants were created. Interestingly, on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sporophyte capsules in each of the three different mutant lines a range of phenotypes were apparent (</w:t>
      </w:r>
      <w:r w:rsidRPr="006C37DC">
        <w:rPr>
          <w:rFonts w:ascii="Arial" w:eastAsia="Times New Roman" w:hAnsi="Arial" w:cs="Arial"/>
          <w:b/>
          <w:bCs/>
          <w:color w:val="000000"/>
        </w:rPr>
        <w:t>Fig. 14</w:t>
      </w:r>
      <w:r w:rsidRPr="006C37DC">
        <w:rPr>
          <w:rFonts w:ascii="Arial" w:eastAsia="Times New Roman" w:hAnsi="Arial" w:cs="Arial"/>
          <w:bCs/>
          <w:color w:val="000000"/>
        </w:rPr>
        <w:t>). In some instances, capsules were almost devoid of stomata and blank epidermal regions prevailed (</w:t>
      </w:r>
      <w:r w:rsidRPr="006C37DC">
        <w:rPr>
          <w:rFonts w:ascii="Arial" w:eastAsia="Times New Roman" w:hAnsi="Arial" w:cs="Arial"/>
          <w:b/>
          <w:bCs/>
          <w:color w:val="000000"/>
        </w:rPr>
        <w:t>Fig. 14e</w:t>
      </w:r>
      <w:r w:rsidRPr="006C37DC">
        <w:rPr>
          <w:rFonts w:ascii="Arial" w:eastAsia="Times New Roman" w:hAnsi="Arial" w:cs="Arial"/>
          <w:bCs/>
          <w:color w:val="000000"/>
        </w:rPr>
        <w:t>), whilst on other occasions capsules with both clustered patches of stomata and blank epidermal regions formed (</w:t>
      </w:r>
      <w:r w:rsidRPr="006C37DC">
        <w:rPr>
          <w:rFonts w:ascii="Arial" w:eastAsia="Times New Roman" w:hAnsi="Arial" w:cs="Arial"/>
          <w:b/>
          <w:bCs/>
          <w:color w:val="000000"/>
        </w:rPr>
        <w:t>Fig. 14d</w:t>
      </w:r>
      <w:r w:rsidRPr="006C37DC">
        <w:rPr>
          <w:rFonts w:ascii="Arial" w:eastAsia="Times New Roman" w:hAnsi="Arial" w:cs="Arial"/>
          <w:bCs/>
          <w:color w:val="000000"/>
        </w:rPr>
        <w:t xml:space="preserve">, see also </w:t>
      </w:r>
      <w:r w:rsidRPr="006C37DC">
        <w:rPr>
          <w:rFonts w:ascii="Arial" w:eastAsia="Times New Roman" w:hAnsi="Arial" w:cs="Arial"/>
          <w:b/>
          <w:bCs/>
          <w:color w:val="000000"/>
        </w:rPr>
        <w:t>Fig. 17d</w:t>
      </w:r>
      <w:r w:rsidRPr="006C37DC">
        <w:rPr>
          <w:rFonts w:ascii="Arial" w:eastAsia="Times New Roman" w:hAnsi="Arial" w:cs="Arial"/>
          <w:bCs/>
          <w:color w:val="000000"/>
        </w:rPr>
        <w:t>), or sporophyte capsules with abundant stomata that clustered were apparent which circled around the entire capsule base (</w:t>
      </w:r>
      <w:r w:rsidRPr="006C37DC">
        <w:rPr>
          <w:rFonts w:ascii="Arial" w:eastAsia="Times New Roman" w:hAnsi="Arial" w:cs="Arial"/>
          <w:b/>
          <w:bCs/>
          <w:color w:val="000000"/>
        </w:rPr>
        <w:t>Fig. 14f</w:t>
      </w:r>
      <w:r w:rsidRPr="006C37DC">
        <w:rPr>
          <w:rFonts w:ascii="Arial" w:eastAsia="Times New Roman" w:hAnsi="Arial" w:cs="Arial"/>
          <w:bCs/>
          <w:color w:val="000000"/>
        </w:rPr>
        <w:t xml:space="preserve">). Elements of these phenotypes bare striking resemblance to </w:t>
      </w:r>
      <w:r w:rsidRPr="006C37DC">
        <w:rPr>
          <w:rFonts w:ascii="Arial" w:eastAsia="Times New Roman" w:hAnsi="Arial" w:cs="Arial"/>
          <w:bCs/>
          <w:i/>
          <w:color w:val="000000"/>
        </w:rPr>
        <w:t xml:space="preserve">attmm </w:t>
      </w:r>
      <w:r w:rsidRPr="006C37DC">
        <w:rPr>
          <w:rFonts w:ascii="Arial" w:eastAsia="Times New Roman" w:hAnsi="Arial" w:cs="Arial"/>
          <w:bCs/>
          <w:color w:val="000000"/>
        </w:rPr>
        <w:t xml:space="preserve">phenotypes observed within and between certain organs in Arabidopsis as previously eluded to during analysis of and discussion of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complementation experiments (</w:t>
      </w:r>
      <w:r w:rsidRPr="006C37DC">
        <w:rPr>
          <w:rFonts w:ascii="Arial" w:eastAsia="Times New Roman" w:hAnsi="Arial" w:cs="Arial"/>
          <w:b/>
          <w:bCs/>
          <w:color w:val="000000"/>
        </w:rPr>
        <w:t xml:space="preserve">Fig. 12 </w:t>
      </w:r>
      <w:r w:rsidRPr="006C37DC">
        <w:rPr>
          <w:rFonts w:ascii="Arial" w:eastAsia="Times New Roman" w:hAnsi="Arial" w:cs="Arial"/>
          <w:bCs/>
          <w:color w:val="000000"/>
        </w:rPr>
        <w:t xml:space="preserve">and preceding paragraph) and detailed in previous studies </w:t>
      </w:r>
      <w:r w:rsidRPr="006C37DC">
        <w:rPr>
          <w:rFonts w:ascii="Arial" w:eastAsia="Times New Roman" w:hAnsi="Arial" w:cs="Arial"/>
          <w:bCs/>
          <w:color w:val="000000"/>
        </w:rPr>
        <w:fldChar w:fldCharType="begin">
          <w:fldData xml:space="preserve">PEVuZE5vdGU+PENpdGU+PEF1dGhvcj5HZWlzbGVyPC9BdXRob3I+PFllYXI+MTk5ODwvWWVhcj48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PEVuZE5vdGU+PENpdGU+PEF1dGhvcj5HZWlzbGVyPC9BdXRob3I+PFllYXI+MTk5ODwvWWVhcj48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(Abrash and Bergmann, 2010; Bhave et al., 2009; Geisler et al., 1998; Yang and Sack, 1995)</w:t>
      </w:r>
      <w:r w:rsidRPr="006C37DC">
        <w:rPr>
          <w:rFonts w:ascii="Arial" w:eastAsia="Times New Roman" w:hAnsi="Arial" w:cs="Arial"/>
          <w:bCs/>
          <w:color w:val="000000"/>
        </w:rPr>
        <w:fldChar w:fldCharType="end"/>
      </w:r>
      <w:r w:rsidRPr="006C37DC">
        <w:rPr>
          <w:rFonts w:ascii="Arial" w:eastAsia="Times New Roman" w:hAnsi="Arial" w:cs="Arial"/>
          <w:bCs/>
          <w:color w:val="000000"/>
        </w:rPr>
        <w:t>. Taking these results together, it appears that PpTMM</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ordinarily acts in a context-dependent nature in individual sporophytes to buffer how stomatal development and patterning unfolds. </w:t>
      </w:r>
    </w:p>
    <w:p w14:paraId="552A0D1A" w14:textId="7E0A4035"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In Arabidopsis, TMM is required for the actions of both EPF1</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and EPF2 in signalling during stomatal development </w: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IDIwMDc7IEh1bnQgYW5kIEdyYXksIDIwMDkpPC9EaXNwbGF5VGV4dD48cmVjb3JkPjxkYXRlcz48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IDIwMDc7IEh1bnQgYW5kIEdyYXksIDIwMDkpPC9EaXNwbGF5VGV4dD48cmVjb3JkPjxkYXRlcz48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(Hara et al., 2007; Hunt and Gray, 2009)</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It was therefore hypothesised that if a module (rather than just individual genes) for stomatal patterning has been conserved, then PpEPF1 would be reliant on PpTMM in order to signal. The findings presented in </w:t>
      </w:r>
      <w:r w:rsidRPr="006C37DC">
        <w:rPr>
          <w:rFonts w:ascii="Arial" w:eastAsia="Times New Roman" w:hAnsi="Arial" w:cs="Arial"/>
          <w:b/>
          <w:bCs/>
          <w:color w:val="000000"/>
        </w:rPr>
        <w:t>Fig. 17</w:t>
      </w:r>
      <w:r w:rsidRPr="006C37DC">
        <w:rPr>
          <w:rFonts w:ascii="Arial" w:eastAsia="Times New Roman" w:hAnsi="Arial" w:cs="Arial"/>
          <w:bCs/>
          <w:color w:val="000000"/>
        </w:rPr>
        <w:t xml:space="preserve"> support such a hypothesis as the negative regulatory defects exhibited in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were not found in </w:t>
      </w:r>
      <w:r w:rsidRPr="006C37DC">
        <w:rPr>
          <w:rFonts w:ascii="Arial" w:eastAsia="Times New Roman" w:hAnsi="Arial" w:cs="Arial"/>
          <w:bCs/>
          <w:i/>
          <w:color w:val="000000"/>
        </w:rPr>
        <w:t>pptmm-epf1</w:t>
      </w:r>
      <w:r w:rsidR="006029DA">
        <w:rPr>
          <w:rFonts w:ascii="Arial" w:eastAsia="Times New Roman" w:hAnsi="Arial" w:cs="Arial"/>
          <w:bCs/>
          <w:i/>
          <w:color w:val="000000"/>
        </w:rPr>
        <w:t xml:space="preserve"> </w:t>
      </w:r>
      <w:r w:rsidR="006029DA" w:rsidRPr="006029DA">
        <w:rPr>
          <w:rFonts w:ascii="Arial" w:eastAsia="Times New Roman" w:hAnsi="Arial" w:cs="Arial"/>
          <w:bCs/>
          <w:color w:val="000000"/>
        </w:rPr>
        <w:t>lines</w:t>
      </w:r>
      <w:r w:rsidRPr="006C37DC">
        <w:rPr>
          <w:rFonts w:ascii="Arial" w:eastAsia="Times New Roman" w:hAnsi="Arial" w:cs="Arial"/>
          <w:bCs/>
          <w:color w:val="000000"/>
        </w:rPr>
        <w:t xml:space="preserve">, instead, a phenotype similar to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was </w:t>
      </w:r>
      <w:r w:rsidRPr="006C37DC">
        <w:rPr>
          <w:rFonts w:ascii="Arial" w:eastAsia="Times New Roman" w:hAnsi="Arial" w:cs="Arial"/>
          <w:bCs/>
          <w:color w:val="000000"/>
        </w:rPr>
        <w:lastRenderedPageBreak/>
        <w:t xml:space="preserve">exhibited thus suggesting that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is indeed epistatic to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By taking this evidence together with the findings from Arabidopsis CHALf-TMM functioning in </w:t>
      </w:r>
      <w:r w:rsidR="00EE0DEA">
        <w:rPr>
          <w:rFonts w:ascii="Arial" w:eastAsia="Times New Roman" w:hAnsi="Arial" w:cs="Arial"/>
          <w:bCs/>
          <w:color w:val="000000"/>
        </w:rPr>
        <w:t>inflorescence</w:t>
      </w:r>
      <w:r w:rsidRPr="006C37DC">
        <w:rPr>
          <w:rFonts w:ascii="Arial" w:eastAsia="Times New Roman" w:hAnsi="Arial" w:cs="Arial"/>
          <w:bCs/>
          <w:color w:val="000000"/>
        </w:rPr>
        <w:t xml:space="preserve"> stems of Arabidopsis a plausible explanation for the variable phenotype exhibited by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begins to emerge </w:t>
      </w:r>
      <w:r w:rsidRPr="006C37DC">
        <w:rPr>
          <w:rFonts w:ascii="Arial" w:eastAsia="Times New Roman" w:hAnsi="Arial" w:cs="Arial"/>
          <w:bCs/>
          <w:color w:val="000000"/>
        </w:rPr>
        <w:fldChar w:fldCharType="begin">
          <w:fldData xml:space="preserve">PEVuZE5vdGU+PENpdGU+PEF1dGhvcj5BYnJhc2g8L0F1dGhvcj48WWVhcj4yMDEwPC9ZZWFyPjxJ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PEVuZE5vdGU+PENpdGU+PEF1dGhvcj5BYnJhc2g8L0F1dGhvcj48WWVhcj4yMDEwPC9ZZWFyPjxJ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(Abrash and Bergmann, 2010; Abrash et al., 2011; Uchida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That is, at the base of the sporophyte capsule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may not only be involved in regulating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siganlling</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but also some of the 10 identified </w:t>
      </w:r>
      <w:r w:rsidRPr="006C37DC">
        <w:rPr>
          <w:rFonts w:ascii="Arial" w:eastAsia="Times New Roman" w:hAnsi="Arial" w:cs="Arial"/>
          <w:bCs/>
          <w:i/>
          <w:color w:val="000000"/>
        </w:rPr>
        <w:t xml:space="preserve">PpCHALLAH-related </w:t>
      </w:r>
      <w:r w:rsidRPr="006C37DC">
        <w:rPr>
          <w:rFonts w:ascii="Arial" w:eastAsia="Times New Roman" w:hAnsi="Arial" w:cs="Arial"/>
          <w:bCs/>
          <w:color w:val="000000"/>
        </w:rPr>
        <w:t>genes in a similar manner to Arabidopsis (</w:t>
      </w:r>
      <w:r w:rsidRPr="006C37DC">
        <w:rPr>
          <w:rFonts w:ascii="Arial" w:eastAsia="Times New Roman" w:hAnsi="Arial" w:cs="Arial"/>
          <w:b/>
          <w:bCs/>
          <w:color w:val="000000"/>
        </w:rPr>
        <w:t>Fig. 6</w:t>
      </w:r>
      <w:r w:rsidRPr="006C37DC">
        <w:rPr>
          <w:rFonts w:ascii="Arial" w:eastAsia="Times New Roman" w:hAnsi="Arial" w:cs="Arial"/>
          <w:bCs/>
          <w:color w:val="000000"/>
        </w:rPr>
        <w:t xml:space="preserve">). It may be that such </w:t>
      </w:r>
      <w:r w:rsidRPr="006C37DC">
        <w:rPr>
          <w:rFonts w:ascii="Arial" w:eastAsia="Times New Roman" w:hAnsi="Arial" w:cs="Arial"/>
          <w:bCs/>
          <w:i/>
          <w:color w:val="000000"/>
        </w:rPr>
        <w:t xml:space="preserve">PpCHALLAH-related </w:t>
      </w:r>
      <w:r w:rsidRPr="006C37DC">
        <w:rPr>
          <w:rFonts w:ascii="Arial" w:eastAsia="Times New Roman" w:hAnsi="Arial" w:cs="Arial"/>
          <w:bCs/>
          <w:color w:val="000000"/>
        </w:rPr>
        <w:t xml:space="preserve">peptides are signalling during growth (possibly through PpERECTA family members) akin to the CHALf-ERECTA pathway which occurs during Arabidopsis stem and floral development </w:t>
      </w:r>
      <w:r w:rsidRPr="006C37DC">
        <w:rPr>
          <w:rFonts w:ascii="Arial" w:eastAsia="Times New Roman" w:hAnsi="Arial" w:cs="Arial"/>
          <w:bCs/>
          <w:color w:val="000000"/>
        </w:rPr>
        <w:fldChar w:fldCharType="begin">
          <w:fldData xml:space="preserve">PEVuZE5vdGU+PENpdGU+PEF1dGhvcj5VY2hpZGE8L0F1dGhvcj48WWVhcj4yMDEyPC9ZZWFyPjxJ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PEVuZE5vdGU+PENpdGU+PEF1dGhvcj5VY2hpZGE8L0F1dGhvcj48WWVhcj4yMDEyPC9ZZWFyPjxJ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(Abrash and Bergmann, 2010; Abrash et al., 2011; Uchida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 presence of </w:t>
      </w:r>
      <w:r w:rsidRPr="006C37DC">
        <w:rPr>
          <w:rFonts w:ascii="Arial" w:eastAsia="Times New Roman" w:hAnsi="Arial" w:cs="Arial"/>
          <w:bCs/>
          <w:i/>
          <w:color w:val="000000"/>
        </w:rPr>
        <w:t xml:space="preserve">TMM </w:t>
      </w:r>
      <w:r w:rsidRPr="006C37DC">
        <w:rPr>
          <w:rFonts w:ascii="Arial" w:eastAsia="Times New Roman" w:hAnsi="Arial" w:cs="Arial"/>
          <w:bCs/>
          <w:color w:val="000000"/>
        </w:rPr>
        <w:t>therefore provides a possible mechanism that may enable the partitioning of growth and stomatal development during sporophyte development in many stomatal-bearing land plants. This could then suggest that TMM has been fundamental in allowing land plants to differentially regulate patterning in different organs from a very early</w:t>
      </w:r>
      <w:r w:rsidR="006029DA">
        <w:rPr>
          <w:rFonts w:ascii="Arial" w:eastAsia="Times New Roman" w:hAnsi="Arial" w:cs="Arial"/>
          <w:bCs/>
          <w:color w:val="000000"/>
        </w:rPr>
        <w:t xml:space="preserve"> point in</w:t>
      </w:r>
      <w:r w:rsidRPr="006C37DC">
        <w:rPr>
          <w:rFonts w:ascii="Arial" w:eastAsia="Times New Roman" w:hAnsi="Arial" w:cs="Arial"/>
          <w:bCs/>
          <w:color w:val="000000"/>
        </w:rPr>
        <w:t xml:space="preserve"> land plant evolution including where differential regulation of stomatal patterning was observed in early Devonian fossils (</w:t>
      </w:r>
      <w:r w:rsidRPr="006C37DC">
        <w:rPr>
          <w:rFonts w:ascii="Arial" w:eastAsia="Times New Roman" w:hAnsi="Arial" w:cs="Arial"/>
          <w:b/>
          <w:bCs/>
          <w:color w:val="000000"/>
        </w:rPr>
        <w:t>Fig. 2</w:t>
      </w:r>
      <w:r w:rsidRPr="006C37DC">
        <w:rPr>
          <w:rFonts w:ascii="Arial" w:eastAsia="Times New Roman" w:hAnsi="Arial" w:cs="Arial"/>
          <w:bCs/>
          <w:color w:val="000000"/>
        </w:rPr>
        <w:t>).</w:t>
      </w:r>
    </w:p>
    <w:p w14:paraId="49457AC2" w14:textId="016F2FBD"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Phylogenetic analysis suggests that putative gene family orthologues to the ERECTA family of receptor kinases have been present since very early in plant evolution, possibly before plants made the jump to land (</w:t>
      </w:r>
      <w:r w:rsidRPr="006C37DC">
        <w:rPr>
          <w:rFonts w:ascii="Arial" w:eastAsia="Times New Roman" w:hAnsi="Arial" w:cs="Arial"/>
          <w:b/>
          <w:bCs/>
          <w:color w:val="000000"/>
        </w:rPr>
        <w:t xml:space="preserve">Fig. 18 </w:t>
      </w:r>
      <w:r w:rsidRPr="006C37DC">
        <w:rPr>
          <w:rFonts w:ascii="Arial" w:eastAsia="Times New Roman" w:hAnsi="Arial" w:cs="Arial"/>
          <w:bCs/>
          <w:color w:val="000000"/>
        </w:rPr>
        <w:t xml:space="preserve">and </w:t>
      </w:r>
      <w:r w:rsidRPr="006C37DC">
        <w:rPr>
          <w:rFonts w:ascii="Arial" w:eastAsia="Times New Roman" w:hAnsi="Arial" w:cs="Arial"/>
          <w:b/>
          <w:bCs/>
          <w:color w:val="000000"/>
        </w:rPr>
        <w:t>appendix 2</w:t>
      </w:r>
      <w:r w:rsidRPr="006C37DC">
        <w:rPr>
          <w:rFonts w:ascii="Arial" w:eastAsia="Times New Roman" w:hAnsi="Arial" w:cs="Arial"/>
          <w:bCs/>
          <w:color w:val="000000"/>
        </w:rPr>
        <w:t>). In Arabidopsis, members of this family also include CLAVATA1, and the barely any meristem 1 (BAM1), BAM2 and BAM3 receptor kinases whose functions include regulation over the activity of the shoot apical meristem (SAM), root apical meriste</w:t>
      </w:r>
      <w:r w:rsidR="006029DA">
        <w:rPr>
          <w:rFonts w:ascii="Arial" w:eastAsia="Times New Roman" w:hAnsi="Arial" w:cs="Arial"/>
          <w:bCs/>
          <w:color w:val="000000"/>
        </w:rPr>
        <w:t xml:space="preserve">m and the floral meristem (FM) </w:t>
      </w:r>
      <w:r w:rsidRPr="006C37DC">
        <w:rPr>
          <w:rFonts w:ascii="Arial" w:eastAsia="Times New Roman" w:hAnsi="Arial" w:cs="Arial"/>
          <w:bCs/>
          <w:color w:val="000000"/>
        </w:rPr>
        <w:fldChar w:fldCharType="begin">
          <w:fldData xml:space="preserve">PEVuZE5vdGU+PENpdGU+PEF1dGhvcj5EZVlvdW5nPC9BdXRob3I+PFllYXI+MjAwNjwvWWVhcj48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PEVuZE5vdGU+PENpdGU+PEF1dGhvcj5EZVlvdW5nPC9BdXRob3I+PFllYXI+MjAwNjwvWWVhcj48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(Clark et al., 1993; DeYoung et al., 2006; Deyoung and Clark, 2008; Stone et al., 1998; Torii et al., 1996; Trotochaud et al., 1999)</w:t>
      </w:r>
      <w:r w:rsidRPr="006C37DC">
        <w:rPr>
          <w:rFonts w:ascii="Arial" w:eastAsia="Times New Roman" w:hAnsi="Arial" w:cs="Arial"/>
          <w:bCs/>
          <w:color w:val="000000"/>
        </w:rPr>
        <w:fldChar w:fldCharType="end"/>
      </w:r>
      <w:r w:rsidR="006029DA">
        <w:rPr>
          <w:rFonts w:ascii="Arial" w:eastAsia="Times New Roman" w:hAnsi="Arial" w:cs="Arial"/>
          <w:bCs/>
          <w:color w:val="000000"/>
        </w:rPr>
        <w:t>.</w:t>
      </w:r>
      <w:r w:rsidRPr="006C37DC">
        <w:rPr>
          <w:rFonts w:ascii="Arial" w:eastAsia="Times New Roman" w:hAnsi="Arial" w:cs="Arial"/>
          <w:bCs/>
          <w:color w:val="000000"/>
        </w:rPr>
        <w:t xml:space="preserve"> </w:t>
      </w:r>
      <w:r w:rsidR="006029DA" w:rsidRPr="006C37DC">
        <w:rPr>
          <w:rFonts w:ascii="Arial" w:eastAsia="Times New Roman" w:hAnsi="Arial" w:cs="Arial"/>
          <w:bCs/>
          <w:color w:val="000000"/>
        </w:rPr>
        <w:t>Such functioning</w:t>
      </w:r>
      <w:r w:rsidR="006029DA">
        <w:rPr>
          <w:rFonts w:ascii="Arial" w:eastAsia="Times New Roman" w:hAnsi="Arial" w:cs="Arial"/>
          <w:bCs/>
          <w:color w:val="000000"/>
        </w:rPr>
        <w:t xml:space="preserve"> may well</w:t>
      </w:r>
      <w:r w:rsidR="006029DA" w:rsidRPr="006C37DC">
        <w:rPr>
          <w:rFonts w:ascii="Arial" w:eastAsia="Times New Roman" w:hAnsi="Arial" w:cs="Arial"/>
          <w:bCs/>
          <w:color w:val="000000"/>
        </w:rPr>
        <w:t xml:space="preserve"> extend to other vascular land plant representatives </w:t>
      </w:r>
      <w:r w:rsidRPr="006C37DC">
        <w:rPr>
          <w:rFonts w:ascii="Arial" w:eastAsia="Times New Roman" w:hAnsi="Arial" w:cs="Arial"/>
          <w:bCs/>
          <w:color w:val="000000"/>
        </w:rPr>
        <w:t>(</w:t>
      </w:r>
      <w:r w:rsidRPr="006C37DC">
        <w:rPr>
          <w:rFonts w:ascii="Arial" w:eastAsia="Times New Roman" w:hAnsi="Arial" w:cs="Arial"/>
          <w:b/>
          <w:bCs/>
          <w:color w:val="000000"/>
        </w:rPr>
        <w:t xml:space="preserve">Fig. 18 </w:t>
      </w:r>
      <w:r w:rsidRPr="006C37DC">
        <w:rPr>
          <w:rFonts w:ascii="Arial" w:eastAsia="Times New Roman" w:hAnsi="Arial" w:cs="Arial"/>
          <w:bCs/>
          <w:color w:val="000000"/>
        </w:rPr>
        <w:t xml:space="preserve">and </w:t>
      </w:r>
      <w:r w:rsidRPr="006C37DC">
        <w:rPr>
          <w:rFonts w:ascii="Arial" w:eastAsia="Times New Roman" w:hAnsi="Arial" w:cs="Arial"/>
          <w:b/>
          <w:bCs/>
          <w:color w:val="000000"/>
        </w:rPr>
        <w:t>appendix 2</w:t>
      </w:r>
      <w:r w:rsidRPr="006C37DC">
        <w:rPr>
          <w:rFonts w:ascii="Arial" w:eastAsia="Times New Roman" w:hAnsi="Arial" w:cs="Arial"/>
          <w:bCs/>
          <w:color w:val="000000"/>
        </w:rPr>
        <w:t xml:space="preserve">). Recently it has been shown at the molecular level that like other gene family members that ER also contributes to SAM and FM regulation by regulating the activity of WUSCHEL via an independent pathway to CLAVATA1 in Arabidopsis </w:t>
      </w:r>
      <w:r w:rsidRPr="006C37DC">
        <w:rPr>
          <w:rFonts w:ascii="Arial" w:eastAsia="Times New Roman" w:hAnsi="Arial" w:cs="Arial"/>
          <w:bCs/>
          <w:color w:val="000000"/>
        </w:rPr>
        <w:fldChar w:fldCharType="begin">
          <w:fldData xml:space="preserve">PEVuZE5vdGU+PENpdGU+PEF1dGhvcj5NYW5kZWw8L0F1dGhvcj48WWVhcj4yMDE0PC9ZZWFyPjxJ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PEVuZE5vdGU+PENpdGU+PEF1dGhvcj5NYW5kZWw8L0F1dGhvcj48WWVhcj4yMDE0PC9ZZWFyPjxJ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(Mandel et al., 2014)</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This finding implicates ER as being directly involved with in both meristem regulation and stomatal development and thus provides an intriguing link between the production of organs and the patterning of stomata. How and if PpERECTAs function to regulate the transient meristem formation in </w:t>
      </w:r>
      <w:r w:rsidRPr="006C37DC">
        <w:rPr>
          <w:rFonts w:ascii="Arial" w:eastAsia="Times New Roman" w:hAnsi="Arial" w:cs="Arial"/>
          <w:bCs/>
          <w:i/>
          <w:color w:val="000000"/>
        </w:rPr>
        <w:t xml:space="preserve">P. patens </w:t>
      </w:r>
      <w:r w:rsidRPr="006C37DC">
        <w:rPr>
          <w:rFonts w:ascii="Arial" w:eastAsia="Times New Roman" w:hAnsi="Arial" w:cs="Arial"/>
          <w:bCs/>
          <w:color w:val="000000"/>
        </w:rPr>
        <w:t xml:space="preserve">is unknown but the data provided here suggests that </w:t>
      </w:r>
      <w:r w:rsidRPr="006C37DC">
        <w:rPr>
          <w:rFonts w:ascii="Arial" w:eastAsia="Times New Roman" w:hAnsi="Arial" w:cs="Arial"/>
          <w:bCs/>
          <w:i/>
          <w:color w:val="000000"/>
        </w:rPr>
        <w:t xml:space="preserve">ERf </w:t>
      </w:r>
      <w:r w:rsidRPr="006C37DC">
        <w:rPr>
          <w:rFonts w:ascii="Arial" w:eastAsia="Times New Roman" w:hAnsi="Arial" w:cs="Arial"/>
          <w:bCs/>
          <w:color w:val="000000"/>
        </w:rPr>
        <w:t>functioning does occur in stomatal development. Other than minor stomatal patterning changes and perhaps a very minor reduction in stomatal number (</w:t>
      </w:r>
      <w:r w:rsidRPr="006C37DC">
        <w:rPr>
          <w:rFonts w:ascii="Arial" w:eastAsia="Times New Roman" w:hAnsi="Arial" w:cs="Arial"/>
          <w:b/>
          <w:bCs/>
          <w:color w:val="000000"/>
        </w:rPr>
        <w:t>Fig. 19</w:t>
      </w:r>
      <w:r w:rsidRPr="006C37DC">
        <w:rPr>
          <w:rFonts w:ascii="Arial" w:eastAsia="Times New Roman" w:hAnsi="Arial" w:cs="Arial"/>
          <w:bCs/>
          <w:color w:val="000000"/>
        </w:rPr>
        <w:t xml:space="preserve">), no general growth phenotypic defects were detected in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lines, although, as this is one of 6 </w:t>
      </w:r>
      <w:r w:rsidRPr="006C37DC">
        <w:rPr>
          <w:rFonts w:ascii="Arial" w:eastAsia="Times New Roman" w:hAnsi="Arial" w:cs="Arial"/>
          <w:bCs/>
          <w:i/>
          <w:color w:val="000000"/>
        </w:rPr>
        <w:t xml:space="preserve">PpERECTA </w:t>
      </w:r>
      <w:r w:rsidRPr="006C37DC">
        <w:rPr>
          <w:rFonts w:ascii="Arial" w:eastAsia="Times New Roman" w:hAnsi="Arial" w:cs="Arial"/>
          <w:bCs/>
          <w:color w:val="000000"/>
        </w:rPr>
        <w:t xml:space="preserve">genes expressed in the sporophyte this finding is hardly unsurprising. Indeed in vascular land plants </w:t>
      </w:r>
      <w:r w:rsidRPr="006C37DC">
        <w:rPr>
          <w:rFonts w:ascii="Arial" w:eastAsia="Times New Roman" w:hAnsi="Arial" w:cs="Arial"/>
          <w:bCs/>
          <w:i/>
          <w:color w:val="000000"/>
        </w:rPr>
        <w:t>ERf</w:t>
      </w:r>
      <w:r w:rsidRPr="006C37DC">
        <w:rPr>
          <w:rFonts w:ascii="Arial" w:eastAsia="Times New Roman" w:hAnsi="Arial" w:cs="Arial"/>
          <w:bCs/>
          <w:color w:val="000000"/>
        </w:rPr>
        <w:t xml:space="preserve"> genes have been shown to have a high </w:t>
      </w:r>
      <w:r w:rsidRPr="006C37DC">
        <w:rPr>
          <w:rFonts w:ascii="Arial" w:eastAsia="Times New Roman" w:hAnsi="Arial" w:cs="Arial"/>
          <w:bCs/>
          <w:color w:val="000000"/>
        </w:rPr>
        <w:lastRenderedPageBreak/>
        <w:t xml:space="preserve">degree of functional redundancy which results in only </w:t>
      </w:r>
      <w:r w:rsidR="006029DA">
        <w:rPr>
          <w:rFonts w:ascii="Arial" w:eastAsia="Times New Roman" w:hAnsi="Arial" w:cs="Arial"/>
          <w:bCs/>
          <w:color w:val="000000"/>
        </w:rPr>
        <w:t xml:space="preserve">certain </w:t>
      </w:r>
      <w:r w:rsidRPr="006C37DC">
        <w:rPr>
          <w:rFonts w:ascii="Arial" w:eastAsia="Times New Roman" w:hAnsi="Arial" w:cs="Arial"/>
          <w:bCs/>
          <w:color w:val="000000"/>
        </w:rPr>
        <w:t xml:space="preserve">few </w:t>
      </w:r>
      <w:r w:rsidRPr="006C37DC">
        <w:rPr>
          <w:rFonts w:ascii="Arial" w:eastAsia="Times New Roman" w:hAnsi="Arial" w:cs="Arial"/>
          <w:bCs/>
          <w:i/>
          <w:color w:val="000000"/>
        </w:rPr>
        <w:t>ERf</w:t>
      </w:r>
      <w:r w:rsidRPr="006C37DC">
        <w:rPr>
          <w:rFonts w:ascii="Arial" w:eastAsia="Times New Roman" w:hAnsi="Arial" w:cs="Arial"/>
          <w:bCs/>
          <w:color w:val="000000"/>
        </w:rPr>
        <w:t xml:space="preserve"> mutants and </w:t>
      </w:r>
      <w:r w:rsidRPr="006C37DC">
        <w:rPr>
          <w:rFonts w:ascii="Arial" w:eastAsia="Times New Roman" w:hAnsi="Arial" w:cs="Arial"/>
          <w:bCs/>
          <w:i/>
          <w:color w:val="000000"/>
        </w:rPr>
        <w:t>ERf</w:t>
      </w:r>
      <w:r w:rsidRPr="006C37DC">
        <w:rPr>
          <w:rFonts w:ascii="Arial" w:eastAsia="Times New Roman" w:hAnsi="Arial" w:cs="Arial"/>
          <w:bCs/>
          <w:color w:val="000000"/>
        </w:rPr>
        <w:t xml:space="preserve"> mutant combinations displaying phenotypes that differ from the wild-type </w:t>
      </w:r>
      <w:r w:rsidRPr="006C37DC">
        <w:rPr>
          <w:rFonts w:ascii="Arial" w:eastAsia="Times New Roman" w:hAnsi="Arial" w:cs="Arial"/>
          <w:bCs/>
          <w:color w:val="000000"/>
        </w:rPr>
        <w:fldChar w:fldCharType="begin">
          <w:fldData xml:space="preserve">PEVuZE5vdGU+PENpdGU+PEF1dGhvcj5TaHBhazwvQXV0aG9yPjxZZWFyPjIwMDQ8L1llYXI+PElE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PEVuZE5vdGU+PENpdGU+PEF1dGhvcj5TaHBhazwvQXV0aG9yPjxZZWFyPjIwMDQ8L1llYXI+PElE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(Shpak et al., 2004; Shpak et al., 2005)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t>
      </w:r>
    </w:p>
    <w:p w14:paraId="098335ED" w14:textId="25263B0D"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Despite a great deal of effort, it was only possible to isolate one KO line of </w:t>
      </w:r>
      <w:r w:rsidRPr="006C37DC">
        <w:rPr>
          <w:rFonts w:ascii="Arial" w:eastAsia="Times New Roman" w:hAnsi="Arial" w:cs="Arial"/>
          <w:bCs/>
          <w:i/>
          <w:color w:val="000000"/>
        </w:rPr>
        <w:t>PpERECTA1, pperecta1-1</w:t>
      </w:r>
      <w:r w:rsidRPr="006C37DC">
        <w:rPr>
          <w:rFonts w:ascii="Arial" w:eastAsia="Times New Roman" w:hAnsi="Arial" w:cs="Arial"/>
          <w:bCs/>
          <w:color w:val="000000"/>
        </w:rPr>
        <w:t xml:space="preserve"> which did not express </w:t>
      </w:r>
      <w:r w:rsidRPr="006C37DC">
        <w:rPr>
          <w:rFonts w:ascii="Arial" w:eastAsia="Times New Roman" w:hAnsi="Arial" w:cs="Arial"/>
          <w:bCs/>
          <w:i/>
          <w:color w:val="000000"/>
        </w:rPr>
        <w:t>PpERECTA1</w:t>
      </w:r>
      <w:r w:rsidRPr="006C37DC">
        <w:rPr>
          <w:rFonts w:ascii="Arial" w:eastAsia="Times New Roman" w:hAnsi="Arial" w:cs="Arial"/>
          <w:bCs/>
          <w:color w:val="000000"/>
        </w:rPr>
        <w:t xml:space="preserve"> (</w:t>
      </w:r>
      <w:r w:rsidRPr="006C37DC">
        <w:rPr>
          <w:rFonts w:ascii="Arial" w:eastAsia="Times New Roman" w:hAnsi="Arial" w:cs="Arial"/>
          <w:b/>
          <w:bCs/>
          <w:color w:val="000000"/>
        </w:rPr>
        <w:t>Fig. 19</w:t>
      </w:r>
      <w:r w:rsidRPr="006C37DC">
        <w:rPr>
          <w:rFonts w:ascii="Arial" w:eastAsia="Times New Roman" w:hAnsi="Arial" w:cs="Arial"/>
          <w:bCs/>
          <w:color w:val="000000"/>
        </w:rPr>
        <w:t xml:space="preserve">). The two other isolated lines of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despite having targeted genomic integrations (</w:t>
      </w:r>
      <w:r w:rsidRPr="006C37DC">
        <w:rPr>
          <w:rFonts w:ascii="Arial" w:eastAsia="Times New Roman" w:hAnsi="Arial" w:cs="Arial"/>
          <w:b/>
          <w:bCs/>
          <w:color w:val="000000"/>
        </w:rPr>
        <w:t>Fig. 8</w:t>
      </w:r>
      <w:r w:rsidRPr="006C37DC">
        <w:rPr>
          <w:rFonts w:ascii="Arial" w:eastAsia="Times New Roman" w:hAnsi="Arial" w:cs="Arial"/>
          <w:bCs/>
          <w:color w:val="000000"/>
        </w:rPr>
        <w:t xml:space="preserve">), displayed high levels of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expression (</w:t>
      </w:r>
      <w:r w:rsidRPr="006C37DC">
        <w:rPr>
          <w:rFonts w:ascii="Arial" w:eastAsia="Times New Roman" w:hAnsi="Arial" w:cs="Arial"/>
          <w:b/>
          <w:bCs/>
          <w:color w:val="000000"/>
        </w:rPr>
        <w:t>Fig. 19a</w:t>
      </w:r>
      <w:r w:rsidRPr="006C37DC">
        <w:rPr>
          <w:rFonts w:ascii="Arial" w:eastAsia="Times New Roman" w:hAnsi="Arial" w:cs="Arial"/>
          <w:bCs/>
          <w:color w:val="000000"/>
        </w:rPr>
        <w:t>-</w:t>
      </w:r>
      <w:r w:rsidRPr="006C37DC">
        <w:rPr>
          <w:rFonts w:ascii="Arial" w:eastAsia="Times New Roman" w:hAnsi="Arial" w:cs="Arial"/>
          <w:b/>
          <w:bCs/>
          <w:color w:val="000000"/>
        </w:rPr>
        <w:t>b</w:t>
      </w:r>
      <w:r w:rsidR="006029DA">
        <w:rPr>
          <w:rFonts w:ascii="Arial" w:eastAsia="Times New Roman" w:hAnsi="Arial" w:cs="Arial"/>
          <w:bCs/>
          <w:color w:val="000000"/>
        </w:rPr>
        <w:t>). This</w:t>
      </w:r>
      <w:r w:rsidR="00EC52FA">
        <w:rPr>
          <w:rFonts w:ascii="Arial" w:eastAsia="Times New Roman" w:hAnsi="Arial" w:cs="Arial"/>
          <w:bCs/>
          <w:color w:val="000000"/>
        </w:rPr>
        <w:t xml:space="preserve"> </w:t>
      </w:r>
      <w:r w:rsidRPr="006C37DC">
        <w:rPr>
          <w:rFonts w:ascii="Arial" w:eastAsia="Times New Roman" w:hAnsi="Arial" w:cs="Arial"/>
          <w:bCs/>
          <w:color w:val="000000"/>
        </w:rPr>
        <w:t xml:space="preserve">might suggest that in </w:t>
      </w:r>
      <w:r w:rsidRPr="006C37DC">
        <w:rPr>
          <w:rFonts w:ascii="Arial" w:eastAsia="Times New Roman" w:hAnsi="Arial" w:cs="Arial"/>
          <w:bCs/>
          <w:i/>
          <w:color w:val="000000"/>
        </w:rPr>
        <w:t xml:space="preserve">pperecta1-2 </w:t>
      </w:r>
      <w:r w:rsidRPr="006C37DC">
        <w:rPr>
          <w:rFonts w:ascii="Arial" w:eastAsia="Times New Roman" w:hAnsi="Arial" w:cs="Arial"/>
          <w:bCs/>
          <w:color w:val="000000"/>
        </w:rPr>
        <w:t xml:space="preserve">and </w:t>
      </w:r>
      <w:r w:rsidRPr="006C37DC">
        <w:rPr>
          <w:rFonts w:ascii="Arial" w:eastAsia="Times New Roman" w:hAnsi="Arial" w:cs="Arial"/>
          <w:bCs/>
          <w:i/>
          <w:color w:val="000000"/>
        </w:rPr>
        <w:t xml:space="preserve">pperecta1-3 </w:t>
      </w:r>
      <w:r w:rsidRPr="006C37DC">
        <w:rPr>
          <w:rFonts w:ascii="Arial" w:eastAsia="Times New Roman" w:hAnsi="Arial" w:cs="Arial"/>
          <w:bCs/>
          <w:color w:val="000000"/>
        </w:rPr>
        <w:t xml:space="preserve">that the gene has been retained by the mutant lines but not at the wild-type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locus. Perhaps like Arabidopsis ERf members, the introns of the retained genes drive the expression of </w:t>
      </w:r>
      <w:r w:rsidRPr="006C37DC">
        <w:rPr>
          <w:rFonts w:ascii="Arial" w:eastAsia="Times New Roman" w:hAnsi="Arial" w:cs="Arial"/>
          <w:bCs/>
          <w:i/>
          <w:color w:val="000000"/>
        </w:rPr>
        <w:t xml:space="preserve">PpERECTAs </w:t>
      </w:r>
      <w:r w:rsidRPr="006C37DC">
        <w:rPr>
          <w:rFonts w:ascii="Arial" w:eastAsia="Times New Roman" w:hAnsi="Arial" w:cs="Arial"/>
          <w:bCs/>
          <w:color w:val="000000"/>
        </w:rPr>
        <w:t xml:space="preserve">as has been shown to be the case in Arabidopsis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&lt;EndNote&gt;&lt;Cite&gt;&lt;Author&gt;Karve&lt;/Author&gt;&lt;Year&gt;2011&lt;/Year&gt;&lt;IDText&gt;The presence of multiple introns is essential for ERECTA expression in Arabidopsis&lt;/IDText&gt;&lt;DisplayText&gt;(Karve et al., 2011)&lt;/DisplayText&gt;&lt;record&gt;&lt;dates&gt;&lt;pub-dates&gt;&lt;date&gt;Oct&lt;/date&gt;&lt;/pub-dates&gt;&lt;year&gt;2011&lt;/year&gt;&lt;/dates&gt;&lt;keywords&gt;&lt;keyword&gt;Arabidopsis/*genetics/metabolism&lt;/keyword&gt;&lt;keyword&gt;Arabidopsis Proteins/*genetics/metabolism&lt;/keyword&gt;&lt;keyword&gt;Exons&lt;/keyword&gt;&lt;keyword&gt;*Gene Expression Regulation, Plant&lt;/keyword&gt;&lt;keyword&gt;*Introns&lt;/keyword&gt;&lt;keyword&gt;Mutation&lt;/keyword&gt;&lt;keyword&gt;Poly A/genetics&lt;/keyword&gt;&lt;keyword&gt;Promoter Regions, Genetic&lt;/keyword&gt;&lt;keyword&gt;Protein Biosynthesis&lt;/keyword&gt;&lt;keyword&gt;Protein-Serine-Threonine Kinases/*genetics/metabolism&lt;/keyword&gt;&lt;keyword&gt;RNA, Messenger/metabolism&lt;/keyword&gt;&lt;keyword&gt;Receptors, Cell Surface/*genetics/metabolism&lt;/keyword&gt;&lt;/keywords&gt;&lt;isbn&gt;1355-8382&lt;/isbn&gt;&lt;custom2&gt;PMC3185922&lt;/custom2&gt;&lt;titles&gt;&lt;title&gt;The presence of multiple introns is essential for ERECTA expression in Arabidopsis&lt;/title&gt;&lt;secondary-title&gt;Rna&lt;/secondary-title&gt;&lt;alt-title&gt;RNA (New York, N.Y.)&lt;/alt-title&gt;&lt;/titles&gt;&lt;pages&gt;1907-21&lt;/pages&gt;&lt;number&gt;10&lt;/number&gt;&lt;contributors&gt;&lt;authors&gt;&lt;author&gt;Karve, R.&lt;/author&gt;&lt;author&gt;Liu, W.&lt;/author&gt;&lt;author&gt;Willet, S. G.&lt;/author&gt;&lt;author&gt;Torii, K. U.&lt;/author&gt;&lt;author&gt;Shpak, E. D.&lt;/author&gt;&lt;/authors&gt;&lt;/contributors&gt;&lt;edition&gt;2011/09/02&lt;/edition&gt;&lt;language&gt;eng&lt;/language&gt;&lt;added-date format="utc"&gt;1457886936&lt;/added-date&gt;&lt;ref-type name="Journal Article"&gt;17&lt;/ref-type&gt;&lt;auth-address&gt;Department of Biochemistry, Cellular and Molecular Biology, University of Tennessee, Knoxville, TN 37996, USA.&lt;/auth-address&gt;&lt;remote-database-provider&gt;NLM&lt;/remote-database-provider&gt;&lt;rec-number&gt;1079&lt;/rec-number&gt;&lt;last-updated-date format="utc"&gt;1457886936&lt;/last-updated-date&gt;&lt;accession-num&gt;21880780&lt;/accession-num&gt;&lt;electronic-resource-num&gt;10.1261/rna.2825811&lt;/electronic-resource-num&gt;&lt;volume&gt;17&lt;/volume&gt;&lt;/record&gt;&lt;/Cite&gt;&lt;/EndNote&gt;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(Karve et al., 2011)</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Of course specific experiments with and without introns of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would be required to confirm such a mode of self-controlled regulation but it is clear from gene annotations on Phytozome V11 that </w:t>
      </w:r>
      <w:r w:rsidRPr="006C37DC">
        <w:rPr>
          <w:rFonts w:ascii="Arial" w:eastAsia="Times New Roman" w:hAnsi="Arial" w:cs="Arial"/>
          <w:bCs/>
          <w:i/>
          <w:color w:val="000000"/>
        </w:rPr>
        <w:t>PpERECTAs</w:t>
      </w:r>
      <w:r w:rsidRPr="006C37DC">
        <w:rPr>
          <w:rFonts w:ascii="Arial" w:eastAsia="Times New Roman" w:hAnsi="Arial" w:cs="Arial"/>
          <w:bCs/>
          <w:color w:val="000000"/>
        </w:rPr>
        <w:t>,</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like Arabidopsis ERfs have many introns separating their exons that appear to have been conserved in many land plant lineages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&lt;EndNote&gt;&lt;Cite&gt;&lt;Author&gt;Goodstein&lt;/Author&gt;&lt;Year&gt;2012&lt;/Year&gt;&lt;IDText&gt;Phytozome: a comparative platform for green plant genomics&lt;/IDText&gt;&lt;DisplayText&gt;(Goodstein et al., 2012)&lt;/DisplayText&gt;&lt;record&gt;&lt;dates&gt;&lt;pub-dates&gt;&lt;date&gt;2012//&lt;/date&gt;&lt;/pub-dates&gt;&lt;year&gt;2012&lt;/year&gt;&lt;/dates&gt;&lt;urls&gt;&lt;related-urls&gt;&lt;url&gt;http://dx.doi.org/10.1093/nar/gkr944&lt;/url&gt;&lt;/related-urls&gt;&lt;/urls&gt;&lt;titles&gt;&lt;title&gt;Phytozome: a comparative platform for green plant genomics&lt;/title&gt;&lt;secondary-title&gt;Nucleic Acids Res&lt;/secondary-title&gt;&lt;/titles&gt;&lt;contributors&gt;&lt;authors&gt;&lt;author&gt;Goodstein, D. M.&lt;/author&gt;&lt;author&gt;Shu, S.&lt;/author&gt;&lt;author&gt;Howson, R.&lt;/author&gt;&lt;author&gt;Neupane, R.&lt;/author&gt;&lt;author&gt;Hayes, R. D.&lt;/author&gt;&lt;author&gt;Fazo, J.&lt;/author&gt;&lt;author&gt;Mitros, T.&lt;/author&gt;&lt;author&gt;Dirks, W.&lt;/author&gt;&lt;author&gt;Hellsten, U.&lt;/author&gt;&lt;author&gt;Putnam, N.&lt;/author&gt;&lt;author&gt;Rokhsar, D. S.&lt;/author&gt;&lt;/authors&gt;&lt;/contributors&gt;&lt;added-date format="utc"&gt;1454072695&lt;/added-date&gt;&lt;ref-type name="Journal Article"&gt;17&lt;/ref-type&gt;&lt;rec-number&gt;496&lt;/rec-number&gt;&lt;last-updated-date format="utc"&gt;1454072695&lt;/last-updated-date&gt;&lt;electronic-resource-num&gt;10.1093/nar/gkr944&lt;/electronic-resource-num&gt;&lt;volume&gt;40&lt;/volume&gt;&lt;/record&gt;&lt;/Cite&gt;&lt;/EndNote&gt;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(Goodstein et al., 2012)</w:t>
      </w:r>
      <w:r w:rsidRPr="006C37DC">
        <w:rPr>
          <w:rFonts w:ascii="Arial" w:eastAsia="Times New Roman" w:hAnsi="Arial" w:cs="Arial"/>
          <w:bCs/>
          <w:color w:val="000000"/>
        </w:rPr>
        <w:fldChar w:fldCharType="end"/>
      </w:r>
      <w:r w:rsidRPr="006C37DC">
        <w:rPr>
          <w:rFonts w:ascii="Arial" w:eastAsia="Times New Roman" w:hAnsi="Arial" w:cs="Arial"/>
          <w:bCs/>
          <w:color w:val="000000"/>
        </w:rPr>
        <w:t>.</w:t>
      </w:r>
    </w:p>
    <w:p w14:paraId="09B8899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Having ascertained that in Arabidopsis, </w:t>
      </w:r>
      <w:r w:rsidRPr="006C37DC">
        <w:rPr>
          <w:rFonts w:ascii="Arial" w:eastAsia="Times New Roman" w:hAnsi="Arial" w:cs="Arial"/>
          <w:bCs/>
          <w:i/>
          <w:color w:val="000000"/>
        </w:rPr>
        <w:t>ERf</w:t>
      </w:r>
      <w:r w:rsidRPr="006C37DC">
        <w:rPr>
          <w:rFonts w:ascii="Arial" w:eastAsia="Times New Roman" w:hAnsi="Arial" w:cs="Arial"/>
          <w:bCs/>
          <w:color w:val="000000"/>
        </w:rPr>
        <w:t xml:space="preserve"> genes display synergistic interactions with </w:t>
      </w:r>
      <w:r w:rsidRPr="006C37DC">
        <w:rPr>
          <w:rFonts w:ascii="Arial" w:eastAsia="Times New Roman" w:hAnsi="Arial" w:cs="Arial"/>
          <w:bCs/>
          <w:i/>
          <w:color w:val="000000"/>
        </w:rPr>
        <w:t>TMM</w:t>
      </w:r>
      <w:r w:rsidRPr="006C37DC">
        <w:rPr>
          <w:rFonts w:ascii="Arial" w:eastAsia="Times New Roman" w:hAnsi="Arial" w:cs="Arial"/>
          <w:bCs/>
          <w:color w:val="000000"/>
        </w:rPr>
        <w:t xml:space="preserve"> and in the case of </w:t>
      </w:r>
      <w:r w:rsidRPr="006C37DC">
        <w:rPr>
          <w:rFonts w:ascii="Arial" w:eastAsia="Times New Roman" w:hAnsi="Arial" w:cs="Arial"/>
          <w:bCs/>
          <w:i/>
          <w:color w:val="000000"/>
        </w:rPr>
        <w:t>ER</w:t>
      </w:r>
      <w:r w:rsidRPr="006C37DC">
        <w:rPr>
          <w:rFonts w:ascii="Arial" w:eastAsia="Times New Roman" w:hAnsi="Arial" w:cs="Arial"/>
          <w:bCs/>
          <w:color w:val="000000"/>
        </w:rPr>
        <w:t xml:space="preserve"> an epistatic interaction to </w:t>
      </w:r>
      <w:r w:rsidRPr="006C37DC">
        <w:rPr>
          <w:rFonts w:ascii="Arial" w:eastAsia="Times New Roman" w:hAnsi="Arial" w:cs="Arial"/>
          <w:bCs/>
          <w:i/>
          <w:color w:val="000000"/>
        </w:rPr>
        <w:t>EPF2</w:t>
      </w:r>
      <w:r w:rsidRPr="006C37DC">
        <w:rPr>
          <w:rFonts w:ascii="Arial" w:eastAsia="Times New Roman" w:hAnsi="Arial" w:cs="Arial"/>
          <w:bCs/>
          <w:color w:val="000000"/>
        </w:rPr>
        <w:t xml:space="preserve">, it was decided that a sensible way to further interrogate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function would be by creating double KO lines which also included KOs of either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or </w:t>
      </w:r>
      <w:r w:rsidRPr="006C37DC">
        <w:rPr>
          <w:rFonts w:ascii="Arial" w:eastAsia="Times New Roman" w:hAnsi="Arial" w:cs="Arial"/>
          <w:bCs/>
          <w:i/>
          <w:color w:val="000000"/>
        </w:rPr>
        <w:t xml:space="preserve">PpEFP1 </w:t>
      </w:r>
      <w:r w:rsidRPr="006C37DC">
        <w:rPr>
          <w:rFonts w:ascii="Arial" w:eastAsia="Times New Roman" w:hAnsi="Arial" w:cs="Arial"/>
          <w:bCs/>
          <w:color w:val="000000"/>
        </w:rPr>
        <w:t>in combination</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with </w:t>
      </w:r>
      <w:r w:rsidRPr="006C37DC">
        <w:rPr>
          <w:rFonts w:ascii="Arial" w:eastAsia="Times New Roman" w:hAnsi="Arial" w:cs="Arial"/>
          <w:bCs/>
          <w:i/>
          <w:color w:val="000000"/>
        </w:rPr>
        <w:t>PpERECTA1</w:t>
      </w:r>
      <w:r w:rsidRPr="006C37DC">
        <w:rPr>
          <w:rFonts w:ascii="Arial" w:eastAsia="Times New Roman" w:hAnsi="Arial" w:cs="Arial"/>
          <w:bCs/>
          <w:color w:val="000000"/>
        </w:rPr>
        <w:t xml:space="preserve"> </w:t>
      </w:r>
      <w:r w:rsidRPr="006C37DC">
        <w:rPr>
          <w:rFonts w:ascii="Arial" w:eastAsia="Times New Roman" w:hAnsi="Arial" w:cs="Arial"/>
          <w:bCs/>
          <w:color w:val="000000"/>
        </w:rPr>
        <w:fldChar w:fldCharType="begin">
          <w:fldData xml:space="preserve">PEVuZE5vdGU+PENpdGU+PEF1dGhvcj5IdW50PC9BdXRob3I+PFllYXI+MjAwOTwvWWVhcj48SURU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PEVuZE5vdGU+PENpdGU+PEF1dGhvcj5IdW50PC9BdXRob3I+PFllYXI+MjAwOTwvWWVhcj48SURU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(Hunt and Gray, 2009; Shpak et al., 2005)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t>
      </w:r>
      <w:r w:rsidRPr="006C37DC">
        <w:rPr>
          <w:rFonts w:ascii="Arial" w:eastAsia="Times New Roman" w:hAnsi="Arial" w:cs="Arial"/>
          <w:b/>
          <w:bCs/>
          <w:color w:val="000000"/>
        </w:rPr>
        <w:t>Fig. 20</w:t>
      </w:r>
      <w:r w:rsidRPr="006C37DC">
        <w:rPr>
          <w:rFonts w:ascii="Arial" w:eastAsia="Times New Roman" w:hAnsi="Arial" w:cs="Arial"/>
          <w:bCs/>
          <w:color w:val="000000"/>
        </w:rPr>
        <w:t xml:space="preserve">). In these double mutants a more obvious role for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became apparent during stomatal development and patterning. That is, in both </w:t>
      </w:r>
      <w:r w:rsidRPr="006C37DC">
        <w:rPr>
          <w:rFonts w:ascii="Arial" w:eastAsia="Times New Roman" w:hAnsi="Arial" w:cs="Arial"/>
          <w:bCs/>
          <w:i/>
          <w:color w:val="000000"/>
        </w:rPr>
        <w:t xml:space="preserve">pptmm-erecta1 </w:t>
      </w:r>
      <w:r w:rsidRPr="006C37DC">
        <w:rPr>
          <w:rFonts w:ascii="Arial" w:eastAsia="Times New Roman" w:hAnsi="Arial" w:cs="Arial"/>
          <w:bCs/>
          <w:color w:val="000000"/>
        </w:rPr>
        <w:t xml:space="preserve">and </w:t>
      </w:r>
      <w:r w:rsidRPr="006C37DC">
        <w:rPr>
          <w:rFonts w:ascii="Arial" w:eastAsia="Times New Roman" w:hAnsi="Arial" w:cs="Arial"/>
          <w:bCs/>
          <w:i/>
          <w:color w:val="000000"/>
        </w:rPr>
        <w:t xml:space="preserve">ppepf1-erecta1 </w:t>
      </w:r>
      <w:r w:rsidRPr="006C37DC">
        <w:rPr>
          <w:rFonts w:ascii="Arial" w:eastAsia="Times New Roman" w:hAnsi="Arial" w:cs="Arial"/>
          <w:bCs/>
          <w:color w:val="000000"/>
        </w:rPr>
        <w:t xml:space="preserve">lines the number of stomata found was clearly reduced relative to the individual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and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background lines (</w:t>
      </w:r>
      <w:r w:rsidRPr="006C37DC">
        <w:rPr>
          <w:rFonts w:ascii="Arial" w:eastAsia="Times New Roman" w:hAnsi="Arial" w:cs="Arial"/>
          <w:b/>
          <w:bCs/>
          <w:color w:val="000000"/>
        </w:rPr>
        <w:t xml:space="preserve">Fig. 20q </w:t>
      </w:r>
      <w:r w:rsidRPr="006C37DC">
        <w:rPr>
          <w:rFonts w:ascii="Arial" w:eastAsia="Times New Roman" w:hAnsi="Arial" w:cs="Arial"/>
          <w:bCs/>
          <w:color w:val="000000"/>
        </w:rPr>
        <w:t xml:space="preserve">and </w:t>
      </w:r>
      <w:r w:rsidRPr="006C37DC">
        <w:rPr>
          <w:rFonts w:ascii="Arial" w:eastAsia="Times New Roman" w:hAnsi="Arial" w:cs="Arial"/>
          <w:b/>
          <w:bCs/>
          <w:color w:val="000000"/>
        </w:rPr>
        <w:t>s</w:t>
      </w:r>
      <w:r w:rsidRPr="006C37DC">
        <w:rPr>
          <w:rFonts w:ascii="Arial" w:eastAsia="Times New Roman" w:hAnsi="Arial" w:cs="Arial"/>
          <w:bCs/>
          <w:color w:val="000000"/>
        </w:rPr>
        <w:t xml:space="preserve">). Furthermore, the orientation of stomata and their morphology also appeared to be more adversely affected in double mutants. These findings further support a role for </w:t>
      </w:r>
      <w:r w:rsidRPr="006C37DC">
        <w:rPr>
          <w:rFonts w:ascii="Arial" w:eastAsia="Times New Roman" w:hAnsi="Arial" w:cs="Arial"/>
          <w:bCs/>
          <w:i/>
          <w:color w:val="000000"/>
        </w:rPr>
        <w:t>PpERECTA1</w:t>
      </w:r>
      <w:r w:rsidRPr="006C37DC">
        <w:rPr>
          <w:rFonts w:ascii="Arial" w:eastAsia="Times New Roman" w:hAnsi="Arial" w:cs="Arial"/>
          <w:bCs/>
          <w:color w:val="000000"/>
        </w:rPr>
        <w:t xml:space="preserve"> in positively regulating stomatal development and also in contributing to the patterning of stomata (</w:t>
      </w:r>
      <w:r w:rsidRPr="006C37DC">
        <w:rPr>
          <w:rFonts w:ascii="Arial" w:eastAsia="Times New Roman" w:hAnsi="Arial" w:cs="Arial"/>
          <w:b/>
          <w:bCs/>
          <w:color w:val="000000"/>
        </w:rPr>
        <w:t xml:space="preserve">Fig. 19). </w:t>
      </w:r>
      <w:r w:rsidRPr="006C37DC">
        <w:rPr>
          <w:rFonts w:ascii="Arial" w:eastAsia="Times New Roman" w:hAnsi="Arial" w:cs="Arial"/>
          <w:bCs/>
          <w:color w:val="000000"/>
        </w:rPr>
        <w:t xml:space="preserve">For </w:t>
      </w:r>
      <w:r w:rsidRPr="006C37DC">
        <w:rPr>
          <w:rFonts w:ascii="Arial" w:eastAsia="Times New Roman" w:hAnsi="Arial" w:cs="Arial"/>
          <w:bCs/>
          <w:i/>
          <w:color w:val="000000"/>
        </w:rPr>
        <w:t xml:space="preserve">pptmm-erecta1 </w:t>
      </w:r>
      <w:r w:rsidRPr="006C37DC">
        <w:rPr>
          <w:rFonts w:ascii="Arial" w:eastAsia="Times New Roman" w:hAnsi="Arial" w:cs="Arial"/>
          <w:bCs/>
          <w:color w:val="000000"/>
        </w:rPr>
        <w:t xml:space="preserve">mutants in particular the observed phenotypes share a number of similarities with certain </w:t>
      </w:r>
      <w:r w:rsidRPr="006C37DC">
        <w:rPr>
          <w:rFonts w:ascii="Arial" w:eastAsia="Times New Roman" w:hAnsi="Arial" w:cs="Arial"/>
          <w:bCs/>
          <w:i/>
          <w:color w:val="000000"/>
        </w:rPr>
        <w:t xml:space="preserve">tmm-erf </w:t>
      </w:r>
      <w:r w:rsidRPr="006C37DC">
        <w:rPr>
          <w:rFonts w:ascii="Arial" w:eastAsia="Times New Roman" w:hAnsi="Arial" w:cs="Arial"/>
          <w:bCs/>
          <w:color w:val="000000"/>
        </w:rPr>
        <w:t>mutant</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combinations in Arabidopsis which further strengthens the notion that such gene functions are conserved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&lt;EndNote&gt;&lt;Cite&gt;&lt;Author&gt;Shpak&lt;/Author&gt;&lt;Year&gt;2005&lt;/Year&gt;&lt;IDText&gt;Stomatal patterning and differentiation by synergistic interactions of receptor kinases&lt;/IDText&gt;&lt;DisplayText&gt;(Shpak et al., 2005)&lt;/DisplayText&gt;&lt;record&gt;&lt;dates&gt;&lt;pub-dates&gt;&lt;date&gt;Jul&lt;/date&gt;&lt;/pub-dates&gt;&lt;year&gt;2005&lt;/year&gt;&lt;/dates&gt;&lt;keywords&gt;&lt;keyword&gt;FLOWER DEVELOPMENT&lt;/keyword&gt;&lt;keyword&gt;ARABIDOPSIS&lt;/keyword&gt;&lt;keyword&gt;MOUTHS&lt;/keyword&gt;&lt;keyword&gt;ORGAN&lt;/keyword&gt;&lt;keyword&gt;TOO&lt;/keyword&gt;&lt;/keywords&gt;&lt;urls&gt;&lt;related-urls&gt;&lt;url&gt;&amp;lt;Go to ISI&amp;gt;://WOS:000230449800042&lt;/url&gt;&lt;/related-urls&gt;&lt;/urls&gt;&lt;isbn&gt;0036-8075&lt;/isbn&gt;&lt;work-type&gt;Article&lt;/work-type&gt;&lt;titles&gt;&lt;title&gt;Stomatal patterning and differentiation by synergistic interactions of receptor kinases&lt;/title&gt;&lt;secondary-title&gt;Science&lt;/secondary-title&gt;&lt;alt-title&gt;Science&lt;/alt-title&gt;&lt;/titles&gt;&lt;pages&gt;290-293&lt;/pages&gt;&lt;number&gt;5732&lt;/number&gt;&lt;contributors&gt;&lt;authors&gt;&lt;author&gt;Shpak, E. D.&lt;/author&gt;&lt;author&gt;McAbee, J. M.&lt;/author&gt;&lt;author&gt;Pillitteri, L. J.&lt;/author&gt;&lt;author&gt;Torii, K. U.&lt;/author&gt;&lt;/authors&gt;&lt;/contributors&gt;&lt;language&gt;English&lt;/language&gt;&lt;added-date format="utc"&gt;1351507806&lt;/added-date&gt;&lt;ref-type name="Journal Article"&gt;17&lt;/ref-type&gt;&lt;auth-address&gt;Univ Washington, Dept Biol, Seattle, WA 98195 USA. Japan Sci &amp;amp; Technol Agcy, Core Res Evolut Sci &amp;amp; Technol, Saitama 3320012, Japan.&amp;#xD;Torii, KU (reprint author), Univ Washington, Dept Biol, Seattle, WA 98195 USA.&amp;#xD;ktorii@u.washington.edu&lt;/auth-address&gt;&lt;rec-number&gt;14&lt;/rec-number&gt;&lt;last-updated-date format="utc"&gt;1351507806&lt;/last-updated-date&gt;&lt;accession-num&gt;WOS:000230449800042&lt;/accession-num&gt;&lt;electronic-resource-num&gt;10.1126/science.1109710&lt;/electronic-resource-num&gt;&lt;volume&gt;309&lt;/volume&gt;&lt;/record&gt;&lt;/Cite&gt;&lt;/EndNote&gt;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(Shpak et al., 2005)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Whilst the presented findings highlight that </w:t>
      </w:r>
      <w:r w:rsidRPr="006C37DC">
        <w:rPr>
          <w:rFonts w:ascii="Arial" w:eastAsia="Times New Roman" w:hAnsi="Arial" w:cs="Arial"/>
          <w:bCs/>
          <w:i/>
          <w:color w:val="000000"/>
        </w:rPr>
        <w:t>PpERECTA1</w:t>
      </w:r>
      <w:r w:rsidRPr="006C37DC">
        <w:rPr>
          <w:rFonts w:ascii="Arial" w:eastAsia="Times New Roman" w:hAnsi="Arial" w:cs="Arial"/>
          <w:bCs/>
          <w:color w:val="000000"/>
        </w:rPr>
        <w:t xml:space="preserve"> is involved in stomatal development such findings do not identify whether other </w:t>
      </w:r>
      <w:r w:rsidRPr="006C37DC">
        <w:rPr>
          <w:rFonts w:ascii="Arial" w:eastAsia="Times New Roman" w:hAnsi="Arial" w:cs="Arial"/>
          <w:bCs/>
          <w:i/>
          <w:color w:val="000000"/>
        </w:rPr>
        <w:t xml:space="preserve">PpERECTAs </w:t>
      </w:r>
      <w:r w:rsidRPr="006C37DC">
        <w:rPr>
          <w:rFonts w:ascii="Arial" w:eastAsia="Times New Roman" w:hAnsi="Arial" w:cs="Arial"/>
          <w:bCs/>
          <w:color w:val="000000"/>
        </w:rPr>
        <w:t xml:space="preserve">also contribute during the process nor do they identify whether </w:t>
      </w:r>
      <w:r w:rsidRPr="006C37DC">
        <w:rPr>
          <w:rFonts w:ascii="Arial" w:eastAsia="Times New Roman" w:hAnsi="Arial" w:cs="Arial"/>
          <w:bCs/>
          <w:i/>
          <w:color w:val="000000"/>
        </w:rPr>
        <w:t xml:space="preserve">PpERECTAs </w:t>
      </w:r>
      <w:r w:rsidRPr="006C37DC">
        <w:rPr>
          <w:rFonts w:ascii="Arial" w:eastAsia="Times New Roman" w:hAnsi="Arial" w:cs="Arial"/>
          <w:bCs/>
          <w:color w:val="000000"/>
        </w:rPr>
        <w:t xml:space="preserve">are responsible for other non-stomatal growth-related processes in </w:t>
      </w:r>
      <w:r w:rsidRPr="006C37DC">
        <w:rPr>
          <w:rFonts w:ascii="Arial" w:eastAsia="Times New Roman" w:hAnsi="Arial" w:cs="Arial"/>
          <w:bCs/>
          <w:i/>
          <w:color w:val="000000"/>
        </w:rPr>
        <w:t>P. patens</w:t>
      </w:r>
      <w:r w:rsidRPr="006C37DC">
        <w:rPr>
          <w:rFonts w:ascii="Arial" w:eastAsia="Times New Roman" w:hAnsi="Arial" w:cs="Arial"/>
          <w:bCs/>
          <w:color w:val="000000"/>
        </w:rPr>
        <w:t xml:space="preserve">. Therefore, to truly understand how </w:t>
      </w:r>
      <w:r w:rsidRPr="006C37DC">
        <w:rPr>
          <w:rFonts w:ascii="Arial" w:eastAsia="Times New Roman" w:hAnsi="Arial" w:cs="Arial"/>
          <w:bCs/>
          <w:i/>
          <w:color w:val="000000"/>
        </w:rPr>
        <w:t xml:space="preserve">PpERECTAs </w:t>
      </w:r>
      <w:r w:rsidRPr="006C37DC">
        <w:rPr>
          <w:rFonts w:ascii="Arial" w:eastAsia="Times New Roman" w:hAnsi="Arial" w:cs="Arial"/>
          <w:bCs/>
          <w:color w:val="000000"/>
        </w:rPr>
        <w:t xml:space="preserve">function, all six </w:t>
      </w:r>
      <w:r w:rsidRPr="006C37DC">
        <w:rPr>
          <w:rFonts w:ascii="Arial" w:eastAsia="Times New Roman" w:hAnsi="Arial" w:cs="Arial"/>
          <w:bCs/>
          <w:i/>
          <w:color w:val="000000"/>
        </w:rPr>
        <w:t xml:space="preserve">PpERECTA </w:t>
      </w:r>
      <w:r w:rsidRPr="006C37DC">
        <w:rPr>
          <w:rFonts w:ascii="Arial" w:eastAsia="Times New Roman" w:hAnsi="Arial" w:cs="Arial"/>
          <w:bCs/>
          <w:color w:val="000000"/>
        </w:rPr>
        <w:t xml:space="preserve">genes must be studied individually and collectively through single and multiple KO combinations in future experiments if </w:t>
      </w:r>
      <w:r w:rsidRPr="006C37DC">
        <w:rPr>
          <w:rFonts w:ascii="Arial" w:eastAsia="Times New Roman" w:hAnsi="Arial" w:cs="Arial"/>
          <w:bCs/>
          <w:i/>
          <w:color w:val="000000"/>
        </w:rPr>
        <w:t xml:space="preserve">PpERECTA </w:t>
      </w:r>
      <w:r w:rsidRPr="006C37DC">
        <w:rPr>
          <w:rFonts w:ascii="Arial" w:eastAsia="Times New Roman" w:hAnsi="Arial" w:cs="Arial"/>
          <w:bCs/>
          <w:color w:val="000000"/>
        </w:rPr>
        <w:t>family functioning is to be more fully understood.</w:t>
      </w:r>
    </w:p>
    <w:p w14:paraId="0782F3B9" w14:textId="1DFDCC30" w:rsidR="006C37DC" w:rsidRPr="006C37DC" w:rsidRDefault="00C7050F" w:rsidP="006C37DC">
      <w:pPr>
        <w:spacing w:after="160" w:line="360" w:lineRule="auto"/>
        <w:rPr>
          <w:rFonts w:ascii="Arial" w:eastAsia="Times New Roman" w:hAnsi="Arial" w:cs="Arial"/>
          <w:bCs/>
          <w:color w:val="000000"/>
        </w:rPr>
      </w:pPr>
      <w:r>
        <w:rPr>
          <w:rFonts w:ascii="Arial" w:eastAsia="Times New Roman" w:hAnsi="Arial" w:cs="Arial"/>
          <w:bCs/>
          <w:color w:val="000000"/>
        </w:rPr>
        <w:lastRenderedPageBreak/>
        <w:t>The ontogeny</w:t>
      </w:r>
      <w:r w:rsidR="006C37DC" w:rsidRPr="006C37DC">
        <w:rPr>
          <w:rFonts w:ascii="Arial" w:eastAsia="Times New Roman" w:hAnsi="Arial" w:cs="Arial"/>
          <w:bCs/>
          <w:color w:val="000000"/>
        </w:rPr>
        <w:t xml:space="preserve"> of stomatal development and patterning in non-vascular land plants such as </w:t>
      </w:r>
      <w:r w:rsidR="006C37DC" w:rsidRPr="006C37DC">
        <w:rPr>
          <w:rFonts w:ascii="Arial" w:eastAsia="Times New Roman" w:hAnsi="Arial" w:cs="Arial"/>
          <w:bCs/>
          <w:i/>
          <w:color w:val="000000"/>
        </w:rPr>
        <w:t>P. patens</w:t>
      </w:r>
      <w:r w:rsidR="006C37DC" w:rsidRPr="006C37DC">
        <w:rPr>
          <w:rFonts w:ascii="Arial" w:eastAsia="Times New Roman" w:hAnsi="Arial" w:cs="Arial"/>
          <w:bCs/>
          <w:color w:val="000000"/>
        </w:rPr>
        <w:t xml:space="preserve"> has not until recently been particularly well studied (for </w:t>
      </w:r>
      <w:r w:rsidR="006C37DC" w:rsidRPr="006C37DC">
        <w:rPr>
          <w:rFonts w:ascii="Arial" w:eastAsia="Times New Roman" w:hAnsi="Arial" w:cs="Arial"/>
          <w:bCs/>
          <w:i/>
          <w:color w:val="000000"/>
        </w:rPr>
        <w:t xml:space="preserve">P. patens </w:t>
      </w:r>
      <w:r w:rsidR="006C37DC" w:rsidRPr="006C37DC">
        <w:rPr>
          <w:rFonts w:ascii="Arial" w:eastAsia="Times New Roman" w:hAnsi="Arial" w:cs="Arial"/>
          <w:bCs/>
          <w:color w:val="000000"/>
        </w:rPr>
        <w:t xml:space="preserve">see chapter 3) </w:t>
      </w:r>
      <w:r w:rsidR="006C37DC" w:rsidRPr="006C37DC">
        <w:rPr>
          <w:rFonts w:ascii="Arial" w:eastAsia="Times New Roman" w:hAnsi="Arial" w:cs="Arial"/>
          <w:bCs/>
          <w:color w:val="000000"/>
        </w:rPr>
        <w:fldChar w:fldCharType="begin">
          <w:fldData xml:space="preserve">PEVuZE5vdGU+PENpdGU+PEF1dGhvcj5QcmVzc2VsPC9BdXRob3I+PFllYXI+MjAxNDwvWWVhcj48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=
</w:fldData>
        </w:fldChar>
      </w:r>
      <w:r w:rsidR="001D2DA0">
        <w:rPr>
          <w:rFonts w:ascii="Arial" w:eastAsia="Times New Roman" w:hAnsi="Arial" w:cs="Arial"/>
          <w:bCs/>
          <w:color w:val="000000"/>
        </w:rPr>
        <w:instrText xml:space="preserve"> ADDIN EN.CITE </w:instrText>
      </w:r>
      <w:r w:rsidR="001D2DA0">
        <w:rPr>
          <w:rFonts w:ascii="Arial" w:eastAsia="Times New Roman" w:hAnsi="Arial" w:cs="Arial"/>
          <w:bCs/>
          <w:color w:val="000000"/>
        </w:rPr>
        <w:fldChar w:fldCharType="begin">
          <w:fldData xml:space="preserve">PEVuZE5vdGU+PENpdGU+PEF1dGhvcj5QcmVzc2VsPC9BdXRob3I+PFllYXI+MjAxNDwvWWVhcj48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=
</w:fldData>
        </w:fldChar>
      </w:r>
      <w:r w:rsidR="001D2DA0">
        <w:rPr>
          <w:rFonts w:ascii="Arial" w:eastAsia="Times New Roman" w:hAnsi="Arial" w:cs="Arial"/>
          <w:bCs/>
          <w:color w:val="000000"/>
        </w:rPr>
        <w:instrText xml:space="preserve"> ADDIN EN.CITE.DATA </w:instrText>
      </w:r>
      <w:r w:rsidR="001D2DA0">
        <w:rPr>
          <w:rFonts w:ascii="Arial" w:eastAsia="Times New Roman" w:hAnsi="Arial" w:cs="Arial"/>
          <w:bCs/>
          <w:color w:val="000000"/>
        </w:rPr>
      </w:r>
      <w:r w:rsidR="001D2DA0">
        <w:rPr>
          <w:rFonts w:ascii="Arial" w:eastAsia="Times New Roman" w:hAnsi="Arial" w:cs="Arial"/>
          <w:bCs/>
          <w:color w:val="000000"/>
        </w:rPr>
        <w:fldChar w:fldCharType="end"/>
      </w:r>
      <w:r w:rsidR="006C37DC" w:rsidRPr="006C37DC">
        <w:rPr>
          <w:rFonts w:ascii="Arial" w:eastAsia="Times New Roman" w:hAnsi="Arial" w:cs="Arial"/>
          <w:bCs/>
          <w:color w:val="000000"/>
        </w:rPr>
      </w:r>
      <w:r w:rsidR="006C37DC" w:rsidRPr="006C37DC">
        <w:rPr>
          <w:rFonts w:ascii="Arial" w:eastAsia="Times New Roman" w:hAnsi="Arial" w:cs="Arial"/>
          <w:bCs/>
          <w:color w:val="000000"/>
        </w:rPr>
        <w:fldChar w:fldCharType="separate"/>
      </w:r>
      <w:r w:rsidR="001D2DA0">
        <w:rPr>
          <w:rFonts w:ascii="Arial" w:eastAsia="Times New Roman" w:hAnsi="Arial" w:cs="Arial"/>
          <w:bCs/>
          <w:noProof/>
          <w:color w:val="000000"/>
        </w:rPr>
        <w:t>(Merced and Renzaglia, 2016; Pressel et al., 2014)</w:t>
      </w:r>
      <w:r w:rsidR="006C37DC" w:rsidRPr="006C37DC">
        <w:rPr>
          <w:rFonts w:ascii="Arial" w:eastAsia="Times New Roman" w:hAnsi="Arial" w:cs="Arial"/>
          <w:bCs/>
          <w:color w:val="000000"/>
        </w:rPr>
        <w:fldChar w:fldCharType="end"/>
      </w:r>
      <w:r w:rsidR="006C37DC" w:rsidRPr="006C37DC">
        <w:rPr>
          <w:rFonts w:ascii="Arial" w:eastAsia="Times New Roman" w:hAnsi="Arial" w:cs="Arial"/>
          <w:bCs/>
          <w:color w:val="000000"/>
        </w:rPr>
        <w:t xml:space="preserve">. The observations presented within this chapter relating to </w:t>
      </w:r>
      <w:r w:rsidR="006C37DC" w:rsidRPr="006C37DC">
        <w:rPr>
          <w:rFonts w:ascii="Arial" w:eastAsia="Times New Roman" w:hAnsi="Arial" w:cs="Arial"/>
          <w:bCs/>
          <w:i/>
          <w:color w:val="000000"/>
        </w:rPr>
        <w:t>ppepf1</w:t>
      </w:r>
      <w:r w:rsidR="006C37DC" w:rsidRPr="006C37DC">
        <w:rPr>
          <w:rFonts w:ascii="Arial" w:eastAsia="Times New Roman" w:hAnsi="Arial" w:cs="Arial"/>
          <w:bCs/>
          <w:color w:val="000000"/>
        </w:rPr>
        <w:t xml:space="preserve">, </w:t>
      </w:r>
      <w:r w:rsidR="006C37DC" w:rsidRPr="006C37DC">
        <w:rPr>
          <w:rFonts w:ascii="Arial" w:eastAsia="Times New Roman" w:hAnsi="Arial" w:cs="Arial"/>
          <w:bCs/>
          <w:i/>
          <w:color w:val="000000"/>
        </w:rPr>
        <w:t xml:space="preserve">PpEPF1OE </w:t>
      </w:r>
      <w:r w:rsidR="006C37DC" w:rsidRPr="006C37DC">
        <w:rPr>
          <w:rFonts w:ascii="Arial" w:eastAsia="Times New Roman" w:hAnsi="Arial" w:cs="Arial"/>
          <w:bCs/>
          <w:color w:val="000000"/>
        </w:rPr>
        <w:t xml:space="preserve">and </w:t>
      </w:r>
      <w:r w:rsidR="006C37DC" w:rsidRPr="006C37DC">
        <w:rPr>
          <w:rFonts w:ascii="Arial" w:eastAsia="Times New Roman" w:hAnsi="Arial" w:cs="Arial"/>
          <w:bCs/>
          <w:i/>
          <w:color w:val="000000"/>
        </w:rPr>
        <w:t>pptmm</w:t>
      </w:r>
      <w:r w:rsidR="006C37DC" w:rsidRPr="006C37DC">
        <w:rPr>
          <w:rFonts w:ascii="Arial" w:eastAsia="Times New Roman" w:hAnsi="Arial" w:cs="Arial"/>
          <w:bCs/>
          <w:color w:val="000000"/>
        </w:rPr>
        <w:t xml:space="preserve"> mutant sporophytes suggests that both PpEPF1</w:t>
      </w:r>
      <w:r w:rsidR="006C37DC" w:rsidRPr="006C37DC">
        <w:rPr>
          <w:rFonts w:ascii="Arial" w:eastAsia="Times New Roman" w:hAnsi="Arial" w:cs="Arial"/>
          <w:bCs/>
          <w:i/>
          <w:color w:val="000000"/>
        </w:rPr>
        <w:t xml:space="preserve"> </w:t>
      </w:r>
      <w:r w:rsidR="006C37DC" w:rsidRPr="006C37DC">
        <w:rPr>
          <w:rFonts w:ascii="Arial" w:eastAsia="Times New Roman" w:hAnsi="Arial" w:cs="Arial"/>
          <w:bCs/>
          <w:color w:val="000000"/>
        </w:rPr>
        <w:t>and PpTMM</w:t>
      </w:r>
      <w:r w:rsidR="006C37DC" w:rsidRPr="006C37DC">
        <w:rPr>
          <w:rFonts w:ascii="Arial" w:eastAsia="Times New Roman" w:hAnsi="Arial" w:cs="Arial"/>
          <w:bCs/>
          <w:i/>
          <w:color w:val="000000"/>
        </w:rPr>
        <w:t xml:space="preserve"> </w:t>
      </w:r>
      <w:r w:rsidR="006C37DC" w:rsidRPr="006C37DC">
        <w:rPr>
          <w:rFonts w:ascii="Arial" w:eastAsia="Times New Roman" w:hAnsi="Arial" w:cs="Arial"/>
          <w:bCs/>
          <w:color w:val="000000"/>
        </w:rPr>
        <w:t>function relatively early during stomatal development. For PpEPF1, functioning is apparent during the formation and spacing of early GMCs (</w:t>
      </w:r>
      <w:r w:rsidR="006C37DC" w:rsidRPr="006C37DC">
        <w:rPr>
          <w:rFonts w:ascii="Arial" w:eastAsia="Times New Roman" w:hAnsi="Arial" w:cs="Arial"/>
          <w:b/>
          <w:bCs/>
          <w:color w:val="000000"/>
        </w:rPr>
        <w:t>Fig. 11a</w:t>
      </w:r>
      <w:r w:rsidR="006C37DC" w:rsidRPr="006C37DC">
        <w:rPr>
          <w:rFonts w:ascii="Arial" w:eastAsia="Times New Roman" w:hAnsi="Arial" w:cs="Arial"/>
          <w:bCs/>
          <w:color w:val="000000"/>
        </w:rPr>
        <w:t>-</w:t>
      </w:r>
      <w:r w:rsidR="006C37DC" w:rsidRPr="006C37DC">
        <w:rPr>
          <w:rFonts w:ascii="Arial" w:eastAsia="Times New Roman" w:hAnsi="Arial" w:cs="Arial"/>
          <w:b/>
          <w:bCs/>
          <w:color w:val="000000"/>
        </w:rPr>
        <w:t>d</w:t>
      </w:r>
      <w:r w:rsidR="006C37DC" w:rsidRPr="006C37DC">
        <w:rPr>
          <w:rFonts w:ascii="Arial" w:eastAsia="Times New Roman" w:hAnsi="Arial" w:cs="Arial"/>
          <w:bCs/>
          <w:color w:val="000000"/>
        </w:rPr>
        <w:t>). It is not possible to definitively say whether such regulation</w:t>
      </w:r>
      <w:r w:rsidR="006C37DC" w:rsidRPr="006C37DC">
        <w:rPr>
          <w:rFonts w:ascii="Arial" w:eastAsia="Times New Roman" w:hAnsi="Arial" w:cs="Arial"/>
          <w:bCs/>
          <w:i/>
          <w:color w:val="000000"/>
        </w:rPr>
        <w:t xml:space="preserve"> </w:t>
      </w:r>
      <w:r w:rsidR="006C37DC" w:rsidRPr="006C37DC">
        <w:rPr>
          <w:rFonts w:ascii="Arial" w:eastAsia="Times New Roman" w:hAnsi="Arial" w:cs="Arial"/>
          <w:bCs/>
          <w:color w:val="000000"/>
        </w:rPr>
        <w:t>is achieved due to</w:t>
      </w:r>
      <w:r w:rsidR="006C37DC" w:rsidRPr="006C37DC">
        <w:rPr>
          <w:rFonts w:ascii="Arial" w:eastAsia="Times New Roman" w:hAnsi="Arial" w:cs="Arial"/>
          <w:bCs/>
          <w:i/>
          <w:color w:val="000000"/>
        </w:rPr>
        <w:t xml:space="preserve"> </w:t>
      </w:r>
      <w:r w:rsidR="006C37DC" w:rsidRPr="006C37DC">
        <w:rPr>
          <w:rFonts w:ascii="Arial" w:eastAsia="Times New Roman" w:hAnsi="Arial" w:cs="Arial"/>
          <w:bCs/>
          <w:color w:val="000000"/>
        </w:rPr>
        <w:t>PpEPF1</w:t>
      </w:r>
      <w:r w:rsidR="006C37DC" w:rsidRPr="006C37DC">
        <w:rPr>
          <w:rFonts w:ascii="Arial" w:eastAsia="Times New Roman" w:hAnsi="Arial" w:cs="Arial"/>
          <w:bCs/>
          <w:i/>
          <w:color w:val="000000"/>
        </w:rPr>
        <w:t xml:space="preserve"> </w:t>
      </w:r>
      <w:r w:rsidR="006C37DC" w:rsidRPr="006C37DC">
        <w:rPr>
          <w:rFonts w:ascii="Arial" w:eastAsia="Times New Roman" w:hAnsi="Arial" w:cs="Arial"/>
          <w:bCs/>
          <w:color w:val="000000"/>
        </w:rPr>
        <w:t>blocking the formation of early GMCs in areas where no other early GMCs are present or whether PpEPF1</w:t>
      </w:r>
      <w:r w:rsidR="006C37DC" w:rsidRPr="006C37DC">
        <w:rPr>
          <w:rFonts w:ascii="Arial" w:eastAsia="Times New Roman" w:hAnsi="Arial" w:cs="Arial"/>
          <w:bCs/>
          <w:i/>
          <w:color w:val="000000"/>
        </w:rPr>
        <w:t xml:space="preserve"> </w:t>
      </w:r>
      <w:r w:rsidR="006C37DC" w:rsidRPr="006C37DC">
        <w:rPr>
          <w:rFonts w:ascii="Arial" w:eastAsia="Times New Roman" w:hAnsi="Arial" w:cs="Arial"/>
          <w:bCs/>
          <w:color w:val="000000"/>
        </w:rPr>
        <w:t xml:space="preserve">blocks the asymmetric </w:t>
      </w:r>
      <w:r w:rsidR="00D57BED">
        <w:rPr>
          <w:rFonts w:ascii="Arial" w:eastAsia="Times New Roman" w:hAnsi="Arial" w:cs="Arial"/>
          <w:bCs/>
          <w:color w:val="000000"/>
        </w:rPr>
        <w:t>spacing</w:t>
      </w:r>
      <w:r w:rsidR="006C37DC" w:rsidRPr="006C37DC">
        <w:rPr>
          <w:rFonts w:ascii="Arial" w:eastAsia="Times New Roman" w:hAnsi="Arial" w:cs="Arial"/>
          <w:bCs/>
          <w:color w:val="000000"/>
        </w:rPr>
        <w:t xml:space="preserve"> divisions </w:t>
      </w:r>
      <w:r w:rsidR="00D57BED">
        <w:rPr>
          <w:rFonts w:ascii="Arial" w:eastAsia="Times New Roman" w:hAnsi="Arial" w:cs="Arial"/>
          <w:bCs/>
          <w:color w:val="000000"/>
        </w:rPr>
        <w:t>in</w:t>
      </w:r>
      <w:r w:rsidR="00EC52FA">
        <w:rPr>
          <w:rFonts w:ascii="Arial" w:eastAsia="Times New Roman" w:hAnsi="Arial" w:cs="Arial"/>
          <w:bCs/>
          <w:color w:val="000000"/>
        </w:rPr>
        <w:t xml:space="preserve"> of</w:t>
      </w:r>
      <w:r w:rsidR="00D57BED">
        <w:rPr>
          <w:rFonts w:ascii="Arial" w:eastAsia="Times New Roman" w:hAnsi="Arial" w:cs="Arial"/>
          <w:bCs/>
          <w:color w:val="000000"/>
        </w:rPr>
        <w:t xml:space="preserve"> </w:t>
      </w:r>
      <w:r w:rsidR="006C37DC" w:rsidRPr="006C37DC">
        <w:rPr>
          <w:rFonts w:ascii="Arial" w:eastAsia="Times New Roman" w:hAnsi="Arial" w:cs="Arial"/>
          <w:bCs/>
          <w:color w:val="000000"/>
        </w:rPr>
        <w:t>early GMCs. It may be that PpEPF1 fulfils both of the aforementioned function</w:t>
      </w:r>
      <w:r w:rsidR="00EC52FA">
        <w:rPr>
          <w:rFonts w:ascii="Arial" w:eastAsia="Times New Roman" w:hAnsi="Arial" w:cs="Arial"/>
          <w:bCs/>
          <w:color w:val="000000"/>
        </w:rPr>
        <w:t>al</w:t>
      </w:r>
      <w:r w:rsidR="006C37DC" w:rsidRPr="006C37DC">
        <w:rPr>
          <w:rFonts w:ascii="Arial" w:eastAsia="Times New Roman" w:hAnsi="Arial" w:cs="Arial"/>
          <w:bCs/>
          <w:color w:val="000000"/>
        </w:rPr>
        <w:t xml:space="preserve"> roles. Indeed, observations of the </w:t>
      </w:r>
      <w:r w:rsidR="00EC52FA" w:rsidRPr="006C37DC">
        <w:rPr>
          <w:rFonts w:ascii="Arial" w:eastAsia="Times New Roman" w:hAnsi="Arial" w:cs="Arial"/>
          <w:bCs/>
          <w:color w:val="000000"/>
        </w:rPr>
        <w:t>epidermis</w:t>
      </w:r>
      <w:r w:rsidR="006C37DC" w:rsidRPr="006C37DC">
        <w:rPr>
          <w:rFonts w:ascii="Arial" w:eastAsia="Times New Roman" w:hAnsi="Arial" w:cs="Arial"/>
          <w:bCs/>
          <w:color w:val="000000"/>
        </w:rPr>
        <w:t xml:space="preserve"> of </w:t>
      </w:r>
      <w:r w:rsidR="006C37DC" w:rsidRPr="006C37DC">
        <w:rPr>
          <w:rFonts w:ascii="Arial" w:eastAsia="Times New Roman" w:hAnsi="Arial" w:cs="Arial"/>
          <w:bCs/>
          <w:i/>
          <w:color w:val="000000"/>
        </w:rPr>
        <w:t xml:space="preserve">PpEPF1OE </w:t>
      </w:r>
      <w:r w:rsidR="006C37DC" w:rsidRPr="006C37DC">
        <w:rPr>
          <w:rFonts w:ascii="Arial" w:eastAsia="Times New Roman" w:hAnsi="Arial" w:cs="Arial"/>
          <w:bCs/>
          <w:color w:val="000000"/>
        </w:rPr>
        <w:t>sporophytes during</w:t>
      </w:r>
      <w:r w:rsidR="006C37DC" w:rsidRPr="006C37DC">
        <w:rPr>
          <w:rFonts w:ascii="Arial" w:eastAsia="Times New Roman" w:hAnsi="Arial" w:cs="Arial"/>
          <w:bCs/>
          <w:i/>
          <w:color w:val="000000"/>
        </w:rPr>
        <w:t xml:space="preserve"> </w:t>
      </w:r>
      <w:r w:rsidR="006C37DC" w:rsidRPr="006C37DC">
        <w:rPr>
          <w:rFonts w:ascii="Arial" w:eastAsia="Times New Roman" w:hAnsi="Arial" w:cs="Arial"/>
          <w:bCs/>
          <w:color w:val="000000"/>
        </w:rPr>
        <w:t xml:space="preserve">stomatal development suggests that when </w:t>
      </w:r>
      <w:r w:rsidR="006C37DC" w:rsidRPr="006C37DC">
        <w:rPr>
          <w:rFonts w:ascii="Arial" w:eastAsia="Times New Roman" w:hAnsi="Arial" w:cs="Arial"/>
          <w:bCs/>
          <w:i/>
          <w:color w:val="000000"/>
        </w:rPr>
        <w:t>PpEPF1</w:t>
      </w:r>
      <w:r w:rsidR="006C37DC" w:rsidRPr="006C37DC">
        <w:rPr>
          <w:rFonts w:ascii="Arial" w:eastAsia="Times New Roman" w:hAnsi="Arial" w:cs="Arial"/>
          <w:bCs/>
          <w:color w:val="000000"/>
        </w:rPr>
        <w:t xml:space="preserve"> is expressed at high levels it has the potential to fulfil both roles (</w:t>
      </w:r>
      <w:r w:rsidR="006C37DC" w:rsidRPr="006C37DC">
        <w:rPr>
          <w:rFonts w:ascii="Arial" w:eastAsia="Times New Roman" w:hAnsi="Arial" w:cs="Arial"/>
          <w:b/>
          <w:bCs/>
          <w:color w:val="000000"/>
        </w:rPr>
        <w:t>Fig. 11e</w:t>
      </w:r>
      <w:r w:rsidR="006C37DC" w:rsidRPr="006C37DC">
        <w:rPr>
          <w:rFonts w:ascii="Arial" w:eastAsia="Times New Roman" w:hAnsi="Arial" w:cs="Arial"/>
          <w:bCs/>
          <w:color w:val="000000"/>
        </w:rPr>
        <w:t>-</w:t>
      </w:r>
      <w:r w:rsidR="006C37DC" w:rsidRPr="006C37DC">
        <w:rPr>
          <w:rFonts w:ascii="Arial" w:eastAsia="Times New Roman" w:hAnsi="Arial" w:cs="Arial"/>
          <w:b/>
          <w:bCs/>
          <w:color w:val="000000"/>
        </w:rPr>
        <w:t>h</w:t>
      </w:r>
      <w:r w:rsidR="006C37DC" w:rsidRPr="006C37DC">
        <w:rPr>
          <w:rFonts w:ascii="Arial" w:eastAsia="Times New Roman" w:hAnsi="Arial" w:cs="Arial"/>
          <w:bCs/>
          <w:color w:val="000000"/>
        </w:rPr>
        <w:t>). This suggests that PpEPF1</w:t>
      </w:r>
      <w:r w:rsidR="006C37DC" w:rsidRPr="006C37DC">
        <w:rPr>
          <w:rFonts w:ascii="Arial" w:eastAsia="Times New Roman" w:hAnsi="Arial" w:cs="Arial"/>
          <w:bCs/>
          <w:i/>
          <w:color w:val="000000"/>
        </w:rPr>
        <w:t xml:space="preserve"> </w:t>
      </w:r>
      <w:r w:rsidR="006C37DC" w:rsidRPr="006C37DC">
        <w:rPr>
          <w:rFonts w:ascii="Arial" w:eastAsia="Times New Roman" w:hAnsi="Arial" w:cs="Arial"/>
          <w:bCs/>
          <w:color w:val="000000"/>
        </w:rPr>
        <w:t xml:space="preserve">probably shares some of the functional properties of both EPF2 and EPF1 in Arabidopsis </w:t>
      </w:r>
      <w:r w:rsidR="006C37DC"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IDIwMDc7IEhhcmEgZXQgYWwuLCAyMDA5OyBIdW50IGFuZCBHcmF5LCAyMDA5KTwvRGlzcGxheVRl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</w:fldData>
        </w:fldChar>
      </w:r>
      <w:r w:rsidR="006C37DC" w:rsidRPr="006C37DC">
        <w:rPr>
          <w:rFonts w:ascii="Arial" w:eastAsia="Times New Roman" w:hAnsi="Arial" w:cs="Arial"/>
          <w:bCs/>
          <w:color w:val="000000"/>
        </w:rPr>
        <w:instrText xml:space="preserve"> ADDIN EN.CITE </w:instrText>
      </w:r>
      <w:r w:rsidR="006C37DC" w:rsidRPr="006C37DC">
        <w:rPr>
          <w:rFonts w:ascii="Arial" w:eastAsia="Times New Roman" w:hAnsi="Arial" w:cs="Arial"/>
          <w:bCs/>
          <w:color w:val="000000"/>
        </w:rPr>
        <w:fldChar w:fldCharType="begin">
          <w:fldData xml:space="preserve">PEVuZE5vdGU+PENpdGU+PEF1dGhvcj5IYXJhPC9BdXRob3I+PFllYXI+MjAwNzwvWWVhcj48SURU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</w:fldData>
        </w:fldChar>
      </w:r>
      <w:r w:rsidR="006C37DC" w:rsidRPr="006C37DC">
        <w:rPr>
          <w:rFonts w:ascii="Arial" w:eastAsia="Times New Roman" w:hAnsi="Arial" w:cs="Arial"/>
          <w:bCs/>
          <w:color w:val="000000"/>
        </w:rPr>
        <w:instrText xml:space="preserve"> ADDIN EN.CITE.DATA </w:instrText>
      </w:r>
      <w:r w:rsidR="006C37DC" w:rsidRPr="006C37DC">
        <w:rPr>
          <w:rFonts w:ascii="Arial" w:eastAsia="Times New Roman" w:hAnsi="Arial" w:cs="Arial"/>
          <w:bCs/>
          <w:color w:val="000000"/>
        </w:rPr>
      </w:r>
      <w:r w:rsidR="006C37DC" w:rsidRPr="006C37DC">
        <w:rPr>
          <w:rFonts w:ascii="Arial" w:eastAsia="Times New Roman" w:hAnsi="Arial" w:cs="Arial"/>
          <w:bCs/>
          <w:color w:val="000000"/>
        </w:rPr>
        <w:fldChar w:fldCharType="end"/>
      </w:r>
      <w:r w:rsidR="006C37DC" w:rsidRPr="006C37DC">
        <w:rPr>
          <w:rFonts w:ascii="Arial" w:eastAsia="Times New Roman" w:hAnsi="Arial" w:cs="Arial"/>
          <w:bCs/>
          <w:color w:val="000000"/>
        </w:rPr>
      </w:r>
      <w:r w:rsidR="006C37DC" w:rsidRPr="006C37DC">
        <w:rPr>
          <w:rFonts w:ascii="Arial" w:eastAsia="Times New Roman" w:hAnsi="Arial" w:cs="Arial"/>
          <w:bCs/>
          <w:color w:val="000000"/>
        </w:rPr>
        <w:fldChar w:fldCharType="separate"/>
      </w:r>
      <w:r w:rsidR="006C37DC" w:rsidRPr="006C37DC">
        <w:rPr>
          <w:rFonts w:ascii="Arial" w:eastAsia="Times New Roman" w:hAnsi="Arial" w:cs="Arial"/>
          <w:bCs/>
          <w:color w:val="000000"/>
        </w:rPr>
        <w:t>(Hara et al., 2007; Hara et al., 2009; Hunt and Gray, 2009)</w:t>
      </w:r>
      <w:r w:rsidR="006C37DC" w:rsidRPr="006C37DC">
        <w:rPr>
          <w:rFonts w:ascii="Arial" w:eastAsia="Times New Roman" w:hAnsi="Arial" w:cs="Arial"/>
          <w:bCs/>
          <w:color w:val="000000"/>
        </w:rPr>
        <w:fldChar w:fldCharType="end"/>
      </w:r>
      <w:r w:rsidR="006C37DC" w:rsidRPr="006C37DC">
        <w:rPr>
          <w:rFonts w:ascii="Arial" w:eastAsia="Times New Roman" w:hAnsi="Arial" w:cs="Arial"/>
          <w:bCs/>
          <w:color w:val="000000"/>
        </w:rPr>
        <w:t xml:space="preserve">. That is, PpEPF1 may function prior to the formation of stomatal lineage precursors (akin to Arabidopsis EPF2 acting before meristemoid formation) and also during stomatal lineage transitions (akin to Arabidopsis EPF1 regulating spacing and placing of meristemoids). Of course, rather than regulating a meristemoid which can undergo amplifying divisions PpEPF1 is governing the formation and functioning of the early GMC which has thus far not been shown to be capable of self-renewing divisions. In fig. 4 of Chapter 3 early GMCs were found to undergo asymmetric </w:t>
      </w:r>
      <w:r w:rsidR="00D57BED">
        <w:rPr>
          <w:rFonts w:ascii="Arial" w:eastAsia="Times New Roman" w:hAnsi="Arial" w:cs="Arial"/>
          <w:bCs/>
          <w:color w:val="000000"/>
        </w:rPr>
        <w:t>spacing</w:t>
      </w:r>
      <w:r w:rsidR="006C37DC" w:rsidRPr="006C37DC">
        <w:rPr>
          <w:rFonts w:ascii="Arial" w:eastAsia="Times New Roman" w:hAnsi="Arial" w:cs="Arial"/>
          <w:bCs/>
          <w:color w:val="000000"/>
        </w:rPr>
        <w:t xml:space="preserve"> divisions in the wild-type but whether the stomatal lineage cells produced can re-generate to an early GMC could not be detected.</w:t>
      </w:r>
    </w:p>
    <w:p w14:paraId="45CCA479" w14:textId="1B711D8E"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With regard to PpTMM</w:t>
      </w:r>
      <w:r w:rsidRPr="006C37DC">
        <w:rPr>
          <w:rFonts w:ascii="Arial" w:eastAsia="Times New Roman" w:hAnsi="Arial" w:cs="Arial"/>
          <w:bCs/>
          <w:i/>
          <w:color w:val="000000"/>
        </w:rPr>
        <w:t xml:space="preserve"> </w:t>
      </w:r>
      <w:r w:rsidRPr="006C37DC">
        <w:rPr>
          <w:rFonts w:ascii="Arial" w:eastAsia="Times New Roman" w:hAnsi="Arial" w:cs="Arial"/>
          <w:bCs/>
          <w:color w:val="000000"/>
        </w:rPr>
        <w:t>regulation over early stomatal developmental stages it appears that like PpEPF1</w:t>
      </w:r>
      <w:r w:rsidRPr="006C37DC">
        <w:rPr>
          <w:rFonts w:ascii="Arial" w:eastAsia="Times New Roman" w:hAnsi="Arial" w:cs="Arial"/>
          <w:bCs/>
          <w:i/>
          <w:color w:val="000000"/>
        </w:rPr>
        <w:t xml:space="preserve">, </w:t>
      </w:r>
      <w:r w:rsidRPr="006C37DC">
        <w:rPr>
          <w:rFonts w:ascii="Arial" w:eastAsia="Times New Roman" w:hAnsi="Arial" w:cs="Arial"/>
          <w:bCs/>
          <w:color w:val="000000"/>
        </w:rPr>
        <w:t>PpTMM ordinarily functions to regulate both the formation and spacing of early GMCs. Whereas PpEPF1 ordinarily only functions to prevent stomata from forming, PpTMM functions by both positively and negatively regulating stomatal development prior to and during the formation of early GMCs (</w:t>
      </w:r>
      <w:r w:rsidRPr="006C37DC">
        <w:rPr>
          <w:rFonts w:ascii="Arial" w:eastAsia="Times New Roman" w:hAnsi="Arial" w:cs="Arial"/>
          <w:b/>
          <w:bCs/>
          <w:color w:val="000000"/>
        </w:rPr>
        <w:t>Fig. 16</w:t>
      </w:r>
      <w:r w:rsidRPr="006C37DC">
        <w:rPr>
          <w:rFonts w:ascii="Arial" w:eastAsia="Times New Roman" w:hAnsi="Arial" w:cs="Arial"/>
          <w:bCs/>
          <w:color w:val="000000"/>
        </w:rPr>
        <w:t xml:space="preserve">). This occurs by PpTMM initially permitting the formation of isolated early GMCs and then subsequently </w:t>
      </w:r>
      <w:r w:rsidR="00EC52FA">
        <w:rPr>
          <w:rFonts w:ascii="Arial" w:eastAsia="Times New Roman" w:hAnsi="Arial" w:cs="Arial"/>
          <w:bCs/>
          <w:color w:val="000000"/>
        </w:rPr>
        <w:t xml:space="preserve">by </w:t>
      </w:r>
      <w:r w:rsidRPr="006C37DC">
        <w:rPr>
          <w:rFonts w:ascii="Arial" w:eastAsia="Times New Roman" w:hAnsi="Arial" w:cs="Arial"/>
          <w:bCs/>
          <w:color w:val="000000"/>
        </w:rPr>
        <w:t>appearing to prevent close-by neighbouring cells from also becoming early GMCs. Whether such negative regulation over neighbouring cells is achieved via the blocking of early GMC formation or whether PpTMM</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functions by blocking </w:t>
      </w:r>
      <w:r w:rsidR="00D57BED">
        <w:rPr>
          <w:rFonts w:ascii="Arial" w:eastAsia="Times New Roman" w:hAnsi="Arial" w:cs="Arial"/>
          <w:bCs/>
          <w:color w:val="000000"/>
        </w:rPr>
        <w:t>spacing</w:t>
      </w:r>
      <w:r w:rsidRPr="006C37DC">
        <w:rPr>
          <w:rFonts w:ascii="Arial" w:eastAsia="Times New Roman" w:hAnsi="Arial" w:cs="Arial"/>
          <w:bCs/>
          <w:color w:val="000000"/>
        </w:rPr>
        <w:t xml:space="preserve"> divisions in an initial early GMC are not clear and require further observation. It is of course possible that it fulfils both of these roles. What can be confirmed is that PpTMM, like AtTMM</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is involved in regulating the positioning of stomatal pre-cursors </w:t>
      </w:r>
      <w:r w:rsidRPr="006C37DC">
        <w:rPr>
          <w:rFonts w:ascii="Arial" w:eastAsia="Times New Roman" w:hAnsi="Arial" w:cs="Arial"/>
          <w:bCs/>
          <w:color w:val="000000"/>
        </w:rPr>
        <w:fldChar w:fldCharType="begin">
          <w:fldData xml:space="preserve">PEVuZE5vdGU+PENpdGU+PEF1dGhvcj5HZWlzbGVyPC9BdXRob3I+PFllYXI+MjAwMDwvWWVhcj48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PEVuZE5vdGU+PENpdGU+PEF1dGhvcj5HZWlzbGVyPC9BdXRob3I+PFllYXI+MjAwMDwvWWVhcj48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(Geisler et al., 2000; Geisler et al., 1998; Yang and Sack, 1995)</w:t>
      </w:r>
      <w:r w:rsidRPr="006C37DC">
        <w:rPr>
          <w:rFonts w:ascii="Arial" w:eastAsia="Times New Roman" w:hAnsi="Arial" w:cs="Arial"/>
          <w:bCs/>
          <w:color w:val="000000"/>
        </w:rPr>
        <w:fldChar w:fldCharType="end"/>
      </w:r>
      <w:r w:rsidRPr="006C37DC">
        <w:rPr>
          <w:rFonts w:ascii="Arial" w:eastAsia="Times New Roman" w:hAnsi="Arial" w:cs="Arial"/>
          <w:bCs/>
          <w:color w:val="000000"/>
        </w:rPr>
        <w:t>.</w:t>
      </w:r>
    </w:p>
    <w:p w14:paraId="56CE8C80" w14:textId="08BA43A6"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Whilst the presented results provide compelling evidence that the genes underpinning stomatal patterning mechanisms have been conserved between the mosses and vascular </w:t>
      </w:r>
      <w:r w:rsidRPr="006C37DC">
        <w:rPr>
          <w:rFonts w:ascii="Arial" w:eastAsia="Times New Roman" w:hAnsi="Arial" w:cs="Arial"/>
          <w:bCs/>
          <w:color w:val="000000"/>
        </w:rPr>
        <w:lastRenderedPageBreak/>
        <w:t xml:space="preserve">plants such results do not provide any evidence in relation to whether such mechanisms are also conserved in the hornwort lineage of the bryophytes. To ascertain whether conservation of such mechanisms does extend to the hornworts, and thereby provide further evidence for a monophyletic origin of stomata, a phylogenetic analysis was undertaken to identify whether a putative orthologue of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 xml:space="preserve">is present in the genome of the hornwort </w:t>
      </w:r>
      <w:r w:rsidRPr="006C37DC">
        <w:rPr>
          <w:rFonts w:ascii="Arial" w:eastAsia="Times New Roman" w:hAnsi="Arial" w:cs="Arial"/>
          <w:bCs/>
          <w:i/>
          <w:color w:val="000000"/>
        </w:rPr>
        <w:t>Anthoceros punctatus</w:t>
      </w:r>
      <w:r w:rsidRPr="006C37DC">
        <w:rPr>
          <w:rFonts w:ascii="Arial" w:eastAsia="Times New Roman" w:hAnsi="Arial" w:cs="Arial"/>
          <w:bCs/>
          <w:color w:val="000000"/>
        </w:rPr>
        <w:t xml:space="preserve"> (Using data kindly provided by Prof. Jane Langdale, University of Oxford). Although only fragmentary blast hits were returned from coding sequence blast searches, it was found that a putative peptide potentially exists: </w:t>
      </w:r>
      <w:r w:rsidRPr="006C37DC">
        <w:rPr>
          <w:rFonts w:ascii="Arial" w:eastAsia="Times New Roman" w:hAnsi="Arial" w:cs="Arial"/>
          <w:bCs/>
          <w:i/>
          <w:color w:val="000000"/>
        </w:rPr>
        <w:t>ApEPF1</w:t>
      </w:r>
      <w:r w:rsidRPr="006C37DC">
        <w:rPr>
          <w:rFonts w:ascii="Arial" w:eastAsia="Times New Roman" w:hAnsi="Arial" w:cs="Arial"/>
          <w:bCs/>
          <w:color w:val="000000"/>
        </w:rPr>
        <w:t xml:space="preserve">, which shares amino acid residue similarity at the C-terminal region with </w:t>
      </w:r>
      <w:r w:rsidRPr="006C37DC">
        <w:rPr>
          <w:rFonts w:ascii="Arial" w:eastAsia="Times New Roman" w:hAnsi="Arial" w:cs="Arial"/>
          <w:bCs/>
          <w:i/>
          <w:color w:val="000000"/>
        </w:rPr>
        <w:t xml:space="preserve">P. patens PpEPF1 </w:t>
      </w:r>
      <w:r w:rsidRPr="006C37DC">
        <w:rPr>
          <w:rFonts w:ascii="Arial" w:eastAsia="Times New Roman" w:hAnsi="Arial" w:cs="Arial"/>
          <w:bCs/>
          <w:color w:val="000000"/>
        </w:rPr>
        <w:t>and other</w:t>
      </w:r>
      <w:r w:rsidRPr="006C37DC">
        <w:rPr>
          <w:rFonts w:ascii="Arial" w:eastAsia="Times New Roman" w:hAnsi="Arial" w:cs="Arial"/>
          <w:bCs/>
          <w:i/>
          <w:color w:val="000000"/>
        </w:rPr>
        <w:t xml:space="preserve"> EPF/L</w:t>
      </w:r>
      <w:r w:rsidRPr="006C37DC">
        <w:rPr>
          <w:rFonts w:ascii="Arial" w:eastAsia="Times New Roman" w:hAnsi="Arial" w:cs="Arial"/>
          <w:bCs/>
          <w:color w:val="000000"/>
        </w:rPr>
        <w:t xml:space="preserve"> genes in the </w:t>
      </w:r>
      <w:r w:rsidRPr="006C37DC">
        <w:rPr>
          <w:rFonts w:ascii="Arial" w:eastAsia="Times New Roman" w:hAnsi="Arial" w:cs="Arial"/>
          <w:bCs/>
          <w:i/>
          <w:color w:val="000000"/>
        </w:rPr>
        <w:t xml:space="preserve">EPF1/EPF2/EPFL7 </w:t>
      </w:r>
      <w:r w:rsidRPr="006C37DC">
        <w:rPr>
          <w:rFonts w:ascii="Arial" w:eastAsia="Times New Roman" w:hAnsi="Arial" w:cs="Arial"/>
          <w:bCs/>
          <w:color w:val="000000"/>
        </w:rPr>
        <w:t>gene clade (</w:t>
      </w:r>
      <w:r w:rsidRPr="006C37DC">
        <w:rPr>
          <w:rFonts w:ascii="Arial" w:eastAsia="Times New Roman" w:hAnsi="Arial" w:cs="Arial"/>
          <w:b/>
          <w:bCs/>
          <w:color w:val="000000"/>
        </w:rPr>
        <w:t>Fig. 21a</w:t>
      </w:r>
      <w:r w:rsidRPr="006C37DC">
        <w:rPr>
          <w:rFonts w:ascii="Arial" w:eastAsia="Times New Roman" w:hAnsi="Arial" w:cs="Arial"/>
          <w:bCs/>
          <w:color w:val="000000"/>
        </w:rPr>
        <w:t xml:space="preserve">, see also </w:t>
      </w:r>
      <w:r w:rsidRPr="006C37DC">
        <w:rPr>
          <w:rFonts w:ascii="Arial" w:eastAsia="Times New Roman" w:hAnsi="Arial" w:cs="Arial"/>
          <w:b/>
          <w:bCs/>
          <w:color w:val="000000"/>
        </w:rPr>
        <w:t>Fig. 6</w:t>
      </w:r>
      <w:r w:rsidRPr="006C37DC">
        <w:rPr>
          <w:rFonts w:ascii="Arial" w:eastAsia="Times New Roman" w:hAnsi="Arial" w:cs="Arial"/>
          <w:bCs/>
          <w:color w:val="000000"/>
        </w:rPr>
        <w:t xml:space="preserve">)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&lt;EndNote&gt;&lt;Cite&gt;&lt;Author&gt;Takata&lt;/Author&gt;&lt;Year&gt;2013&lt;/Year&gt;&lt;IDText&gt;Evolutionary Relationship and Structural Characterization of the EPF/EPFL Gene Family&lt;/IDText&gt;&lt;DisplayText&gt;(Takata et al., 2013)&lt;/DisplayText&gt;&lt;record&gt;&lt;dates&gt;&lt;pub-dates&gt;&lt;date&gt;06/03&amp;#xD;12/28/received&amp;#xD;04/24/accepted&lt;/date&gt;&lt;/pub-dates&gt;&lt;year&gt;2013&lt;/year&gt;&lt;/dates&gt;&lt;urls&gt;&lt;related-urls&gt;&lt;url&gt;http://www.ncbi.nlm.nih.gov/pmc/articles/PMC3670920/&lt;/url&gt;&lt;/related-urls&gt;&lt;/urls&gt;&lt;isbn&gt;1932-6203&lt;/isbn&gt;&lt;titles&gt;&lt;title&gt;Evolutionary Relationship and Structural Characterization of the EPF/EPFL Gene Family&lt;/title&gt;&lt;secondary-title&gt;PLoS ONE&lt;/secondary-title&gt;&lt;/titles&gt;&lt;pages&gt;e65183&lt;/pages&gt;&lt;number&gt;6&lt;/number&gt;&lt;contributors&gt;&lt;authors&gt;&lt;author&gt;Takata, Naoki&lt;/author&gt;&lt;author&gt;Yokota, Kiyonobu&lt;/author&gt;&lt;author&gt;Ohki, Shinya&lt;/author&gt;&lt;author&gt;Mori, Masashi&lt;/author&gt;&lt;author&gt;Taniguchi, Toru&lt;/author&gt;&lt;author&gt;Kurita, Manabu&lt;/author&gt;&lt;/authors&gt;&lt;/contributors&gt;&lt;added-date format="utc"&gt;1451494706&lt;/added-date&gt;&lt;pub-location&gt;San Francisco, USA&lt;/pub-location&gt;&lt;ref-type name="Journal Article"&gt;17&lt;/ref-type&gt;&lt;rec-number&gt;217&lt;/rec-number&gt;&lt;publisher&gt;Public Library of Science&lt;/publisher&gt;&lt;last-updated-date format="utc"&gt;1451494706&lt;/last-updated-date&gt;&lt;accession-num&gt;PMC3670920&lt;/accession-num&gt;&lt;electronic-resource-num&gt;10.1371/journal.pone.0065183&lt;/electronic-resource-num&gt;&lt;volume&gt;8&lt;/volume&gt;&lt;remote-database-name&gt;PMC&lt;/remote-database-na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(Takata et al.,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Indeed, as with other </w:t>
      </w:r>
      <w:r w:rsidRPr="006C37DC">
        <w:rPr>
          <w:rFonts w:ascii="Arial" w:eastAsia="Times New Roman" w:hAnsi="Arial" w:cs="Arial"/>
          <w:bCs/>
          <w:i/>
          <w:color w:val="000000"/>
        </w:rPr>
        <w:t xml:space="preserve">EPF1/EPF2/EPFL7 </w:t>
      </w:r>
      <w:r w:rsidRPr="006C37DC">
        <w:rPr>
          <w:rFonts w:ascii="Arial" w:eastAsia="Times New Roman" w:hAnsi="Arial" w:cs="Arial"/>
          <w:bCs/>
          <w:color w:val="000000"/>
        </w:rPr>
        <w:t xml:space="preserve">gene clade members the putative </w:t>
      </w:r>
      <w:r w:rsidRPr="006C37DC">
        <w:rPr>
          <w:rFonts w:ascii="Arial" w:eastAsia="Times New Roman" w:hAnsi="Arial" w:cs="Arial"/>
          <w:bCs/>
          <w:i/>
          <w:color w:val="000000"/>
        </w:rPr>
        <w:t xml:space="preserve">ApEPF1 </w:t>
      </w:r>
      <w:r w:rsidRPr="006C37DC">
        <w:rPr>
          <w:rFonts w:ascii="Arial" w:eastAsia="Times New Roman" w:hAnsi="Arial" w:cs="Arial"/>
          <w:bCs/>
          <w:color w:val="000000"/>
        </w:rPr>
        <w:t>gene identified has the signature 8 cysteine rather than the standard 6 residues found in most EPFL peptides (</w:t>
      </w:r>
      <w:r w:rsidRPr="006C37DC">
        <w:rPr>
          <w:rFonts w:ascii="Arial" w:eastAsia="Times New Roman" w:hAnsi="Arial" w:cs="Arial"/>
          <w:b/>
          <w:bCs/>
          <w:color w:val="000000"/>
        </w:rPr>
        <w:t>Fig. 21b</w:t>
      </w:r>
      <w:r w:rsidRPr="006C37DC">
        <w:rPr>
          <w:rFonts w:ascii="Arial" w:eastAsia="Times New Roman" w:hAnsi="Arial" w:cs="Arial"/>
          <w:bCs/>
          <w:color w:val="000000"/>
        </w:rPr>
        <w:t xml:space="preserve">, for further details see also </w:t>
      </w:r>
      <w:r w:rsidRPr="006C37DC">
        <w:rPr>
          <w:rFonts w:ascii="Arial" w:eastAsia="Times New Roman" w:hAnsi="Arial" w:cs="Arial"/>
          <w:b/>
          <w:bCs/>
          <w:color w:val="000000"/>
        </w:rPr>
        <w:t>Fig. 4</w:t>
      </w:r>
      <w:r w:rsidRPr="006C37DC">
        <w:rPr>
          <w:rFonts w:ascii="Arial" w:eastAsia="Times New Roman" w:hAnsi="Arial" w:cs="Arial"/>
          <w:bCs/>
          <w:color w:val="000000"/>
        </w:rPr>
        <w:t xml:space="preserve">). These observations obviously require experimentation to verify functionality of ApEFP1. However, taken together with the observations in chapter 3 relating to a putative hornwort orthologue of </w:t>
      </w:r>
      <w:r w:rsidRPr="006C37DC">
        <w:rPr>
          <w:rFonts w:ascii="Arial" w:eastAsia="Times New Roman" w:hAnsi="Arial" w:cs="Arial"/>
          <w:bCs/>
          <w:i/>
          <w:color w:val="000000"/>
        </w:rPr>
        <w:t xml:space="preserve">PpSMF1 </w:t>
      </w:r>
      <w:r w:rsidRPr="006C37DC">
        <w:rPr>
          <w:rFonts w:ascii="Arial" w:eastAsia="Times New Roman" w:hAnsi="Arial" w:cs="Arial"/>
          <w:bCs/>
          <w:color w:val="000000"/>
        </w:rPr>
        <w:t>(</w:t>
      </w:r>
      <w:r w:rsidRPr="006C37DC">
        <w:rPr>
          <w:rFonts w:ascii="Arial" w:eastAsia="Times New Roman" w:hAnsi="Arial" w:cs="Arial"/>
          <w:bCs/>
          <w:i/>
          <w:color w:val="000000"/>
        </w:rPr>
        <w:t>ApSMF1</w:t>
      </w:r>
      <w:r w:rsidRPr="006C37DC">
        <w:rPr>
          <w:rFonts w:ascii="Arial" w:eastAsia="Times New Roman" w:hAnsi="Arial" w:cs="Arial"/>
          <w:bCs/>
          <w:color w:val="000000"/>
        </w:rPr>
        <w:t>), such analyses strengthen the case for the conservation of stomatal developmental and patterning genes across all extant stomatal-bearing land plant lineages.</w:t>
      </w:r>
    </w:p>
    <w:p w14:paraId="4CF0DC7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noProof/>
          <w:color w:val="000000"/>
          <w:lang w:eastAsia="ja-JP"/>
        </w:rPr>
        <w:lastRenderedPageBreak/>
        <w:drawing>
          <wp:inline distT="0" distB="0" distL="0" distR="0" wp14:anchorId="6165FF34" wp14:editId="20FC6999">
            <wp:extent cx="5205730" cy="4704080"/>
            <wp:effectExtent l="0" t="0" r="0" b="127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nal fig20mod.png"/>
                    <pic:cNvPicPr/>
                  </pic:nvPicPr>
                  <pic:blipFill>
                    <a:blip r:embed="rId70">
                      <a:extLst>
                        <a:ext uri="{28A0092B-C50C-407E-A947-70E740481C1C}">
                          <a14:useLocalDpi xmlns:a14="http://schemas.microsoft.com/office/drawing/2010/main" val="0"/>
                        </a:ext>
                      </a:extLst>
                    </a:blip>
                    <a:stretch>
                      <a:fillRect/>
                    </a:stretch>
                  </pic:blipFill>
                  <pic:spPr>
                    <a:xfrm>
                      <a:off x="0" y="0"/>
                      <a:ext cx="5205730" cy="4704080"/>
                    </a:xfrm>
                    <a:prstGeom prst="rect">
                      <a:avLst/>
                    </a:prstGeom>
                  </pic:spPr>
                </pic:pic>
              </a:graphicData>
            </a:graphic>
          </wp:inline>
        </w:drawing>
      </w:r>
    </w:p>
    <w:p w14:paraId="4F46DCD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
          <w:bCs/>
          <w:color w:val="000000"/>
        </w:rPr>
        <w:t xml:space="preserve">Figure 21. The genome of the hornwort </w:t>
      </w:r>
      <w:r w:rsidRPr="006C37DC">
        <w:rPr>
          <w:rFonts w:ascii="Arial" w:eastAsia="Times New Roman" w:hAnsi="Arial" w:cs="Arial"/>
          <w:b/>
          <w:bCs/>
          <w:i/>
          <w:color w:val="000000"/>
        </w:rPr>
        <w:t xml:space="preserve">A. punctatus </w:t>
      </w:r>
      <w:r w:rsidRPr="006C37DC">
        <w:rPr>
          <w:rFonts w:ascii="Arial" w:eastAsia="Times New Roman" w:hAnsi="Arial" w:cs="Arial"/>
          <w:b/>
          <w:bCs/>
          <w:color w:val="000000"/>
        </w:rPr>
        <w:t xml:space="preserve">also encodes a potential EPF1/EPF2/EPFL7 clade gene orthologue: </w:t>
      </w:r>
      <w:r w:rsidRPr="006C37DC">
        <w:rPr>
          <w:rFonts w:ascii="Arial" w:eastAsia="Times New Roman" w:hAnsi="Arial" w:cs="Arial"/>
          <w:b/>
          <w:bCs/>
          <w:i/>
          <w:color w:val="000000"/>
        </w:rPr>
        <w:t>ApEFP1</w:t>
      </w:r>
      <w:r w:rsidRPr="006C37DC">
        <w:rPr>
          <w:rFonts w:ascii="Arial" w:eastAsia="Times New Roman" w:hAnsi="Arial" w:cs="Arial"/>
          <w:b/>
          <w:bCs/>
          <w:color w:val="000000"/>
        </w:rPr>
        <w:t>.</w:t>
      </w:r>
      <w:r w:rsidRPr="006C37DC">
        <w:rPr>
          <w:rFonts w:ascii="Arial" w:eastAsia="Times New Roman" w:hAnsi="Arial" w:cs="Arial"/>
          <w:b/>
          <w:bCs/>
          <w:i/>
          <w:color w:val="000000"/>
        </w:rPr>
        <w:t xml:space="preserve">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xml:space="preserve">) Amino acid sequences for the C-terminal regions of all EPF/Ls included in </w:t>
      </w:r>
      <w:r w:rsidRPr="006C37DC">
        <w:rPr>
          <w:rFonts w:ascii="Arial" w:eastAsia="Times New Roman" w:hAnsi="Arial" w:cs="Arial"/>
          <w:b/>
          <w:bCs/>
          <w:color w:val="000000"/>
        </w:rPr>
        <w:t>Fig.8</w:t>
      </w:r>
      <w:r w:rsidRPr="006C37DC">
        <w:rPr>
          <w:rFonts w:ascii="Arial" w:eastAsia="Times New Roman" w:hAnsi="Arial" w:cs="Arial"/>
          <w:bCs/>
          <w:color w:val="000000"/>
        </w:rPr>
        <w:t xml:space="preserve"> and a predicted</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translated </w:t>
      </w:r>
      <w:r w:rsidRPr="006C37DC">
        <w:rPr>
          <w:rFonts w:ascii="Arial" w:eastAsia="Times New Roman" w:hAnsi="Arial" w:cs="Arial"/>
          <w:bCs/>
          <w:i/>
          <w:color w:val="000000"/>
        </w:rPr>
        <w:t xml:space="preserve">A. punctatus </w:t>
      </w:r>
      <w:r w:rsidRPr="006C37DC">
        <w:rPr>
          <w:rFonts w:ascii="Arial" w:eastAsia="Times New Roman" w:hAnsi="Arial" w:cs="Arial"/>
          <w:bCs/>
          <w:color w:val="000000"/>
        </w:rPr>
        <w:t xml:space="preserve">sequence were aligned using MUSCLE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&lt;EndNote&gt;&lt;Cite&gt;&lt;Author&gt;Edgar&lt;/Author&gt;&lt;Year&gt;2004&lt;/Year&gt;&lt;IDText&gt;MUSCLE: a multiple sequence alignment method with reduced time and space complexity&lt;/IDText&gt;&lt;DisplayText&gt;(Edgar, 2004)&lt;/DisplayText&gt;&lt;record&gt;&lt;dates&gt;&lt;pub-dates&gt;&lt;date&gt;Aug 19&lt;/date&gt;&lt;/pub-dates&gt;&lt;year&gt;2004&lt;/year&gt;&lt;/dates&gt;&lt;keywords&gt;&lt;keyword&gt;Cluster Analysis&lt;/keyword&gt;&lt;keyword&gt;Computational Biology/methods/statistics &amp;amp; numerical data/trends&lt;/keyword&gt;&lt;keyword&gt;Phylogeny&lt;/keyword&gt;&lt;keyword&gt;Sequence Alignment/*methods/statistics &amp;amp; numerical data/*trends&lt;/keyword&gt;&lt;keyword&gt;*Software&lt;/keyword&gt;&lt;keyword&gt;Software Design&lt;/keyword&gt;&lt;keyword&gt;Time Factors&lt;/keyword&gt;&lt;/keywords&gt;&lt;isbn&gt;1471-2105&lt;/isbn&gt;&lt;custom2&gt;PMC517706&lt;/custom2&gt;&lt;titles&gt;&lt;title&gt;MUSCLE: a multiple sequence alignment method with reduced time and space complexity&lt;/title&gt;&lt;secondary-title&gt;BMC Bioinformatics&lt;/secondary-title&gt;&lt;alt-title&gt;BMC bioinformatics&lt;/alt-title&gt;&lt;/titles&gt;&lt;pages&gt;113&lt;/pages&gt;&lt;contributors&gt;&lt;authors&gt;&lt;author&gt;Edgar, R. C.&lt;/author&gt;&lt;/authors&gt;&lt;/contributors&gt;&lt;edition&gt;2004/08/21&lt;/edition&gt;&lt;language&gt;eng&lt;/language&gt;&lt;added-date format="utc"&gt;1452355510&lt;/added-date&gt;&lt;ref-type name="Journal Article"&gt;17&lt;/ref-type&gt;&lt;auth-address&gt;Department of Plant and Microbial Biology, 461 Koshland Hall, University of California, Berkeley, CA 94720-3102, USA. bob@drive5.com&lt;/auth-address&gt;&lt;remote-database-provider&gt;NLM&lt;/remote-database-provider&gt;&lt;rec-number&gt;420&lt;/rec-number&gt;&lt;last-updated-date format="utc"&gt;1452355510&lt;/last-updated-date&gt;&lt;accession-num&gt;15318951&lt;/accession-num&gt;&lt;electronic-resource-num&gt;10.1186/1471-2105-5-113&lt;/electronic-resource-num&gt;&lt;volume&gt;5&lt;/volume&gt;&lt;/record&gt;&lt;/Cite&gt;&lt;/EndNote&gt;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(Edgar, 2004)</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in MEGA6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&lt;EndNote&gt;&lt;Cite&gt;&lt;Author&gt;Tamura&lt;/Author&gt;&lt;Year&gt;2013&lt;/Year&gt;&lt;IDText&gt;MEGA6: Molecular Evolutionary Genetics Analysis version 6.0&lt;/IDText&gt;&lt;DisplayText&gt;(Tamura et al., 2013)&lt;/DisplayText&gt;&lt;record&gt;&lt;dates&gt;&lt;pub-dates&gt;&lt;date&gt;Dec&lt;/date&gt;&lt;/pub-dates&gt;&lt;year&gt;2013&lt;/year&gt;&lt;/dates&gt;&lt;keywords&gt;&lt;keyword&gt;Algorithms&lt;/keyword&gt;&lt;keyword&gt;Databases, Genetic&lt;/keyword&gt;&lt;keyword&gt;*Evolution, Molecular&lt;/keyword&gt;&lt;keyword&gt;Internet&lt;/keyword&gt;&lt;keyword&gt;Phylogeny&lt;/keyword&gt;&lt;keyword&gt;*Software&lt;/keyword&gt;&lt;keyword&gt;*User-Computer Interface&lt;/keyword&gt;&lt;keyword&gt;phylogeny&lt;/keyword&gt;&lt;keyword&gt;relaxed clocks&lt;/keyword&gt;&lt;keyword&gt;software&lt;/keyword&gt;&lt;/keywords&gt;&lt;isbn&gt;0737-4038&lt;/isbn&gt;&lt;custom2&gt;PMC3840312&lt;/custom2&gt;&lt;titles&gt;&lt;title&gt;MEGA6: Molecular Evolutionary Genetics Analysis version 6.0&lt;/title&gt;&lt;secondary-title&gt;Mol Biol Evol&lt;/secondary-title&gt;&lt;alt-title&gt;Molecular biology and evolution&lt;/alt-title&gt;&lt;/titles&gt;&lt;pages&gt;2725-9&lt;/pages&gt;&lt;number&gt;12&lt;/number&gt;&lt;contributors&gt;&lt;authors&gt;&lt;author&gt;Tamura, K.&lt;/author&gt;&lt;author&gt;Stecher, G.&lt;/author&gt;&lt;author&gt;Peterson, D.&lt;/author&gt;&lt;author&gt;Filipski, A.&lt;/author&gt;&lt;author&gt;Kumar, S.&lt;/author&gt;&lt;/authors&gt;&lt;/contributors&gt;&lt;edition&gt;2013/10/18&lt;/edition&gt;&lt;language&gt;eng&lt;/language&gt;&lt;added-date format="utc"&gt;1453907986&lt;/added-date&gt;&lt;ref-type name="Journal Article"&gt;17&lt;/ref-type&gt;&lt;auth-address&gt;Research Center for Genomics and Bioinformatics, Tokyo Metropolitan University, Hachioji, Tokyo, Japan.&lt;/auth-address&gt;&lt;remote-database-provider&gt;NLM&lt;/remote-database-provider&gt;&lt;rec-number&gt;455&lt;/rec-number&gt;&lt;last-updated-date format="utc"&gt;1453907986&lt;/last-updated-date&gt;&lt;accession-num&gt;24132122&lt;/accession-num&gt;&lt;electronic-resource-num&gt;10.1093/molbev/mst197&lt;/electronic-resource-num&gt;&lt;volume&gt;30&lt;/volume&gt;&lt;/record&gt;&lt;/Cite&gt;&lt;/EndNote&gt;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(Tamura et al.,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 full phylogenetic tree was first produced using the Neighbour-joining method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&lt;EndNote&gt;&lt;Cite&gt;&lt;Author&gt;Saitou&lt;/Author&gt;&lt;Year&gt;1987&lt;/Year&gt;&lt;IDText&gt;The neighbor-joining method: a new method for reconstructing phylogenetic trees&lt;/IDText&gt;&lt;DisplayText&gt;(Saitou and Nei, 1987)&lt;/DisplayText&gt;&lt;record&gt;&lt;dates&gt;&lt;pub-dates&gt;&lt;date&gt;Jul&lt;/date&gt;&lt;/pub-dates&gt;&lt;year&gt;1987&lt;/year&gt;&lt;/dates&gt;&lt;keywords&gt;&lt;keyword&gt;Animals&lt;/keyword&gt;&lt;keyword&gt;Biological Evolution&lt;/keyword&gt;&lt;keyword&gt;Biometry&lt;/keyword&gt;&lt;keyword&gt;*Models, Genetic&lt;/keyword&gt;&lt;keyword&gt;*Phylogeny&lt;/keyword&gt;&lt;keyword&gt;Ranidae/*genetics&lt;/keyword&gt;&lt;/keywords&gt;&lt;isbn&gt;0737-4038 (Print)&amp;#xD;0737-4038&lt;/isbn&gt;&lt;titles&gt;&lt;title&gt;The neighbor-joining method: a new method for reconstructing phylogenetic trees&lt;/title&gt;&lt;secondary-title&gt;Mol Biol Evol&lt;/secondary-title&gt;&lt;alt-title&gt;Molecular biology and evolution&lt;/alt-title&gt;&lt;/titles&gt;&lt;pages&gt;406-25&lt;/pages&gt;&lt;number&gt;4&lt;/number&gt;&lt;contributors&gt;&lt;authors&gt;&lt;author&gt;Saitou, N.&lt;/author&gt;&lt;author&gt;Nei, M.&lt;/author&gt;&lt;/authors&gt;&lt;/contributors&gt;&lt;edition&gt;1987/07/01&lt;/edition&gt;&lt;language&gt;eng&lt;/language&gt;&lt;added-date format="utc"&gt;1453907563&lt;/added-date&gt;&lt;ref-type name="Journal Article"&gt;17&lt;/ref-type&gt;&lt;auth-address&gt;Center for Demographic and Population Genetics, University of Texas Health Science Center, Houston 77225.&lt;/auth-address&gt;&lt;remote-database-provider&gt;NLM&lt;/remote-database-provider&gt;&lt;rec-number&gt;451&lt;/rec-number&gt;&lt;last-updated-date format="utc"&gt;1453907563&lt;/last-updated-date&gt;&lt;accession-num&gt;3447015&lt;/accession-num&gt;&lt;volume&gt;4&lt;/volume&gt;&lt;/record&gt;&lt;/Cite&gt;&lt;/EndNote&gt;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(Saitou and Nei, 1987)</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From the full tree, the sequences of species that clustered in the </w:t>
      </w:r>
      <w:r w:rsidRPr="006C37DC">
        <w:rPr>
          <w:rFonts w:ascii="Arial" w:eastAsia="Times New Roman" w:hAnsi="Arial" w:cs="Arial"/>
          <w:bCs/>
          <w:i/>
          <w:color w:val="000000"/>
        </w:rPr>
        <w:t>EPF1</w:t>
      </w:r>
      <w:r w:rsidRPr="006C37DC">
        <w:rPr>
          <w:rFonts w:ascii="Arial" w:eastAsia="Times New Roman" w:hAnsi="Arial" w:cs="Arial"/>
          <w:bCs/>
          <w:color w:val="000000"/>
        </w:rPr>
        <w:t>/</w:t>
      </w:r>
      <w:r w:rsidRPr="006C37DC">
        <w:rPr>
          <w:rFonts w:ascii="Arial" w:eastAsia="Times New Roman" w:hAnsi="Arial" w:cs="Arial"/>
          <w:bCs/>
          <w:i/>
          <w:color w:val="000000"/>
        </w:rPr>
        <w:t>EPF2</w:t>
      </w:r>
      <w:r w:rsidRPr="006C37DC">
        <w:rPr>
          <w:rFonts w:ascii="Arial" w:eastAsia="Times New Roman" w:hAnsi="Arial" w:cs="Arial"/>
          <w:bCs/>
          <w:color w:val="000000"/>
        </w:rPr>
        <w:t xml:space="preserve">/EPFL7 clade along with other Arabidopsis </w:t>
      </w:r>
      <w:r w:rsidRPr="006C37DC">
        <w:rPr>
          <w:rFonts w:ascii="Arial" w:eastAsia="Times New Roman" w:hAnsi="Arial" w:cs="Arial"/>
          <w:bCs/>
          <w:i/>
          <w:color w:val="000000"/>
        </w:rPr>
        <w:t>EPFL</w:t>
      </w:r>
      <w:r w:rsidRPr="006C37DC">
        <w:rPr>
          <w:rFonts w:ascii="Arial" w:eastAsia="Times New Roman" w:hAnsi="Arial" w:cs="Arial"/>
          <w:bCs/>
          <w:color w:val="000000"/>
        </w:rPr>
        <w:t xml:space="preserve"> members were extracted and aligned again using MUSCLE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&lt;EndNote&gt;&lt;Cite&gt;&lt;Author&gt;Edgar&lt;/Author&gt;&lt;Year&gt;2004&lt;/Year&gt;&lt;IDText&gt;MUSCLE: a multiple sequence alignment method with reduced time and space complexity&lt;/IDText&gt;&lt;DisplayText&gt;(Edgar, 2004)&lt;/DisplayText&gt;&lt;record&gt;&lt;dates&gt;&lt;pub-dates&gt;&lt;date&gt;Aug 19&lt;/date&gt;&lt;/pub-dates&gt;&lt;year&gt;2004&lt;/year&gt;&lt;/dates&gt;&lt;keywords&gt;&lt;keyword&gt;Cluster Analysis&lt;/keyword&gt;&lt;keyword&gt;Computational Biology/methods/statistics &amp;amp; numerical data/trends&lt;/keyword&gt;&lt;keyword&gt;Phylogeny&lt;/keyword&gt;&lt;keyword&gt;Sequence Alignment/*methods/statistics &amp;amp; numerical data/*trends&lt;/keyword&gt;&lt;keyword&gt;*Software&lt;/keyword&gt;&lt;keyword&gt;Software Design&lt;/keyword&gt;&lt;keyword&gt;Time Factors&lt;/keyword&gt;&lt;/keywords&gt;&lt;isbn&gt;1471-2105&lt;/isbn&gt;&lt;custom2&gt;PMC517706&lt;/custom2&gt;&lt;titles&gt;&lt;title&gt;MUSCLE: a multiple sequence alignment method with reduced time and space complexity&lt;/title&gt;&lt;secondary-title&gt;BMC Bioinformatics&lt;/secondary-title&gt;&lt;alt-title&gt;BMC bioinformatics&lt;/alt-title&gt;&lt;/titles&gt;&lt;pages&gt;113&lt;/pages&gt;&lt;contributors&gt;&lt;authors&gt;&lt;author&gt;Edgar, R. C.&lt;/author&gt;&lt;/authors&gt;&lt;/contributors&gt;&lt;edition&gt;2004/08/21&lt;/edition&gt;&lt;language&gt;eng&lt;/language&gt;&lt;added-date format="utc"&gt;1452355510&lt;/added-date&gt;&lt;ref-type name="Journal Article"&gt;17&lt;/ref-type&gt;&lt;auth-address&gt;Department of Plant and Microbial Biology, 461 Koshland Hall, University of California, Berkeley, CA 94720-3102, USA. bob@drive5.com&lt;/auth-address&gt;&lt;remote-database-provider&gt;NLM&lt;/remote-database-provider&gt;&lt;rec-number&gt;420&lt;/rec-number&gt;&lt;last-updated-date format="utc"&gt;1452355510&lt;/last-updated-date&gt;&lt;accession-num&gt;15318951&lt;/accession-num&gt;&lt;electronic-resource-num&gt;10.1186/1471-2105-5-113&lt;/electronic-resource-num&gt;&lt;volume&gt;5&lt;/volume&gt;&lt;/record&gt;&lt;/Cite&gt;&lt;/EndNote&gt;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(Edgar, 2004)</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and a subsequent tree which is displayed was produced using the Neighbour-Joining method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&lt;EndNote&gt;&lt;Cite&gt;&lt;Author&gt;Saitou&lt;/Author&gt;&lt;Year&gt;1987&lt;/Year&gt;&lt;IDText&gt;The neighbor-joining method: a new method for reconstructing phylogenetic trees&lt;/IDText&gt;&lt;DisplayText&gt;(Saitou and Nei, 1987)&lt;/DisplayText&gt;&lt;record&gt;&lt;dates&gt;&lt;pub-dates&gt;&lt;date&gt;Jul&lt;/date&gt;&lt;/pub-dates&gt;&lt;year&gt;1987&lt;/year&gt;&lt;/dates&gt;&lt;keywords&gt;&lt;keyword&gt;Animals&lt;/keyword&gt;&lt;keyword&gt;Biological Evolution&lt;/keyword&gt;&lt;keyword&gt;Biometry&lt;/keyword&gt;&lt;keyword&gt;*Models, Genetic&lt;/keyword&gt;&lt;keyword&gt;*Phylogeny&lt;/keyword&gt;&lt;keyword&gt;Ranidae/*genetics&lt;/keyword&gt;&lt;/keywords&gt;&lt;isbn&gt;0737-4038 (Print)&amp;#xD;0737-4038&lt;/isbn&gt;&lt;titles&gt;&lt;title&gt;The neighbor-joining method: a new method for reconstructing phylogenetic trees&lt;/title&gt;&lt;secondary-title&gt;Mol Biol Evol&lt;/secondary-title&gt;&lt;alt-title&gt;Molecular biology and evolution&lt;/alt-title&gt;&lt;/titles&gt;&lt;pages&gt;406-25&lt;/pages&gt;&lt;number&gt;4&lt;/number&gt;&lt;contributors&gt;&lt;authors&gt;&lt;author&gt;Saitou, N.&lt;/author&gt;&lt;author&gt;Nei, M.&lt;/author&gt;&lt;/authors&gt;&lt;/contributors&gt;&lt;edition&gt;1987/07/01&lt;/edition&gt;&lt;language&gt;eng&lt;/language&gt;&lt;added-date format="utc"&gt;1453907563&lt;/added-date&gt;&lt;ref-type name="Journal Article"&gt;17&lt;/ref-type&gt;&lt;auth-address&gt;Center for Demographic and Population Genetics, University of Texas Health Science Center, Houston 77225.&lt;/auth-address&gt;&lt;remote-database-provider&gt;NLM&lt;/remote-database-provider&gt;&lt;rec-number&gt;451&lt;/rec-number&gt;&lt;last-updated-date format="utc"&gt;1453907563&lt;/last-updated-date&gt;&lt;accession-num&gt;3447015&lt;/accession-num&gt;&lt;volume&gt;4&lt;/volume&gt;&lt;/record&gt;&lt;/Cite&gt;&lt;/EndNote&gt;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(Saitou and Nei, 1987)</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 </w:t>
      </w:r>
      <w:r w:rsidRPr="006C37DC">
        <w:rPr>
          <w:rFonts w:ascii="Arial" w:eastAsia="Times New Roman" w:hAnsi="Arial" w:cs="Arial"/>
          <w:bCs/>
          <w:i/>
          <w:color w:val="000000"/>
        </w:rPr>
        <w:t xml:space="preserve">A. punctatus </w:t>
      </w:r>
      <w:r w:rsidRPr="006C37DC">
        <w:rPr>
          <w:rFonts w:ascii="Arial" w:eastAsia="Times New Roman" w:hAnsi="Arial" w:cs="Arial"/>
          <w:bCs/>
          <w:color w:val="000000"/>
        </w:rPr>
        <w:t xml:space="preserve">representative is indicated by a black arrow. A bootstrap test (1000 replicates) was performed, with percentages generated listed next to branches to illustrate how often associated taxa cluster together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&lt;EndNote&gt;&lt;Cite&gt;&lt;Author&gt;Felsenstein&lt;/Author&gt;&lt;Year&gt;1985&lt;/Year&gt;&lt;IDText&gt;Confidence Limits on Phylogenies: An Approach Using the Bootstrap&lt;/IDText&gt;&lt;DisplayText&gt;(Felsenstein, 1985)&lt;/DisplayText&gt;&lt;record&gt;&lt;urls&gt;&lt;related-urls&gt;&lt;url&gt;http://www.jstor.org/stable/2408678&lt;/url&gt;&lt;/related-urls&gt;&lt;/urls&gt;&lt;isbn&gt;00143820, 15585646&lt;/isbn&gt;&lt;custom1&gt;Full publication date: Jul., 1985&lt;/custom1&gt;&lt;titles&gt;&lt;title&gt;Confidence Limits on Phylogenies: An Approach Using the Bootstrap&lt;/title&gt;&lt;secondary-title&gt;Evolution&lt;/secondary-title&gt;&lt;/titles&gt;&lt;pages&gt;783-791&lt;/pages&gt;&lt;number&gt;4&lt;/number&gt;&lt;contributors&gt;&lt;authors&gt;&lt;author&gt;Felsenstein, Joseph&lt;/author&gt;&lt;/authors&gt;&lt;/contributors&gt;&lt;added-date format="utc"&gt;1453907641&lt;/added-date&gt;&lt;ref-type name="Journal Article"&gt;17&lt;/ref-type&gt;&lt;dates&gt;&lt;year&gt;1985&lt;/year&gt;&lt;/dates&gt;&lt;rec-number&gt;452&lt;/rec-number&gt;&lt;publisher&gt;[Society for the Study of Evolution, Wiley]&lt;/publisher&gt;&lt;last-updated-date format="utc"&gt;1453907641&lt;/last-updated-date&gt;&lt;electronic-resource-num&gt;10.2307/2408678&lt;/electronic-resource-num&gt;&lt;volume&gt;39&lt;/volume&gt;&lt;/record&gt;&lt;/Cite&gt;&lt;/EndNote&gt;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(Felsenstein, 1985)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 Poisson correction method was used to compute evolutionary distances with units equating to the number of amino acid substitutions per site applied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&lt;EndNote&gt;&lt;Cite&gt;&lt;Author&gt;Zuckerkandl&lt;/Author&gt;&lt;Year&gt;1965&lt;/Year&gt;&lt;IDText&gt;Molecules as documents of evolutionary history&lt;/IDText&gt;&lt;DisplayText&gt;(Zuckerkandl and Pauling, 1965)&lt;/DisplayText&gt;&lt;record&gt;&lt;dates&gt;&lt;pub-dates&gt;&lt;date&gt;Mar&lt;/date&gt;&lt;/pub-dates&gt;&lt;year&gt;1965&lt;/year&gt;&lt;/dates&gt;&lt;keywords&gt;&lt;keyword&gt;Amino Acid Sequence&lt;/keyword&gt;&lt;keyword&gt;*Biological Evolution&lt;/keyword&gt;&lt;keyword&gt;*Genes&lt;/keyword&gt;&lt;keyword&gt;*Genetic Code&lt;/keyword&gt;&lt;keyword&gt;*Macromolecular Substances&lt;/keyword&gt;&lt;keyword&gt;Nucleic Acids&lt;/keyword&gt;&lt;keyword&gt;*RNA, Messenger&lt;/keyword&gt;&lt;/keywords&gt;&lt;isbn&gt;0022-5193 (Print)&amp;#xD;0022-5193&lt;/isbn&gt;&lt;titles&gt;&lt;title&gt;Molecules as documents of evolutionary history&lt;/title&gt;&lt;secondary-title&gt;J Theor Biol&lt;/secondary-title&gt;&lt;alt-title&gt;Journal of theoretical biology&lt;/alt-title&gt;&lt;/titles&gt;&lt;pages&gt;357-66&lt;/pages&gt;&lt;number&gt;2&lt;/number&gt;&lt;contributors&gt;&lt;authors&gt;&lt;author&gt;Zuckerkandl, E.&lt;/author&gt;&lt;author&gt;Pauling, L.&lt;/author&gt;&lt;/authors&gt;&lt;/contributors&gt;&lt;edition&gt;1965/03/01&lt;/edition&gt;&lt;language&gt;eng&lt;/language&gt;&lt;added-date format="utc"&gt;1453907838&lt;/added-date&gt;&lt;ref-type name="Journal Article"&gt;17&lt;/ref-type&gt;&lt;remote-database-provider&gt;NLM&lt;/remote-database-provider&gt;&lt;rec-number&gt;454&lt;/rec-number&gt;&lt;last-updated-date format="utc"&gt;1453907838&lt;/last-updated-date&gt;&lt;accession-num&gt;5876245&lt;/accession-num&gt;&lt;volume&gt;8&lt;/volume&gt;&lt;/record&gt;&lt;/Cite&gt;&lt;/EndNote&gt;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(Zuckerkandl and Pauling, 1965)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All positions containing gaps and missing data were eliminated. The abbreviated forms of species prefixes are Pp, </w:t>
      </w:r>
      <w:r w:rsidRPr="006C37DC">
        <w:rPr>
          <w:rFonts w:ascii="Arial" w:eastAsia="Times New Roman" w:hAnsi="Arial" w:cs="Arial"/>
          <w:bCs/>
          <w:i/>
          <w:color w:val="000000"/>
        </w:rPr>
        <w:t>Physcomitrella patens</w:t>
      </w:r>
      <w:r w:rsidRPr="006C37DC">
        <w:rPr>
          <w:rFonts w:ascii="Arial" w:eastAsia="Times New Roman" w:hAnsi="Arial" w:cs="Arial"/>
          <w:bCs/>
          <w:color w:val="000000"/>
        </w:rPr>
        <w:t xml:space="preserve">; Ap, </w:t>
      </w:r>
      <w:r w:rsidRPr="006C37DC">
        <w:rPr>
          <w:rFonts w:ascii="Arial" w:eastAsia="Times New Roman" w:hAnsi="Arial" w:cs="Arial"/>
          <w:bCs/>
          <w:i/>
          <w:color w:val="000000"/>
        </w:rPr>
        <w:t>Anthoceros punctatus</w:t>
      </w:r>
      <w:r w:rsidRPr="006C37DC">
        <w:rPr>
          <w:rFonts w:ascii="Arial" w:eastAsia="Times New Roman" w:hAnsi="Arial" w:cs="Arial"/>
          <w:bCs/>
          <w:color w:val="000000"/>
        </w:rPr>
        <w:t>;</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Sm, </w:t>
      </w:r>
      <w:r w:rsidRPr="006C37DC">
        <w:rPr>
          <w:rFonts w:ascii="Arial" w:eastAsia="Times New Roman" w:hAnsi="Arial" w:cs="Arial"/>
          <w:bCs/>
          <w:i/>
          <w:color w:val="000000"/>
        </w:rPr>
        <w:t>Selaginella moellendorffii</w:t>
      </w:r>
      <w:r w:rsidRPr="006C37DC">
        <w:rPr>
          <w:rFonts w:ascii="Arial" w:eastAsia="Times New Roman" w:hAnsi="Arial" w:cs="Arial"/>
          <w:bCs/>
          <w:color w:val="000000"/>
        </w:rPr>
        <w:t xml:space="preserve">, Os, </w:t>
      </w:r>
      <w:r w:rsidRPr="006C37DC">
        <w:rPr>
          <w:rFonts w:ascii="Arial" w:eastAsia="Times New Roman" w:hAnsi="Arial" w:cs="Arial"/>
          <w:bCs/>
          <w:i/>
          <w:color w:val="000000"/>
        </w:rPr>
        <w:t>Oryza sativa</w:t>
      </w:r>
      <w:r w:rsidRPr="006C37DC">
        <w:rPr>
          <w:rFonts w:ascii="Arial" w:eastAsia="Times New Roman" w:hAnsi="Arial" w:cs="Arial"/>
          <w:bCs/>
          <w:color w:val="000000"/>
        </w:rPr>
        <w:t xml:space="preserve">; Eg, </w:t>
      </w:r>
      <w:r w:rsidRPr="006C37DC">
        <w:rPr>
          <w:rFonts w:ascii="Arial" w:eastAsia="Times New Roman" w:hAnsi="Arial" w:cs="Arial"/>
          <w:bCs/>
          <w:i/>
          <w:color w:val="000000"/>
        </w:rPr>
        <w:t xml:space="preserve">Eucalyptus </w:t>
      </w:r>
      <w:r w:rsidRPr="006C37DC">
        <w:rPr>
          <w:rFonts w:ascii="Arial" w:eastAsia="Times New Roman" w:hAnsi="Arial" w:cs="Arial"/>
          <w:bCs/>
          <w:i/>
          <w:color w:val="000000"/>
        </w:rPr>
        <w:lastRenderedPageBreak/>
        <w:t xml:space="preserve">grandis; </w:t>
      </w:r>
      <w:r w:rsidRPr="006C37DC">
        <w:rPr>
          <w:rFonts w:ascii="Arial" w:eastAsia="Times New Roman" w:hAnsi="Arial" w:cs="Arial"/>
          <w:bCs/>
          <w:color w:val="000000"/>
        </w:rPr>
        <w:t xml:space="preserve">At, </w:t>
      </w:r>
      <w:r w:rsidRPr="006C37DC">
        <w:rPr>
          <w:rFonts w:ascii="Arial" w:eastAsia="Times New Roman" w:hAnsi="Arial" w:cs="Arial"/>
          <w:bCs/>
          <w:i/>
          <w:color w:val="000000"/>
        </w:rPr>
        <w:t>Arabidopsis thaliana</w:t>
      </w:r>
      <w:r w:rsidRPr="006C37DC">
        <w:rPr>
          <w:rFonts w:ascii="Arial" w:eastAsia="Times New Roman" w:hAnsi="Arial" w:cs="Arial"/>
          <w:bCs/>
          <w:color w:val="000000"/>
        </w:rPr>
        <w:t>. (</w:t>
      </w:r>
      <w:r w:rsidRPr="006C37DC">
        <w:rPr>
          <w:rFonts w:ascii="Arial" w:eastAsia="Times New Roman" w:hAnsi="Arial" w:cs="Arial"/>
          <w:b/>
          <w:bCs/>
          <w:color w:val="000000"/>
        </w:rPr>
        <w:t>b</w:t>
      </w:r>
      <w:r w:rsidRPr="006C37DC">
        <w:rPr>
          <w:rFonts w:ascii="Arial" w:eastAsia="Times New Roman" w:hAnsi="Arial" w:cs="Arial"/>
          <w:bCs/>
          <w:color w:val="000000"/>
        </w:rPr>
        <w:t>) Cropped selected sequences used to produce (</w:t>
      </w:r>
      <w:r w:rsidRPr="006C37DC">
        <w:rPr>
          <w:rFonts w:ascii="Arial" w:eastAsia="Times New Roman" w:hAnsi="Arial" w:cs="Arial"/>
          <w:b/>
          <w:bCs/>
          <w:color w:val="000000"/>
        </w:rPr>
        <w:t>a</w:t>
      </w:r>
      <w:r w:rsidRPr="006C37DC">
        <w:rPr>
          <w:rFonts w:ascii="Arial" w:eastAsia="Times New Roman" w:hAnsi="Arial" w:cs="Arial"/>
          <w:bCs/>
          <w:color w:val="000000"/>
        </w:rPr>
        <w:t xml:space="preserve">) are represented to illustrate the conservation of 8 cysteine residues in </w:t>
      </w:r>
      <w:r w:rsidRPr="006C37DC">
        <w:rPr>
          <w:rFonts w:ascii="Arial" w:eastAsia="Times New Roman" w:hAnsi="Arial" w:cs="Arial"/>
          <w:bCs/>
          <w:i/>
          <w:color w:val="000000"/>
        </w:rPr>
        <w:t>ApEPF1</w:t>
      </w:r>
      <w:r w:rsidRPr="006C37DC">
        <w:rPr>
          <w:rFonts w:ascii="Arial" w:eastAsia="Times New Roman" w:hAnsi="Arial" w:cs="Arial"/>
          <w:bCs/>
          <w:color w:val="000000"/>
        </w:rPr>
        <w:t xml:space="preserve"> which are also retained in other sequences from genes in the </w:t>
      </w:r>
      <w:r w:rsidRPr="006C37DC">
        <w:rPr>
          <w:rFonts w:ascii="Arial" w:eastAsia="Times New Roman" w:hAnsi="Arial" w:cs="Arial"/>
          <w:bCs/>
          <w:i/>
          <w:color w:val="000000"/>
        </w:rPr>
        <w:t>EPF1</w:t>
      </w:r>
      <w:r w:rsidRPr="006C37DC">
        <w:rPr>
          <w:rFonts w:ascii="Arial" w:eastAsia="Times New Roman" w:hAnsi="Arial" w:cs="Arial"/>
          <w:bCs/>
          <w:color w:val="000000"/>
        </w:rPr>
        <w:t>/</w:t>
      </w:r>
      <w:r w:rsidRPr="006C37DC">
        <w:rPr>
          <w:rFonts w:ascii="Arial" w:eastAsia="Times New Roman" w:hAnsi="Arial" w:cs="Arial"/>
          <w:bCs/>
          <w:i/>
          <w:color w:val="000000"/>
        </w:rPr>
        <w:t>EPF2</w:t>
      </w:r>
      <w:r w:rsidRPr="006C37DC">
        <w:rPr>
          <w:rFonts w:ascii="Arial" w:eastAsia="Times New Roman" w:hAnsi="Arial" w:cs="Arial"/>
          <w:bCs/>
          <w:color w:val="000000"/>
        </w:rPr>
        <w:t>/</w:t>
      </w:r>
      <w:r w:rsidRPr="006C37DC">
        <w:rPr>
          <w:rFonts w:ascii="Arial" w:eastAsia="Times New Roman" w:hAnsi="Arial" w:cs="Arial"/>
          <w:bCs/>
          <w:i/>
          <w:color w:val="000000"/>
        </w:rPr>
        <w:t xml:space="preserve">EPFL7 </w:t>
      </w:r>
      <w:r w:rsidRPr="006C37DC">
        <w:rPr>
          <w:rFonts w:ascii="Arial" w:eastAsia="Times New Roman" w:hAnsi="Arial" w:cs="Arial"/>
          <w:bCs/>
          <w:color w:val="000000"/>
        </w:rPr>
        <w:t xml:space="preserve">clade. Broadly conserved EPFL cysteine residues are marked blue, the </w:t>
      </w:r>
      <w:r w:rsidRPr="006C37DC">
        <w:rPr>
          <w:rFonts w:ascii="Arial" w:eastAsia="Times New Roman" w:hAnsi="Arial" w:cs="Arial"/>
          <w:bCs/>
          <w:i/>
          <w:color w:val="000000"/>
        </w:rPr>
        <w:t>EPF1</w:t>
      </w:r>
      <w:r w:rsidRPr="006C37DC">
        <w:rPr>
          <w:rFonts w:ascii="Arial" w:eastAsia="Times New Roman" w:hAnsi="Arial" w:cs="Arial"/>
          <w:bCs/>
          <w:color w:val="000000"/>
        </w:rPr>
        <w:t>/</w:t>
      </w:r>
      <w:r w:rsidRPr="006C37DC">
        <w:rPr>
          <w:rFonts w:ascii="Arial" w:eastAsia="Times New Roman" w:hAnsi="Arial" w:cs="Arial"/>
          <w:bCs/>
          <w:i/>
          <w:color w:val="000000"/>
        </w:rPr>
        <w:t>EPF2</w:t>
      </w:r>
      <w:r w:rsidRPr="006C37DC">
        <w:rPr>
          <w:rFonts w:ascii="Arial" w:eastAsia="Times New Roman" w:hAnsi="Arial" w:cs="Arial"/>
          <w:bCs/>
          <w:color w:val="000000"/>
        </w:rPr>
        <w:t>/</w:t>
      </w:r>
      <w:r w:rsidRPr="006C37DC">
        <w:rPr>
          <w:rFonts w:ascii="Arial" w:eastAsia="Times New Roman" w:hAnsi="Arial" w:cs="Arial"/>
          <w:bCs/>
          <w:i/>
          <w:color w:val="000000"/>
        </w:rPr>
        <w:t>EPFL7</w:t>
      </w:r>
      <w:r w:rsidRPr="006C37DC">
        <w:rPr>
          <w:rFonts w:ascii="Arial" w:eastAsia="Times New Roman" w:hAnsi="Arial" w:cs="Arial"/>
          <w:bCs/>
          <w:color w:val="000000"/>
        </w:rPr>
        <w:t xml:space="preserve"> specific cysteine residues are highlighted in green. See appendix 3 for the partial amino acid sequence of the </w:t>
      </w:r>
      <w:r w:rsidRPr="006C37DC">
        <w:rPr>
          <w:rFonts w:ascii="Arial" w:eastAsia="Times New Roman" w:hAnsi="Arial" w:cs="Arial"/>
          <w:bCs/>
          <w:i/>
          <w:color w:val="000000"/>
        </w:rPr>
        <w:t xml:space="preserve">ApEPF1 </w:t>
      </w:r>
      <w:r w:rsidRPr="006C37DC">
        <w:rPr>
          <w:rFonts w:ascii="Arial" w:eastAsia="Times New Roman" w:hAnsi="Arial" w:cs="Arial"/>
          <w:bCs/>
          <w:color w:val="000000"/>
        </w:rPr>
        <w:t>gene used to construct the phylogeny in (</w:t>
      </w:r>
      <w:r w:rsidRPr="006C37DC">
        <w:rPr>
          <w:rFonts w:ascii="Arial" w:eastAsia="Times New Roman" w:hAnsi="Arial" w:cs="Arial"/>
          <w:b/>
          <w:bCs/>
          <w:color w:val="000000"/>
        </w:rPr>
        <w:t>a</w:t>
      </w:r>
      <w:r w:rsidRPr="006C37DC">
        <w:rPr>
          <w:rFonts w:ascii="Arial" w:eastAsia="Times New Roman" w:hAnsi="Arial" w:cs="Arial"/>
          <w:bCs/>
          <w:color w:val="000000"/>
        </w:rPr>
        <w:t>).</w:t>
      </w:r>
    </w:p>
    <w:p w14:paraId="76ADC402" w14:textId="70434E0C" w:rsidR="006C37DC" w:rsidRPr="00476449" w:rsidRDefault="00405CE5" w:rsidP="006C37DC">
      <w:pPr>
        <w:spacing w:after="160" w:line="360" w:lineRule="auto"/>
        <w:rPr>
          <w:rFonts w:ascii="Arial" w:eastAsia="Times New Roman" w:hAnsi="Arial" w:cs="Arial"/>
          <w:bCs/>
          <w:color w:val="000000"/>
        </w:rPr>
      </w:pPr>
      <w:r>
        <w:rPr>
          <w:rFonts w:ascii="Arial" w:eastAsia="Times New Roman" w:hAnsi="Arial" w:cs="Arial"/>
          <w:b/>
          <w:bCs/>
          <w:color w:val="000000"/>
          <w:u w:val="single"/>
        </w:rPr>
        <w:t xml:space="preserve">4.4 </w:t>
      </w:r>
      <w:r w:rsidR="006C37DC" w:rsidRPr="006C37DC">
        <w:rPr>
          <w:rFonts w:ascii="Arial" w:eastAsia="Times New Roman" w:hAnsi="Arial" w:cs="Arial"/>
          <w:b/>
          <w:bCs/>
          <w:color w:val="000000"/>
          <w:u w:val="single"/>
        </w:rPr>
        <w:t xml:space="preserve">Conclusions </w:t>
      </w:r>
    </w:p>
    <w:p w14:paraId="0345650F" w14:textId="0D007BB8"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The results presented within this chapter clearly identify a toolbox of genes consisting of a variant of an </w:t>
      </w:r>
      <w:r w:rsidRPr="006C37DC">
        <w:rPr>
          <w:rFonts w:ascii="Arial" w:eastAsia="Times New Roman" w:hAnsi="Arial" w:cs="Arial"/>
          <w:bCs/>
          <w:i/>
          <w:color w:val="000000"/>
        </w:rPr>
        <w:t>EPF</w:t>
      </w:r>
      <w:r w:rsidRPr="006C37DC">
        <w:rPr>
          <w:rFonts w:ascii="Arial" w:eastAsia="Times New Roman" w:hAnsi="Arial" w:cs="Arial"/>
          <w:bCs/>
          <w:color w:val="000000"/>
        </w:rPr>
        <w:t xml:space="preserve">, a </w:t>
      </w:r>
      <w:r w:rsidRPr="006C37DC">
        <w:rPr>
          <w:rFonts w:ascii="Arial" w:eastAsia="Times New Roman" w:hAnsi="Arial" w:cs="Arial"/>
          <w:bCs/>
          <w:i/>
          <w:color w:val="000000"/>
        </w:rPr>
        <w:t>TMM</w:t>
      </w:r>
      <w:r w:rsidRPr="006C37DC">
        <w:rPr>
          <w:rFonts w:ascii="Arial" w:eastAsia="Times New Roman" w:hAnsi="Arial" w:cs="Arial"/>
          <w:bCs/>
          <w:color w:val="000000"/>
        </w:rPr>
        <w:t xml:space="preserve"> and at least one </w:t>
      </w:r>
      <w:r w:rsidRPr="006C37DC">
        <w:rPr>
          <w:rFonts w:ascii="Arial" w:eastAsia="Times New Roman" w:hAnsi="Arial" w:cs="Arial"/>
          <w:bCs/>
          <w:i/>
          <w:color w:val="000000"/>
        </w:rPr>
        <w:t>ERECTA</w:t>
      </w:r>
      <w:r w:rsidRPr="006C37DC">
        <w:rPr>
          <w:rFonts w:ascii="Arial" w:eastAsia="Times New Roman" w:hAnsi="Arial" w:cs="Arial"/>
          <w:bCs/>
          <w:color w:val="000000"/>
        </w:rPr>
        <w:t xml:space="preserve"> gene which would have been present in the ancestral plant lineage prior to the divergence of the mosses. Variants of such genes have indeed been retained within the mosses and may well also be utilised in extant hornworts that have stomata suggesting that the ancestor of both of these bryophyte lineages and vascular land plants used early forms of such genes. In the case of an ancestral EPF, such a peptide would probably have acted to primarily regulate the stomatal development by preventing stomata from forming adjacently to one another by overseeing where stomatal lineage cells formed. For TMM, ancient functioning would have probably involved gaining and maintaining stomatal identity in certain cells whilst being responsive to peptides such as an ancient EPF on the plasma membrane of adjacent cells thereby preventing neighbouring cells from assuming stomatal lineage identity. Finally, ancient ERECTA genes may well have acted to integrate stomatal development with other sporophytic growth processes during the development of sporophyte. As a unit, such patterning genes have been so effective in their functioning that they appear to have been retained in many lineages of land plants since their first evolution some time before 420 million years ago. </w:t>
      </w:r>
    </w:p>
    <w:p w14:paraId="1842AC5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The key conclusions from this chapter are:</w:t>
      </w:r>
    </w:p>
    <w:p w14:paraId="50D97E49" w14:textId="2C7511D4" w:rsidR="006C37DC" w:rsidRPr="006C37DC" w:rsidRDefault="006C37DC" w:rsidP="006C37DC">
      <w:pPr>
        <w:numPr>
          <w:ilvl w:val="0"/>
          <w:numId w:val="36"/>
        </w:numPr>
        <w:spacing w:after="160" w:line="360" w:lineRule="auto"/>
        <w:rPr>
          <w:rFonts w:ascii="Arial" w:eastAsia="Times New Roman" w:hAnsi="Arial" w:cs="Arial"/>
          <w:bCs/>
          <w:color w:val="000000"/>
        </w:rPr>
      </w:pPr>
      <w:r w:rsidRPr="006C37DC">
        <w:rPr>
          <w:rFonts w:ascii="Arial" w:eastAsia="Times New Roman" w:hAnsi="Arial" w:cs="Arial"/>
          <w:bCs/>
          <w:color w:val="000000"/>
        </w:rPr>
        <w:t>The signalling peptide PpEPF1</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can partially rescue deficient Arabidopsis </w:t>
      </w:r>
      <w:r w:rsidRPr="006C37DC">
        <w:rPr>
          <w:rFonts w:ascii="Arial" w:eastAsia="Times New Roman" w:hAnsi="Arial" w:cs="Arial"/>
          <w:bCs/>
          <w:i/>
          <w:color w:val="000000"/>
        </w:rPr>
        <w:t xml:space="preserve">epf1/2 </w:t>
      </w:r>
      <w:r w:rsidRPr="006C37DC">
        <w:rPr>
          <w:rFonts w:ascii="Arial" w:eastAsia="Times New Roman" w:hAnsi="Arial" w:cs="Arial"/>
          <w:bCs/>
          <w:color w:val="000000"/>
        </w:rPr>
        <w:t xml:space="preserve">mutants when highly expressed. This suggests that </w:t>
      </w:r>
      <w:r w:rsidRPr="006C37DC">
        <w:rPr>
          <w:rFonts w:ascii="Arial" w:eastAsia="Times New Roman" w:hAnsi="Arial" w:cs="Arial"/>
          <w:bCs/>
          <w:i/>
          <w:color w:val="000000"/>
        </w:rPr>
        <w:t xml:space="preserve">PpEPF1 </w:t>
      </w:r>
      <w:r w:rsidR="00EC52FA">
        <w:rPr>
          <w:rFonts w:ascii="Arial" w:eastAsia="Times New Roman" w:hAnsi="Arial" w:cs="Arial"/>
          <w:bCs/>
          <w:color w:val="000000"/>
        </w:rPr>
        <w:t>has been conserved for over 418</w:t>
      </w:r>
      <w:r w:rsidRPr="006C37DC">
        <w:rPr>
          <w:rFonts w:ascii="Arial" w:eastAsia="Times New Roman" w:hAnsi="Arial" w:cs="Arial"/>
          <w:bCs/>
          <w:color w:val="000000"/>
        </w:rPr>
        <w:t xml:space="preserve"> million years since prior to the when mosses diverged from the ancestral lineage. </w:t>
      </w:r>
    </w:p>
    <w:p w14:paraId="42CEA5B7" w14:textId="77777777" w:rsidR="006C37DC" w:rsidRPr="006C37DC" w:rsidRDefault="006C37DC" w:rsidP="006C37DC">
      <w:pPr>
        <w:numPr>
          <w:ilvl w:val="0"/>
          <w:numId w:val="36"/>
        </w:num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In its native </w:t>
      </w:r>
      <w:r w:rsidRPr="006C37DC">
        <w:rPr>
          <w:rFonts w:ascii="Arial" w:eastAsia="Times New Roman" w:hAnsi="Arial" w:cs="Arial"/>
          <w:bCs/>
          <w:i/>
          <w:color w:val="000000"/>
        </w:rPr>
        <w:t>P. patens</w:t>
      </w:r>
      <w:r w:rsidRPr="006C37DC">
        <w:rPr>
          <w:rFonts w:ascii="Arial" w:eastAsia="Times New Roman" w:hAnsi="Arial" w:cs="Arial"/>
          <w:bCs/>
          <w:color w:val="000000"/>
        </w:rPr>
        <w:t>, PpEPF1</w:t>
      </w:r>
      <w:r w:rsidRPr="006C37DC">
        <w:rPr>
          <w:rFonts w:ascii="Arial" w:eastAsia="Times New Roman" w:hAnsi="Arial" w:cs="Arial"/>
          <w:bCs/>
          <w:i/>
          <w:color w:val="000000"/>
        </w:rPr>
        <w:t xml:space="preserve"> </w:t>
      </w:r>
      <w:r w:rsidRPr="006C37DC">
        <w:rPr>
          <w:rFonts w:ascii="Arial" w:eastAsia="Times New Roman" w:hAnsi="Arial" w:cs="Arial"/>
          <w:bCs/>
          <w:color w:val="000000"/>
        </w:rPr>
        <w:t>functions to negatively regulate stomata ordinarily by preventing stomata from forming immediately adjacently to one another in clusters.</w:t>
      </w:r>
    </w:p>
    <w:p w14:paraId="0CB8263D" w14:textId="77777777" w:rsidR="006C37DC" w:rsidRPr="006C37DC" w:rsidRDefault="006C37DC" w:rsidP="006C37DC">
      <w:pPr>
        <w:numPr>
          <w:ilvl w:val="0"/>
          <w:numId w:val="36"/>
        </w:num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Over-expression of the coding sequence of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in </w:t>
      </w:r>
      <w:r w:rsidRPr="006C37DC">
        <w:rPr>
          <w:rFonts w:ascii="Arial" w:eastAsia="Times New Roman" w:hAnsi="Arial" w:cs="Arial"/>
          <w:bCs/>
          <w:i/>
          <w:color w:val="000000"/>
        </w:rPr>
        <w:t xml:space="preserve">P. patens </w:t>
      </w:r>
      <w:r w:rsidRPr="006C37DC">
        <w:rPr>
          <w:rFonts w:ascii="Arial" w:eastAsia="Times New Roman" w:hAnsi="Arial" w:cs="Arial"/>
          <w:bCs/>
          <w:color w:val="000000"/>
        </w:rPr>
        <w:t>leads to a significantly reduced number of stomata forming thereby re-affirming PpEPF1’s</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role in negatively regulating stomata. At such high levels PpEPF1 blocks the formation of </w:t>
      </w:r>
      <w:r w:rsidRPr="006C37DC">
        <w:rPr>
          <w:rFonts w:ascii="Arial" w:eastAsia="Times New Roman" w:hAnsi="Arial" w:cs="Arial"/>
          <w:bCs/>
          <w:color w:val="000000"/>
        </w:rPr>
        <w:lastRenderedPageBreak/>
        <w:t>early GMCs in areas that are completely devoid of pre-existing early GMCs suggesting that its role could involve more than just regulating stomatal clustering.</w:t>
      </w:r>
    </w:p>
    <w:p w14:paraId="0F9FB3F3" w14:textId="77777777" w:rsidR="006C37DC" w:rsidRPr="006C37DC" w:rsidRDefault="006C37DC" w:rsidP="006C37DC">
      <w:pPr>
        <w:numPr>
          <w:ilvl w:val="0"/>
          <w:numId w:val="36"/>
        </w:numPr>
        <w:spacing w:after="160" w:line="360" w:lineRule="auto"/>
        <w:rPr>
          <w:rFonts w:ascii="Arial" w:eastAsia="Times New Roman" w:hAnsi="Arial" w:cs="Arial"/>
          <w:bCs/>
          <w:color w:val="000000"/>
        </w:rPr>
      </w:pPr>
      <w:r w:rsidRPr="006C37DC">
        <w:rPr>
          <w:rFonts w:ascii="Arial" w:eastAsia="Times New Roman" w:hAnsi="Arial" w:cs="Arial"/>
          <w:bCs/>
          <w:color w:val="000000"/>
        </w:rPr>
        <w:t>PpTMM</w:t>
      </w:r>
      <w:r w:rsidRPr="006C37DC">
        <w:rPr>
          <w:rFonts w:ascii="Arial" w:eastAsia="Times New Roman" w:hAnsi="Arial" w:cs="Arial"/>
          <w:bCs/>
          <w:i/>
          <w:color w:val="000000"/>
        </w:rPr>
        <w:t xml:space="preserve"> </w:t>
      </w:r>
      <w:r w:rsidRPr="006C37DC">
        <w:rPr>
          <w:rFonts w:ascii="Arial" w:eastAsia="Times New Roman" w:hAnsi="Arial" w:cs="Arial"/>
          <w:bCs/>
          <w:color w:val="000000"/>
        </w:rPr>
        <w:t xml:space="preserve">can also function to a limited degree in Arabidopsis which suggests that, like </w:t>
      </w:r>
      <w:r w:rsidRPr="006C37DC">
        <w:rPr>
          <w:rFonts w:ascii="Arial" w:eastAsia="Times New Roman" w:hAnsi="Arial" w:cs="Arial"/>
          <w:bCs/>
          <w:i/>
          <w:color w:val="000000"/>
        </w:rPr>
        <w:t xml:space="preserve">PpEPF1, PpTMM </w:t>
      </w:r>
      <w:r w:rsidRPr="006C37DC">
        <w:rPr>
          <w:rFonts w:ascii="Arial" w:eastAsia="Times New Roman" w:hAnsi="Arial" w:cs="Arial"/>
          <w:bCs/>
          <w:color w:val="000000"/>
        </w:rPr>
        <w:t>has been conserved over 420 million years of evolution.</w:t>
      </w:r>
    </w:p>
    <w:p w14:paraId="7CC7372F" w14:textId="77777777" w:rsidR="006C37DC" w:rsidRPr="006C37DC" w:rsidRDefault="006C37DC" w:rsidP="006C37DC">
      <w:pPr>
        <w:numPr>
          <w:ilvl w:val="0"/>
          <w:numId w:val="36"/>
        </w:num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In </w:t>
      </w:r>
      <w:r w:rsidRPr="006C37DC">
        <w:rPr>
          <w:rFonts w:ascii="Arial" w:eastAsia="Times New Roman" w:hAnsi="Arial" w:cs="Arial"/>
          <w:bCs/>
          <w:i/>
          <w:color w:val="000000"/>
        </w:rPr>
        <w:t>P. patens</w:t>
      </w:r>
      <w:r w:rsidRPr="006C37DC">
        <w:rPr>
          <w:rFonts w:ascii="Arial" w:eastAsia="Times New Roman" w:hAnsi="Arial" w:cs="Arial"/>
          <w:bCs/>
          <w:color w:val="000000"/>
        </w:rPr>
        <w:t>, PpTMM both positively and negatively regulates stomata. It functions during the initial formation of the stomatal lineage by promoting individual early GMC formation and then subsequently functions to prevent neighbouring cells from becoming early GMCs and so prevents clustering of stomata.</w:t>
      </w:r>
    </w:p>
    <w:p w14:paraId="019CF1FA" w14:textId="77777777" w:rsidR="006C37DC" w:rsidRPr="006C37DC" w:rsidRDefault="006C37DC" w:rsidP="006C37DC">
      <w:pPr>
        <w:numPr>
          <w:ilvl w:val="0"/>
          <w:numId w:val="36"/>
        </w:num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Over-expression of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had little effect on stomatal development in the one line that had elevated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transcript.</w:t>
      </w:r>
    </w:p>
    <w:p w14:paraId="7CFBA682" w14:textId="77777777" w:rsidR="006C37DC" w:rsidRPr="006C37DC" w:rsidRDefault="006C37DC" w:rsidP="006C37DC">
      <w:pPr>
        <w:numPr>
          <w:ilvl w:val="0"/>
          <w:numId w:val="36"/>
        </w:numPr>
        <w:spacing w:after="160" w:line="360" w:lineRule="auto"/>
        <w:rPr>
          <w:rFonts w:ascii="Arial" w:eastAsia="Times New Roman" w:hAnsi="Arial" w:cs="Arial"/>
          <w:bCs/>
          <w:color w:val="000000"/>
        </w:rPr>
      </w:pPr>
      <w:r w:rsidRPr="006C37DC">
        <w:rPr>
          <w:rFonts w:ascii="Arial" w:eastAsia="Times New Roman" w:hAnsi="Arial" w:cs="Arial"/>
          <w:bCs/>
          <w:i/>
          <w:color w:val="000000"/>
        </w:rPr>
        <w:t>PpTMM</w:t>
      </w:r>
      <w:r w:rsidRPr="006C37DC">
        <w:rPr>
          <w:rFonts w:ascii="Arial" w:eastAsia="Times New Roman" w:hAnsi="Arial" w:cs="Arial"/>
          <w:bCs/>
          <w:color w:val="000000"/>
        </w:rPr>
        <w:t xml:space="preserve"> is epistatic to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In </w:t>
      </w:r>
      <w:r w:rsidRPr="006C37DC">
        <w:rPr>
          <w:rFonts w:ascii="Arial" w:eastAsia="Times New Roman" w:hAnsi="Arial" w:cs="Arial"/>
          <w:bCs/>
          <w:i/>
          <w:color w:val="000000"/>
        </w:rPr>
        <w:t xml:space="preserve">pptmm-epf1 </w:t>
      </w:r>
      <w:r w:rsidRPr="006C37DC">
        <w:rPr>
          <w:rFonts w:ascii="Arial" w:eastAsia="Times New Roman" w:hAnsi="Arial" w:cs="Arial"/>
          <w:bCs/>
          <w:color w:val="000000"/>
        </w:rPr>
        <w:t xml:space="preserve">lines stomatal number and development was very similar to the phenotype observed in </w:t>
      </w:r>
      <w:r w:rsidRPr="006C37DC">
        <w:rPr>
          <w:rFonts w:ascii="Arial" w:eastAsia="Times New Roman" w:hAnsi="Arial" w:cs="Arial"/>
          <w:bCs/>
          <w:i/>
          <w:color w:val="000000"/>
        </w:rPr>
        <w:t>pptmm</w:t>
      </w:r>
      <w:r w:rsidRPr="006C37DC">
        <w:rPr>
          <w:rFonts w:ascii="Arial" w:eastAsia="Times New Roman" w:hAnsi="Arial" w:cs="Arial"/>
          <w:bCs/>
          <w:color w:val="000000"/>
        </w:rPr>
        <w:t>.</w:t>
      </w:r>
    </w:p>
    <w:p w14:paraId="5D2FCD40" w14:textId="77777777" w:rsidR="006C37DC" w:rsidRPr="006C37DC" w:rsidRDefault="006C37DC" w:rsidP="006C37DC">
      <w:pPr>
        <w:numPr>
          <w:ilvl w:val="0"/>
          <w:numId w:val="36"/>
        </w:numPr>
        <w:spacing w:after="160" w:line="360" w:lineRule="auto"/>
        <w:rPr>
          <w:rFonts w:ascii="Arial" w:eastAsia="Times New Roman" w:hAnsi="Arial" w:cs="Arial"/>
          <w:bCs/>
          <w:i/>
          <w:color w:val="000000"/>
        </w:rPr>
      </w:pPr>
      <w:r w:rsidRPr="006C37DC">
        <w:rPr>
          <w:rFonts w:ascii="Arial" w:eastAsia="Times New Roman" w:hAnsi="Arial" w:cs="Arial"/>
          <w:bCs/>
          <w:color w:val="000000"/>
        </w:rPr>
        <w:t>PpERECTA1 has a limited or redundant effect on stomatal development. It may be involved in the positioning and regulation of cells in the area where stomata form at the base of the sporophyte capsule.</w:t>
      </w:r>
    </w:p>
    <w:p w14:paraId="0DE1F794" w14:textId="77777777" w:rsidR="006C37DC" w:rsidRPr="006C37DC" w:rsidRDefault="006C37DC" w:rsidP="006C37DC">
      <w:pPr>
        <w:numPr>
          <w:ilvl w:val="0"/>
          <w:numId w:val="36"/>
        </w:numPr>
        <w:spacing w:after="160" w:line="360" w:lineRule="auto"/>
        <w:rPr>
          <w:rFonts w:ascii="Arial" w:eastAsia="Times New Roman" w:hAnsi="Arial" w:cs="Arial"/>
          <w:bCs/>
          <w:i/>
          <w:color w:val="000000"/>
        </w:rPr>
      </w:pPr>
      <w:r w:rsidRPr="006C37DC">
        <w:rPr>
          <w:rFonts w:ascii="Arial" w:eastAsia="Times New Roman" w:hAnsi="Arial" w:cs="Arial"/>
          <w:bCs/>
          <w:color w:val="000000"/>
        </w:rPr>
        <w:t xml:space="preserve">When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 xml:space="preserve">is knocked-out in </w:t>
      </w:r>
      <w:r w:rsidRPr="006C37DC">
        <w:rPr>
          <w:rFonts w:ascii="Arial" w:eastAsia="Times New Roman" w:hAnsi="Arial" w:cs="Arial"/>
          <w:bCs/>
          <w:i/>
          <w:color w:val="000000"/>
        </w:rPr>
        <w:t xml:space="preserve">pptmm </w:t>
      </w:r>
      <w:r w:rsidRPr="006C37DC">
        <w:rPr>
          <w:rFonts w:ascii="Arial" w:eastAsia="Times New Roman" w:hAnsi="Arial" w:cs="Arial"/>
          <w:bCs/>
          <w:color w:val="000000"/>
        </w:rPr>
        <w:t xml:space="preserve">or </w:t>
      </w:r>
      <w:r w:rsidRPr="006C37DC">
        <w:rPr>
          <w:rFonts w:ascii="Arial" w:eastAsia="Times New Roman" w:hAnsi="Arial" w:cs="Arial"/>
          <w:bCs/>
          <w:i/>
          <w:color w:val="000000"/>
        </w:rPr>
        <w:t>ppepf1</w:t>
      </w:r>
      <w:r w:rsidRPr="006C37DC">
        <w:rPr>
          <w:rFonts w:ascii="Arial" w:eastAsia="Times New Roman" w:hAnsi="Arial" w:cs="Arial"/>
          <w:bCs/>
          <w:color w:val="000000"/>
        </w:rPr>
        <w:t xml:space="preserve">, fewer stomata form, which taken together with the single phenotype results suggest that </w:t>
      </w:r>
      <w:r w:rsidRPr="006C37DC">
        <w:rPr>
          <w:rFonts w:ascii="Arial" w:eastAsia="Times New Roman" w:hAnsi="Arial" w:cs="Arial"/>
          <w:bCs/>
          <w:i/>
          <w:color w:val="000000"/>
        </w:rPr>
        <w:t xml:space="preserve">PpERECTA1 </w:t>
      </w:r>
      <w:r w:rsidRPr="006C37DC">
        <w:rPr>
          <w:rFonts w:ascii="Arial" w:eastAsia="Times New Roman" w:hAnsi="Arial" w:cs="Arial"/>
          <w:bCs/>
          <w:color w:val="000000"/>
        </w:rPr>
        <w:t>presence is associated with promoting stomatal formation.</w:t>
      </w:r>
    </w:p>
    <w:p w14:paraId="30E3AEC0" w14:textId="77777777" w:rsidR="006C37DC" w:rsidRPr="006C37DC" w:rsidRDefault="006C37DC" w:rsidP="006C37DC">
      <w:pPr>
        <w:numPr>
          <w:ilvl w:val="0"/>
          <w:numId w:val="36"/>
        </w:numPr>
        <w:spacing w:after="160" w:line="360" w:lineRule="auto"/>
        <w:rPr>
          <w:rFonts w:ascii="Arial" w:eastAsia="Times New Roman" w:hAnsi="Arial" w:cs="Arial"/>
          <w:bCs/>
          <w:i/>
          <w:color w:val="000000"/>
        </w:rPr>
      </w:pPr>
      <w:r w:rsidRPr="006C37DC">
        <w:rPr>
          <w:rFonts w:ascii="Arial" w:eastAsia="Times New Roman" w:hAnsi="Arial" w:cs="Arial"/>
          <w:bCs/>
          <w:color w:val="000000"/>
        </w:rPr>
        <w:t>The conservation of not just genes but a functional developmental signalling module has occurred over at least the last 420 million years that has permitted land plants to pattern their stomata.</w:t>
      </w:r>
    </w:p>
    <w:p w14:paraId="29B3C841" w14:textId="77777777" w:rsidR="006C37DC" w:rsidRPr="006C37DC" w:rsidRDefault="006C37DC" w:rsidP="006C37DC">
      <w:pPr>
        <w:numPr>
          <w:ilvl w:val="0"/>
          <w:numId w:val="36"/>
        </w:numPr>
        <w:spacing w:after="160" w:line="360" w:lineRule="auto"/>
        <w:rPr>
          <w:rFonts w:ascii="Arial" w:eastAsia="Times New Roman" w:hAnsi="Arial" w:cs="Arial"/>
          <w:bCs/>
          <w:i/>
          <w:color w:val="000000"/>
        </w:rPr>
      </w:pPr>
      <w:r w:rsidRPr="006C37DC">
        <w:rPr>
          <w:rFonts w:ascii="Arial" w:eastAsia="Times New Roman" w:hAnsi="Arial" w:cs="Arial"/>
          <w:bCs/>
          <w:color w:val="000000"/>
        </w:rPr>
        <w:t>The identified conserved module of genes may also extend to hornworts which if verified supports a monophyletic origin of stomata in all land plant lineages.</w:t>
      </w:r>
    </w:p>
    <w:p w14:paraId="71162A8B" w14:textId="653D4410" w:rsidR="006C37DC" w:rsidRPr="00405CE5" w:rsidRDefault="00405CE5" w:rsidP="006C37DC">
      <w:pPr>
        <w:spacing w:after="160" w:line="360" w:lineRule="auto"/>
        <w:rPr>
          <w:rFonts w:ascii="Arial" w:eastAsia="Times New Roman" w:hAnsi="Arial" w:cs="Arial"/>
          <w:b/>
          <w:bCs/>
          <w:color w:val="000000"/>
          <w:u w:val="single"/>
        </w:rPr>
      </w:pPr>
      <w:r>
        <w:rPr>
          <w:rFonts w:ascii="Arial" w:eastAsia="Times New Roman" w:hAnsi="Arial" w:cs="Arial"/>
          <w:b/>
          <w:bCs/>
          <w:color w:val="000000"/>
          <w:u w:val="single"/>
        </w:rPr>
        <w:t xml:space="preserve">4.5 </w:t>
      </w:r>
      <w:r w:rsidR="006C37DC" w:rsidRPr="00405CE5">
        <w:rPr>
          <w:rFonts w:ascii="Arial" w:eastAsia="Times New Roman" w:hAnsi="Arial" w:cs="Arial"/>
          <w:b/>
          <w:bCs/>
          <w:color w:val="000000"/>
          <w:u w:val="single"/>
        </w:rPr>
        <w:t>Future research</w:t>
      </w:r>
    </w:p>
    <w:p w14:paraId="7A6B1AE4" w14:textId="160AAAFE"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The work presented in this chapter, in chapter 3 and by McAllister and Bergmann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 ExcludeAuth="1"&gt;&lt;Author&gt;MacAlister&lt;/Author&gt;&lt;Year&gt;2011&lt;/Year&gt;&lt;IDText&gt;Sequence and function of basic helix-loop-helix proteins required for stomatal development in Arabidopsis are deeply conserved in land plants&lt;/IDText&gt;&lt;DisplayText&gt;(2011)&lt;/DisplayText&gt;&lt;record&gt;&lt;dates&gt;&lt;pub-dates&gt;&lt;date&gt;Mar-Apr&lt;/date&gt;&lt;/pub-dates&gt;&lt;year&gt;2011&lt;/year&gt;&lt;/dates&gt;&lt;keywords&gt;&lt;keyword&gt;TRANSCRIPTION FACTOR FAMILY&lt;/keyword&gt;&lt;keyword&gt;MONOCOT-DICOT DIVERGENCE&lt;/keyword&gt;&lt;keyword&gt;EVOLUTION&lt;/keyword&gt;&lt;keyword&gt;DIVERSITY&lt;/keyword&gt;&lt;keyword&gt;GENES&lt;/keyword&gt;&lt;keyword&gt;DIFFERENTIATION&lt;/keyword&gt;&lt;keyword&gt;THALIANA&lt;/keyword&gt;&lt;keyword&gt;MUTANTS&lt;/keyword&gt;&lt;keyword&gt;GENOMES&lt;/keyword&gt;&lt;keyword&gt;CASCADE&lt;/keyword&gt;&lt;/keywords&gt;&lt;urls&gt;&lt;related-urls&gt;&lt;url&gt;&amp;lt;Go to ISI&amp;gt;://WOS:000288502600007&lt;/url&gt;&lt;/related-urls&gt;&lt;/urls&gt;&lt;isbn&gt;1520-541X&lt;/isbn&gt;&lt;work-type&gt;Article&lt;/work-type&gt;&lt;titles&gt;&lt;title&gt;Sequence and function of basic helix-loop-helix proteins required for stomatal development in Arabidopsis are deeply conserved in land plants&lt;/title&gt;&lt;secondary-title&gt;Evolution &amp;amp; Development&lt;/secondary-title&gt;&lt;alt-title&gt;Evol. Dev.&lt;/alt-title&gt;&lt;/titles&gt;&lt;pages&gt;182-192&lt;/pages&gt;&lt;number&gt;2&lt;/number&gt;&lt;contributors&gt;&lt;authors&gt;&lt;author&gt;MacAlister, C. A.&lt;/author&gt;&lt;author&gt;Bergmann, D. C.&lt;/author&gt;&lt;/authors&gt;&lt;/contributors&gt;&lt;language&gt;English&lt;/language&gt;&lt;added-date format="utc"&gt;1354083840&lt;/added-date&gt;&lt;ref-type name="Journal Article"&gt;17&lt;/ref-type&gt;&lt;auth-address&gt;[MacAlister, Cora A.&amp;#xD;Bergmann, Dominique C.] Stanford Univ, Dept Biol, Stanford, CA 94305 USA.&amp;#xD;MacAlister, CA (reprint author), Cold Spring Harbor Lab, POB 100, Cold Spring Harbor, NY 11724 USA.&amp;#xD;cmacalis@cshl.edu&lt;/auth-address&gt;&lt;rec-number&gt;61&lt;/rec-number&gt;&lt;last-updated-date format="utc"&gt;1354083840&lt;/last-updated-date&gt;&lt;accession-num&gt;WOS:000288502600007&lt;/accession-num&gt;&lt;electronic-resource-num&gt;10.1111/j.1525-142X.2011.00468.x&lt;/electronic-resource-num&gt;&lt;volume&gt;13&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(2011)</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and Caine </w:t>
      </w:r>
      <w:r w:rsidRPr="006C37DC">
        <w:rPr>
          <w:rFonts w:ascii="Arial" w:eastAsia="Times New Roman" w:hAnsi="Arial" w:cs="Arial"/>
          <w:bCs/>
          <w:color w:val="000000"/>
        </w:rPr>
        <w:fldChar w:fldCharType="begin"/>
      </w:r>
      <w:r w:rsidR="00DA38AC">
        <w:rPr>
          <w:rFonts w:ascii="Arial" w:eastAsia="Times New Roman" w:hAnsi="Arial" w:cs="Arial"/>
          <w:bCs/>
          <w:color w:val="000000"/>
        </w:rPr>
        <w:instrText xml:space="preserve"> ADDIN EN.CITE &lt;EndNote&gt;&lt;Cite ExcludeAuth="1"&gt;&lt;Author&gt;Caine&lt;/Author&gt;&lt;Year&gt;2016&lt;/Year&gt;&lt;IDText&gt;An ancestral stomatal patterning module revealed in the non-vascular land plant Physcomitrella patens&lt;/IDText&gt;&lt;DisplayText&gt;(2016)&lt;/DisplayText&gt;&lt;record&gt;&lt;urls&gt;&lt;related-urls&gt;&lt;url&gt;http://dev.biologists.org/content/early/2016/06/09/dev.135038.abstract&lt;/url&gt;&lt;/related-urls&gt;&lt;/urls&gt;&lt;work-type&gt;10.1242/dev.135038&lt;/work-type&gt;&lt;titles&gt;&lt;title&gt;An ancestral stomatal patterning module revealed in the non-vascular land plant Physcomitrella patens&lt;/title&gt;&lt;secondary-title&gt;Development&lt;/secondary-title&gt;&lt;/titles&gt;&lt;contributors&gt;&lt;authors&gt;&lt;author&gt;Caine, Robert&lt;/author&gt;&lt;author&gt;Chater, Caspar C.&lt;/author&gt;&lt;author&gt;Kamisugi, Yasuko&lt;/author&gt;&lt;author&gt;Cuming, Andrew C.&lt;/author&gt;&lt;author&gt;Beerling, David J.&lt;/author&gt;&lt;author&gt;Gray, Julie E.&lt;/author&gt;&lt;author&gt;Fleming, Andrew J.&lt;/author&gt;&lt;/authors&gt;&lt;/contributors&gt;&lt;added-date format="utc"&gt;1468852925&lt;/added-date&gt;&lt;ref-type name="Journal Article"&gt;17&lt;/ref-type&gt;&lt;dates&gt;&lt;year&gt;2016&lt;/year&gt;&lt;/dates&gt;&lt;rec-number&gt;1317&lt;/rec-number&gt;&lt;last-updated-date format="utc"&gt;1468852925&lt;/last-updated-date&gt;&lt;/record&gt;&lt;/Cite&gt;&lt;/EndNote&gt;</w:instrText>
      </w:r>
      <w:r w:rsidRPr="006C37DC">
        <w:rPr>
          <w:rFonts w:ascii="Arial" w:eastAsia="Times New Roman" w:hAnsi="Arial" w:cs="Arial"/>
          <w:bCs/>
          <w:color w:val="000000"/>
        </w:rPr>
        <w:fldChar w:fldCharType="separate"/>
      </w:r>
      <w:r w:rsidR="00DA38AC">
        <w:rPr>
          <w:rFonts w:ascii="Arial" w:eastAsia="Times New Roman" w:hAnsi="Arial" w:cs="Arial"/>
          <w:bCs/>
          <w:noProof/>
          <w:color w:val="000000"/>
        </w:rPr>
        <w:t>(2016)</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illustrates that stomatal development and patterning mechanisms are conserved between vascular and non-vascular land plants. However, the phylogenetic analyses presented in this chapter as well as those produced by others highlights that other </w:t>
      </w:r>
      <w:r w:rsidRPr="006C37DC">
        <w:rPr>
          <w:rFonts w:ascii="Arial" w:eastAsia="Times New Roman" w:hAnsi="Arial" w:cs="Arial"/>
          <w:bCs/>
          <w:i/>
          <w:color w:val="000000"/>
        </w:rPr>
        <w:t>EPFL</w:t>
      </w:r>
      <w:r w:rsidRPr="006C37DC">
        <w:rPr>
          <w:rFonts w:ascii="Arial" w:eastAsia="Times New Roman" w:hAnsi="Arial" w:cs="Arial"/>
          <w:bCs/>
          <w:color w:val="000000"/>
        </w:rPr>
        <w:t xml:space="preserve"> (</w:t>
      </w:r>
      <w:r w:rsidRPr="006C37DC">
        <w:rPr>
          <w:rFonts w:ascii="Arial" w:eastAsia="Times New Roman" w:hAnsi="Arial" w:cs="Arial"/>
          <w:bCs/>
          <w:i/>
          <w:color w:val="000000"/>
        </w:rPr>
        <w:t>PpCHALLAH-related1-10</w:t>
      </w:r>
      <w:r w:rsidRPr="006C37DC">
        <w:rPr>
          <w:rFonts w:ascii="Arial" w:eastAsia="Times New Roman" w:hAnsi="Arial" w:cs="Arial"/>
          <w:bCs/>
          <w:color w:val="000000"/>
        </w:rPr>
        <w:t xml:space="preserve">) and </w:t>
      </w:r>
      <w:r w:rsidRPr="006C37DC">
        <w:rPr>
          <w:rFonts w:ascii="Arial" w:eastAsia="Times New Roman" w:hAnsi="Arial" w:cs="Arial"/>
          <w:bCs/>
          <w:i/>
          <w:color w:val="000000"/>
        </w:rPr>
        <w:t>ERECTA</w:t>
      </w:r>
      <w:r w:rsidRPr="006C37DC">
        <w:rPr>
          <w:rFonts w:ascii="Arial" w:eastAsia="Times New Roman" w:hAnsi="Arial" w:cs="Arial"/>
          <w:bCs/>
          <w:color w:val="000000"/>
        </w:rPr>
        <w:t xml:space="preserve"> genes </w:t>
      </w:r>
      <w:r w:rsidRPr="006C37DC">
        <w:rPr>
          <w:rFonts w:ascii="Arial" w:eastAsia="Times New Roman" w:hAnsi="Arial" w:cs="Arial"/>
          <w:bCs/>
          <w:i/>
          <w:color w:val="000000"/>
        </w:rPr>
        <w:t>(PpERECTA2-6</w:t>
      </w:r>
      <w:r w:rsidRPr="006C37DC">
        <w:rPr>
          <w:rFonts w:ascii="Arial" w:eastAsia="Times New Roman" w:hAnsi="Arial" w:cs="Arial"/>
          <w:bCs/>
          <w:color w:val="000000"/>
        </w:rPr>
        <w:t xml:space="preserve">) are also present and expressed in the developing sporophyte which might act directly or indirectly in stomatal development </w:t>
      </w:r>
      <w:r w:rsidRPr="006C37DC">
        <w:rPr>
          <w:rFonts w:ascii="Arial" w:eastAsia="Times New Roman" w:hAnsi="Arial" w:cs="Arial"/>
          <w:bCs/>
          <w:color w:val="000000"/>
        </w:rPr>
        <w:fldChar w:fldCharType="begin">
          <w:fldData xml:space="preserve">PEVuZE5vdGU+PENpdGU+PEF1dGhvcj5PcnRpei1SYW3DrXJlejwvQXV0aG9yPjxZZWFyPjIwMTU8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PEVuZE5vdGU+PENpdGU+PEF1dGhvcj5PcnRpei1SYW3DrXJlejwvQXV0aG9yPjxZZWFyPjIwMTU8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(Ortiz-Ramírez et al., 2015; Takata et al., 2013; Villagarcia et al., 2012; Winter et al., 2007)</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In Arabidopsis, </w:t>
      </w:r>
      <w:r w:rsidRPr="006C37DC">
        <w:rPr>
          <w:rFonts w:ascii="Arial" w:eastAsia="Times New Roman" w:hAnsi="Arial" w:cs="Arial"/>
          <w:bCs/>
          <w:i/>
          <w:color w:val="000000"/>
        </w:rPr>
        <w:t>CHAL</w:t>
      </w:r>
      <w:r w:rsidRPr="006C37DC">
        <w:rPr>
          <w:rFonts w:ascii="Arial" w:eastAsia="Times New Roman" w:hAnsi="Arial" w:cs="Arial"/>
          <w:bCs/>
          <w:color w:val="000000"/>
        </w:rPr>
        <w:t xml:space="preserve"> and </w:t>
      </w:r>
      <w:r w:rsidRPr="006C37DC">
        <w:rPr>
          <w:rFonts w:ascii="Arial" w:eastAsia="Times New Roman" w:hAnsi="Arial" w:cs="Arial"/>
          <w:bCs/>
          <w:i/>
          <w:color w:val="000000"/>
        </w:rPr>
        <w:t>CHAL-like</w:t>
      </w:r>
      <w:r w:rsidRPr="006C37DC">
        <w:rPr>
          <w:rFonts w:ascii="Arial" w:eastAsia="Times New Roman" w:hAnsi="Arial" w:cs="Arial"/>
          <w:bCs/>
          <w:color w:val="000000"/>
        </w:rPr>
        <w:t xml:space="preserve"> genes function normally to encourage </w:t>
      </w:r>
      <w:r w:rsidRPr="006C37DC">
        <w:rPr>
          <w:rFonts w:ascii="Arial" w:eastAsia="Times New Roman" w:hAnsi="Arial" w:cs="Arial"/>
          <w:bCs/>
          <w:color w:val="000000"/>
        </w:rPr>
        <w:lastRenderedPageBreak/>
        <w:t xml:space="preserve">growth in combination with the ERf members and are ordinarily blocked from signalling during stomatal development by TMM </w:t>
      </w:r>
      <w:r w:rsidRPr="006C37DC">
        <w:rPr>
          <w:rFonts w:ascii="Arial" w:eastAsia="Times New Roman" w:hAnsi="Arial" w:cs="Arial"/>
          <w:bCs/>
          <w:color w:val="000000"/>
        </w:rPr>
        <w:fldChar w:fldCharType="begin">
          <w:fldData xml:space="preserve">PEVuZE5vdGU+PENpdGU+PEF1dGhvcj5BYnJhc2g8L0F1dGhvcj48WWVhcj4yMDEwPC9ZZWFyPjxJ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</w:fldData>
        </w:fldChar>
      </w:r>
      <w:r w:rsidRPr="006C37DC">
        <w:rPr>
          <w:rFonts w:ascii="Arial" w:eastAsia="Times New Roman" w:hAnsi="Arial" w:cs="Arial"/>
          <w:bCs/>
          <w:color w:val="000000"/>
        </w:rPr>
        <w:instrText xml:space="preserve"> ADDIN EN.CITE </w:instrText>
      </w:r>
      <w:r w:rsidRPr="006C37DC">
        <w:rPr>
          <w:rFonts w:ascii="Arial" w:eastAsia="Times New Roman" w:hAnsi="Arial" w:cs="Arial"/>
          <w:bCs/>
          <w:color w:val="000000"/>
        </w:rPr>
        <w:fldChar w:fldCharType="begin">
          <w:fldData xml:space="preserve">PEVuZE5vdGU+PENpdGU+PEF1dGhvcj5BYnJhc2g8L0F1dGhvcj48WWVhcj4yMDEwPC9ZZWFyPjxJ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</w:fldData>
        </w:fldChar>
      </w:r>
      <w:r w:rsidRPr="006C37DC">
        <w:rPr>
          <w:rFonts w:ascii="Arial" w:eastAsia="Times New Roman" w:hAnsi="Arial" w:cs="Arial"/>
          <w:bCs/>
          <w:color w:val="000000"/>
        </w:rPr>
        <w:instrText xml:space="preserve"> ADDIN EN.CITE.DATA </w:instrText>
      </w:r>
      <w:r w:rsidRPr="006C37DC">
        <w:rPr>
          <w:rFonts w:ascii="Arial" w:eastAsia="Times New Roman" w:hAnsi="Arial" w:cs="Arial"/>
          <w:bCs/>
          <w:color w:val="000000"/>
        </w:rPr>
      </w:r>
      <w:r w:rsidRPr="006C37DC">
        <w:rPr>
          <w:rFonts w:ascii="Arial" w:eastAsia="Times New Roman" w:hAnsi="Arial" w:cs="Arial"/>
          <w:bCs/>
          <w:color w:val="000000"/>
        </w:rPr>
        <w:fldChar w:fldCharType="end"/>
      </w:r>
      <w:r w:rsidRPr="006C37DC">
        <w:rPr>
          <w:rFonts w:ascii="Arial" w:eastAsia="Times New Roman" w:hAnsi="Arial" w:cs="Arial"/>
          <w:bCs/>
          <w:color w:val="000000"/>
        </w:rPr>
      </w:r>
      <w:r w:rsidRPr="006C37DC">
        <w:rPr>
          <w:rFonts w:ascii="Arial" w:eastAsia="Times New Roman" w:hAnsi="Arial" w:cs="Arial"/>
          <w:bCs/>
          <w:color w:val="000000"/>
        </w:rPr>
        <w:fldChar w:fldCharType="separate"/>
      </w:r>
      <w:r w:rsidRPr="006C37DC">
        <w:rPr>
          <w:rFonts w:ascii="Arial" w:eastAsia="Times New Roman" w:hAnsi="Arial" w:cs="Arial"/>
          <w:bCs/>
          <w:color w:val="000000"/>
        </w:rPr>
        <w:t>(Abrash and Bergmann, 2010; Abrash et al., 2011)</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Such findings combined with the results presented in this chapter opens up the interesting possibility that </w:t>
      </w:r>
      <w:r w:rsidRPr="006C37DC">
        <w:rPr>
          <w:rFonts w:ascii="Arial" w:eastAsia="Times New Roman" w:hAnsi="Arial" w:cs="Arial"/>
          <w:bCs/>
          <w:i/>
          <w:color w:val="000000"/>
        </w:rPr>
        <w:t xml:space="preserve">P. patens </w:t>
      </w:r>
      <w:r w:rsidRPr="006C37DC">
        <w:rPr>
          <w:rFonts w:ascii="Arial" w:eastAsia="Times New Roman" w:hAnsi="Arial" w:cs="Arial"/>
          <w:bCs/>
          <w:color w:val="000000"/>
        </w:rPr>
        <w:t xml:space="preserve">uses genes equivalent to Arabidopsis </w:t>
      </w:r>
      <w:r w:rsidRPr="006C37DC">
        <w:rPr>
          <w:rFonts w:ascii="Arial" w:eastAsia="Times New Roman" w:hAnsi="Arial" w:cs="Arial"/>
          <w:bCs/>
          <w:i/>
          <w:color w:val="000000"/>
        </w:rPr>
        <w:t>CHALf</w:t>
      </w:r>
      <w:r w:rsidRPr="006C37DC">
        <w:rPr>
          <w:rFonts w:ascii="Arial" w:eastAsia="Times New Roman" w:hAnsi="Arial" w:cs="Arial"/>
          <w:bCs/>
          <w:color w:val="000000"/>
        </w:rPr>
        <w:t xml:space="preserve"> genes to signal through PpERECTAs</w:t>
      </w:r>
      <w:r w:rsidRPr="006C37DC">
        <w:rPr>
          <w:rFonts w:ascii="Arial" w:eastAsia="Times New Roman" w:hAnsi="Arial" w:cs="Arial"/>
          <w:bCs/>
          <w:i/>
          <w:color w:val="000000"/>
        </w:rPr>
        <w:t xml:space="preserve"> </w:t>
      </w:r>
      <w:r w:rsidRPr="006C37DC">
        <w:rPr>
          <w:rFonts w:ascii="Arial" w:eastAsia="Times New Roman" w:hAnsi="Arial" w:cs="Arial"/>
          <w:bCs/>
          <w:color w:val="000000"/>
        </w:rPr>
        <w:t>via PpTMM</w:t>
      </w:r>
      <w:r w:rsidRPr="006C37DC">
        <w:rPr>
          <w:rFonts w:ascii="Arial" w:eastAsia="Times New Roman" w:hAnsi="Arial" w:cs="Arial"/>
          <w:bCs/>
          <w:i/>
          <w:color w:val="000000"/>
        </w:rPr>
        <w:t xml:space="preserve">  </w:t>
      </w:r>
      <w:r w:rsidRPr="006C37DC">
        <w:rPr>
          <w:rFonts w:ascii="Arial" w:eastAsia="Times New Roman" w:hAnsi="Arial" w:cs="Arial"/>
          <w:bCs/>
          <w:color w:val="000000"/>
        </w:rPr>
        <w:t>to intricately entwine growth and stomatal develo</w:t>
      </w:r>
      <w:r w:rsidR="00EC52FA">
        <w:rPr>
          <w:rFonts w:ascii="Arial" w:eastAsia="Times New Roman" w:hAnsi="Arial" w:cs="Arial"/>
          <w:bCs/>
          <w:color w:val="000000"/>
        </w:rPr>
        <w:t>pmental signals. The following</w:t>
      </w:r>
      <w:r w:rsidRPr="006C37DC">
        <w:rPr>
          <w:rFonts w:ascii="Arial" w:eastAsia="Times New Roman" w:hAnsi="Arial" w:cs="Arial"/>
          <w:bCs/>
          <w:color w:val="000000"/>
        </w:rPr>
        <w:t xml:space="preserve"> steps could be taken to show if such processes are occurring:</w:t>
      </w:r>
    </w:p>
    <w:p w14:paraId="79F39B87" w14:textId="77777777" w:rsidR="006C37DC" w:rsidRPr="006C37DC" w:rsidRDefault="006C37DC" w:rsidP="006C37DC">
      <w:pPr>
        <w:numPr>
          <w:ilvl w:val="0"/>
          <w:numId w:val="36"/>
        </w:numPr>
        <w:spacing w:after="160" w:line="360" w:lineRule="auto"/>
        <w:rPr>
          <w:rFonts w:ascii="Arial" w:eastAsia="Times New Roman" w:hAnsi="Arial" w:cs="Arial"/>
          <w:bCs/>
          <w:i/>
          <w:color w:val="000000"/>
        </w:rPr>
      </w:pPr>
      <w:r w:rsidRPr="006C37DC">
        <w:rPr>
          <w:rFonts w:ascii="Arial" w:eastAsia="Times New Roman" w:hAnsi="Arial" w:cs="Arial"/>
          <w:bCs/>
          <w:color w:val="000000"/>
        </w:rPr>
        <w:t xml:space="preserve">Generation of single and multiple mutant KO combinations of all the </w:t>
      </w:r>
      <w:r w:rsidRPr="006C37DC">
        <w:rPr>
          <w:rFonts w:ascii="Arial" w:eastAsia="Times New Roman" w:hAnsi="Arial" w:cs="Arial"/>
          <w:bCs/>
          <w:i/>
          <w:color w:val="000000"/>
        </w:rPr>
        <w:t xml:space="preserve">PpERECTA </w:t>
      </w:r>
      <w:r w:rsidRPr="006C37DC">
        <w:rPr>
          <w:rFonts w:ascii="Arial" w:eastAsia="Times New Roman" w:hAnsi="Arial" w:cs="Arial"/>
          <w:bCs/>
          <w:color w:val="000000"/>
        </w:rPr>
        <w:t xml:space="preserve">family genes (including at least one additional line of </w:t>
      </w:r>
      <w:r w:rsidRPr="006C37DC">
        <w:rPr>
          <w:rFonts w:ascii="Arial" w:eastAsia="Times New Roman" w:hAnsi="Arial" w:cs="Arial"/>
          <w:bCs/>
          <w:i/>
          <w:color w:val="000000"/>
        </w:rPr>
        <w:t>pperecta1</w:t>
      </w:r>
      <w:r w:rsidRPr="006C37DC">
        <w:rPr>
          <w:rFonts w:ascii="Arial" w:eastAsia="Times New Roman" w:hAnsi="Arial" w:cs="Arial"/>
          <w:bCs/>
          <w:color w:val="000000"/>
        </w:rPr>
        <w:t xml:space="preserve">). </w:t>
      </w:r>
    </w:p>
    <w:p w14:paraId="11A2903E" w14:textId="77777777" w:rsidR="006C37DC" w:rsidRPr="006C37DC" w:rsidRDefault="006C37DC" w:rsidP="006C37DC">
      <w:pPr>
        <w:numPr>
          <w:ilvl w:val="0"/>
          <w:numId w:val="36"/>
        </w:numPr>
        <w:spacing w:after="160" w:line="360" w:lineRule="auto"/>
        <w:rPr>
          <w:rFonts w:ascii="Arial" w:eastAsia="Times New Roman" w:hAnsi="Arial" w:cs="Arial"/>
          <w:bCs/>
          <w:i/>
          <w:color w:val="000000"/>
        </w:rPr>
      </w:pPr>
      <w:r w:rsidRPr="006C37DC">
        <w:rPr>
          <w:rFonts w:ascii="Arial" w:eastAsia="Times New Roman" w:hAnsi="Arial" w:cs="Arial"/>
          <w:bCs/>
          <w:color w:val="000000"/>
        </w:rPr>
        <w:t xml:space="preserve">Generation of single and multiple mutant KO combinations of </w:t>
      </w:r>
      <w:r w:rsidRPr="006C37DC">
        <w:rPr>
          <w:rFonts w:ascii="Arial" w:eastAsia="Times New Roman" w:hAnsi="Arial" w:cs="Arial"/>
          <w:bCs/>
          <w:i/>
          <w:color w:val="000000"/>
        </w:rPr>
        <w:t xml:space="preserve">PpCHALLAH-related </w:t>
      </w:r>
      <w:r w:rsidRPr="006C37DC">
        <w:rPr>
          <w:rFonts w:ascii="Arial" w:eastAsia="Times New Roman" w:hAnsi="Arial" w:cs="Arial"/>
          <w:bCs/>
          <w:color w:val="000000"/>
        </w:rPr>
        <w:t xml:space="preserve">genes in the wild-type and in a </w:t>
      </w:r>
      <w:r w:rsidRPr="006C37DC">
        <w:rPr>
          <w:rFonts w:ascii="Arial" w:eastAsia="Times New Roman" w:hAnsi="Arial" w:cs="Arial"/>
          <w:bCs/>
          <w:i/>
          <w:color w:val="000000"/>
        </w:rPr>
        <w:t>pptmm</w:t>
      </w:r>
      <w:r w:rsidRPr="006C37DC">
        <w:rPr>
          <w:rFonts w:ascii="Arial" w:eastAsia="Times New Roman" w:hAnsi="Arial" w:cs="Arial"/>
          <w:bCs/>
          <w:color w:val="000000"/>
        </w:rPr>
        <w:t xml:space="preserve"> background to see if PpTMM ordinarily moderates PpCHALLAH-related</w:t>
      </w:r>
      <w:r w:rsidRPr="006C37DC">
        <w:rPr>
          <w:rFonts w:ascii="Arial" w:eastAsia="Times New Roman" w:hAnsi="Arial" w:cs="Arial"/>
          <w:bCs/>
          <w:i/>
          <w:color w:val="000000"/>
        </w:rPr>
        <w:t xml:space="preserve"> </w:t>
      </w:r>
      <w:r w:rsidRPr="006C37DC">
        <w:rPr>
          <w:rFonts w:ascii="Arial" w:eastAsia="Times New Roman" w:hAnsi="Arial" w:cs="Arial"/>
          <w:bCs/>
          <w:color w:val="000000"/>
        </w:rPr>
        <w:t>signalling during sporophyte development.</w:t>
      </w:r>
    </w:p>
    <w:p w14:paraId="04889277" w14:textId="5E890292" w:rsidR="006C37DC" w:rsidRPr="00476449" w:rsidRDefault="006C37DC" w:rsidP="006C37DC">
      <w:pPr>
        <w:numPr>
          <w:ilvl w:val="0"/>
          <w:numId w:val="36"/>
        </w:numPr>
        <w:spacing w:after="160" w:line="360" w:lineRule="auto"/>
        <w:rPr>
          <w:rFonts w:ascii="Arial" w:eastAsia="Times New Roman" w:hAnsi="Arial" w:cs="Arial"/>
          <w:bCs/>
          <w:i/>
          <w:color w:val="000000"/>
        </w:rPr>
      </w:pPr>
      <w:r w:rsidRPr="006C37DC">
        <w:rPr>
          <w:rFonts w:ascii="Arial" w:eastAsia="Times New Roman" w:hAnsi="Arial" w:cs="Arial"/>
          <w:bCs/>
          <w:color w:val="000000"/>
        </w:rPr>
        <w:t xml:space="preserve">Generation of </w:t>
      </w:r>
      <w:r w:rsidRPr="006C37DC">
        <w:rPr>
          <w:rFonts w:ascii="Arial" w:eastAsia="Times New Roman" w:hAnsi="Arial" w:cs="Arial"/>
          <w:bCs/>
          <w:i/>
          <w:color w:val="000000"/>
        </w:rPr>
        <w:t>PpCHALLAH-related</w:t>
      </w:r>
      <w:r w:rsidRPr="006C37DC">
        <w:rPr>
          <w:rFonts w:ascii="Arial" w:eastAsia="Times New Roman" w:hAnsi="Arial" w:cs="Arial"/>
          <w:bCs/>
          <w:i/>
          <w:color w:val="000000"/>
        </w:rPr>
        <w:softHyphen/>
      </w:r>
      <w:r w:rsidRPr="006C37DC">
        <w:rPr>
          <w:rFonts w:ascii="Arial" w:eastAsia="Times New Roman" w:hAnsi="Arial" w:cs="Arial"/>
          <w:bCs/>
          <w:color w:val="000000"/>
        </w:rPr>
        <w:t>-</w:t>
      </w:r>
      <w:r w:rsidRPr="006C37DC">
        <w:rPr>
          <w:rFonts w:ascii="Arial" w:eastAsia="Times New Roman" w:hAnsi="Arial" w:cs="Arial"/>
          <w:bCs/>
          <w:i/>
          <w:color w:val="000000"/>
        </w:rPr>
        <w:t>PpTMM</w:t>
      </w:r>
      <w:r w:rsidRPr="006C37DC">
        <w:rPr>
          <w:rFonts w:ascii="Arial" w:eastAsia="Times New Roman" w:hAnsi="Arial" w:cs="Arial"/>
          <w:bCs/>
          <w:color w:val="000000"/>
        </w:rPr>
        <w:softHyphen/>
        <w:t>-</w:t>
      </w:r>
      <w:r w:rsidRPr="006C37DC">
        <w:rPr>
          <w:rFonts w:ascii="Arial" w:eastAsia="Times New Roman" w:hAnsi="Arial" w:cs="Arial"/>
          <w:bCs/>
          <w:i/>
          <w:color w:val="000000"/>
        </w:rPr>
        <w:t>PpERECTA</w:t>
      </w:r>
      <w:r w:rsidRPr="006C37DC">
        <w:rPr>
          <w:rFonts w:ascii="Arial" w:eastAsia="Times New Roman" w:hAnsi="Arial" w:cs="Arial"/>
          <w:bCs/>
          <w:color w:val="000000"/>
        </w:rPr>
        <w:t xml:space="preserve"> family KO mutant combinations to understand whether conservation of systemic growth and stomatal signalling has been conserved akin to Arabidopsis in the sporophytes of </w:t>
      </w:r>
      <w:r w:rsidRPr="006C37DC">
        <w:rPr>
          <w:rFonts w:ascii="Arial" w:eastAsia="Times New Roman" w:hAnsi="Arial" w:cs="Arial"/>
          <w:bCs/>
          <w:i/>
          <w:color w:val="000000"/>
        </w:rPr>
        <w:t>P. patens</w:t>
      </w:r>
      <w:r w:rsidRPr="006C37DC">
        <w:rPr>
          <w:rFonts w:ascii="Arial" w:eastAsia="Times New Roman" w:hAnsi="Arial" w:cs="Arial"/>
          <w:bCs/>
          <w:color w:val="000000"/>
        </w:rPr>
        <w:t xml:space="preserve">. It would also be interesting to understand how </w:t>
      </w:r>
      <w:r w:rsidRPr="006C37DC">
        <w:rPr>
          <w:rFonts w:ascii="Arial" w:eastAsia="Times New Roman" w:hAnsi="Arial" w:cs="Arial"/>
          <w:bCs/>
          <w:i/>
          <w:color w:val="000000"/>
        </w:rPr>
        <w:t xml:space="preserve">PpEPF1 </w:t>
      </w:r>
      <w:r w:rsidRPr="006C37DC">
        <w:rPr>
          <w:rFonts w:ascii="Arial" w:eastAsia="Times New Roman" w:hAnsi="Arial" w:cs="Arial"/>
          <w:bCs/>
          <w:color w:val="000000"/>
        </w:rPr>
        <w:t>functioning is perturbed in various above mutant combinations.</w:t>
      </w:r>
    </w:p>
    <w:tbl>
      <w:tblPr>
        <w:tblW w:w="0" w:type="auto"/>
        <w:tblLook w:val="04A0" w:firstRow="1" w:lastRow="0" w:firstColumn="1" w:lastColumn="0" w:noHBand="0" w:noVBand="1"/>
      </w:tblPr>
      <w:tblGrid>
        <w:gridCol w:w="1335"/>
        <w:gridCol w:w="2108"/>
        <w:gridCol w:w="1896"/>
        <w:gridCol w:w="1896"/>
        <w:gridCol w:w="1781"/>
      </w:tblGrid>
      <w:tr w:rsidR="006C37DC" w:rsidRPr="006C37DC" w14:paraId="42E75ACC" w14:textId="77777777" w:rsidTr="008653D0">
        <w:trPr>
          <w:trHeight w:val="1064"/>
        </w:trPr>
        <w:tc>
          <w:tcPr>
            <w:tcW w:w="0" w:type="auto"/>
            <w:tcBorders>
              <w:top w:val="single" w:sz="4" w:space="0" w:color="auto"/>
              <w:left w:val="single" w:sz="4" w:space="0" w:color="auto"/>
              <w:bottom w:val="single" w:sz="4" w:space="0" w:color="auto"/>
              <w:right w:val="single" w:sz="4" w:space="0" w:color="auto"/>
            </w:tcBorders>
            <w:shd w:val="clear" w:color="5B9BD5" w:fill="5B9BD5"/>
            <w:noWrap/>
            <w:vAlign w:val="bottom"/>
            <w:hideMark/>
          </w:tcPr>
          <w:p w14:paraId="0667A0F2" w14:textId="77777777"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
                <w:bCs/>
                <w:color w:val="000000"/>
              </w:rPr>
              <w:t>Gene</w:t>
            </w:r>
          </w:p>
        </w:tc>
        <w:tc>
          <w:tcPr>
            <w:tcW w:w="0" w:type="auto"/>
            <w:tcBorders>
              <w:top w:val="single" w:sz="4" w:space="0" w:color="auto"/>
              <w:left w:val="single" w:sz="4" w:space="0" w:color="auto"/>
              <w:bottom w:val="single" w:sz="4" w:space="0" w:color="auto"/>
              <w:right w:val="single" w:sz="4" w:space="0" w:color="auto"/>
            </w:tcBorders>
            <w:shd w:val="clear" w:color="5B9BD5" w:fill="5B9BD5"/>
            <w:noWrap/>
            <w:vAlign w:val="bottom"/>
            <w:hideMark/>
          </w:tcPr>
          <w:p w14:paraId="509622DA" w14:textId="77777777"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
                <w:bCs/>
                <w:color w:val="000000"/>
              </w:rPr>
              <w:t>Alias 1</w:t>
            </w:r>
          </w:p>
        </w:tc>
        <w:tc>
          <w:tcPr>
            <w:tcW w:w="1576"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14:paraId="2AC3F537" w14:textId="77777777"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
                <w:bCs/>
                <w:color w:val="000000"/>
              </w:rPr>
              <w:t>Alias 2</w:t>
            </w:r>
          </w:p>
        </w:tc>
        <w:tc>
          <w:tcPr>
            <w:tcW w:w="1642"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14:paraId="3AA307A9" w14:textId="77777777"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
                <w:bCs/>
                <w:color w:val="000000"/>
              </w:rPr>
              <w:t xml:space="preserve">Gene accesssion1 </w:t>
            </w:r>
          </w:p>
        </w:tc>
        <w:tc>
          <w:tcPr>
            <w:tcW w:w="2097"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14:paraId="1B69BF94" w14:textId="77777777"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
                <w:bCs/>
                <w:color w:val="000000"/>
              </w:rPr>
              <w:t xml:space="preserve">Gene accesssion2 </w:t>
            </w:r>
          </w:p>
        </w:tc>
      </w:tr>
      <w:tr w:rsidR="006C37DC" w:rsidRPr="006C37DC" w14:paraId="2F7700CB"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0930945" w14:textId="77777777"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
                <w:bCs/>
                <w:color w:val="000000"/>
              </w:rPr>
              <w:t>EPFL/L</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3D768A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9D64DD8"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D75316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3F4553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142D54E9"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663A5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03D9309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SfCHALLAH-related1</w:t>
            </w:r>
          </w:p>
        </w:tc>
        <w:tc>
          <w:tcPr>
            <w:tcW w:w="1576" w:type="dxa"/>
            <w:tcBorders>
              <w:top w:val="nil"/>
              <w:left w:val="nil"/>
              <w:bottom w:val="single" w:sz="4" w:space="0" w:color="auto"/>
              <w:right w:val="single" w:sz="4" w:space="0" w:color="auto"/>
            </w:tcBorders>
            <w:shd w:val="clear" w:color="auto" w:fill="auto"/>
            <w:noWrap/>
            <w:vAlign w:val="bottom"/>
            <w:hideMark/>
          </w:tcPr>
          <w:p w14:paraId="3E28E20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4174C91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Sphfalx0023s0106.1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5446C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6C8C7E70"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A1F1CB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69DDA4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SfCHALLAH-related2</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0CA721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1878F9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Sphfalx0185s0023.1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89D107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6F41F73A"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DB822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541CE88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SfCHALLAH-related3</w:t>
            </w:r>
          </w:p>
        </w:tc>
        <w:tc>
          <w:tcPr>
            <w:tcW w:w="1576" w:type="dxa"/>
            <w:tcBorders>
              <w:top w:val="nil"/>
              <w:left w:val="nil"/>
              <w:bottom w:val="single" w:sz="4" w:space="0" w:color="auto"/>
              <w:right w:val="single" w:sz="4" w:space="0" w:color="auto"/>
            </w:tcBorders>
            <w:shd w:val="clear" w:color="auto" w:fill="auto"/>
            <w:noWrap/>
            <w:vAlign w:val="bottom"/>
            <w:hideMark/>
          </w:tcPr>
          <w:p w14:paraId="7412A058"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099E4D7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Sphfalx0112s0041.1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0EFE6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262C83AB"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0B64F0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D037D9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SfCHALLAH-related4</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9F6CC5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C0A43C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Sphfalx0115s0007.1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0D7142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277142BE"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C401C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3E83F94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SfCHALLAH-related5</w:t>
            </w:r>
          </w:p>
        </w:tc>
        <w:tc>
          <w:tcPr>
            <w:tcW w:w="1576" w:type="dxa"/>
            <w:tcBorders>
              <w:top w:val="nil"/>
              <w:left w:val="nil"/>
              <w:bottom w:val="single" w:sz="4" w:space="0" w:color="auto"/>
              <w:right w:val="single" w:sz="4" w:space="0" w:color="auto"/>
            </w:tcBorders>
            <w:shd w:val="clear" w:color="auto" w:fill="auto"/>
            <w:noWrap/>
            <w:vAlign w:val="bottom"/>
            <w:hideMark/>
          </w:tcPr>
          <w:p w14:paraId="67FF843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5080273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Sphfalx0113s0086.1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6E59A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775DED7F" w14:textId="77777777" w:rsidTr="00FA2FE3">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F1A30E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AD35C3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SfCHALLAH-related6</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984C62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5B3884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Sphfalx0016s0150.1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3802D7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1E03CAF4" w14:textId="77777777" w:rsidTr="00FA2FE3">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6D203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lastRenderedPageBreak/>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79BA38"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SfCHALLAH-related7</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E9C0D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97274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Sphfalx0159s0026.1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C9E93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6B273D2B" w14:textId="77777777" w:rsidTr="00FA2FE3">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28DB76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1C2A0B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PpEPF1</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29BAD2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94F490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Pp3c6 27020V3.1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1B1556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Pp1s279 24V6</w:t>
            </w:r>
          </w:p>
        </w:tc>
      </w:tr>
      <w:tr w:rsidR="006C37DC" w:rsidRPr="006C37DC" w14:paraId="14C34A7E"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627D2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6C68159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PpCHALLAH-related1</w:t>
            </w:r>
          </w:p>
        </w:tc>
        <w:tc>
          <w:tcPr>
            <w:tcW w:w="1576" w:type="dxa"/>
            <w:tcBorders>
              <w:top w:val="nil"/>
              <w:left w:val="nil"/>
              <w:bottom w:val="single" w:sz="4" w:space="0" w:color="auto"/>
              <w:right w:val="single" w:sz="4" w:space="0" w:color="auto"/>
            </w:tcBorders>
            <w:shd w:val="clear" w:color="auto" w:fill="auto"/>
            <w:noWrap/>
            <w:vAlign w:val="bottom"/>
            <w:hideMark/>
          </w:tcPr>
          <w:p w14:paraId="7011F6B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7C32737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Pp3c23_5720V3.1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8483D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Pp1s16_10V6</w:t>
            </w:r>
          </w:p>
        </w:tc>
      </w:tr>
      <w:tr w:rsidR="006C37DC" w:rsidRPr="006C37DC" w14:paraId="0C96750B"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30D86C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8F7A92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PpCHALLAH-related2</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0210D7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F0F69D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Pp3c24_9860V3.1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D5B8F5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Pp1s196_93V6</w:t>
            </w:r>
          </w:p>
        </w:tc>
      </w:tr>
      <w:tr w:rsidR="006C37DC" w:rsidRPr="006C37DC" w14:paraId="6F15CD04"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14CD3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50115C8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PpCHALLAH-related3</w:t>
            </w:r>
          </w:p>
        </w:tc>
        <w:tc>
          <w:tcPr>
            <w:tcW w:w="1576" w:type="dxa"/>
            <w:tcBorders>
              <w:top w:val="nil"/>
              <w:left w:val="nil"/>
              <w:bottom w:val="single" w:sz="4" w:space="0" w:color="auto"/>
              <w:right w:val="single" w:sz="4" w:space="0" w:color="auto"/>
            </w:tcBorders>
            <w:shd w:val="clear" w:color="auto" w:fill="auto"/>
            <w:noWrap/>
            <w:vAlign w:val="bottom"/>
            <w:hideMark/>
          </w:tcPr>
          <w:p w14:paraId="4517343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263BAB1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Pp3c23_11350V3.1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1EEA7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Pp1s137_142V6</w:t>
            </w:r>
          </w:p>
        </w:tc>
      </w:tr>
      <w:tr w:rsidR="006C37DC" w:rsidRPr="006C37DC" w14:paraId="5706C3FC"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26700F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49D274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PpCHALLAH-related4</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BF97C7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D2852E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Pp3c17_10490V3.1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F01E6F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Pp1s105_161V6</w:t>
            </w:r>
          </w:p>
        </w:tc>
      </w:tr>
      <w:tr w:rsidR="006C37DC" w:rsidRPr="006C37DC" w14:paraId="7159DFC3"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99791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4FC7E37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PpCHALLAH-related5</w:t>
            </w:r>
          </w:p>
        </w:tc>
        <w:tc>
          <w:tcPr>
            <w:tcW w:w="1576" w:type="dxa"/>
            <w:tcBorders>
              <w:top w:val="nil"/>
              <w:left w:val="nil"/>
              <w:bottom w:val="single" w:sz="4" w:space="0" w:color="auto"/>
              <w:right w:val="single" w:sz="4" w:space="0" w:color="auto"/>
            </w:tcBorders>
            <w:shd w:val="clear" w:color="auto" w:fill="auto"/>
            <w:noWrap/>
            <w:vAlign w:val="bottom"/>
            <w:hideMark/>
          </w:tcPr>
          <w:p w14:paraId="426F14B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3A7A964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Pp3c5_11260V3.1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E528C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Pp1s263_75V6</w:t>
            </w:r>
          </w:p>
        </w:tc>
      </w:tr>
      <w:tr w:rsidR="006C37DC" w:rsidRPr="006C37DC" w14:paraId="34EF656E"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FEA1FA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3CCD4A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PpCHALLAH-related6</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4080BF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3BF431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Pp3c6 12270V3.1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B7EA79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0DF01E14"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12FB2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763B2C3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PpCHALLAH-related7</w:t>
            </w:r>
          </w:p>
        </w:tc>
        <w:tc>
          <w:tcPr>
            <w:tcW w:w="1576" w:type="dxa"/>
            <w:tcBorders>
              <w:top w:val="nil"/>
              <w:left w:val="nil"/>
              <w:bottom w:val="single" w:sz="4" w:space="0" w:color="auto"/>
              <w:right w:val="single" w:sz="4" w:space="0" w:color="auto"/>
            </w:tcBorders>
            <w:shd w:val="clear" w:color="auto" w:fill="auto"/>
            <w:noWrap/>
            <w:vAlign w:val="bottom"/>
            <w:hideMark/>
          </w:tcPr>
          <w:p w14:paraId="571B1FC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469EF65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Pp3c16_1430V3.1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5CB09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Pp1s144_136V6</w:t>
            </w:r>
          </w:p>
        </w:tc>
      </w:tr>
      <w:tr w:rsidR="006C37DC" w:rsidRPr="006C37DC" w14:paraId="556C0566"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FBE8AB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BDCFAE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PpCHALLAH-related8</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791668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016116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Pp3c2_13490V3.1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9A621D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Pp1s30_64V6</w:t>
            </w:r>
          </w:p>
        </w:tc>
      </w:tr>
      <w:tr w:rsidR="006C37DC" w:rsidRPr="006C37DC" w14:paraId="5413FA7B"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17F5E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2E42065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PpCHALLAH-related9</w:t>
            </w:r>
          </w:p>
        </w:tc>
        <w:tc>
          <w:tcPr>
            <w:tcW w:w="1576" w:type="dxa"/>
            <w:tcBorders>
              <w:top w:val="nil"/>
              <w:left w:val="nil"/>
              <w:bottom w:val="single" w:sz="4" w:space="0" w:color="auto"/>
              <w:right w:val="single" w:sz="4" w:space="0" w:color="auto"/>
            </w:tcBorders>
            <w:shd w:val="clear" w:color="auto" w:fill="auto"/>
            <w:noWrap/>
            <w:vAlign w:val="bottom"/>
            <w:hideMark/>
          </w:tcPr>
          <w:p w14:paraId="35FB47B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03FB5C8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Pp3c1 26030V3.1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1A469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Pp1s21_79V6</w:t>
            </w:r>
          </w:p>
        </w:tc>
      </w:tr>
      <w:tr w:rsidR="006C37DC" w:rsidRPr="006C37DC" w14:paraId="4567F5E3" w14:textId="77777777" w:rsidTr="00EC52F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1D7D2DC8" w14:textId="77777777" w:rsidR="006C37DC" w:rsidRPr="006C37DC" w:rsidRDefault="006C37DC" w:rsidP="006C37DC">
            <w:pPr>
              <w:spacing w:after="160" w:line="360" w:lineRule="auto"/>
              <w:rPr>
                <w:rFonts w:ascii="Arial" w:eastAsia="Times New Roman" w:hAnsi="Arial" w:cs="Arial"/>
                <w:bCs/>
                <w:color w:val="000000"/>
              </w:rPr>
            </w:pPr>
          </w:p>
        </w:tc>
        <w:tc>
          <w:tcPr>
            <w:tcW w:w="0" w:type="auto"/>
            <w:tcBorders>
              <w:top w:val="nil"/>
              <w:left w:val="nil"/>
              <w:bottom w:val="single" w:sz="4" w:space="0" w:color="auto"/>
              <w:right w:val="single" w:sz="4" w:space="0" w:color="auto"/>
            </w:tcBorders>
            <w:shd w:val="clear" w:color="auto" w:fill="auto"/>
            <w:noWrap/>
            <w:vAlign w:val="bottom"/>
          </w:tcPr>
          <w:p w14:paraId="6652171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PpCHALLAH-related10</w:t>
            </w:r>
          </w:p>
        </w:tc>
        <w:tc>
          <w:tcPr>
            <w:tcW w:w="1576" w:type="dxa"/>
            <w:tcBorders>
              <w:top w:val="nil"/>
              <w:left w:val="nil"/>
              <w:bottom w:val="single" w:sz="4" w:space="0" w:color="auto"/>
              <w:right w:val="single" w:sz="4" w:space="0" w:color="auto"/>
            </w:tcBorders>
            <w:shd w:val="clear" w:color="auto" w:fill="auto"/>
            <w:noWrap/>
            <w:vAlign w:val="bottom"/>
          </w:tcPr>
          <w:p w14:paraId="764D9BFB" w14:textId="77777777" w:rsidR="006C37DC" w:rsidRPr="006C37DC" w:rsidRDefault="006C37DC" w:rsidP="006C37DC">
            <w:pPr>
              <w:spacing w:after="160" w:line="360" w:lineRule="auto"/>
              <w:rPr>
                <w:rFonts w:ascii="Arial" w:eastAsia="Times New Roman" w:hAnsi="Arial" w:cs="Arial"/>
                <w:bCs/>
                <w:color w:val="000000"/>
              </w:rPr>
            </w:pPr>
          </w:p>
        </w:tc>
        <w:tc>
          <w:tcPr>
            <w:tcW w:w="1642" w:type="dxa"/>
            <w:tcBorders>
              <w:top w:val="nil"/>
              <w:left w:val="nil"/>
              <w:bottom w:val="single" w:sz="4" w:space="0" w:color="auto"/>
              <w:right w:val="single" w:sz="4" w:space="0" w:color="auto"/>
            </w:tcBorders>
            <w:shd w:val="clear" w:color="auto" w:fill="auto"/>
            <w:noWrap/>
            <w:vAlign w:val="bottom"/>
          </w:tcPr>
          <w:p w14:paraId="1A65F45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Pp3c20_17040V3.2</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5B1601" w14:textId="77777777" w:rsidR="006C37DC" w:rsidRPr="006C37DC" w:rsidRDefault="006C37DC" w:rsidP="006C37DC">
            <w:pPr>
              <w:spacing w:after="160" w:line="360" w:lineRule="auto"/>
              <w:rPr>
                <w:rFonts w:ascii="Arial" w:eastAsia="Times New Roman" w:hAnsi="Arial" w:cs="Arial"/>
                <w:bCs/>
                <w:color w:val="000000"/>
              </w:rPr>
            </w:pPr>
          </w:p>
        </w:tc>
      </w:tr>
      <w:tr w:rsidR="006C37DC" w:rsidRPr="006C37DC" w14:paraId="02D313F2" w14:textId="77777777" w:rsidTr="00EC52F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4050D0EB" w14:textId="77777777" w:rsidR="006C37DC" w:rsidRPr="006C37DC" w:rsidRDefault="006C37DC" w:rsidP="006C37DC">
            <w:pPr>
              <w:spacing w:after="160" w:line="360" w:lineRule="auto"/>
              <w:rPr>
                <w:rFonts w:ascii="Arial" w:eastAsia="Times New Roman" w:hAnsi="Arial" w:cs="Arial"/>
                <w:bCs/>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76B9DD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SmEPF1a</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930C1B" w14:textId="77777777" w:rsidR="006C37DC" w:rsidRPr="006C37DC" w:rsidRDefault="006C37DC" w:rsidP="006C37DC">
            <w:pPr>
              <w:spacing w:after="160" w:line="360" w:lineRule="auto"/>
              <w:rPr>
                <w:rFonts w:ascii="Arial" w:eastAsia="Times New Roman" w:hAnsi="Arial" w:cs="Arial"/>
                <w:bCs/>
                <w:color w:val="000000"/>
              </w:rPr>
            </w:pPr>
          </w:p>
        </w:tc>
        <w:tc>
          <w:tcPr>
            <w:tcW w:w="164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44614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Sequence manually obtained via Takata et al. 2013</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54587B" w14:textId="77777777" w:rsidR="006C37DC" w:rsidRPr="006C37DC" w:rsidRDefault="006C37DC" w:rsidP="006C37DC">
            <w:pPr>
              <w:spacing w:after="160" w:line="360" w:lineRule="auto"/>
              <w:rPr>
                <w:rFonts w:ascii="Arial" w:eastAsia="Times New Roman" w:hAnsi="Arial" w:cs="Arial"/>
                <w:bCs/>
                <w:color w:val="000000"/>
              </w:rPr>
            </w:pPr>
          </w:p>
        </w:tc>
      </w:tr>
      <w:tr w:rsidR="006C37DC" w:rsidRPr="006C37DC" w14:paraId="08B44DB9" w14:textId="77777777" w:rsidTr="00EC52F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76B0EA4D" w14:textId="77777777" w:rsidR="006C37DC" w:rsidRPr="006C37DC" w:rsidRDefault="006C37DC" w:rsidP="006C37DC">
            <w:pPr>
              <w:spacing w:after="160" w:line="360" w:lineRule="auto"/>
              <w:rPr>
                <w:rFonts w:ascii="Arial" w:eastAsia="Times New Roman" w:hAnsi="Arial" w:cs="Arial"/>
                <w:bCs/>
                <w:color w:val="000000"/>
              </w:rPr>
            </w:pPr>
          </w:p>
        </w:tc>
        <w:tc>
          <w:tcPr>
            <w:tcW w:w="0" w:type="auto"/>
            <w:tcBorders>
              <w:top w:val="single" w:sz="4" w:space="0" w:color="auto"/>
              <w:left w:val="nil"/>
              <w:bottom w:val="single" w:sz="4" w:space="0" w:color="auto"/>
              <w:right w:val="single" w:sz="4" w:space="0" w:color="auto"/>
            </w:tcBorders>
            <w:shd w:val="clear" w:color="auto" w:fill="auto"/>
            <w:noWrap/>
            <w:vAlign w:val="bottom"/>
          </w:tcPr>
          <w:p w14:paraId="7C197F7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SmEPF1b</w:t>
            </w:r>
          </w:p>
        </w:tc>
        <w:tc>
          <w:tcPr>
            <w:tcW w:w="1576" w:type="dxa"/>
            <w:tcBorders>
              <w:top w:val="single" w:sz="4" w:space="0" w:color="auto"/>
              <w:left w:val="nil"/>
              <w:bottom w:val="single" w:sz="4" w:space="0" w:color="auto"/>
              <w:right w:val="single" w:sz="4" w:space="0" w:color="auto"/>
            </w:tcBorders>
            <w:shd w:val="clear" w:color="auto" w:fill="auto"/>
            <w:noWrap/>
            <w:vAlign w:val="bottom"/>
          </w:tcPr>
          <w:p w14:paraId="793AD901" w14:textId="77777777" w:rsidR="006C37DC" w:rsidRPr="006C37DC" w:rsidRDefault="006C37DC" w:rsidP="006C37DC">
            <w:pPr>
              <w:spacing w:after="160" w:line="360" w:lineRule="auto"/>
              <w:rPr>
                <w:rFonts w:ascii="Arial" w:eastAsia="Times New Roman" w:hAnsi="Arial" w:cs="Arial"/>
                <w:bCs/>
                <w:color w:val="000000"/>
              </w:rPr>
            </w:pPr>
          </w:p>
        </w:tc>
        <w:tc>
          <w:tcPr>
            <w:tcW w:w="1642" w:type="dxa"/>
            <w:tcBorders>
              <w:top w:val="single" w:sz="4" w:space="0" w:color="auto"/>
              <w:left w:val="nil"/>
              <w:bottom w:val="single" w:sz="4" w:space="0" w:color="auto"/>
              <w:right w:val="single" w:sz="4" w:space="0" w:color="auto"/>
            </w:tcBorders>
            <w:shd w:val="clear" w:color="auto" w:fill="auto"/>
            <w:noWrap/>
            <w:vAlign w:val="bottom"/>
          </w:tcPr>
          <w:p w14:paraId="61A3FC2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Sequence manually obtained via Takata et al. 2013</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0DBA63" w14:textId="77777777" w:rsidR="006C37DC" w:rsidRPr="006C37DC" w:rsidRDefault="006C37DC" w:rsidP="006C37DC">
            <w:pPr>
              <w:spacing w:after="160" w:line="360" w:lineRule="auto"/>
              <w:rPr>
                <w:rFonts w:ascii="Arial" w:eastAsia="Times New Roman" w:hAnsi="Arial" w:cs="Arial"/>
                <w:bCs/>
                <w:color w:val="000000"/>
              </w:rPr>
            </w:pPr>
          </w:p>
        </w:tc>
      </w:tr>
      <w:tr w:rsidR="006C37DC" w:rsidRPr="006C37DC" w14:paraId="559AB3BC"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816591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C64D1F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SmEPFL1a</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2D818A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7364DF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415333</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959659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6A34F528"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EE0C6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095E0AA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SmEPFL1b</w:t>
            </w:r>
          </w:p>
        </w:tc>
        <w:tc>
          <w:tcPr>
            <w:tcW w:w="1576" w:type="dxa"/>
            <w:tcBorders>
              <w:top w:val="nil"/>
              <w:left w:val="nil"/>
              <w:bottom w:val="single" w:sz="4" w:space="0" w:color="auto"/>
              <w:right w:val="single" w:sz="4" w:space="0" w:color="auto"/>
            </w:tcBorders>
            <w:shd w:val="clear" w:color="auto" w:fill="auto"/>
            <w:noWrap/>
            <w:vAlign w:val="bottom"/>
            <w:hideMark/>
          </w:tcPr>
          <w:p w14:paraId="77CC917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7DF4B34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118913</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8DB3B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02EC8F3E"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CADF2C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847575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SmEPFL1c</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3EE946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2BFE73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76553</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7153058"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12873ACB"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3FE6F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568C300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SmEPFL1d</w:t>
            </w:r>
          </w:p>
        </w:tc>
        <w:tc>
          <w:tcPr>
            <w:tcW w:w="1576" w:type="dxa"/>
            <w:tcBorders>
              <w:top w:val="nil"/>
              <w:left w:val="nil"/>
              <w:bottom w:val="single" w:sz="4" w:space="0" w:color="auto"/>
              <w:right w:val="single" w:sz="4" w:space="0" w:color="auto"/>
            </w:tcBorders>
            <w:shd w:val="clear" w:color="auto" w:fill="auto"/>
            <w:noWrap/>
            <w:vAlign w:val="bottom"/>
            <w:hideMark/>
          </w:tcPr>
          <w:p w14:paraId="5B1A6F8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20356DB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86865</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BF50B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272AADA9"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8E742D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AFBAAF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SmEPFL1e</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3DB7BE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62E595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74905</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B27210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57A19DC6"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4F52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754D9AF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SmCHALLAHa</w:t>
            </w:r>
          </w:p>
        </w:tc>
        <w:tc>
          <w:tcPr>
            <w:tcW w:w="1576" w:type="dxa"/>
            <w:tcBorders>
              <w:top w:val="nil"/>
              <w:left w:val="nil"/>
              <w:bottom w:val="single" w:sz="4" w:space="0" w:color="auto"/>
              <w:right w:val="single" w:sz="4" w:space="0" w:color="auto"/>
            </w:tcBorders>
            <w:shd w:val="clear" w:color="auto" w:fill="auto"/>
            <w:noWrap/>
            <w:vAlign w:val="bottom"/>
            <w:hideMark/>
          </w:tcPr>
          <w:p w14:paraId="3D3E6EE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1F31CC9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118663</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83996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65E337AF"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E2E911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B81093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SmCHALLAHb</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04BE93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B3F839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414483</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EA89ED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1D91E9E1"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DC25A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109CE218"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SmSTOMAGEN</w:t>
            </w:r>
          </w:p>
        </w:tc>
        <w:tc>
          <w:tcPr>
            <w:tcW w:w="1576" w:type="dxa"/>
            <w:tcBorders>
              <w:top w:val="nil"/>
              <w:left w:val="nil"/>
              <w:bottom w:val="single" w:sz="4" w:space="0" w:color="auto"/>
              <w:right w:val="single" w:sz="4" w:space="0" w:color="auto"/>
            </w:tcBorders>
            <w:shd w:val="clear" w:color="auto" w:fill="auto"/>
            <w:noWrap/>
            <w:vAlign w:val="bottom"/>
            <w:hideMark/>
          </w:tcPr>
          <w:p w14:paraId="6D9A5A3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5583728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84711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CD85C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7606754D"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1C6144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70418A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OsEPF1</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333392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F2486A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LOC_Os04g38470.1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74D92D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640175D8"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CF044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50E41AF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OsEPF2</w:t>
            </w:r>
          </w:p>
        </w:tc>
        <w:tc>
          <w:tcPr>
            <w:tcW w:w="1576" w:type="dxa"/>
            <w:tcBorders>
              <w:top w:val="nil"/>
              <w:left w:val="nil"/>
              <w:bottom w:val="single" w:sz="4" w:space="0" w:color="auto"/>
              <w:right w:val="single" w:sz="4" w:space="0" w:color="auto"/>
            </w:tcBorders>
            <w:shd w:val="clear" w:color="auto" w:fill="auto"/>
            <w:noWrap/>
            <w:vAlign w:val="bottom"/>
            <w:hideMark/>
          </w:tcPr>
          <w:p w14:paraId="59EC5E3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5BE7129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LOC_Os04g54490.1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C0DD9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5941E425"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712BBB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4B7D93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OsEPFL1</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C159B6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3F798A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LOC_Os02g51950.1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CA74D0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4BFBB2EC"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DA55E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061E5F6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OsEPFL2a</w:t>
            </w:r>
          </w:p>
        </w:tc>
        <w:tc>
          <w:tcPr>
            <w:tcW w:w="1576" w:type="dxa"/>
            <w:tcBorders>
              <w:top w:val="nil"/>
              <w:left w:val="nil"/>
              <w:bottom w:val="single" w:sz="4" w:space="0" w:color="auto"/>
              <w:right w:val="single" w:sz="4" w:space="0" w:color="auto"/>
            </w:tcBorders>
            <w:shd w:val="clear" w:color="auto" w:fill="auto"/>
            <w:noWrap/>
            <w:vAlign w:val="bottom"/>
            <w:hideMark/>
          </w:tcPr>
          <w:p w14:paraId="563FB0A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6468477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LOC_Os07g04020.1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A697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1DA633D9" w14:textId="77777777" w:rsidTr="00EC52FA">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20BDB48"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BE820E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OsEPFL2b</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344717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3C22A8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LOC_Os03g46930.1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AE5D19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48B65DBE" w14:textId="77777777" w:rsidTr="00EC52F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1FC2D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82254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OsEPFL2c</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DD85C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6169A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LOC_Os03g51660.1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1FD18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73515795" w14:textId="77777777" w:rsidTr="00EC52FA">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7372E4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AF7DF2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OsCHALLAH-Like1</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238577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68180C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LOC_Os03g06610.1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136EDE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30F9ECB6"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99F6D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379ED4B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OsCHALLAH-Like2</w:t>
            </w:r>
          </w:p>
        </w:tc>
        <w:tc>
          <w:tcPr>
            <w:tcW w:w="1576" w:type="dxa"/>
            <w:tcBorders>
              <w:top w:val="nil"/>
              <w:left w:val="nil"/>
              <w:bottom w:val="single" w:sz="4" w:space="0" w:color="auto"/>
              <w:right w:val="single" w:sz="4" w:space="0" w:color="auto"/>
            </w:tcBorders>
            <w:shd w:val="clear" w:color="auto" w:fill="auto"/>
            <w:noWrap/>
            <w:vAlign w:val="bottom"/>
            <w:hideMark/>
          </w:tcPr>
          <w:p w14:paraId="6352748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6D4E0E6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LOC_Os11g37190.1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8C573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23F54077"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EFAC9E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lastRenderedPageBreak/>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62056D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OsCHALLAHa</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1B071A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9054E7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LOC_Os01g60900.1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B9FFE8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284D6193"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B6D58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0B2A235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OsCHALLAHb</w:t>
            </w:r>
          </w:p>
        </w:tc>
        <w:tc>
          <w:tcPr>
            <w:tcW w:w="1576" w:type="dxa"/>
            <w:tcBorders>
              <w:top w:val="nil"/>
              <w:left w:val="nil"/>
              <w:bottom w:val="single" w:sz="4" w:space="0" w:color="auto"/>
              <w:right w:val="single" w:sz="4" w:space="0" w:color="auto"/>
            </w:tcBorders>
            <w:shd w:val="clear" w:color="auto" w:fill="auto"/>
            <w:noWrap/>
            <w:vAlign w:val="bottom"/>
            <w:hideMark/>
          </w:tcPr>
          <w:p w14:paraId="6A997F4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1DB521D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LOC_Os05g39880.1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DED99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0C1A05C4"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BA50C5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5D7011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OsSTOMAGENa</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45235A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0E2625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LOC_Os01g68598.1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7E3E02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15F4417D"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5BF76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2C2E59D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OsSTOMAGENb</w:t>
            </w:r>
          </w:p>
        </w:tc>
        <w:tc>
          <w:tcPr>
            <w:tcW w:w="1576" w:type="dxa"/>
            <w:tcBorders>
              <w:top w:val="nil"/>
              <w:left w:val="nil"/>
              <w:bottom w:val="single" w:sz="4" w:space="0" w:color="auto"/>
              <w:right w:val="single" w:sz="4" w:space="0" w:color="auto"/>
            </w:tcBorders>
            <w:shd w:val="clear" w:color="auto" w:fill="auto"/>
            <w:noWrap/>
            <w:vAlign w:val="bottom"/>
            <w:hideMark/>
          </w:tcPr>
          <w:p w14:paraId="093A8FB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26A9035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LOC_Os08g41360.1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F173C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1C0CEFE4" w14:textId="77777777" w:rsidTr="00476449">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6810CD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FD7337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OsEPFL3</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DDDD9A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2F4E1A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LOC_Os08g37890.1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78247E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3680025D" w14:textId="77777777" w:rsidTr="00476449">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BAD2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0FB61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EgEPF1a</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CA992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6166F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Eucgr.K00958.1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B82C1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7B74050B" w14:textId="77777777" w:rsidTr="00476449">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7E7705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4CEA40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EgEPF1b</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677B798"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9CB499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Eucgr.F03339.1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6D3EE9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16FD5B3C"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F2651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6A1C109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EgEPFL1</w:t>
            </w:r>
          </w:p>
        </w:tc>
        <w:tc>
          <w:tcPr>
            <w:tcW w:w="1576" w:type="dxa"/>
            <w:tcBorders>
              <w:top w:val="nil"/>
              <w:left w:val="nil"/>
              <w:bottom w:val="single" w:sz="4" w:space="0" w:color="auto"/>
              <w:right w:val="single" w:sz="4" w:space="0" w:color="auto"/>
            </w:tcBorders>
            <w:shd w:val="clear" w:color="auto" w:fill="auto"/>
            <w:noWrap/>
            <w:vAlign w:val="bottom"/>
            <w:hideMark/>
          </w:tcPr>
          <w:p w14:paraId="51B4913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1735006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Eucgr.H04752.1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5DDD3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6721A0F2"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0A1B9C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75FFA5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EgEPFL2a</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814355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A4F6B5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Eucgr.I00658.1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3D540B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517C0CDD"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2861A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7836C8D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EgEPFL2c</w:t>
            </w:r>
          </w:p>
        </w:tc>
        <w:tc>
          <w:tcPr>
            <w:tcW w:w="1576" w:type="dxa"/>
            <w:tcBorders>
              <w:top w:val="nil"/>
              <w:left w:val="nil"/>
              <w:bottom w:val="single" w:sz="4" w:space="0" w:color="auto"/>
              <w:right w:val="single" w:sz="4" w:space="0" w:color="auto"/>
            </w:tcBorders>
            <w:shd w:val="clear" w:color="auto" w:fill="auto"/>
            <w:noWrap/>
            <w:vAlign w:val="bottom"/>
            <w:hideMark/>
          </w:tcPr>
          <w:p w14:paraId="68C3A80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3512497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Eucgr.F00110.1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9A5A0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66CCCA29"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F066A1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4205B6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EgEPFL2b</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85F6BF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FBDABA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Eucgr.C00867.1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A6E5C0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5C5D1B03"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74766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63EE989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EgCHALLAH-Like1</w:t>
            </w:r>
          </w:p>
        </w:tc>
        <w:tc>
          <w:tcPr>
            <w:tcW w:w="1576" w:type="dxa"/>
            <w:tcBorders>
              <w:top w:val="nil"/>
              <w:left w:val="nil"/>
              <w:bottom w:val="single" w:sz="4" w:space="0" w:color="auto"/>
              <w:right w:val="single" w:sz="4" w:space="0" w:color="auto"/>
            </w:tcBorders>
            <w:shd w:val="clear" w:color="auto" w:fill="auto"/>
            <w:noWrap/>
            <w:vAlign w:val="bottom"/>
            <w:hideMark/>
          </w:tcPr>
          <w:p w14:paraId="5360D6E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452089D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Eucgr.H03415.1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560DD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4E945F6B"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AE2273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108579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EgCHALLAH</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815A64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199E5B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Eucgr.B04022.1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80F509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7F2C73C5"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1D5CA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5A79686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EgEPFL8a</w:t>
            </w:r>
          </w:p>
        </w:tc>
        <w:tc>
          <w:tcPr>
            <w:tcW w:w="1576" w:type="dxa"/>
            <w:tcBorders>
              <w:top w:val="nil"/>
              <w:left w:val="nil"/>
              <w:bottom w:val="single" w:sz="4" w:space="0" w:color="auto"/>
              <w:right w:val="single" w:sz="4" w:space="0" w:color="auto"/>
            </w:tcBorders>
            <w:shd w:val="clear" w:color="auto" w:fill="auto"/>
            <w:noWrap/>
            <w:vAlign w:val="bottom"/>
            <w:hideMark/>
          </w:tcPr>
          <w:p w14:paraId="7EA75EE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75EFDCA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Eucgr.C01743.1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F15A9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553C44F4" w14:textId="77777777" w:rsidTr="006C37DC">
        <w:trPr>
          <w:trHeight w:val="300"/>
        </w:trPr>
        <w:tc>
          <w:tcPr>
            <w:tcW w:w="0" w:type="auto"/>
            <w:tcBorders>
              <w:top w:val="single" w:sz="4" w:space="0" w:color="auto"/>
              <w:left w:val="single" w:sz="4" w:space="0" w:color="auto"/>
              <w:right w:val="single" w:sz="4" w:space="0" w:color="auto"/>
            </w:tcBorders>
            <w:shd w:val="clear" w:color="DDEBF7" w:fill="DDEBF7"/>
            <w:noWrap/>
            <w:vAlign w:val="bottom"/>
            <w:hideMark/>
          </w:tcPr>
          <w:p w14:paraId="6762398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right w:val="single" w:sz="4" w:space="0" w:color="auto"/>
            </w:tcBorders>
            <w:shd w:val="clear" w:color="DDEBF7" w:fill="DDEBF7"/>
            <w:noWrap/>
            <w:vAlign w:val="bottom"/>
            <w:hideMark/>
          </w:tcPr>
          <w:p w14:paraId="3E4534A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EgEPFL8b</w:t>
            </w:r>
          </w:p>
        </w:tc>
        <w:tc>
          <w:tcPr>
            <w:tcW w:w="1576" w:type="dxa"/>
            <w:tcBorders>
              <w:top w:val="single" w:sz="4" w:space="0" w:color="auto"/>
              <w:left w:val="single" w:sz="4" w:space="0" w:color="auto"/>
              <w:right w:val="single" w:sz="4" w:space="0" w:color="auto"/>
            </w:tcBorders>
            <w:shd w:val="clear" w:color="DDEBF7" w:fill="DDEBF7"/>
            <w:noWrap/>
            <w:vAlign w:val="bottom"/>
            <w:hideMark/>
          </w:tcPr>
          <w:p w14:paraId="0000B66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right w:val="single" w:sz="4" w:space="0" w:color="auto"/>
            </w:tcBorders>
            <w:shd w:val="clear" w:color="DDEBF7" w:fill="DDEBF7"/>
            <w:noWrap/>
            <w:vAlign w:val="bottom"/>
            <w:hideMark/>
          </w:tcPr>
          <w:p w14:paraId="3661F31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Eucgr.F03867.1</w:t>
            </w:r>
          </w:p>
        </w:tc>
        <w:tc>
          <w:tcPr>
            <w:tcW w:w="2097" w:type="dxa"/>
            <w:tcBorders>
              <w:top w:val="single" w:sz="4" w:space="0" w:color="auto"/>
              <w:left w:val="single" w:sz="4" w:space="0" w:color="auto"/>
              <w:right w:val="single" w:sz="4" w:space="0" w:color="auto"/>
            </w:tcBorders>
            <w:shd w:val="clear" w:color="DDEBF7" w:fill="DDEBF7"/>
            <w:noWrap/>
            <w:vAlign w:val="bottom"/>
            <w:hideMark/>
          </w:tcPr>
          <w:p w14:paraId="66B8A91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01750698"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2E1DC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83A478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EgEPFL8c</w:t>
            </w:r>
          </w:p>
        </w:tc>
        <w:tc>
          <w:tcPr>
            <w:tcW w:w="1576" w:type="dxa"/>
            <w:tcBorders>
              <w:top w:val="single" w:sz="4" w:space="0" w:color="auto"/>
              <w:left w:val="nil"/>
              <w:bottom w:val="single" w:sz="4" w:space="0" w:color="auto"/>
              <w:right w:val="single" w:sz="4" w:space="0" w:color="auto"/>
            </w:tcBorders>
            <w:shd w:val="clear" w:color="auto" w:fill="auto"/>
            <w:noWrap/>
            <w:vAlign w:val="bottom"/>
            <w:hideMark/>
          </w:tcPr>
          <w:p w14:paraId="6ED6916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nil"/>
              <w:bottom w:val="single" w:sz="4" w:space="0" w:color="auto"/>
              <w:right w:val="single" w:sz="4" w:space="0" w:color="auto"/>
            </w:tcBorders>
            <w:shd w:val="clear" w:color="auto" w:fill="auto"/>
            <w:noWrap/>
            <w:vAlign w:val="bottom"/>
            <w:hideMark/>
          </w:tcPr>
          <w:p w14:paraId="38961A2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Eucgr.L02713.1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771BD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230FF285"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18A9AE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D659E2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EgSTOMAGEN</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E705A3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74316F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Eucgr.K02098.1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3D4500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31247F91"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D78C18"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29263BE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AtEPF1</w:t>
            </w:r>
          </w:p>
        </w:tc>
        <w:tc>
          <w:tcPr>
            <w:tcW w:w="1576" w:type="dxa"/>
            <w:tcBorders>
              <w:top w:val="nil"/>
              <w:left w:val="nil"/>
              <w:bottom w:val="single" w:sz="4" w:space="0" w:color="auto"/>
              <w:right w:val="single" w:sz="4" w:space="0" w:color="auto"/>
            </w:tcBorders>
            <w:shd w:val="clear" w:color="auto" w:fill="auto"/>
            <w:noWrap/>
            <w:vAlign w:val="bottom"/>
            <w:hideMark/>
          </w:tcPr>
          <w:p w14:paraId="3AD4D5D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121BCF6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AT2G20875.1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F79E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56E1ADF5"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03E9FB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D80FDC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AtEPF2</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8938E4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FC650B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AT1G34245.1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612B61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7B3F6289"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B830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423E29B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AtEPFL1</w:t>
            </w:r>
          </w:p>
        </w:tc>
        <w:tc>
          <w:tcPr>
            <w:tcW w:w="1576" w:type="dxa"/>
            <w:tcBorders>
              <w:top w:val="nil"/>
              <w:left w:val="nil"/>
              <w:bottom w:val="single" w:sz="4" w:space="0" w:color="auto"/>
              <w:right w:val="single" w:sz="4" w:space="0" w:color="auto"/>
            </w:tcBorders>
            <w:shd w:val="clear" w:color="auto" w:fill="auto"/>
            <w:noWrap/>
            <w:vAlign w:val="bottom"/>
            <w:hideMark/>
          </w:tcPr>
          <w:p w14:paraId="65D21AB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485850F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AT5G10310.1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264C0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65DABF5A" w14:textId="77777777" w:rsidTr="00FA2FE3">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9B4126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C323A1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AtEPFL2</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DEBE4F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DBCAD2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AT4G37810.1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A4C8D6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139F3156" w14:textId="77777777" w:rsidTr="00FA2FE3">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EBCC6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lastRenderedPageBreak/>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0DEDD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AtEPFL3</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6A9AE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C4D65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AT3G13898.1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60E78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202DEB21" w14:textId="77777777" w:rsidTr="00FA2FE3">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D347D6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1BC4F28"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AtCHALLAH-Like2</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03590D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AtEPFL4</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20263B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AT4G14723.1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0B94F8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7315C5B0"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A2241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134F245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AtCHALLAH-Like1</w:t>
            </w:r>
          </w:p>
        </w:tc>
        <w:tc>
          <w:tcPr>
            <w:tcW w:w="1576" w:type="dxa"/>
            <w:tcBorders>
              <w:top w:val="nil"/>
              <w:left w:val="nil"/>
              <w:bottom w:val="single" w:sz="4" w:space="0" w:color="auto"/>
              <w:right w:val="single" w:sz="4" w:space="0" w:color="auto"/>
            </w:tcBorders>
            <w:shd w:val="clear" w:color="auto" w:fill="auto"/>
            <w:noWrap/>
            <w:vAlign w:val="bottom"/>
            <w:hideMark/>
          </w:tcPr>
          <w:p w14:paraId="5E31772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AtEPFL5</w:t>
            </w:r>
          </w:p>
        </w:tc>
        <w:tc>
          <w:tcPr>
            <w:tcW w:w="1642" w:type="dxa"/>
            <w:tcBorders>
              <w:top w:val="nil"/>
              <w:left w:val="nil"/>
              <w:bottom w:val="single" w:sz="4" w:space="0" w:color="auto"/>
              <w:right w:val="single" w:sz="4" w:space="0" w:color="auto"/>
            </w:tcBorders>
            <w:shd w:val="clear" w:color="auto" w:fill="auto"/>
            <w:noWrap/>
            <w:vAlign w:val="bottom"/>
            <w:hideMark/>
          </w:tcPr>
          <w:p w14:paraId="2AB57F7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AT3G22820.1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E8DA9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298F40CF"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54DE90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8F251C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AtCHALLAH</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338A9D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AtEPFL6</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FD7A54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AT2G30370.1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EED1D7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4DA0747F"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B606F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1D36DDD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AtEPFL7</w:t>
            </w:r>
          </w:p>
        </w:tc>
        <w:tc>
          <w:tcPr>
            <w:tcW w:w="1576" w:type="dxa"/>
            <w:tcBorders>
              <w:top w:val="nil"/>
              <w:left w:val="nil"/>
              <w:bottom w:val="single" w:sz="4" w:space="0" w:color="auto"/>
              <w:right w:val="single" w:sz="4" w:space="0" w:color="auto"/>
            </w:tcBorders>
            <w:shd w:val="clear" w:color="auto" w:fill="auto"/>
            <w:noWrap/>
            <w:vAlign w:val="bottom"/>
            <w:hideMark/>
          </w:tcPr>
          <w:p w14:paraId="5CE886E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5F8BF59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AT1G71866.1 </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59084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32270381"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FA2160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8333DD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AtEPFL8</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0D754C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FDBB4D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At1g80133.1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AB6CEC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5817D888"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BE3E96" w14:textId="77777777"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2673C85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AtSTOMAGEN</w:t>
            </w:r>
          </w:p>
        </w:tc>
        <w:tc>
          <w:tcPr>
            <w:tcW w:w="1576" w:type="dxa"/>
            <w:tcBorders>
              <w:top w:val="nil"/>
              <w:left w:val="nil"/>
              <w:bottom w:val="single" w:sz="4" w:space="0" w:color="auto"/>
              <w:right w:val="single" w:sz="4" w:space="0" w:color="auto"/>
            </w:tcBorders>
            <w:shd w:val="clear" w:color="auto" w:fill="auto"/>
            <w:noWrap/>
            <w:vAlign w:val="bottom"/>
            <w:hideMark/>
          </w:tcPr>
          <w:p w14:paraId="42D9DF9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AtEPFL9</w:t>
            </w:r>
          </w:p>
        </w:tc>
        <w:tc>
          <w:tcPr>
            <w:tcW w:w="1642" w:type="dxa"/>
            <w:tcBorders>
              <w:top w:val="nil"/>
              <w:left w:val="nil"/>
              <w:bottom w:val="single" w:sz="4" w:space="0" w:color="auto"/>
              <w:right w:val="single" w:sz="4" w:space="0" w:color="auto"/>
            </w:tcBorders>
            <w:shd w:val="clear" w:color="auto" w:fill="auto"/>
            <w:noWrap/>
            <w:vAlign w:val="bottom"/>
            <w:hideMark/>
          </w:tcPr>
          <w:p w14:paraId="3B6374D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AT4G12970.1 </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86B698"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08215823"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5DAC83A" w14:textId="77777777"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
                <w:bCs/>
                <w:color w:val="000000"/>
              </w:rPr>
              <w:t>Erf members</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5402559" w14:textId="77777777"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
                <w:bCs/>
                <w:color w:val="000000"/>
              </w:rPr>
              <w:t> </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8E59DB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BE0AC9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54A8D7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14C665BA"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3EE4A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41D6750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SfERECTA1</w:t>
            </w:r>
          </w:p>
        </w:tc>
        <w:tc>
          <w:tcPr>
            <w:tcW w:w="1576" w:type="dxa"/>
            <w:tcBorders>
              <w:top w:val="nil"/>
              <w:left w:val="nil"/>
              <w:bottom w:val="single" w:sz="4" w:space="0" w:color="auto"/>
              <w:right w:val="single" w:sz="4" w:space="0" w:color="auto"/>
            </w:tcBorders>
            <w:shd w:val="clear" w:color="auto" w:fill="auto"/>
            <w:noWrap/>
            <w:vAlign w:val="bottom"/>
            <w:hideMark/>
          </w:tcPr>
          <w:p w14:paraId="5B54FE7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Sphfalx0029s0162.1</w:t>
            </w:r>
          </w:p>
        </w:tc>
        <w:tc>
          <w:tcPr>
            <w:tcW w:w="1642" w:type="dxa"/>
            <w:tcBorders>
              <w:top w:val="nil"/>
              <w:left w:val="nil"/>
              <w:bottom w:val="single" w:sz="4" w:space="0" w:color="auto"/>
              <w:right w:val="single" w:sz="4" w:space="0" w:color="auto"/>
            </w:tcBorders>
            <w:shd w:val="clear" w:color="auto" w:fill="auto"/>
            <w:noWrap/>
            <w:vAlign w:val="bottom"/>
            <w:hideMark/>
          </w:tcPr>
          <w:p w14:paraId="66B1FE8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Sphfalx0029s0162.1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7F6EB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4ABED20A"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A3959D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538CC6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PpERECTA1 </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F06347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PpErl2b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C181AD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Pp3c2_22410V3.1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3CA80D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Pp1s125_96V6</w:t>
            </w:r>
          </w:p>
        </w:tc>
      </w:tr>
      <w:tr w:rsidR="006C37DC" w:rsidRPr="006C37DC" w14:paraId="13EB7CDF"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8C9A1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4E00DAC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PpERECTA2 </w:t>
            </w:r>
          </w:p>
        </w:tc>
        <w:tc>
          <w:tcPr>
            <w:tcW w:w="1576" w:type="dxa"/>
            <w:tcBorders>
              <w:top w:val="nil"/>
              <w:left w:val="nil"/>
              <w:bottom w:val="single" w:sz="4" w:space="0" w:color="auto"/>
              <w:right w:val="single" w:sz="4" w:space="0" w:color="auto"/>
            </w:tcBorders>
            <w:shd w:val="clear" w:color="auto" w:fill="auto"/>
            <w:noWrap/>
            <w:vAlign w:val="bottom"/>
            <w:hideMark/>
          </w:tcPr>
          <w:p w14:paraId="11D6878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PpERL2a</w:t>
            </w:r>
          </w:p>
        </w:tc>
        <w:tc>
          <w:tcPr>
            <w:tcW w:w="1642" w:type="dxa"/>
            <w:tcBorders>
              <w:top w:val="nil"/>
              <w:left w:val="nil"/>
              <w:bottom w:val="single" w:sz="4" w:space="0" w:color="auto"/>
              <w:right w:val="single" w:sz="4" w:space="0" w:color="auto"/>
            </w:tcBorders>
            <w:shd w:val="clear" w:color="auto" w:fill="auto"/>
            <w:noWrap/>
            <w:vAlign w:val="bottom"/>
            <w:hideMark/>
          </w:tcPr>
          <w:p w14:paraId="6E1ACB9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Pp3c1_17360V3.1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024A5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Pp1s63_16V6</w:t>
            </w:r>
          </w:p>
        </w:tc>
      </w:tr>
      <w:tr w:rsidR="006C37DC" w:rsidRPr="006C37DC" w14:paraId="40D46A7D"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C223B7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85151B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PpERECTA3</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2B9173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PpErl1a</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1BBD61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Pp3c21_9500V3.1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E10428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Pp1s353_18V6</w:t>
            </w:r>
          </w:p>
        </w:tc>
      </w:tr>
      <w:tr w:rsidR="006C37DC" w:rsidRPr="006C37DC" w14:paraId="74D91D5E"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06218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7640923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PpERECTA4 </w:t>
            </w:r>
          </w:p>
        </w:tc>
        <w:tc>
          <w:tcPr>
            <w:tcW w:w="1576" w:type="dxa"/>
            <w:tcBorders>
              <w:top w:val="nil"/>
              <w:left w:val="nil"/>
              <w:bottom w:val="single" w:sz="4" w:space="0" w:color="auto"/>
              <w:right w:val="single" w:sz="4" w:space="0" w:color="auto"/>
            </w:tcBorders>
            <w:shd w:val="clear" w:color="auto" w:fill="auto"/>
            <w:noWrap/>
            <w:vAlign w:val="bottom"/>
            <w:hideMark/>
          </w:tcPr>
          <w:p w14:paraId="2635B92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PpErl1b</w:t>
            </w:r>
          </w:p>
        </w:tc>
        <w:tc>
          <w:tcPr>
            <w:tcW w:w="1642" w:type="dxa"/>
            <w:tcBorders>
              <w:top w:val="nil"/>
              <w:left w:val="nil"/>
              <w:bottom w:val="single" w:sz="4" w:space="0" w:color="auto"/>
              <w:right w:val="single" w:sz="4" w:space="0" w:color="auto"/>
            </w:tcBorders>
            <w:shd w:val="clear" w:color="auto" w:fill="auto"/>
            <w:noWrap/>
            <w:vAlign w:val="bottom"/>
            <w:hideMark/>
          </w:tcPr>
          <w:p w14:paraId="760C9BC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Pp3c18_10870V3.1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C10B3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Pp1s19_291V6</w:t>
            </w:r>
          </w:p>
        </w:tc>
      </w:tr>
      <w:tr w:rsidR="006C37DC" w:rsidRPr="006C37DC" w14:paraId="13D9AEB6"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84882C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0CEE2C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PpERECTA5 </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BDF43F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PpEr1c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F3E1EE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Pp3c22_10630V3.1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D33B5F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xml:space="preserve">Pp1s121_69V6 </w:t>
            </w:r>
          </w:p>
        </w:tc>
      </w:tr>
      <w:tr w:rsidR="006C37DC" w:rsidRPr="006C37DC" w14:paraId="0D11557F"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10430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07E72A6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PpERECTA6</w:t>
            </w:r>
          </w:p>
        </w:tc>
        <w:tc>
          <w:tcPr>
            <w:tcW w:w="1576" w:type="dxa"/>
            <w:tcBorders>
              <w:top w:val="nil"/>
              <w:left w:val="nil"/>
              <w:bottom w:val="single" w:sz="4" w:space="0" w:color="auto"/>
              <w:right w:val="single" w:sz="4" w:space="0" w:color="auto"/>
            </w:tcBorders>
            <w:shd w:val="clear" w:color="auto" w:fill="auto"/>
            <w:noWrap/>
            <w:vAlign w:val="bottom"/>
            <w:hideMark/>
          </w:tcPr>
          <w:p w14:paraId="4A5244E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PpErl1d</w:t>
            </w:r>
          </w:p>
        </w:tc>
        <w:tc>
          <w:tcPr>
            <w:tcW w:w="1642" w:type="dxa"/>
            <w:tcBorders>
              <w:top w:val="nil"/>
              <w:left w:val="nil"/>
              <w:bottom w:val="single" w:sz="4" w:space="0" w:color="auto"/>
              <w:right w:val="single" w:sz="4" w:space="0" w:color="auto"/>
            </w:tcBorders>
            <w:shd w:val="clear" w:color="auto" w:fill="auto"/>
            <w:noWrap/>
            <w:vAlign w:val="bottom"/>
            <w:hideMark/>
          </w:tcPr>
          <w:p w14:paraId="512A0E1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Pp3c19_15110V3.1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6B365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Pp1s20_166V6</w:t>
            </w:r>
          </w:p>
        </w:tc>
      </w:tr>
      <w:tr w:rsidR="006C37DC" w:rsidRPr="006C37DC" w14:paraId="168C9170"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D09961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3CFEFF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SmERL1</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B3570B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C3290E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114051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AED8ED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7FFF890E"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B4414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0339984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SmERL2</w:t>
            </w:r>
          </w:p>
        </w:tc>
        <w:tc>
          <w:tcPr>
            <w:tcW w:w="1576" w:type="dxa"/>
            <w:tcBorders>
              <w:top w:val="nil"/>
              <w:left w:val="nil"/>
              <w:bottom w:val="single" w:sz="4" w:space="0" w:color="auto"/>
              <w:right w:val="single" w:sz="4" w:space="0" w:color="auto"/>
            </w:tcBorders>
            <w:shd w:val="clear" w:color="auto" w:fill="auto"/>
            <w:noWrap/>
            <w:vAlign w:val="bottom"/>
            <w:hideMark/>
          </w:tcPr>
          <w:p w14:paraId="539411A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7275BAB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102522</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88CBC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5DF31AB6" w14:textId="77777777" w:rsidTr="00476449">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939DB8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BA7337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OsER</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86F28C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B7B9F5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LOC_Os06g10230.1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09C0ED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70478351" w14:textId="77777777" w:rsidTr="00476449">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549D9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lastRenderedPageBreak/>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2DC1A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OsERL1</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6A244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FF0CD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LOC_Os06g03970.1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9B70E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765BC35E" w14:textId="77777777" w:rsidTr="00476449">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285B11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DE8749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EgER</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9CD6A2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86EF60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Eucgr.C00732.1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3E0139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14DA8972"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62ECC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2321687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EgERL1</w:t>
            </w:r>
          </w:p>
        </w:tc>
        <w:tc>
          <w:tcPr>
            <w:tcW w:w="1576" w:type="dxa"/>
            <w:tcBorders>
              <w:top w:val="nil"/>
              <w:left w:val="nil"/>
              <w:bottom w:val="single" w:sz="4" w:space="0" w:color="auto"/>
              <w:right w:val="single" w:sz="4" w:space="0" w:color="auto"/>
            </w:tcBorders>
            <w:shd w:val="clear" w:color="auto" w:fill="auto"/>
            <w:noWrap/>
            <w:vAlign w:val="bottom"/>
            <w:hideMark/>
          </w:tcPr>
          <w:p w14:paraId="53B1EB48"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6B9C16A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Eucgr.K00138.1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1CE06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186CDDB3"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ED797B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FE3C48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AtER</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FF8789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A362B9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AT2G26330.1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B34174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5D11909A"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81E1C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48BFB9F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AtERL1</w:t>
            </w:r>
          </w:p>
        </w:tc>
        <w:tc>
          <w:tcPr>
            <w:tcW w:w="1576" w:type="dxa"/>
            <w:tcBorders>
              <w:top w:val="nil"/>
              <w:left w:val="nil"/>
              <w:bottom w:val="single" w:sz="4" w:space="0" w:color="auto"/>
              <w:right w:val="single" w:sz="4" w:space="0" w:color="auto"/>
            </w:tcBorders>
            <w:shd w:val="clear" w:color="auto" w:fill="auto"/>
            <w:noWrap/>
            <w:vAlign w:val="bottom"/>
            <w:hideMark/>
          </w:tcPr>
          <w:p w14:paraId="7E4EA37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29E2829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AT5G62230.1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B8E40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68595B38"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5E541A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71592F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AtERL2</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1B3F70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017C31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AT5G07180.1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AA35DF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02E626B7"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0D690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688425A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AtCLAVATA1</w:t>
            </w:r>
          </w:p>
        </w:tc>
        <w:tc>
          <w:tcPr>
            <w:tcW w:w="1576" w:type="dxa"/>
            <w:tcBorders>
              <w:top w:val="nil"/>
              <w:left w:val="nil"/>
              <w:bottom w:val="single" w:sz="4" w:space="0" w:color="auto"/>
              <w:right w:val="single" w:sz="4" w:space="0" w:color="auto"/>
            </w:tcBorders>
            <w:shd w:val="clear" w:color="auto" w:fill="auto"/>
            <w:noWrap/>
            <w:vAlign w:val="bottom"/>
            <w:hideMark/>
          </w:tcPr>
          <w:p w14:paraId="30A4B91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3A5E00F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AT1G75820.1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57305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1404B433"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267FB4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A204AA8"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AtBAM1</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3DCFAC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F8D85E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AT5G65700.1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357A29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5292D66F"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81D75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772F74D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AtBAM2</w:t>
            </w:r>
          </w:p>
        </w:tc>
        <w:tc>
          <w:tcPr>
            <w:tcW w:w="1576" w:type="dxa"/>
            <w:tcBorders>
              <w:top w:val="nil"/>
              <w:left w:val="nil"/>
              <w:bottom w:val="single" w:sz="4" w:space="0" w:color="auto"/>
              <w:right w:val="single" w:sz="4" w:space="0" w:color="auto"/>
            </w:tcBorders>
            <w:shd w:val="clear" w:color="auto" w:fill="auto"/>
            <w:noWrap/>
            <w:vAlign w:val="bottom"/>
            <w:hideMark/>
          </w:tcPr>
          <w:p w14:paraId="72A1E0C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473809C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AT3G49670.1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DC040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58D86B8F"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639370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C00745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AtBAM3</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87CDA7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8D505E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AT4G20270.1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F505BA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607D8536"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A323A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6A9B2A7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CrRK1</w:t>
            </w:r>
          </w:p>
        </w:tc>
        <w:tc>
          <w:tcPr>
            <w:tcW w:w="1576" w:type="dxa"/>
            <w:tcBorders>
              <w:top w:val="nil"/>
              <w:left w:val="nil"/>
              <w:bottom w:val="single" w:sz="4" w:space="0" w:color="auto"/>
              <w:right w:val="single" w:sz="4" w:space="0" w:color="auto"/>
            </w:tcBorders>
            <w:shd w:val="clear" w:color="auto" w:fill="auto"/>
            <w:noWrap/>
            <w:vAlign w:val="bottom"/>
            <w:hideMark/>
          </w:tcPr>
          <w:p w14:paraId="5DB9C41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3AA3B07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Cre07.g318551.t1.1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B6B65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6D234C49"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A6C5A8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9D90AA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CrRK2</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67AE2A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35580F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Cre03.g144324.t1.1</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241B0A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49E96CEF"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32874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37B907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CrRK3</w:t>
            </w:r>
          </w:p>
        </w:tc>
        <w:tc>
          <w:tcPr>
            <w:tcW w:w="1576" w:type="dxa"/>
            <w:tcBorders>
              <w:top w:val="single" w:sz="4" w:space="0" w:color="auto"/>
              <w:left w:val="nil"/>
              <w:bottom w:val="single" w:sz="4" w:space="0" w:color="auto"/>
              <w:right w:val="single" w:sz="4" w:space="0" w:color="auto"/>
            </w:tcBorders>
            <w:shd w:val="clear" w:color="auto" w:fill="auto"/>
            <w:noWrap/>
            <w:vAlign w:val="bottom"/>
            <w:hideMark/>
          </w:tcPr>
          <w:p w14:paraId="66622CE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nil"/>
              <w:bottom w:val="single" w:sz="4" w:space="0" w:color="auto"/>
              <w:right w:val="single" w:sz="4" w:space="0" w:color="auto"/>
            </w:tcBorders>
            <w:shd w:val="clear" w:color="auto" w:fill="auto"/>
            <w:noWrap/>
            <w:vAlign w:val="bottom"/>
            <w:hideMark/>
          </w:tcPr>
          <w:p w14:paraId="5F62582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Cre12.g502901.t1.1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DC20F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72824936"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B04F86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8BB1AC8"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CrRK4</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CFF327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53ECCF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Cre12.g511950.t1.2</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54A67F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1A795EDB"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3F9375" w14:textId="77777777"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
                <w:bCs/>
                <w:color w:val="000000"/>
              </w:rPr>
              <w:t>TMM</w:t>
            </w:r>
          </w:p>
        </w:tc>
        <w:tc>
          <w:tcPr>
            <w:tcW w:w="0" w:type="auto"/>
            <w:tcBorders>
              <w:top w:val="nil"/>
              <w:left w:val="nil"/>
              <w:bottom w:val="single" w:sz="4" w:space="0" w:color="auto"/>
              <w:right w:val="single" w:sz="4" w:space="0" w:color="auto"/>
            </w:tcBorders>
            <w:shd w:val="clear" w:color="auto" w:fill="auto"/>
            <w:noWrap/>
            <w:vAlign w:val="bottom"/>
            <w:hideMark/>
          </w:tcPr>
          <w:p w14:paraId="2108A64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576" w:type="dxa"/>
            <w:tcBorders>
              <w:top w:val="nil"/>
              <w:left w:val="nil"/>
              <w:bottom w:val="single" w:sz="4" w:space="0" w:color="auto"/>
              <w:right w:val="single" w:sz="4" w:space="0" w:color="auto"/>
            </w:tcBorders>
            <w:shd w:val="clear" w:color="auto" w:fill="auto"/>
            <w:noWrap/>
            <w:vAlign w:val="bottom"/>
            <w:hideMark/>
          </w:tcPr>
          <w:p w14:paraId="63DFC32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1642" w:type="dxa"/>
            <w:tcBorders>
              <w:top w:val="nil"/>
              <w:left w:val="nil"/>
              <w:bottom w:val="single" w:sz="4" w:space="0" w:color="auto"/>
              <w:right w:val="single" w:sz="4" w:space="0" w:color="auto"/>
            </w:tcBorders>
            <w:shd w:val="clear" w:color="auto" w:fill="auto"/>
            <w:noWrap/>
            <w:vAlign w:val="bottom"/>
            <w:hideMark/>
          </w:tcPr>
          <w:p w14:paraId="1A4F062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AB4B6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0ABDB10F"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D38AB42"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20EE98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AtTmm</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122B99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AT1G80080.1</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C378B6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9EB162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1B875A9B"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3E4C9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330D02E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EgTMM</w:t>
            </w:r>
          </w:p>
        </w:tc>
        <w:tc>
          <w:tcPr>
            <w:tcW w:w="1576" w:type="dxa"/>
            <w:tcBorders>
              <w:top w:val="nil"/>
              <w:left w:val="nil"/>
              <w:bottom w:val="single" w:sz="4" w:space="0" w:color="auto"/>
              <w:right w:val="single" w:sz="4" w:space="0" w:color="auto"/>
            </w:tcBorders>
            <w:shd w:val="clear" w:color="auto" w:fill="auto"/>
            <w:noWrap/>
            <w:vAlign w:val="bottom"/>
            <w:hideMark/>
          </w:tcPr>
          <w:p w14:paraId="15359E7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Eucgr.J03068.1</w:t>
            </w:r>
          </w:p>
        </w:tc>
        <w:tc>
          <w:tcPr>
            <w:tcW w:w="1642" w:type="dxa"/>
            <w:tcBorders>
              <w:top w:val="nil"/>
              <w:left w:val="nil"/>
              <w:bottom w:val="single" w:sz="4" w:space="0" w:color="auto"/>
              <w:right w:val="single" w:sz="4" w:space="0" w:color="auto"/>
            </w:tcBorders>
            <w:shd w:val="clear" w:color="auto" w:fill="auto"/>
            <w:noWrap/>
            <w:vAlign w:val="bottom"/>
            <w:hideMark/>
          </w:tcPr>
          <w:p w14:paraId="450D957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2D078C"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0448C63A" w14:textId="77777777" w:rsidTr="00476449">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2ABB07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F9EB6D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OsTMM</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6D9A450"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LOC_Os01g43440.1</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6813FB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7773C1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5B7E963F" w14:textId="77777777" w:rsidTr="00476449">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E9555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7AF1B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PpTMM</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9906D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Pp3c3_3780V3.1</w:t>
            </w:r>
          </w:p>
        </w:tc>
        <w:tc>
          <w:tcPr>
            <w:tcW w:w="16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A7AFC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Pp3c3_3780V3.1</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0F716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Pp1s1_587V6</w:t>
            </w:r>
          </w:p>
        </w:tc>
      </w:tr>
      <w:tr w:rsidR="006C37DC" w:rsidRPr="006C37DC" w14:paraId="1D4EEC62" w14:textId="77777777" w:rsidTr="00FA2FE3">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256C53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5D83F51"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EgTMM2</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402080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Eucgr.F04130.1</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CFBBDDA"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0AF39F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4F0C7232" w14:textId="77777777" w:rsidTr="00FA2FE3">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CF1B8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lastRenderedPageBreak/>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60FA0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SmTMM</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6446CB"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125817</w:t>
            </w:r>
          </w:p>
        </w:tc>
        <w:tc>
          <w:tcPr>
            <w:tcW w:w="16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FC9D5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2C999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63F26BF5" w14:textId="77777777" w:rsidTr="00FA2FE3">
        <w:trPr>
          <w:trHeight w:val="300"/>
        </w:trPr>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B85C12E"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550D37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AtRLP29</w:t>
            </w:r>
          </w:p>
        </w:tc>
        <w:tc>
          <w:tcPr>
            <w:tcW w:w="157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8CD0FD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AT2G42800.1</w:t>
            </w:r>
          </w:p>
        </w:tc>
        <w:tc>
          <w:tcPr>
            <w:tcW w:w="1642"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DE65B63"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2097"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94CD775"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r w:rsidR="006C37DC" w:rsidRPr="006C37DC" w14:paraId="2842A202" w14:textId="77777777" w:rsidTr="006C37DC">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2488A4"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9AF856"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AtRIC7</w:t>
            </w:r>
          </w:p>
        </w:tc>
        <w:tc>
          <w:tcPr>
            <w:tcW w:w="15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35BF47"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AT4G28560.1</w:t>
            </w:r>
          </w:p>
        </w:tc>
        <w:tc>
          <w:tcPr>
            <w:tcW w:w="16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F7DDEF"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09FD2D"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color w:val="000000"/>
              </w:rPr>
              <w:t> </w:t>
            </w:r>
          </w:p>
        </w:tc>
      </w:tr>
    </w:tbl>
    <w:p w14:paraId="21ABABEC" w14:textId="77777777" w:rsidR="008653D0" w:rsidRDefault="008653D0" w:rsidP="008653D0">
      <w:pPr>
        <w:spacing w:after="0" w:line="360" w:lineRule="auto"/>
        <w:rPr>
          <w:rFonts w:ascii="Arial" w:eastAsia="Times New Roman" w:hAnsi="Arial" w:cs="Arial"/>
          <w:b/>
          <w:bCs/>
          <w:color w:val="000000"/>
        </w:rPr>
      </w:pPr>
    </w:p>
    <w:p w14:paraId="0AB597AD" w14:textId="75E65DDC" w:rsidR="006C37DC" w:rsidRPr="006C37DC" w:rsidRDefault="006C37DC" w:rsidP="008653D0">
      <w:pPr>
        <w:spacing w:after="0" w:line="360" w:lineRule="auto"/>
        <w:rPr>
          <w:rFonts w:ascii="Arial" w:eastAsia="Times New Roman" w:hAnsi="Arial" w:cs="Arial"/>
          <w:b/>
          <w:bCs/>
          <w:color w:val="000000"/>
        </w:rPr>
      </w:pPr>
      <w:r w:rsidRPr="006C37DC">
        <w:rPr>
          <w:rFonts w:ascii="Arial" w:eastAsia="Times New Roman" w:hAnsi="Arial" w:cs="Arial"/>
          <w:b/>
          <w:bCs/>
          <w:color w:val="000000"/>
        </w:rPr>
        <w:t xml:space="preserve">Appendix 1. </w:t>
      </w:r>
      <w:r w:rsidR="00EC52FA">
        <w:rPr>
          <w:rFonts w:ascii="Arial" w:eastAsia="Times New Roman" w:hAnsi="Arial" w:cs="Arial"/>
          <w:b/>
          <w:bCs/>
          <w:color w:val="000000"/>
        </w:rPr>
        <w:t xml:space="preserve">Protein IDs for </w:t>
      </w:r>
      <w:r w:rsidRPr="006C37DC">
        <w:rPr>
          <w:rFonts w:ascii="Arial" w:eastAsia="Times New Roman" w:hAnsi="Arial" w:cs="Arial"/>
          <w:b/>
          <w:bCs/>
          <w:color w:val="000000"/>
        </w:rPr>
        <w:t xml:space="preserve">genes which have been displayed in abbreviated forms on phylogenetic </w:t>
      </w:r>
      <w:r w:rsidR="00EC52FA">
        <w:rPr>
          <w:rFonts w:ascii="Arial" w:eastAsia="Times New Roman" w:hAnsi="Arial" w:cs="Arial"/>
          <w:b/>
          <w:bCs/>
          <w:color w:val="000000"/>
        </w:rPr>
        <w:t xml:space="preserve">trees </w:t>
      </w:r>
      <w:r w:rsidRPr="006C37DC">
        <w:rPr>
          <w:rFonts w:ascii="Arial" w:eastAsia="Times New Roman" w:hAnsi="Arial" w:cs="Arial"/>
          <w:b/>
          <w:bCs/>
          <w:color w:val="000000"/>
        </w:rPr>
        <w:t>du</w:t>
      </w:r>
      <w:r w:rsidR="00476449">
        <w:rPr>
          <w:rFonts w:ascii="Arial" w:eastAsia="Times New Roman" w:hAnsi="Arial" w:cs="Arial"/>
          <w:b/>
          <w:bCs/>
          <w:color w:val="000000"/>
        </w:rPr>
        <w:t>ring the course of this chapter</w:t>
      </w:r>
      <w:r w:rsidRPr="006C37DC">
        <w:rPr>
          <w:rFonts w:ascii="Arial" w:eastAsia="Times New Roman" w:hAnsi="Arial" w:cs="Arial"/>
          <w:b/>
          <w:bCs/>
          <w:color w:val="000000"/>
        </w:rPr>
        <w:t>.</w:t>
      </w:r>
    </w:p>
    <w:p w14:paraId="73887A59" w14:textId="77777777"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Cs/>
          <w:noProof/>
          <w:color w:val="000000"/>
          <w:lang w:eastAsia="ja-JP"/>
        </w:rPr>
        <w:lastRenderedPageBreak/>
        <w:drawing>
          <wp:inline distT="0" distB="0" distL="0" distR="0" wp14:anchorId="0E6BE827" wp14:editId="5CB5E447">
            <wp:extent cx="3859530" cy="8863330"/>
            <wp:effectExtent l="0" t="0" r="762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RECTA TREE FOR APPENDIX.png"/>
                    <pic:cNvPicPr/>
                  </pic:nvPicPr>
                  <pic:blipFill>
                    <a:blip r:embed="rId71">
                      <a:extLst>
                        <a:ext uri="{28A0092B-C50C-407E-A947-70E740481C1C}">
                          <a14:useLocalDpi xmlns:a14="http://schemas.microsoft.com/office/drawing/2010/main" val="0"/>
                        </a:ext>
                      </a:extLst>
                    </a:blip>
                    <a:stretch>
                      <a:fillRect/>
                    </a:stretch>
                  </pic:blipFill>
                  <pic:spPr>
                    <a:xfrm>
                      <a:off x="0" y="0"/>
                      <a:ext cx="3859530" cy="8863330"/>
                    </a:xfrm>
                    <a:prstGeom prst="rect">
                      <a:avLst/>
                    </a:prstGeom>
                  </pic:spPr>
                </pic:pic>
              </a:graphicData>
            </a:graphic>
          </wp:inline>
        </w:drawing>
      </w:r>
    </w:p>
    <w:p w14:paraId="55CA9281" w14:textId="5E90E01F"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
          <w:bCs/>
          <w:color w:val="000000"/>
        </w:rPr>
        <w:lastRenderedPageBreak/>
        <w:t xml:space="preserve">Appendix 2. Full Phylogenetic analysis of ERf genes from selected plants. </w:t>
      </w:r>
      <w:r w:rsidRPr="006C37DC">
        <w:rPr>
          <w:rFonts w:ascii="Arial" w:eastAsia="Times New Roman" w:hAnsi="Arial" w:cs="Arial"/>
          <w:bCs/>
          <w:color w:val="000000"/>
        </w:rPr>
        <w:t>(</w:t>
      </w:r>
      <w:r w:rsidRPr="006C37DC">
        <w:rPr>
          <w:rFonts w:ascii="Arial" w:eastAsia="Times New Roman" w:hAnsi="Arial" w:cs="Arial"/>
          <w:b/>
          <w:bCs/>
          <w:color w:val="000000"/>
        </w:rPr>
        <w:t>a</w:t>
      </w:r>
      <w:r w:rsidRPr="006C37DC">
        <w:rPr>
          <w:rFonts w:ascii="Arial" w:eastAsia="Times New Roman" w:hAnsi="Arial" w:cs="Arial"/>
          <w:bCs/>
          <w:color w:val="000000"/>
        </w:rPr>
        <w:t xml:space="preserve">) Amino acid sequences for all ERf family members were obtained by via gene family predictions of genes related to </w:t>
      </w:r>
      <w:r w:rsidRPr="006C37DC">
        <w:rPr>
          <w:rFonts w:ascii="Arial" w:eastAsia="Times New Roman" w:hAnsi="Arial" w:cs="Arial"/>
          <w:bCs/>
          <w:i/>
          <w:color w:val="000000"/>
        </w:rPr>
        <w:t xml:space="preserve">AtERECTA </w:t>
      </w:r>
      <w:r w:rsidRPr="006C37DC">
        <w:rPr>
          <w:rFonts w:ascii="Arial" w:eastAsia="Times New Roman" w:hAnsi="Arial" w:cs="Arial"/>
          <w:bCs/>
          <w:color w:val="000000"/>
        </w:rPr>
        <w:t xml:space="preserve">on Phytozome V11. Sequences were aligned using the MUSCLE alignment algorithm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&lt;EndNote&gt;&lt;Cite&gt;&lt;Author&gt;Edgar&lt;/Author&gt;&lt;Year&gt;2004&lt;/Year&gt;&lt;IDText&gt;MUSCLE: a multiple sequence alignment method with reduced time and space complexity&lt;/IDText&gt;&lt;DisplayText&gt;(Edgar, 2004)&lt;/DisplayText&gt;&lt;record&gt;&lt;dates&gt;&lt;pub-dates&gt;&lt;date&gt;Aug 19&lt;/date&gt;&lt;/pub-dates&gt;&lt;year&gt;2004&lt;/year&gt;&lt;/dates&gt;&lt;keywords&gt;&lt;keyword&gt;Cluster Analysis&lt;/keyword&gt;&lt;keyword&gt;Computational Biology/methods/statistics &amp;amp; numerical data/trends&lt;/keyword&gt;&lt;keyword&gt;Phylogeny&lt;/keyword&gt;&lt;keyword&gt;Sequence Alignment/*methods/statistics &amp;amp; numerical data/*trends&lt;/keyword&gt;&lt;keyword&gt;*Software&lt;/keyword&gt;&lt;keyword&gt;Software Design&lt;/keyword&gt;&lt;keyword&gt;Time Factors&lt;/keyword&gt;&lt;/keywords&gt;&lt;isbn&gt;1471-2105&lt;/isbn&gt;&lt;custom2&gt;PMC517706&lt;/custom2&gt;&lt;titles&gt;&lt;title&gt;MUSCLE: a multiple sequence alignment method with reduced time and space complexity&lt;/title&gt;&lt;secondary-title&gt;BMC Bioinformatics&lt;/secondary-title&gt;&lt;alt-title&gt;BMC bioinformatics&lt;/alt-title&gt;&lt;/titles&gt;&lt;pages&gt;113&lt;/pages&gt;&lt;contributors&gt;&lt;authors&gt;&lt;author&gt;Edgar, R. C.&lt;/author&gt;&lt;/authors&gt;&lt;/contributors&gt;&lt;edition&gt;2004/08/21&lt;/edition&gt;&lt;language&gt;eng&lt;/language&gt;&lt;added-date format="utc"&gt;1452355510&lt;/added-date&gt;&lt;ref-type name="Journal Article"&gt;17&lt;/ref-type&gt;&lt;auth-address&gt;Department of Plant and Microbial Biology, 461 Koshland Hall, University of California, Berkeley, CA 94720-3102, USA. bob@drive5.com&lt;/auth-address&gt;&lt;remote-database-provider&gt;NLM&lt;/remote-database-provider&gt;&lt;rec-number&gt;420&lt;/rec-number&gt;&lt;last-updated-date format="utc"&gt;1452355510&lt;/last-updated-date&gt;&lt;accession-num&gt;15318951&lt;/accession-num&gt;&lt;electronic-resource-num&gt;10.1186/1471-2105-5-113&lt;/electronic-resource-num&gt;&lt;volume&gt;5&lt;/volume&gt;&lt;/record&gt;&lt;/Cite&gt;&lt;/EndNote&gt;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(Edgar, 2004)</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in MEGA6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&lt;EndNote&gt;&lt;Cite&gt;&lt;Author&gt;Tamura&lt;/Author&gt;&lt;Year&gt;2013&lt;/Year&gt;&lt;IDText&gt;MEGA6: Molecular Evolutionary Genetics Analysis version 6.0&lt;/IDText&gt;&lt;DisplayText&gt;(Tamura et al., 2013)&lt;/DisplayText&gt;&lt;record&gt;&lt;dates&gt;&lt;pub-dates&gt;&lt;date&gt;Dec&lt;/date&gt;&lt;/pub-dates&gt;&lt;year&gt;2013&lt;/year&gt;&lt;/dates&gt;&lt;keywords&gt;&lt;keyword&gt;Algorithms&lt;/keyword&gt;&lt;keyword&gt;Databases, Genetic&lt;/keyword&gt;&lt;keyword&gt;*Evolution, Molecular&lt;/keyword&gt;&lt;keyword&gt;Internet&lt;/keyword&gt;&lt;keyword&gt;Phylogeny&lt;/keyword&gt;&lt;keyword&gt;*Software&lt;/keyword&gt;&lt;keyword&gt;*User-Computer Interface&lt;/keyword&gt;&lt;keyword&gt;phylogeny&lt;/keyword&gt;&lt;keyword&gt;relaxed clocks&lt;/keyword&gt;&lt;keyword&gt;software&lt;/keyword&gt;&lt;/keywords&gt;&lt;isbn&gt;0737-4038&lt;/isbn&gt;&lt;custom2&gt;PMC3840312&lt;/custom2&gt;&lt;titles&gt;&lt;title&gt;MEGA6: Molecular Evolutionary Genetics Analysis version 6.0&lt;/title&gt;&lt;secondary-title&gt;Mol Biol Evol&lt;/secondary-title&gt;&lt;alt-title&gt;Molecular biology and evolution&lt;/alt-title&gt;&lt;/titles&gt;&lt;pages&gt;2725-9&lt;/pages&gt;&lt;number&gt;12&lt;/number&gt;&lt;contributors&gt;&lt;authors&gt;&lt;author&gt;Tamura, K.&lt;/author&gt;&lt;author&gt;Stecher, G.&lt;/author&gt;&lt;author&gt;Peterson, D.&lt;/author&gt;&lt;author&gt;Filipski, A.&lt;/author&gt;&lt;author&gt;Kumar, S.&lt;/author&gt;&lt;/authors&gt;&lt;/contributors&gt;&lt;edition&gt;2013/10/18&lt;/edition&gt;&lt;language&gt;eng&lt;/language&gt;&lt;added-date format="utc"&gt;1453907986&lt;/added-date&gt;&lt;ref-type name="Journal Article"&gt;17&lt;/ref-type&gt;&lt;auth-address&gt;Research Center for Genomics and Bioinformatics, Tokyo Metropolitan University, Hachioji, Tokyo, Japan.&lt;/auth-address&gt;&lt;remote-database-provider&gt;NLM&lt;/remote-database-provider&gt;&lt;rec-number&gt;455&lt;/rec-number&gt;&lt;last-updated-date format="utc"&gt;1453907986&lt;/last-updated-date&gt;&lt;accession-num&gt;24132122&lt;/accession-num&gt;&lt;electronic-resource-num&gt;10.1093/molbev/mst197&lt;/electronic-resource-num&gt;&lt;volume&gt;30&lt;/volume&gt;&lt;/record&gt;&lt;/Cite&gt;&lt;/EndNote&gt;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(Tamura et al., 2013)</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 isolated sequences were then re-aligned using MUSCLE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&lt;EndNote&gt;&lt;Cite&gt;&lt;Author&gt;Edgar&lt;/Author&gt;&lt;Year&gt;2004&lt;/Year&gt;&lt;IDText&gt;MUSCLE: a multiple sequence alignment method with reduced time and space complexity&lt;/IDText&gt;&lt;DisplayText&gt;(Edgar, 2004)&lt;/DisplayText&gt;&lt;record&gt;&lt;dates&gt;&lt;pub-dates&gt;&lt;date&gt;Aug 19&lt;/date&gt;&lt;/pub-dates&gt;&lt;year&gt;2004&lt;/year&gt;&lt;/dates&gt;&lt;keywords&gt;&lt;keyword&gt;Cluster Analysis&lt;/keyword&gt;&lt;keyword&gt;Computational Biology/methods/statistics &amp;amp; numerical data/trends&lt;/keyword&gt;&lt;keyword&gt;Phylogeny&lt;/keyword&gt;&lt;keyword&gt;Sequence Alignment/*methods/statistics &amp;amp; numerical data/*trends&lt;/keyword&gt;&lt;keyword&gt;*Software&lt;/keyword&gt;&lt;keyword&gt;Software Design&lt;/keyword&gt;&lt;keyword&gt;Time Factors&lt;/keyword&gt;&lt;/keywords&gt;&lt;isbn&gt;1471-2105&lt;/isbn&gt;&lt;custom2&gt;PMC517706&lt;/custom2&gt;&lt;titles&gt;&lt;title&gt;MUSCLE: a multiple sequence alignment method with reduced time and space complexity&lt;/title&gt;&lt;secondary-title&gt;BMC Bioinformatics&lt;/secondary-title&gt;&lt;alt-title&gt;BMC bioinformatics&lt;/alt-title&gt;&lt;/titles&gt;&lt;pages&gt;113&lt;/pages&gt;&lt;contributors&gt;&lt;authors&gt;&lt;author&gt;Edgar, R. C.&lt;/author&gt;&lt;/authors&gt;&lt;/contributors&gt;&lt;edition&gt;2004/08/21&lt;/edition&gt;&lt;language&gt;eng&lt;/language&gt;&lt;added-date format="utc"&gt;1452355510&lt;/added-date&gt;&lt;ref-type name="Journal Article"&gt;17&lt;/ref-type&gt;&lt;auth-address&gt;Department of Plant and Microbial Biology, 461 Koshland Hall, University of California, Berkeley, CA 94720-3102, USA. bob@drive5.com&lt;/auth-address&gt;&lt;remote-database-provider&gt;NLM&lt;/remote-database-provider&gt;&lt;rec-number&gt;420&lt;/rec-number&gt;&lt;last-updated-date format="utc"&gt;1452355510&lt;/last-updated-date&gt;&lt;accession-num&gt;15318951&lt;/accession-num&gt;&lt;electronic-resource-num&gt;10.1186/1471-2105-5-113&lt;/electronic-resource-num&gt;&lt;volume&gt;5&lt;/volume&gt;&lt;/record&gt;&lt;/Cite&gt;&lt;/EndNote&gt;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(Edgar, 2004)</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and a subsequent tree which is displayed was produced again using the Neighbour-Joining method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&lt;EndNote&gt;&lt;Cite&gt;&lt;Author&gt;Saitou&lt;/Author&gt;&lt;Year&gt;1987&lt;/Year&gt;&lt;IDText&gt;The neighbor-joining method: a new method for reconstructing phylogenetic trees&lt;/IDText&gt;&lt;DisplayText&gt;(Saitou and Nei, 1987)&lt;/DisplayText&gt;&lt;record&gt;&lt;dates&gt;&lt;pub-dates&gt;&lt;date&gt;Jul&lt;/date&gt;&lt;/pub-dates&gt;&lt;year&gt;1987&lt;/year&gt;&lt;/dates&gt;&lt;keywords&gt;&lt;keyword&gt;Animals&lt;/keyword&gt;&lt;keyword&gt;Biological Evolution&lt;/keyword&gt;&lt;keyword&gt;Biometry&lt;/keyword&gt;&lt;keyword&gt;*Models, Genetic&lt;/keyword&gt;&lt;keyword&gt;*Phylogeny&lt;/keyword&gt;&lt;keyword&gt;Ranidae/*genetics&lt;/keyword&gt;&lt;/keywords&gt;&lt;isbn&gt;0737-4038 (Print)&amp;#xD;0737-4038&lt;/isbn&gt;&lt;titles&gt;&lt;title&gt;The neighbor-joining method: a new method for reconstructing phylogenetic trees&lt;/title&gt;&lt;secondary-title&gt;Mol Biol Evol&lt;/secondary-title&gt;&lt;alt-title&gt;Molecular biology and evolution&lt;/alt-title&gt;&lt;/titles&gt;&lt;pages&gt;406-25&lt;/pages&gt;&lt;number&gt;4&lt;/number&gt;&lt;contributors&gt;&lt;authors&gt;&lt;author&gt;Saitou, N.&lt;/author&gt;&lt;author&gt;Nei, M.&lt;/author&gt;&lt;/authors&gt;&lt;/contributors&gt;&lt;edition&gt;1987/07/01&lt;/edition&gt;&lt;language&gt;eng&lt;/language&gt;&lt;added-date format="utc"&gt;1453907563&lt;/added-date&gt;&lt;ref-type name="Journal Article"&gt;17&lt;/ref-type&gt;&lt;auth-address&gt;Center for Demographic and Population Genetics, University of Texas Health Science Center, Houston 77225.&lt;/auth-address&gt;&lt;remote-database-provider&gt;NLM&lt;/remote-database-provider&gt;&lt;rec-number&gt;451&lt;/rec-number&gt;&lt;last-updated-date format="utc"&gt;1453907563&lt;/last-updated-date&gt;&lt;accession-num&gt;3447015&lt;/accession-num&gt;&lt;volume&gt;4&lt;/volume&gt;&lt;/record&gt;&lt;/Cite&gt;&lt;/EndNote&gt;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(Saitou and Nei, 1987)</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 bootstrap test (1000 replicates) was performed, with percentages generated listed next to branches to illustrate how often associated taxa cluster together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&lt;EndNote&gt;&lt;Cite&gt;&lt;Author&gt;Felsenstein&lt;/Author&gt;&lt;Year&gt;1985&lt;/Year&gt;&lt;IDText&gt;Confidence Limits on Phylogenies: An Approach Using the Bootstrap&lt;/IDText&gt;&lt;DisplayText&gt;(Felsenstein, 1985)&lt;/DisplayText&gt;&lt;record&gt;&lt;urls&gt;&lt;related-urls&gt;&lt;url&gt;http://www.jstor.org/stable/2408678&lt;/url&gt;&lt;/related-urls&gt;&lt;/urls&gt;&lt;isbn&gt;00143820, 15585646&lt;/isbn&gt;&lt;custom1&gt;Full publication date: Jul., 1985&lt;/custom1&gt;&lt;titles&gt;&lt;title&gt;Confidence Limits on Phylogenies: An Approach Using the Bootstrap&lt;/title&gt;&lt;secondary-title&gt;Evolution&lt;/secondary-title&gt;&lt;/titles&gt;&lt;pages&gt;783-791&lt;/pages&gt;&lt;number&gt;4&lt;/number&gt;&lt;contributors&gt;&lt;authors&gt;&lt;author&gt;Felsenstein, Joseph&lt;/author&gt;&lt;/authors&gt;&lt;/contributors&gt;&lt;added-date format="utc"&gt;1453907641&lt;/added-date&gt;&lt;ref-type name="Journal Article"&gt;17&lt;/ref-type&gt;&lt;dates&gt;&lt;year&gt;1985&lt;/year&gt;&lt;/dates&gt;&lt;rec-number&gt;452&lt;/rec-number&gt;&lt;publisher&gt;[Society for the Study of Evolution, Wiley]&lt;/publisher&gt;&lt;last-updated-date format="utc"&gt;1453907641&lt;/last-updated-date&gt;&lt;electronic-resource-num&gt;10.2307/2408678&lt;/electronic-resource-num&gt;&lt;volume&gt;39&lt;/volume&gt;&lt;/record&gt;&lt;/Cite&gt;&lt;/EndNote&gt;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(Felsenstein, 1985)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The Poisson correction method was used to compute evolutionary distances with units equating to the number of amino acid substitutions per site applied </w:t>
      </w:r>
      <w:r w:rsidRPr="006C37DC">
        <w:rPr>
          <w:rFonts w:ascii="Arial" w:eastAsia="Times New Roman" w:hAnsi="Arial" w:cs="Arial"/>
          <w:bCs/>
          <w:color w:val="000000"/>
        </w:rPr>
        <w:fldChar w:fldCharType="begin"/>
      </w:r>
      <w:r w:rsidRPr="006C37DC">
        <w:rPr>
          <w:rFonts w:ascii="Arial" w:eastAsia="Times New Roman" w:hAnsi="Arial" w:cs="Arial"/>
          <w:bCs/>
          <w:color w:val="000000"/>
        </w:rPr>
        <w:instrText xml:space="preserve"> ADDIN EN.CITE &lt;EndNote&gt;&lt;Cite&gt;&lt;Author&gt;Zuckerkandl&lt;/Author&gt;&lt;Year&gt;1965&lt;/Year&gt;&lt;IDText&gt;Molecules as documents of evolutionary history&lt;/IDText&gt;&lt;DisplayText&gt;(Zuckerkandl and Pauling, 1965)&lt;/DisplayText&gt;&lt;record&gt;&lt;dates&gt;&lt;pub-dates&gt;&lt;date&gt;Mar&lt;/date&gt;&lt;/pub-dates&gt;&lt;year&gt;1965&lt;/year&gt;&lt;/dates&gt;&lt;keywords&gt;&lt;keyword&gt;Amino Acid Sequence&lt;/keyword&gt;&lt;keyword&gt;*Biological Evolution&lt;/keyword&gt;&lt;keyword&gt;*Genes&lt;/keyword&gt;&lt;keyword&gt;*Genetic Code&lt;/keyword&gt;&lt;keyword&gt;*Macromolecular Substances&lt;/keyword&gt;&lt;keyword&gt;Nucleic Acids&lt;/keyword&gt;&lt;keyword&gt;*RNA, Messenger&lt;/keyword&gt;&lt;/keywords&gt;&lt;isbn&gt;0022-5193 (Print)&amp;#xD;0022-5193&lt;/isbn&gt;&lt;titles&gt;&lt;title&gt;Molecules as documents of evolutionary history&lt;/title&gt;&lt;secondary-title&gt;J Theor Biol&lt;/secondary-title&gt;&lt;alt-title&gt;Journal of theoretical biology&lt;/alt-title&gt;&lt;/titles&gt;&lt;pages&gt;357-66&lt;/pages&gt;&lt;number&gt;2&lt;/number&gt;&lt;contributors&gt;&lt;authors&gt;&lt;author&gt;Zuckerkandl, E.&lt;/author&gt;&lt;author&gt;Pauling, L.&lt;/author&gt;&lt;/authors&gt;&lt;/contributors&gt;&lt;edition&gt;1965/03/01&lt;/edition&gt;&lt;language&gt;eng&lt;/language&gt;&lt;added-date format="utc"&gt;1453907838&lt;/added-date&gt;&lt;ref-type name="Journal Article"&gt;17&lt;/ref-type&gt;&lt;remote-database-provider&gt;NLM&lt;/remote-database-provider&gt;&lt;rec-number&gt;454&lt;/rec-number&gt;&lt;last-updated-date format="utc"&gt;1453907838&lt;/last-updated-date&gt;&lt;accession-num&gt;5876245&lt;/accession-num&gt;&lt;volume&gt;8&lt;/volume&gt;&lt;/record&gt;&lt;/Cite&gt;&lt;/EndNote&gt;</w:instrText>
      </w:r>
      <w:r w:rsidRPr="006C37DC">
        <w:rPr>
          <w:rFonts w:ascii="Arial" w:eastAsia="Times New Roman" w:hAnsi="Arial" w:cs="Arial"/>
          <w:bCs/>
          <w:color w:val="000000"/>
        </w:rPr>
        <w:fldChar w:fldCharType="separate"/>
      </w:r>
      <w:r w:rsidRPr="006C37DC">
        <w:rPr>
          <w:rFonts w:ascii="Arial" w:eastAsia="Times New Roman" w:hAnsi="Arial" w:cs="Arial"/>
          <w:bCs/>
          <w:color w:val="000000"/>
        </w:rPr>
        <w:t>(Zuckerkandl and Pauling, 1965)</w:t>
      </w:r>
      <w:r w:rsidRPr="006C37DC">
        <w:rPr>
          <w:rFonts w:ascii="Arial" w:eastAsia="Times New Roman" w:hAnsi="Arial" w:cs="Arial"/>
          <w:bCs/>
          <w:color w:val="000000"/>
        </w:rPr>
        <w:fldChar w:fldCharType="end"/>
      </w:r>
      <w:r w:rsidRPr="006C37DC">
        <w:rPr>
          <w:rFonts w:ascii="Arial" w:eastAsia="Times New Roman" w:hAnsi="Arial" w:cs="Arial"/>
          <w:bCs/>
          <w:color w:val="000000"/>
        </w:rPr>
        <w:t xml:space="preserve">. All positions containing gaps and missing data were eliminated. The abbreviated forms of species prefixes are Cr, </w:t>
      </w:r>
      <w:r w:rsidRPr="006C37DC">
        <w:rPr>
          <w:rFonts w:ascii="Arial" w:eastAsia="Times New Roman" w:hAnsi="Arial" w:cs="Arial"/>
          <w:bCs/>
          <w:i/>
          <w:color w:val="000000"/>
        </w:rPr>
        <w:t>Chlamydomonas reinhardtii</w:t>
      </w:r>
      <w:r w:rsidRPr="006C37DC">
        <w:rPr>
          <w:rFonts w:ascii="Arial" w:eastAsia="Times New Roman" w:hAnsi="Arial" w:cs="Arial"/>
          <w:bCs/>
          <w:color w:val="000000"/>
        </w:rPr>
        <w:t xml:space="preserve">; Sf, </w:t>
      </w:r>
      <w:r w:rsidRPr="006C37DC">
        <w:rPr>
          <w:rFonts w:ascii="Arial" w:eastAsia="Times New Roman" w:hAnsi="Arial" w:cs="Arial"/>
          <w:bCs/>
          <w:i/>
          <w:color w:val="000000"/>
        </w:rPr>
        <w:t>Sphagnum fallax</w:t>
      </w:r>
      <w:r w:rsidRPr="006C37DC">
        <w:rPr>
          <w:rFonts w:ascii="Arial" w:eastAsia="Times New Roman" w:hAnsi="Arial" w:cs="Arial"/>
          <w:bCs/>
          <w:color w:val="000000"/>
        </w:rPr>
        <w:t xml:space="preserve">; Pp, </w:t>
      </w:r>
      <w:r w:rsidRPr="006C37DC">
        <w:rPr>
          <w:rFonts w:ascii="Arial" w:eastAsia="Times New Roman" w:hAnsi="Arial" w:cs="Arial"/>
          <w:bCs/>
          <w:i/>
          <w:color w:val="000000"/>
        </w:rPr>
        <w:t>Physcomitrella patens</w:t>
      </w:r>
      <w:r w:rsidRPr="006C37DC">
        <w:rPr>
          <w:rFonts w:ascii="Arial" w:eastAsia="Times New Roman" w:hAnsi="Arial" w:cs="Arial"/>
          <w:bCs/>
          <w:color w:val="000000"/>
        </w:rPr>
        <w:t xml:space="preserve">; Sm, </w:t>
      </w:r>
      <w:r w:rsidRPr="006C37DC">
        <w:rPr>
          <w:rFonts w:ascii="Arial" w:eastAsia="Times New Roman" w:hAnsi="Arial" w:cs="Arial"/>
          <w:bCs/>
          <w:i/>
          <w:color w:val="000000"/>
        </w:rPr>
        <w:t>Selaginella moellendorffii</w:t>
      </w:r>
      <w:r w:rsidRPr="006C37DC">
        <w:rPr>
          <w:rFonts w:ascii="Arial" w:eastAsia="Times New Roman" w:hAnsi="Arial" w:cs="Arial"/>
          <w:bCs/>
          <w:color w:val="000000"/>
        </w:rPr>
        <w:t xml:space="preserve">, Os, </w:t>
      </w:r>
      <w:r w:rsidRPr="006C37DC">
        <w:rPr>
          <w:rFonts w:ascii="Arial" w:eastAsia="Times New Roman" w:hAnsi="Arial" w:cs="Arial"/>
          <w:bCs/>
          <w:i/>
          <w:color w:val="000000"/>
        </w:rPr>
        <w:t>Oryza sativa</w:t>
      </w:r>
      <w:r w:rsidRPr="006C37DC">
        <w:rPr>
          <w:rFonts w:ascii="Arial" w:eastAsia="Times New Roman" w:hAnsi="Arial" w:cs="Arial"/>
          <w:bCs/>
          <w:color w:val="000000"/>
        </w:rPr>
        <w:t xml:space="preserve">; Eg, </w:t>
      </w:r>
      <w:r w:rsidRPr="006C37DC">
        <w:rPr>
          <w:rFonts w:ascii="Arial" w:eastAsia="Times New Roman" w:hAnsi="Arial" w:cs="Arial"/>
          <w:bCs/>
          <w:i/>
          <w:color w:val="000000"/>
        </w:rPr>
        <w:t xml:space="preserve">Eucalyptus grandis; </w:t>
      </w:r>
      <w:r w:rsidRPr="006C37DC">
        <w:rPr>
          <w:rFonts w:ascii="Arial" w:eastAsia="Times New Roman" w:hAnsi="Arial" w:cs="Arial"/>
          <w:bCs/>
          <w:color w:val="000000"/>
        </w:rPr>
        <w:t xml:space="preserve">At, </w:t>
      </w:r>
      <w:r w:rsidRPr="006C37DC">
        <w:rPr>
          <w:rFonts w:ascii="Arial" w:eastAsia="Times New Roman" w:hAnsi="Arial" w:cs="Arial"/>
          <w:bCs/>
          <w:i/>
          <w:color w:val="000000"/>
        </w:rPr>
        <w:t>Arabidopsis thaliana</w:t>
      </w:r>
      <w:r w:rsidRPr="006C37DC">
        <w:rPr>
          <w:rFonts w:ascii="Arial" w:eastAsia="Times New Roman" w:hAnsi="Arial" w:cs="Arial"/>
          <w:bCs/>
          <w:color w:val="000000"/>
        </w:rPr>
        <w:t xml:space="preserve">. See </w:t>
      </w:r>
      <w:r w:rsidRPr="006C37DC">
        <w:rPr>
          <w:rFonts w:ascii="Arial" w:eastAsia="Times New Roman" w:hAnsi="Arial" w:cs="Arial"/>
          <w:b/>
          <w:bCs/>
          <w:color w:val="000000"/>
        </w:rPr>
        <w:t>appendix</w:t>
      </w:r>
      <w:r w:rsidRPr="006C37DC">
        <w:rPr>
          <w:rFonts w:ascii="Arial" w:eastAsia="Times New Roman" w:hAnsi="Arial" w:cs="Arial"/>
          <w:bCs/>
          <w:color w:val="000000"/>
        </w:rPr>
        <w:t xml:space="preserve"> 1 for accession details of genes used in this study. </w:t>
      </w:r>
    </w:p>
    <w:p w14:paraId="57634789" w14:textId="6D291FCD" w:rsidR="006C37DC" w:rsidRPr="006C37DC" w:rsidRDefault="00405CE5" w:rsidP="006C37DC">
      <w:pPr>
        <w:spacing w:after="160" w:line="360" w:lineRule="auto"/>
        <w:rPr>
          <w:rFonts w:ascii="Arial" w:eastAsia="Times New Roman" w:hAnsi="Arial" w:cs="Arial"/>
          <w:b/>
          <w:bCs/>
          <w:color w:val="000000"/>
          <w:u w:val="single"/>
        </w:rPr>
      </w:pPr>
      <w:r>
        <w:rPr>
          <w:rFonts w:ascii="Arial" w:eastAsia="Times New Roman" w:hAnsi="Arial" w:cs="Arial"/>
          <w:b/>
          <w:bCs/>
          <w:color w:val="000000"/>
          <w:u w:val="single"/>
        </w:rPr>
        <w:t>Predicted partial ApEPF1</w:t>
      </w:r>
      <w:r w:rsidR="006C37DC" w:rsidRPr="006C37DC">
        <w:rPr>
          <w:rFonts w:ascii="Arial" w:eastAsia="Times New Roman" w:hAnsi="Arial" w:cs="Arial"/>
          <w:b/>
          <w:bCs/>
          <w:color w:val="000000"/>
          <w:u w:val="single"/>
        </w:rPr>
        <w:t xml:space="preserve"> amino acid sequence</w:t>
      </w:r>
    </w:p>
    <w:p w14:paraId="16BC4975" w14:textId="77777777" w:rsidR="006C37DC" w:rsidRPr="006C37DC" w:rsidRDefault="006C37DC" w:rsidP="006C37DC">
      <w:pPr>
        <w:spacing w:after="160" w:line="360" w:lineRule="auto"/>
        <w:rPr>
          <w:rFonts w:ascii="Arial" w:eastAsia="Times New Roman" w:hAnsi="Arial" w:cs="Arial"/>
          <w:b/>
          <w:bCs/>
          <w:color w:val="000000"/>
        </w:rPr>
      </w:pPr>
      <w:r w:rsidRPr="006C37DC">
        <w:rPr>
          <w:rFonts w:ascii="Arial" w:eastAsia="Times New Roman" w:hAnsi="Arial" w:cs="Arial"/>
          <w:b/>
          <w:bCs/>
          <w:color w:val="000000"/>
        </w:rPr>
        <w:t>TGSSLPDCTRACGPCMPCKIVTVSYKCEACPSSYRCMCRGKAFPVP</w:t>
      </w:r>
    </w:p>
    <w:p w14:paraId="505ADC8D" w14:textId="0C3D799E" w:rsidR="006C37DC" w:rsidRPr="006C37DC" w:rsidRDefault="006C37DC" w:rsidP="006C37DC">
      <w:pPr>
        <w:spacing w:after="160" w:line="360" w:lineRule="auto"/>
        <w:rPr>
          <w:rFonts w:ascii="Arial" w:eastAsia="Times New Roman" w:hAnsi="Arial" w:cs="Arial"/>
          <w:bCs/>
          <w:color w:val="000000"/>
        </w:rPr>
      </w:pPr>
      <w:r w:rsidRPr="006C37DC">
        <w:rPr>
          <w:rFonts w:ascii="Arial" w:eastAsia="Times New Roman" w:hAnsi="Arial" w:cs="Arial"/>
          <w:b/>
          <w:bCs/>
          <w:color w:val="000000"/>
        </w:rPr>
        <w:t>Appendix 3. Partial amino acid sequen</w:t>
      </w:r>
      <w:r w:rsidR="001D2DA0">
        <w:rPr>
          <w:rFonts w:ascii="Arial" w:eastAsia="Times New Roman" w:hAnsi="Arial" w:cs="Arial"/>
          <w:b/>
          <w:bCs/>
          <w:color w:val="000000"/>
        </w:rPr>
        <w:t>ces relating to ApEPF1</w:t>
      </w:r>
      <w:r w:rsidRPr="006C37DC">
        <w:rPr>
          <w:rFonts w:ascii="Arial" w:eastAsia="Times New Roman" w:hAnsi="Arial" w:cs="Arial"/>
          <w:b/>
          <w:bCs/>
          <w:color w:val="000000"/>
        </w:rPr>
        <w:t xml:space="preserve"> used for the alignment in Figure 21.</w:t>
      </w:r>
    </w:p>
    <w:p w14:paraId="5DD19B63" w14:textId="63595577" w:rsidR="003A48AB" w:rsidRPr="006C37DC" w:rsidRDefault="003A48AB" w:rsidP="003A48AB">
      <w:pPr>
        <w:spacing w:after="160" w:line="360" w:lineRule="auto"/>
        <w:rPr>
          <w:rFonts w:ascii="Arial" w:hAnsi="Arial" w:cs="Arial"/>
        </w:rPr>
      </w:pPr>
    </w:p>
    <w:p w14:paraId="22D3615B" w14:textId="77777777" w:rsidR="003A48AB" w:rsidRDefault="003A48AB">
      <w:pPr>
        <w:rPr>
          <w:rFonts w:ascii="Arial" w:eastAsia="Times New Roman" w:hAnsi="Arial" w:cs="Arial"/>
          <w:color w:val="000000"/>
        </w:rPr>
      </w:pPr>
      <w:r>
        <w:rPr>
          <w:rFonts w:ascii="Arial" w:eastAsia="Times New Roman" w:hAnsi="Arial" w:cs="Arial"/>
          <w:color w:val="000000"/>
        </w:rPr>
        <w:br w:type="page"/>
      </w:r>
    </w:p>
    <w:p w14:paraId="224AB3AE" w14:textId="77777777" w:rsidR="003A48AB" w:rsidRPr="003A48AB" w:rsidRDefault="003A48AB" w:rsidP="003A48AB">
      <w:pPr>
        <w:spacing w:after="160" w:line="360" w:lineRule="auto"/>
        <w:rPr>
          <w:rFonts w:ascii="Arial" w:eastAsia="Yu Mincho" w:hAnsi="Arial" w:cs="Arial"/>
          <w:sz w:val="56"/>
          <w:szCs w:val="56"/>
          <w:lang w:eastAsia="en-US" w:bidi="en-US"/>
        </w:rPr>
      </w:pPr>
    </w:p>
    <w:p w14:paraId="26DBE8F6" w14:textId="77777777" w:rsidR="003A48AB" w:rsidRPr="003A48AB" w:rsidRDefault="003A48AB" w:rsidP="003A48AB">
      <w:pPr>
        <w:spacing w:after="160" w:line="360" w:lineRule="auto"/>
        <w:rPr>
          <w:rFonts w:ascii="Arial" w:eastAsia="Yu Mincho" w:hAnsi="Arial" w:cs="Arial"/>
          <w:sz w:val="56"/>
          <w:szCs w:val="56"/>
          <w:lang w:eastAsia="en-US" w:bidi="en-US"/>
        </w:rPr>
      </w:pPr>
    </w:p>
    <w:p w14:paraId="5D84FB89" w14:textId="77777777" w:rsidR="003A48AB" w:rsidRPr="003A48AB" w:rsidRDefault="003A48AB" w:rsidP="003A48AB">
      <w:pPr>
        <w:spacing w:after="160" w:line="360" w:lineRule="auto"/>
        <w:rPr>
          <w:rFonts w:ascii="Arial" w:eastAsia="Yu Mincho" w:hAnsi="Arial" w:cs="Arial"/>
          <w:sz w:val="56"/>
          <w:szCs w:val="56"/>
          <w:lang w:eastAsia="en-US" w:bidi="en-US"/>
        </w:rPr>
      </w:pPr>
    </w:p>
    <w:p w14:paraId="51B28C43" w14:textId="77777777" w:rsidR="003A48AB" w:rsidRPr="003A48AB" w:rsidRDefault="003A48AB" w:rsidP="003A48AB">
      <w:pPr>
        <w:spacing w:after="160" w:line="360" w:lineRule="auto"/>
        <w:rPr>
          <w:rFonts w:ascii="Arial" w:eastAsia="Yu Mincho" w:hAnsi="Arial" w:cs="Arial"/>
          <w:sz w:val="56"/>
          <w:szCs w:val="56"/>
          <w:u w:val="single"/>
          <w:lang w:eastAsia="en-US" w:bidi="en-US"/>
        </w:rPr>
      </w:pPr>
      <w:r w:rsidRPr="003A48AB">
        <w:rPr>
          <w:rFonts w:ascii="Arial" w:eastAsia="Yu Mincho" w:hAnsi="Arial" w:cs="Arial"/>
          <w:sz w:val="56"/>
          <w:szCs w:val="56"/>
          <w:u w:val="single"/>
          <w:lang w:eastAsia="en-US" w:bidi="en-US"/>
        </w:rPr>
        <w:t>Chapter 5:</w:t>
      </w:r>
    </w:p>
    <w:p w14:paraId="49BBC9D8" w14:textId="186E5157" w:rsidR="003A48AB" w:rsidRPr="003A48AB" w:rsidRDefault="003A48AB" w:rsidP="003A48AB">
      <w:pPr>
        <w:spacing w:after="160" w:line="360" w:lineRule="auto"/>
        <w:rPr>
          <w:rFonts w:ascii="Arial" w:eastAsia="Yu Mincho" w:hAnsi="Arial" w:cs="Arial"/>
          <w:sz w:val="56"/>
          <w:szCs w:val="56"/>
          <w:u w:val="single"/>
          <w:lang w:eastAsia="en-US" w:bidi="en-US"/>
        </w:rPr>
      </w:pPr>
      <w:r w:rsidRPr="003A48AB">
        <w:rPr>
          <w:rFonts w:ascii="Arial" w:eastAsia="Yu Mincho" w:hAnsi="Arial" w:cs="Arial"/>
          <w:sz w:val="56"/>
          <w:szCs w:val="56"/>
          <w:u w:val="single"/>
          <w:lang w:eastAsia="en-US" w:bidi="en-US"/>
        </w:rPr>
        <w:t>Stomatal size and density responses to growth at different CO</w:t>
      </w:r>
      <w:r w:rsidRPr="003A48AB">
        <w:rPr>
          <w:rFonts w:ascii="Arial" w:eastAsia="Yu Mincho" w:hAnsi="Arial" w:cs="Arial"/>
          <w:sz w:val="56"/>
          <w:szCs w:val="56"/>
          <w:u w:val="single"/>
          <w:vertAlign w:val="subscript"/>
          <w:lang w:eastAsia="en-US" w:bidi="en-US"/>
        </w:rPr>
        <w:t>2</w:t>
      </w:r>
      <w:r w:rsidR="00FA2FE3">
        <w:rPr>
          <w:rFonts w:ascii="Arial" w:eastAsia="Yu Mincho" w:hAnsi="Arial" w:cs="Arial"/>
          <w:sz w:val="56"/>
          <w:szCs w:val="56"/>
          <w:u w:val="single"/>
          <w:lang w:eastAsia="en-US" w:bidi="en-US"/>
        </w:rPr>
        <w:t xml:space="preserve"> concentrations in </w:t>
      </w:r>
      <w:r w:rsidRPr="003A48AB">
        <w:rPr>
          <w:rFonts w:ascii="Arial" w:eastAsia="Yu Mincho" w:hAnsi="Arial" w:cs="Arial"/>
          <w:sz w:val="56"/>
          <w:szCs w:val="56"/>
          <w:u w:val="single"/>
          <w:lang w:eastAsia="en-US" w:bidi="en-US"/>
        </w:rPr>
        <w:t>non-vascular land plants</w:t>
      </w:r>
    </w:p>
    <w:p w14:paraId="443B45B3" w14:textId="77777777" w:rsidR="003A48AB" w:rsidRPr="003A48AB" w:rsidRDefault="003A48AB" w:rsidP="003A48AB">
      <w:pPr>
        <w:spacing w:after="160" w:line="360" w:lineRule="auto"/>
        <w:rPr>
          <w:rFonts w:ascii="Arial" w:eastAsia="Yu Mincho" w:hAnsi="Arial" w:cs="Arial"/>
          <w:sz w:val="56"/>
          <w:szCs w:val="56"/>
          <w:lang w:eastAsia="en-US" w:bidi="en-US"/>
        </w:rPr>
      </w:pPr>
    </w:p>
    <w:p w14:paraId="30EDC2E3" w14:textId="77777777" w:rsidR="003A48AB" w:rsidRPr="003A48AB" w:rsidRDefault="003A48AB" w:rsidP="003A48AB">
      <w:pPr>
        <w:spacing w:after="160" w:line="360" w:lineRule="auto"/>
        <w:rPr>
          <w:rFonts w:ascii="Arial" w:eastAsia="Yu Mincho" w:hAnsi="Arial" w:cs="Arial"/>
          <w:lang w:eastAsia="en-US" w:bidi="en-US"/>
        </w:rPr>
      </w:pPr>
    </w:p>
    <w:p w14:paraId="2C5A56A8" w14:textId="77777777" w:rsidR="003A48AB" w:rsidRPr="003A48AB" w:rsidRDefault="003A48AB" w:rsidP="003A48AB">
      <w:pPr>
        <w:spacing w:after="160" w:line="360" w:lineRule="auto"/>
        <w:rPr>
          <w:rFonts w:ascii="Arial" w:eastAsia="Yu Mincho" w:hAnsi="Arial" w:cs="Arial"/>
          <w:u w:val="single"/>
          <w:lang w:eastAsia="en-US" w:bidi="en-US"/>
        </w:rPr>
      </w:pPr>
    </w:p>
    <w:p w14:paraId="20BB3CDB" w14:textId="77777777" w:rsidR="003A48AB" w:rsidRPr="003A48AB" w:rsidRDefault="003A48AB" w:rsidP="003A48AB">
      <w:pPr>
        <w:spacing w:after="160" w:line="360" w:lineRule="auto"/>
        <w:rPr>
          <w:rFonts w:ascii="Arial" w:eastAsia="Yu Mincho" w:hAnsi="Arial" w:cs="Arial"/>
          <w:lang w:eastAsia="en-US" w:bidi="en-US"/>
        </w:rPr>
      </w:pPr>
    </w:p>
    <w:p w14:paraId="4A1A5E85" w14:textId="77777777" w:rsidR="003A48AB" w:rsidRPr="003A48AB" w:rsidRDefault="003A48AB" w:rsidP="003A48AB">
      <w:pPr>
        <w:spacing w:after="160" w:line="360" w:lineRule="auto"/>
        <w:rPr>
          <w:rFonts w:ascii="Arial" w:eastAsia="Times New Roman" w:hAnsi="Arial" w:cs="Arial"/>
          <w:b/>
          <w:color w:val="000000"/>
          <w:lang w:eastAsia="en-US" w:bidi="en-US"/>
        </w:rPr>
      </w:pPr>
      <w:r w:rsidRPr="003A48AB">
        <w:rPr>
          <w:rFonts w:ascii="Arial" w:eastAsia="Times New Roman" w:hAnsi="Arial" w:cs="Arial"/>
          <w:b/>
          <w:color w:val="000000"/>
          <w:lang w:eastAsia="en-US" w:bidi="en-US"/>
        </w:rPr>
        <w:br w:type="page"/>
      </w:r>
    </w:p>
    <w:p w14:paraId="70A900A9" w14:textId="77777777" w:rsidR="003A48AB" w:rsidRPr="003A48AB" w:rsidRDefault="003A48AB" w:rsidP="003A48AB">
      <w:pPr>
        <w:spacing w:after="160" w:line="360" w:lineRule="auto"/>
        <w:rPr>
          <w:rFonts w:ascii="Arial" w:eastAsia="Yu Mincho" w:hAnsi="Arial" w:cs="Arial"/>
          <w:b/>
          <w:u w:val="single"/>
          <w:lang w:eastAsia="en-US" w:bidi="en-US"/>
        </w:rPr>
      </w:pPr>
      <w:r w:rsidRPr="003A48AB">
        <w:rPr>
          <w:rFonts w:ascii="Arial" w:eastAsia="Yu Mincho" w:hAnsi="Arial" w:cs="Arial"/>
          <w:b/>
          <w:u w:val="single"/>
          <w:lang w:eastAsia="en-US" w:bidi="en-US"/>
        </w:rPr>
        <w:lastRenderedPageBreak/>
        <w:t>5.1 Introduction</w:t>
      </w:r>
    </w:p>
    <w:p w14:paraId="1E8B4643" w14:textId="3F32602A" w:rsidR="003A48AB" w:rsidRPr="003A48AB" w:rsidRDefault="003A48AB" w:rsidP="003A48AB">
      <w:pPr>
        <w:spacing w:after="160" w:line="360" w:lineRule="auto"/>
        <w:rPr>
          <w:rFonts w:ascii="Arial" w:eastAsia="Yu Mincho" w:hAnsi="Arial" w:cs="Arial"/>
          <w:u w:val="single"/>
          <w:lang w:eastAsia="en-US" w:bidi="en-US"/>
        </w:rPr>
      </w:pPr>
      <w:r w:rsidRPr="003A48AB">
        <w:rPr>
          <w:rFonts w:ascii="Arial" w:eastAsia="Yu Mincho" w:hAnsi="Arial" w:cs="Arial"/>
          <w:lang w:eastAsia="en-US" w:bidi="en-US"/>
        </w:rPr>
        <w:t xml:space="preserve">How environmental responses are elicited in plants has become a pressing area of study in recent years owing to the rapid changes in climate associated with anthropogenic global warming </w:t>
      </w:r>
      <w:r w:rsidRPr="003A48AB">
        <w:rPr>
          <w:rFonts w:ascii="Arial" w:eastAsia="Yu Mincho" w:hAnsi="Arial" w:cs="Arial"/>
          <w:lang w:eastAsia="en-US" w:bidi="en-US"/>
        </w:rPr>
        <w:fldChar w:fldCharType="begin">
          <w:fldData xml:space="preserve">PEVuZE5vdGU+PENpdGU+PEF1dGhvcj5IZXB3b3J0aDwvQXV0aG9yPjxZZWFyPjIwMTU8L1llYXI+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PEVuZE5vdGU+PENpdGU+PEF1dGhvcj5IZXB3b3J0aDwvQXV0aG9yPjxZZWFyPjIwMTU8L1llYXI+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(Bita and Gerats, 2013; Hepworth et al., 2015; Lake and Woodward, 2008)</w:t>
      </w:r>
      <w:r w:rsidRPr="003A48AB">
        <w:rPr>
          <w:rFonts w:ascii="Arial" w:eastAsia="Yu Mincho" w:hAnsi="Arial" w:cs="Arial"/>
          <w:lang w:eastAsia="en-US" w:bidi="en-US"/>
        </w:rPr>
        <w:fldChar w:fldCharType="end"/>
      </w:r>
      <w:r w:rsidRPr="003A48AB">
        <w:rPr>
          <w:rFonts w:ascii="Arial" w:eastAsia="Yu Mincho" w:hAnsi="Arial" w:cs="Arial"/>
          <w:lang w:eastAsia="en-US" w:bidi="en-US"/>
        </w:rPr>
        <w:t>. One of the environmental factors associated with global warming is an increase in global atmospheric CO</w:t>
      </w:r>
      <w:r w:rsidRPr="003A48AB">
        <w:rPr>
          <w:rFonts w:ascii="Arial" w:eastAsia="Yu Mincho" w:hAnsi="Arial" w:cs="Arial"/>
          <w:vertAlign w:val="subscript"/>
          <w:lang w:eastAsia="en-US" w:bidi="en-US"/>
        </w:rPr>
        <w:t xml:space="preserve">2 </w:t>
      </w:r>
      <w:r w:rsidRPr="003A48AB">
        <w:rPr>
          <w:rFonts w:ascii="Arial" w:eastAsia="Yu Mincho" w:hAnsi="Arial" w:cs="Arial"/>
          <w:lang w:eastAsia="en-US" w:bidi="en-US"/>
        </w:rPr>
        <w:t xml:space="preserve">concentrations </w:t>
      </w:r>
      <w:r w:rsidRPr="003A48AB">
        <w:rPr>
          <w:rFonts w:ascii="Arial" w:eastAsia="Yu Mincho" w:hAnsi="Arial" w:cs="Arial"/>
          <w:lang w:eastAsia="en-US" w:bidi="en-US"/>
        </w:rPr>
        <w:fldChar w:fldCharType="begin"/>
      </w:r>
      <w:r w:rsidRPr="003A48AB">
        <w:rPr>
          <w:rFonts w:ascii="Arial" w:eastAsia="Yu Mincho" w:hAnsi="Arial" w:cs="Arial"/>
          <w:lang w:eastAsia="en-US" w:bidi="en-US"/>
        </w:rPr>
        <w:instrText xml:space="preserve"> ADDIN EN.CITE &lt;EndNote&gt;&lt;Cite&gt;&lt;Author&gt;Solomon&lt;/Author&gt;&lt;Year&gt;2009&lt;/Year&gt;&lt;IDText&gt;Irreversible climate change due to carbon dioxide emissions&lt;/IDText&gt;&lt;DisplayText&gt;(Solomon et al., 2009)&lt;/DisplayText&gt;&lt;record&gt;&lt;dates&gt;&lt;pub-dates&gt;&lt;date&gt;Feb 10&lt;/date&gt;&lt;/pub-dates&gt;&lt;year&gt;2009&lt;/year&gt;&lt;/dates&gt;&lt;keywords&gt;&lt;keyword&gt;*Air Pollution&lt;/keyword&gt;&lt;keyword&gt;*Carbon Dioxide&lt;/keyword&gt;&lt;keyword&gt;*Climate&lt;/keyword&gt;&lt;keyword&gt;Environment&lt;/keyword&gt;&lt;keyword&gt;Forecasting&lt;/keyword&gt;&lt;keyword&gt;Greenhouse Effect&lt;/keyword&gt;&lt;keyword&gt;Oceans and Seas&lt;/keyword&gt;&lt;/keywords&gt;&lt;isbn&gt;0027-8424&lt;/isbn&gt;&lt;custom2&gt;PMC2632717&lt;/custom2&gt;&lt;titles&gt;&lt;title&gt;Irreversible climate change due to carbon dioxide emissions&lt;/title&gt;&lt;secondary-title&gt;Proc Natl Acad Sci U S A&lt;/secondary-title&gt;&lt;alt-title&gt;Proceedings of the National Academy of Sciences of the United States of America&lt;/alt-title&gt;&lt;/titles&gt;&lt;pages&gt;1704-9&lt;/pages&gt;&lt;number&gt;6&lt;/number&gt;&lt;contributors&gt;&lt;authors&gt;&lt;author&gt;Solomon, S.&lt;/author&gt;&lt;author&gt;Plattner, G. K.&lt;/author&gt;&lt;author&gt;Knutti, R.&lt;/author&gt;&lt;author&gt;Friedlingstein, P.&lt;/author&gt;&lt;/authors&gt;&lt;/contributors&gt;&lt;edition&gt;2009/01/31&lt;/edition&gt;&lt;language&gt;eng&lt;/language&gt;&lt;added-date format="utc"&gt;1455272328&lt;/added-date&gt;&lt;ref-type name="Journal Article"&gt;17&lt;/ref-type&gt;&lt;auth-address&gt;Chemical Sciences Division, Earth System Research Laboratory, National Oceanic and Atmospheric Administration, Boulder, CO 80305, USA. susan.solomon@noaa.gov&lt;/auth-address&gt;&lt;remote-database-provider&gt;NLM&lt;/remote-database-provider&gt;&lt;rec-number&gt;827&lt;/rec-number&gt;&lt;last-updated-date format="utc"&gt;1455272328&lt;/last-updated-date&gt;&lt;accession-num&gt;19179281&lt;/accession-num&gt;&lt;electronic-resource-num&gt;10.1073/pnas.0812721106&lt;/electronic-resource-num&gt;&lt;volume&gt;106&lt;/volume&gt;&lt;/record&gt;&lt;/Cite&gt;&lt;/EndNote&gt;</w:instrText>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(Solomon et al., 2009)</w:t>
      </w:r>
      <w:r w:rsidRPr="003A48AB">
        <w:rPr>
          <w:rFonts w:ascii="Arial" w:eastAsia="Yu Mincho" w:hAnsi="Arial" w:cs="Arial"/>
          <w:lang w:eastAsia="en-US" w:bidi="en-US"/>
        </w:rPr>
        <w:fldChar w:fldCharType="end"/>
      </w:r>
      <w:r w:rsidRPr="003A48AB">
        <w:rPr>
          <w:rFonts w:ascii="Arial" w:eastAsia="Yu Mincho" w:hAnsi="Arial" w:cs="Arial"/>
          <w:lang w:eastAsia="en-US" w:bidi="en-US"/>
        </w:rPr>
        <w:t>. Plants acquire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through their stomata which also act concurrently to moderate water loss. When local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become low, the turgor pressure of stomatal guard cells increases leading to increases in the central pore aperture size, resulting in a greater influx of atmospheric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into the sub-stomatal cavity </w:t>
      </w:r>
      <w:r w:rsidRPr="003A48AB">
        <w:rPr>
          <w:rFonts w:ascii="Arial" w:eastAsia="Yu Mincho" w:hAnsi="Arial" w:cs="Arial"/>
          <w:lang w:eastAsia="en-US" w:bidi="en-US"/>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bjwvSURUZXh0PjxEaXNwbGF5VGV4dD4oQ2hhdGVyIGV0IGFsLiwgMjAxMTsgWmVpZ2VyIGV0IGFs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</w:fldData>
        </w:fldChar>
      </w:r>
      <w:r w:rsidRPr="003A48AB">
        <w:rPr>
          <w:rFonts w:ascii="Arial" w:eastAsia="Yu Mincho" w:hAnsi="Arial" w:cs="Arial"/>
          <w:lang w:eastAsia="en-US" w:bidi="en-US"/>
        </w:rPr>
        <w:instrText xml:space="preserve"> ADDIN EN.CITE </w:instrText>
      </w:r>
      <w:r w:rsidRPr="003A48AB">
        <w:rPr>
          <w:rFonts w:ascii="Arial" w:eastAsia="Yu Mincho" w:hAnsi="Arial" w:cs="Arial"/>
          <w:lang w:eastAsia="en-US" w:bidi="en-US"/>
        </w:rPr>
        <w:fldChar w:fldCharType="begin">
          <w:fldData xml:space="preserve">PEVuZE5vdGU+PENpdGU+PEF1dGhvcj5DaGF0ZXI8L0F1dGhvcj48WWVhcj4yMDExPC9ZZWFyPjxJ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</w:fldData>
        </w:fldChar>
      </w:r>
      <w:r w:rsidRPr="003A48AB">
        <w:rPr>
          <w:rFonts w:ascii="Arial" w:eastAsia="Yu Mincho" w:hAnsi="Arial" w:cs="Arial"/>
          <w:lang w:eastAsia="en-US" w:bidi="en-US"/>
        </w:rPr>
        <w:instrText xml:space="preserve"> ADDIN EN.CITE.DATA </w:instrText>
      </w:r>
      <w:r w:rsidRPr="003A48AB">
        <w:rPr>
          <w:rFonts w:ascii="Arial" w:eastAsia="Yu Mincho" w:hAnsi="Arial" w:cs="Arial"/>
          <w:lang w:eastAsia="en-US" w:bidi="en-US"/>
        </w:rPr>
      </w:r>
      <w:r w:rsidRPr="003A48AB">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(Chater et al., 2011; Zeiger et al., 1987)</w:t>
      </w:r>
      <w:r w:rsidRPr="003A48AB">
        <w:rPr>
          <w:rFonts w:ascii="Arial" w:eastAsia="Yu Mincho" w:hAnsi="Arial" w:cs="Arial"/>
          <w:lang w:eastAsia="en-US" w:bidi="en-US"/>
        </w:rPr>
        <w:fldChar w:fldCharType="end"/>
      </w:r>
      <w:r w:rsidRPr="003A48AB">
        <w:rPr>
          <w:rFonts w:ascii="Arial" w:eastAsia="Yu Mincho" w:hAnsi="Arial" w:cs="Arial"/>
          <w:lang w:eastAsia="en-US" w:bidi="en-US"/>
        </w:rPr>
        <w:t>. Conversely, when local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w:t>
      </w:r>
      <w:r w:rsidR="00DF79C2">
        <w:rPr>
          <w:rFonts w:ascii="Arial" w:eastAsia="Yu Mincho" w:hAnsi="Arial" w:cs="Arial"/>
          <w:lang w:eastAsia="en-US" w:bidi="en-US"/>
        </w:rPr>
        <w:t xml:space="preserve"> are</w:t>
      </w:r>
      <w:r w:rsidRPr="003A48AB">
        <w:rPr>
          <w:rFonts w:ascii="Arial" w:eastAsia="Yu Mincho" w:hAnsi="Arial" w:cs="Arial"/>
          <w:lang w:eastAsia="en-US" w:bidi="en-US"/>
        </w:rPr>
        <w:t xml:space="preserve"> higher, stomatal guard cell turgor reduces leading to a reduction in the size of pore aperture </w:t>
      </w:r>
      <w:r w:rsidRPr="003A48AB">
        <w:rPr>
          <w:rFonts w:ascii="Arial" w:eastAsia="Yu Mincho" w:hAnsi="Arial" w:cs="Arial"/>
          <w:lang w:eastAsia="en-US" w:bidi="en-US"/>
        </w:rPr>
        <w:fldChar w:fldCharType="begin">
          <w:fldData xml:space="preserve">PEVuZE5vdGU+PENpdGU+PEF1dGhvcj5DaGF0ZXI8L0F1dGhvcj48WWVhcj4yMDE1PC9ZZWFyPjxJ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PEVuZE5vdGU+PENpdGU+PEF1dGhvcj5DaGF0ZXI8L0F1dGhvcj48WWVhcj4yMDE1PC9ZZWFyPjxJ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(Chater et al., 2015)</w:t>
      </w:r>
      <w:r w:rsidRPr="003A48AB">
        <w:rPr>
          <w:rFonts w:ascii="Arial" w:eastAsia="Yu Mincho" w:hAnsi="Arial" w:cs="Arial"/>
          <w:lang w:eastAsia="en-US" w:bidi="en-US"/>
        </w:rPr>
        <w:fldChar w:fldCharType="end"/>
      </w:r>
      <w:r w:rsidRPr="003A48AB">
        <w:rPr>
          <w:rFonts w:ascii="Arial" w:eastAsia="Yu Mincho" w:hAnsi="Arial" w:cs="Arial"/>
          <w:lang w:eastAsia="en-US" w:bidi="en-US"/>
        </w:rPr>
        <w:t>. These mechanisms allow plants to adapt to short term fluxes in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availability thereby limiting unnecessary water loss. Whilst in more later diverging lineages stomata have been shown to respond actively to stimuli such as hormone ABA and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in earlier diverging land plant lineages whether stomata respond to such stimuli is more controversial, especially within bryophytes </w:t>
      </w:r>
      <w:r w:rsidRPr="003A48AB">
        <w:rPr>
          <w:rFonts w:ascii="Arial" w:eastAsia="Yu Mincho" w:hAnsi="Arial" w:cs="Arial"/>
          <w:lang w:eastAsia="en-US" w:bidi="en-US"/>
        </w:rPr>
        <w:fldChar w:fldCharType="begin">
          <w:fldData xml:space="preserve">PEVuZE5vdGU+PENpdGU+PEF1dGhvcj5Ccm9kcmliYjwvQXV0aG9yPjxZZWFyPjIwMDk8L1llYXI+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PEVuZE5vdGU+PENpdGU+PEF1dGhvcj5Ccm9kcmliYjwvQXV0aG9yPjxZZWFyPjIwMDk8L1llYXI+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(Brodribb et al., 2009; Field et al., 2015; Franks and Britton-Harper, 2016; Pressel et al., 2014)</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w:t>
      </w:r>
    </w:p>
    <w:p w14:paraId="60133D59" w14:textId="69F4B5B2"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As well as being able to adjust guard cell apertures in the short term in response to environmental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fluxes, over the course of evolutionary time many land plants have acquired mechanisms to alter the size (S) and density (D) of stomata during development in response to the surrounding atmospheric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t>
      </w:r>
      <w:r w:rsidRPr="003A48AB">
        <w:rPr>
          <w:rFonts w:ascii="Arial" w:eastAsia="Yu Mincho" w:hAnsi="Arial" w:cs="Arial"/>
          <w:lang w:eastAsia="en-US" w:bidi="en-US"/>
        </w:rPr>
        <w:fldChar w:fldCharType="begin">
          <w:fldData xml:space="preserve">PEVuZE5vdGU+PENpdGU+PEF1dGhvcj5GcmFua3M8L0F1dGhvcj48WWVhcj4yMDA5PC9ZZWFyPjxJ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PEVuZE5vdGU+PENpdGU+PEF1dGhvcj5GcmFua3M8L0F1dGhvcj48WWVhcj4yMDA5PC9ZZWFyPjxJ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(Chater et al., 2015; Franks and Beerling, 2009; Franks et al., 2012; McElwain and Chaloner, 1995)</w:t>
      </w:r>
      <w:r w:rsidRPr="003A48AB">
        <w:rPr>
          <w:rFonts w:ascii="Arial" w:eastAsia="Yu Mincho" w:hAnsi="Arial" w:cs="Arial"/>
          <w:lang w:eastAsia="en-US" w:bidi="en-US"/>
        </w:rPr>
        <w:fldChar w:fldCharType="end"/>
      </w:r>
      <w:r w:rsidRPr="003A48AB">
        <w:rPr>
          <w:rFonts w:ascii="Arial" w:eastAsia="Yu Mincho" w:hAnsi="Arial" w:cs="Arial"/>
          <w:lang w:eastAsia="en-US" w:bidi="en-US"/>
        </w:rPr>
        <w:t>. Note, D is the number of stomata per unit area and is normally given in mm</w:t>
      </w:r>
      <w:r w:rsidRPr="003A48AB">
        <w:rPr>
          <w:rFonts w:ascii="Arial" w:eastAsia="Yu Mincho" w:hAnsi="Arial" w:cs="Arial"/>
          <w:vertAlign w:val="superscript"/>
          <w:lang w:eastAsia="en-US" w:bidi="en-US"/>
        </w:rPr>
        <w:t>2</w:t>
      </w:r>
      <w:r w:rsidRPr="003A48AB">
        <w:rPr>
          <w:rFonts w:ascii="Arial" w:eastAsia="Yu Mincho" w:hAnsi="Arial" w:cs="Arial"/>
          <w:lang w:eastAsia="en-US" w:bidi="en-US"/>
        </w:rPr>
        <w:t>. When atmospheric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are high, plants tend and have tended to increase S and reduce D. Conversely, when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are low, the opposite occurs: stomatal S decreases and D increases. By analysing fossil data from a large assortment of fossilised plants cuticles over evolutionary time Beerling and Franks </w:t>
      </w:r>
      <w:r w:rsidRPr="003A48AB">
        <w:rPr>
          <w:rFonts w:ascii="Arial" w:eastAsia="Yu Mincho" w:hAnsi="Arial" w:cs="Arial"/>
          <w:lang w:eastAsia="en-US" w:bidi="en-US"/>
        </w:rPr>
        <w:fldChar w:fldCharType="begin"/>
      </w:r>
      <w:r w:rsidRPr="003A48AB">
        <w:rPr>
          <w:rFonts w:ascii="Arial" w:eastAsia="Yu Mincho" w:hAnsi="Arial" w:cs="Arial"/>
          <w:lang w:eastAsia="en-US" w:bidi="en-US"/>
        </w:rPr>
        <w:instrText xml:space="preserve"> ADDIN EN.CITE &lt;EndNote&gt;&lt;Cite ExcludeAuth="1"&gt;&lt;Author&gt;Beerling&lt;/Author&gt;&lt;Year&gt;2009&lt;/Year&gt;&lt;IDText&gt;Evolution of stomatal function in ‘lower’ land plants&lt;/IDText&gt;&lt;DisplayText&gt;(2009)&lt;/DisplayText&gt;&lt;record&gt;&lt;keywords&gt;&lt;keyword&gt;early land plants&lt;/keyword&gt;&lt;keyword&gt;evo-devo&lt;/keyword&gt;&lt;keyword&gt;evolution&lt;/keyword&gt;&lt;keyword&gt;guard cells&lt;/keyword&gt;&lt;keyword&gt;mosses&lt;/keyword&gt;&lt;keyword&gt;stomatal mechanics&lt;/keyword&gt;&lt;/keywords&gt;&lt;urls&gt;&lt;related-urls&gt;&lt;url&gt;http://dx.doi.org/10.1111/j.1469-8137.2009.02973.x&lt;/url&gt;&lt;/related-urls&gt;&lt;/urls&gt;&lt;isbn&gt;1469-8137&lt;/isbn&gt;&lt;titles&gt;&lt;title&gt;Evolution of stomatal function in ‘lower’ land plants&lt;/title&gt;&lt;secondary-title&gt;New Phytologist&lt;/secondary-title&gt;&lt;/titles&gt;&lt;pages&gt;921-925&lt;/pages&gt;&lt;number&gt;4&lt;/number&gt;&lt;contributors&gt;&lt;authors&gt;&lt;author&gt;Beerling, David J.&lt;/author&gt;&lt;author&gt;Franks, Peter J.&lt;/author&gt;&lt;/authors&gt;&lt;/contributors&gt;&lt;added-date format="utc"&gt;1453213448&lt;/added-date&gt;&lt;ref-type name="Journal Article"&gt;17&lt;/ref-type&gt;&lt;dates&gt;&lt;year&gt;2009&lt;/year&gt;&lt;/dates&gt;&lt;rec-number&gt;429&lt;/rec-number&gt;&lt;publisher&gt;Blackwell Publishing Ltd&lt;/publisher&gt;&lt;last-updated-date format="utc"&gt;1453213448&lt;/last-updated-date&gt;&lt;electronic-resource-num&gt;10.1111/j.1469-8137.2009.02973.x&lt;/electronic-resource-num&gt;&lt;volume&gt;183&lt;/volume&gt;&lt;/record&gt;&lt;/Cite&gt;&lt;/EndNote&gt;</w:instrText>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(2009)</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highlight using physical diffusion theory how by reducing S and increasing D, plants would have been able to maximise leaf stomatal conductance thereby optimising carbon acquisition in low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environments. Although it appears that such responses are fairly common in vascular land plants </w:t>
      </w:r>
      <w:r w:rsidRPr="003A48AB">
        <w:rPr>
          <w:rFonts w:ascii="Arial" w:eastAsia="Yu Mincho" w:hAnsi="Arial" w:cs="Arial"/>
          <w:lang w:eastAsia="en-US" w:bidi="en-US"/>
        </w:rPr>
        <w:fldChar w:fldCharType="begin">
          <w:fldData xml:space="preserve">PEVuZE5vdGU+PENpdGU+PEF1dGhvcj5GcmFua3M8L0F1dGhvcj48WWVhcj4yMDEyPC9ZZWFyPjxJ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</w:fldData>
        </w:fldChar>
      </w:r>
      <w:r w:rsidRPr="003A48AB">
        <w:rPr>
          <w:rFonts w:ascii="Arial" w:eastAsia="Yu Mincho" w:hAnsi="Arial" w:cs="Arial"/>
          <w:lang w:eastAsia="en-US" w:bidi="en-US"/>
        </w:rPr>
        <w:instrText xml:space="preserve"> ADDIN EN.CITE </w:instrText>
      </w:r>
      <w:r w:rsidRPr="003A48AB">
        <w:rPr>
          <w:rFonts w:ascii="Arial" w:eastAsia="Yu Mincho" w:hAnsi="Arial" w:cs="Arial"/>
          <w:lang w:eastAsia="en-US" w:bidi="en-US"/>
        </w:rPr>
        <w:fldChar w:fldCharType="begin">
          <w:fldData xml:space="preserve">PEVuZE5vdGU+PENpdGU+PEF1dGhvcj5GcmFua3M8L0F1dGhvcj48WWVhcj4yMDEyPC9ZZWFyPjxJ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</w:fldData>
        </w:fldChar>
      </w:r>
      <w:r w:rsidRPr="003A48AB">
        <w:rPr>
          <w:rFonts w:ascii="Arial" w:eastAsia="Yu Mincho" w:hAnsi="Arial" w:cs="Arial"/>
          <w:lang w:eastAsia="en-US" w:bidi="en-US"/>
        </w:rPr>
        <w:instrText xml:space="preserve"> ADDIN EN.CITE.DATA </w:instrText>
      </w:r>
      <w:r w:rsidRPr="003A48AB">
        <w:rPr>
          <w:rFonts w:ascii="Arial" w:eastAsia="Yu Mincho" w:hAnsi="Arial" w:cs="Arial"/>
          <w:lang w:eastAsia="en-US" w:bidi="en-US"/>
        </w:rPr>
      </w:r>
      <w:r w:rsidRPr="003A48AB">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(Franks et al., 2012)</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up until recently, there was no data to show whether such developmental responses occurred in non-vascular land plants. A newly published paper by Field and colleagues </w:t>
      </w:r>
      <w:r w:rsidRPr="003A48AB">
        <w:rPr>
          <w:rFonts w:ascii="Arial" w:eastAsia="Yu Mincho" w:hAnsi="Arial" w:cs="Arial"/>
          <w:lang w:eastAsia="en-US" w:bidi="en-US"/>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(2015)</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suggests that unlike </w:t>
      </w:r>
      <w:r w:rsidR="00EC52FA">
        <w:rPr>
          <w:rFonts w:ascii="Arial" w:eastAsia="Yu Mincho" w:hAnsi="Arial" w:cs="Arial"/>
          <w:lang w:eastAsia="en-US" w:bidi="en-US"/>
        </w:rPr>
        <w:t>in vascular land plants, the non-vascular land plant</w:t>
      </w:r>
      <w:r w:rsidRPr="003A48AB">
        <w:rPr>
          <w:rFonts w:ascii="Arial" w:eastAsia="Yu Mincho" w:hAnsi="Arial" w:cs="Arial"/>
          <w:lang w:eastAsia="en-US" w:bidi="en-US"/>
        </w:rPr>
        <w:t xml:space="preserve"> mosses and hornworts </w:t>
      </w:r>
      <w:r w:rsidR="00EC52FA">
        <w:rPr>
          <w:rFonts w:ascii="Arial" w:eastAsia="Yu Mincho" w:hAnsi="Arial" w:cs="Arial"/>
          <w:lang w:eastAsia="en-US" w:bidi="en-US"/>
        </w:rPr>
        <w:t xml:space="preserve">do not show </w:t>
      </w:r>
      <w:r w:rsidRPr="003A48AB">
        <w:rPr>
          <w:rFonts w:ascii="Arial" w:eastAsia="Yu Mincho" w:hAnsi="Arial" w:cs="Arial"/>
          <w:lang w:eastAsia="en-US" w:bidi="en-US"/>
        </w:rPr>
        <w:t>stomatal S and D response</w:t>
      </w:r>
      <w:r w:rsidR="00EC52FA">
        <w:rPr>
          <w:rFonts w:ascii="Arial" w:eastAsia="Yu Mincho" w:hAnsi="Arial" w:cs="Arial"/>
          <w:lang w:eastAsia="en-US" w:bidi="en-US"/>
        </w:rPr>
        <w:t>s to CO</w:t>
      </w:r>
      <w:r w:rsidR="00EC52FA">
        <w:rPr>
          <w:rFonts w:ascii="Arial" w:eastAsia="Yu Mincho" w:hAnsi="Arial" w:cs="Arial"/>
          <w:vertAlign w:val="subscript"/>
          <w:lang w:eastAsia="en-US" w:bidi="en-US"/>
        </w:rPr>
        <w:t>2</w:t>
      </w:r>
      <w:r w:rsidR="00EC52FA">
        <w:rPr>
          <w:rFonts w:ascii="Arial" w:eastAsia="Yu Mincho" w:hAnsi="Arial" w:cs="Arial"/>
          <w:lang w:eastAsia="en-US" w:bidi="en-US"/>
        </w:rPr>
        <w:t xml:space="preserve">. </w:t>
      </w:r>
      <w:r w:rsidRPr="003A48AB">
        <w:rPr>
          <w:rFonts w:ascii="Arial" w:eastAsia="Yu Mincho" w:hAnsi="Arial" w:cs="Arial"/>
          <w:lang w:eastAsia="en-US" w:bidi="en-US"/>
        </w:rPr>
        <w:t xml:space="preserve">This is of particular interest when compared to the work which will be presented in this chapter which also addresses whether early vascular </w:t>
      </w:r>
      <w:r w:rsidRPr="003A48AB">
        <w:rPr>
          <w:rFonts w:ascii="Arial" w:eastAsia="Yu Mincho" w:hAnsi="Arial" w:cs="Arial"/>
          <w:lang w:eastAsia="en-US" w:bidi="en-US"/>
        </w:rPr>
        <w:lastRenderedPageBreak/>
        <w:t>land plants can adjust S and D when grown under sub-ambient, ambient and elevated CO</w:t>
      </w:r>
      <w:r w:rsidRPr="003A48AB">
        <w:rPr>
          <w:rFonts w:ascii="Arial" w:eastAsia="Yu Mincho" w:hAnsi="Arial" w:cs="Arial"/>
          <w:vertAlign w:val="subscript"/>
          <w:lang w:eastAsia="en-US" w:bidi="en-US"/>
        </w:rPr>
        <w:t xml:space="preserve">2 </w:t>
      </w:r>
      <w:r w:rsidRPr="003A48AB">
        <w:rPr>
          <w:rFonts w:ascii="Arial" w:eastAsia="Yu Mincho" w:hAnsi="Arial" w:cs="Arial"/>
          <w:lang w:eastAsia="en-US" w:bidi="en-US"/>
        </w:rPr>
        <w:t>conditions.</w:t>
      </w:r>
    </w:p>
    <w:p w14:paraId="5D256455" w14:textId="18B818E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 xml:space="preserve">A number of publications have highlighted how light is also a very important factor during stomatal development in vascular land plants </w:t>
      </w:r>
      <w:r w:rsidRPr="003A48AB">
        <w:rPr>
          <w:rFonts w:ascii="Arial" w:eastAsia="Yu Mincho" w:hAnsi="Arial" w:cs="Arial"/>
          <w:lang w:eastAsia="en-US" w:bidi="en-US"/>
        </w:rPr>
        <w:fldChar w:fldCharType="begin">
          <w:fldData xml:space="preserve">PEVuZE5vdGU+PENpdGU+PEF1dGhvcj5DYXNzb248L0F1dGhvcj48WWVhcj4yMDA5PC9ZZWFyPjxJ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</w:fldData>
        </w:fldChar>
      </w:r>
      <w:r w:rsidRPr="003A48AB">
        <w:rPr>
          <w:rFonts w:ascii="Arial" w:eastAsia="Yu Mincho" w:hAnsi="Arial" w:cs="Arial"/>
          <w:lang w:eastAsia="en-US" w:bidi="en-US"/>
        </w:rPr>
        <w:instrText xml:space="preserve"> ADDIN EN.CITE </w:instrText>
      </w:r>
      <w:r w:rsidRPr="003A48AB">
        <w:rPr>
          <w:rFonts w:ascii="Arial" w:eastAsia="Yu Mincho" w:hAnsi="Arial" w:cs="Arial"/>
          <w:lang w:eastAsia="en-US" w:bidi="en-US"/>
        </w:rPr>
        <w:fldChar w:fldCharType="begin">
          <w:fldData xml:space="preserve">PEVuZE5vdGU+PENpdGU+PEF1dGhvcj5DYXNzb248L0F1dGhvcj48WWVhcj4yMDA5PC9ZZWFyPjxJ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</w:fldData>
        </w:fldChar>
      </w:r>
      <w:r w:rsidRPr="003A48AB">
        <w:rPr>
          <w:rFonts w:ascii="Arial" w:eastAsia="Yu Mincho" w:hAnsi="Arial" w:cs="Arial"/>
          <w:lang w:eastAsia="en-US" w:bidi="en-US"/>
        </w:rPr>
        <w:instrText xml:space="preserve"> ADDIN EN.CITE.DATA </w:instrText>
      </w:r>
      <w:r w:rsidRPr="003A48AB">
        <w:rPr>
          <w:rFonts w:ascii="Arial" w:eastAsia="Yu Mincho" w:hAnsi="Arial" w:cs="Arial"/>
          <w:lang w:eastAsia="en-US" w:bidi="en-US"/>
        </w:rPr>
      </w:r>
      <w:r w:rsidRPr="003A48AB">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(Casson et al., 2009; Casson and Hetherington, 2014; Kang et al., 2009)</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In general, an increase in light leads to an increase in D and stomatal index (SI) of mature rosette leaves in Arabidopsis </w:t>
      </w:r>
      <w:r w:rsidRPr="003A48AB">
        <w:rPr>
          <w:rFonts w:ascii="Arial" w:eastAsia="Yu Mincho" w:hAnsi="Arial" w:cs="Arial"/>
          <w:lang w:eastAsia="en-US" w:bidi="en-US"/>
        </w:rPr>
        <w:fldChar w:fldCharType="begin"/>
      </w:r>
      <w:r w:rsidRPr="003A48AB">
        <w:rPr>
          <w:rFonts w:ascii="Arial" w:eastAsia="Yu Mincho" w:hAnsi="Arial" w:cs="Arial"/>
          <w:lang w:eastAsia="en-US" w:bidi="en-US"/>
        </w:rPr>
        <w:instrText xml:space="preserve"> ADDIN EN.CITE &lt;EndNote&gt;&lt;Cite&gt;&lt;Author&gt;Casson&lt;/Author&gt;&lt;Year&gt;2009&lt;/Year&gt;&lt;IDText&gt;phytochrome B and PIF4 Regulate Stomatal Development in Response to Light Quantity&lt;/IDText&gt;&lt;DisplayText&gt;(Casson et al., 2009)&lt;/DisplayText&gt;&lt;record&gt;&lt;dates&gt;&lt;pub-dates&gt;&lt;date&gt;2/10/&lt;/date&gt;&lt;/pub-dates&gt;&lt;year&gt;2009&lt;/year&gt;&lt;/dates&gt;&lt;keywords&gt;&lt;keyword&gt;SIGNALING&lt;/keyword&gt;&lt;keyword&gt;DEVBIO&lt;/keyword&gt;&lt;/keywords&gt;&lt;urls&gt;&lt;related-urls&gt;&lt;url&gt;http://www.sciencedirect.com/science/article/pii/S0960982209005399&lt;/url&gt;&lt;/related-urls&gt;&lt;/urls&gt;&lt;isbn&gt;0960-9822&lt;/isbn&gt;&lt;titles&gt;&lt;title&gt;phytochrome B and PIF4 Regulate Stomatal Development in Response to Light Quantity&lt;/title&gt;&lt;secondary-title&gt;Current Biology&lt;/secondary-title&gt;&lt;/titles&gt;&lt;pages&gt;229-234&lt;/pages&gt;&lt;number&gt;3&lt;/number&gt;&lt;contributors&gt;&lt;authors&gt;&lt;author&gt;Casson, Stuart A.&lt;/author&gt;&lt;author&gt;Franklin, Keara A.&lt;/author&gt;&lt;author&gt;Gray, Julie E.&lt;/author&gt;&lt;author&gt;Grierson, Claire S.&lt;/author&gt;&lt;author&gt;Whitelam, Garry C.&lt;/author&gt;&lt;author&gt;Hetherington, Alistair M.&lt;/author&gt;&lt;/authors&gt;&lt;/contributors&gt;&lt;added-date format="utc"&gt;1456154325&lt;/added-date&gt;&lt;ref-type name="Journal Article"&gt;17&lt;/ref-type&gt;&lt;rec-number&gt;1045&lt;/rec-number&gt;&lt;last-updated-date format="utc"&gt;1456154325&lt;/last-updated-date&gt;&lt;electronic-resource-num&gt;http://dx.doi.org/10.1016/j.cub.2008.12.046&lt;/electronic-resource-num&gt;&lt;volume&gt;19&lt;/volume&gt;&lt;/record&gt;&lt;/Cite&gt;&lt;/EndNote&gt;</w:instrText>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(Casson et al., 2009)</w:t>
      </w:r>
      <w:r w:rsidRPr="003A48AB">
        <w:rPr>
          <w:rFonts w:ascii="Arial" w:eastAsia="Yu Mincho" w:hAnsi="Arial" w:cs="Arial"/>
          <w:lang w:eastAsia="en-US" w:bidi="en-US"/>
        </w:rPr>
        <w:fldChar w:fldCharType="end"/>
      </w:r>
      <w:r w:rsidRPr="003A48AB">
        <w:rPr>
          <w:rFonts w:ascii="Arial" w:eastAsia="Yu Mincho" w:hAnsi="Arial" w:cs="Arial"/>
          <w:lang w:eastAsia="en-US" w:bidi="en-US"/>
        </w:rPr>
        <w:t>. Note, stomatal index (SI) is the number of stomata in a designated area, divided by the total number of cells in that area (including stomata), multiplied by 100. This measurement is often applied to test whether a treatment has an impacted on the overall proportion of cells becoming stomata as opposed to D measurements which calculate stomata per mm</w:t>
      </w:r>
      <w:r w:rsidRPr="003A48AB">
        <w:rPr>
          <w:rFonts w:ascii="Arial" w:eastAsia="Yu Mincho" w:hAnsi="Arial" w:cs="Arial"/>
          <w:vertAlign w:val="superscript"/>
          <w:lang w:eastAsia="en-US" w:bidi="en-US"/>
        </w:rPr>
        <w:t>2</w:t>
      </w:r>
      <w:r w:rsidRPr="003A48AB">
        <w:rPr>
          <w:rFonts w:ascii="Arial" w:eastAsia="Yu Mincho" w:hAnsi="Arial" w:cs="Arial"/>
          <w:lang w:eastAsia="en-US" w:bidi="en-US"/>
        </w:rPr>
        <w:t>. In non-vascular plants whether D (or SI) is also altered by growth at higher light intensities is currently unknown. Furthermore, for both vascular and non-vascular land plants, whether the influences of light and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both collectively contribute to D (and or SI) has yet to be descri</w:t>
      </w:r>
      <w:r w:rsidR="00EC52FA">
        <w:rPr>
          <w:rFonts w:ascii="Arial" w:eastAsia="Yu Mincho" w:hAnsi="Arial" w:cs="Arial"/>
          <w:lang w:eastAsia="en-US" w:bidi="en-US"/>
        </w:rPr>
        <w:t>bed. Therefore, in this study</w:t>
      </w:r>
      <w:r w:rsidRPr="003A48AB">
        <w:rPr>
          <w:rFonts w:ascii="Arial" w:eastAsia="Yu Mincho" w:hAnsi="Arial" w:cs="Arial"/>
          <w:lang w:eastAsia="en-US" w:bidi="en-US"/>
        </w:rPr>
        <w:t xml:space="preserve"> as well as considering stomatal responses to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in non-vascular land plants, experiments will also be conducted to understand how different light levels effect D responses to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in both vascular and non-vascular land plants. </w:t>
      </w:r>
    </w:p>
    <w:p w14:paraId="7E870B62" w14:textId="57FED0ED"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 xml:space="preserve">Recently, Engineer and colleagues </w:t>
      </w:r>
      <w:r w:rsidRPr="003A48AB">
        <w:rPr>
          <w:rFonts w:ascii="Arial" w:eastAsia="Yu Mincho" w:hAnsi="Arial" w:cs="Arial"/>
          <w:lang w:eastAsia="en-US" w:bidi="en-US"/>
        </w:rPr>
        <w:fldChar w:fldCharType="begin">
          <w:fldData xml:space="preserve">PEVuZE5vdGU+PENpdGUgRXhjbHVkZUF1dGg9IjEiPjxBdXRob3I+RW5naW5lZXI8L0F1dGhvcj48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PEVuZE5vdGU+PENpdGUgRXhjbHVkZUF1dGg9IjEiPjxBdXRob3I+RW5naW5lZXI8L0F1dGhvcj48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(2014)</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reported how the angiosperm and model organism </w:t>
      </w:r>
      <w:r w:rsidRPr="003A48AB">
        <w:rPr>
          <w:rFonts w:ascii="Arial" w:eastAsia="Yu Mincho" w:hAnsi="Arial" w:cs="Arial"/>
          <w:i/>
          <w:lang w:eastAsia="en-US" w:bidi="en-US"/>
        </w:rPr>
        <w:t>Arabidopsis thaliana</w:t>
      </w:r>
      <w:r w:rsidRPr="003A48AB">
        <w:rPr>
          <w:rFonts w:ascii="Arial" w:eastAsia="Yu Mincho" w:hAnsi="Arial" w:cs="Arial"/>
          <w:lang w:eastAsia="en-US" w:bidi="en-US"/>
        </w:rPr>
        <w:t xml:space="preserve"> modifies its stomatal patterning in response to being grown at either sub-ambient or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In this work, the authors show how two β-carbonic anhydrases (CA1 and CA4), the apoplastic signalling peptide EPIDERMAL PATTERNING FACTOR (EPF) 2 and the newly discovered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RESPONSE SECRETED PROTEASE (CRSP) are all required in regulating SI and D when Arabidopsis is grown at higher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w:t>
      </w:r>
    </w:p>
    <w:p w14:paraId="1DCCAE22" w14:textId="25B4D322"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 xml:space="preserve">Engineer and colleagues </w:t>
      </w:r>
      <w:r w:rsidRPr="003A48AB">
        <w:rPr>
          <w:rFonts w:ascii="Arial" w:eastAsia="Yu Mincho" w:hAnsi="Arial" w:cs="Arial"/>
          <w:lang w:eastAsia="en-US" w:bidi="en-US"/>
        </w:rPr>
        <w:fldChar w:fldCharType="begin">
          <w:fldData xml:space="preserve">PEVuZE5vdGU+PENpdGUgRXhjbHVkZUF1dGg9IjEiPjxBdXRob3I+RW5naW5lZXI8L0F1dGhvcj48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PEVuZE5vdGU+PENpdGUgRXhjbHVkZUF1dGg9IjEiPjxBdXRob3I+RW5naW5lZXI8L0F1dGhvcj48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(2014)</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showed tha</w:t>
      </w:r>
      <w:r w:rsidR="00EC52FA">
        <w:rPr>
          <w:rFonts w:ascii="Arial" w:eastAsia="Yu Mincho" w:hAnsi="Arial" w:cs="Arial"/>
          <w:lang w:eastAsia="en-US" w:bidi="en-US"/>
        </w:rPr>
        <w:t>t when plants were</w:t>
      </w:r>
      <w:r w:rsidRPr="003A48AB">
        <w:rPr>
          <w:rFonts w:ascii="Arial" w:eastAsia="Yu Mincho" w:hAnsi="Arial" w:cs="Arial"/>
          <w:lang w:eastAsia="en-US" w:bidi="en-US"/>
        </w:rPr>
        <w:t xml:space="preserve"> grown at higher levels of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(500ppm as opposed to 150ppm) the level of </w:t>
      </w:r>
      <w:r w:rsidRPr="003A48AB">
        <w:rPr>
          <w:rFonts w:ascii="Arial" w:eastAsia="Yu Mincho" w:hAnsi="Arial" w:cs="Arial"/>
          <w:i/>
          <w:lang w:eastAsia="en-US" w:bidi="en-US"/>
        </w:rPr>
        <w:t xml:space="preserve">EPF2 </w:t>
      </w:r>
      <w:r w:rsidRPr="003A48AB">
        <w:rPr>
          <w:rFonts w:ascii="Arial" w:eastAsia="Yu Mincho" w:hAnsi="Arial" w:cs="Arial"/>
          <w:lang w:eastAsia="en-US" w:bidi="en-US"/>
        </w:rPr>
        <w:t xml:space="preserve">mRNA increased which lead to increased negative regulation of stomatal development, culminating in reduced SI. However, in </w:t>
      </w:r>
      <w:r w:rsidRPr="003A48AB">
        <w:rPr>
          <w:rFonts w:ascii="Arial" w:eastAsia="Yu Mincho" w:hAnsi="Arial" w:cs="Arial"/>
          <w:i/>
          <w:lang w:eastAsia="en-US" w:bidi="en-US"/>
        </w:rPr>
        <w:t xml:space="preserve">ca1 ca4 </w:t>
      </w:r>
      <w:r w:rsidRPr="003A48AB">
        <w:rPr>
          <w:rFonts w:ascii="Arial" w:eastAsia="Yu Mincho" w:hAnsi="Arial" w:cs="Arial"/>
          <w:lang w:eastAsia="en-US" w:bidi="en-US"/>
        </w:rPr>
        <w:t>double mutants, at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(500ppm), </w:t>
      </w:r>
      <w:r w:rsidRPr="003A48AB">
        <w:rPr>
          <w:rFonts w:ascii="Arial" w:eastAsia="Yu Mincho" w:hAnsi="Arial" w:cs="Arial"/>
          <w:i/>
          <w:lang w:eastAsia="en-US" w:bidi="en-US"/>
        </w:rPr>
        <w:t xml:space="preserve">EPF2 </w:t>
      </w:r>
      <w:r w:rsidRPr="003A48AB">
        <w:rPr>
          <w:rFonts w:ascii="Arial" w:eastAsia="Yu Mincho" w:hAnsi="Arial" w:cs="Arial"/>
          <w:lang w:eastAsia="en-US" w:bidi="en-US"/>
        </w:rPr>
        <w:t>levels were markedly reduced which appears to have to been at least partly responsible for an increased SI comparatively to sub-ambient (150ppm)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a trend opposite from the wild-type. It was further shown that for EPF2 to reduce SI at elevated CO</w:t>
      </w:r>
      <w:r w:rsidRPr="003A48AB">
        <w:rPr>
          <w:rFonts w:ascii="Arial" w:eastAsia="Yu Mincho" w:hAnsi="Arial" w:cs="Arial"/>
          <w:vertAlign w:val="subscript"/>
          <w:lang w:eastAsia="en-US" w:bidi="en-US"/>
        </w:rPr>
        <w:t xml:space="preserve">2 </w:t>
      </w:r>
      <w:r w:rsidRPr="003A48AB">
        <w:rPr>
          <w:rFonts w:ascii="Arial" w:eastAsia="Yu Mincho" w:hAnsi="Arial" w:cs="Arial"/>
          <w:lang w:eastAsia="en-US" w:bidi="en-US"/>
        </w:rPr>
        <w:t xml:space="preserve">(500ppm), it must first be cleaved into its active form by CRSP. Plants lacking </w:t>
      </w:r>
      <w:r w:rsidRPr="003A48AB">
        <w:rPr>
          <w:rFonts w:ascii="Arial" w:eastAsia="Yu Mincho" w:hAnsi="Arial" w:cs="Arial"/>
          <w:i/>
          <w:lang w:eastAsia="en-US" w:bidi="en-US"/>
        </w:rPr>
        <w:t>CRSP</w:t>
      </w:r>
      <w:r w:rsidRPr="003A48AB">
        <w:rPr>
          <w:rFonts w:ascii="Arial" w:eastAsia="Yu Mincho" w:hAnsi="Arial" w:cs="Arial"/>
          <w:lang w:eastAsia="en-US" w:bidi="en-US"/>
        </w:rPr>
        <w:t xml:space="preserve">, like with </w:t>
      </w:r>
      <w:r w:rsidRPr="003A48AB">
        <w:rPr>
          <w:rFonts w:ascii="Arial" w:eastAsia="Yu Mincho" w:hAnsi="Arial" w:cs="Arial"/>
          <w:i/>
          <w:lang w:eastAsia="en-US" w:bidi="en-US"/>
        </w:rPr>
        <w:t xml:space="preserve">epf2 </w:t>
      </w:r>
      <w:r w:rsidRPr="003A48AB">
        <w:rPr>
          <w:rFonts w:ascii="Arial" w:eastAsia="Yu Mincho" w:hAnsi="Arial" w:cs="Arial"/>
          <w:lang w:eastAsia="en-US" w:bidi="en-US"/>
        </w:rPr>
        <w:t xml:space="preserve">and </w:t>
      </w:r>
      <w:r w:rsidRPr="003A48AB">
        <w:rPr>
          <w:rFonts w:ascii="Arial" w:eastAsia="Yu Mincho" w:hAnsi="Arial" w:cs="Arial"/>
          <w:i/>
          <w:lang w:eastAsia="en-US" w:bidi="en-US"/>
        </w:rPr>
        <w:t>ca1 ca4</w:t>
      </w:r>
      <w:r w:rsidRPr="003A48AB">
        <w:rPr>
          <w:rFonts w:ascii="Arial" w:eastAsia="Yu Mincho" w:hAnsi="Arial" w:cs="Arial"/>
          <w:lang w:eastAsia="en-US" w:bidi="en-US"/>
        </w:rPr>
        <w:t xml:space="preserve"> plants, had increased SI at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(500ppm) relative to sub-ambient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(150ppm). Taken together the results from this study clearly identify molecular mechanisms which contribute to how </w:t>
      </w:r>
      <w:r w:rsidRPr="003A48AB">
        <w:rPr>
          <w:rFonts w:ascii="Arial" w:eastAsia="Yu Mincho" w:hAnsi="Arial" w:cs="Arial"/>
          <w:i/>
          <w:lang w:eastAsia="en-US" w:bidi="en-US"/>
        </w:rPr>
        <w:t>A. thaliana</w:t>
      </w:r>
      <w:r w:rsidRPr="003A48AB">
        <w:rPr>
          <w:rFonts w:ascii="Arial" w:eastAsia="Yu Mincho" w:hAnsi="Arial" w:cs="Arial"/>
          <w:lang w:eastAsia="en-US" w:bidi="en-US"/>
        </w:rPr>
        <w:t xml:space="preserve"> responds to both SI and D in response to being grown at different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Interestingly, homologous genes related to β-carbonic anhydrases, the EPFs </w:t>
      </w:r>
      <w:r w:rsidRPr="003A48AB">
        <w:rPr>
          <w:rFonts w:ascii="Arial" w:eastAsia="Yu Mincho" w:hAnsi="Arial" w:cs="Arial"/>
          <w:lang w:eastAsia="en-US" w:bidi="en-US"/>
        </w:rPr>
        <w:lastRenderedPageBreak/>
        <w:t xml:space="preserve">and CRSP are present within the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 xml:space="preserve">genome when resources such Phytozome V11 </w:t>
      </w:r>
      <w:r w:rsidRPr="003A48AB">
        <w:rPr>
          <w:rFonts w:ascii="Arial" w:eastAsia="Yu Mincho" w:hAnsi="Arial" w:cs="Arial"/>
          <w:lang w:eastAsia="en-US" w:bidi="en-US"/>
        </w:rPr>
        <w:fldChar w:fldCharType="begin"/>
      </w:r>
      <w:r w:rsidRPr="003A48AB">
        <w:rPr>
          <w:rFonts w:ascii="Arial" w:eastAsia="Yu Mincho" w:hAnsi="Arial" w:cs="Arial"/>
          <w:lang w:eastAsia="en-US" w:bidi="en-US"/>
        </w:rPr>
        <w:instrText xml:space="preserve"> ADDIN EN.CITE &lt;EndNote&gt;&lt;Cite&gt;&lt;Author&gt;Goodstein&lt;/Author&gt;&lt;Year&gt;2012&lt;/Year&gt;&lt;IDText&gt;Phytozome: a comparative platform for green plant genomics&lt;/IDText&gt;&lt;DisplayText&gt;(Goodstein et al., 2012)&lt;/DisplayText&gt;&lt;record&gt;&lt;dates&gt;&lt;pub-dates&gt;&lt;date&gt;2012//&lt;/date&gt;&lt;/pub-dates&gt;&lt;year&gt;2012&lt;/year&gt;&lt;/dates&gt;&lt;urls&gt;&lt;related-urls&gt;&lt;url&gt;http://dx.doi.org/10.1093/nar/gkr944&lt;/url&gt;&lt;/related-urls&gt;&lt;/urls&gt;&lt;titles&gt;&lt;title&gt;Phytozome: a comparative platform for green plant genomics&lt;/title&gt;&lt;secondary-title&gt;Nucleic Acids Res&lt;/secondary-title&gt;&lt;/titles&gt;&lt;contributors&gt;&lt;authors&gt;&lt;author&gt;Goodstein, D. M.&lt;/author&gt;&lt;author&gt;Shu, S.&lt;/author&gt;&lt;author&gt;Howson, R.&lt;/author&gt;&lt;author&gt;Neupane, R.&lt;/author&gt;&lt;author&gt;Hayes, R. D.&lt;/author&gt;&lt;author&gt;Fazo, J.&lt;/author&gt;&lt;author&gt;Mitros, T.&lt;/author&gt;&lt;author&gt;Dirks, W.&lt;/author&gt;&lt;author&gt;Hellsten, U.&lt;/author&gt;&lt;author&gt;Putnam, N.&lt;/author&gt;&lt;author&gt;Rokhsar, D. S.&lt;/author&gt;&lt;/authors&gt;&lt;/contributors&gt;&lt;added-date format="utc"&gt;1454072695&lt;/added-date&gt;&lt;ref-type name="Journal Article"&gt;17&lt;/ref-type&gt;&lt;rec-number&gt;496&lt;/rec-number&gt;&lt;last-updated-date format="utc"&gt;1454072695&lt;/last-updated-date&gt;&lt;electronic-resource-num&gt;10.1093/nar/gkr944&lt;/electronic-resource-num&gt;&lt;volume&gt;40&lt;/volume&gt;&lt;/record&gt;&lt;/Cite&gt;&lt;/EndNote&gt;</w:instrText>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(Goodstein et al., 2012)</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are interrogated which could suggest that the genetic mechanisms underpinning stomatal developmental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responses </w:t>
      </w:r>
      <w:r w:rsidR="00EC52FA">
        <w:rPr>
          <w:rFonts w:ascii="Arial" w:eastAsia="Yu Mincho" w:hAnsi="Arial" w:cs="Arial"/>
          <w:lang w:eastAsia="en-US" w:bidi="en-US"/>
        </w:rPr>
        <w:t>could be</w:t>
      </w:r>
      <w:r w:rsidRPr="003A48AB">
        <w:rPr>
          <w:rFonts w:ascii="Arial" w:eastAsia="Yu Mincho" w:hAnsi="Arial" w:cs="Arial"/>
          <w:lang w:eastAsia="en-US" w:bidi="en-US"/>
        </w:rPr>
        <w:t xml:space="preserve"> conserved. </w:t>
      </w:r>
    </w:p>
    <w:p w14:paraId="504107D2"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The results presented within this chapter will aim to address the following two questions:</w:t>
      </w:r>
    </w:p>
    <w:p w14:paraId="69D5E957" w14:textId="77777777" w:rsidR="003A48AB" w:rsidRPr="003A48AB" w:rsidRDefault="003A48AB" w:rsidP="003A48AB">
      <w:pPr>
        <w:numPr>
          <w:ilvl w:val="0"/>
          <w:numId w:val="39"/>
        </w:numPr>
        <w:spacing w:after="160" w:line="360" w:lineRule="auto"/>
        <w:contextualSpacing/>
        <w:rPr>
          <w:rFonts w:ascii="Arial" w:eastAsia="Yu Mincho" w:hAnsi="Arial" w:cs="Arial"/>
          <w:lang w:eastAsia="en-US" w:bidi="en-US"/>
        </w:rPr>
      </w:pPr>
      <w:r w:rsidRPr="003A48AB">
        <w:rPr>
          <w:rFonts w:ascii="Arial" w:eastAsia="Yu Mincho" w:hAnsi="Arial" w:cs="Arial"/>
          <w:lang w:eastAsia="en-US" w:bidi="en-US"/>
        </w:rPr>
        <w:t xml:space="preserve">Do representative non-vascular land plant species such as </w:t>
      </w:r>
      <w:r w:rsidRPr="003A48AB">
        <w:rPr>
          <w:rFonts w:ascii="Arial" w:eastAsia="Yu Mincho" w:hAnsi="Arial" w:cs="Arial"/>
          <w:i/>
          <w:lang w:eastAsia="en-US" w:bidi="en-US"/>
        </w:rPr>
        <w:t xml:space="preserve">Physcomitrella patens </w:t>
      </w:r>
      <w:r w:rsidRPr="003A48AB">
        <w:rPr>
          <w:rFonts w:ascii="Arial" w:eastAsia="Yu Mincho" w:hAnsi="Arial" w:cs="Arial"/>
          <w:lang w:eastAsia="en-US" w:bidi="en-US"/>
        </w:rPr>
        <w:t xml:space="preserve">and </w:t>
      </w:r>
      <w:r w:rsidRPr="003A48AB">
        <w:rPr>
          <w:rFonts w:ascii="Arial" w:eastAsia="Yu Mincho" w:hAnsi="Arial" w:cs="Arial"/>
          <w:i/>
          <w:lang w:eastAsia="en-US" w:bidi="en-US"/>
        </w:rPr>
        <w:t xml:space="preserve">Funaria hygrometrica </w:t>
      </w:r>
      <w:r w:rsidRPr="003A48AB">
        <w:rPr>
          <w:rFonts w:ascii="Arial" w:eastAsia="Yu Mincho" w:hAnsi="Arial" w:cs="Arial"/>
          <w:lang w:eastAsia="en-US" w:bidi="en-US"/>
        </w:rPr>
        <w:t>adjust the S and the D of their stomata in response to being grown at different CO</w:t>
      </w:r>
      <w:r w:rsidRPr="003A48AB">
        <w:rPr>
          <w:rFonts w:ascii="Arial" w:eastAsia="Yu Mincho" w:hAnsi="Arial" w:cs="Arial"/>
          <w:vertAlign w:val="subscript"/>
          <w:lang w:eastAsia="en-US" w:bidi="en-US"/>
        </w:rPr>
        <w:t xml:space="preserve">2 </w:t>
      </w:r>
      <w:r w:rsidRPr="003A48AB">
        <w:rPr>
          <w:rFonts w:ascii="Arial" w:eastAsia="Yu Mincho" w:hAnsi="Arial" w:cs="Arial"/>
          <w:lang w:eastAsia="en-US" w:bidi="en-US"/>
        </w:rPr>
        <w:t>concentrations?</w:t>
      </w:r>
    </w:p>
    <w:p w14:paraId="4E659794" w14:textId="230B3B6E" w:rsidR="003A48AB" w:rsidRPr="003A48AB" w:rsidRDefault="003A48AB" w:rsidP="003A48AB">
      <w:pPr>
        <w:numPr>
          <w:ilvl w:val="0"/>
          <w:numId w:val="39"/>
        </w:numPr>
        <w:spacing w:after="160" w:line="360" w:lineRule="auto"/>
        <w:contextualSpacing/>
        <w:rPr>
          <w:rFonts w:ascii="Arial" w:eastAsia="Yu Mincho" w:hAnsi="Arial" w:cs="Arial"/>
          <w:lang w:eastAsia="en-US" w:bidi="en-US"/>
        </w:rPr>
      </w:pPr>
      <w:r w:rsidRPr="003A48AB">
        <w:rPr>
          <w:rFonts w:ascii="Arial" w:eastAsia="Yu Mincho" w:hAnsi="Arial" w:cs="Arial"/>
          <w:lang w:eastAsia="en-US" w:bidi="en-US"/>
        </w:rPr>
        <w:t>Are the genetic mechanisms discovered in Arabidopsis that permit stomatal D responses to growth at different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operating in </w:t>
      </w:r>
      <w:r w:rsidRPr="003A48AB">
        <w:rPr>
          <w:rFonts w:ascii="Arial" w:eastAsia="Yu Mincho" w:hAnsi="Arial" w:cs="Arial"/>
          <w:i/>
          <w:lang w:eastAsia="en-US" w:bidi="en-US"/>
        </w:rPr>
        <w:t>P. patens</w:t>
      </w:r>
      <w:r w:rsidRPr="003A48AB">
        <w:rPr>
          <w:rFonts w:ascii="Arial" w:eastAsia="Yu Mincho" w:hAnsi="Arial" w:cs="Arial"/>
          <w:lang w:eastAsia="en-US" w:bidi="en-US"/>
        </w:rPr>
        <w:t>, and therefore representative of</w:t>
      </w:r>
      <w:r w:rsidR="008D258A">
        <w:rPr>
          <w:rFonts w:ascii="Arial" w:eastAsia="Yu Mincho" w:hAnsi="Arial" w:cs="Arial"/>
          <w:lang w:eastAsia="en-US" w:bidi="en-US"/>
        </w:rPr>
        <w:t xml:space="preserve"> an</w:t>
      </w:r>
      <w:r w:rsidRPr="003A48AB">
        <w:rPr>
          <w:rFonts w:ascii="Arial" w:eastAsia="Yu Mincho" w:hAnsi="Arial" w:cs="Arial"/>
          <w:lang w:eastAsia="en-US" w:bidi="en-US"/>
        </w:rPr>
        <w:t xml:space="preserve"> ancestral CO</w:t>
      </w:r>
      <w:r w:rsidRPr="003A48AB">
        <w:rPr>
          <w:rFonts w:ascii="Arial" w:eastAsia="Yu Mincho" w:hAnsi="Arial" w:cs="Arial"/>
          <w:vertAlign w:val="subscript"/>
          <w:lang w:eastAsia="en-US" w:bidi="en-US"/>
        </w:rPr>
        <w:t xml:space="preserve">2 </w:t>
      </w:r>
      <w:r w:rsidR="008D258A">
        <w:rPr>
          <w:rFonts w:ascii="Arial" w:eastAsia="Yu Mincho" w:hAnsi="Arial" w:cs="Arial"/>
          <w:lang w:eastAsia="en-US" w:bidi="en-US"/>
        </w:rPr>
        <w:t>response mechanism</w:t>
      </w:r>
      <w:r w:rsidRPr="003A48AB">
        <w:rPr>
          <w:rFonts w:ascii="Arial" w:eastAsia="Yu Mincho" w:hAnsi="Arial" w:cs="Arial"/>
          <w:lang w:eastAsia="en-US" w:bidi="en-US"/>
        </w:rPr>
        <w:t xml:space="preserve">? </w:t>
      </w:r>
    </w:p>
    <w:p w14:paraId="2A74F4F7" w14:textId="77777777" w:rsidR="003A48AB" w:rsidRPr="003A48AB" w:rsidRDefault="003A48AB" w:rsidP="003A48AB">
      <w:pPr>
        <w:spacing w:after="160" w:line="360" w:lineRule="auto"/>
        <w:rPr>
          <w:rFonts w:ascii="Arial" w:eastAsia="Times New Roman" w:hAnsi="Arial" w:cs="Arial"/>
          <w:b/>
          <w:color w:val="000000"/>
          <w:u w:val="single"/>
          <w:lang w:eastAsia="en-US" w:bidi="en-US"/>
        </w:rPr>
      </w:pPr>
      <w:r w:rsidRPr="003A48AB">
        <w:rPr>
          <w:rFonts w:ascii="Arial" w:eastAsia="Times New Roman" w:hAnsi="Arial" w:cs="Arial"/>
          <w:b/>
          <w:color w:val="000000"/>
          <w:u w:val="single"/>
          <w:lang w:eastAsia="en-US" w:bidi="en-US"/>
        </w:rPr>
        <w:br w:type="page"/>
      </w:r>
    </w:p>
    <w:p w14:paraId="63E6664B" w14:textId="77777777" w:rsidR="003A48AB" w:rsidRPr="003A48AB" w:rsidRDefault="003A48AB" w:rsidP="003A48AB">
      <w:pPr>
        <w:spacing w:after="160" w:line="360" w:lineRule="auto"/>
        <w:rPr>
          <w:rFonts w:ascii="Arial" w:eastAsia="Yu Mincho" w:hAnsi="Arial" w:cs="Arial"/>
          <w:b/>
          <w:lang w:eastAsia="en-US" w:bidi="en-US"/>
        </w:rPr>
      </w:pPr>
      <w:r w:rsidRPr="003A48AB">
        <w:rPr>
          <w:rFonts w:ascii="Arial" w:eastAsia="Times New Roman" w:hAnsi="Arial" w:cs="Arial"/>
          <w:b/>
          <w:color w:val="000000"/>
          <w:u w:val="single"/>
          <w:lang w:eastAsia="en-US" w:bidi="en-US"/>
        </w:rPr>
        <w:lastRenderedPageBreak/>
        <w:t>5.2 Results</w:t>
      </w:r>
    </w:p>
    <w:p w14:paraId="18EF3ECA" w14:textId="77777777" w:rsidR="003A48AB" w:rsidRPr="003A48AB" w:rsidRDefault="003A48AB" w:rsidP="003A48AB">
      <w:pPr>
        <w:tabs>
          <w:tab w:val="left" w:pos="6663"/>
        </w:tabs>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lang w:eastAsia="en-US" w:bidi="en-US"/>
        </w:rPr>
        <w:t>To address whether stomatal size (S) and density (D) of non-vascular land sporophytes are altered in response to growth under sub-ambient (200ppm), ambient (450ppm) and elevated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concentrations, spore capsules from </w:t>
      </w:r>
      <w:r w:rsidRPr="003A48AB">
        <w:rPr>
          <w:rFonts w:ascii="Arial" w:eastAsia="Times New Roman" w:hAnsi="Arial" w:cs="Arial"/>
          <w:i/>
          <w:color w:val="000000"/>
          <w:lang w:eastAsia="en-US" w:bidi="en-US"/>
        </w:rPr>
        <w:t>Funaria hygrometrica</w:t>
      </w:r>
      <w:r w:rsidRPr="003A48AB">
        <w:rPr>
          <w:rFonts w:ascii="Arial" w:eastAsia="Times New Roman" w:hAnsi="Arial" w:cs="Arial"/>
          <w:color w:val="000000"/>
          <w:lang w:eastAsia="en-US" w:bidi="en-US"/>
        </w:rPr>
        <w:t xml:space="preserve"> and </w:t>
      </w:r>
      <w:r w:rsidRPr="003A48AB">
        <w:rPr>
          <w:rFonts w:ascii="Arial" w:eastAsia="Times New Roman" w:hAnsi="Arial" w:cs="Arial"/>
          <w:i/>
          <w:color w:val="000000"/>
          <w:lang w:eastAsia="en-US" w:bidi="en-US"/>
        </w:rPr>
        <w:t xml:space="preserve">Physcomitrella patens </w:t>
      </w:r>
      <w:r w:rsidRPr="003A48AB">
        <w:rPr>
          <w:rFonts w:ascii="Arial" w:eastAsia="Times New Roman" w:hAnsi="Arial" w:cs="Arial"/>
          <w:color w:val="000000"/>
          <w:lang w:eastAsia="en-US" w:bidi="en-US"/>
        </w:rPr>
        <w:t>(Gransden 2004 accession) were kindly provided by Dr Caspar Chater. Note, the ambient 450ppm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is the approximate concentration of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in the air of the underground annexe facility where experiments were performed. Please see methods section for moss propagation techniques, growth conditions and phenotyping methodology.</w:t>
      </w:r>
    </w:p>
    <w:p w14:paraId="2D48824F" w14:textId="77777777" w:rsidR="003A48AB" w:rsidRPr="003A48AB" w:rsidRDefault="003A48AB" w:rsidP="003A48AB">
      <w:pPr>
        <w:tabs>
          <w:tab w:val="left" w:pos="6663"/>
        </w:tabs>
        <w:spacing w:after="160" w:line="360" w:lineRule="auto"/>
        <w:rPr>
          <w:rFonts w:ascii="Arial" w:eastAsia="Times New Roman" w:hAnsi="Arial" w:cs="Arial"/>
          <w:color w:val="000000"/>
          <w:u w:val="single"/>
          <w:lang w:eastAsia="en-US" w:bidi="en-US"/>
        </w:rPr>
      </w:pPr>
      <w:r w:rsidRPr="003A48AB">
        <w:rPr>
          <w:rFonts w:ascii="Arial" w:eastAsia="Times New Roman" w:hAnsi="Arial" w:cs="Arial"/>
          <w:color w:val="000000"/>
          <w:u w:val="single"/>
          <w:lang w:eastAsia="en-US" w:bidi="en-US"/>
        </w:rPr>
        <w:t>5.2.1</w:t>
      </w:r>
      <w:r w:rsidRPr="003A48AB">
        <w:rPr>
          <w:rFonts w:ascii="Arial" w:eastAsia="Times New Roman" w:hAnsi="Arial" w:cs="Arial"/>
          <w:i/>
          <w:color w:val="000000"/>
          <w:u w:val="single"/>
          <w:lang w:eastAsia="en-US" w:bidi="en-US"/>
        </w:rPr>
        <w:t xml:space="preserve"> Funaria hygrometrica </w:t>
      </w:r>
      <w:r w:rsidRPr="003A48AB">
        <w:rPr>
          <w:rFonts w:ascii="Arial" w:eastAsia="Times New Roman" w:hAnsi="Arial" w:cs="Arial"/>
          <w:color w:val="000000"/>
          <w:u w:val="single"/>
          <w:lang w:eastAsia="en-US" w:bidi="en-US"/>
        </w:rPr>
        <w:t>sporophyte growth and stomatal development at sub-ambient (200ppm), ambient (450ppm) and elevated (1000ppm) CO</w:t>
      </w:r>
      <w:r w:rsidRPr="003A48AB">
        <w:rPr>
          <w:rFonts w:ascii="Arial" w:eastAsia="Times New Roman" w:hAnsi="Arial" w:cs="Arial"/>
          <w:color w:val="000000"/>
          <w:u w:val="single"/>
          <w:vertAlign w:val="subscript"/>
          <w:lang w:eastAsia="en-US" w:bidi="en-US"/>
        </w:rPr>
        <w:t>2</w:t>
      </w:r>
      <w:r w:rsidRPr="003A48AB">
        <w:rPr>
          <w:rFonts w:ascii="Arial" w:eastAsia="Times New Roman" w:hAnsi="Arial" w:cs="Arial"/>
          <w:color w:val="000000"/>
          <w:u w:val="single"/>
          <w:lang w:eastAsia="en-US" w:bidi="en-US"/>
        </w:rPr>
        <w:t xml:space="preserve"> concentration </w:t>
      </w:r>
    </w:p>
    <w:p w14:paraId="51BBC9A5" w14:textId="77777777" w:rsidR="003A48AB" w:rsidRPr="003A48AB" w:rsidRDefault="003A48AB" w:rsidP="003A48AB">
      <w:pPr>
        <w:tabs>
          <w:tab w:val="left" w:pos="6663"/>
        </w:tabs>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lang w:eastAsia="en-US" w:bidi="en-US"/>
        </w:rPr>
        <w:t>All moss lines which were originally propagated from protonemal homogenate, were grown for their entire lifecycles in growth chambers set to the appropriate treatment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In the first experiments conducted the light intensity was set to 120µmol 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s</w:t>
      </w:r>
      <w:r w:rsidRPr="003A48AB">
        <w:rPr>
          <w:rFonts w:ascii="Arial" w:eastAsia="Times New Roman" w:hAnsi="Arial" w:cs="Arial"/>
          <w:color w:val="000000"/>
          <w:vertAlign w:val="superscript"/>
          <w:lang w:eastAsia="en-US" w:bidi="en-US"/>
        </w:rPr>
        <w:t>−1</w:t>
      </w:r>
      <w:r w:rsidRPr="003A48AB">
        <w:rPr>
          <w:rFonts w:ascii="Arial" w:eastAsia="Times New Roman" w:hAnsi="Arial" w:cs="Arial"/>
          <w:color w:val="000000"/>
          <w:lang w:eastAsia="en-US" w:bidi="en-US"/>
        </w:rPr>
        <w:t xml:space="preserve"> (</w:t>
      </w:r>
      <w:r w:rsidRPr="003A48AB">
        <w:rPr>
          <w:rFonts w:ascii="Arial" w:eastAsia="Times New Roman" w:hAnsi="Arial" w:cs="Arial"/>
          <w:b/>
          <w:color w:val="000000"/>
          <w:lang w:eastAsia="en-US" w:bidi="en-US"/>
        </w:rPr>
        <w:t>Fig. 1a-e</w:t>
      </w:r>
      <w:r w:rsidRPr="003A48AB">
        <w:rPr>
          <w:rFonts w:ascii="Arial" w:eastAsia="Times New Roman" w:hAnsi="Arial" w:cs="Arial"/>
          <w:color w:val="000000"/>
          <w:lang w:eastAsia="en-US" w:bidi="en-US"/>
        </w:rPr>
        <w:t xml:space="preserve">). For </w:t>
      </w:r>
      <w:r w:rsidRPr="003A48AB">
        <w:rPr>
          <w:rFonts w:ascii="Arial" w:eastAsia="Times New Roman" w:hAnsi="Arial" w:cs="Arial"/>
          <w:i/>
          <w:color w:val="000000"/>
          <w:lang w:eastAsia="en-US" w:bidi="en-US"/>
        </w:rPr>
        <w:t xml:space="preserve">F. hygrometrica </w:t>
      </w:r>
      <w:r w:rsidRPr="003A48AB">
        <w:rPr>
          <w:rFonts w:ascii="Arial" w:eastAsia="Times New Roman" w:hAnsi="Arial" w:cs="Arial"/>
          <w:color w:val="000000"/>
          <w:lang w:eastAsia="en-US" w:bidi="en-US"/>
        </w:rPr>
        <w:t>increasingly high concentrations of growth chamber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resulted in increased sporophyte size (</w:t>
      </w:r>
      <w:r w:rsidRPr="003A48AB">
        <w:rPr>
          <w:rFonts w:ascii="Arial" w:eastAsia="Times New Roman" w:hAnsi="Arial" w:cs="Arial"/>
          <w:b/>
          <w:color w:val="000000"/>
          <w:lang w:eastAsia="en-US" w:bidi="en-US"/>
        </w:rPr>
        <w:t xml:space="preserve">Fig. 1a-c </w:t>
      </w:r>
      <w:r w:rsidRPr="003A48AB">
        <w:rPr>
          <w:rFonts w:ascii="Arial" w:eastAsia="Times New Roman" w:hAnsi="Arial" w:cs="Arial"/>
          <w:color w:val="000000"/>
          <w:lang w:eastAsia="en-US" w:bidi="en-US"/>
        </w:rPr>
        <w:t xml:space="preserve">and </w:t>
      </w:r>
      <w:r w:rsidRPr="003A48AB">
        <w:rPr>
          <w:rFonts w:ascii="Arial" w:eastAsia="Times New Roman" w:hAnsi="Arial" w:cs="Arial"/>
          <w:b/>
          <w:color w:val="000000"/>
          <w:lang w:eastAsia="en-US" w:bidi="en-US"/>
        </w:rPr>
        <w:t>g</w:t>
      </w:r>
      <w:r w:rsidRPr="003A48AB">
        <w:rPr>
          <w:rFonts w:ascii="Arial" w:eastAsia="Times New Roman" w:hAnsi="Arial" w:cs="Arial"/>
          <w:color w:val="000000"/>
          <w:lang w:eastAsia="en-US" w:bidi="en-US"/>
        </w:rPr>
        <w:t>). Quantification and subsequent statistical analysis of the length of 40 sporophyte seta from each treatment using a multiple comparisons One-way ANOVA showed highly significant differences in seta length between sporophytes grown at 200, 450 and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concentrations (</w:t>
      </w:r>
      <w:r w:rsidRPr="003A48AB">
        <w:rPr>
          <w:rFonts w:ascii="Arial" w:eastAsia="Times New Roman" w:hAnsi="Arial" w:cs="Arial"/>
          <w:i/>
          <w:color w:val="000000"/>
          <w:lang w:eastAsia="en-US" w:bidi="en-US"/>
        </w:rPr>
        <w:t xml:space="preserve">P </w:t>
      </w:r>
      <w:r w:rsidRPr="003A48AB">
        <w:rPr>
          <w:rFonts w:ascii="Arial" w:eastAsia="Times New Roman" w:hAnsi="Arial" w:cs="Arial"/>
          <w:color w:val="000000"/>
          <w:lang w:eastAsia="en-US" w:bidi="en-US"/>
        </w:rPr>
        <w:t>&lt; 0.0001) (</w:t>
      </w:r>
      <w:r w:rsidRPr="003A48AB">
        <w:rPr>
          <w:rFonts w:ascii="Arial" w:eastAsia="Times New Roman" w:hAnsi="Arial" w:cs="Arial"/>
          <w:b/>
          <w:color w:val="000000"/>
          <w:lang w:eastAsia="en-US" w:bidi="en-US"/>
        </w:rPr>
        <w:t>Fig. 1g</w:t>
      </w:r>
      <w:r w:rsidRPr="003A48AB">
        <w:rPr>
          <w:rFonts w:ascii="Arial" w:eastAsia="Times New Roman" w:hAnsi="Arial" w:cs="Arial"/>
          <w:color w:val="000000"/>
          <w:lang w:eastAsia="en-US" w:bidi="en-US"/>
        </w:rPr>
        <w:t>) with the largest sporophytes being produced at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(see also </w:t>
      </w:r>
      <w:r w:rsidRPr="003A48AB">
        <w:rPr>
          <w:rFonts w:ascii="Arial" w:eastAsia="Times New Roman" w:hAnsi="Arial" w:cs="Arial"/>
          <w:b/>
          <w:color w:val="000000"/>
          <w:lang w:eastAsia="en-US" w:bidi="en-US"/>
        </w:rPr>
        <w:t>Fig. 1c</w:t>
      </w:r>
      <w:r w:rsidRPr="003A48AB">
        <w:rPr>
          <w:rFonts w:ascii="Arial" w:eastAsia="Times New Roman" w:hAnsi="Arial" w:cs="Arial"/>
          <w:color w:val="000000"/>
          <w:lang w:eastAsia="en-US" w:bidi="en-US"/>
        </w:rPr>
        <w:t>). Furthermore, when quantification and statistical analysis of spore capsule length and width were conducted using two separate multiple comparisons One-way ANOVAs, significant differences were also obtained between all three treatments for capsule width and length (</w:t>
      </w:r>
      <w:r w:rsidRPr="003A48AB">
        <w:rPr>
          <w:rFonts w:ascii="Arial" w:eastAsia="Times New Roman" w:hAnsi="Arial" w:cs="Arial"/>
          <w:i/>
          <w:color w:val="000000"/>
          <w:lang w:eastAsia="en-US" w:bidi="en-US"/>
        </w:rPr>
        <w:t xml:space="preserve">P </w:t>
      </w:r>
      <w:r w:rsidRPr="003A48AB">
        <w:rPr>
          <w:rFonts w:ascii="Arial" w:eastAsia="Times New Roman" w:hAnsi="Arial" w:cs="Arial"/>
          <w:color w:val="000000"/>
          <w:lang w:eastAsia="en-US" w:bidi="en-US"/>
        </w:rPr>
        <w:t>≤ 0.05), again with increasing sporophyte capsule sizes being associated with sporophytes grown in increasingly high concentrations of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w:t>
      </w:r>
      <w:r w:rsidRPr="003A48AB">
        <w:rPr>
          <w:rFonts w:ascii="Arial" w:eastAsia="Times New Roman" w:hAnsi="Arial" w:cs="Arial"/>
          <w:b/>
          <w:color w:val="000000"/>
          <w:lang w:eastAsia="en-US" w:bidi="en-US"/>
        </w:rPr>
        <w:t>Fig. 1c</w:t>
      </w:r>
      <w:r w:rsidRPr="003A48AB">
        <w:rPr>
          <w:rFonts w:ascii="Arial" w:eastAsia="Times New Roman" w:hAnsi="Arial" w:cs="Arial"/>
          <w:color w:val="000000"/>
          <w:lang w:eastAsia="en-US" w:bidi="en-US"/>
        </w:rPr>
        <w:t xml:space="preserve"> and</w:t>
      </w:r>
      <w:r w:rsidRPr="003A48AB">
        <w:rPr>
          <w:rFonts w:ascii="Arial" w:eastAsia="Times New Roman" w:hAnsi="Arial" w:cs="Arial"/>
          <w:b/>
          <w:color w:val="000000"/>
          <w:lang w:eastAsia="en-US" w:bidi="en-US"/>
        </w:rPr>
        <w:t xml:space="preserve"> 1h</w:t>
      </w:r>
      <w:r w:rsidRPr="003A48AB">
        <w:rPr>
          <w:rFonts w:ascii="Arial" w:eastAsia="Times New Roman" w:hAnsi="Arial" w:cs="Arial"/>
          <w:color w:val="000000"/>
          <w:lang w:eastAsia="en-US" w:bidi="en-US"/>
        </w:rPr>
        <w:t xml:space="preserve">). </w:t>
      </w:r>
    </w:p>
    <w:p w14:paraId="21E67123" w14:textId="77777777" w:rsidR="00476449" w:rsidRDefault="003A48AB" w:rsidP="003A48AB">
      <w:pPr>
        <w:tabs>
          <w:tab w:val="left" w:pos="6663"/>
        </w:tabs>
        <w:spacing w:after="160" w:line="360" w:lineRule="auto"/>
        <w:rPr>
          <w:rFonts w:ascii="Arial" w:eastAsia="Times New Roman" w:hAnsi="Arial" w:cs="Arial"/>
          <w:color w:val="000000"/>
          <w:lang w:eastAsia="en-US" w:bidi="en-US"/>
        </w:rPr>
      </w:pPr>
      <w:r w:rsidRPr="003A48AB">
        <w:rPr>
          <w:rFonts w:ascii="Arial" w:eastAsia="Times New Roman" w:hAnsi="Arial" w:cs="Arial"/>
          <w:noProof/>
          <w:color w:val="000000"/>
          <w:lang w:eastAsia="ja-JP"/>
        </w:rPr>
        <w:lastRenderedPageBreak/>
        <w:drawing>
          <wp:inline distT="0" distB="0" distL="0" distR="0" wp14:anchorId="0C443D50" wp14:editId="558736C8">
            <wp:extent cx="5673436" cy="7190509"/>
            <wp:effectExtent l="0" t="0" r="381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76766" cy="7194730"/>
                    </a:xfrm>
                    <a:prstGeom prst="rect">
                      <a:avLst/>
                    </a:prstGeom>
                    <a:noFill/>
                    <a:ln>
                      <a:noFill/>
                    </a:ln>
                  </pic:spPr>
                </pic:pic>
              </a:graphicData>
            </a:graphic>
          </wp:inline>
        </w:drawing>
      </w:r>
      <w:r w:rsidRPr="003A48AB">
        <w:rPr>
          <w:rFonts w:ascii="Arial" w:eastAsia="Times New Roman" w:hAnsi="Arial" w:cs="Arial"/>
          <w:b/>
          <w:color w:val="000000"/>
          <w:lang w:eastAsia="en-US" w:bidi="en-US"/>
        </w:rPr>
        <w:t xml:space="preserve">Figure 1. </w:t>
      </w:r>
      <w:r w:rsidRPr="003A48AB">
        <w:rPr>
          <w:rFonts w:ascii="Arial" w:eastAsia="Times New Roman" w:hAnsi="Arial" w:cs="Arial"/>
          <w:b/>
          <w:i/>
          <w:color w:val="000000"/>
          <w:lang w:eastAsia="en-US" w:bidi="en-US"/>
        </w:rPr>
        <w:t xml:space="preserve">Funaria hygrometrica </w:t>
      </w:r>
      <w:r w:rsidRPr="003A48AB">
        <w:rPr>
          <w:rFonts w:ascii="Arial" w:eastAsia="Times New Roman" w:hAnsi="Arial" w:cs="Arial"/>
          <w:b/>
          <w:color w:val="000000"/>
          <w:lang w:eastAsia="en-US" w:bidi="en-US"/>
        </w:rPr>
        <w:t xml:space="preserve">and </w:t>
      </w:r>
      <w:r w:rsidRPr="003A48AB">
        <w:rPr>
          <w:rFonts w:ascii="Arial" w:eastAsia="Times New Roman" w:hAnsi="Arial" w:cs="Arial"/>
          <w:b/>
          <w:i/>
          <w:color w:val="000000"/>
          <w:lang w:eastAsia="en-US" w:bidi="en-US"/>
        </w:rPr>
        <w:t xml:space="preserve">Physcomitrella patens </w:t>
      </w:r>
      <w:r w:rsidRPr="003A48AB">
        <w:rPr>
          <w:rFonts w:ascii="Arial" w:eastAsia="Times New Roman" w:hAnsi="Arial" w:cs="Arial"/>
          <w:b/>
          <w:color w:val="000000"/>
          <w:lang w:eastAsia="en-US" w:bidi="en-US"/>
        </w:rPr>
        <w:t>growth at increasingly high concentrations of CO</w:t>
      </w:r>
      <w:r w:rsidRPr="003A48AB">
        <w:rPr>
          <w:rFonts w:ascii="Arial" w:eastAsia="Times New Roman" w:hAnsi="Arial" w:cs="Arial"/>
          <w:b/>
          <w:color w:val="000000"/>
          <w:vertAlign w:val="subscript"/>
          <w:lang w:eastAsia="en-US" w:bidi="en-US"/>
        </w:rPr>
        <w:t>2</w:t>
      </w:r>
      <w:r w:rsidRPr="003A48AB">
        <w:rPr>
          <w:rFonts w:ascii="Arial" w:eastAsia="Times New Roman" w:hAnsi="Arial" w:cs="Arial"/>
          <w:b/>
          <w:color w:val="000000"/>
          <w:lang w:eastAsia="en-US" w:bidi="en-US"/>
        </w:rPr>
        <w:t xml:space="preserve"> results in plants that grow increasingly large. </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c</w:t>
      </w:r>
      <w:r w:rsidRPr="003A48AB">
        <w:rPr>
          <w:rFonts w:ascii="Arial" w:eastAsia="Times New Roman" w:hAnsi="Arial" w:cs="Arial"/>
          <w:color w:val="000000"/>
          <w:lang w:eastAsia="en-US" w:bidi="en-US"/>
        </w:rPr>
        <w:t xml:space="preserve">) Representative images of </w:t>
      </w:r>
      <w:r w:rsidRPr="003A48AB">
        <w:rPr>
          <w:rFonts w:ascii="Arial" w:eastAsia="Times New Roman" w:hAnsi="Arial" w:cs="Arial"/>
          <w:i/>
          <w:color w:val="000000"/>
          <w:lang w:eastAsia="en-US" w:bidi="en-US"/>
        </w:rPr>
        <w:t xml:space="preserve">Funaria Hygrometrica </w:t>
      </w:r>
      <w:r w:rsidRPr="003A48AB">
        <w:rPr>
          <w:rFonts w:ascii="Arial" w:eastAsia="Times New Roman" w:hAnsi="Arial" w:cs="Arial"/>
          <w:color w:val="000000"/>
          <w:lang w:eastAsia="en-US" w:bidi="en-US"/>
        </w:rPr>
        <w:t>moss colonies with elongated sporophytes which were grown for the entirety at 200ppm (</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 450ppm (</w:t>
      </w:r>
      <w:r w:rsidRPr="003A48AB">
        <w:rPr>
          <w:rFonts w:ascii="Arial" w:eastAsia="Times New Roman" w:hAnsi="Arial" w:cs="Arial"/>
          <w:b/>
          <w:color w:val="000000"/>
          <w:lang w:eastAsia="en-US" w:bidi="en-US"/>
        </w:rPr>
        <w:t>b</w:t>
      </w:r>
      <w:r w:rsidRPr="003A48AB">
        <w:rPr>
          <w:rFonts w:ascii="Arial" w:eastAsia="Times New Roman" w:hAnsi="Arial" w:cs="Arial"/>
          <w:color w:val="000000"/>
          <w:lang w:eastAsia="en-US" w:bidi="en-US"/>
        </w:rPr>
        <w:t>) and 1000ppm (</w:t>
      </w:r>
      <w:r w:rsidRPr="003A48AB">
        <w:rPr>
          <w:rFonts w:ascii="Arial" w:eastAsia="Times New Roman" w:hAnsi="Arial" w:cs="Arial"/>
          <w:b/>
          <w:color w:val="000000"/>
          <w:lang w:eastAsia="en-US" w:bidi="en-US"/>
        </w:rPr>
        <w:t>c</w:t>
      </w:r>
      <w:r w:rsidRPr="003A48AB">
        <w:rPr>
          <w:rFonts w:ascii="Arial" w:eastAsia="Times New Roman" w:hAnsi="Arial" w:cs="Arial"/>
          <w:color w:val="000000"/>
          <w:lang w:eastAsia="en-US" w:bidi="en-US"/>
        </w:rPr>
        <w:t>)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w:t>
      </w:r>
      <w:r w:rsidRPr="003A48AB">
        <w:rPr>
          <w:rFonts w:ascii="Arial" w:eastAsia="Times New Roman" w:hAnsi="Arial" w:cs="Arial"/>
          <w:b/>
          <w:color w:val="000000"/>
          <w:lang w:eastAsia="en-US" w:bidi="en-US"/>
        </w:rPr>
        <w:t>d</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f</w:t>
      </w:r>
      <w:r w:rsidRPr="003A48AB">
        <w:rPr>
          <w:rFonts w:ascii="Arial" w:eastAsia="Times New Roman" w:hAnsi="Arial" w:cs="Arial"/>
          <w:color w:val="000000"/>
          <w:lang w:eastAsia="en-US" w:bidi="en-US"/>
        </w:rPr>
        <w:t xml:space="preserve">) Representative images of </w:t>
      </w:r>
      <w:r w:rsidRPr="003A48AB">
        <w:rPr>
          <w:rFonts w:ascii="Arial" w:eastAsia="Times New Roman" w:hAnsi="Arial" w:cs="Arial"/>
          <w:i/>
          <w:color w:val="000000"/>
          <w:lang w:eastAsia="en-US" w:bidi="en-US"/>
        </w:rPr>
        <w:t xml:space="preserve">Physcomitrella patens </w:t>
      </w:r>
      <w:r w:rsidRPr="003A48AB">
        <w:rPr>
          <w:rFonts w:ascii="Arial" w:eastAsia="Times New Roman" w:hAnsi="Arial" w:cs="Arial"/>
          <w:color w:val="000000"/>
          <w:lang w:eastAsia="en-US" w:bidi="en-US"/>
        </w:rPr>
        <w:t>moss colonies grown for the entirety at 200ppm (</w:t>
      </w:r>
      <w:r w:rsidRPr="003A48AB">
        <w:rPr>
          <w:rFonts w:ascii="Arial" w:eastAsia="Times New Roman" w:hAnsi="Arial" w:cs="Arial"/>
          <w:b/>
          <w:color w:val="000000"/>
          <w:lang w:eastAsia="en-US" w:bidi="en-US"/>
        </w:rPr>
        <w:t>d</w:t>
      </w:r>
      <w:r w:rsidRPr="003A48AB">
        <w:rPr>
          <w:rFonts w:ascii="Arial" w:eastAsia="Times New Roman" w:hAnsi="Arial" w:cs="Arial"/>
          <w:color w:val="000000"/>
          <w:lang w:eastAsia="en-US" w:bidi="en-US"/>
        </w:rPr>
        <w:t>), 450ppm (</w:t>
      </w:r>
      <w:r w:rsidRPr="003A48AB">
        <w:rPr>
          <w:rFonts w:ascii="Arial" w:eastAsia="Times New Roman" w:hAnsi="Arial" w:cs="Arial"/>
          <w:b/>
          <w:color w:val="000000"/>
          <w:lang w:eastAsia="en-US" w:bidi="en-US"/>
        </w:rPr>
        <w:t>e</w:t>
      </w:r>
      <w:r w:rsidRPr="003A48AB">
        <w:rPr>
          <w:rFonts w:ascii="Arial" w:eastAsia="Times New Roman" w:hAnsi="Arial" w:cs="Arial"/>
          <w:color w:val="000000"/>
          <w:lang w:eastAsia="en-US" w:bidi="en-US"/>
        </w:rPr>
        <w:t>) and 1000ppm (</w:t>
      </w:r>
      <w:r w:rsidRPr="003A48AB">
        <w:rPr>
          <w:rFonts w:ascii="Arial" w:eastAsia="Times New Roman" w:hAnsi="Arial" w:cs="Arial"/>
          <w:b/>
          <w:color w:val="000000"/>
          <w:lang w:eastAsia="en-US" w:bidi="en-US"/>
        </w:rPr>
        <w:t>f</w:t>
      </w:r>
      <w:r w:rsidRPr="003A48AB">
        <w:rPr>
          <w:rFonts w:ascii="Arial" w:eastAsia="Times New Roman" w:hAnsi="Arial" w:cs="Arial"/>
          <w:color w:val="000000"/>
          <w:lang w:eastAsia="en-US" w:bidi="en-US"/>
        </w:rPr>
        <w:t>) CO</w:t>
      </w:r>
      <w:r w:rsidRPr="003A48AB">
        <w:rPr>
          <w:rFonts w:ascii="Arial" w:eastAsia="Times New Roman" w:hAnsi="Arial" w:cs="Arial"/>
          <w:color w:val="000000"/>
          <w:vertAlign w:val="subscript"/>
          <w:lang w:eastAsia="en-US" w:bidi="en-US"/>
        </w:rPr>
        <w:t xml:space="preserve">2 </w:t>
      </w:r>
      <w:r w:rsidRPr="003A48AB">
        <w:rPr>
          <w:rFonts w:ascii="Arial" w:eastAsia="Times New Roman" w:hAnsi="Arial" w:cs="Arial"/>
          <w:color w:val="000000"/>
          <w:lang w:eastAsia="en-US" w:bidi="en-US"/>
        </w:rPr>
        <w:t xml:space="preserve">concentration. Note, the </w:t>
      </w:r>
      <w:r w:rsidRPr="003A48AB">
        <w:rPr>
          <w:rFonts w:ascii="Arial" w:eastAsia="Times New Roman" w:hAnsi="Arial" w:cs="Arial"/>
          <w:color w:val="000000"/>
          <w:lang w:eastAsia="en-US" w:bidi="en-US"/>
        </w:rPr>
        <w:lastRenderedPageBreak/>
        <w:t xml:space="preserve">sporophytes of </w:t>
      </w:r>
      <w:r w:rsidRPr="003A48AB">
        <w:rPr>
          <w:rFonts w:ascii="Arial" w:eastAsia="Times New Roman" w:hAnsi="Arial" w:cs="Arial"/>
          <w:i/>
          <w:color w:val="000000"/>
          <w:lang w:eastAsia="en-US" w:bidi="en-US"/>
        </w:rPr>
        <w:t xml:space="preserve">P. patens </w:t>
      </w:r>
      <w:r w:rsidRPr="003A48AB">
        <w:rPr>
          <w:rFonts w:ascii="Arial" w:eastAsia="Times New Roman" w:hAnsi="Arial" w:cs="Arial"/>
          <w:color w:val="000000"/>
          <w:lang w:eastAsia="en-US" w:bidi="en-US"/>
        </w:rPr>
        <w:t>are very small and not easy to discern unless very close inspection of a moss colony is performed. (</w:t>
      </w:r>
      <w:r w:rsidRPr="003A48AB">
        <w:rPr>
          <w:rFonts w:ascii="Arial" w:eastAsia="Times New Roman" w:hAnsi="Arial" w:cs="Arial"/>
          <w:b/>
          <w:color w:val="000000"/>
          <w:lang w:eastAsia="en-US" w:bidi="en-US"/>
        </w:rPr>
        <w:t>g</w:t>
      </w:r>
      <w:r w:rsidRPr="003A48AB">
        <w:rPr>
          <w:rFonts w:ascii="Arial" w:eastAsia="Times New Roman" w:hAnsi="Arial" w:cs="Arial"/>
          <w:color w:val="000000"/>
          <w:lang w:eastAsia="en-US" w:bidi="en-US"/>
        </w:rPr>
        <w:t xml:space="preserve">) The length of sporophyte seta in </w:t>
      </w:r>
      <w:r w:rsidRPr="003A48AB">
        <w:rPr>
          <w:rFonts w:ascii="Arial" w:eastAsia="Times New Roman" w:hAnsi="Arial" w:cs="Arial"/>
          <w:i/>
          <w:color w:val="000000"/>
          <w:lang w:eastAsia="en-US" w:bidi="en-US"/>
        </w:rPr>
        <w:t xml:space="preserve">F. hygrometrica </w:t>
      </w:r>
      <w:r w:rsidRPr="003A48AB">
        <w:rPr>
          <w:rFonts w:ascii="Arial" w:eastAsia="Times New Roman" w:hAnsi="Arial" w:cs="Arial"/>
          <w:color w:val="000000"/>
          <w:lang w:eastAsia="en-US" w:bidi="en-US"/>
        </w:rPr>
        <w:t xml:space="preserve">(see also </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c</w:t>
      </w:r>
      <w:r w:rsidRPr="003A48AB">
        <w:rPr>
          <w:rFonts w:ascii="Arial" w:eastAsia="Times New Roman" w:hAnsi="Arial" w:cs="Arial"/>
          <w:color w:val="000000"/>
          <w:lang w:eastAsia="en-US" w:bidi="en-US"/>
        </w:rPr>
        <w:t>) significantly increased with increasing concentrations of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using a multiple comparisons One-way ANOVA (</w:t>
      </w:r>
      <w:r w:rsidRPr="003A48AB">
        <w:rPr>
          <w:rFonts w:ascii="Arial" w:eastAsia="Times New Roman" w:hAnsi="Arial" w:cs="Arial"/>
          <w:i/>
          <w:color w:val="000000"/>
          <w:lang w:eastAsia="en-US" w:bidi="en-US"/>
        </w:rPr>
        <w:t xml:space="preserve">P </w:t>
      </w:r>
      <w:r w:rsidRPr="003A48AB">
        <w:rPr>
          <w:rFonts w:ascii="Arial" w:eastAsia="Times New Roman" w:hAnsi="Arial" w:cs="Arial"/>
          <w:color w:val="000000"/>
          <w:lang w:eastAsia="en-US" w:bidi="en-US"/>
        </w:rPr>
        <w:t>&lt; 0.0001). (</w:t>
      </w:r>
      <w:r w:rsidRPr="003A48AB">
        <w:rPr>
          <w:rFonts w:ascii="Arial" w:eastAsia="Times New Roman" w:hAnsi="Arial" w:cs="Arial"/>
          <w:b/>
          <w:color w:val="000000"/>
          <w:lang w:eastAsia="en-US" w:bidi="en-US"/>
        </w:rPr>
        <w:t>h</w:t>
      </w:r>
      <w:r w:rsidRPr="003A48AB">
        <w:rPr>
          <w:rFonts w:ascii="Arial" w:eastAsia="Times New Roman" w:hAnsi="Arial" w:cs="Arial"/>
          <w:color w:val="000000"/>
          <w:lang w:eastAsia="en-US" w:bidi="en-US"/>
        </w:rPr>
        <w:t>) The length and width of sporophyte capsules are also significantly larger from sporophytes which grown at higher concentrations of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when two separate multiple comparisons One-way ANOVAs were performed to </w:t>
      </w:r>
      <w:r w:rsidRPr="003A48AB">
        <w:rPr>
          <w:rFonts w:ascii="Arial" w:eastAsia="Times New Roman" w:hAnsi="Arial" w:cs="Arial"/>
          <w:i/>
          <w:color w:val="000000"/>
          <w:lang w:eastAsia="en-US" w:bidi="en-US"/>
        </w:rPr>
        <w:t xml:space="preserve">P </w:t>
      </w:r>
      <w:r w:rsidRPr="003A48AB">
        <w:rPr>
          <w:rFonts w:ascii="Arial" w:eastAsia="Times New Roman" w:hAnsi="Arial" w:cs="Arial"/>
          <w:color w:val="000000"/>
          <w:lang w:eastAsia="en-US" w:bidi="en-US"/>
        </w:rPr>
        <w:t xml:space="preserve">≤ 0.05 level. </w:t>
      </w:r>
      <w:r w:rsidRPr="003A48AB">
        <w:rPr>
          <w:rFonts w:ascii="Arial" w:eastAsia="Yu Mincho" w:hAnsi="Arial" w:cs="Arial"/>
          <w:lang w:eastAsia="en-US" w:bidi="en-US"/>
        </w:rPr>
        <w:t xml:space="preserve">Within graphs, error bars in the same orientation that are marked with different letters imply mean values significantly different to at least </w:t>
      </w:r>
      <w:r w:rsidRPr="003A48AB">
        <w:rPr>
          <w:rFonts w:ascii="Arial" w:eastAsia="Yu Mincho" w:hAnsi="Arial" w:cs="Arial"/>
          <w:i/>
          <w:lang w:eastAsia="en-US" w:bidi="en-US"/>
        </w:rPr>
        <w:t xml:space="preserve">P </w:t>
      </w:r>
      <w:r w:rsidRPr="003A48AB">
        <w:rPr>
          <w:rFonts w:ascii="Arial" w:eastAsia="Yu Mincho" w:hAnsi="Arial" w:cs="Arial"/>
          <w:lang w:eastAsia="en-US" w:bidi="en-US"/>
        </w:rPr>
        <w:t>≤ 0.05</w:t>
      </w:r>
      <w:r w:rsidRPr="003A48AB">
        <w:rPr>
          <w:rFonts w:ascii="Arial" w:eastAsia="Times New Roman" w:hAnsi="Arial" w:cs="Arial"/>
          <w:color w:val="000000"/>
          <w:lang w:eastAsia="en-US" w:bidi="en-US"/>
        </w:rPr>
        <w:t>. The scale bars in (</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f</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 xml:space="preserve"> </w:t>
      </w:r>
      <w:r w:rsidRPr="003A48AB">
        <w:rPr>
          <w:rFonts w:ascii="Arial" w:eastAsia="Times New Roman" w:hAnsi="Arial" w:cs="Arial"/>
          <w:color w:val="000000"/>
          <w:lang w:eastAsia="en-US" w:bidi="en-US"/>
        </w:rPr>
        <w:t>are all equivalent to 1cm.</w:t>
      </w:r>
      <w:r w:rsidRPr="003A48AB">
        <w:rPr>
          <w:rFonts w:ascii="Arial" w:eastAsia="Times New Roman" w:hAnsi="Arial" w:cs="Arial"/>
          <w:b/>
          <w:color w:val="000000"/>
          <w:lang w:eastAsia="en-US" w:bidi="en-US"/>
        </w:rPr>
        <w:t xml:space="preserve"> </w:t>
      </w:r>
      <w:r w:rsidRPr="003A48AB">
        <w:rPr>
          <w:rFonts w:ascii="Arial" w:eastAsia="Times New Roman" w:hAnsi="Arial" w:cs="Arial"/>
          <w:color w:val="000000"/>
          <w:lang w:eastAsia="en-US" w:bidi="en-US"/>
        </w:rPr>
        <w:t>For (</w:t>
      </w:r>
      <w:r w:rsidRPr="003A48AB">
        <w:rPr>
          <w:rFonts w:ascii="Arial" w:eastAsia="Times New Roman" w:hAnsi="Arial" w:cs="Arial"/>
          <w:b/>
          <w:color w:val="000000"/>
          <w:lang w:eastAsia="en-US" w:bidi="en-US"/>
        </w:rPr>
        <w:t xml:space="preserve">f </w:t>
      </w:r>
      <w:r w:rsidRPr="003A48AB">
        <w:rPr>
          <w:rFonts w:ascii="Arial" w:eastAsia="Yu Mincho" w:hAnsi="Arial" w:cs="Arial"/>
          <w:lang w:eastAsia="en-US" w:bidi="en-US"/>
        </w:rPr>
        <w:t>-</w:t>
      </w:r>
      <w:r w:rsidRPr="003A48AB">
        <w:rPr>
          <w:rFonts w:ascii="Arial" w:eastAsia="Times New Roman" w:hAnsi="Arial" w:cs="Arial"/>
          <w:b/>
          <w:color w:val="000000"/>
          <w:lang w:eastAsia="en-US" w:bidi="en-US"/>
        </w:rPr>
        <w:t>g</w:t>
      </w:r>
      <w:r w:rsidRPr="003A48AB">
        <w:rPr>
          <w:rFonts w:ascii="Arial" w:eastAsia="Times New Roman" w:hAnsi="Arial" w:cs="Arial"/>
          <w:color w:val="000000"/>
          <w:lang w:eastAsia="en-US" w:bidi="en-US"/>
        </w:rPr>
        <w:t xml:space="preserve">) 40 sporophyte samples were measured per </w:t>
      </w:r>
      <w:r w:rsidR="00476449">
        <w:rPr>
          <w:rFonts w:ascii="Arial" w:eastAsia="Times New Roman" w:hAnsi="Arial" w:cs="Arial"/>
          <w:color w:val="000000"/>
          <w:lang w:eastAsia="en-US" w:bidi="en-US"/>
        </w:rPr>
        <w:t>treatments. Error bars = s.e.m.</w:t>
      </w:r>
    </w:p>
    <w:p w14:paraId="5DF51748" w14:textId="5B27D36A" w:rsidR="003A48AB" w:rsidRPr="00476449" w:rsidRDefault="003A48AB" w:rsidP="003A48AB">
      <w:pPr>
        <w:tabs>
          <w:tab w:val="left" w:pos="6663"/>
        </w:tabs>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u w:val="single"/>
          <w:lang w:eastAsia="en-US" w:bidi="en-US"/>
        </w:rPr>
        <w:t xml:space="preserve">5.2.2 Methodology relating to analysing stomatal S and D in </w:t>
      </w:r>
      <w:r w:rsidRPr="003A48AB">
        <w:rPr>
          <w:rFonts w:ascii="Arial" w:eastAsia="Times New Roman" w:hAnsi="Arial" w:cs="Arial"/>
          <w:i/>
          <w:color w:val="000000"/>
          <w:u w:val="single"/>
          <w:lang w:eastAsia="en-US" w:bidi="en-US"/>
        </w:rPr>
        <w:t>F. hygrometrica</w:t>
      </w:r>
      <w:r w:rsidRPr="003A48AB">
        <w:rPr>
          <w:rFonts w:ascii="Arial" w:eastAsia="Times New Roman" w:hAnsi="Arial" w:cs="Arial"/>
          <w:color w:val="000000"/>
          <w:u w:val="single"/>
          <w:lang w:eastAsia="en-US" w:bidi="en-US"/>
        </w:rPr>
        <w:t xml:space="preserve"> and </w:t>
      </w:r>
      <w:r w:rsidRPr="003A48AB">
        <w:rPr>
          <w:rFonts w:ascii="Arial" w:eastAsia="Times New Roman" w:hAnsi="Arial" w:cs="Arial"/>
          <w:i/>
          <w:color w:val="000000"/>
          <w:u w:val="single"/>
          <w:lang w:eastAsia="en-US" w:bidi="en-US"/>
        </w:rPr>
        <w:t>P. patens</w:t>
      </w:r>
    </w:p>
    <w:p w14:paraId="1E8AFC60" w14:textId="77777777" w:rsidR="003A48AB" w:rsidRPr="003A48AB" w:rsidRDefault="003A48AB" w:rsidP="003A48AB">
      <w:pPr>
        <w:tabs>
          <w:tab w:val="left" w:pos="6663"/>
        </w:tabs>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lang w:eastAsia="en-US" w:bidi="en-US"/>
        </w:rPr>
        <w:t>To obtain stomatal S area measurements in both species, the length of a guard cell was multiplied by two times the width from the edge of a guard cell to the start of pore (</w:t>
      </w:r>
      <w:r w:rsidRPr="003A48AB">
        <w:rPr>
          <w:rFonts w:ascii="Arial" w:eastAsia="Times New Roman" w:hAnsi="Arial" w:cs="Arial"/>
          <w:b/>
          <w:color w:val="000000"/>
          <w:lang w:eastAsia="en-US" w:bidi="en-US"/>
        </w:rPr>
        <w:t>Fig. 2a</w:t>
      </w:r>
      <w:r w:rsidRPr="003A48AB">
        <w:rPr>
          <w:rFonts w:ascii="Arial" w:eastAsia="Times New Roman" w:hAnsi="Arial" w:cs="Arial"/>
          <w:color w:val="000000"/>
          <w:lang w:eastAsia="en-US" w:bidi="en-US"/>
        </w:rPr>
        <w:t xml:space="preserve">). S measurements were performed using the same images that were used to calculate values for D. To measure S in </w:t>
      </w:r>
      <w:r w:rsidRPr="003A48AB">
        <w:rPr>
          <w:rFonts w:ascii="Arial" w:eastAsia="Times New Roman" w:hAnsi="Arial" w:cs="Arial"/>
          <w:i/>
          <w:color w:val="000000"/>
          <w:lang w:eastAsia="en-US" w:bidi="en-US"/>
        </w:rPr>
        <w:t>F. hygrometrica</w:t>
      </w:r>
      <w:r w:rsidRPr="003A48AB">
        <w:rPr>
          <w:rFonts w:ascii="Arial" w:eastAsia="Times New Roman" w:hAnsi="Arial" w:cs="Arial"/>
          <w:color w:val="000000"/>
          <w:lang w:eastAsia="en-US" w:bidi="en-US"/>
        </w:rPr>
        <w:t xml:space="preserve">, the first 10 stomata on the left side of a designated D area were measured and then averaged to calculate an S value for each sample. For S measurements in </w:t>
      </w:r>
      <w:r w:rsidRPr="003A48AB">
        <w:rPr>
          <w:rFonts w:ascii="Arial" w:eastAsia="Times New Roman" w:hAnsi="Arial" w:cs="Arial"/>
          <w:i/>
          <w:color w:val="000000"/>
          <w:lang w:eastAsia="en-US" w:bidi="en-US"/>
        </w:rPr>
        <w:t xml:space="preserve">P. patens </w:t>
      </w:r>
      <w:r w:rsidRPr="003A48AB">
        <w:rPr>
          <w:rFonts w:ascii="Arial" w:eastAsia="Times New Roman" w:hAnsi="Arial" w:cs="Arial"/>
          <w:color w:val="000000"/>
          <w:lang w:eastAsia="en-US" w:bidi="en-US"/>
        </w:rPr>
        <w:t xml:space="preserve">all stomata were measured on a capsule and then averaged to give an S value for each sample. For D measurements two different approaches were taken. For </w:t>
      </w:r>
      <w:r w:rsidRPr="003A48AB">
        <w:rPr>
          <w:rFonts w:ascii="Arial" w:eastAsia="Times New Roman" w:hAnsi="Arial" w:cs="Arial"/>
          <w:i/>
          <w:color w:val="000000"/>
          <w:lang w:eastAsia="en-US" w:bidi="en-US"/>
        </w:rPr>
        <w:t>F. hygrometrica</w:t>
      </w:r>
      <w:r w:rsidRPr="003A48AB">
        <w:rPr>
          <w:rFonts w:ascii="Arial" w:eastAsia="Times New Roman" w:hAnsi="Arial" w:cs="Arial"/>
          <w:color w:val="000000"/>
          <w:lang w:eastAsia="en-US" w:bidi="en-US"/>
        </w:rPr>
        <w:t xml:space="preserve">, the sporophyte capsule was dissected longitudinally and a number of images of the stomatal-bearing epidermis were taken and stacked using ImageJ </w:t>
      </w:r>
      <w:r w:rsidRPr="003A48AB">
        <w:rPr>
          <w:rFonts w:ascii="Arial" w:eastAsia="Times New Roman" w:hAnsi="Arial" w:cs="Arial"/>
          <w:color w:val="000000"/>
          <w:lang w:eastAsia="en-US" w:bidi="en-US"/>
        </w:rPr>
        <w:fldChar w:fldCharType="begin"/>
      </w:r>
      <w:r w:rsidRPr="003A48AB">
        <w:rPr>
          <w:rFonts w:ascii="Arial" w:eastAsia="Times New Roman" w:hAnsi="Arial" w:cs="Arial"/>
          <w:color w:val="000000"/>
          <w:lang w:eastAsia="en-US" w:bidi="en-US"/>
        </w:rPr>
        <w:instrText xml:space="preserve"> ADDIN EN.CITE &lt;EndNote&gt;&lt;Cite&gt;&lt;Author&gt;Schneider&lt;/Author&gt;&lt;Year&gt;2012&lt;/Year&gt;&lt;IDText&gt;NIH Image to ImageJ: 25 years of image analysis&lt;/IDText&gt;&lt;DisplayText&gt;(Schneider et al., 2012)&lt;/DisplayText&gt;&lt;record&gt;&lt;dates&gt;&lt;pub-dates&gt;&lt;date&gt;Jul&lt;/date&gt;&lt;/pub-dates&gt;&lt;year&gt;2012&lt;/year&gt;&lt;/dates&gt;&lt;keywords&gt;&lt;keyword&gt;*Computational Biology/history/methods/trends&lt;/keyword&gt;&lt;keyword&gt;History, 20th Century&lt;/keyword&gt;&lt;keyword&gt;History, 21st Century&lt;/keyword&gt;&lt;keyword&gt;Image Processing, Computer-Assisted/*methods&lt;/keyword&gt;&lt;keyword&gt;National Institutes of Health (U.S.)&lt;/keyword&gt;&lt;keyword&gt;Software/*history/trends&lt;/keyword&gt;&lt;keyword&gt;United States&lt;/keyword&gt;&lt;/keywords&gt;&lt;isbn&gt;1548-7091&lt;/isbn&gt;&lt;titles&gt;&lt;title&gt;NIH Image to ImageJ: 25 years of image analysis&lt;/title&gt;&lt;secondary-title&gt;Nat Methods&lt;/secondary-title&gt;&lt;alt-title&gt;Nature methods&lt;/alt-title&gt;&lt;/titles&gt;&lt;pages&gt;671-5&lt;/pages&gt;&lt;number&gt;7&lt;/number&gt;&lt;contributors&gt;&lt;authors&gt;&lt;author&gt;Schneider, C. A.&lt;/author&gt;&lt;author&gt;Rasband, W. S.&lt;/author&gt;&lt;author&gt;Eliceiri, K. W.&lt;/author&gt;&lt;/authors&gt;&lt;/contributors&gt;&lt;edition&gt;2012/08/30&lt;/edition&gt;&lt;language&gt;eng&lt;/language&gt;&lt;added-date format="utc"&gt;1455184195&lt;/added-date&gt;&lt;ref-type name="Journal Article"&gt;17&lt;/ref-type&gt;&lt;auth-address&gt;Laboratory for Optical and Computational Instrumentation, University of Wisconsin at Madison, Madison, Wisconsin, USA.&lt;/auth-address&gt;&lt;remote-database-provider&gt;NLM&lt;/remote-database-provider&gt;&lt;rec-number&gt;824&lt;/rec-number&gt;&lt;last-updated-date format="utc"&gt;1455184195&lt;/last-updated-date&gt;&lt;accession-num&gt;22930834&lt;/accession-num&gt;&lt;volume&gt;9&lt;/volume&gt;&lt;/record&gt;&lt;/Cite&gt;&lt;/EndNote&gt;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(Schneider et al., 2012)</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a relatively flat area was selected and then a 0.25mm x 0.25mm area marked, and stomata counted. The number of stomata counted was multiplied by 16 to produce a mm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 xml:space="preserve"> stomatal density. </w:t>
      </w:r>
    </w:p>
    <w:p w14:paraId="5500B2D6" w14:textId="77777777" w:rsidR="003A48AB" w:rsidRPr="003A48AB" w:rsidRDefault="003A48AB" w:rsidP="003A48AB">
      <w:pPr>
        <w:tabs>
          <w:tab w:val="left" w:pos="6663"/>
        </w:tabs>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lang w:eastAsia="en-US" w:bidi="en-US"/>
        </w:rPr>
        <w:t xml:space="preserve">The analysis of D in </w:t>
      </w:r>
      <w:r w:rsidRPr="003A48AB">
        <w:rPr>
          <w:rFonts w:ascii="Arial" w:eastAsia="Times New Roman" w:hAnsi="Arial" w:cs="Arial"/>
          <w:i/>
          <w:color w:val="000000"/>
          <w:lang w:eastAsia="en-US" w:bidi="en-US"/>
        </w:rPr>
        <w:t>P. patens</w:t>
      </w:r>
      <w:r w:rsidRPr="003A48AB">
        <w:rPr>
          <w:rFonts w:ascii="Arial" w:eastAsia="Times New Roman" w:hAnsi="Arial" w:cs="Arial"/>
          <w:color w:val="000000"/>
          <w:lang w:eastAsia="en-US" w:bidi="en-US"/>
        </w:rPr>
        <w:t xml:space="preserve"> was more complicated than in </w:t>
      </w:r>
      <w:r w:rsidRPr="003A48AB">
        <w:rPr>
          <w:rFonts w:ascii="Arial" w:eastAsia="Times New Roman" w:hAnsi="Arial" w:cs="Arial"/>
          <w:i/>
          <w:color w:val="000000"/>
          <w:lang w:eastAsia="en-US" w:bidi="en-US"/>
        </w:rPr>
        <w:t xml:space="preserve">F. hygrometrica </w:t>
      </w:r>
      <w:r w:rsidRPr="003A48AB">
        <w:rPr>
          <w:rFonts w:ascii="Arial" w:eastAsia="Times New Roman" w:hAnsi="Arial" w:cs="Arial"/>
          <w:color w:val="000000"/>
          <w:lang w:eastAsia="en-US" w:bidi="en-US"/>
        </w:rPr>
        <w:t>as the sporophyte capsules were considerably smaller and more curved, the stomatal-bearing areas were considerably more reduced and the stomatal number was also considerably less. However, in an attempt to derive a stomatal density value, the following method was employed; a series of images of the capsule base of each sample were first taken and flattened using ImageJ (</w:t>
      </w:r>
      <w:r w:rsidRPr="003A48AB">
        <w:rPr>
          <w:rFonts w:ascii="Arial" w:eastAsia="Times New Roman" w:hAnsi="Arial" w:cs="Arial"/>
          <w:b/>
          <w:color w:val="000000"/>
          <w:lang w:eastAsia="en-US" w:bidi="en-US"/>
        </w:rPr>
        <w:t>Fig. 2b</w:t>
      </w:r>
      <w:r w:rsidRPr="003A48AB">
        <w:rPr>
          <w:rFonts w:ascii="Arial" w:eastAsia="Times New Roman" w:hAnsi="Arial" w:cs="Arial"/>
          <w:color w:val="000000"/>
          <w:lang w:eastAsia="en-US" w:bidi="en-US"/>
        </w:rPr>
        <w:t>), then using the oval measurement in imageJ the area where stomata formed was acquired in mm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 xml:space="preserve"> (see red circle). Finally, the number of stomata present were counted and divided by the mm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 xml:space="preserve"> area to give an approximate density per stomatal bearing area. </w:t>
      </w:r>
    </w:p>
    <w:p w14:paraId="16D98BEB" w14:textId="77777777" w:rsidR="003A48AB" w:rsidRPr="003A48AB" w:rsidRDefault="003A48AB" w:rsidP="003A48AB">
      <w:pPr>
        <w:tabs>
          <w:tab w:val="left" w:pos="6663"/>
        </w:tabs>
        <w:spacing w:after="160" w:line="360" w:lineRule="auto"/>
        <w:rPr>
          <w:rFonts w:ascii="Arial" w:eastAsia="Times New Roman" w:hAnsi="Arial" w:cs="Arial"/>
          <w:color w:val="000000"/>
          <w:u w:val="single"/>
          <w:vertAlign w:val="subscript"/>
          <w:lang w:eastAsia="en-US" w:bidi="en-US"/>
        </w:rPr>
      </w:pPr>
      <w:r w:rsidRPr="003A48AB">
        <w:rPr>
          <w:rFonts w:ascii="Arial" w:eastAsia="Times New Roman" w:hAnsi="Arial" w:cs="Arial"/>
          <w:noProof/>
          <w:color w:val="000000"/>
          <w:vertAlign w:val="subscript"/>
          <w:lang w:eastAsia="ja-JP"/>
        </w:rPr>
        <w:lastRenderedPageBreak/>
        <w:drawing>
          <wp:inline distT="0" distB="0" distL="0" distR="0" wp14:anchorId="245D4338" wp14:editId="28E87D5B">
            <wp:extent cx="5210175" cy="2495550"/>
            <wp:effectExtent l="0" t="0" r="952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10175" cy="2495550"/>
                    </a:xfrm>
                    <a:prstGeom prst="rect">
                      <a:avLst/>
                    </a:prstGeom>
                    <a:noFill/>
                    <a:ln>
                      <a:noFill/>
                    </a:ln>
                  </pic:spPr>
                </pic:pic>
              </a:graphicData>
            </a:graphic>
          </wp:inline>
        </w:drawing>
      </w:r>
    </w:p>
    <w:p w14:paraId="32D9777C" w14:textId="77777777" w:rsidR="003A48AB" w:rsidRPr="003A48AB" w:rsidRDefault="003A48AB" w:rsidP="003A48AB">
      <w:pPr>
        <w:tabs>
          <w:tab w:val="left" w:pos="6663"/>
        </w:tabs>
        <w:spacing w:after="160" w:line="360" w:lineRule="auto"/>
        <w:rPr>
          <w:rFonts w:ascii="Arial" w:eastAsia="Times New Roman" w:hAnsi="Arial" w:cs="Arial"/>
          <w:color w:val="000000"/>
          <w:lang w:eastAsia="en-US" w:bidi="en-US"/>
        </w:rPr>
      </w:pPr>
      <w:r w:rsidRPr="003A48AB">
        <w:rPr>
          <w:rFonts w:ascii="Arial" w:eastAsia="Times New Roman" w:hAnsi="Arial" w:cs="Arial"/>
          <w:b/>
          <w:color w:val="000000"/>
          <w:lang w:eastAsia="en-US" w:bidi="en-US"/>
        </w:rPr>
        <w:t>Figure 2. Acquiring stomatal S and D values to measure responses of mosses to growth at different CO</w:t>
      </w:r>
      <w:r w:rsidRPr="003A48AB">
        <w:rPr>
          <w:rFonts w:ascii="Arial" w:eastAsia="Times New Roman" w:hAnsi="Arial" w:cs="Arial"/>
          <w:b/>
          <w:color w:val="000000"/>
          <w:vertAlign w:val="subscript"/>
          <w:lang w:eastAsia="en-US" w:bidi="en-US"/>
        </w:rPr>
        <w:t>2</w:t>
      </w:r>
      <w:r w:rsidRPr="003A48AB">
        <w:rPr>
          <w:rFonts w:ascii="Arial" w:eastAsia="Times New Roman" w:hAnsi="Arial" w:cs="Arial"/>
          <w:b/>
          <w:color w:val="000000"/>
          <w:lang w:eastAsia="en-US" w:bidi="en-US"/>
        </w:rPr>
        <w:t xml:space="preserve"> concentrations</w:t>
      </w:r>
      <w:r w:rsidRPr="003A48AB">
        <w:rPr>
          <w:rFonts w:ascii="Arial" w:eastAsia="Times New Roman" w:hAnsi="Arial" w:cs="Arial"/>
          <w:color w:val="000000"/>
          <w:lang w:eastAsia="en-US" w:bidi="en-US"/>
        </w:rPr>
        <w:t>. (</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 xml:space="preserve"> </w:t>
      </w:r>
      <w:r w:rsidRPr="003A48AB">
        <w:rPr>
          <w:rFonts w:ascii="Arial" w:eastAsia="Times New Roman" w:hAnsi="Arial" w:cs="Arial"/>
          <w:color w:val="000000"/>
          <w:lang w:eastAsia="en-US" w:bidi="en-US"/>
        </w:rPr>
        <w:t>Close-up image of a stoma with red lines indicating how length (running parallel to the pore) and width (running perpendicular to the pore) were measured. To calculate the area or S the length of a stoma was multiplied by two times the width. (</w:t>
      </w:r>
      <w:r w:rsidRPr="003A48AB">
        <w:rPr>
          <w:rFonts w:ascii="Arial" w:eastAsia="Times New Roman" w:hAnsi="Arial" w:cs="Arial"/>
          <w:b/>
          <w:color w:val="000000"/>
          <w:lang w:eastAsia="en-US" w:bidi="en-US"/>
        </w:rPr>
        <w:t>b</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 xml:space="preserve"> </w:t>
      </w:r>
      <w:r w:rsidRPr="003A48AB">
        <w:rPr>
          <w:rFonts w:ascii="Arial" w:eastAsia="Times New Roman" w:hAnsi="Arial" w:cs="Arial"/>
          <w:color w:val="000000"/>
          <w:lang w:eastAsia="en-US" w:bidi="en-US"/>
        </w:rPr>
        <w:t xml:space="preserve">A stacked, flattened image of a </w:t>
      </w:r>
      <w:r w:rsidRPr="003A48AB">
        <w:rPr>
          <w:rFonts w:ascii="Arial" w:eastAsia="Times New Roman" w:hAnsi="Arial" w:cs="Arial"/>
          <w:i/>
          <w:color w:val="000000"/>
          <w:lang w:eastAsia="en-US" w:bidi="en-US"/>
        </w:rPr>
        <w:t xml:space="preserve">P. patens </w:t>
      </w:r>
      <w:r w:rsidRPr="003A48AB">
        <w:rPr>
          <w:rFonts w:ascii="Arial" w:eastAsia="Times New Roman" w:hAnsi="Arial" w:cs="Arial"/>
          <w:color w:val="000000"/>
          <w:lang w:eastAsia="en-US" w:bidi="en-US"/>
        </w:rPr>
        <w:t>sporophyte capsule with orange stomata spread around the capsule base. The red circle is the area measured that the stomata are within. To obtain an approximate D, the total number of stomata per capsule were divided by the mm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 xml:space="preserve"> area obtained to give an approximate D per stomatal bearing area. Scale bars are: (</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 15 µm, (</w:t>
      </w:r>
      <w:r w:rsidRPr="003A48AB">
        <w:rPr>
          <w:rFonts w:ascii="Arial" w:eastAsia="Times New Roman" w:hAnsi="Arial" w:cs="Arial"/>
          <w:b/>
          <w:color w:val="000000"/>
          <w:lang w:eastAsia="en-US" w:bidi="en-US"/>
        </w:rPr>
        <w:t>b</w:t>
      </w:r>
      <w:r w:rsidRPr="003A48AB">
        <w:rPr>
          <w:rFonts w:ascii="Arial" w:eastAsia="Times New Roman" w:hAnsi="Arial" w:cs="Arial"/>
          <w:color w:val="000000"/>
          <w:lang w:eastAsia="en-US" w:bidi="en-US"/>
        </w:rPr>
        <w:t xml:space="preserve">) 100µm. </w:t>
      </w:r>
    </w:p>
    <w:p w14:paraId="61A4255A" w14:textId="37B7999A" w:rsidR="003A48AB" w:rsidRPr="00476449" w:rsidRDefault="003A48AB" w:rsidP="00476449">
      <w:pPr>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u w:val="single"/>
          <w:lang w:eastAsia="en-US" w:bidi="en-US"/>
        </w:rPr>
        <w:t>5.2.3</w:t>
      </w:r>
      <w:r w:rsidRPr="003A48AB">
        <w:rPr>
          <w:rFonts w:ascii="Arial" w:eastAsia="Times New Roman" w:hAnsi="Arial" w:cs="Arial"/>
          <w:i/>
          <w:color w:val="000000"/>
          <w:u w:val="single"/>
          <w:lang w:eastAsia="en-US" w:bidi="en-US"/>
        </w:rPr>
        <w:t xml:space="preserve"> Funaria hygrometrica </w:t>
      </w:r>
      <w:r w:rsidRPr="003A48AB">
        <w:rPr>
          <w:rFonts w:ascii="Arial" w:eastAsia="Times New Roman" w:hAnsi="Arial" w:cs="Arial"/>
          <w:color w:val="000000"/>
          <w:u w:val="single"/>
          <w:lang w:eastAsia="en-US" w:bidi="en-US"/>
        </w:rPr>
        <w:t xml:space="preserve">and </w:t>
      </w:r>
      <w:r w:rsidRPr="003A48AB">
        <w:rPr>
          <w:rFonts w:ascii="Arial" w:eastAsia="Times New Roman" w:hAnsi="Arial" w:cs="Arial"/>
          <w:i/>
          <w:color w:val="000000"/>
          <w:u w:val="single"/>
          <w:lang w:eastAsia="en-US" w:bidi="en-US"/>
        </w:rPr>
        <w:t xml:space="preserve">Physcomitrella patens </w:t>
      </w:r>
      <w:r w:rsidRPr="003A48AB">
        <w:rPr>
          <w:rFonts w:ascii="Arial" w:eastAsia="Times New Roman" w:hAnsi="Arial" w:cs="Arial"/>
          <w:color w:val="000000"/>
          <w:u w:val="single"/>
          <w:lang w:eastAsia="en-US" w:bidi="en-US"/>
        </w:rPr>
        <w:t>stomatal size (S) and density (D) responses to sub-ambient (200ppm), ambient (450ppm) and elevated (1000ppm) CO</w:t>
      </w:r>
      <w:r w:rsidRPr="003A48AB">
        <w:rPr>
          <w:rFonts w:ascii="Arial" w:eastAsia="Times New Roman" w:hAnsi="Arial" w:cs="Arial"/>
          <w:color w:val="000000"/>
          <w:u w:val="single"/>
          <w:vertAlign w:val="subscript"/>
          <w:lang w:eastAsia="en-US" w:bidi="en-US"/>
        </w:rPr>
        <w:t>2</w:t>
      </w:r>
      <w:r w:rsidRPr="003A48AB">
        <w:rPr>
          <w:rFonts w:ascii="Arial" w:eastAsia="Times New Roman" w:hAnsi="Arial" w:cs="Arial"/>
          <w:color w:val="000000"/>
          <w:u w:val="single"/>
          <w:lang w:eastAsia="en-US" w:bidi="en-US"/>
        </w:rPr>
        <w:t xml:space="preserve"> concentrations </w:t>
      </w:r>
    </w:p>
    <w:p w14:paraId="7139D9BD"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To ascertain what growth at different concentrations of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played on stomatal development in </w:t>
      </w:r>
      <w:r w:rsidRPr="003A48AB">
        <w:rPr>
          <w:rFonts w:ascii="Arial" w:eastAsia="Yu Mincho" w:hAnsi="Arial" w:cs="Arial"/>
          <w:i/>
          <w:lang w:eastAsia="en-US" w:bidi="en-US"/>
        </w:rPr>
        <w:t>F. hygrometrica</w:t>
      </w:r>
      <w:r w:rsidRPr="003A48AB">
        <w:rPr>
          <w:rFonts w:ascii="Arial" w:eastAsia="Yu Mincho" w:hAnsi="Arial" w:cs="Arial"/>
          <w:lang w:eastAsia="en-US" w:bidi="en-US"/>
        </w:rPr>
        <w:t>, the stomatal size (S), and densities (D), of 10 sporophytes grown at 200ppm, 450ppm or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were measured (</w:t>
      </w:r>
      <w:r w:rsidRPr="003A48AB">
        <w:rPr>
          <w:rFonts w:ascii="Arial" w:eastAsia="Yu Mincho" w:hAnsi="Arial" w:cs="Arial"/>
          <w:b/>
          <w:lang w:eastAsia="en-US" w:bidi="en-US"/>
        </w:rPr>
        <w:t>Fig. 3</w:t>
      </w:r>
      <w:r w:rsidRPr="003A48AB">
        <w:rPr>
          <w:rFonts w:ascii="Arial" w:eastAsia="Yu Mincho" w:hAnsi="Arial" w:cs="Arial"/>
          <w:lang w:eastAsia="en-US" w:bidi="en-US"/>
        </w:rPr>
        <w:t>). Quantitative and statistical analysis using two individual multiple comparison One-way ANOVAs showed that at 200ppm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w:t>
      </w:r>
      <w:r w:rsidRPr="003A48AB">
        <w:rPr>
          <w:rFonts w:ascii="Arial" w:eastAsia="Yu Mincho" w:hAnsi="Arial" w:cs="Arial"/>
          <w:b/>
          <w:lang w:eastAsia="en-US" w:bidi="en-US"/>
        </w:rPr>
        <w:t>Fig. 3a</w:t>
      </w:r>
      <w:r w:rsidRPr="003A48AB">
        <w:rPr>
          <w:rFonts w:ascii="Arial" w:eastAsia="Yu Mincho" w:hAnsi="Arial" w:cs="Arial"/>
          <w:lang w:eastAsia="en-US" w:bidi="en-US"/>
        </w:rPr>
        <w:t xml:space="preserve"> and </w:t>
      </w:r>
      <w:r w:rsidRPr="003A48AB">
        <w:rPr>
          <w:rFonts w:ascii="Arial" w:eastAsia="Yu Mincho" w:hAnsi="Arial" w:cs="Arial"/>
          <w:b/>
          <w:lang w:eastAsia="en-US" w:bidi="en-US"/>
        </w:rPr>
        <w:t>d</w:t>
      </w:r>
      <w:r w:rsidRPr="003A48AB">
        <w:rPr>
          <w:rFonts w:ascii="Arial" w:eastAsia="Yu Mincho" w:hAnsi="Arial" w:cs="Arial"/>
          <w:lang w:eastAsia="en-US" w:bidi="en-US"/>
        </w:rPr>
        <w:t>), S was significantly reduced and D was significantly increased relative to the stomata of sporophytes grown at 450ppm (</w:t>
      </w:r>
      <w:r w:rsidRPr="003A48AB">
        <w:rPr>
          <w:rFonts w:ascii="Arial" w:eastAsia="Yu Mincho" w:hAnsi="Arial" w:cs="Arial"/>
          <w:b/>
          <w:lang w:eastAsia="en-US" w:bidi="en-US"/>
        </w:rPr>
        <w:t xml:space="preserve">Fig. 3b </w:t>
      </w:r>
      <w:r w:rsidRPr="003A48AB">
        <w:rPr>
          <w:rFonts w:ascii="Arial" w:eastAsia="Yu Mincho" w:hAnsi="Arial" w:cs="Arial"/>
          <w:lang w:eastAsia="en-US" w:bidi="en-US"/>
        </w:rPr>
        <w:t xml:space="preserve">and </w:t>
      </w:r>
      <w:r w:rsidRPr="003A48AB">
        <w:rPr>
          <w:rFonts w:ascii="Arial" w:eastAsia="Yu Mincho" w:hAnsi="Arial" w:cs="Arial"/>
          <w:b/>
          <w:lang w:eastAsia="en-US" w:bidi="en-US"/>
        </w:rPr>
        <w:t>d</w:t>
      </w:r>
      <w:r w:rsidRPr="003A48AB">
        <w:rPr>
          <w:rFonts w:ascii="Arial" w:eastAsia="Yu Mincho" w:hAnsi="Arial" w:cs="Arial"/>
          <w:lang w:eastAsia="en-US" w:bidi="en-US"/>
        </w:rPr>
        <w:t>) and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t>
      </w:r>
      <w:r w:rsidRPr="003A48AB">
        <w:rPr>
          <w:rFonts w:ascii="Arial" w:eastAsia="Yu Mincho" w:hAnsi="Arial" w:cs="Arial"/>
          <w:i/>
          <w:lang w:eastAsia="en-US" w:bidi="en-US"/>
        </w:rPr>
        <w:t xml:space="preserve">P </w:t>
      </w:r>
      <w:r w:rsidRPr="003A48AB">
        <w:rPr>
          <w:rFonts w:ascii="Arial" w:eastAsia="Times New Roman" w:hAnsi="Arial" w:cs="Arial"/>
          <w:color w:val="000000"/>
          <w:lang w:eastAsia="en-US" w:bidi="en-US"/>
        </w:rPr>
        <w:t xml:space="preserve">≤ 0.05) </w:t>
      </w:r>
      <w:r w:rsidRPr="003A48AB">
        <w:rPr>
          <w:rFonts w:ascii="Arial" w:eastAsia="Yu Mincho" w:hAnsi="Arial" w:cs="Arial"/>
          <w:lang w:eastAsia="en-US" w:bidi="en-US"/>
        </w:rPr>
        <w:t>(</w:t>
      </w:r>
      <w:r w:rsidRPr="003A48AB">
        <w:rPr>
          <w:rFonts w:ascii="Arial" w:eastAsia="Yu Mincho" w:hAnsi="Arial" w:cs="Arial"/>
          <w:b/>
          <w:lang w:eastAsia="en-US" w:bidi="en-US"/>
        </w:rPr>
        <w:t>Fig. 3c</w:t>
      </w:r>
      <w:r w:rsidRPr="003A48AB">
        <w:rPr>
          <w:rFonts w:ascii="Arial" w:eastAsia="Yu Mincho" w:hAnsi="Arial" w:cs="Arial"/>
          <w:lang w:eastAsia="en-US" w:bidi="en-US"/>
        </w:rPr>
        <w:t>-</w:t>
      </w:r>
      <w:r w:rsidRPr="003A48AB">
        <w:rPr>
          <w:rFonts w:ascii="Arial" w:eastAsia="Yu Mincho" w:hAnsi="Arial" w:cs="Arial"/>
          <w:b/>
          <w:lang w:eastAsia="en-US" w:bidi="en-US"/>
        </w:rPr>
        <w:t>d</w:t>
      </w:r>
      <w:r w:rsidRPr="003A48AB">
        <w:rPr>
          <w:rFonts w:ascii="Arial" w:eastAsia="Yu Mincho" w:hAnsi="Arial" w:cs="Arial"/>
          <w:lang w:eastAsia="en-US" w:bidi="en-US"/>
        </w:rPr>
        <w:t>). Although not statistically significant, the stomata of sporophytes grown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had a tendency to have a larger S, and smaller D than stomata from sporophytes grown at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t>
      </w:r>
      <w:r w:rsidRPr="003A48AB">
        <w:rPr>
          <w:rFonts w:ascii="Arial" w:eastAsia="Yu Mincho" w:hAnsi="Arial" w:cs="Arial"/>
          <w:b/>
          <w:lang w:eastAsia="en-US" w:bidi="en-US"/>
        </w:rPr>
        <w:t>Fig. 3d</w:t>
      </w:r>
      <w:r w:rsidRPr="003A48AB">
        <w:rPr>
          <w:rFonts w:ascii="Arial" w:eastAsia="Yu Mincho" w:hAnsi="Arial" w:cs="Arial"/>
          <w:lang w:eastAsia="en-US" w:bidi="en-US"/>
        </w:rPr>
        <w:t>). To understand whether the observed differences in D were due to increases in sporophyte size or whether other mechanisms governing cell fate may have been occurring, the SI of the assayed sporophytes from the three different treatments were also calculated (</w:t>
      </w:r>
      <w:r w:rsidRPr="003A48AB">
        <w:rPr>
          <w:rFonts w:ascii="Arial" w:eastAsia="Yu Mincho" w:hAnsi="Arial" w:cs="Arial"/>
          <w:b/>
          <w:lang w:eastAsia="en-US" w:bidi="en-US"/>
        </w:rPr>
        <w:t xml:space="preserve">Fig. 3.e) </w:t>
      </w:r>
      <w:r w:rsidRPr="003A48AB">
        <w:rPr>
          <w:rFonts w:ascii="Arial" w:eastAsia="Yu Mincho" w:hAnsi="Arial" w:cs="Arial"/>
          <w:lang w:eastAsia="en-US" w:bidi="en-US"/>
        </w:rPr>
        <w:t xml:space="preserve">Whilst no significant differences were found between the different treatments, </w:t>
      </w:r>
      <w:r w:rsidRPr="003A48AB">
        <w:rPr>
          <w:rFonts w:ascii="Arial" w:eastAsia="Yu Mincho" w:hAnsi="Arial" w:cs="Arial"/>
          <w:lang w:eastAsia="en-US" w:bidi="en-US"/>
        </w:rPr>
        <w:lastRenderedPageBreak/>
        <w:t>there appeared to be a slight increase in SI in plants grown at 200ppm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relative to those at 450ppm and 1000ppm CO</w:t>
      </w:r>
      <w:r w:rsidRPr="003A48AB">
        <w:rPr>
          <w:rFonts w:ascii="Arial" w:eastAsia="Yu Mincho" w:hAnsi="Arial" w:cs="Arial"/>
          <w:vertAlign w:val="subscript"/>
          <w:lang w:eastAsia="en-US" w:bidi="en-US"/>
        </w:rPr>
        <w:t>2.</w:t>
      </w:r>
      <w:r w:rsidRPr="003A48AB">
        <w:rPr>
          <w:rFonts w:ascii="Arial" w:eastAsia="Yu Mincho" w:hAnsi="Arial" w:cs="Arial"/>
          <w:noProof/>
          <w:lang w:eastAsia="ja-JP"/>
        </w:rPr>
        <w:drawing>
          <wp:inline distT="0" distB="0" distL="0" distR="0" wp14:anchorId="7A1DE6DE" wp14:editId="1CF0B0F9">
            <wp:extent cx="5643154" cy="4723299"/>
            <wp:effectExtent l="0" t="0" r="0" b="127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48609" cy="4727864"/>
                    </a:xfrm>
                    <a:prstGeom prst="rect">
                      <a:avLst/>
                    </a:prstGeom>
                    <a:noFill/>
                    <a:ln>
                      <a:noFill/>
                    </a:ln>
                  </pic:spPr>
                </pic:pic>
              </a:graphicData>
            </a:graphic>
          </wp:inline>
        </w:drawing>
      </w:r>
      <w:r w:rsidRPr="003A48AB">
        <w:rPr>
          <w:rFonts w:ascii="Arial" w:eastAsia="Yu Mincho" w:hAnsi="Arial" w:cs="Arial"/>
          <w:b/>
          <w:lang w:eastAsia="en-US" w:bidi="en-US"/>
        </w:rPr>
        <w:t xml:space="preserve">Figure 3. </w:t>
      </w:r>
      <w:r w:rsidRPr="003A48AB">
        <w:rPr>
          <w:rFonts w:ascii="Arial" w:eastAsia="Yu Mincho" w:hAnsi="Arial" w:cs="Arial"/>
          <w:b/>
          <w:i/>
          <w:lang w:eastAsia="en-US" w:bidi="en-US"/>
        </w:rPr>
        <w:t>Funaria</w:t>
      </w:r>
      <w:r w:rsidRPr="003A48AB">
        <w:rPr>
          <w:rFonts w:ascii="Arial" w:eastAsia="Yu Mincho" w:hAnsi="Arial" w:cs="Arial"/>
          <w:b/>
          <w:lang w:eastAsia="en-US" w:bidi="en-US"/>
        </w:rPr>
        <w:t xml:space="preserve"> </w:t>
      </w:r>
      <w:r w:rsidRPr="003A48AB">
        <w:rPr>
          <w:rFonts w:ascii="Arial" w:eastAsia="Yu Mincho" w:hAnsi="Arial" w:cs="Arial"/>
          <w:b/>
          <w:i/>
          <w:lang w:eastAsia="en-US" w:bidi="en-US"/>
        </w:rPr>
        <w:t xml:space="preserve">hygrometrica </w:t>
      </w:r>
      <w:r w:rsidRPr="003A48AB">
        <w:rPr>
          <w:rFonts w:ascii="Arial" w:eastAsia="Yu Mincho" w:hAnsi="Arial" w:cs="Arial"/>
          <w:b/>
          <w:lang w:eastAsia="en-US" w:bidi="en-US"/>
        </w:rPr>
        <w:t>stomatal development responses of size (S) and density (D) to growth at sub-ambient (200ppm), ambient (450ppm) or elevated (1000ppm) CO</w:t>
      </w:r>
      <w:r w:rsidRPr="003A48AB">
        <w:rPr>
          <w:rFonts w:ascii="Arial" w:eastAsia="Yu Mincho" w:hAnsi="Arial" w:cs="Arial"/>
          <w:b/>
          <w:vertAlign w:val="subscript"/>
          <w:lang w:eastAsia="en-US" w:bidi="en-US"/>
        </w:rPr>
        <w:t>2</w:t>
      </w:r>
      <w:r w:rsidRPr="003A48AB">
        <w:rPr>
          <w:rFonts w:ascii="Arial" w:eastAsia="Yu Mincho" w:hAnsi="Arial" w:cs="Arial"/>
          <w:b/>
          <w:lang w:eastAsia="en-US" w:bidi="en-US"/>
        </w:rPr>
        <w:t xml:space="preserve"> concentrations. </w:t>
      </w:r>
      <w:r w:rsidRPr="003A48AB">
        <w:rPr>
          <w:rFonts w:ascii="Arial" w:eastAsia="Yu Mincho" w:hAnsi="Arial" w:cs="Arial"/>
          <w:lang w:eastAsia="en-US" w:bidi="en-US"/>
        </w:rPr>
        <w:t>(</w:t>
      </w:r>
      <w:r w:rsidRPr="003A48AB">
        <w:rPr>
          <w:rFonts w:ascii="Arial" w:eastAsia="Yu Mincho" w:hAnsi="Arial" w:cs="Arial"/>
          <w:b/>
          <w:lang w:eastAsia="en-US" w:bidi="en-US"/>
        </w:rPr>
        <w:t>a</w:t>
      </w:r>
      <w:r w:rsidRPr="003A48AB">
        <w:rPr>
          <w:rFonts w:ascii="Arial" w:eastAsia="Yu Mincho" w:hAnsi="Arial" w:cs="Arial"/>
          <w:lang w:eastAsia="en-US" w:bidi="en-US"/>
        </w:rPr>
        <w:t>-</w:t>
      </w:r>
      <w:r w:rsidRPr="003A48AB">
        <w:rPr>
          <w:rFonts w:ascii="Arial" w:eastAsia="Yu Mincho" w:hAnsi="Arial" w:cs="Arial"/>
          <w:b/>
          <w:lang w:eastAsia="en-US" w:bidi="en-US"/>
        </w:rPr>
        <w:t>c</w:t>
      </w:r>
      <w:r w:rsidRPr="003A48AB">
        <w:rPr>
          <w:rFonts w:ascii="Arial" w:eastAsia="Yu Mincho" w:hAnsi="Arial" w:cs="Arial"/>
          <w:lang w:eastAsia="en-US" w:bidi="en-US"/>
        </w:rPr>
        <w:t>) Representative images of the epidermis with stomata from sporophytes grown at 200ppm (</w:t>
      </w:r>
      <w:r w:rsidRPr="003A48AB">
        <w:rPr>
          <w:rFonts w:ascii="Arial" w:eastAsia="Yu Mincho" w:hAnsi="Arial" w:cs="Arial"/>
          <w:b/>
          <w:lang w:eastAsia="en-US" w:bidi="en-US"/>
        </w:rPr>
        <w:t>a</w:t>
      </w:r>
      <w:r w:rsidRPr="003A48AB">
        <w:rPr>
          <w:rFonts w:ascii="Arial" w:eastAsia="Yu Mincho" w:hAnsi="Arial" w:cs="Arial"/>
          <w:lang w:eastAsia="en-US" w:bidi="en-US"/>
        </w:rPr>
        <w:t>), 450ppm (</w:t>
      </w:r>
      <w:r w:rsidRPr="003A48AB">
        <w:rPr>
          <w:rFonts w:ascii="Arial" w:eastAsia="Yu Mincho" w:hAnsi="Arial" w:cs="Arial"/>
          <w:b/>
          <w:lang w:eastAsia="en-US" w:bidi="en-US"/>
        </w:rPr>
        <w:t>b</w:t>
      </w:r>
      <w:r w:rsidRPr="003A48AB">
        <w:rPr>
          <w:rFonts w:ascii="Arial" w:eastAsia="Yu Mincho" w:hAnsi="Arial" w:cs="Arial"/>
          <w:lang w:eastAsia="en-US" w:bidi="en-US"/>
        </w:rPr>
        <w:t>) and 1000ppm (</w:t>
      </w:r>
      <w:r w:rsidRPr="003A48AB">
        <w:rPr>
          <w:rFonts w:ascii="Arial" w:eastAsia="Yu Mincho" w:hAnsi="Arial" w:cs="Arial"/>
          <w:b/>
          <w:lang w:eastAsia="en-US" w:bidi="en-US"/>
        </w:rPr>
        <w:t>c</w:t>
      </w:r>
      <w:r w:rsidRPr="003A48AB">
        <w:rPr>
          <w:rFonts w:ascii="Arial" w:eastAsia="Yu Mincho" w:hAnsi="Arial" w:cs="Arial"/>
          <w:lang w:eastAsia="en-US" w:bidi="en-US"/>
        </w:rPr>
        <w:t>)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w:t>
      </w:r>
      <w:r w:rsidRPr="003A48AB">
        <w:rPr>
          <w:rFonts w:ascii="Arial" w:eastAsia="Yu Mincho" w:hAnsi="Arial" w:cs="Arial"/>
          <w:b/>
          <w:lang w:eastAsia="en-US" w:bidi="en-US"/>
        </w:rPr>
        <w:t>d</w:t>
      </w:r>
      <w:r w:rsidRPr="003A48AB">
        <w:rPr>
          <w:rFonts w:ascii="Arial" w:eastAsia="Yu Mincho" w:hAnsi="Arial" w:cs="Arial"/>
          <w:lang w:eastAsia="en-US" w:bidi="en-US"/>
        </w:rPr>
        <w:t>) S and D plot illustrating the trend of decreased S but increased D in plants grown at lower concentrations of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Sporophyte capsules taken from plants grown at 200ppm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had smaller S and larger D than the stomata of 450ppm and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grown sporophyte capsules </w:t>
      </w:r>
      <w:r w:rsidRPr="003A48AB">
        <w:rPr>
          <w:rFonts w:ascii="Arial" w:eastAsia="Times New Roman" w:hAnsi="Arial" w:cs="Arial"/>
          <w:color w:val="000000"/>
          <w:lang w:eastAsia="en-US" w:bidi="en-US"/>
        </w:rPr>
        <w:t xml:space="preserve">when two separate multiple comparisons One-way ANOVAs were conducted </w:t>
      </w:r>
      <w:r w:rsidRPr="003A48AB">
        <w:rPr>
          <w:rFonts w:ascii="Arial" w:eastAsia="Yu Mincho" w:hAnsi="Arial" w:cs="Arial"/>
          <w:lang w:eastAsia="en-US" w:bidi="en-US"/>
        </w:rPr>
        <w:t>(</w:t>
      </w:r>
      <w:r w:rsidRPr="003A48AB">
        <w:rPr>
          <w:rFonts w:ascii="Arial" w:eastAsia="Yu Mincho" w:hAnsi="Arial" w:cs="Arial"/>
          <w:i/>
          <w:lang w:eastAsia="en-US" w:bidi="en-US"/>
        </w:rPr>
        <w:t xml:space="preserve">P </w:t>
      </w:r>
      <w:r w:rsidRPr="003A48AB">
        <w:rPr>
          <w:rFonts w:ascii="Arial" w:eastAsia="Times New Roman" w:hAnsi="Arial" w:cs="Arial"/>
          <w:color w:val="000000"/>
          <w:lang w:eastAsia="en-US" w:bidi="en-US"/>
        </w:rPr>
        <w:t xml:space="preserve">≤ 0.05). </w:t>
      </w:r>
      <w:r w:rsidRPr="003A48AB">
        <w:rPr>
          <w:rFonts w:ascii="Arial" w:eastAsia="Yu Mincho" w:hAnsi="Arial" w:cs="Arial"/>
          <w:lang w:eastAsia="en-US" w:bidi="en-US"/>
        </w:rPr>
        <w:t>(</w:t>
      </w:r>
      <w:r w:rsidRPr="003A48AB">
        <w:rPr>
          <w:rFonts w:ascii="Arial" w:eastAsia="Yu Mincho" w:hAnsi="Arial" w:cs="Arial"/>
          <w:b/>
          <w:lang w:eastAsia="en-US" w:bidi="en-US"/>
        </w:rPr>
        <w:t>e</w:t>
      </w:r>
      <w:r w:rsidRPr="003A48AB">
        <w:rPr>
          <w:rFonts w:ascii="Arial" w:eastAsia="Yu Mincho" w:hAnsi="Arial" w:cs="Arial"/>
          <w:lang w:eastAsia="en-US" w:bidi="en-US"/>
        </w:rPr>
        <w:t>) Stomatal indices (SI) taken from samples in (</w:t>
      </w:r>
      <w:r w:rsidRPr="003A48AB">
        <w:rPr>
          <w:rFonts w:ascii="Arial" w:eastAsia="Yu Mincho" w:hAnsi="Arial" w:cs="Arial"/>
          <w:b/>
          <w:lang w:eastAsia="en-US" w:bidi="en-US"/>
        </w:rPr>
        <w:t>d</w:t>
      </w:r>
      <w:r w:rsidRPr="003A48AB">
        <w:rPr>
          <w:rFonts w:ascii="Arial" w:eastAsia="Yu Mincho" w:hAnsi="Arial" w:cs="Arial"/>
          <w:lang w:eastAsia="en-US" w:bidi="en-US"/>
        </w:rPr>
        <w:t>) illustrating a slight but not significant increase in sporophytes grown at 200ppm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relative to 450 and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(Multiple comparisons One-way ANOVA). Within graphs, error bars in the same orientation marked with different letters imply mean values which were significantly different to at least </w:t>
      </w:r>
      <w:r w:rsidRPr="003A48AB">
        <w:rPr>
          <w:rFonts w:ascii="Arial" w:eastAsia="Yu Mincho" w:hAnsi="Arial" w:cs="Arial"/>
          <w:i/>
          <w:lang w:eastAsia="en-US" w:bidi="en-US"/>
        </w:rPr>
        <w:t xml:space="preserve">P </w:t>
      </w:r>
      <w:r w:rsidRPr="003A48AB">
        <w:rPr>
          <w:rFonts w:ascii="Arial" w:eastAsia="Yu Mincho" w:hAnsi="Arial" w:cs="Arial"/>
          <w:lang w:eastAsia="en-US" w:bidi="en-US"/>
        </w:rPr>
        <w:t>≤ 0.05</w:t>
      </w:r>
      <w:r w:rsidRPr="003A48AB">
        <w:rPr>
          <w:rFonts w:ascii="Arial" w:eastAsia="Times New Roman" w:hAnsi="Arial" w:cs="Arial"/>
          <w:color w:val="000000"/>
          <w:lang w:eastAsia="en-US" w:bidi="en-US"/>
        </w:rPr>
        <w:t>. The scale bars in (</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c</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 xml:space="preserve"> </w:t>
      </w:r>
      <w:r w:rsidRPr="003A48AB">
        <w:rPr>
          <w:rFonts w:ascii="Arial" w:eastAsia="Times New Roman" w:hAnsi="Arial" w:cs="Arial"/>
          <w:color w:val="000000"/>
          <w:lang w:eastAsia="en-US" w:bidi="en-US"/>
        </w:rPr>
        <w:t>are all equivalent to 100µm.</w:t>
      </w:r>
      <w:r w:rsidRPr="003A48AB">
        <w:rPr>
          <w:rFonts w:ascii="Arial" w:eastAsia="Yu Mincho" w:hAnsi="Arial" w:cs="Arial"/>
          <w:lang w:eastAsia="en-US" w:bidi="en-US"/>
        </w:rPr>
        <w:t xml:space="preserve"> Per treatment 10 sporophyte capsules were measured. Plants were grown at </w:t>
      </w:r>
      <w:r w:rsidRPr="003A48AB">
        <w:rPr>
          <w:rFonts w:ascii="Arial" w:eastAsia="Times New Roman" w:hAnsi="Arial" w:cs="Arial"/>
          <w:color w:val="000000"/>
          <w:lang w:eastAsia="en-US" w:bidi="en-US"/>
        </w:rPr>
        <w:t>120µmol 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s</w:t>
      </w:r>
      <w:r w:rsidRPr="003A48AB">
        <w:rPr>
          <w:rFonts w:ascii="Arial" w:eastAsia="Times New Roman" w:hAnsi="Arial" w:cs="Arial"/>
          <w:color w:val="000000"/>
          <w:vertAlign w:val="superscript"/>
          <w:lang w:eastAsia="en-US" w:bidi="en-US"/>
        </w:rPr>
        <w:t>−1</w:t>
      </w:r>
      <w:r w:rsidRPr="003A48AB">
        <w:rPr>
          <w:rFonts w:ascii="Arial" w:eastAsia="Times New Roman" w:hAnsi="Arial" w:cs="Arial"/>
          <w:color w:val="000000"/>
          <w:lang w:eastAsia="en-US" w:bidi="en-US"/>
        </w:rPr>
        <w:t xml:space="preserve"> light intensity.</w:t>
      </w:r>
      <w:r w:rsidRPr="003A48AB">
        <w:rPr>
          <w:rFonts w:ascii="Arial" w:eastAsia="Yu Mincho" w:hAnsi="Arial" w:cs="Arial"/>
          <w:lang w:eastAsia="en-US" w:bidi="en-US"/>
        </w:rPr>
        <w:t xml:space="preserve"> Error bars = s.e.m.</w:t>
      </w:r>
    </w:p>
    <w:p w14:paraId="1D8FDFF3" w14:textId="79F1C910"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lastRenderedPageBreak/>
        <w:t xml:space="preserve">To understand whether the S and D response also occurs in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at least 10 sporophyte capsules from each of the three treatment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were assayed (</w:t>
      </w:r>
      <w:r w:rsidRPr="003A48AB">
        <w:rPr>
          <w:rFonts w:ascii="Arial" w:eastAsia="Yu Mincho" w:hAnsi="Arial" w:cs="Arial"/>
          <w:b/>
          <w:lang w:eastAsia="en-US" w:bidi="en-US"/>
        </w:rPr>
        <w:t>Fig. 4</w:t>
      </w:r>
      <w:r w:rsidRPr="003A48AB">
        <w:rPr>
          <w:rFonts w:ascii="Arial" w:eastAsia="Yu Mincho" w:hAnsi="Arial" w:cs="Arial"/>
          <w:lang w:eastAsia="en-US" w:bidi="en-US"/>
        </w:rPr>
        <w:t>). Generally, the spacing of stomata on capsules grown at 200ppm or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were quite compacted around the central seta (</w:t>
      </w:r>
      <w:r w:rsidRPr="003A48AB">
        <w:rPr>
          <w:rFonts w:ascii="Arial" w:eastAsia="Yu Mincho" w:hAnsi="Arial" w:cs="Arial"/>
          <w:b/>
          <w:lang w:eastAsia="en-US" w:bidi="en-US"/>
        </w:rPr>
        <w:t>Fig. 4a</w:t>
      </w:r>
      <w:r w:rsidRPr="003A48AB">
        <w:rPr>
          <w:rFonts w:ascii="Arial" w:eastAsia="Yu Mincho" w:hAnsi="Arial" w:cs="Arial"/>
          <w:lang w:eastAsia="en-US" w:bidi="en-US"/>
        </w:rPr>
        <w:t>-</w:t>
      </w:r>
      <w:r w:rsidRPr="003A48AB">
        <w:rPr>
          <w:rFonts w:ascii="Arial" w:eastAsia="Yu Mincho" w:hAnsi="Arial" w:cs="Arial"/>
          <w:b/>
          <w:lang w:eastAsia="en-US" w:bidi="en-US"/>
        </w:rPr>
        <w:t>b</w:t>
      </w:r>
      <w:r w:rsidRPr="003A48AB">
        <w:rPr>
          <w:rFonts w:ascii="Arial" w:eastAsia="Yu Mincho" w:hAnsi="Arial" w:cs="Arial"/>
          <w:lang w:eastAsia="en-US" w:bidi="en-US"/>
        </w:rPr>
        <w:t>). On capsules that were grown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stomata spread out further from the base of the sporophyte capsule (</w:t>
      </w:r>
      <w:r w:rsidRPr="003A48AB">
        <w:rPr>
          <w:rFonts w:ascii="Arial" w:eastAsia="Yu Mincho" w:hAnsi="Arial" w:cs="Arial"/>
          <w:b/>
          <w:lang w:eastAsia="en-US" w:bidi="en-US"/>
        </w:rPr>
        <w:t>Fig. 4c</w:t>
      </w:r>
      <w:r w:rsidRPr="003A48AB">
        <w:rPr>
          <w:rFonts w:ascii="Arial" w:eastAsia="Yu Mincho" w:hAnsi="Arial" w:cs="Arial"/>
          <w:lang w:eastAsia="en-US" w:bidi="en-US"/>
        </w:rPr>
        <w:t xml:space="preserve">). Recently, Field and colleagues </w:t>
      </w:r>
      <w:r w:rsidRPr="003A48AB">
        <w:rPr>
          <w:rFonts w:ascii="Arial" w:eastAsia="Yu Mincho" w:hAnsi="Arial" w:cs="Arial"/>
          <w:lang w:eastAsia="en-US" w:bidi="en-US"/>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(2015)</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like Baars and Edwards </w:t>
      </w:r>
      <w:r w:rsidRPr="003A48AB">
        <w:rPr>
          <w:rFonts w:ascii="Arial" w:eastAsia="Yu Mincho" w:hAnsi="Arial" w:cs="Arial"/>
          <w:lang w:eastAsia="en-US" w:bidi="en-US"/>
        </w:rPr>
        <w:fldChar w:fldCharType="begin"/>
      </w:r>
      <w:r w:rsidR="00417B1E">
        <w:rPr>
          <w:rFonts w:ascii="Arial" w:eastAsia="Yu Mincho" w:hAnsi="Arial" w:cs="Arial"/>
          <w:lang w:eastAsia="en-US" w:bidi="en-US"/>
        </w:rPr>
        <w:instrText xml:space="preserve"> ADDIN EN.CITE &lt;EndNote&gt;&lt;Cite ExcludeAuth="1"&gt;&lt;Author&gt;Baars&lt;/Author&gt;&lt;Year&gt;2008&lt;/Year&gt;&lt;IDText&gt;Effects of elevated atmospheric CO2 on spore capsules of the moss Leptobryum pyriforme&lt;/IDText&gt;&lt;DisplayText&gt;(2008)&lt;/DisplayText&gt;&lt;record&gt;&lt;keywords&gt;&lt;keyword&gt;Leptobryum pyriforme&lt;/keyword&gt;&lt;keyword&gt;bryophytes&lt;/keyword&gt;&lt;keyword&gt;stomata&lt;/keyword&gt;&lt;keyword&gt;atmospheric CO2&lt;/keyword&gt;&lt;keyword&gt;capsule&lt;/keyword&gt;&lt;keyword&gt;size&lt;/keyword&gt;&lt;keyword&gt;sporophyte&lt;/keyword&gt;&lt;keyword&gt;STOMATAL DENSITY&lt;/keyword&gt;&lt;keyword&gt;POPLAR POPULUS&lt;/keyword&gt;&lt;keyword&gt;PLANTS&lt;/keyword&gt;&lt;keyword&gt;ENRICHMENT&lt;/keyword&gt;&lt;keyword&gt;RESPONSES&lt;/keyword&gt;&lt;keyword&gt;TEMPERATURE&lt;/keyword&gt;&lt;keyword&gt;INDICATORS&lt;/keyword&gt;&lt;keyword&gt;MECHANISMS&lt;/keyword&gt;&lt;keyword&gt;GROWTH&lt;/keyword&gt;&lt;keyword&gt;INDEX&lt;/keyword&gt;&lt;/keywords&gt;&lt;urls&gt;&lt;related-urls&gt;&lt;url&gt;&amp;lt;Go to ISI&amp;gt;://WOS:000257312100004&lt;/url&gt;&lt;/related-urls&gt;&lt;/urls&gt;&lt;isbn&gt;0373-6687&lt;/isbn&gt;&lt;work-type&gt;Article&lt;/work-type&gt;&lt;titles&gt;&lt;title&gt;Effects of elevated atmospheric CO2 on spore capsules of the moss Leptobryum pyriforme&lt;/title&gt;&lt;secondary-title&gt;Journal of Bryology&lt;/secondary-title&gt;&lt;alt-title&gt;J. Bryol.&lt;/alt-title&gt;&lt;/titles&gt;&lt;pages&gt;36-40&lt;/pages&gt;&lt;contributors&gt;&lt;authors&gt;&lt;author&gt;Baars, C.&lt;/author&gt;&lt;author&gt;Edwards, D.&lt;/author&gt;&lt;/authors&gt;&lt;/contributors&gt;&lt;language&gt;English&lt;/language&gt;&lt;added-date format="utc"&gt;1353145478&lt;/added-date&gt;&lt;ref-type name="Journal Article"&gt;17&lt;/ref-type&gt;&lt;auth-address&gt;[Baars, Christian&amp;#xD;Edwards, Dianne] Cardiff Univ, Sch Earth Ocean &amp;amp; Planetary Sci, Cardiff CF10 3YE, S Glam, Wales. [Baars, Christian] Natl Museum Wales, Dept Geol, Cardiff CF10 3NP, England.&amp;#xD;Baars, C (reprint author), Cardiff Univ, Sch Earth Ocean &amp;amp; Planetary Sci, Cardiff CF10 3YE, S Glam, Wales.&amp;#xD;christian.baars@museumwales.ac.uk&lt;/auth-address&gt;&lt;dates&gt;&lt;year&gt;2008&lt;/year&gt;&lt;/dates&gt;&lt;rec-number&gt;32&lt;/rec-number&gt;&lt;last-updated-date format="utc"&gt;1353145478&lt;/last-updated-date&gt;&lt;accession-num&gt;WOS:000257312100004&lt;/accession-num&gt;&lt;electronic-resource-num&gt;10.1179/174328208x282094&lt;/electronic-resource-num&gt;&lt;volume&gt;30&lt;/volume&gt;&lt;/record&gt;&lt;/Cite&gt;&lt;/EndNote&gt;</w:instrText>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(2008)</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before them, found that at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aberrant stomata formed. This was also the case in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w:t>
      </w:r>
      <w:r w:rsidRPr="003A48AB">
        <w:rPr>
          <w:rFonts w:ascii="Arial" w:eastAsia="Yu Mincho" w:hAnsi="Arial" w:cs="Arial"/>
          <w:i/>
          <w:lang w:eastAsia="en-US" w:bidi="en-US"/>
        </w:rPr>
        <w:t xml:space="preserve"> </w:t>
      </w:r>
      <w:r w:rsidRPr="003A48AB">
        <w:rPr>
          <w:rFonts w:ascii="Arial" w:eastAsia="Yu Mincho" w:hAnsi="Arial" w:cs="Arial"/>
          <w:lang w:eastAsia="en-US" w:bidi="en-US"/>
        </w:rPr>
        <w:t>(</w:t>
      </w:r>
      <w:r w:rsidRPr="003A48AB">
        <w:rPr>
          <w:rFonts w:ascii="Arial" w:eastAsia="Yu Mincho" w:hAnsi="Arial" w:cs="Arial"/>
          <w:b/>
          <w:lang w:eastAsia="en-US" w:bidi="en-US"/>
        </w:rPr>
        <w:t>Fig. 4d</w:t>
      </w:r>
      <w:r w:rsidRPr="003A48AB">
        <w:rPr>
          <w:rFonts w:ascii="Arial" w:eastAsia="Yu Mincho" w:hAnsi="Arial" w:cs="Arial"/>
          <w:lang w:eastAsia="en-US" w:bidi="en-US"/>
        </w:rPr>
        <w:t xml:space="preserve">), interestingly however, aberrant enlarged ectopically dividing guard cells also occurred in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sporophyte capsules grown at 200 and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albeit at a reduced rate of approximately 30% that of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grown capsules (data not shown). No obviously aberrant stomata were seen in </w:t>
      </w:r>
      <w:r w:rsidRPr="003A48AB">
        <w:rPr>
          <w:rFonts w:ascii="Arial" w:eastAsia="Yu Mincho" w:hAnsi="Arial" w:cs="Arial"/>
          <w:i/>
          <w:lang w:eastAsia="en-US" w:bidi="en-US"/>
        </w:rPr>
        <w:t xml:space="preserve">F. hygrometrica </w:t>
      </w:r>
      <w:r w:rsidRPr="003A48AB">
        <w:rPr>
          <w:rFonts w:ascii="Arial" w:eastAsia="Yu Mincho" w:hAnsi="Arial" w:cs="Arial"/>
          <w:lang w:eastAsia="en-US" w:bidi="en-US"/>
        </w:rPr>
        <w:t>however.</w:t>
      </w:r>
    </w:p>
    <w:p w14:paraId="338F2A6B" w14:textId="77777777" w:rsidR="003A48AB" w:rsidRPr="003A48AB" w:rsidRDefault="003A48AB" w:rsidP="003A48AB">
      <w:pPr>
        <w:spacing w:after="160" w:line="360" w:lineRule="auto"/>
        <w:rPr>
          <w:rFonts w:ascii="Arial" w:eastAsia="Yu Mincho" w:hAnsi="Arial" w:cs="Arial"/>
          <w:b/>
          <w:lang w:eastAsia="en-US" w:bidi="en-US"/>
        </w:rPr>
      </w:pPr>
      <w:r w:rsidRPr="003A48AB">
        <w:rPr>
          <w:rFonts w:ascii="Arial" w:eastAsia="Yu Mincho" w:hAnsi="Arial" w:cs="Arial"/>
          <w:noProof/>
          <w:lang w:eastAsia="ja-JP"/>
        </w:rPr>
        <w:drawing>
          <wp:inline distT="0" distB="0" distL="0" distR="0" wp14:anchorId="68363D1C" wp14:editId="03D35B9A">
            <wp:extent cx="5210175" cy="3876675"/>
            <wp:effectExtent l="0" t="0" r="9525"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10175" cy="3876675"/>
                    </a:xfrm>
                    <a:prstGeom prst="rect">
                      <a:avLst/>
                    </a:prstGeom>
                    <a:noFill/>
                    <a:ln>
                      <a:noFill/>
                    </a:ln>
                  </pic:spPr>
                </pic:pic>
              </a:graphicData>
            </a:graphic>
          </wp:inline>
        </w:drawing>
      </w:r>
    </w:p>
    <w:p w14:paraId="165B2D1B" w14:textId="2C709EC9"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b/>
          <w:lang w:eastAsia="en-US" w:bidi="en-US"/>
        </w:rPr>
        <w:t xml:space="preserve">Figure 4. </w:t>
      </w:r>
      <w:r w:rsidRPr="003A48AB">
        <w:rPr>
          <w:rFonts w:ascii="Arial" w:eastAsia="Yu Mincho" w:hAnsi="Arial" w:cs="Arial"/>
          <w:b/>
          <w:i/>
          <w:lang w:eastAsia="en-US" w:bidi="en-US"/>
        </w:rPr>
        <w:t xml:space="preserve">Physcomitrella patens </w:t>
      </w:r>
      <w:r w:rsidRPr="003A48AB">
        <w:rPr>
          <w:rFonts w:ascii="Arial" w:eastAsia="Yu Mincho" w:hAnsi="Arial" w:cs="Arial"/>
          <w:b/>
          <w:lang w:eastAsia="en-US" w:bidi="en-US"/>
        </w:rPr>
        <w:t>stomatal development responses of size (S) and density (D) to growth at sub-ambient (200ppm), ambient (450ppm) or elevated (1000ppm) CO</w:t>
      </w:r>
      <w:r w:rsidRPr="003A48AB">
        <w:rPr>
          <w:rFonts w:ascii="Arial" w:eastAsia="Yu Mincho" w:hAnsi="Arial" w:cs="Arial"/>
          <w:b/>
          <w:vertAlign w:val="subscript"/>
          <w:lang w:eastAsia="en-US" w:bidi="en-US"/>
        </w:rPr>
        <w:t>2</w:t>
      </w:r>
      <w:r w:rsidRPr="003A48AB">
        <w:rPr>
          <w:rFonts w:ascii="Arial" w:eastAsia="Yu Mincho" w:hAnsi="Arial" w:cs="Arial"/>
          <w:b/>
          <w:lang w:eastAsia="en-US" w:bidi="en-US"/>
        </w:rPr>
        <w:t xml:space="preserve"> concentrations. </w:t>
      </w:r>
      <w:r w:rsidRPr="003A48AB">
        <w:rPr>
          <w:rFonts w:ascii="Arial" w:eastAsia="Yu Mincho" w:hAnsi="Arial" w:cs="Arial"/>
          <w:lang w:eastAsia="en-US" w:bidi="en-US"/>
        </w:rPr>
        <w:t>(</w:t>
      </w:r>
      <w:r w:rsidRPr="003A48AB">
        <w:rPr>
          <w:rFonts w:ascii="Arial" w:eastAsia="Yu Mincho" w:hAnsi="Arial" w:cs="Arial"/>
          <w:b/>
          <w:lang w:eastAsia="en-US" w:bidi="en-US"/>
        </w:rPr>
        <w:t>a</w:t>
      </w:r>
      <w:r w:rsidRPr="003A48AB">
        <w:rPr>
          <w:rFonts w:ascii="Arial" w:eastAsia="Yu Mincho" w:hAnsi="Arial" w:cs="Arial"/>
          <w:lang w:eastAsia="en-US" w:bidi="en-US"/>
        </w:rPr>
        <w:t>) Representative sporophyte capsules dissected and mounted facing up grown at 200ppm (</w:t>
      </w:r>
      <w:r w:rsidRPr="003A48AB">
        <w:rPr>
          <w:rFonts w:ascii="Arial" w:eastAsia="Yu Mincho" w:hAnsi="Arial" w:cs="Arial"/>
          <w:b/>
          <w:lang w:eastAsia="en-US" w:bidi="en-US"/>
        </w:rPr>
        <w:t>a</w:t>
      </w:r>
      <w:r w:rsidRPr="003A48AB">
        <w:rPr>
          <w:rFonts w:ascii="Arial" w:eastAsia="Yu Mincho" w:hAnsi="Arial" w:cs="Arial"/>
          <w:lang w:eastAsia="en-US" w:bidi="en-US"/>
        </w:rPr>
        <w:t>), 450ppm (</w:t>
      </w:r>
      <w:r w:rsidRPr="003A48AB">
        <w:rPr>
          <w:rFonts w:ascii="Arial" w:eastAsia="Yu Mincho" w:hAnsi="Arial" w:cs="Arial"/>
          <w:b/>
          <w:lang w:eastAsia="en-US" w:bidi="en-US"/>
        </w:rPr>
        <w:t>b</w:t>
      </w:r>
      <w:r w:rsidRPr="003A48AB">
        <w:rPr>
          <w:rFonts w:ascii="Arial" w:eastAsia="Yu Mincho" w:hAnsi="Arial" w:cs="Arial"/>
          <w:lang w:eastAsia="en-US" w:bidi="en-US"/>
        </w:rPr>
        <w:t>) and 1000ppm (</w:t>
      </w:r>
      <w:r w:rsidRPr="003A48AB">
        <w:rPr>
          <w:rFonts w:ascii="Arial" w:eastAsia="Yu Mincho" w:hAnsi="Arial" w:cs="Arial"/>
          <w:b/>
          <w:lang w:eastAsia="en-US" w:bidi="en-US"/>
        </w:rPr>
        <w:t>c</w:t>
      </w:r>
      <w:r w:rsidRPr="003A48AB">
        <w:rPr>
          <w:rFonts w:ascii="Arial" w:eastAsia="Yu Mincho" w:hAnsi="Arial" w:cs="Arial"/>
          <w:lang w:eastAsia="en-US" w:bidi="en-US"/>
        </w:rPr>
        <w:t>)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w:t>
      </w:r>
      <w:r w:rsidRPr="003A48AB">
        <w:rPr>
          <w:rFonts w:ascii="Arial" w:eastAsia="Yu Mincho" w:hAnsi="Arial" w:cs="Arial"/>
          <w:b/>
          <w:lang w:eastAsia="en-US" w:bidi="en-US"/>
        </w:rPr>
        <w:t>d</w:t>
      </w:r>
      <w:r w:rsidRPr="003A48AB">
        <w:rPr>
          <w:rFonts w:ascii="Arial" w:eastAsia="Yu Mincho" w:hAnsi="Arial" w:cs="Arial"/>
          <w:lang w:eastAsia="en-US" w:bidi="en-US"/>
        </w:rPr>
        <w:t>) An aberrant stomata observed on a sporophyte capsule grown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Note, aberrant stomata akin to (</w:t>
      </w:r>
      <w:r w:rsidRPr="003A48AB">
        <w:rPr>
          <w:rFonts w:ascii="Arial" w:eastAsia="Yu Mincho" w:hAnsi="Arial" w:cs="Arial"/>
          <w:b/>
          <w:lang w:eastAsia="en-US" w:bidi="en-US"/>
        </w:rPr>
        <w:t>d</w:t>
      </w:r>
      <w:r w:rsidRPr="003A48AB">
        <w:rPr>
          <w:rFonts w:ascii="Arial" w:eastAsia="Yu Mincho" w:hAnsi="Arial" w:cs="Arial"/>
          <w:lang w:eastAsia="en-US" w:bidi="en-US"/>
        </w:rPr>
        <w:t>) were also observed on sporophyte capsules grown at 200ppm and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albeit at a reduced rate. (</w:t>
      </w:r>
      <w:r w:rsidRPr="003A48AB">
        <w:rPr>
          <w:rFonts w:ascii="Arial" w:eastAsia="Yu Mincho" w:hAnsi="Arial" w:cs="Arial"/>
          <w:b/>
          <w:lang w:eastAsia="en-US" w:bidi="en-US"/>
        </w:rPr>
        <w:t>e</w:t>
      </w:r>
      <w:r w:rsidRPr="003A48AB">
        <w:rPr>
          <w:rFonts w:ascii="Arial" w:eastAsia="Yu Mincho" w:hAnsi="Arial" w:cs="Arial"/>
          <w:lang w:eastAsia="en-US" w:bidi="en-US"/>
        </w:rPr>
        <w:t xml:space="preserve">) Stomatal S and D plot </w:t>
      </w:r>
      <w:r w:rsidRPr="003A48AB">
        <w:rPr>
          <w:rFonts w:ascii="Arial" w:eastAsia="Yu Mincho" w:hAnsi="Arial" w:cs="Arial"/>
          <w:lang w:eastAsia="en-US" w:bidi="en-US"/>
        </w:rPr>
        <w:lastRenderedPageBreak/>
        <w:t>illustrating the trend of increased S but reduced D in sporophyte capsules grown at higher concentrations of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Sporophyte capsules taken from plants grown at 200ppm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had significantly smaller S but larger D to the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grown sporophyte capsules </w:t>
      </w:r>
      <w:r w:rsidRPr="003A48AB">
        <w:rPr>
          <w:rFonts w:ascii="Arial" w:eastAsia="Times New Roman" w:hAnsi="Arial" w:cs="Arial"/>
          <w:color w:val="000000"/>
          <w:lang w:eastAsia="en-US" w:bidi="en-US"/>
        </w:rPr>
        <w:t xml:space="preserve">when two separate multiple comparisons One-way ANOVAs were conducted </w:t>
      </w:r>
      <w:r w:rsidRPr="003A48AB">
        <w:rPr>
          <w:rFonts w:ascii="Arial" w:eastAsia="Yu Mincho" w:hAnsi="Arial" w:cs="Arial"/>
          <w:lang w:eastAsia="en-US" w:bidi="en-US"/>
        </w:rPr>
        <w:t>(</w:t>
      </w:r>
      <w:r w:rsidRPr="003A48AB">
        <w:rPr>
          <w:rFonts w:ascii="Arial" w:eastAsia="Yu Mincho" w:hAnsi="Arial" w:cs="Arial"/>
          <w:i/>
          <w:lang w:eastAsia="en-US" w:bidi="en-US"/>
        </w:rPr>
        <w:t xml:space="preserve">P </w:t>
      </w:r>
      <w:r w:rsidRPr="003A48AB">
        <w:rPr>
          <w:rFonts w:ascii="Arial" w:eastAsia="Times New Roman" w:hAnsi="Arial" w:cs="Arial"/>
          <w:color w:val="000000"/>
          <w:lang w:eastAsia="en-US" w:bidi="en-US"/>
        </w:rPr>
        <w:t>≤ 0.05). The D of 450ppm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grown sporophyte capsules was also significantly different to those grown at 1000ppm </w:t>
      </w:r>
      <w:r w:rsidRPr="003A48AB">
        <w:rPr>
          <w:rFonts w:ascii="Arial" w:eastAsia="Yu Mincho" w:hAnsi="Arial" w:cs="Arial"/>
          <w:lang w:eastAsia="en-US" w:bidi="en-US"/>
        </w:rPr>
        <w:t>(</w:t>
      </w:r>
      <w:r w:rsidRPr="003A48AB">
        <w:rPr>
          <w:rFonts w:ascii="Arial" w:eastAsia="Yu Mincho" w:hAnsi="Arial" w:cs="Arial"/>
          <w:i/>
          <w:lang w:eastAsia="en-US" w:bidi="en-US"/>
        </w:rPr>
        <w:t xml:space="preserve">P </w:t>
      </w:r>
      <w:r w:rsidRPr="003A48AB">
        <w:rPr>
          <w:rFonts w:ascii="Arial" w:eastAsia="Times New Roman" w:hAnsi="Arial" w:cs="Arial"/>
          <w:color w:val="000000"/>
          <w:lang w:eastAsia="en-US" w:bidi="en-US"/>
        </w:rPr>
        <w:t xml:space="preserve">&lt; 0.05). </w:t>
      </w:r>
      <w:r w:rsidRPr="003A48AB">
        <w:rPr>
          <w:rFonts w:ascii="Arial" w:eastAsia="Yu Mincho" w:hAnsi="Arial" w:cs="Arial"/>
          <w:lang w:eastAsia="en-US" w:bidi="en-US"/>
        </w:rPr>
        <w:t>(</w:t>
      </w:r>
      <w:r w:rsidRPr="003A48AB">
        <w:rPr>
          <w:rFonts w:ascii="Arial" w:eastAsia="Yu Mincho" w:hAnsi="Arial" w:cs="Arial"/>
          <w:b/>
          <w:lang w:eastAsia="en-US" w:bidi="en-US"/>
        </w:rPr>
        <w:t>f</w:t>
      </w:r>
      <w:r w:rsidRPr="003A48AB">
        <w:rPr>
          <w:rFonts w:ascii="Arial" w:eastAsia="Yu Mincho" w:hAnsi="Arial" w:cs="Arial"/>
          <w:lang w:eastAsia="en-US" w:bidi="en-US"/>
        </w:rPr>
        <w:t>) Total stomata number (N) of samples from (</w:t>
      </w:r>
      <w:r w:rsidRPr="003A48AB">
        <w:rPr>
          <w:rFonts w:ascii="Arial" w:eastAsia="Yu Mincho" w:hAnsi="Arial" w:cs="Arial"/>
          <w:b/>
          <w:lang w:eastAsia="en-US" w:bidi="en-US"/>
        </w:rPr>
        <w:t>e</w:t>
      </w:r>
      <w:r w:rsidRPr="003A48AB">
        <w:rPr>
          <w:rFonts w:ascii="Arial" w:eastAsia="Yu Mincho" w:hAnsi="Arial" w:cs="Arial"/>
          <w:lang w:eastAsia="en-US" w:bidi="en-US"/>
        </w:rPr>
        <w:t>) illustrating a slight but not significant increase in N with growth at increasingly high concentrations of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Within graphs, error bars in the same orientation that are marked with different letters imply mean values that are significantly different to at least </w:t>
      </w:r>
      <w:r w:rsidRPr="003A48AB">
        <w:rPr>
          <w:rFonts w:ascii="Arial" w:eastAsia="Yu Mincho" w:hAnsi="Arial" w:cs="Arial"/>
          <w:i/>
          <w:lang w:eastAsia="en-US" w:bidi="en-US"/>
        </w:rPr>
        <w:t xml:space="preserve">P </w:t>
      </w:r>
      <w:r w:rsidR="008D258A">
        <w:rPr>
          <w:rFonts w:ascii="Arial" w:eastAsia="Yu Mincho" w:hAnsi="Arial" w:cs="Arial"/>
          <w:lang w:eastAsia="en-US" w:bidi="en-US"/>
        </w:rPr>
        <w:t>&lt;</w:t>
      </w:r>
      <w:r w:rsidRPr="003A48AB">
        <w:rPr>
          <w:rFonts w:ascii="Arial" w:eastAsia="Yu Mincho" w:hAnsi="Arial" w:cs="Arial"/>
          <w:lang w:eastAsia="en-US" w:bidi="en-US"/>
        </w:rPr>
        <w:t xml:space="preserve"> 0.0</w:t>
      </w:r>
      <w:r w:rsidR="008D258A">
        <w:rPr>
          <w:rFonts w:ascii="Arial" w:eastAsia="Yu Mincho" w:hAnsi="Arial" w:cs="Arial"/>
          <w:lang w:eastAsia="en-US" w:bidi="en-US"/>
        </w:rPr>
        <w:t>5</w:t>
      </w:r>
      <w:r w:rsidRPr="003A48AB">
        <w:rPr>
          <w:rFonts w:ascii="Arial" w:eastAsia="Times New Roman" w:hAnsi="Arial" w:cs="Arial"/>
          <w:color w:val="000000"/>
          <w:lang w:eastAsia="en-US" w:bidi="en-US"/>
        </w:rPr>
        <w:t>. Scale bars: (</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c</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 xml:space="preserve"> </w:t>
      </w:r>
      <w:r w:rsidRPr="003A48AB">
        <w:rPr>
          <w:rFonts w:ascii="Arial" w:eastAsia="Times New Roman" w:hAnsi="Arial" w:cs="Arial"/>
          <w:color w:val="000000"/>
          <w:lang w:eastAsia="en-US" w:bidi="en-US"/>
        </w:rPr>
        <w:t>100µm, (</w:t>
      </w:r>
      <w:r w:rsidRPr="003A48AB">
        <w:rPr>
          <w:rFonts w:ascii="Arial" w:eastAsia="Times New Roman" w:hAnsi="Arial" w:cs="Arial"/>
          <w:b/>
          <w:color w:val="000000"/>
          <w:lang w:eastAsia="en-US" w:bidi="en-US"/>
        </w:rPr>
        <w:t>d</w:t>
      </w:r>
      <w:r w:rsidRPr="003A48AB">
        <w:rPr>
          <w:rFonts w:ascii="Arial" w:eastAsia="Times New Roman" w:hAnsi="Arial" w:cs="Arial"/>
          <w:color w:val="000000"/>
          <w:lang w:eastAsia="en-US" w:bidi="en-US"/>
        </w:rPr>
        <w:t>), 25µm.</w:t>
      </w:r>
      <w:r w:rsidRPr="003A48AB">
        <w:rPr>
          <w:rFonts w:ascii="Arial" w:eastAsia="Yu Mincho" w:hAnsi="Arial" w:cs="Arial"/>
          <w:lang w:eastAsia="en-US" w:bidi="en-US"/>
        </w:rPr>
        <w:t xml:space="preserve"> Per treatment 10 or 11 sporophyte capsules were measured. Plants were grown at </w:t>
      </w:r>
      <w:r w:rsidRPr="003A48AB">
        <w:rPr>
          <w:rFonts w:ascii="Arial" w:eastAsia="Times New Roman" w:hAnsi="Arial" w:cs="Arial"/>
          <w:color w:val="000000"/>
          <w:lang w:eastAsia="en-US" w:bidi="en-US"/>
        </w:rPr>
        <w:t>120µmol 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s</w:t>
      </w:r>
      <w:r w:rsidRPr="003A48AB">
        <w:rPr>
          <w:rFonts w:ascii="Arial" w:eastAsia="Times New Roman" w:hAnsi="Arial" w:cs="Arial"/>
          <w:color w:val="000000"/>
          <w:vertAlign w:val="superscript"/>
          <w:lang w:eastAsia="en-US" w:bidi="en-US"/>
        </w:rPr>
        <w:t>−1</w:t>
      </w:r>
      <w:r w:rsidRPr="003A48AB">
        <w:rPr>
          <w:rFonts w:ascii="Arial" w:eastAsia="Times New Roman" w:hAnsi="Arial" w:cs="Arial"/>
          <w:color w:val="000000"/>
          <w:lang w:eastAsia="en-US" w:bidi="en-US"/>
        </w:rPr>
        <w:t xml:space="preserve"> light intensity. </w:t>
      </w:r>
      <w:r w:rsidRPr="003A48AB">
        <w:rPr>
          <w:rFonts w:ascii="Arial" w:eastAsia="Yu Mincho" w:hAnsi="Arial" w:cs="Arial"/>
          <w:lang w:eastAsia="en-US" w:bidi="en-US"/>
        </w:rPr>
        <w:t>Error bars = s.e.m.</w:t>
      </w:r>
    </w:p>
    <w:p w14:paraId="5E171186" w14:textId="48B1401C"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 xml:space="preserve">When comparing the stomatal S and D of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for different treatments there were significant differences in both the S and D between 200ppm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and 1000ppm CO</w:t>
      </w:r>
      <w:r w:rsidRPr="003A48AB">
        <w:rPr>
          <w:rFonts w:ascii="Arial" w:eastAsia="Yu Mincho" w:hAnsi="Arial" w:cs="Arial"/>
          <w:vertAlign w:val="subscript"/>
          <w:lang w:eastAsia="en-US" w:bidi="en-US"/>
        </w:rPr>
        <w:t xml:space="preserve">2 </w:t>
      </w:r>
      <w:r w:rsidRPr="003A48AB">
        <w:rPr>
          <w:rFonts w:ascii="Arial" w:eastAsia="Yu Mincho" w:hAnsi="Arial" w:cs="Arial"/>
          <w:lang w:eastAsia="en-US" w:bidi="en-US"/>
        </w:rPr>
        <w:t xml:space="preserve">with stomata being smaller but </w:t>
      </w:r>
      <w:r w:rsidR="008D258A">
        <w:rPr>
          <w:rFonts w:ascii="Arial" w:eastAsia="Yu Mincho" w:hAnsi="Arial" w:cs="Arial"/>
          <w:lang w:eastAsia="en-US" w:bidi="en-US"/>
        </w:rPr>
        <w:t xml:space="preserve">more dense </w:t>
      </w:r>
      <w:r w:rsidRPr="003A48AB">
        <w:rPr>
          <w:rFonts w:ascii="Arial" w:eastAsia="Yu Mincho" w:hAnsi="Arial" w:cs="Arial"/>
          <w:lang w:eastAsia="en-US" w:bidi="en-US"/>
        </w:rPr>
        <w:t>on 200ppm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grown capsules (two separate multiple comparison One-way ANOVAs (</w:t>
      </w:r>
      <w:r w:rsidRPr="003A48AB">
        <w:rPr>
          <w:rFonts w:ascii="Arial" w:eastAsia="Yu Mincho" w:hAnsi="Arial" w:cs="Arial"/>
          <w:i/>
          <w:lang w:eastAsia="en-US" w:bidi="en-US"/>
        </w:rPr>
        <w:t xml:space="preserve">P </w:t>
      </w:r>
      <w:r w:rsidRPr="003A48AB">
        <w:rPr>
          <w:rFonts w:ascii="Arial" w:eastAsia="Times New Roman" w:hAnsi="Arial" w:cs="Arial"/>
          <w:color w:val="000000"/>
          <w:lang w:eastAsia="en-US" w:bidi="en-US"/>
        </w:rPr>
        <w:t>≤ 0.05)) (</w:t>
      </w:r>
      <w:r w:rsidRPr="003A48AB">
        <w:rPr>
          <w:rFonts w:ascii="Arial" w:eastAsia="Times New Roman" w:hAnsi="Arial" w:cs="Arial"/>
          <w:b/>
          <w:color w:val="000000"/>
          <w:lang w:eastAsia="en-US" w:bidi="en-US"/>
        </w:rPr>
        <w:t>Fig. 4e</w:t>
      </w:r>
      <w:r w:rsidRPr="003A48AB">
        <w:rPr>
          <w:rFonts w:ascii="Arial" w:eastAsia="Times New Roman" w:hAnsi="Arial" w:cs="Arial"/>
          <w:color w:val="000000"/>
          <w:lang w:eastAsia="en-US" w:bidi="en-US"/>
        </w:rPr>
        <w:t>)</w:t>
      </w:r>
      <w:r w:rsidRPr="003A48AB">
        <w:rPr>
          <w:rFonts w:ascii="Arial" w:eastAsia="Yu Mincho" w:hAnsi="Arial" w:cs="Arial"/>
          <w:lang w:eastAsia="en-US" w:bidi="en-US"/>
        </w:rPr>
        <w:t>. The stomatal S values of 200 and 450ppm CO</w:t>
      </w:r>
      <w:r w:rsidRPr="003A48AB">
        <w:rPr>
          <w:rFonts w:ascii="Arial" w:eastAsia="Yu Mincho" w:hAnsi="Arial" w:cs="Arial"/>
          <w:vertAlign w:val="subscript"/>
          <w:lang w:eastAsia="en-US" w:bidi="en-US"/>
        </w:rPr>
        <w:t xml:space="preserve">2 </w:t>
      </w:r>
      <w:r w:rsidRPr="003A48AB">
        <w:rPr>
          <w:rFonts w:ascii="Arial" w:eastAsia="Yu Mincho" w:hAnsi="Arial" w:cs="Arial"/>
          <w:lang w:eastAsia="en-US" w:bidi="en-US"/>
        </w:rPr>
        <w:t>grown sporophytes were very similar but there was also a significant difference detected between the two treatments for D using the same aforementioned statistical test (</w:t>
      </w:r>
      <w:r w:rsidRPr="003A48AB">
        <w:rPr>
          <w:rFonts w:ascii="Arial" w:eastAsia="Yu Mincho" w:hAnsi="Arial" w:cs="Arial"/>
          <w:i/>
          <w:lang w:eastAsia="en-US" w:bidi="en-US"/>
        </w:rPr>
        <w:t xml:space="preserve">P </w:t>
      </w:r>
      <w:r w:rsidRPr="003A48AB">
        <w:rPr>
          <w:rFonts w:ascii="Arial" w:eastAsia="Times New Roman" w:hAnsi="Arial" w:cs="Arial"/>
          <w:color w:val="000000"/>
          <w:lang w:eastAsia="en-US" w:bidi="en-US"/>
        </w:rPr>
        <w:t>≤</w:t>
      </w:r>
      <w:r w:rsidRPr="003A48AB">
        <w:rPr>
          <w:rFonts w:ascii="Arial" w:eastAsia="Yu Mincho" w:hAnsi="Arial" w:cs="Arial"/>
          <w:lang w:eastAsia="en-US" w:bidi="en-US"/>
        </w:rPr>
        <w:t xml:space="preserve"> 0.05) (</w:t>
      </w:r>
      <w:r w:rsidRPr="003A48AB">
        <w:rPr>
          <w:rFonts w:ascii="Arial" w:eastAsia="Yu Mincho" w:hAnsi="Arial" w:cs="Arial"/>
          <w:b/>
          <w:lang w:eastAsia="en-US" w:bidi="en-US"/>
        </w:rPr>
        <w:t>Fig. 4e</w:t>
      </w:r>
      <w:r w:rsidRPr="003A48AB">
        <w:rPr>
          <w:rFonts w:ascii="Arial" w:eastAsia="Yu Mincho" w:hAnsi="Arial" w:cs="Arial"/>
          <w:lang w:eastAsia="en-US" w:bidi="en-US"/>
        </w:rPr>
        <w:t>). The absolute number of stomata (N) was also counted per capsule and interestingly capsules grown at increasingly high concentrations of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had increased N, although using a One-way ANOVA this was not significant (</w:t>
      </w:r>
      <w:r w:rsidRPr="003A48AB">
        <w:rPr>
          <w:rFonts w:ascii="Arial" w:eastAsia="Yu Mincho" w:hAnsi="Arial" w:cs="Arial"/>
          <w:b/>
          <w:lang w:eastAsia="en-US" w:bidi="en-US"/>
        </w:rPr>
        <w:t>Fig. 4f</w:t>
      </w:r>
      <w:r w:rsidRPr="003A48AB">
        <w:rPr>
          <w:rFonts w:ascii="Arial" w:eastAsia="Yu Mincho" w:hAnsi="Arial" w:cs="Arial"/>
          <w:lang w:eastAsia="en-US" w:bidi="en-US"/>
        </w:rPr>
        <w:t>)</w:t>
      </w:r>
    </w:p>
    <w:p w14:paraId="360839DE" w14:textId="77777777" w:rsidR="003A48AB" w:rsidRPr="003A48AB" w:rsidRDefault="003A48AB" w:rsidP="003A48AB">
      <w:pPr>
        <w:spacing w:after="160" w:line="360" w:lineRule="auto"/>
        <w:rPr>
          <w:rFonts w:ascii="Arial" w:eastAsia="Yu Mincho" w:hAnsi="Arial" w:cs="Arial"/>
          <w:i/>
          <w:u w:val="single"/>
          <w:lang w:eastAsia="en-US" w:bidi="en-US"/>
        </w:rPr>
      </w:pPr>
      <w:r w:rsidRPr="003A48AB">
        <w:rPr>
          <w:rFonts w:ascii="Arial" w:eastAsia="Yu Mincho" w:hAnsi="Arial" w:cs="Arial"/>
          <w:u w:val="single"/>
          <w:lang w:eastAsia="en-US" w:bidi="en-US"/>
        </w:rPr>
        <w:t>5.2.4 Stomatal developmental responses to light and CO</w:t>
      </w:r>
      <w:r w:rsidRPr="003A48AB">
        <w:rPr>
          <w:rFonts w:ascii="Arial" w:eastAsia="Yu Mincho" w:hAnsi="Arial" w:cs="Arial"/>
          <w:u w:val="single"/>
          <w:vertAlign w:val="subscript"/>
          <w:lang w:eastAsia="en-US" w:bidi="en-US"/>
        </w:rPr>
        <w:t>2</w:t>
      </w:r>
      <w:r w:rsidRPr="003A48AB">
        <w:rPr>
          <w:rFonts w:ascii="Arial" w:eastAsia="Yu Mincho" w:hAnsi="Arial" w:cs="Arial"/>
          <w:u w:val="single"/>
          <w:lang w:eastAsia="en-US" w:bidi="en-US"/>
        </w:rPr>
        <w:t xml:space="preserve"> treatments in </w:t>
      </w:r>
      <w:r w:rsidRPr="003A48AB">
        <w:rPr>
          <w:rFonts w:ascii="Arial" w:eastAsia="Yu Mincho" w:hAnsi="Arial" w:cs="Arial"/>
          <w:i/>
          <w:u w:val="single"/>
          <w:lang w:eastAsia="en-US" w:bidi="en-US"/>
        </w:rPr>
        <w:t>Physcomitrella patens</w:t>
      </w:r>
    </w:p>
    <w:p w14:paraId="74A0BA9C" w14:textId="77777777"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Yu Mincho" w:hAnsi="Arial" w:cs="Arial"/>
          <w:lang w:eastAsia="en-US" w:bidi="en-US"/>
        </w:rPr>
        <w:t>To ascertain whether stomatal developmental responses to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might be light dependent in land plants a series of experiments were undertaken. Firstly,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samples were grown under two different concentrations of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450ppm and 1000ppm at either high light (170µ</w:t>
      </w:r>
      <w:r w:rsidRPr="003A48AB">
        <w:rPr>
          <w:rFonts w:ascii="Arial" w:eastAsia="Times New Roman" w:hAnsi="Arial" w:cs="Arial"/>
          <w:color w:val="000000"/>
          <w:lang w:eastAsia="en-US" w:bidi="en-US"/>
        </w:rPr>
        <w:t>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s</w:t>
      </w:r>
      <w:r w:rsidRPr="003A48AB">
        <w:rPr>
          <w:rFonts w:ascii="Arial" w:eastAsia="Times New Roman" w:hAnsi="Arial" w:cs="Arial"/>
          <w:color w:val="000000"/>
          <w:vertAlign w:val="superscript"/>
          <w:lang w:eastAsia="en-US" w:bidi="en-US"/>
        </w:rPr>
        <w:t>−1</w:t>
      </w:r>
      <w:r w:rsidRPr="003A48AB">
        <w:rPr>
          <w:rFonts w:ascii="Arial" w:eastAsia="Times New Roman" w:hAnsi="Arial" w:cs="Arial"/>
          <w:color w:val="000000"/>
          <w:lang w:eastAsia="en-US" w:bidi="en-US"/>
        </w:rPr>
        <w:t>) or low light (70µmol 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s</w:t>
      </w:r>
      <w:r w:rsidRPr="003A48AB">
        <w:rPr>
          <w:rFonts w:ascii="Arial" w:eastAsia="Times New Roman" w:hAnsi="Arial" w:cs="Arial"/>
          <w:color w:val="000000"/>
          <w:vertAlign w:val="superscript"/>
          <w:lang w:eastAsia="en-US" w:bidi="en-US"/>
        </w:rPr>
        <w:t>−1</w:t>
      </w:r>
      <w:r w:rsidRPr="003A48AB">
        <w:rPr>
          <w:rFonts w:ascii="Arial" w:eastAsia="Times New Roman" w:hAnsi="Arial" w:cs="Arial"/>
          <w:color w:val="000000"/>
          <w:lang w:eastAsia="en-US" w:bidi="en-US"/>
        </w:rPr>
        <w:t xml:space="preserve">). Large fully expanded capsules (see </w:t>
      </w:r>
      <w:r w:rsidRPr="003A48AB">
        <w:rPr>
          <w:rFonts w:ascii="Arial" w:eastAsia="Times New Roman" w:hAnsi="Arial" w:cs="Arial"/>
          <w:b/>
          <w:color w:val="000000"/>
          <w:lang w:eastAsia="en-US" w:bidi="en-US"/>
        </w:rPr>
        <w:t>Fig. 5</w:t>
      </w:r>
      <w:r w:rsidRPr="003A48AB">
        <w:rPr>
          <w:rFonts w:ascii="Arial" w:eastAsia="Times New Roman" w:hAnsi="Arial" w:cs="Arial"/>
          <w:color w:val="000000"/>
          <w:lang w:eastAsia="en-US" w:bidi="en-US"/>
        </w:rPr>
        <w:t xml:space="preserve"> for capsule area quantification) were measured and compared (</w:t>
      </w:r>
      <w:r w:rsidRPr="003A48AB">
        <w:rPr>
          <w:rFonts w:ascii="Arial" w:eastAsia="Times New Roman" w:hAnsi="Arial" w:cs="Arial"/>
          <w:b/>
          <w:color w:val="000000"/>
          <w:lang w:eastAsia="en-US" w:bidi="en-US"/>
        </w:rPr>
        <w:t>Fig. 6</w:t>
      </w:r>
      <w:r w:rsidRPr="003A48AB">
        <w:rPr>
          <w:rFonts w:ascii="Arial" w:eastAsia="Times New Roman" w:hAnsi="Arial" w:cs="Arial"/>
          <w:color w:val="000000"/>
          <w:lang w:eastAsia="en-US" w:bidi="en-US"/>
        </w:rPr>
        <w:t>), and then to correct for size differences between capsules in different treatments, capsules of the same area were also compared (</w:t>
      </w:r>
      <w:r w:rsidRPr="003A48AB">
        <w:rPr>
          <w:rFonts w:ascii="Arial" w:eastAsia="Times New Roman" w:hAnsi="Arial" w:cs="Arial"/>
          <w:b/>
          <w:color w:val="000000"/>
          <w:lang w:eastAsia="en-US" w:bidi="en-US"/>
        </w:rPr>
        <w:t>Fig. 7</w:t>
      </w:r>
      <w:r w:rsidRPr="003A48AB">
        <w:rPr>
          <w:rFonts w:ascii="Arial" w:eastAsia="Times New Roman" w:hAnsi="Arial" w:cs="Arial"/>
          <w:color w:val="000000"/>
          <w:lang w:eastAsia="en-US" w:bidi="en-US"/>
        </w:rPr>
        <w:t>).</w:t>
      </w:r>
    </w:p>
    <w:p w14:paraId="5523DF04" w14:textId="77777777"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noProof/>
          <w:color w:val="000000"/>
          <w:lang w:eastAsia="ja-JP"/>
        </w:rPr>
        <w:lastRenderedPageBreak/>
        <w:drawing>
          <wp:inline distT="0" distB="0" distL="0" distR="0" wp14:anchorId="5E6DE328" wp14:editId="31C80AC5">
            <wp:extent cx="5625548" cy="466735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29574" cy="4670690"/>
                    </a:xfrm>
                    <a:prstGeom prst="rect">
                      <a:avLst/>
                    </a:prstGeom>
                    <a:noFill/>
                    <a:ln>
                      <a:noFill/>
                    </a:ln>
                  </pic:spPr>
                </pic:pic>
              </a:graphicData>
            </a:graphic>
          </wp:inline>
        </w:drawing>
      </w:r>
      <w:r w:rsidRPr="003A48AB">
        <w:rPr>
          <w:rFonts w:ascii="Arial" w:eastAsia="Times New Roman" w:hAnsi="Arial" w:cs="Arial"/>
          <w:b/>
          <w:color w:val="000000"/>
          <w:lang w:eastAsia="en-US" w:bidi="en-US"/>
        </w:rPr>
        <w:t xml:space="preserve">Figure 5. Acquiring an approximate size of capsules through area measurements. </w:t>
      </w:r>
      <w:r w:rsidRPr="003A48AB">
        <w:rPr>
          <w:rFonts w:ascii="Arial" w:eastAsia="Times New Roman" w:hAnsi="Arial" w:cs="Arial"/>
          <w:color w:val="000000"/>
          <w:lang w:eastAsia="en-US" w:bidi="en-US"/>
        </w:rPr>
        <w:t xml:space="preserve">To understand how sporophyte capsule size impacts on the number of stomata (N), the size of stomata (S) and the density of stomata (D) individual capsule area measurements were taken in all subsequent experiments. Capsules were gently placed on a microscope slide, imaged and subsequently using the oval tool from ImageJ </w:t>
      </w:r>
      <w:r w:rsidRPr="003A48AB">
        <w:rPr>
          <w:rFonts w:ascii="Arial" w:eastAsia="Times New Roman" w:hAnsi="Arial" w:cs="Arial"/>
          <w:color w:val="000000"/>
          <w:lang w:eastAsia="en-US" w:bidi="en-US"/>
        </w:rPr>
        <w:fldChar w:fldCharType="begin"/>
      </w:r>
      <w:r w:rsidRPr="003A48AB">
        <w:rPr>
          <w:rFonts w:ascii="Arial" w:eastAsia="Times New Roman" w:hAnsi="Arial" w:cs="Arial"/>
          <w:color w:val="000000"/>
          <w:lang w:eastAsia="en-US" w:bidi="en-US"/>
        </w:rPr>
        <w:instrText xml:space="preserve"> ADDIN EN.CITE &lt;EndNote&gt;&lt;Cite&gt;&lt;Author&gt;Schneider&lt;/Author&gt;&lt;Year&gt;2012&lt;/Year&gt;&lt;IDText&gt;NIH Image to ImageJ: 25 years of image analysis&lt;/IDText&gt;&lt;DisplayText&gt;(Schneider et al., 2012)&lt;/DisplayText&gt;&lt;record&gt;&lt;dates&gt;&lt;pub-dates&gt;&lt;date&gt;Jul&lt;/date&gt;&lt;/pub-dates&gt;&lt;year&gt;2012&lt;/year&gt;&lt;/dates&gt;&lt;keywords&gt;&lt;keyword&gt;*Computational Biology/history/methods/trends&lt;/keyword&gt;&lt;keyword&gt;History, 20th Century&lt;/keyword&gt;&lt;keyword&gt;History, 21st Century&lt;/keyword&gt;&lt;keyword&gt;Image Processing, Computer-Assisted/*methods&lt;/keyword&gt;&lt;keyword&gt;National Institutes of Health (U.S.)&lt;/keyword&gt;&lt;keyword&gt;Software/*history/trends&lt;/keyword&gt;&lt;keyword&gt;United States&lt;/keyword&gt;&lt;/keywords&gt;&lt;isbn&gt;1548-7091&lt;/isbn&gt;&lt;titles&gt;&lt;title&gt;NIH Image to ImageJ: 25 years of image analysis&lt;/title&gt;&lt;secondary-title&gt;Nat Methods&lt;/secondary-title&gt;&lt;alt-title&gt;Nature methods&lt;/alt-title&gt;&lt;/titles&gt;&lt;pages&gt;671-5&lt;/pages&gt;&lt;number&gt;7&lt;/number&gt;&lt;contributors&gt;&lt;authors&gt;&lt;author&gt;Schneider, C. A.&lt;/author&gt;&lt;author&gt;Rasband, W. S.&lt;/author&gt;&lt;author&gt;Eliceiri, K. W.&lt;/author&gt;&lt;/authors&gt;&lt;/contributors&gt;&lt;edition&gt;2012/08/30&lt;/edition&gt;&lt;language&gt;eng&lt;/language&gt;&lt;added-date format="utc"&gt;1455184195&lt;/added-date&gt;&lt;ref-type name="Journal Article"&gt;17&lt;/ref-type&gt;&lt;auth-address&gt;Laboratory for Optical and Computational Instrumentation, University of Wisconsin at Madison, Madison, Wisconsin, USA.&lt;/auth-address&gt;&lt;remote-database-provider&gt;NLM&lt;/remote-database-provider&gt;&lt;rec-number&gt;824&lt;/rec-number&gt;&lt;last-updated-date format="utc"&gt;1455184195&lt;/last-updated-date&gt;&lt;accession-num&gt;22930834&lt;/accession-num&gt;&lt;volume&gt;9&lt;/volume&gt;&lt;/record&gt;&lt;/Cite&gt;&lt;/EndNote&gt;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(Schneider et al., 2012)</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a one-dimensional capsule area was measured which was used as a proxy for absolute capsule size. Scale bar = 0.5mm.</w:t>
      </w:r>
    </w:p>
    <w:p w14:paraId="36CDC806" w14:textId="7C4A08DB"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lang w:eastAsia="en-US" w:bidi="en-US"/>
        </w:rPr>
        <w:t>To first understand how light and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feed into stomatal development the number (N) of stomata on large fully expanded capsules from each treatment were compared (</w:t>
      </w:r>
      <w:r w:rsidRPr="003A48AB">
        <w:rPr>
          <w:rFonts w:ascii="Arial" w:eastAsia="Times New Roman" w:hAnsi="Arial" w:cs="Arial"/>
          <w:b/>
          <w:color w:val="000000"/>
          <w:lang w:eastAsia="en-US" w:bidi="en-US"/>
        </w:rPr>
        <w:t>Fig. 6a</w:t>
      </w:r>
      <w:r w:rsidRPr="003A48AB">
        <w:rPr>
          <w:rFonts w:ascii="Arial" w:eastAsia="Times New Roman" w:hAnsi="Arial" w:cs="Arial"/>
          <w:color w:val="000000"/>
          <w:lang w:eastAsia="en-US" w:bidi="en-US"/>
        </w:rPr>
        <w:t>). Increases in the amount of light or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or both light and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lead to increased N on the sporophyte capsule base. As N increased, so too did the one-dimensional capsule area suggestive of an increase in N to adjust for an overall increase in capsule size. Using a multiple comparison Two-way ANOVA, a significant difference for stomatal number was detected between low light (LL), 450ppm CO</w:t>
      </w:r>
      <w:r w:rsidRPr="003A48AB">
        <w:rPr>
          <w:rFonts w:ascii="Arial" w:eastAsia="Times New Roman" w:hAnsi="Arial" w:cs="Arial"/>
          <w:color w:val="000000"/>
          <w:vertAlign w:val="subscript"/>
          <w:lang w:eastAsia="en-US" w:bidi="en-US"/>
        </w:rPr>
        <w:t xml:space="preserve">2 </w:t>
      </w:r>
      <w:r w:rsidRPr="003A48AB">
        <w:rPr>
          <w:rFonts w:ascii="Arial" w:eastAsia="Times New Roman" w:hAnsi="Arial" w:cs="Arial"/>
          <w:color w:val="000000"/>
          <w:lang w:eastAsia="en-US" w:bidi="en-US"/>
        </w:rPr>
        <w:t>grown capsules and high light (HL)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grown capsules (</w:t>
      </w:r>
      <w:r w:rsidRPr="003A48AB">
        <w:rPr>
          <w:rFonts w:ascii="Arial" w:eastAsia="Yu Mincho" w:hAnsi="Arial" w:cs="Arial"/>
          <w:i/>
          <w:lang w:eastAsia="en-US" w:bidi="en-US"/>
        </w:rPr>
        <w:t xml:space="preserve">P </w:t>
      </w:r>
      <w:r w:rsidRPr="003A48AB">
        <w:rPr>
          <w:rFonts w:ascii="Arial" w:eastAsia="Times New Roman" w:hAnsi="Arial" w:cs="Arial"/>
          <w:color w:val="000000"/>
          <w:lang w:eastAsia="en-US" w:bidi="en-US"/>
        </w:rPr>
        <w:t>≤</w:t>
      </w:r>
      <w:r w:rsidRPr="003A48AB">
        <w:rPr>
          <w:rFonts w:ascii="Arial" w:eastAsia="Yu Mincho" w:hAnsi="Arial" w:cs="Arial"/>
          <w:lang w:eastAsia="en-US" w:bidi="en-US"/>
        </w:rPr>
        <w:t xml:space="preserve"> 0.01</w:t>
      </w:r>
      <w:r w:rsidRPr="003A48AB">
        <w:rPr>
          <w:rFonts w:ascii="Arial" w:eastAsia="Times New Roman" w:hAnsi="Arial" w:cs="Arial"/>
          <w:color w:val="000000"/>
          <w:lang w:eastAsia="en-US" w:bidi="en-US"/>
        </w:rPr>
        <w:t xml:space="preserve">). Using another multiple comparisons Two-way ANOVA, significant differences were also obtained in relation to the </w:t>
      </w:r>
      <w:r w:rsidRPr="003A48AB">
        <w:rPr>
          <w:rFonts w:ascii="Arial" w:eastAsia="Times New Roman" w:hAnsi="Arial" w:cs="Arial"/>
          <w:color w:val="000000"/>
          <w:lang w:eastAsia="en-US" w:bidi="en-US"/>
        </w:rPr>
        <w:lastRenderedPageBreak/>
        <w:t>one-dimensional capsule area size of sporophytes grown at different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concentrations and also between sporophytes grown at LL 450ppm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and HL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w:t>
      </w:r>
      <w:r w:rsidRPr="003A48AB">
        <w:rPr>
          <w:rFonts w:ascii="Arial" w:eastAsia="Yu Mincho" w:hAnsi="Arial" w:cs="Arial"/>
          <w:i/>
          <w:lang w:eastAsia="en-US" w:bidi="en-US"/>
        </w:rPr>
        <w:t xml:space="preserve">P </w:t>
      </w:r>
      <w:r w:rsidRPr="003A48AB">
        <w:rPr>
          <w:rFonts w:ascii="Arial" w:eastAsia="Times New Roman" w:hAnsi="Arial" w:cs="Arial"/>
          <w:color w:val="000000"/>
          <w:lang w:eastAsia="en-US" w:bidi="en-US"/>
        </w:rPr>
        <w:t>≤</w:t>
      </w:r>
      <w:r w:rsidRPr="003A48AB">
        <w:rPr>
          <w:rFonts w:ascii="Arial" w:eastAsia="Yu Mincho" w:hAnsi="Arial" w:cs="Arial"/>
          <w:lang w:eastAsia="en-US" w:bidi="en-US"/>
        </w:rPr>
        <w:t xml:space="preserve"> 0.05)</w:t>
      </w:r>
      <w:r w:rsidRPr="003A48AB">
        <w:rPr>
          <w:rFonts w:ascii="Arial" w:eastAsia="Times New Roman" w:hAnsi="Arial" w:cs="Arial"/>
          <w:color w:val="000000"/>
          <w:lang w:eastAsia="en-US" w:bidi="en-US"/>
        </w:rPr>
        <w:t>.</w:t>
      </w:r>
    </w:p>
    <w:p w14:paraId="0F7F6733" w14:textId="77777777"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noProof/>
          <w:color w:val="000000"/>
          <w:lang w:eastAsia="ja-JP"/>
        </w:rPr>
        <w:drawing>
          <wp:inline distT="0" distB="0" distL="0" distR="0" wp14:anchorId="62B5F515" wp14:editId="79880E2D">
            <wp:extent cx="5210175" cy="3390900"/>
            <wp:effectExtent l="0" t="0" r="952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10175" cy="3390900"/>
                    </a:xfrm>
                    <a:prstGeom prst="rect">
                      <a:avLst/>
                    </a:prstGeom>
                    <a:noFill/>
                    <a:ln>
                      <a:noFill/>
                    </a:ln>
                  </pic:spPr>
                </pic:pic>
              </a:graphicData>
            </a:graphic>
          </wp:inline>
        </w:drawing>
      </w:r>
    </w:p>
    <w:p w14:paraId="25A6BAEA"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b/>
          <w:lang w:eastAsia="en-US" w:bidi="en-US"/>
        </w:rPr>
        <w:t xml:space="preserve">Figure 6. </w:t>
      </w:r>
      <w:r w:rsidRPr="003A48AB">
        <w:rPr>
          <w:rFonts w:ascii="Arial" w:eastAsia="Yu Mincho" w:hAnsi="Arial" w:cs="Arial"/>
          <w:b/>
          <w:i/>
          <w:lang w:eastAsia="en-US" w:bidi="en-US"/>
        </w:rPr>
        <w:t xml:space="preserve"> </w:t>
      </w:r>
      <w:r w:rsidRPr="003A48AB">
        <w:rPr>
          <w:rFonts w:ascii="Arial" w:eastAsia="Yu Mincho" w:hAnsi="Arial" w:cs="Arial"/>
          <w:b/>
          <w:lang w:eastAsia="en-US" w:bidi="en-US"/>
        </w:rPr>
        <w:t xml:space="preserve">Large, fully expanded capsule analysis of </w:t>
      </w:r>
      <w:r w:rsidRPr="003A48AB">
        <w:rPr>
          <w:rFonts w:ascii="Arial" w:eastAsia="Yu Mincho" w:hAnsi="Arial" w:cs="Arial"/>
          <w:b/>
          <w:i/>
          <w:lang w:eastAsia="en-US" w:bidi="en-US"/>
        </w:rPr>
        <w:t xml:space="preserve">Physcomitrella patens </w:t>
      </w:r>
      <w:r w:rsidRPr="003A48AB">
        <w:rPr>
          <w:rFonts w:ascii="Arial" w:eastAsia="Yu Mincho" w:hAnsi="Arial" w:cs="Arial"/>
          <w:b/>
          <w:lang w:eastAsia="en-US" w:bidi="en-US"/>
        </w:rPr>
        <w:t>stomatal development in responses to different light and CO</w:t>
      </w:r>
      <w:r w:rsidRPr="003A48AB">
        <w:rPr>
          <w:rFonts w:ascii="Arial" w:eastAsia="Yu Mincho" w:hAnsi="Arial" w:cs="Arial"/>
          <w:b/>
          <w:vertAlign w:val="subscript"/>
          <w:lang w:eastAsia="en-US" w:bidi="en-US"/>
        </w:rPr>
        <w:t>2</w:t>
      </w:r>
      <w:r w:rsidRPr="003A48AB">
        <w:rPr>
          <w:rFonts w:ascii="Arial" w:eastAsia="Yu Mincho" w:hAnsi="Arial" w:cs="Arial"/>
          <w:b/>
          <w:lang w:eastAsia="en-US" w:bidi="en-US"/>
        </w:rPr>
        <w:t xml:space="preserve"> treatments. </w:t>
      </w:r>
      <w:r w:rsidRPr="003A48AB">
        <w:rPr>
          <w:rFonts w:ascii="Arial" w:eastAsia="Yu Mincho" w:hAnsi="Arial" w:cs="Arial"/>
          <w:lang w:eastAsia="en-US" w:bidi="en-US"/>
        </w:rPr>
        <w:t>(</w:t>
      </w:r>
      <w:r w:rsidRPr="003A48AB">
        <w:rPr>
          <w:rFonts w:ascii="Arial" w:eastAsia="Yu Mincho" w:hAnsi="Arial" w:cs="Arial"/>
          <w:b/>
          <w:lang w:eastAsia="en-US" w:bidi="en-US"/>
        </w:rPr>
        <w:t>a</w:t>
      </w:r>
      <w:r w:rsidRPr="003A48AB">
        <w:rPr>
          <w:rFonts w:ascii="Arial" w:eastAsia="Yu Mincho" w:hAnsi="Arial" w:cs="Arial"/>
          <w:lang w:eastAsia="en-US" w:bidi="en-US"/>
        </w:rPr>
        <w:t>) Stomatal number (N) and one-dimensional capsule area plot illustrating increases in both stomatal number and capsule sizes from samples grown in higher light environments (170</w:t>
      </w:r>
      <w:r w:rsidRPr="003A48AB">
        <w:rPr>
          <w:rFonts w:ascii="Arial" w:eastAsia="Times New Roman" w:hAnsi="Arial" w:cs="Arial"/>
          <w:color w:val="000000"/>
          <w:lang w:eastAsia="en-US" w:bidi="en-US"/>
        </w:rPr>
        <w:t xml:space="preserve"> µmol 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s</w:t>
      </w:r>
      <w:r w:rsidRPr="003A48AB">
        <w:rPr>
          <w:rFonts w:ascii="Arial" w:eastAsia="Times New Roman" w:hAnsi="Arial" w:cs="Arial"/>
          <w:color w:val="000000"/>
          <w:vertAlign w:val="superscript"/>
          <w:lang w:eastAsia="en-US" w:bidi="en-US"/>
        </w:rPr>
        <w:t>−1</w:t>
      </w:r>
      <w:r w:rsidRPr="003A48AB">
        <w:rPr>
          <w:rFonts w:ascii="Arial" w:eastAsia="Yu Mincho" w:hAnsi="Arial" w:cs="Arial"/>
          <w:lang w:eastAsia="en-US" w:bidi="en-US"/>
        </w:rPr>
        <w:t xml:space="preserve"> as opposed to 70</w:t>
      </w:r>
      <w:r w:rsidRPr="003A48AB">
        <w:rPr>
          <w:rFonts w:ascii="Arial" w:eastAsia="Times New Roman" w:hAnsi="Arial" w:cs="Arial"/>
          <w:color w:val="000000"/>
          <w:lang w:eastAsia="en-US" w:bidi="en-US"/>
        </w:rPr>
        <w:t xml:space="preserve"> µmol 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s</w:t>
      </w:r>
      <w:r w:rsidRPr="003A48AB">
        <w:rPr>
          <w:rFonts w:ascii="Arial" w:eastAsia="Times New Roman" w:hAnsi="Arial" w:cs="Arial"/>
          <w:color w:val="000000"/>
          <w:vertAlign w:val="superscript"/>
          <w:lang w:eastAsia="en-US" w:bidi="en-US"/>
        </w:rPr>
        <w:t>−1</w:t>
      </w:r>
      <w:r w:rsidRPr="003A48AB">
        <w:rPr>
          <w:rFonts w:ascii="Arial" w:eastAsia="Yu Mincho" w:hAnsi="Arial" w:cs="Arial"/>
          <w:lang w:eastAsia="en-US" w:bidi="en-US"/>
        </w:rPr>
        <w:t>) and or higher concentrations of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as opposed to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Plants grown at high light (HL),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produced sporophyte capsules which had significantly more N than those grown under low light (LL),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when a multiple comparisons Two-way ANOVA was performed (</w:t>
      </w:r>
      <w:r w:rsidRPr="003A48AB">
        <w:rPr>
          <w:rFonts w:ascii="Arial" w:eastAsia="Yu Mincho" w:hAnsi="Arial" w:cs="Arial"/>
          <w:i/>
          <w:lang w:eastAsia="en-US" w:bidi="en-US"/>
        </w:rPr>
        <w:t xml:space="preserve">P </w:t>
      </w:r>
      <w:r w:rsidRPr="003A48AB">
        <w:rPr>
          <w:rFonts w:ascii="Arial" w:eastAsia="Yu Mincho" w:hAnsi="Arial" w:cs="Arial"/>
          <w:lang w:eastAsia="en-US" w:bidi="en-US"/>
        </w:rPr>
        <w:t>&lt; 0.01). A subsequent Two-way ANOVA was performed to assess capsule area which indicated that increases in both light or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led to significantly larger capsules (</w:t>
      </w:r>
      <w:r w:rsidRPr="003A48AB">
        <w:rPr>
          <w:rFonts w:ascii="Arial" w:eastAsia="Yu Mincho" w:hAnsi="Arial" w:cs="Arial"/>
          <w:i/>
          <w:lang w:eastAsia="en-US" w:bidi="en-US"/>
        </w:rPr>
        <w:t xml:space="preserve">P </w:t>
      </w:r>
      <w:r w:rsidRPr="003A48AB">
        <w:rPr>
          <w:rFonts w:ascii="Arial" w:eastAsia="Yu Mincho" w:hAnsi="Arial" w:cs="Arial"/>
          <w:lang w:eastAsia="en-US" w:bidi="en-US"/>
        </w:rPr>
        <w:t>≥ 0.05). (</w:t>
      </w:r>
      <w:r w:rsidRPr="003A48AB">
        <w:rPr>
          <w:rFonts w:ascii="Arial" w:eastAsia="Yu Mincho" w:hAnsi="Arial" w:cs="Arial"/>
          <w:b/>
          <w:lang w:eastAsia="en-US" w:bidi="en-US"/>
        </w:rPr>
        <w:t>b</w:t>
      </w:r>
      <w:r w:rsidRPr="003A48AB">
        <w:rPr>
          <w:rFonts w:ascii="Arial" w:eastAsia="Yu Mincho" w:hAnsi="Arial" w:cs="Arial"/>
          <w:lang w:eastAsia="en-US" w:bidi="en-US"/>
        </w:rPr>
        <w:t>)</w:t>
      </w:r>
      <w:r w:rsidRPr="003A48AB">
        <w:rPr>
          <w:rFonts w:ascii="Arial" w:eastAsia="Yu Mincho" w:hAnsi="Arial" w:cs="Arial"/>
          <w:i/>
          <w:lang w:eastAsia="en-US" w:bidi="en-US"/>
        </w:rPr>
        <w:t xml:space="preserve"> </w:t>
      </w:r>
      <w:r w:rsidRPr="003A48AB">
        <w:rPr>
          <w:rFonts w:ascii="Arial" w:eastAsia="Yu Mincho" w:hAnsi="Arial" w:cs="Arial"/>
          <w:lang w:eastAsia="en-US" w:bidi="en-US"/>
        </w:rPr>
        <w:t>Stomatal size (S) and density (D) plot produced from capsules used in (</w:t>
      </w:r>
      <w:r w:rsidRPr="003A48AB">
        <w:rPr>
          <w:rFonts w:ascii="Arial" w:eastAsia="Yu Mincho" w:hAnsi="Arial" w:cs="Arial"/>
          <w:b/>
          <w:lang w:eastAsia="en-US" w:bidi="en-US"/>
        </w:rPr>
        <w:t>a</w:t>
      </w:r>
      <w:r w:rsidRPr="003A48AB">
        <w:rPr>
          <w:rFonts w:ascii="Arial" w:eastAsia="Yu Mincho" w:hAnsi="Arial" w:cs="Arial"/>
          <w:lang w:eastAsia="en-US" w:bidi="en-US"/>
        </w:rPr>
        <w:t>). Under LL, S and D were negligibly effected by increases in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Under HL, S again was not overly dissimilar between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treatments but D showed a small decrease. No significant differences were detected for S using a Two-way ANOVA. For D a significant difference was detected between samples grown at HL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and samples grown under LL at both 450ppm and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using a Two-way multiple comparisons ANOVAs (</w:t>
      </w:r>
      <w:r w:rsidRPr="003A48AB">
        <w:rPr>
          <w:rFonts w:ascii="Arial" w:eastAsia="Yu Mincho" w:hAnsi="Arial" w:cs="Arial"/>
          <w:i/>
          <w:lang w:eastAsia="en-US" w:bidi="en-US"/>
        </w:rPr>
        <w:t xml:space="preserve">P </w:t>
      </w:r>
      <w:r w:rsidRPr="003A48AB">
        <w:rPr>
          <w:rFonts w:ascii="Arial" w:eastAsia="Yu Mincho" w:hAnsi="Arial" w:cs="Arial"/>
          <w:lang w:eastAsia="en-US" w:bidi="en-US"/>
        </w:rPr>
        <w:t>≤ 0.01). (</w:t>
      </w:r>
      <w:r w:rsidRPr="003A48AB">
        <w:rPr>
          <w:rFonts w:ascii="Arial" w:eastAsia="Yu Mincho" w:hAnsi="Arial" w:cs="Arial"/>
          <w:b/>
          <w:lang w:eastAsia="en-US" w:bidi="en-US"/>
        </w:rPr>
        <w:t>c</w:t>
      </w:r>
      <w:r w:rsidRPr="003A48AB">
        <w:rPr>
          <w:rFonts w:ascii="Arial" w:eastAsia="Yu Mincho" w:hAnsi="Arial" w:cs="Arial"/>
          <w:lang w:eastAsia="en-US" w:bidi="en-US"/>
        </w:rPr>
        <w:t>) Schematic, not to scale, illustrating the general trend light and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had on the area where stomata formed on capsules assayed in (</w:t>
      </w:r>
      <w:r w:rsidRPr="003A48AB">
        <w:rPr>
          <w:rFonts w:ascii="Arial" w:eastAsia="Yu Mincho" w:hAnsi="Arial" w:cs="Arial"/>
          <w:b/>
          <w:lang w:eastAsia="en-US" w:bidi="en-US"/>
        </w:rPr>
        <w:t>b</w:t>
      </w:r>
      <w:r w:rsidRPr="003A48AB">
        <w:rPr>
          <w:rFonts w:ascii="Arial" w:eastAsia="Yu Mincho" w:hAnsi="Arial" w:cs="Arial"/>
          <w:lang w:eastAsia="en-US" w:bidi="en-US"/>
        </w:rPr>
        <w:t>-</w:t>
      </w:r>
      <w:r w:rsidRPr="003A48AB">
        <w:rPr>
          <w:rFonts w:ascii="Arial" w:eastAsia="Yu Mincho" w:hAnsi="Arial" w:cs="Arial"/>
          <w:b/>
          <w:lang w:eastAsia="en-US" w:bidi="en-US"/>
        </w:rPr>
        <w:t>c</w:t>
      </w:r>
      <w:r w:rsidRPr="003A48AB">
        <w:rPr>
          <w:rFonts w:ascii="Arial" w:eastAsia="Yu Mincho" w:hAnsi="Arial" w:cs="Arial"/>
          <w:lang w:eastAsia="en-US" w:bidi="en-US"/>
        </w:rPr>
        <w:t xml:space="preserve">). Under LL, stomata appear to be </w:t>
      </w:r>
      <w:r w:rsidRPr="003A48AB">
        <w:rPr>
          <w:rFonts w:ascii="Arial" w:eastAsia="Yu Mincho" w:hAnsi="Arial" w:cs="Arial"/>
          <w:lang w:eastAsia="en-US" w:bidi="en-US"/>
        </w:rPr>
        <w:lastRenderedPageBreak/>
        <w:t>less tightly confined to the capsule base. At LL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the stomata are marginally more spread than on sporophyte capsules grown at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For HL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stomata are focused to the capsule base. At HL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sporophyte capsules stomata spread out further. Within graphs, error bars in the same orientation that are marked with different letters imply mean values that are significantly different to at least </w:t>
      </w:r>
      <w:r w:rsidRPr="003A48AB">
        <w:rPr>
          <w:rFonts w:ascii="Arial" w:eastAsia="Yu Mincho" w:hAnsi="Arial" w:cs="Arial"/>
          <w:i/>
          <w:lang w:eastAsia="en-US" w:bidi="en-US"/>
        </w:rPr>
        <w:t xml:space="preserve">P </w:t>
      </w:r>
      <w:r w:rsidRPr="003A48AB">
        <w:rPr>
          <w:rFonts w:ascii="Arial" w:eastAsia="Yu Mincho" w:hAnsi="Arial" w:cs="Arial"/>
          <w:lang w:eastAsia="en-US" w:bidi="en-US"/>
        </w:rPr>
        <w:t>≤ 0.05. Per treatment 8 sporophyte capsules were measured. Error bars = s.e.m.</w:t>
      </w:r>
    </w:p>
    <w:p w14:paraId="00C5B979" w14:textId="0A4F4F6F" w:rsidR="003A48AB" w:rsidRPr="00476449" w:rsidRDefault="003A48AB" w:rsidP="003A48AB">
      <w:pPr>
        <w:spacing w:after="160" w:line="360" w:lineRule="auto"/>
        <w:rPr>
          <w:rFonts w:ascii="Arial" w:eastAsia="Yu Mincho" w:hAnsi="Arial" w:cs="Arial"/>
          <w:lang w:eastAsia="en-US" w:bidi="en-US"/>
        </w:rPr>
      </w:pPr>
      <w:r w:rsidRPr="003A48AB">
        <w:rPr>
          <w:rFonts w:ascii="Arial" w:eastAsia="Times New Roman" w:hAnsi="Arial" w:cs="Arial"/>
          <w:color w:val="000000"/>
          <w:lang w:eastAsia="en-US" w:bidi="en-US"/>
        </w:rPr>
        <w:t>To investigate how light effected the S and D of stomata at different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concentrations and whether the S and D responded to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as observed in </w:t>
      </w:r>
      <w:r w:rsidRPr="003A48AB">
        <w:rPr>
          <w:rFonts w:ascii="Arial" w:eastAsia="Times New Roman" w:hAnsi="Arial" w:cs="Arial"/>
          <w:b/>
          <w:color w:val="000000"/>
          <w:lang w:eastAsia="en-US" w:bidi="en-US"/>
        </w:rPr>
        <w:t>Fig. 4</w:t>
      </w:r>
      <w:r w:rsidRPr="003A48AB">
        <w:rPr>
          <w:rFonts w:ascii="Arial" w:eastAsia="Times New Roman" w:hAnsi="Arial" w:cs="Arial"/>
          <w:color w:val="000000"/>
          <w:lang w:eastAsia="en-US" w:bidi="en-US"/>
        </w:rPr>
        <w:t xml:space="preserve"> the sporophyte capsules of </w:t>
      </w:r>
      <w:r w:rsidRPr="003A48AB">
        <w:rPr>
          <w:rFonts w:ascii="Arial" w:eastAsia="Times New Roman" w:hAnsi="Arial" w:cs="Arial"/>
          <w:i/>
          <w:color w:val="000000"/>
          <w:lang w:eastAsia="en-US" w:bidi="en-US"/>
        </w:rPr>
        <w:t xml:space="preserve">P. patens </w:t>
      </w:r>
      <w:r w:rsidRPr="003A48AB">
        <w:rPr>
          <w:rFonts w:ascii="Arial" w:eastAsia="Times New Roman" w:hAnsi="Arial" w:cs="Arial"/>
          <w:color w:val="000000"/>
          <w:lang w:eastAsia="en-US" w:bidi="en-US"/>
        </w:rPr>
        <w:t>grown under different light treatments were next analysed (</w:t>
      </w:r>
      <w:r w:rsidRPr="003A48AB">
        <w:rPr>
          <w:rFonts w:ascii="Arial" w:eastAsia="Times New Roman" w:hAnsi="Arial" w:cs="Arial"/>
          <w:b/>
          <w:color w:val="000000"/>
          <w:lang w:eastAsia="en-US" w:bidi="en-US"/>
        </w:rPr>
        <w:t>Fig. 6b</w:t>
      </w:r>
      <w:r w:rsidRPr="003A48AB">
        <w:rPr>
          <w:rFonts w:ascii="Arial" w:eastAsia="Times New Roman" w:hAnsi="Arial" w:cs="Arial"/>
          <w:color w:val="000000"/>
          <w:lang w:eastAsia="en-US" w:bidi="en-US"/>
        </w:rPr>
        <w:t>). There was a striking difference in stomatal D between capsules grown under LL and HL at 450ppm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Statistically, when using a Two-way ANOVA this was significant to the </w:t>
      </w:r>
      <w:r w:rsidRPr="003A48AB">
        <w:rPr>
          <w:rFonts w:ascii="Arial" w:eastAsia="Times New Roman" w:hAnsi="Arial" w:cs="Arial"/>
          <w:i/>
          <w:color w:val="000000"/>
          <w:lang w:eastAsia="en-US" w:bidi="en-US"/>
        </w:rPr>
        <w:t>P</w:t>
      </w:r>
      <w:r w:rsidRPr="003A48AB">
        <w:rPr>
          <w:rFonts w:ascii="Arial" w:eastAsia="Yu Mincho" w:hAnsi="Arial" w:cs="Arial"/>
          <w:i/>
          <w:lang w:eastAsia="en-US" w:bidi="en-US"/>
        </w:rPr>
        <w:t xml:space="preserve"> </w:t>
      </w:r>
      <w:r w:rsidRPr="003A48AB">
        <w:rPr>
          <w:rFonts w:ascii="Arial" w:eastAsia="Times New Roman" w:hAnsi="Arial" w:cs="Arial"/>
          <w:color w:val="000000"/>
          <w:lang w:eastAsia="en-US" w:bidi="en-US"/>
        </w:rPr>
        <w:t>&lt;</w:t>
      </w:r>
      <w:r w:rsidRPr="003A48AB">
        <w:rPr>
          <w:rFonts w:ascii="Arial" w:eastAsia="Yu Mincho" w:hAnsi="Arial" w:cs="Arial"/>
          <w:lang w:eastAsia="en-US" w:bidi="en-US"/>
        </w:rPr>
        <w:t xml:space="preserve"> 0.001 level. Interestingly, the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w:t>
      </w:r>
      <w:r w:rsidRPr="003A48AB">
        <w:rPr>
          <w:rFonts w:ascii="Arial" w:eastAsia="Times New Roman" w:hAnsi="Arial" w:cs="Arial"/>
          <w:color w:val="000000"/>
          <w:lang w:eastAsia="en-US" w:bidi="en-US"/>
        </w:rPr>
        <w:t>response of D to different light treatments, was also different between light treatments (</w:t>
      </w:r>
      <w:r w:rsidRPr="003A48AB">
        <w:rPr>
          <w:rFonts w:ascii="Arial" w:eastAsia="Times New Roman" w:hAnsi="Arial" w:cs="Arial"/>
          <w:b/>
          <w:color w:val="000000"/>
          <w:lang w:eastAsia="en-US" w:bidi="en-US"/>
        </w:rPr>
        <w:t>Fig. 6b</w:t>
      </w:r>
      <w:r w:rsidRPr="003A48AB">
        <w:rPr>
          <w:rFonts w:ascii="Arial" w:eastAsia="Times New Roman" w:hAnsi="Arial" w:cs="Arial"/>
          <w:color w:val="000000"/>
          <w:lang w:eastAsia="en-US" w:bidi="en-US"/>
        </w:rPr>
        <w:t>). That is, under LL conditions growth at increasing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lead to very similar D values. Interestingly, under HL conditions increasing CO</w:t>
      </w:r>
      <w:r w:rsidRPr="003A48AB">
        <w:rPr>
          <w:rFonts w:ascii="Arial" w:eastAsia="Times New Roman" w:hAnsi="Arial" w:cs="Arial"/>
          <w:color w:val="000000"/>
          <w:vertAlign w:val="subscript"/>
          <w:lang w:eastAsia="en-US" w:bidi="en-US"/>
        </w:rPr>
        <w:t xml:space="preserve">2 </w:t>
      </w:r>
      <w:r w:rsidRPr="003A48AB">
        <w:rPr>
          <w:rFonts w:ascii="Arial" w:eastAsia="Times New Roman" w:hAnsi="Arial" w:cs="Arial"/>
          <w:color w:val="000000"/>
          <w:lang w:eastAsia="en-US" w:bidi="en-US"/>
        </w:rPr>
        <w:t>lead to a decreased D. However, the differences observed under both LL and HL were not significantly different between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treatments using a Two-way ANOVA. Taken together these findings provides useful insight into how non-vascular land plants might alter D in response to growth under different light and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treatments. Under both light treatments there was negligible responses to S which is not dissimilar to the findings </w:t>
      </w:r>
      <w:r w:rsidR="008D258A">
        <w:rPr>
          <w:rFonts w:ascii="Arial" w:eastAsia="Times New Roman" w:hAnsi="Arial" w:cs="Arial"/>
          <w:color w:val="000000"/>
          <w:lang w:eastAsia="en-US" w:bidi="en-US"/>
        </w:rPr>
        <w:t xml:space="preserve">presented in </w:t>
      </w:r>
      <w:r w:rsidR="008D258A">
        <w:rPr>
          <w:rFonts w:ascii="Arial" w:eastAsia="Times New Roman" w:hAnsi="Arial" w:cs="Arial"/>
          <w:b/>
          <w:color w:val="000000"/>
          <w:lang w:eastAsia="en-US" w:bidi="en-US"/>
        </w:rPr>
        <w:t>Figure 4</w:t>
      </w:r>
      <w:r w:rsidRPr="003A48AB">
        <w:rPr>
          <w:rFonts w:ascii="Arial" w:eastAsia="Times New Roman" w:hAnsi="Arial" w:cs="Arial"/>
          <w:color w:val="000000"/>
          <w:lang w:eastAsia="en-US" w:bidi="en-US"/>
        </w:rPr>
        <w:t>. When the area where stomata formed was compared it became obvious that as well as slightly increasing stomatal N, light focussed stomata into a more compact area at the base of the sporophyte capsule and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generally had the opposite effect of by permitting stomata to expand further outwards and upward away from the capsule base (</w:t>
      </w:r>
      <w:r w:rsidRPr="003A48AB">
        <w:rPr>
          <w:rFonts w:ascii="Arial" w:eastAsia="Times New Roman" w:hAnsi="Arial" w:cs="Arial"/>
          <w:b/>
          <w:color w:val="000000"/>
          <w:lang w:eastAsia="en-US" w:bidi="en-US"/>
        </w:rPr>
        <w:t>Fig. 6c</w:t>
      </w:r>
      <w:r w:rsidRPr="003A48AB">
        <w:rPr>
          <w:rFonts w:ascii="Arial" w:eastAsia="Times New Roman" w:hAnsi="Arial" w:cs="Arial"/>
          <w:color w:val="000000"/>
          <w:lang w:eastAsia="en-US" w:bidi="en-US"/>
        </w:rPr>
        <w:t>).</w:t>
      </w:r>
    </w:p>
    <w:p w14:paraId="3C68FCB9" w14:textId="77777777"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lang w:eastAsia="en-US" w:bidi="en-US"/>
        </w:rPr>
        <w:t xml:space="preserve">To ascertain whether the stomatal responses seen in </w:t>
      </w:r>
      <w:r w:rsidRPr="003A48AB">
        <w:rPr>
          <w:rFonts w:ascii="Arial" w:eastAsia="Times New Roman" w:hAnsi="Arial" w:cs="Arial"/>
          <w:b/>
          <w:color w:val="000000"/>
          <w:lang w:eastAsia="en-US" w:bidi="en-US"/>
        </w:rPr>
        <w:t xml:space="preserve">Fig. 6 </w:t>
      </w:r>
      <w:r w:rsidRPr="003A48AB">
        <w:rPr>
          <w:rFonts w:ascii="Arial" w:eastAsia="Times New Roman" w:hAnsi="Arial" w:cs="Arial"/>
          <w:color w:val="000000"/>
          <w:lang w:eastAsia="en-US" w:bidi="en-US"/>
        </w:rPr>
        <w:t xml:space="preserve">were due solely to increased capsule size a subset of capsules were measured with the same sized one-dimensional capsule area (see </w:t>
      </w:r>
      <w:r w:rsidRPr="003A48AB">
        <w:rPr>
          <w:rFonts w:ascii="Arial" w:eastAsia="Times New Roman" w:hAnsi="Arial" w:cs="Arial"/>
          <w:b/>
          <w:color w:val="000000"/>
          <w:lang w:eastAsia="en-US" w:bidi="en-US"/>
        </w:rPr>
        <w:t>Fig. 5</w:t>
      </w:r>
      <w:r w:rsidRPr="003A48AB">
        <w:rPr>
          <w:rFonts w:ascii="Arial" w:eastAsia="Times New Roman" w:hAnsi="Arial" w:cs="Arial"/>
          <w:color w:val="000000"/>
          <w:lang w:eastAsia="en-US" w:bidi="en-US"/>
        </w:rPr>
        <w:t>) from the different treatments (</w:t>
      </w:r>
      <w:r w:rsidRPr="003A48AB">
        <w:rPr>
          <w:rFonts w:ascii="Arial" w:eastAsia="Times New Roman" w:hAnsi="Arial" w:cs="Arial"/>
          <w:b/>
          <w:color w:val="000000"/>
          <w:lang w:eastAsia="en-US" w:bidi="en-US"/>
        </w:rPr>
        <w:t>Fig. 7</w:t>
      </w:r>
      <w:r w:rsidRPr="003A48AB">
        <w:rPr>
          <w:rFonts w:ascii="Arial" w:eastAsia="Times New Roman" w:hAnsi="Arial" w:cs="Arial"/>
          <w:color w:val="000000"/>
          <w:lang w:eastAsia="en-US" w:bidi="en-US"/>
        </w:rPr>
        <w:t xml:space="preserve">). When the N and D differences between treatments in </w:t>
      </w:r>
      <w:r w:rsidRPr="003A48AB">
        <w:rPr>
          <w:rFonts w:ascii="Arial" w:eastAsia="Times New Roman" w:hAnsi="Arial" w:cs="Arial"/>
          <w:b/>
          <w:color w:val="000000"/>
          <w:lang w:eastAsia="en-US" w:bidi="en-US"/>
        </w:rPr>
        <w:t xml:space="preserve">Fig. 7 </w:t>
      </w:r>
      <w:r w:rsidRPr="003A48AB">
        <w:rPr>
          <w:rFonts w:ascii="Arial" w:eastAsia="Times New Roman" w:hAnsi="Arial" w:cs="Arial"/>
          <w:color w:val="000000"/>
          <w:lang w:eastAsia="en-US" w:bidi="en-US"/>
        </w:rPr>
        <w:t xml:space="preserve">were compared with </w:t>
      </w:r>
      <w:r w:rsidRPr="003A48AB">
        <w:rPr>
          <w:rFonts w:ascii="Arial" w:eastAsia="Times New Roman" w:hAnsi="Arial" w:cs="Arial"/>
          <w:b/>
          <w:color w:val="000000"/>
          <w:lang w:eastAsia="en-US" w:bidi="en-US"/>
        </w:rPr>
        <w:t>Fig. 6</w:t>
      </w:r>
      <w:r w:rsidRPr="003A48AB">
        <w:rPr>
          <w:rFonts w:ascii="Arial" w:eastAsia="Times New Roman" w:hAnsi="Arial" w:cs="Arial"/>
          <w:color w:val="000000"/>
          <w:lang w:eastAsia="en-US" w:bidi="en-US"/>
        </w:rPr>
        <w:t xml:space="preserve"> it became apparent that capsule size was linked to the responses of N and D in the different treatments. For N, there were slight increases on sporophyte capsules grown at increasing light intensity, or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or both light intensity and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relative to sporophyte capsules grown at LL, 450ppm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w:t>
      </w:r>
      <w:r w:rsidRPr="003A48AB">
        <w:rPr>
          <w:rFonts w:ascii="Arial" w:eastAsia="Times New Roman" w:hAnsi="Arial" w:cs="Arial"/>
          <w:b/>
          <w:color w:val="000000"/>
          <w:lang w:eastAsia="en-US" w:bidi="en-US"/>
        </w:rPr>
        <w:t>Fig. 7a</w:t>
      </w:r>
      <w:r w:rsidRPr="003A48AB">
        <w:rPr>
          <w:rFonts w:ascii="Arial" w:eastAsia="Times New Roman" w:hAnsi="Arial" w:cs="Arial"/>
          <w:color w:val="000000"/>
          <w:lang w:eastAsia="en-US" w:bidi="en-US"/>
        </w:rPr>
        <w:t xml:space="preserve">).  Such responses however were reduced relative to the N values observed in </w:t>
      </w:r>
      <w:r w:rsidRPr="003A48AB">
        <w:rPr>
          <w:rFonts w:ascii="Arial" w:eastAsia="Times New Roman" w:hAnsi="Arial" w:cs="Arial"/>
          <w:b/>
          <w:color w:val="000000"/>
          <w:lang w:eastAsia="en-US" w:bidi="en-US"/>
        </w:rPr>
        <w:t>Fig. 6a</w:t>
      </w:r>
      <w:r w:rsidRPr="003A48AB">
        <w:rPr>
          <w:rFonts w:ascii="Arial" w:eastAsia="Times New Roman" w:hAnsi="Arial" w:cs="Arial"/>
          <w:color w:val="000000"/>
          <w:lang w:eastAsia="en-US" w:bidi="en-US"/>
        </w:rPr>
        <w:t xml:space="preserve">. None of the differences in </w:t>
      </w:r>
      <w:r w:rsidRPr="003A48AB">
        <w:rPr>
          <w:rFonts w:ascii="Arial" w:eastAsia="Times New Roman" w:hAnsi="Arial" w:cs="Arial"/>
          <w:b/>
          <w:color w:val="000000"/>
          <w:lang w:eastAsia="en-US" w:bidi="en-US"/>
        </w:rPr>
        <w:t xml:space="preserve">Fig. 7a </w:t>
      </w:r>
      <w:r w:rsidRPr="003A48AB">
        <w:rPr>
          <w:rFonts w:ascii="Arial" w:eastAsia="Times New Roman" w:hAnsi="Arial" w:cs="Arial"/>
          <w:color w:val="000000"/>
          <w:lang w:eastAsia="en-US" w:bidi="en-US"/>
        </w:rPr>
        <w:t xml:space="preserve">were significant when a Two-way multiple comparisons ANOVA was performed. </w:t>
      </w:r>
    </w:p>
    <w:p w14:paraId="22B40DAA" w14:textId="77777777"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noProof/>
          <w:color w:val="000000"/>
          <w:lang w:eastAsia="en-US" w:bidi="en-US"/>
        </w:rPr>
        <w:lastRenderedPageBreak/>
        <w:t xml:space="preserve"> </w:t>
      </w:r>
      <w:r w:rsidRPr="003A48AB">
        <w:rPr>
          <w:rFonts w:ascii="Arial" w:eastAsia="Times New Roman" w:hAnsi="Arial" w:cs="Arial"/>
          <w:noProof/>
          <w:color w:val="000000"/>
          <w:lang w:eastAsia="ja-JP"/>
        </w:rPr>
        <w:drawing>
          <wp:inline distT="0" distB="0" distL="0" distR="0" wp14:anchorId="7394D599" wp14:editId="2FD33529">
            <wp:extent cx="5210175" cy="3324225"/>
            <wp:effectExtent l="0" t="0" r="9525"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10175" cy="3324225"/>
                    </a:xfrm>
                    <a:prstGeom prst="rect">
                      <a:avLst/>
                    </a:prstGeom>
                    <a:noFill/>
                    <a:ln>
                      <a:noFill/>
                    </a:ln>
                  </pic:spPr>
                </pic:pic>
              </a:graphicData>
            </a:graphic>
          </wp:inline>
        </w:drawing>
      </w:r>
    </w:p>
    <w:p w14:paraId="707D0A7F" w14:textId="18A24066"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b/>
          <w:lang w:eastAsia="en-US" w:bidi="en-US"/>
        </w:rPr>
        <w:t xml:space="preserve">Figure 7. </w:t>
      </w:r>
      <w:r w:rsidRPr="003A48AB">
        <w:rPr>
          <w:rFonts w:ascii="Arial" w:eastAsia="Yu Mincho" w:hAnsi="Arial" w:cs="Arial"/>
          <w:b/>
          <w:i/>
          <w:lang w:eastAsia="en-US" w:bidi="en-US"/>
        </w:rPr>
        <w:t xml:space="preserve"> </w:t>
      </w:r>
      <w:r w:rsidRPr="003A48AB">
        <w:rPr>
          <w:rFonts w:ascii="Arial" w:eastAsia="Yu Mincho" w:hAnsi="Arial" w:cs="Arial"/>
          <w:b/>
          <w:lang w:eastAsia="en-US" w:bidi="en-US"/>
        </w:rPr>
        <w:t xml:space="preserve">Same-size fully expanded capsule analysis of </w:t>
      </w:r>
      <w:r w:rsidRPr="003A48AB">
        <w:rPr>
          <w:rFonts w:ascii="Arial" w:eastAsia="Yu Mincho" w:hAnsi="Arial" w:cs="Arial"/>
          <w:b/>
          <w:i/>
          <w:lang w:eastAsia="en-US" w:bidi="en-US"/>
        </w:rPr>
        <w:t xml:space="preserve">Physcomitrella patens </w:t>
      </w:r>
      <w:r w:rsidRPr="003A48AB">
        <w:rPr>
          <w:rFonts w:ascii="Arial" w:eastAsia="Yu Mincho" w:hAnsi="Arial" w:cs="Arial"/>
          <w:b/>
          <w:lang w:eastAsia="en-US" w:bidi="en-US"/>
        </w:rPr>
        <w:t>stomatal development in responses to different light and CO</w:t>
      </w:r>
      <w:r w:rsidRPr="003A48AB">
        <w:rPr>
          <w:rFonts w:ascii="Arial" w:eastAsia="Yu Mincho" w:hAnsi="Arial" w:cs="Arial"/>
          <w:b/>
          <w:vertAlign w:val="subscript"/>
          <w:lang w:eastAsia="en-US" w:bidi="en-US"/>
        </w:rPr>
        <w:t>2</w:t>
      </w:r>
      <w:r w:rsidRPr="003A48AB">
        <w:rPr>
          <w:rFonts w:ascii="Arial" w:eastAsia="Yu Mincho" w:hAnsi="Arial" w:cs="Arial"/>
          <w:b/>
          <w:lang w:eastAsia="en-US" w:bidi="en-US"/>
        </w:rPr>
        <w:t xml:space="preserve"> treatments. </w:t>
      </w:r>
      <w:r w:rsidRPr="003A48AB">
        <w:rPr>
          <w:rFonts w:ascii="Arial" w:eastAsia="Yu Mincho" w:hAnsi="Arial" w:cs="Arial"/>
          <w:lang w:eastAsia="en-US" w:bidi="en-US"/>
        </w:rPr>
        <w:t>(</w:t>
      </w:r>
      <w:r w:rsidRPr="003A48AB">
        <w:rPr>
          <w:rFonts w:ascii="Arial" w:eastAsia="Yu Mincho" w:hAnsi="Arial" w:cs="Arial"/>
          <w:b/>
          <w:lang w:eastAsia="en-US" w:bidi="en-US"/>
        </w:rPr>
        <w:t>a</w:t>
      </w:r>
      <w:r w:rsidRPr="003A48AB">
        <w:rPr>
          <w:rFonts w:ascii="Arial" w:eastAsia="Yu Mincho" w:hAnsi="Arial" w:cs="Arial"/>
          <w:lang w:eastAsia="en-US" w:bidi="en-US"/>
        </w:rPr>
        <w:t>) Stomatal number (N) of same size sporophyte capsules taken from moss colonies grown at high light (HL) and low light (LL) treatments at 450ppm and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Minor increases in N were observed in capsules grown at increasing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and or light although not significantly</w:t>
      </w:r>
      <w:r w:rsidR="00185388">
        <w:rPr>
          <w:rFonts w:ascii="Arial" w:eastAsia="Yu Mincho" w:hAnsi="Arial" w:cs="Arial"/>
          <w:lang w:eastAsia="en-US" w:bidi="en-US"/>
        </w:rPr>
        <w:t xml:space="preserve"> when</w:t>
      </w:r>
      <w:r w:rsidRPr="003A48AB">
        <w:rPr>
          <w:rFonts w:ascii="Arial" w:eastAsia="Yu Mincho" w:hAnsi="Arial" w:cs="Arial"/>
          <w:lang w:eastAsia="en-US" w:bidi="en-US"/>
        </w:rPr>
        <w:t xml:space="preserve"> using a multiple comparisons Two-way ANOVA</w:t>
      </w:r>
      <w:r w:rsidR="00185388">
        <w:rPr>
          <w:rFonts w:ascii="Arial" w:eastAsia="Yu Mincho" w:hAnsi="Arial" w:cs="Arial"/>
          <w:lang w:eastAsia="en-US" w:bidi="en-US"/>
        </w:rPr>
        <w:t xml:space="preserve"> was peformed</w:t>
      </w:r>
      <w:r w:rsidRPr="003A48AB">
        <w:rPr>
          <w:rFonts w:ascii="Arial" w:eastAsia="Yu Mincho" w:hAnsi="Arial" w:cs="Arial"/>
          <w:lang w:eastAsia="en-US" w:bidi="en-US"/>
        </w:rPr>
        <w:t>. (</w:t>
      </w:r>
      <w:r w:rsidRPr="003A48AB">
        <w:rPr>
          <w:rFonts w:ascii="Arial" w:eastAsia="Yu Mincho" w:hAnsi="Arial" w:cs="Arial"/>
          <w:b/>
          <w:lang w:eastAsia="en-US" w:bidi="en-US"/>
        </w:rPr>
        <w:t>b</w:t>
      </w:r>
      <w:r w:rsidRPr="003A48AB">
        <w:rPr>
          <w:rFonts w:ascii="Arial" w:eastAsia="Yu Mincho" w:hAnsi="Arial" w:cs="Arial"/>
          <w:lang w:eastAsia="en-US" w:bidi="en-US"/>
        </w:rPr>
        <w:t>)</w:t>
      </w:r>
      <w:r w:rsidRPr="003A48AB">
        <w:rPr>
          <w:rFonts w:ascii="Arial" w:eastAsia="Yu Mincho" w:hAnsi="Arial" w:cs="Arial"/>
          <w:i/>
          <w:lang w:eastAsia="en-US" w:bidi="en-US"/>
        </w:rPr>
        <w:t xml:space="preserve"> </w:t>
      </w:r>
      <w:r w:rsidRPr="003A48AB">
        <w:rPr>
          <w:rFonts w:ascii="Arial" w:eastAsia="Yu Mincho" w:hAnsi="Arial" w:cs="Arial"/>
          <w:lang w:eastAsia="en-US" w:bidi="en-US"/>
        </w:rPr>
        <w:t xml:space="preserve">Stomatal size (S) and density (D) plot of samples for </w:t>
      </w:r>
      <w:r w:rsidRPr="003A48AB">
        <w:rPr>
          <w:rFonts w:ascii="Arial" w:eastAsia="Yu Mincho" w:hAnsi="Arial" w:cs="Arial"/>
          <w:b/>
          <w:lang w:eastAsia="en-US" w:bidi="en-US"/>
        </w:rPr>
        <w:t>a</w:t>
      </w:r>
      <w:r w:rsidRPr="003A48AB">
        <w:rPr>
          <w:rFonts w:ascii="Arial" w:eastAsia="Yu Mincho" w:hAnsi="Arial" w:cs="Arial"/>
          <w:lang w:eastAsia="en-US" w:bidi="en-US"/>
        </w:rPr>
        <w:t>,</w:t>
      </w:r>
      <w:r w:rsidRPr="003A48AB">
        <w:rPr>
          <w:rFonts w:ascii="Arial" w:eastAsia="Yu Mincho" w:hAnsi="Arial" w:cs="Arial"/>
          <w:b/>
          <w:lang w:eastAsia="en-US" w:bidi="en-US"/>
        </w:rPr>
        <w:t xml:space="preserve"> </w:t>
      </w:r>
      <w:r w:rsidRPr="003A48AB">
        <w:rPr>
          <w:rFonts w:ascii="Arial" w:eastAsia="Yu Mincho" w:hAnsi="Arial" w:cs="Arial"/>
          <w:lang w:eastAsia="en-US" w:bidi="en-US"/>
        </w:rPr>
        <w:t>illustrating S and D in capsules grown at HL or LL at 450ppm or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S values were quite similar between all sporophyte capsules from all treatments and showed no significant difference. A slight increase in D was observed on sporophyte capsules grown in LL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relative to LL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again this was not significant using a Two-way ANOVA. Very similar densities were observed between HL 450ppm and HL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with perhaps a very minor reduction at HL although again not significant. The D of measured capsules was clearly effected by light level especially when comparing sporophyte capsules from LL and HL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A Two-way multiple comparisons ANOVA suggested this difference and the difference between the LL450 and HL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grown sporophyte capsules was significant (</w:t>
      </w:r>
      <w:r w:rsidRPr="003A48AB">
        <w:rPr>
          <w:rFonts w:ascii="Arial" w:eastAsia="Yu Mincho" w:hAnsi="Arial" w:cs="Arial"/>
          <w:i/>
          <w:lang w:eastAsia="en-US" w:bidi="en-US"/>
        </w:rPr>
        <w:t xml:space="preserve">P </w:t>
      </w:r>
      <w:r w:rsidRPr="003A48AB">
        <w:rPr>
          <w:rFonts w:ascii="Arial" w:eastAsia="Yu Mincho" w:hAnsi="Arial" w:cs="Arial"/>
          <w:lang w:eastAsia="en-US" w:bidi="en-US"/>
        </w:rPr>
        <w:t>&lt; 0.01). Such significant differences were not detected between capsules grown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under different light treatments. (</w:t>
      </w:r>
      <w:r w:rsidRPr="003A48AB">
        <w:rPr>
          <w:rFonts w:ascii="Arial" w:eastAsia="Yu Mincho" w:hAnsi="Arial" w:cs="Arial"/>
          <w:b/>
          <w:lang w:eastAsia="en-US" w:bidi="en-US"/>
        </w:rPr>
        <w:t>c</w:t>
      </w:r>
      <w:r w:rsidRPr="003A48AB">
        <w:rPr>
          <w:rFonts w:ascii="Arial" w:eastAsia="Yu Mincho" w:hAnsi="Arial" w:cs="Arial"/>
          <w:lang w:eastAsia="en-US" w:bidi="en-US"/>
        </w:rPr>
        <w:t>) Schematic, not to scale, illustrating the general trend light and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had on the area where stomata formed. Under LL, stomata were less tightly confined to the capsule base. At HL for both treatments stomata were more compactly placed than under LL conditions.  For each of N, S and D a Two-way multiple comparisons </w:t>
      </w:r>
      <w:r w:rsidRPr="003A48AB">
        <w:rPr>
          <w:rFonts w:ascii="Arial" w:eastAsia="Yu Mincho" w:hAnsi="Arial" w:cs="Arial"/>
          <w:lang w:eastAsia="en-US" w:bidi="en-US"/>
        </w:rPr>
        <w:lastRenderedPageBreak/>
        <w:t xml:space="preserve">ANOVA was performed. Within graphs, error bars in the same orientation that are marked with different letters imply mean values that are significantly different to at least </w:t>
      </w:r>
      <w:r w:rsidRPr="003A48AB">
        <w:rPr>
          <w:rFonts w:ascii="Arial" w:eastAsia="Yu Mincho" w:hAnsi="Arial" w:cs="Arial"/>
          <w:i/>
          <w:lang w:eastAsia="en-US" w:bidi="en-US"/>
        </w:rPr>
        <w:t xml:space="preserve">P </w:t>
      </w:r>
      <w:r w:rsidRPr="003A48AB">
        <w:rPr>
          <w:rFonts w:ascii="Arial" w:eastAsia="Yu Mincho" w:hAnsi="Arial" w:cs="Arial"/>
          <w:lang w:eastAsia="en-US" w:bidi="en-US"/>
        </w:rPr>
        <w:t>≤ 0.05</w:t>
      </w:r>
      <w:r w:rsidRPr="003A48AB">
        <w:rPr>
          <w:rFonts w:ascii="Arial" w:eastAsia="Times New Roman" w:hAnsi="Arial" w:cs="Arial"/>
          <w:color w:val="000000"/>
          <w:lang w:eastAsia="en-US" w:bidi="en-US"/>
        </w:rPr>
        <w:t xml:space="preserve">. </w:t>
      </w:r>
      <w:r w:rsidRPr="003A48AB">
        <w:rPr>
          <w:rFonts w:ascii="Arial" w:eastAsia="Yu Mincho" w:hAnsi="Arial" w:cs="Arial"/>
          <w:lang w:eastAsia="en-US" w:bidi="en-US"/>
        </w:rPr>
        <w:t>Per treatment 6 sporophyte capsules were measured. Error bars = s.e.m.</w:t>
      </w:r>
    </w:p>
    <w:p w14:paraId="6C3DFCA6" w14:textId="2B4D0EB9" w:rsidR="003A48AB" w:rsidRPr="00476449" w:rsidRDefault="003A48AB" w:rsidP="003A48AB">
      <w:pPr>
        <w:spacing w:after="160" w:line="360" w:lineRule="auto"/>
        <w:rPr>
          <w:rFonts w:ascii="Arial" w:eastAsia="Yu Mincho" w:hAnsi="Arial" w:cs="Arial"/>
          <w:lang w:eastAsia="en-US" w:bidi="en-US"/>
        </w:rPr>
      </w:pPr>
      <w:r w:rsidRPr="003A48AB">
        <w:rPr>
          <w:rFonts w:ascii="Arial" w:eastAsia="Times New Roman" w:hAnsi="Arial" w:cs="Arial"/>
          <w:color w:val="000000"/>
          <w:lang w:eastAsia="en-US" w:bidi="en-US"/>
        </w:rPr>
        <w:t>Analysis of D at LL showed a very slight but not significant increase in D at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w:t>
      </w:r>
      <w:r w:rsidRPr="003A48AB">
        <w:rPr>
          <w:rFonts w:ascii="Arial" w:eastAsia="Times New Roman" w:hAnsi="Arial" w:cs="Arial"/>
          <w:b/>
          <w:color w:val="000000"/>
          <w:lang w:eastAsia="en-US" w:bidi="en-US"/>
        </w:rPr>
        <w:t>Fig. 7b</w:t>
      </w:r>
      <w:r w:rsidRPr="003A48AB">
        <w:rPr>
          <w:rFonts w:ascii="Arial" w:eastAsia="Times New Roman" w:hAnsi="Arial" w:cs="Arial"/>
          <w:color w:val="000000"/>
          <w:lang w:eastAsia="en-US" w:bidi="en-US"/>
        </w:rPr>
        <w:t>), this was not unlike the results obtained in the large grown capsules (</w:t>
      </w:r>
      <w:r w:rsidRPr="003A48AB">
        <w:rPr>
          <w:rFonts w:ascii="Arial" w:eastAsia="Times New Roman" w:hAnsi="Arial" w:cs="Arial"/>
          <w:b/>
          <w:color w:val="000000"/>
          <w:lang w:eastAsia="en-US" w:bidi="en-US"/>
        </w:rPr>
        <w:t>Fig. 6b</w:t>
      </w:r>
      <w:r w:rsidRPr="003A48AB">
        <w:rPr>
          <w:rFonts w:ascii="Arial" w:eastAsia="Times New Roman" w:hAnsi="Arial" w:cs="Arial"/>
          <w:color w:val="000000"/>
          <w:lang w:eastAsia="en-US" w:bidi="en-US"/>
        </w:rPr>
        <w:t>). At HL, the decreased D observed in large capsules grown at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relative to 450ppm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w:t>
      </w:r>
      <w:r w:rsidRPr="003A48AB">
        <w:rPr>
          <w:rFonts w:ascii="Arial" w:eastAsia="Times New Roman" w:hAnsi="Arial" w:cs="Arial"/>
          <w:b/>
          <w:color w:val="000000"/>
          <w:lang w:eastAsia="en-US" w:bidi="en-US"/>
        </w:rPr>
        <w:t>Fig. 6b)</w:t>
      </w:r>
      <w:r w:rsidRPr="003A48AB">
        <w:rPr>
          <w:rFonts w:ascii="Arial" w:eastAsia="Times New Roman" w:hAnsi="Arial" w:cs="Arial"/>
          <w:color w:val="000000"/>
          <w:lang w:eastAsia="en-US" w:bidi="en-US"/>
        </w:rPr>
        <w:t xml:space="preserve"> was not detected in same size capsules grown under the same conditions (</w:t>
      </w:r>
      <w:r w:rsidRPr="003A48AB">
        <w:rPr>
          <w:rFonts w:ascii="Arial" w:eastAsia="Times New Roman" w:hAnsi="Arial" w:cs="Arial"/>
          <w:b/>
          <w:color w:val="000000"/>
          <w:lang w:eastAsia="en-US" w:bidi="en-US"/>
        </w:rPr>
        <w:t>Fig. 7b</w:t>
      </w:r>
      <w:r w:rsidRPr="003A48AB">
        <w:rPr>
          <w:rFonts w:ascii="Arial" w:eastAsia="Times New Roman" w:hAnsi="Arial" w:cs="Arial"/>
          <w:color w:val="000000"/>
          <w:lang w:eastAsia="en-US" w:bidi="en-US"/>
        </w:rPr>
        <w:t>) suggestive of a capsule size effect on D. There was however a retained significant difference in the D of HL grown 450ppm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capsules relative to LL grown 450ppm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capsules using a multiple comparisons Two-way ANOVA. Stomatal sizes did not seem to vary between different treatments. By standardising capsule size, the area where stomata formed was altered comparatively to the large capsules inspected (compare </w:t>
      </w:r>
      <w:r w:rsidRPr="003A48AB">
        <w:rPr>
          <w:rFonts w:ascii="Arial" w:eastAsia="Times New Roman" w:hAnsi="Arial" w:cs="Arial"/>
          <w:b/>
          <w:color w:val="000000"/>
          <w:lang w:eastAsia="en-US" w:bidi="en-US"/>
        </w:rPr>
        <w:t>Fig. 6c</w:t>
      </w:r>
      <w:r w:rsidRPr="003A48AB">
        <w:rPr>
          <w:rFonts w:ascii="Arial" w:eastAsia="Times New Roman" w:hAnsi="Arial" w:cs="Arial"/>
          <w:color w:val="000000"/>
          <w:lang w:eastAsia="en-US" w:bidi="en-US"/>
        </w:rPr>
        <w:t xml:space="preserve"> and </w:t>
      </w:r>
      <w:r w:rsidRPr="003A48AB">
        <w:rPr>
          <w:rFonts w:ascii="Arial" w:eastAsia="Times New Roman" w:hAnsi="Arial" w:cs="Arial"/>
          <w:b/>
          <w:color w:val="000000"/>
          <w:lang w:eastAsia="en-US" w:bidi="en-US"/>
        </w:rPr>
        <w:t>Fig. 7c</w:t>
      </w:r>
      <w:r w:rsidRPr="003A48AB">
        <w:rPr>
          <w:rFonts w:ascii="Arial" w:eastAsia="Times New Roman" w:hAnsi="Arial" w:cs="Arial"/>
          <w:color w:val="000000"/>
          <w:lang w:eastAsia="en-US" w:bidi="en-US"/>
        </w:rPr>
        <w:t>). This was especially true when comparing capsules grown at 450ppm and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grown under HL. Evidently, the spreading out of stomata which lead to decreases in D in large capsules did not occur in the same size capsules grown at HL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Taken together these results suggest that the density responses observed at high light are primarily due to size expansion of the capsules</w:t>
      </w:r>
      <w:r w:rsidR="00185388">
        <w:rPr>
          <w:rFonts w:ascii="Arial" w:eastAsia="Times New Roman" w:hAnsi="Arial" w:cs="Arial"/>
          <w:color w:val="000000"/>
          <w:lang w:eastAsia="en-US" w:bidi="en-US"/>
        </w:rPr>
        <w:t xml:space="preserve"> at higher CO</w:t>
      </w:r>
      <w:r w:rsidR="00185388" w:rsidRPr="00185388">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w:t>
      </w:r>
    </w:p>
    <w:p w14:paraId="21126C0F" w14:textId="77777777" w:rsidR="003A48AB" w:rsidRPr="003A48AB" w:rsidRDefault="003A48AB" w:rsidP="003A48AB">
      <w:pPr>
        <w:spacing w:after="160" w:line="360" w:lineRule="auto"/>
        <w:rPr>
          <w:rFonts w:ascii="Arial" w:eastAsia="Yu Mincho" w:hAnsi="Arial" w:cs="Arial"/>
          <w:u w:val="single"/>
          <w:lang w:eastAsia="en-US" w:bidi="en-US"/>
        </w:rPr>
      </w:pPr>
      <w:r w:rsidRPr="003A48AB">
        <w:rPr>
          <w:rFonts w:ascii="Arial" w:eastAsia="Yu Mincho" w:hAnsi="Arial" w:cs="Arial"/>
          <w:u w:val="single"/>
          <w:lang w:eastAsia="en-US" w:bidi="en-US"/>
        </w:rPr>
        <w:t>5.2.5 Stomatal density (D) responses to light and CO</w:t>
      </w:r>
      <w:r w:rsidRPr="003A48AB">
        <w:rPr>
          <w:rFonts w:ascii="Arial" w:eastAsia="Yu Mincho" w:hAnsi="Arial" w:cs="Arial"/>
          <w:u w:val="single"/>
          <w:vertAlign w:val="subscript"/>
          <w:lang w:eastAsia="en-US" w:bidi="en-US"/>
        </w:rPr>
        <w:t>2</w:t>
      </w:r>
      <w:r w:rsidRPr="003A48AB">
        <w:rPr>
          <w:rFonts w:ascii="Arial" w:eastAsia="Yu Mincho" w:hAnsi="Arial" w:cs="Arial"/>
          <w:u w:val="single"/>
          <w:lang w:eastAsia="en-US" w:bidi="en-US"/>
        </w:rPr>
        <w:t xml:space="preserve"> in </w:t>
      </w:r>
      <w:r w:rsidRPr="003A48AB">
        <w:rPr>
          <w:rFonts w:ascii="Arial" w:eastAsia="Yu Mincho" w:hAnsi="Arial" w:cs="Arial"/>
          <w:i/>
          <w:u w:val="single"/>
          <w:lang w:eastAsia="en-US" w:bidi="en-US"/>
        </w:rPr>
        <w:t xml:space="preserve">Arabidopsis thaliana </w:t>
      </w:r>
    </w:p>
    <w:p w14:paraId="5AC849BF" w14:textId="1E5A3BCC"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lang w:eastAsia="en-US" w:bidi="en-US"/>
        </w:rPr>
        <w:t>At the time of experimentation, the genetic mechanisms responsible for allowing Arabidopsis to respond to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by modifying stomatal density (D) and stomatal index (SI) had yet to be published. For further reading on this topic see Engineer and colleagues </w:t>
      </w:r>
      <w:r w:rsidRPr="003A48AB">
        <w:rPr>
          <w:rFonts w:ascii="Arial" w:eastAsia="Times New Roman" w:hAnsi="Arial" w:cs="Arial"/>
          <w:color w:val="000000"/>
          <w:lang w:eastAsia="en-US" w:bidi="en-US"/>
        </w:rPr>
        <w:fldChar w:fldCharType="begin">
          <w:fldData xml:space="preserve">PEVuZE5vdGU+PENpdGUgRXhjbHVkZUF1dGg9IjEiPjxBdXRob3I+RW5naW5lZXI8L0F1dGhvcj48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</w:fldData>
        </w:fldChar>
      </w:r>
      <w:r w:rsidR="00417B1E">
        <w:rPr>
          <w:rFonts w:ascii="Arial" w:eastAsia="Times New Roman" w:hAnsi="Arial" w:cs="Arial"/>
          <w:color w:val="000000"/>
          <w:lang w:eastAsia="en-US" w:bidi="en-US"/>
        </w:rPr>
        <w:instrText xml:space="preserve"> ADDIN EN.CITE </w:instrText>
      </w:r>
      <w:r w:rsidR="00417B1E">
        <w:rPr>
          <w:rFonts w:ascii="Arial" w:eastAsia="Times New Roman" w:hAnsi="Arial" w:cs="Arial"/>
          <w:color w:val="000000"/>
          <w:lang w:eastAsia="en-US" w:bidi="en-US"/>
        </w:rPr>
        <w:fldChar w:fldCharType="begin">
          <w:fldData xml:space="preserve">PEVuZE5vdGU+PENpdGUgRXhjbHVkZUF1dGg9IjEiPjxBdXRob3I+RW5naW5lZXI8L0F1dGhvcj48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</w:fldData>
        </w:fldChar>
      </w:r>
      <w:r w:rsidR="00417B1E">
        <w:rPr>
          <w:rFonts w:ascii="Arial" w:eastAsia="Times New Roman" w:hAnsi="Arial" w:cs="Arial"/>
          <w:color w:val="000000"/>
          <w:lang w:eastAsia="en-US" w:bidi="en-US"/>
        </w:rPr>
        <w:instrText xml:space="preserve"> ADDIN EN.CITE.DATA </w:instrText>
      </w:r>
      <w:r w:rsidR="00417B1E">
        <w:rPr>
          <w:rFonts w:ascii="Arial" w:eastAsia="Times New Roman" w:hAnsi="Arial" w:cs="Arial"/>
          <w:color w:val="000000"/>
          <w:lang w:eastAsia="en-US" w:bidi="en-US"/>
        </w:rPr>
      </w:r>
      <w:r w:rsidR="00417B1E">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(2014)</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who have subsequently identified two β-carbonic anhydrases (CA1 and CA4), EPF2 and CRSP in partaking in the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response in Arabidopsis. </w:t>
      </w:r>
    </w:p>
    <w:p w14:paraId="50C21D78" w14:textId="3B5E1ED6"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lang w:eastAsia="en-US" w:bidi="en-US"/>
        </w:rPr>
        <w:t>To try to identify the genetic mechanisms that underpin stomatal developmental response to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in vascular land plants a screen was undertaken using </w:t>
      </w:r>
      <w:r w:rsidRPr="003A48AB">
        <w:rPr>
          <w:rFonts w:ascii="Arial" w:eastAsia="Times New Roman" w:hAnsi="Arial" w:cs="Arial"/>
          <w:i/>
          <w:color w:val="000000"/>
          <w:lang w:eastAsia="en-US" w:bidi="en-US"/>
        </w:rPr>
        <w:t xml:space="preserve">A. thaliana </w:t>
      </w:r>
      <w:r w:rsidRPr="003A48AB">
        <w:rPr>
          <w:rFonts w:ascii="Arial" w:eastAsia="Times New Roman" w:hAnsi="Arial" w:cs="Arial"/>
          <w:color w:val="000000"/>
          <w:lang w:eastAsia="en-US" w:bidi="en-US"/>
        </w:rPr>
        <w:t xml:space="preserve">wild-type and various stomatal patterning mutants. Such mutants had either </w:t>
      </w:r>
      <w:r w:rsidRPr="003A48AB">
        <w:rPr>
          <w:rFonts w:ascii="Arial" w:eastAsia="Times New Roman" w:hAnsi="Arial" w:cs="Arial"/>
          <w:i/>
          <w:color w:val="000000"/>
          <w:lang w:eastAsia="en-US" w:bidi="en-US"/>
        </w:rPr>
        <w:t>EPIDERMAL PATTERNING FACTOR</w:t>
      </w:r>
      <w:r w:rsidRPr="003A48AB">
        <w:rPr>
          <w:rFonts w:ascii="Arial" w:eastAsia="Times New Roman" w:hAnsi="Arial" w:cs="Arial"/>
          <w:color w:val="000000"/>
          <w:lang w:eastAsia="en-US" w:bidi="en-US"/>
        </w:rPr>
        <w:t xml:space="preserve"> (</w:t>
      </w:r>
      <w:r w:rsidRPr="003A48AB">
        <w:rPr>
          <w:rFonts w:ascii="Arial" w:eastAsia="Times New Roman" w:hAnsi="Arial" w:cs="Arial"/>
          <w:i/>
          <w:color w:val="000000"/>
          <w:lang w:eastAsia="en-US" w:bidi="en-US"/>
        </w:rPr>
        <w:t>EPF</w:t>
      </w:r>
      <w:r w:rsidRPr="003A48AB">
        <w:rPr>
          <w:rFonts w:ascii="Arial" w:eastAsia="Times New Roman" w:hAnsi="Arial" w:cs="Arial"/>
          <w:color w:val="000000"/>
          <w:lang w:eastAsia="en-US" w:bidi="en-US"/>
        </w:rPr>
        <w:t>) (</w:t>
      </w:r>
      <w:r w:rsidRPr="003A48AB">
        <w:rPr>
          <w:rFonts w:ascii="Arial" w:eastAsia="Times New Roman" w:hAnsi="Arial" w:cs="Arial"/>
          <w:i/>
          <w:color w:val="000000"/>
          <w:lang w:eastAsia="en-US" w:bidi="en-US"/>
        </w:rPr>
        <w:t>epf1, epf2, epf1epf2</w:t>
      </w:r>
      <w:r w:rsidRPr="003A48AB">
        <w:rPr>
          <w:rFonts w:ascii="Arial" w:eastAsia="Times New Roman" w:hAnsi="Arial" w:cs="Arial"/>
          <w:color w:val="000000"/>
          <w:lang w:eastAsia="en-US" w:bidi="en-US"/>
        </w:rPr>
        <w:t xml:space="preserve">), </w:t>
      </w:r>
      <w:r w:rsidRPr="003A48AB">
        <w:rPr>
          <w:rFonts w:ascii="Arial" w:eastAsia="Times New Roman" w:hAnsi="Arial" w:cs="Arial"/>
          <w:i/>
          <w:color w:val="000000"/>
          <w:lang w:eastAsia="en-US" w:bidi="en-US"/>
        </w:rPr>
        <w:t xml:space="preserve">ERECTA </w:t>
      </w:r>
      <w:r w:rsidRPr="003A48AB">
        <w:rPr>
          <w:rFonts w:ascii="Arial" w:eastAsia="Times New Roman" w:hAnsi="Arial" w:cs="Arial"/>
          <w:color w:val="000000"/>
          <w:lang w:eastAsia="en-US" w:bidi="en-US"/>
        </w:rPr>
        <w:t>family (</w:t>
      </w:r>
      <w:r w:rsidRPr="003A48AB">
        <w:rPr>
          <w:rFonts w:ascii="Arial" w:eastAsia="Times New Roman" w:hAnsi="Arial" w:cs="Arial"/>
          <w:i/>
          <w:color w:val="000000"/>
          <w:lang w:eastAsia="en-US" w:bidi="en-US"/>
        </w:rPr>
        <w:t>er</w:t>
      </w:r>
      <w:r w:rsidRPr="003A48AB">
        <w:rPr>
          <w:rFonts w:ascii="Arial" w:eastAsia="Times New Roman" w:hAnsi="Arial" w:cs="Arial"/>
          <w:color w:val="000000"/>
          <w:lang w:eastAsia="en-US" w:bidi="en-US"/>
        </w:rPr>
        <w:t xml:space="preserve">, </w:t>
      </w:r>
      <w:r w:rsidRPr="003A48AB">
        <w:rPr>
          <w:rFonts w:ascii="Arial" w:eastAsia="Times New Roman" w:hAnsi="Arial" w:cs="Arial"/>
          <w:i/>
          <w:color w:val="000000"/>
          <w:lang w:eastAsia="en-US" w:bidi="en-US"/>
        </w:rPr>
        <w:t>erl1</w:t>
      </w:r>
      <w:r w:rsidRPr="003A48AB">
        <w:rPr>
          <w:rFonts w:ascii="Arial" w:eastAsia="Times New Roman" w:hAnsi="Arial" w:cs="Arial"/>
          <w:color w:val="000000"/>
          <w:lang w:eastAsia="en-US" w:bidi="en-US"/>
        </w:rPr>
        <w:t xml:space="preserve">), or </w:t>
      </w:r>
      <w:r w:rsidRPr="003A48AB">
        <w:rPr>
          <w:rFonts w:ascii="Arial" w:eastAsia="Times New Roman" w:hAnsi="Arial" w:cs="Arial"/>
          <w:i/>
          <w:color w:val="000000"/>
          <w:lang w:eastAsia="en-US" w:bidi="en-US"/>
        </w:rPr>
        <w:t>TOO MANY MOUTHS</w:t>
      </w:r>
      <w:r w:rsidRPr="003A48AB">
        <w:rPr>
          <w:rFonts w:ascii="Arial" w:eastAsia="Times New Roman" w:hAnsi="Arial" w:cs="Arial"/>
          <w:color w:val="000000"/>
          <w:lang w:eastAsia="en-US" w:bidi="en-US"/>
        </w:rPr>
        <w:t xml:space="preserve"> (</w:t>
      </w:r>
      <w:r w:rsidRPr="003A48AB">
        <w:rPr>
          <w:rFonts w:ascii="Arial" w:eastAsia="Times New Roman" w:hAnsi="Arial" w:cs="Arial"/>
          <w:i/>
          <w:color w:val="000000"/>
          <w:lang w:eastAsia="en-US" w:bidi="en-US"/>
        </w:rPr>
        <w:t>tmm</w:t>
      </w:r>
      <w:r w:rsidRPr="003A48AB">
        <w:rPr>
          <w:rFonts w:ascii="Arial" w:eastAsia="Times New Roman" w:hAnsi="Arial" w:cs="Arial"/>
          <w:color w:val="000000"/>
          <w:lang w:eastAsia="en-US" w:bidi="en-US"/>
        </w:rPr>
        <w:t>) defects. For further details relating to the functions of such genes see chapter 4. In this study, plants were grown at either HL, 1</w:t>
      </w:r>
      <w:r w:rsidRPr="003A48AB">
        <w:rPr>
          <w:rFonts w:ascii="Arial" w:eastAsia="Yu Mincho" w:hAnsi="Arial" w:cs="Arial"/>
          <w:lang w:eastAsia="en-US" w:bidi="en-US"/>
        </w:rPr>
        <w:t>70</w:t>
      </w:r>
      <w:r w:rsidRPr="003A48AB">
        <w:rPr>
          <w:rFonts w:ascii="Arial" w:eastAsia="Times New Roman" w:hAnsi="Arial" w:cs="Arial"/>
          <w:color w:val="000000"/>
          <w:lang w:eastAsia="en-US" w:bidi="en-US"/>
        </w:rPr>
        <w:t>µmol 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s</w:t>
      </w:r>
      <w:r w:rsidRPr="003A48AB">
        <w:rPr>
          <w:rFonts w:ascii="Arial" w:eastAsia="Times New Roman" w:hAnsi="Arial" w:cs="Arial"/>
          <w:color w:val="000000"/>
          <w:vertAlign w:val="superscript"/>
          <w:lang w:eastAsia="en-US" w:bidi="en-US"/>
        </w:rPr>
        <w:t>−1</w:t>
      </w:r>
      <w:r w:rsidRPr="003A48AB">
        <w:rPr>
          <w:rFonts w:ascii="Arial" w:eastAsia="Times New Roman" w:hAnsi="Arial" w:cs="Arial"/>
          <w:color w:val="000000"/>
          <w:lang w:eastAsia="en-US" w:bidi="en-US"/>
        </w:rPr>
        <w:t xml:space="preserve"> or LL </w:t>
      </w:r>
      <w:r w:rsidRPr="003A48AB">
        <w:rPr>
          <w:rFonts w:ascii="Arial" w:eastAsia="Yu Mincho" w:hAnsi="Arial" w:cs="Arial"/>
          <w:lang w:eastAsia="en-US" w:bidi="en-US"/>
        </w:rPr>
        <w:t>70</w:t>
      </w:r>
      <w:r w:rsidRPr="003A48AB">
        <w:rPr>
          <w:rFonts w:ascii="Arial" w:eastAsia="Times New Roman" w:hAnsi="Arial" w:cs="Arial"/>
          <w:color w:val="000000"/>
          <w:lang w:eastAsia="en-US" w:bidi="en-US"/>
        </w:rPr>
        <w:t>µmol 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s</w:t>
      </w:r>
      <w:r w:rsidRPr="003A48AB">
        <w:rPr>
          <w:rFonts w:ascii="Arial" w:eastAsia="Times New Roman" w:hAnsi="Arial" w:cs="Arial"/>
          <w:color w:val="000000"/>
          <w:vertAlign w:val="superscript"/>
          <w:lang w:eastAsia="en-US" w:bidi="en-US"/>
        </w:rPr>
        <w:t>−1</w:t>
      </w:r>
      <w:r w:rsidRPr="003A48AB">
        <w:rPr>
          <w:rFonts w:ascii="Arial" w:eastAsia="Times New Roman" w:hAnsi="Arial" w:cs="Arial"/>
          <w:color w:val="000000"/>
          <w:lang w:eastAsia="en-US" w:bidi="en-US"/>
        </w:rPr>
        <w:t xml:space="preserve"> at 450ppm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or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to understand if light was a factor which contributed to the</w:t>
      </w:r>
      <w:r w:rsidR="00185388">
        <w:rPr>
          <w:rFonts w:ascii="Arial" w:eastAsia="Times New Roman" w:hAnsi="Arial" w:cs="Arial"/>
          <w:color w:val="000000"/>
          <w:lang w:eastAsia="en-US" w:bidi="en-US"/>
        </w:rPr>
        <w:t xml:space="preserve"> stomata D</w:t>
      </w:r>
      <w:r w:rsidRPr="003A48AB">
        <w:rPr>
          <w:rFonts w:ascii="Arial" w:eastAsia="Times New Roman" w:hAnsi="Arial" w:cs="Arial"/>
          <w:color w:val="000000"/>
          <w:lang w:eastAsia="en-US" w:bidi="en-US"/>
        </w:rPr>
        <w:t xml:space="preserve">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response. </w:t>
      </w:r>
    </w:p>
    <w:p w14:paraId="41F172D0"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The results obtained provide very interesting insights into the dynamics of stomatal development under different environmental conditions (</w:t>
      </w:r>
      <w:r w:rsidRPr="003A48AB">
        <w:rPr>
          <w:rFonts w:ascii="Arial" w:eastAsia="Yu Mincho" w:hAnsi="Arial" w:cs="Arial"/>
          <w:b/>
          <w:lang w:eastAsia="en-US" w:bidi="en-US"/>
        </w:rPr>
        <w:t>Fig. 8</w:t>
      </w:r>
      <w:r w:rsidRPr="003A48AB">
        <w:rPr>
          <w:rFonts w:ascii="Arial" w:eastAsia="Yu Mincho" w:hAnsi="Arial" w:cs="Arial"/>
          <w:lang w:eastAsia="en-US" w:bidi="en-US"/>
        </w:rPr>
        <w:t>). In Arabidopsis Col-0 background at LL, D was increased in the mature leaves of plants grown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w:t>
      </w:r>
      <w:r w:rsidRPr="003A48AB">
        <w:rPr>
          <w:rFonts w:ascii="Arial" w:eastAsia="Yu Mincho" w:hAnsi="Arial" w:cs="Arial"/>
          <w:lang w:eastAsia="en-US" w:bidi="en-US"/>
        </w:rPr>
        <w:lastRenderedPageBreak/>
        <w:t>concentration relative to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w:t>
      </w:r>
      <w:r w:rsidRPr="003A48AB">
        <w:rPr>
          <w:rFonts w:ascii="Arial" w:eastAsia="Yu Mincho" w:hAnsi="Arial" w:cs="Arial"/>
          <w:b/>
          <w:lang w:eastAsia="en-US" w:bidi="en-US"/>
        </w:rPr>
        <w:t>Fig. 8a</w:t>
      </w:r>
      <w:r w:rsidRPr="003A48AB">
        <w:rPr>
          <w:rFonts w:ascii="Arial" w:eastAsia="Yu Mincho" w:hAnsi="Arial" w:cs="Arial"/>
          <w:lang w:eastAsia="en-US" w:bidi="en-US"/>
        </w:rPr>
        <w:t>). Conversely, at HL, this trend was reversed with the D of plants grown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reduced relative to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grown plants. However, this was only significant for differences between LL treatments when a multiple comparisons Two-way ANOVA was performed (</w:t>
      </w:r>
      <w:r w:rsidRPr="003A48AB">
        <w:rPr>
          <w:rFonts w:ascii="Arial" w:eastAsia="Yu Mincho" w:hAnsi="Arial" w:cs="Arial"/>
          <w:i/>
          <w:lang w:eastAsia="en-US" w:bidi="en-US"/>
        </w:rPr>
        <w:t xml:space="preserve">P </w:t>
      </w:r>
      <w:r w:rsidRPr="003A48AB">
        <w:rPr>
          <w:rFonts w:ascii="Arial" w:eastAsia="Yu Mincho" w:hAnsi="Arial" w:cs="Arial"/>
          <w:lang w:eastAsia="en-US" w:bidi="en-US"/>
        </w:rPr>
        <w:t>&lt; 0.05). Such findings therefore suggest that to observe a response in D the light must be above a certain level. There was an overall interaction between light and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detected using a multiple comparisons Two-way ANOVA that was significant to the </w:t>
      </w:r>
      <w:r w:rsidRPr="003A48AB">
        <w:rPr>
          <w:rFonts w:ascii="Arial" w:eastAsia="Yu Mincho" w:hAnsi="Arial" w:cs="Arial"/>
          <w:i/>
          <w:lang w:eastAsia="en-US" w:bidi="en-US"/>
        </w:rPr>
        <w:t xml:space="preserve">P </w:t>
      </w:r>
      <w:r w:rsidRPr="003A48AB">
        <w:rPr>
          <w:rFonts w:ascii="Arial" w:eastAsia="Yu Mincho" w:hAnsi="Arial" w:cs="Arial"/>
          <w:lang w:eastAsia="en-US" w:bidi="en-US"/>
        </w:rPr>
        <w:t xml:space="preserve">&lt; 0.001 level. </w:t>
      </w:r>
    </w:p>
    <w:p w14:paraId="66CE76D1" w14:textId="54EA30AA"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When analysing the D associated the aforementioned stomatal patterning mutants grown under different light and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treatments, in most cases there was a trend towards maintaining the same type of responses as the wild-type (</w:t>
      </w:r>
      <w:r w:rsidRPr="003A48AB">
        <w:rPr>
          <w:rFonts w:ascii="Arial" w:eastAsia="Yu Mincho" w:hAnsi="Arial" w:cs="Arial"/>
          <w:b/>
          <w:lang w:eastAsia="en-US" w:bidi="en-US"/>
        </w:rPr>
        <w:t>Fig. 8a</w:t>
      </w:r>
      <w:r w:rsidRPr="003A48AB">
        <w:rPr>
          <w:rFonts w:ascii="Arial" w:eastAsia="Yu Mincho" w:hAnsi="Arial" w:cs="Arial"/>
          <w:lang w:eastAsia="en-US" w:bidi="en-US"/>
        </w:rPr>
        <w:t>-</w:t>
      </w:r>
      <w:r w:rsidRPr="003A48AB">
        <w:rPr>
          <w:rFonts w:ascii="Arial" w:eastAsia="Yu Mincho" w:hAnsi="Arial" w:cs="Arial"/>
          <w:b/>
          <w:lang w:eastAsia="en-US" w:bidi="en-US"/>
        </w:rPr>
        <w:t>b</w:t>
      </w:r>
      <w:r w:rsidRPr="003A48AB">
        <w:rPr>
          <w:rFonts w:ascii="Arial" w:eastAsia="Yu Mincho" w:hAnsi="Arial" w:cs="Arial"/>
          <w:lang w:eastAsia="en-US" w:bidi="en-US"/>
        </w:rPr>
        <w:t>). That is, at LL, D values were higher in leaves of mutant plants grown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relatively to LL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grown plants. For mutant plants grown at HL, D generally followed the same trend as the wild-type, with decreased D in plants grown at 1000ppm CO</w:t>
      </w:r>
      <w:r w:rsidRPr="003A48AB">
        <w:rPr>
          <w:rFonts w:ascii="Arial" w:eastAsia="Yu Mincho" w:hAnsi="Arial" w:cs="Arial"/>
          <w:vertAlign w:val="subscript"/>
          <w:lang w:eastAsia="en-US" w:bidi="en-US"/>
        </w:rPr>
        <w:t xml:space="preserve">2 </w:t>
      </w:r>
      <w:r w:rsidRPr="003A48AB">
        <w:rPr>
          <w:rFonts w:ascii="Arial" w:eastAsia="Yu Mincho" w:hAnsi="Arial" w:cs="Arial"/>
          <w:lang w:eastAsia="en-US" w:bidi="en-US"/>
        </w:rPr>
        <w:t xml:space="preserve">concentration, except in the case of </w:t>
      </w:r>
      <w:r w:rsidRPr="003A48AB">
        <w:rPr>
          <w:rFonts w:ascii="Arial" w:eastAsia="Yu Mincho" w:hAnsi="Arial" w:cs="Arial"/>
          <w:i/>
          <w:lang w:eastAsia="en-US" w:bidi="en-US"/>
        </w:rPr>
        <w:t>epf2</w:t>
      </w:r>
      <w:r w:rsidRPr="003A48AB">
        <w:rPr>
          <w:rFonts w:ascii="Arial" w:eastAsia="Yu Mincho" w:hAnsi="Arial" w:cs="Arial"/>
          <w:lang w:eastAsia="en-US" w:bidi="en-US"/>
        </w:rPr>
        <w:t xml:space="preserve"> and </w:t>
      </w:r>
      <w:r w:rsidRPr="003A48AB">
        <w:rPr>
          <w:rFonts w:ascii="Arial" w:eastAsia="Yu Mincho" w:hAnsi="Arial" w:cs="Arial"/>
          <w:i/>
          <w:lang w:eastAsia="en-US" w:bidi="en-US"/>
        </w:rPr>
        <w:t>erl1</w:t>
      </w:r>
      <w:r w:rsidRPr="003A48AB">
        <w:rPr>
          <w:rFonts w:ascii="Arial" w:eastAsia="Yu Mincho" w:hAnsi="Arial" w:cs="Arial"/>
          <w:lang w:eastAsia="en-US" w:bidi="en-US"/>
        </w:rPr>
        <w:t xml:space="preserve"> (</w:t>
      </w:r>
      <w:r w:rsidRPr="003A48AB">
        <w:rPr>
          <w:rFonts w:ascii="Arial" w:eastAsia="Yu Mincho" w:hAnsi="Arial" w:cs="Arial"/>
          <w:b/>
          <w:lang w:eastAsia="en-US" w:bidi="en-US"/>
        </w:rPr>
        <w:t>Fig. 8a</w:t>
      </w:r>
      <w:r w:rsidRPr="003A48AB">
        <w:rPr>
          <w:rFonts w:ascii="Arial" w:eastAsia="Yu Mincho" w:hAnsi="Arial" w:cs="Arial"/>
          <w:lang w:eastAsia="en-US" w:bidi="en-US"/>
        </w:rPr>
        <w:t>-</w:t>
      </w:r>
      <w:r w:rsidRPr="003A48AB">
        <w:rPr>
          <w:rFonts w:ascii="Arial" w:eastAsia="Yu Mincho" w:hAnsi="Arial" w:cs="Arial"/>
          <w:b/>
          <w:lang w:eastAsia="en-US" w:bidi="en-US"/>
        </w:rPr>
        <w:t>b</w:t>
      </w:r>
      <w:r w:rsidRPr="003A48AB">
        <w:rPr>
          <w:rFonts w:ascii="Arial" w:eastAsia="Yu Mincho" w:hAnsi="Arial" w:cs="Arial"/>
          <w:lang w:eastAsia="en-US" w:bidi="en-US"/>
        </w:rPr>
        <w:t xml:space="preserve">). In </w:t>
      </w:r>
      <w:r w:rsidRPr="003A48AB">
        <w:rPr>
          <w:rFonts w:ascii="Arial" w:eastAsia="Yu Mincho" w:hAnsi="Arial" w:cs="Arial"/>
          <w:i/>
          <w:lang w:eastAsia="en-US" w:bidi="en-US"/>
        </w:rPr>
        <w:t>epf2</w:t>
      </w:r>
      <w:r w:rsidRPr="003A48AB">
        <w:rPr>
          <w:rFonts w:ascii="Arial" w:eastAsia="Yu Mincho" w:hAnsi="Arial" w:cs="Arial"/>
          <w:lang w:eastAsia="en-US" w:bidi="en-US"/>
        </w:rPr>
        <w:t xml:space="preserve"> particularly, D appeared reversed relative to wild-type (although not significantly so). Interestingly in </w:t>
      </w:r>
      <w:r w:rsidRPr="003A48AB">
        <w:rPr>
          <w:rFonts w:ascii="Arial" w:eastAsia="Yu Mincho" w:hAnsi="Arial" w:cs="Arial"/>
          <w:i/>
          <w:lang w:eastAsia="en-US" w:bidi="en-US"/>
        </w:rPr>
        <w:t xml:space="preserve">er </w:t>
      </w:r>
      <w:r w:rsidRPr="003A48AB">
        <w:rPr>
          <w:rFonts w:ascii="Arial" w:eastAsia="Yu Mincho" w:hAnsi="Arial" w:cs="Arial"/>
          <w:lang w:eastAsia="en-US" w:bidi="en-US"/>
        </w:rPr>
        <w:t>there was a more noticeable split in D values between LL and HL and a flattening of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effects within light treatments</w:t>
      </w:r>
      <w:r w:rsidRPr="003A48AB">
        <w:rPr>
          <w:rFonts w:ascii="Arial" w:eastAsia="Yu Mincho" w:hAnsi="Arial" w:cs="Arial"/>
          <w:i/>
          <w:lang w:eastAsia="en-US" w:bidi="en-US"/>
        </w:rPr>
        <w:t xml:space="preserve"> </w:t>
      </w:r>
      <w:r w:rsidRPr="003A48AB">
        <w:rPr>
          <w:rFonts w:ascii="Arial" w:eastAsia="Yu Mincho" w:hAnsi="Arial" w:cs="Arial"/>
          <w:lang w:eastAsia="en-US" w:bidi="en-US"/>
        </w:rPr>
        <w:t>which might imply that for both environmental factors that</w:t>
      </w:r>
      <w:r w:rsidRPr="003A48AB">
        <w:rPr>
          <w:rFonts w:ascii="Arial" w:eastAsia="Yu Mincho" w:hAnsi="Arial" w:cs="Arial"/>
          <w:i/>
          <w:lang w:eastAsia="en-US" w:bidi="en-US"/>
        </w:rPr>
        <w:t xml:space="preserve"> </w:t>
      </w:r>
      <w:r w:rsidRPr="003A48AB">
        <w:rPr>
          <w:rFonts w:ascii="Arial" w:eastAsia="Yu Mincho" w:hAnsi="Arial" w:cs="Arial"/>
          <w:lang w:eastAsia="en-US" w:bidi="en-US"/>
        </w:rPr>
        <w:t xml:space="preserve">this gene is particularly important. For </w:t>
      </w:r>
      <w:r w:rsidRPr="003A48AB">
        <w:rPr>
          <w:rFonts w:ascii="Arial" w:eastAsia="Yu Mincho" w:hAnsi="Arial" w:cs="Arial"/>
          <w:i/>
          <w:lang w:eastAsia="en-US" w:bidi="en-US"/>
        </w:rPr>
        <w:t>epf2</w:t>
      </w:r>
      <w:r w:rsidRPr="003A48AB">
        <w:rPr>
          <w:rFonts w:ascii="Arial" w:eastAsia="Yu Mincho" w:hAnsi="Arial" w:cs="Arial"/>
          <w:lang w:eastAsia="en-US" w:bidi="en-US"/>
        </w:rPr>
        <w:t>, these findings</w:t>
      </w:r>
      <w:r w:rsidRPr="003A48AB">
        <w:rPr>
          <w:rFonts w:ascii="Arial" w:eastAsia="Yu Mincho" w:hAnsi="Arial" w:cs="Arial"/>
          <w:i/>
          <w:lang w:eastAsia="en-US" w:bidi="en-US"/>
        </w:rPr>
        <w:t xml:space="preserve"> </w:t>
      </w:r>
      <w:r w:rsidRPr="003A48AB">
        <w:rPr>
          <w:rFonts w:ascii="Arial" w:eastAsia="Yu Mincho" w:hAnsi="Arial" w:cs="Arial"/>
          <w:lang w:eastAsia="en-US" w:bidi="en-US"/>
        </w:rPr>
        <w:t xml:space="preserve">compliment the findings of Engineer and colleagues </w:t>
      </w:r>
      <w:r w:rsidRPr="003A48AB">
        <w:rPr>
          <w:rFonts w:ascii="Arial" w:eastAsia="Yu Mincho" w:hAnsi="Arial" w:cs="Arial"/>
          <w:lang w:eastAsia="en-US" w:bidi="en-US"/>
        </w:rPr>
        <w:fldChar w:fldCharType="begin">
          <w:fldData xml:space="preserve">PEVuZE5vdGU+PENpdGUgRXhjbHVkZUF1dGg9IjEiPjxBdXRob3I+RW5naW5lZXI8L0F1dGhvcj48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PEVuZE5vdGU+PENpdGUgRXhjbHVkZUF1dGg9IjEiPjxBdXRob3I+RW5naW5lZXI8L0F1dGhvcj48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(2014)</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who also found the presence of EPF2 to be crucial for D responses to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However, the </w:t>
      </w:r>
      <w:r w:rsidRPr="003A48AB">
        <w:rPr>
          <w:rFonts w:ascii="Arial" w:eastAsia="Yu Mincho" w:hAnsi="Arial" w:cs="Arial"/>
          <w:i/>
          <w:lang w:eastAsia="en-US" w:bidi="en-US"/>
        </w:rPr>
        <w:t xml:space="preserve">er </w:t>
      </w:r>
      <w:r w:rsidRPr="003A48AB">
        <w:rPr>
          <w:rFonts w:ascii="Arial" w:eastAsia="Yu Mincho" w:hAnsi="Arial" w:cs="Arial"/>
          <w:lang w:eastAsia="en-US" w:bidi="en-US"/>
        </w:rPr>
        <w:t>response associated with response to high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found by Engineer and colleagues was not detected in this current study.</w:t>
      </w:r>
    </w:p>
    <w:p w14:paraId="19B1274A" w14:textId="77777777" w:rsidR="003A48AB" w:rsidRPr="003A48AB" w:rsidRDefault="003A48AB" w:rsidP="003A48AB">
      <w:pPr>
        <w:spacing w:after="160" w:line="360" w:lineRule="auto"/>
        <w:rPr>
          <w:rFonts w:ascii="Arial" w:eastAsia="Yu Mincho" w:hAnsi="Arial" w:cs="Arial"/>
          <w:lang w:eastAsia="en-US" w:bidi="en-US"/>
        </w:rPr>
      </w:pPr>
    </w:p>
    <w:p w14:paraId="3C3D02EC" w14:textId="77777777" w:rsidR="003A48AB" w:rsidRPr="003A48AB" w:rsidRDefault="003A48AB" w:rsidP="003A48AB">
      <w:pPr>
        <w:spacing w:after="160" w:line="360" w:lineRule="auto"/>
        <w:jc w:val="center"/>
        <w:rPr>
          <w:rFonts w:ascii="Arial" w:eastAsia="Yu Mincho" w:hAnsi="Arial" w:cs="Arial"/>
          <w:b/>
          <w:lang w:eastAsia="en-US" w:bidi="en-US"/>
        </w:rPr>
      </w:pPr>
      <w:r w:rsidRPr="003A48AB">
        <w:rPr>
          <w:rFonts w:ascii="Arial" w:eastAsia="Yu Mincho" w:hAnsi="Arial" w:cs="Arial"/>
          <w:b/>
          <w:noProof/>
          <w:lang w:eastAsia="ja-JP"/>
        </w:rPr>
        <w:lastRenderedPageBreak/>
        <w:drawing>
          <wp:inline distT="0" distB="0" distL="0" distR="0" wp14:anchorId="54AB32FF" wp14:editId="46D036F4">
            <wp:extent cx="5200650" cy="7286625"/>
            <wp:effectExtent l="0" t="0" r="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00650" cy="7286625"/>
                    </a:xfrm>
                    <a:prstGeom prst="rect">
                      <a:avLst/>
                    </a:prstGeom>
                    <a:noFill/>
                    <a:ln>
                      <a:noFill/>
                    </a:ln>
                  </pic:spPr>
                </pic:pic>
              </a:graphicData>
            </a:graphic>
          </wp:inline>
        </w:drawing>
      </w:r>
    </w:p>
    <w:p w14:paraId="0BA5E4B0"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b/>
          <w:lang w:eastAsia="en-US" w:bidi="en-US"/>
        </w:rPr>
        <w:t>Figure 8. Trends of Stomatal density (D) responses to light and CO</w:t>
      </w:r>
      <w:r w:rsidRPr="003A48AB">
        <w:rPr>
          <w:rFonts w:ascii="Arial" w:eastAsia="Yu Mincho" w:hAnsi="Arial" w:cs="Arial"/>
          <w:b/>
          <w:vertAlign w:val="subscript"/>
          <w:lang w:eastAsia="en-US" w:bidi="en-US"/>
        </w:rPr>
        <w:t xml:space="preserve">2 </w:t>
      </w:r>
      <w:r w:rsidRPr="003A48AB">
        <w:rPr>
          <w:rFonts w:ascii="Arial" w:eastAsia="Yu Mincho" w:hAnsi="Arial" w:cs="Arial"/>
          <w:b/>
          <w:lang w:eastAsia="en-US" w:bidi="en-US"/>
        </w:rPr>
        <w:t xml:space="preserve">in </w:t>
      </w:r>
      <w:r w:rsidRPr="003A48AB">
        <w:rPr>
          <w:rFonts w:ascii="Arial" w:eastAsia="Yu Mincho" w:hAnsi="Arial" w:cs="Arial"/>
          <w:b/>
          <w:i/>
          <w:lang w:eastAsia="en-US" w:bidi="en-US"/>
        </w:rPr>
        <w:t xml:space="preserve">Arabidopsis thaliana </w:t>
      </w:r>
      <w:r w:rsidRPr="003A48AB">
        <w:rPr>
          <w:rFonts w:ascii="Arial" w:eastAsia="Yu Mincho" w:hAnsi="Arial" w:cs="Arial"/>
          <w:b/>
          <w:lang w:eastAsia="en-US" w:bidi="en-US"/>
        </w:rPr>
        <w:t>Col-0</w:t>
      </w:r>
      <w:r w:rsidRPr="003A48AB">
        <w:rPr>
          <w:rFonts w:ascii="Arial" w:eastAsia="Yu Mincho" w:hAnsi="Arial" w:cs="Arial"/>
          <w:b/>
          <w:i/>
          <w:lang w:eastAsia="en-US" w:bidi="en-US"/>
        </w:rPr>
        <w:t xml:space="preserve"> </w:t>
      </w:r>
      <w:r w:rsidRPr="003A48AB">
        <w:rPr>
          <w:rFonts w:ascii="Arial" w:eastAsia="Yu Mincho" w:hAnsi="Arial" w:cs="Arial"/>
          <w:b/>
          <w:lang w:eastAsia="en-US" w:bidi="en-US"/>
        </w:rPr>
        <w:t>and various stomatal patterning mutant backgrounds</w:t>
      </w:r>
      <w:r w:rsidRPr="003A48AB">
        <w:rPr>
          <w:rFonts w:ascii="Arial" w:eastAsia="Yu Mincho" w:hAnsi="Arial" w:cs="Arial"/>
          <w:lang w:eastAsia="en-US" w:bidi="en-US"/>
        </w:rPr>
        <w:t>.</w:t>
      </w:r>
      <w:r w:rsidRPr="003A48AB">
        <w:rPr>
          <w:rFonts w:ascii="Arial" w:eastAsia="Yu Mincho" w:hAnsi="Arial" w:cs="Arial"/>
          <w:b/>
          <w:lang w:eastAsia="en-US" w:bidi="en-US"/>
        </w:rPr>
        <w:t xml:space="preserve"> </w:t>
      </w:r>
      <w:r w:rsidRPr="003A48AB">
        <w:rPr>
          <w:rFonts w:ascii="Arial" w:eastAsia="Yu Mincho" w:hAnsi="Arial" w:cs="Arial"/>
          <w:lang w:eastAsia="en-US" w:bidi="en-US"/>
        </w:rPr>
        <w:t>(</w:t>
      </w:r>
      <w:r w:rsidRPr="003A48AB">
        <w:rPr>
          <w:rFonts w:ascii="Arial" w:eastAsia="Yu Mincho" w:hAnsi="Arial" w:cs="Arial"/>
          <w:b/>
          <w:lang w:eastAsia="en-US" w:bidi="en-US"/>
        </w:rPr>
        <w:t>a</w:t>
      </w:r>
      <w:r w:rsidRPr="003A48AB">
        <w:rPr>
          <w:rFonts w:ascii="Arial" w:eastAsia="Yu Mincho" w:hAnsi="Arial" w:cs="Arial"/>
          <w:lang w:eastAsia="en-US" w:bidi="en-US"/>
        </w:rPr>
        <w:t>) Responses of stomatal D to different light intensities (170</w:t>
      </w:r>
      <w:r w:rsidRPr="003A48AB">
        <w:rPr>
          <w:rFonts w:ascii="Arial" w:eastAsia="Times New Roman" w:hAnsi="Arial" w:cs="Arial"/>
          <w:color w:val="000000"/>
          <w:lang w:eastAsia="en-US" w:bidi="en-US"/>
        </w:rPr>
        <w:t>µmol 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s</w:t>
      </w:r>
      <w:r w:rsidRPr="003A48AB">
        <w:rPr>
          <w:rFonts w:ascii="Arial" w:eastAsia="Times New Roman" w:hAnsi="Arial" w:cs="Arial"/>
          <w:color w:val="000000"/>
          <w:vertAlign w:val="superscript"/>
          <w:lang w:eastAsia="en-US" w:bidi="en-US"/>
        </w:rPr>
        <w:t>−1</w:t>
      </w:r>
      <w:r w:rsidRPr="003A48AB">
        <w:rPr>
          <w:rFonts w:ascii="Arial" w:eastAsia="Times New Roman" w:hAnsi="Arial" w:cs="Arial"/>
          <w:color w:val="000000"/>
          <w:lang w:eastAsia="en-US" w:bidi="en-US"/>
        </w:rPr>
        <w:t xml:space="preserve"> or </w:t>
      </w:r>
      <w:r w:rsidRPr="003A48AB">
        <w:rPr>
          <w:rFonts w:ascii="Arial" w:eastAsia="Yu Mincho" w:hAnsi="Arial" w:cs="Arial"/>
          <w:lang w:eastAsia="en-US" w:bidi="en-US"/>
        </w:rPr>
        <w:t>70</w:t>
      </w:r>
      <w:r w:rsidRPr="003A48AB">
        <w:rPr>
          <w:rFonts w:ascii="Arial" w:eastAsia="Times New Roman" w:hAnsi="Arial" w:cs="Arial"/>
          <w:color w:val="000000"/>
          <w:lang w:eastAsia="en-US" w:bidi="en-US"/>
        </w:rPr>
        <w:t>µmol 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s</w:t>
      </w:r>
      <w:r w:rsidRPr="003A48AB">
        <w:rPr>
          <w:rFonts w:ascii="Arial" w:eastAsia="Times New Roman" w:hAnsi="Arial" w:cs="Arial"/>
          <w:color w:val="000000"/>
          <w:vertAlign w:val="superscript"/>
          <w:lang w:eastAsia="en-US" w:bidi="en-US"/>
        </w:rPr>
        <w:t>−1</w:t>
      </w:r>
      <w:r w:rsidRPr="003A48AB">
        <w:rPr>
          <w:rFonts w:ascii="Arial" w:eastAsia="Times New Roman" w:hAnsi="Arial" w:cs="Arial"/>
          <w:color w:val="000000"/>
          <w:lang w:eastAsia="en-US" w:bidi="en-US"/>
        </w:rPr>
        <w:t>) and different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treatments (450ppm or 1000ppm) on the rosette</w:t>
      </w:r>
      <w:r w:rsidRPr="003A48AB">
        <w:rPr>
          <w:rFonts w:ascii="Arial" w:eastAsia="Times New Roman" w:hAnsi="Arial" w:cs="Arial"/>
          <w:color w:val="000000"/>
          <w:vertAlign w:val="superscript"/>
          <w:lang w:eastAsia="en-US" w:bidi="en-US"/>
        </w:rPr>
        <w:t xml:space="preserve"> </w:t>
      </w:r>
      <w:r w:rsidRPr="003A48AB">
        <w:rPr>
          <w:rFonts w:ascii="Arial" w:eastAsia="Yu Mincho" w:hAnsi="Arial" w:cs="Arial"/>
          <w:lang w:eastAsia="en-US" w:bidi="en-US"/>
        </w:rPr>
        <w:t>leaves of Col-0 and selected Epidermal patterning factor</w:t>
      </w:r>
      <w:r w:rsidRPr="003A48AB">
        <w:rPr>
          <w:rFonts w:ascii="Arial" w:eastAsia="Yu Mincho" w:hAnsi="Arial" w:cs="Arial"/>
          <w:i/>
          <w:lang w:eastAsia="en-US" w:bidi="en-US"/>
        </w:rPr>
        <w:t xml:space="preserve"> </w:t>
      </w:r>
      <w:r w:rsidRPr="003A48AB">
        <w:rPr>
          <w:rFonts w:ascii="Arial" w:eastAsia="Yu Mincho" w:hAnsi="Arial" w:cs="Arial"/>
          <w:lang w:eastAsia="en-US" w:bidi="en-US"/>
        </w:rPr>
        <w:t>mutants (</w:t>
      </w:r>
      <w:r w:rsidRPr="003A48AB">
        <w:rPr>
          <w:rFonts w:ascii="Arial" w:eastAsia="Yu Mincho" w:hAnsi="Arial" w:cs="Arial"/>
          <w:i/>
          <w:lang w:eastAsia="en-US" w:bidi="en-US"/>
        </w:rPr>
        <w:t>epf1, epf2, epf1epf2</w:t>
      </w:r>
      <w:r w:rsidRPr="003A48AB">
        <w:rPr>
          <w:rFonts w:ascii="Arial" w:eastAsia="Yu Mincho" w:hAnsi="Arial" w:cs="Arial"/>
          <w:lang w:eastAsia="en-US" w:bidi="en-US"/>
        </w:rPr>
        <w:t>). (</w:t>
      </w:r>
      <w:r w:rsidRPr="003A48AB">
        <w:rPr>
          <w:rFonts w:ascii="Arial" w:eastAsia="Yu Mincho" w:hAnsi="Arial" w:cs="Arial"/>
          <w:b/>
          <w:lang w:eastAsia="en-US" w:bidi="en-US"/>
        </w:rPr>
        <w:t>b</w:t>
      </w:r>
      <w:r w:rsidRPr="003A48AB">
        <w:rPr>
          <w:rFonts w:ascii="Arial" w:eastAsia="Yu Mincho" w:hAnsi="Arial" w:cs="Arial"/>
          <w:lang w:eastAsia="en-US" w:bidi="en-US"/>
        </w:rPr>
        <w:t>) Equivalent responses to (</w:t>
      </w:r>
      <w:r w:rsidRPr="003A48AB">
        <w:rPr>
          <w:rFonts w:ascii="Arial" w:eastAsia="Yu Mincho" w:hAnsi="Arial" w:cs="Arial"/>
          <w:b/>
          <w:lang w:eastAsia="en-US" w:bidi="en-US"/>
        </w:rPr>
        <w:t>a</w:t>
      </w:r>
      <w:r w:rsidRPr="003A48AB">
        <w:rPr>
          <w:rFonts w:ascii="Arial" w:eastAsia="Yu Mincho" w:hAnsi="Arial" w:cs="Arial"/>
          <w:lang w:eastAsia="en-US" w:bidi="en-US"/>
        </w:rPr>
        <w:t xml:space="preserve">) for </w:t>
      </w:r>
      <w:r w:rsidRPr="003A48AB">
        <w:rPr>
          <w:rFonts w:ascii="Arial" w:eastAsia="Yu Mincho" w:hAnsi="Arial" w:cs="Arial"/>
          <w:i/>
          <w:lang w:eastAsia="en-US" w:bidi="en-US"/>
        </w:rPr>
        <w:t xml:space="preserve">erl1, er </w:t>
      </w:r>
      <w:r w:rsidRPr="003A48AB">
        <w:rPr>
          <w:rFonts w:ascii="Arial" w:eastAsia="Yu Mincho" w:hAnsi="Arial" w:cs="Arial"/>
          <w:lang w:eastAsia="en-US" w:bidi="en-US"/>
        </w:rPr>
        <w:t xml:space="preserve">and </w:t>
      </w:r>
      <w:r w:rsidRPr="003A48AB">
        <w:rPr>
          <w:rFonts w:ascii="Arial" w:eastAsia="Yu Mincho" w:hAnsi="Arial" w:cs="Arial"/>
          <w:i/>
          <w:lang w:eastAsia="en-US" w:bidi="en-US"/>
        </w:rPr>
        <w:t xml:space="preserve">tmm </w:t>
      </w:r>
      <w:r w:rsidRPr="003A48AB">
        <w:rPr>
          <w:rFonts w:ascii="Arial" w:eastAsia="Yu Mincho" w:hAnsi="Arial" w:cs="Arial"/>
          <w:lang w:eastAsia="en-US" w:bidi="en-US"/>
        </w:rPr>
        <w:t xml:space="preserve">mutant background lines. To identify trends within a particular genotype individual </w:t>
      </w:r>
      <w:r w:rsidRPr="003A48AB">
        <w:rPr>
          <w:rFonts w:ascii="Arial" w:eastAsia="Yu Mincho" w:hAnsi="Arial" w:cs="Arial"/>
          <w:lang w:eastAsia="en-US" w:bidi="en-US"/>
        </w:rPr>
        <w:lastRenderedPageBreak/>
        <w:t>multiple comparison Two-way ANOVAs were performed to ascertain if significant differences between different light and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treatments were present. For each genotype, values marked with different letters represent differences that are significant to </w:t>
      </w:r>
      <w:r w:rsidRPr="003A48AB">
        <w:rPr>
          <w:rFonts w:ascii="Arial" w:eastAsia="Yu Mincho" w:hAnsi="Arial" w:cs="Arial"/>
          <w:i/>
          <w:lang w:eastAsia="en-US" w:bidi="en-US"/>
        </w:rPr>
        <w:t>P ≤</w:t>
      </w:r>
      <w:r w:rsidRPr="003A48AB">
        <w:rPr>
          <w:rFonts w:ascii="Arial" w:eastAsia="Yu Mincho" w:hAnsi="Arial" w:cs="Arial"/>
          <w:lang w:eastAsia="en-US" w:bidi="en-US"/>
        </w:rPr>
        <w:t xml:space="preserve"> 0.05. For visual purposes to compare trends in light and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response the wild-type Col-0 has been included in both (</w:t>
      </w:r>
      <w:r w:rsidRPr="003A48AB">
        <w:rPr>
          <w:rFonts w:ascii="Arial" w:eastAsia="Yu Mincho" w:hAnsi="Arial" w:cs="Arial"/>
          <w:b/>
          <w:lang w:eastAsia="en-US" w:bidi="en-US"/>
        </w:rPr>
        <w:t>a</w:t>
      </w:r>
      <w:r w:rsidRPr="003A48AB">
        <w:rPr>
          <w:rFonts w:ascii="Arial" w:eastAsia="Yu Mincho" w:hAnsi="Arial" w:cs="Arial"/>
          <w:lang w:eastAsia="en-US" w:bidi="en-US"/>
        </w:rPr>
        <w:t>) and (</w:t>
      </w:r>
      <w:r w:rsidRPr="003A48AB">
        <w:rPr>
          <w:rFonts w:ascii="Arial" w:eastAsia="Yu Mincho" w:hAnsi="Arial" w:cs="Arial"/>
          <w:b/>
          <w:lang w:eastAsia="en-US" w:bidi="en-US"/>
        </w:rPr>
        <w:t>b</w:t>
      </w:r>
      <w:r w:rsidRPr="003A48AB">
        <w:rPr>
          <w:rFonts w:ascii="Arial" w:eastAsia="Yu Mincho" w:hAnsi="Arial" w:cs="Arial"/>
          <w:lang w:eastAsia="en-US" w:bidi="en-US"/>
        </w:rPr>
        <w:t>). For each treatment, 4 or 5 plants of each line were analysed. Error bars = s.e.m.</w:t>
      </w:r>
    </w:p>
    <w:p w14:paraId="02D69B1A" w14:textId="4B9453E0" w:rsidR="003A48AB" w:rsidRPr="00476449" w:rsidRDefault="003A48AB" w:rsidP="003A48AB">
      <w:pPr>
        <w:spacing w:after="160" w:line="360" w:lineRule="auto"/>
        <w:rPr>
          <w:rFonts w:ascii="Arial" w:eastAsia="Yu Mincho" w:hAnsi="Arial" w:cs="Arial"/>
          <w:lang w:eastAsia="en-US" w:bidi="en-US"/>
        </w:rPr>
      </w:pPr>
      <w:r w:rsidRPr="003A48AB">
        <w:rPr>
          <w:rFonts w:ascii="Arial" w:eastAsia="Yu Mincho" w:hAnsi="Arial" w:cs="Arial"/>
          <w:u w:val="single"/>
          <w:lang w:eastAsia="en-US" w:bidi="en-US"/>
        </w:rPr>
        <w:t>5.2.6 Stomatal D responses to light and CO</w:t>
      </w:r>
      <w:r w:rsidRPr="003A48AB">
        <w:rPr>
          <w:rFonts w:ascii="Arial" w:eastAsia="Yu Mincho" w:hAnsi="Arial" w:cs="Arial"/>
          <w:u w:val="single"/>
          <w:vertAlign w:val="subscript"/>
          <w:lang w:eastAsia="en-US" w:bidi="en-US"/>
        </w:rPr>
        <w:t>2</w:t>
      </w:r>
      <w:r w:rsidRPr="003A48AB">
        <w:rPr>
          <w:rFonts w:ascii="Arial" w:eastAsia="Yu Mincho" w:hAnsi="Arial" w:cs="Arial"/>
          <w:u w:val="single"/>
          <w:lang w:eastAsia="en-US" w:bidi="en-US"/>
        </w:rPr>
        <w:t xml:space="preserve"> using large capsules of stomatal patterning mutants of </w:t>
      </w:r>
      <w:r w:rsidRPr="003A48AB">
        <w:rPr>
          <w:rFonts w:ascii="Arial" w:eastAsia="Yu Mincho" w:hAnsi="Arial" w:cs="Arial"/>
          <w:i/>
          <w:u w:val="single"/>
          <w:lang w:eastAsia="en-US" w:bidi="en-US"/>
        </w:rPr>
        <w:t>Physcomtirella patens</w:t>
      </w:r>
    </w:p>
    <w:p w14:paraId="7E08E8AB" w14:textId="6E22573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Having ascertained both via experimentation (</w:t>
      </w:r>
      <w:r w:rsidRPr="003A48AB">
        <w:rPr>
          <w:rFonts w:ascii="Arial" w:eastAsia="Yu Mincho" w:hAnsi="Arial" w:cs="Arial"/>
          <w:b/>
          <w:lang w:eastAsia="en-US" w:bidi="en-US"/>
        </w:rPr>
        <w:t>Fig. 8</w:t>
      </w:r>
      <w:r w:rsidRPr="003A48AB">
        <w:rPr>
          <w:rFonts w:ascii="Arial" w:eastAsia="Yu Mincho" w:hAnsi="Arial" w:cs="Arial"/>
          <w:lang w:eastAsia="en-US" w:bidi="en-US"/>
        </w:rPr>
        <w:t xml:space="preserve">) and through the work of others </w:t>
      </w:r>
      <w:r w:rsidRPr="003A48AB">
        <w:rPr>
          <w:rFonts w:ascii="Arial" w:eastAsia="Yu Mincho" w:hAnsi="Arial" w:cs="Arial"/>
          <w:lang w:eastAsia="en-US" w:bidi="en-US"/>
        </w:rPr>
        <w:fldChar w:fldCharType="begin">
          <w:fldData xml:space="preserve">PEVuZE5vdGU+PENpdGU+PEF1dGhvcj5FbmdpbmVlcjwvQXV0aG9yPjxZZWFyPjIwMTQ8L1llYXI+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PEVuZE5vdGU+PENpdGU+PEF1dGhvcj5FbmdpbmVlcjwvQXV0aG9yPjxZZWFyPjIwMTQ8L1llYXI+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(Engineer et al., 2014)</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that at the genetic level </w:t>
      </w:r>
      <w:r w:rsidRPr="003A48AB">
        <w:rPr>
          <w:rFonts w:ascii="Arial" w:eastAsia="Yu Mincho" w:hAnsi="Arial" w:cs="Arial"/>
          <w:i/>
          <w:lang w:eastAsia="en-US" w:bidi="en-US"/>
        </w:rPr>
        <w:t xml:space="preserve">Arabidopsis </w:t>
      </w:r>
      <w:r w:rsidRPr="003A48AB">
        <w:rPr>
          <w:rFonts w:ascii="Arial" w:eastAsia="Yu Mincho" w:hAnsi="Arial" w:cs="Arial"/>
          <w:lang w:eastAsia="en-US" w:bidi="en-US"/>
        </w:rPr>
        <w:t>uses EPF2 and potentially ERECTA (ER)  and ERL1 to modify D in response to being grown at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under certain light conditions, it was decided that similar experiments would be conducted on recently generated orthologous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 xml:space="preserve">stomatal patterning mutants at high light (see chapter 4) </w:t>
      </w:r>
      <w:r w:rsidRPr="003A48AB">
        <w:rPr>
          <w:rFonts w:ascii="Arial" w:eastAsia="Yu Mincho" w:hAnsi="Arial" w:cs="Arial"/>
          <w:lang w:eastAsia="en-US" w:bidi="en-US"/>
        </w:rPr>
        <w:fldChar w:fldCharType="begin"/>
      </w:r>
      <w:r w:rsidR="00DA38AC">
        <w:rPr>
          <w:rFonts w:ascii="Arial" w:eastAsia="Yu Mincho" w:hAnsi="Arial" w:cs="Arial"/>
          <w:lang w:eastAsia="en-US" w:bidi="en-US"/>
        </w:rPr>
        <w:instrText xml:space="preserve"> ADDIN EN.CITE &lt;EndNote&gt;&lt;Cite&gt;&lt;Author&gt;Caine&lt;/Author&gt;&lt;Year&gt;2016&lt;/Year&gt;&lt;IDText&gt;An ancestral stomatal patterning module revealed in the non-vascular land plant Physcomitrella patens&lt;/IDText&gt;&lt;DisplayText&gt;(Caine et al., 2016)&lt;/DisplayText&gt;&lt;record&gt;&lt;urls&gt;&lt;related-urls&gt;&lt;url&gt;http://dev.biologists.org/content/early/2016/06/09/dev.135038.abstract&lt;/url&gt;&lt;/related-urls&gt;&lt;/urls&gt;&lt;work-type&gt;10.1242/dev.135038&lt;/work-type&gt;&lt;titles&gt;&lt;title&gt;An ancestral stomatal patterning module revealed in the non-vascular land plant Physcomitrella patens&lt;/title&gt;&lt;secondary-title&gt;Development&lt;/secondary-title&gt;&lt;/titles&gt;&lt;contributors&gt;&lt;authors&gt;&lt;author&gt;Caine, Robert&lt;/author&gt;&lt;author&gt;Chater, Caspar C.&lt;/author&gt;&lt;author&gt;Kamisugi, Yasuko&lt;/author&gt;&lt;author&gt;Cuming, Andrew C.&lt;/author&gt;&lt;author&gt;Beerling, David J.&lt;/author&gt;&lt;author&gt;Gray, Julie E.&lt;/author&gt;&lt;author&gt;Fleming, Andrew J.&lt;/author&gt;&lt;/authors&gt;&lt;/contributors&gt;&lt;added-date format="utc"&gt;1468852925&lt;/added-date&gt;&lt;ref-type name="Journal Article"&gt;17&lt;/ref-type&gt;&lt;dates&gt;&lt;year&gt;2016&lt;/year&gt;&lt;/dates&gt;&lt;rec-number&gt;1317&lt;/rec-number&gt;&lt;last-updated-date format="utc"&gt;1468852925&lt;/last-updated-date&gt;&lt;/record&gt;&lt;/Cite&gt;&lt;/EndNote&gt;</w:instrText>
      </w:r>
      <w:r w:rsidRPr="003A48AB">
        <w:rPr>
          <w:rFonts w:ascii="Arial" w:eastAsia="Yu Mincho" w:hAnsi="Arial" w:cs="Arial"/>
          <w:lang w:eastAsia="en-US" w:bidi="en-US"/>
        </w:rPr>
        <w:fldChar w:fldCharType="separate"/>
      </w:r>
      <w:r w:rsidR="00DA38AC">
        <w:rPr>
          <w:rFonts w:ascii="Arial" w:eastAsia="Yu Mincho" w:hAnsi="Arial" w:cs="Arial"/>
          <w:noProof/>
          <w:lang w:eastAsia="en-US" w:bidi="en-US"/>
        </w:rPr>
        <w:t>(Caine et al., 2016)</w:t>
      </w:r>
      <w:r w:rsidRPr="003A48AB">
        <w:rPr>
          <w:rFonts w:ascii="Arial" w:eastAsia="Yu Mincho" w:hAnsi="Arial" w:cs="Arial"/>
          <w:lang w:eastAsia="en-US" w:bidi="en-US"/>
        </w:rPr>
        <w:fldChar w:fldCharType="end"/>
      </w:r>
      <w:r w:rsidRPr="003A48AB">
        <w:rPr>
          <w:rFonts w:ascii="Arial" w:eastAsia="Yu Mincho" w:hAnsi="Arial" w:cs="Arial"/>
          <w:lang w:eastAsia="en-US" w:bidi="en-US"/>
        </w:rPr>
        <w:t>. For these experiments only D was considered in relation to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stomatal developmental responses as the genetic mechanisms underpinning S responses were and still are currently unknown. For this experiment large fully expanded capsules were selected from each line for comparison.</w:t>
      </w:r>
    </w:p>
    <w:p w14:paraId="36D2D91E" w14:textId="0EAE5094"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lang w:eastAsia="en-US" w:bidi="en-US"/>
        </w:rPr>
        <w:t xml:space="preserve">If </w:t>
      </w:r>
      <w:r w:rsidRPr="003A48AB">
        <w:rPr>
          <w:rFonts w:ascii="Arial" w:eastAsia="Times New Roman" w:hAnsi="Arial" w:cs="Arial"/>
          <w:i/>
          <w:color w:val="000000"/>
          <w:lang w:eastAsia="en-US" w:bidi="en-US"/>
        </w:rPr>
        <w:t xml:space="preserve">P. patens </w:t>
      </w:r>
      <w:r w:rsidRPr="003A48AB">
        <w:rPr>
          <w:rFonts w:ascii="Arial" w:eastAsia="Times New Roman" w:hAnsi="Arial" w:cs="Arial"/>
          <w:color w:val="000000"/>
          <w:lang w:eastAsia="en-US" w:bidi="en-US"/>
        </w:rPr>
        <w:t xml:space="preserve">had mechanisms to regulate stomatal development akin to </w:t>
      </w:r>
      <w:r w:rsidRPr="003A48AB">
        <w:rPr>
          <w:rFonts w:ascii="Arial" w:eastAsia="Times New Roman" w:hAnsi="Arial" w:cs="Arial"/>
          <w:i/>
          <w:color w:val="000000"/>
          <w:lang w:eastAsia="en-US" w:bidi="en-US"/>
        </w:rPr>
        <w:t xml:space="preserve">EPF2 </w:t>
      </w:r>
      <w:r w:rsidRPr="003A48AB">
        <w:rPr>
          <w:rFonts w:ascii="Arial" w:eastAsia="Times New Roman" w:hAnsi="Arial" w:cs="Arial"/>
          <w:color w:val="000000"/>
          <w:lang w:eastAsia="en-US" w:bidi="en-US"/>
        </w:rPr>
        <w:t xml:space="preserve">in Arabidopsis </w:t>
      </w:r>
      <w:r w:rsidRPr="003A48AB">
        <w:rPr>
          <w:rFonts w:ascii="Arial" w:eastAsia="Times New Roman" w:hAnsi="Arial" w:cs="Arial"/>
          <w:color w:val="000000"/>
          <w:lang w:eastAsia="en-US" w:bidi="en-US"/>
        </w:rPr>
        <w:fldChar w:fldCharType="begin">
          <w:fldData xml:space="preserve">PEVuZE5vdGU+PENpdGU+PEF1dGhvcj5FbmdpbmVlcjwvQXV0aG9yPjxZZWFyPjIwMTQ8L1llYXI+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</w:fldData>
        </w:fldChar>
      </w:r>
      <w:r w:rsidR="00417B1E">
        <w:rPr>
          <w:rFonts w:ascii="Arial" w:eastAsia="Times New Roman" w:hAnsi="Arial" w:cs="Arial"/>
          <w:color w:val="000000"/>
          <w:lang w:eastAsia="en-US" w:bidi="en-US"/>
        </w:rPr>
        <w:instrText xml:space="preserve"> ADDIN EN.CITE </w:instrText>
      </w:r>
      <w:r w:rsidR="00417B1E">
        <w:rPr>
          <w:rFonts w:ascii="Arial" w:eastAsia="Times New Roman" w:hAnsi="Arial" w:cs="Arial"/>
          <w:color w:val="000000"/>
          <w:lang w:eastAsia="en-US" w:bidi="en-US"/>
        </w:rPr>
        <w:fldChar w:fldCharType="begin">
          <w:fldData xml:space="preserve">PEVuZE5vdGU+PENpdGU+PEF1dGhvcj5FbmdpbmVlcjwvQXV0aG9yPjxZZWFyPjIwMTQ8L1llYXI+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</w:fldData>
        </w:fldChar>
      </w:r>
      <w:r w:rsidR="00417B1E">
        <w:rPr>
          <w:rFonts w:ascii="Arial" w:eastAsia="Times New Roman" w:hAnsi="Arial" w:cs="Arial"/>
          <w:color w:val="000000"/>
          <w:lang w:eastAsia="en-US" w:bidi="en-US"/>
        </w:rPr>
        <w:instrText xml:space="preserve"> ADDIN EN.CITE.DATA </w:instrText>
      </w:r>
      <w:r w:rsidR="00417B1E">
        <w:rPr>
          <w:rFonts w:ascii="Arial" w:eastAsia="Times New Roman" w:hAnsi="Arial" w:cs="Arial"/>
          <w:color w:val="000000"/>
          <w:lang w:eastAsia="en-US" w:bidi="en-US"/>
        </w:rPr>
      </w:r>
      <w:r w:rsidR="00417B1E">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(Engineer et al., 2014)</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(also see above), then a research hypothesis would be that at HL, at elevated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w:t>
      </w:r>
      <w:r w:rsidR="00185388">
        <w:rPr>
          <w:rFonts w:ascii="Arial" w:eastAsia="Times New Roman" w:hAnsi="Arial" w:cs="Arial"/>
          <w:color w:val="000000"/>
          <w:lang w:eastAsia="en-US" w:bidi="en-US"/>
        </w:rPr>
        <w:t xml:space="preserve">the signalling peptide </w:t>
      </w:r>
      <w:r w:rsidRPr="003A48AB">
        <w:rPr>
          <w:rFonts w:ascii="Arial" w:eastAsia="Times New Roman" w:hAnsi="Arial" w:cs="Arial"/>
          <w:i/>
          <w:color w:val="000000"/>
          <w:lang w:eastAsia="en-US" w:bidi="en-US"/>
        </w:rPr>
        <w:t>PpEPF1</w:t>
      </w:r>
      <w:r w:rsidRPr="003A48AB">
        <w:rPr>
          <w:rFonts w:ascii="Arial" w:eastAsia="Times New Roman" w:hAnsi="Arial" w:cs="Arial"/>
          <w:color w:val="000000"/>
          <w:lang w:eastAsia="en-US" w:bidi="en-US"/>
        </w:rPr>
        <w:t xml:space="preserve"> is cleaved and becomes active leading to stomatal development being halted and less stomata being formed (less N). Therefore, plants grown at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without </w:t>
      </w:r>
      <w:r w:rsidRPr="003A48AB">
        <w:rPr>
          <w:rFonts w:ascii="Arial" w:eastAsia="Times New Roman" w:hAnsi="Arial" w:cs="Arial"/>
          <w:i/>
          <w:color w:val="000000"/>
          <w:lang w:eastAsia="en-US" w:bidi="en-US"/>
        </w:rPr>
        <w:t>PpEPF1</w:t>
      </w:r>
      <w:r w:rsidRPr="003A48AB">
        <w:rPr>
          <w:rFonts w:ascii="Arial" w:eastAsia="Times New Roman" w:hAnsi="Arial" w:cs="Arial"/>
          <w:color w:val="000000"/>
          <w:lang w:eastAsia="en-US" w:bidi="en-US"/>
        </w:rPr>
        <w:t xml:space="preserve"> might produce more stomata (a larger N) on their sporophytes than sporophytes grown at 450ppm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Such functioning therefore could also result in an increased D of stomata. In Arabidopsis, </w:t>
      </w:r>
      <w:r w:rsidRPr="003A48AB">
        <w:rPr>
          <w:rFonts w:ascii="Arial" w:eastAsia="Times New Roman" w:hAnsi="Arial" w:cs="Arial"/>
          <w:i/>
          <w:color w:val="000000"/>
          <w:lang w:eastAsia="en-US" w:bidi="en-US"/>
        </w:rPr>
        <w:t>TMM</w:t>
      </w:r>
      <w:r w:rsidRPr="003A48AB">
        <w:rPr>
          <w:rFonts w:ascii="Arial" w:eastAsia="Times New Roman" w:hAnsi="Arial" w:cs="Arial"/>
          <w:color w:val="000000"/>
          <w:lang w:eastAsia="en-US" w:bidi="en-US"/>
        </w:rPr>
        <w:t xml:space="preserve"> has been shown to be epistatic to </w:t>
      </w:r>
      <w:r w:rsidRPr="003A48AB">
        <w:rPr>
          <w:rFonts w:ascii="Arial" w:eastAsia="Times New Roman" w:hAnsi="Arial" w:cs="Arial"/>
          <w:i/>
          <w:color w:val="000000"/>
          <w:lang w:eastAsia="en-US" w:bidi="en-US"/>
        </w:rPr>
        <w:t xml:space="preserve">EPF2 </w:t>
      </w:r>
      <w:r w:rsidRPr="003A48AB">
        <w:rPr>
          <w:rFonts w:ascii="Arial" w:eastAsia="Times New Roman" w:hAnsi="Arial" w:cs="Arial"/>
          <w:color w:val="000000"/>
          <w:lang w:eastAsia="en-US" w:bidi="en-US"/>
        </w:rPr>
        <w:t xml:space="preserve">during normal stomatal development </w:t>
      </w:r>
      <w:r w:rsidRPr="003A48AB">
        <w:rPr>
          <w:rFonts w:ascii="Arial" w:eastAsia="Times New Roman" w:hAnsi="Arial" w:cs="Arial"/>
          <w:color w:val="000000"/>
          <w:lang w:eastAsia="en-US" w:bidi="en-US"/>
        </w:rPr>
        <w:fldChar w:fldCharType="begin"/>
      </w:r>
      <w:r w:rsidR="00417B1E">
        <w:rPr>
          <w:rFonts w:ascii="Arial" w:eastAsia="Times New Roman" w:hAnsi="Arial" w:cs="Arial"/>
          <w:color w:val="000000"/>
          <w:lang w:eastAsia="en-US" w:bidi="en-US"/>
        </w:rPr>
        <w:instrText xml:space="preserve"> ADDIN EN.CITE &lt;EndNote&gt;&lt;Cite&gt;&lt;Author&gt;Hunt&lt;/Author&gt;&lt;Year&gt;2009&lt;/Year&gt;&lt;IDText&gt;The Signaling Peptide EPF2 Controls Asymmetric Cell Divisions during Stomatal Development&lt;/IDText&gt;&lt;DisplayText&gt;(Hunt and Gray, 2009)&lt;/DisplayText&gt;&lt;record&gt;&lt;dates&gt;&lt;pub-dates&gt;&lt;date&gt;May&lt;/date&gt;&lt;/pub-dates&gt;&lt;year&gt;2009&lt;/year&gt;&lt;/dates&gt;&lt;keywords&gt;&lt;keyword&gt;ARABIDOPSIS-THALIANA&lt;/keyword&gt;&lt;keyword&gt;MEDIATED REGULATION&lt;/keyword&gt;&lt;keyword&gt;DIFFERENTIATION&lt;/keyword&gt;&lt;keyword&gt;TRANSFORMATION&lt;/keyword&gt;&lt;keyword&gt;KINASES&lt;/keyword&gt;&lt;keyword&gt;PLANTS&lt;/keyword&gt;&lt;keyword&gt;TAG&lt;/keyword&gt;&lt;/keywords&gt;&lt;urls&gt;&lt;related-urls&gt;&lt;url&gt;&amp;lt;Go to ISI&amp;gt;://WOS:000266469800029&lt;/url&gt;&lt;/related-urls&gt;&lt;/urls&gt;&lt;isbn&gt;0960-9822&lt;/isbn&gt;&lt;work-type&gt;Article&lt;/work-type&gt;&lt;titles&gt;&lt;title&gt;The Signaling Peptide EPF2 Controls Asymmetric Cell Divisions during Stomatal Development&lt;/title&gt;&lt;secondary-title&gt;Current Biology&lt;/secondary-title&gt;&lt;alt-title&gt;Curr. Biol.&lt;/alt-title&gt;&lt;/titles&gt;&lt;pages&gt;864-869&lt;/pages&gt;&lt;number&gt;10&lt;/number&gt;&lt;contributors&gt;&lt;authors&gt;&lt;author&gt;Hunt, L.&lt;/author&gt;&lt;author&gt;Gray, J. E.&lt;/author&gt;&lt;/authors&gt;&lt;/contributors&gt;&lt;language&gt;English&lt;/language&gt;&lt;added-date format="utc"&gt;1351502294&lt;/added-date&gt;&lt;ref-type name="Journal Article"&gt;17&lt;/ref-type&gt;&lt;auth-address&gt;[Hunt, Lee&amp;#xD;Gray, Julie E.] Univ Sheffield, Dept Mol Biol &amp;amp; Biotechnol, Western Bank, Sheffield S10 2TN, S Yorkshire, England.&amp;#xD;Gray, JE (reprint author), Univ Sheffield, Dept Mol Biol &amp;amp; Biotechnol, Western Bank, Sheffield S10 2TN, S Yorkshire, England.&amp;#xD;j.e.gray@sheffield.ac.uk&lt;/auth-address&gt;&lt;rec-number&gt;11&lt;/rec-number&gt;&lt;last-updated-date format="utc"&gt;1351502294&lt;/last-updated-date&gt;&lt;accession-num&gt;WOS:000266469800029&lt;/accession-num&gt;&lt;electronic-resource-num&gt;10.1016/j.cub.2009.03.069&lt;/electronic-resource-num&gt;&lt;volume&gt;19&lt;/volume&gt;&lt;/record&gt;&lt;/Cite&gt;&lt;/EndNote&gt;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(Hunt and Gray, 2009)</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and so when looking at large capsules a line of </w:t>
      </w:r>
      <w:r w:rsidRPr="003A48AB">
        <w:rPr>
          <w:rFonts w:ascii="Arial" w:eastAsia="Times New Roman" w:hAnsi="Arial" w:cs="Arial"/>
          <w:i/>
          <w:color w:val="000000"/>
          <w:lang w:eastAsia="en-US" w:bidi="en-US"/>
        </w:rPr>
        <w:t xml:space="preserve">pptmm </w:t>
      </w:r>
      <w:r w:rsidRPr="003A48AB">
        <w:rPr>
          <w:rFonts w:ascii="Arial" w:eastAsia="Times New Roman" w:hAnsi="Arial" w:cs="Arial"/>
          <w:color w:val="000000"/>
          <w:lang w:eastAsia="en-US" w:bidi="en-US"/>
        </w:rPr>
        <w:t xml:space="preserve">was also included. </w:t>
      </w:r>
    </w:p>
    <w:p w14:paraId="51E01B28" w14:textId="77777777"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lang w:eastAsia="en-US" w:bidi="en-US"/>
        </w:rPr>
        <w:t xml:space="preserve">The results obtained from the two lines of </w:t>
      </w:r>
      <w:r w:rsidRPr="003A48AB">
        <w:rPr>
          <w:rFonts w:ascii="Arial" w:eastAsia="Times New Roman" w:hAnsi="Arial" w:cs="Arial"/>
          <w:i/>
          <w:color w:val="000000"/>
          <w:lang w:eastAsia="en-US" w:bidi="en-US"/>
        </w:rPr>
        <w:t xml:space="preserve">ppepf1 </w:t>
      </w:r>
      <w:r w:rsidRPr="003A48AB">
        <w:rPr>
          <w:rFonts w:ascii="Arial" w:eastAsia="Times New Roman" w:hAnsi="Arial" w:cs="Arial"/>
          <w:color w:val="000000"/>
          <w:lang w:eastAsia="en-US" w:bidi="en-US"/>
        </w:rPr>
        <w:t>assayed provided somewhat variable results when large capsules from each treatment were analysed (</w:t>
      </w:r>
      <w:r w:rsidRPr="003A48AB">
        <w:rPr>
          <w:rFonts w:ascii="Arial" w:eastAsia="Times New Roman" w:hAnsi="Arial" w:cs="Arial"/>
          <w:b/>
          <w:color w:val="000000"/>
          <w:lang w:eastAsia="en-US" w:bidi="en-US"/>
        </w:rPr>
        <w:t>Fig. 9</w:t>
      </w:r>
      <w:r w:rsidRPr="003A48AB">
        <w:rPr>
          <w:rFonts w:ascii="Arial" w:eastAsia="Times New Roman" w:hAnsi="Arial" w:cs="Arial"/>
          <w:color w:val="000000"/>
          <w:lang w:eastAsia="en-US" w:bidi="en-US"/>
        </w:rPr>
        <w:t xml:space="preserve">). For N at LL, </w:t>
      </w:r>
      <w:r w:rsidRPr="003A48AB">
        <w:rPr>
          <w:rFonts w:ascii="Arial" w:eastAsia="Times New Roman" w:hAnsi="Arial" w:cs="Arial"/>
          <w:i/>
          <w:color w:val="000000"/>
          <w:lang w:eastAsia="en-US" w:bidi="en-US"/>
        </w:rPr>
        <w:t xml:space="preserve">ppepf1-1 </w:t>
      </w:r>
      <w:r w:rsidRPr="003A48AB">
        <w:rPr>
          <w:rFonts w:ascii="Arial" w:eastAsia="Times New Roman" w:hAnsi="Arial" w:cs="Arial"/>
          <w:color w:val="000000"/>
          <w:lang w:eastAsia="en-US" w:bidi="en-US"/>
        </w:rPr>
        <w:t>showed a significant increase at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compared to 450ppm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However, this may have been partly due to a large increase in one-dimensional capsule area size between the capsule treatments (</w:t>
      </w:r>
      <w:r w:rsidRPr="003A48AB">
        <w:rPr>
          <w:rFonts w:ascii="Arial" w:eastAsia="Times New Roman" w:hAnsi="Arial" w:cs="Arial"/>
          <w:b/>
          <w:color w:val="000000"/>
          <w:lang w:eastAsia="en-US" w:bidi="en-US"/>
        </w:rPr>
        <w:t>Fig. 9a</w:t>
      </w:r>
      <w:r w:rsidRPr="003A48AB">
        <w:rPr>
          <w:rFonts w:ascii="Arial" w:eastAsia="Times New Roman" w:hAnsi="Arial" w:cs="Arial"/>
          <w:color w:val="000000"/>
          <w:lang w:eastAsia="en-US" w:bidi="en-US"/>
        </w:rPr>
        <w:t xml:space="preserve"> and </w:t>
      </w:r>
      <w:r w:rsidRPr="003A48AB">
        <w:rPr>
          <w:rFonts w:ascii="Arial" w:eastAsia="Times New Roman" w:hAnsi="Arial" w:cs="Arial"/>
          <w:b/>
          <w:color w:val="000000"/>
          <w:lang w:eastAsia="en-US" w:bidi="en-US"/>
        </w:rPr>
        <w:t>9c</w:t>
      </w:r>
      <w:r w:rsidRPr="003A48AB">
        <w:rPr>
          <w:rFonts w:ascii="Arial" w:eastAsia="Times New Roman" w:hAnsi="Arial" w:cs="Arial"/>
          <w:color w:val="000000"/>
          <w:lang w:eastAsia="en-US" w:bidi="en-US"/>
        </w:rPr>
        <w:t xml:space="preserve">). For </w:t>
      </w:r>
      <w:r w:rsidRPr="003A48AB">
        <w:rPr>
          <w:rFonts w:ascii="Arial" w:eastAsia="Times New Roman" w:hAnsi="Arial" w:cs="Arial"/>
          <w:i/>
          <w:color w:val="000000"/>
          <w:lang w:eastAsia="en-US" w:bidi="en-US"/>
        </w:rPr>
        <w:t xml:space="preserve">ppepf1-2, </w:t>
      </w:r>
      <w:r w:rsidRPr="003A48AB">
        <w:rPr>
          <w:rFonts w:ascii="Arial" w:eastAsia="Times New Roman" w:hAnsi="Arial" w:cs="Arial"/>
          <w:color w:val="000000"/>
          <w:lang w:eastAsia="en-US" w:bidi="en-US"/>
        </w:rPr>
        <w:t>N at LL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did not increase akin to the trends seen in </w:t>
      </w:r>
      <w:r w:rsidRPr="003A48AB">
        <w:rPr>
          <w:rFonts w:ascii="Arial" w:eastAsia="Times New Roman" w:hAnsi="Arial" w:cs="Arial"/>
          <w:i/>
          <w:color w:val="000000"/>
          <w:lang w:eastAsia="en-US" w:bidi="en-US"/>
        </w:rPr>
        <w:t xml:space="preserve">ppefp1-1 </w:t>
      </w:r>
      <w:r w:rsidRPr="003A48AB">
        <w:rPr>
          <w:rFonts w:ascii="Arial" w:eastAsia="Times New Roman" w:hAnsi="Arial" w:cs="Arial"/>
          <w:color w:val="000000"/>
          <w:lang w:eastAsia="en-US" w:bidi="en-US"/>
        </w:rPr>
        <w:t xml:space="preserve">or the wild-type. Closer inspection of the capsules taken from both </w:t>
      </w:r>
      <w:r w:rsidRPr="003A48AB">
        <w:rPr>
          <w:rFonts w:ascii="Arial" w:eastAsia="Times New Roman" w:hAnsi="Arial" w:cs="Arial"/>
          <w:i/>
          <w:color w:val="000000"/>
          <w:lang w:eastAsia="en-US" w:bidi="en-US"/>
        </w:rPr>
        <w:t xml:space="preserve">ppefp1 </w:t>
      </w:r>
      <w:r w:rsidRPr="003A48AB">
        <w:rPr>
          <w:rFonts w:ascii="Arial" w:eastAsia="Times New Roman" w:hAnsi="Arial" w:cs="Arial"/>
          <w:color w:val="000000"/>
          <w:lang w:eastAsia="en-US" w:bidi="en-US"/>
        </w:rPr>
        <w:t>lines showed quite severe defects in the epidermis relative to wild-type on many of the capsules surveyed, which was particularly apparent at LL (</w:t>
      </w:r>
      <w:r w:rsidRPr="003A48AB">
        <w:rPr>
          <w:rFonts w:ascii="Arial" w:eastAsia="Times New Roman" w:hAnsi="Arial" w:cs="Arial"/>
          <w:b/>
          <w:color w:val="000000"/>
          <w:lang w:eastAsia="en-US" w:bidi="en-US"/>
        </w:rPr>
        <w:t>Fig. 10</w:t>
      </w:r>
      <w:r w:rsidRPr="003A48AB">
        <w:rPr>
          <w:rFonts w:ascii="Arial" w:eastAsia="Times New Roman" w:hAnsi="Arial" w:cs="Arial"/>
          <w:color w:val="000000"/>
          <w:lang w:eastAsia="en-US" w:bidi="en-US"/>
        </w:rPr>
        <w:t>). It is difficult therefore to interpret what the results mean from a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w:t>
      </w:r>
      <w:r w:rsidRPr="003A48AB">
        <w:rPr>
          <w:rFonts w:ascii="Arial" w:eastAsia="Times New Roman" w:hAnsi="Arial" w:cs="Arial"/>
          <w:color w:val="000000"/>
          <w:lang w:eastAsia="en-US" w:bidi="en-US"/>
        </w:rPr>
        <w:lastRenderedPageBreak/>
        <w:t xml:space="preserve">response perspective as the stomatal variation observed in </w:t>
      </w:r>
      <w:r w:rsidRPr="003A48AB">
        <w:rPr>
          <w:rFonts w:ascii="Arial" w:eastAsia="Times New Roman" w:hAnsi="Arial" w:cs="Arial"/>
          <w:i/>
          <w:color w:val="000000"/>
          <w:lang w:eastAsia="en-US" w:bidi="en-US"/>
        </w:rPr>
        <w:t xml:space="preserve">ppepf1 </w:t>
      </w:r>
      <w:r w:rsidRPr="003A48AB">
        <w:rPr>
          <w:rFonts w:ascii="Arial" w:eastAsia="Times New Roman" w:hAnsi="Arial" w:cs="Arial"/>
          <w:color w:val="000000"/>
          <w:lang w:eastAsia="en-US" w:bidi="en-US"/>
        </w:rPr>
        <w:t xml:space="preserve">lines may well have been partly due to breakdown in the integrity of capsule dermis during development which had a general knock-on effect on stomatal development and perhaps capsule development as well. </w:t>
      </w:r>
    </w:p>
    <w:p w14:paraId="1D7E9D68" w14:textId="77777777" w:rsidR="003A48AB" w:rsidRPr="003A48AB" w:rsidRDefault="003A48AB" w:rsidP="003A48AB">
      <w:pPr>
        <w:spacing w:after="160" w:line="360" w:lineRule="auto"/>
        <w:jc w:val="center"/>
        <w:rPr>
          <w:rFonts w:ascii="Arial" w:eastAsia="Yu Mincho" w:hAnsi="Arial" w:cs="Arial"/>
          <w:b/>
          <w:lang w:eastAsia="en-US" w:bidi="en-US"/>
        </w:rPr>
      </w:pPr>
      <w:r w:rsidRPr="003A48AB">
        <w:rPr>
          <w:rFonts w:ascii="Arial" w:eastAsia="Yu Mincho" w:hAnsi="Arial" w:cs="Arial"/>
          <w:b/>
          <w:noProof/>
          <w:lang w:eastAsia="ja-JP"/>
        </w:rPr>
        <w:drawing>
          <wp:inline distT="0" distB="0" distL="0" distR="0" wp14:anchorId="3CD91212" wp14:editId="6E9717CD">
            <wp:extent cx="4019550" cy="6981825"/>
            <wp:effectExtent l="0" t="0" r="0"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19550" cy="6981825"/>
                    </a:xfrm>
                    <a:prstGeom prst="rect">
                      <a:avLst/>
                    </a:prstGeom>
                    <a:noFill/>
                    <a:ln>
                      <a:noFill/>
                    </a:ln>
                  </pic:spPr>
                </pic:pic>
              </a:graphicData>
            </a:graphic>
          </wp:inline>
        </w:drawing>
      </w:r>
    </w:p>
    <w:p w14:paraId="1D696A63" w14:textId="6613540B"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b/>
          <w:lang w:eastAsia="en-US" w:bidi="en-US"/>
        </w:rPr>
        <w:t>Figure 9. Stomatal number (N), density (D) and one-dimensional capsule area responses of large-picked capsules to light and CO</w:t>
      </w:r>
      <w:r w:rsidRPr="003A48AB">
        <w:rPr>
          <w:rFonts w:ascii="Arial" w:eastAsia="Yu Mincho" w:hAnsi="Arial" w:cs="Arial"/>
          <w:b/>
          <w:vertAlign w:val="subscript"/>
          <w:lang w:eastAsia="en-US" w:bidi="en-US"/>
        </w:rPr>
        <w:t xml:space="preserve">2 </w:t>
      </w:r>
      <w:r w:rsidRPr="003A48AB">
        <w:rPr>
          <w:rFonts w:ascii="Arial" w:eastAsia="Yu Mincho" w:hAnsi="Arial" w:cs="Arial"/>
          <w:b/>
          <w:lang w:eastAsia="en-US" w:bidi="en-US"/>
        </w:rPr>
        <w:t xml:space="preserve">in </w:t>
      </w:r>
      <w:r w:rsidRPr="003A48AB">
        <w:rPr>
          <w:rFonts w:ascii="Arial" w:eastAsia="Yu Mincho" w:hAnsi="Arial" w:cs="Arial"/>
          <w:b/>
          <w:i/>
          <w:lang w:eastAsia="en-US" w:bidi="en-US"/>
        </w:rPr>
        <w:t xml:space="preserve">P. patens </w:t>
      </w:r>
      <w:r w:rsidRPr="003A48AB">
        <w:rPr>
          <w:rFonts w:ascii="Arial" w:eastAsia="Yu Mincho" w:hAnsi="Arial" w:cs="Arial"/>
          <w:b/>
          <w:lang w:eastAsia="en-US" w:bidi="en-US"/>
        </w:rPr>
        <w:t xml:space="preserve">in selected stomatal patterning mutants. </w:t>
      </w:r>
      <w:r w:rsidRPr="003A48AB">
        <w:rPr>
          <w:rFonts w:ascii="Arial" w:eastAsia="Yu Mincho" w:hAnsi="Arial" w:cs="Arial"/>
          <w:lang w:eastAsia="en-US" w:bidi="en-US"/>
        </w:rPr>
        <w:t>(</w:t>
      </w:r>
      <w:r w:rsidRPr="003A48AB">
        <w:rPr>
          <w:rFonts w:ascii="Arial" w:eastAsia="Yu Mincho" w:hAnsi="Arial" w:cs="Arial"/>
          <w:b/>
          <w:lang w:eastAsia="en-US" w:bidi="en-US"/>
        </w:rPr>
        <w:t>a</w:t>
      </w:r>
      <w:r w:rsidRPr="003A48AB">
        <w:rPr>
          <w:rFonts w:ascii="Arial" w:eastAsia="Yu Mincho" w:hAnsi="Arial" w:cs="Arial"/>
          <w:lang w:eastAsia="en-US" w:bidi="en-US"/>
        </w:rPr>
        <w:t>) Responses of sporophyte N to different light intensities (70</w:t>
      </w:r>
      <w:r w:rsidRPr="003A48AB">
        <w:rPr>
          <w:rFonts w:ascii="Arial" w:eastAsia="Times New Roman" w:hAnsi="Arial" w:cs="Arial"/>
          <w:color w:val="000000"/>
          <w:lang w:eastAsia="en-US" w:bidi="en-US"/>
        </w:rPr>
        <w:t xml:space="preserve">µmol </w:t>
      </w:r>
      <w:r w:rsidRPr="003A48AB">
        <w:rPr>
          <w:rFonts w:ascii="Arial" w:eastAsia="Times New Roman" w:hAnsi="Arial" w:cs="Arial"/>
          <w:color w:val="000000"/>
          <w:lang w:eastAsia="en-US" w:bidi="en-US"/>
        </w:rPr>
        <w:lastRenderedPageBreak/>
        <w:t>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s</w:t>
      </w:r>
      <w:r w:rsidRPr="003A48AB">
        <w:rPr>
          <w:rFonts w:ascii="Arial" w:eastAsia="Times New Roman" w:hAnsi="Arial" w:cs="Arial"/>
          <w:color w:val="000000"/>
          <w:vertAlign w:val="superscript"/>
          <w:lang w:eastAsia="en-US" w:bidi="en-US"/>
        </w:rPr>
        <w:t>−1</w:t>
      </w:r>
      <w:r w:rsidRPr="003A48AB">
        <w:rPr>
          <w:rFonts w:ascii="Arial" w:eastAsia="Times New Roman" w:hAnsi="Arial" w:cs="Arial"/>
          <w:color w:val="000000"/>
          <w:lang w:eastAsia="en-US" w:bidi="en-US"/>
        </w:rPr>
        <w:t xml:space="preserve"> or 1</w:t>
      </w:r>
      <w:r w:rsidRPr="003A48AB">
        <w:rPr>
          <w:rFonts w:ascii="Arial" w:eastAsia="Yu Mincho" w:hAnsi="Arial" w:cs="Arial"/>
          <w:lang w:eastAsia="en-US" w:bidi="en-US"/>
        </w:rPr>
        <w:t>70</w:t>
      </w:r>
      <w:r w:rsidRPr="003A48AB">
        <w:rPr>
          <w:rFonts w:ascii="Arial" w:eastAsia="Times New Roman" w:hAnsi="Arial" w:cs="Arial"/>
          <w:color w:val="000000"/>
          <w:lang w:eastAsia="en-US" w:bidi="en-US"/>
        </w:rPr>
        <w:t>µmol 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s</w:t>
      </w:r>
      <w:r w:rsidRPr="003A48AB">
        <w:rPr>
          <w:rFonts w:ascii="Arial" w:eastAsia="Times New Roman" w:hAnsi="Arial" w:cs="Arial"/>
          <w:color w:val="000000"/>
          <w:vertAlign w:val="superscript"/>
          <w:lang w:eastAsia="en-US" w:bidi="en-US"/>
        </w:rPr>
        <w:t>−1</w:t>
      </w:r>
      <w:r w:rsidRPr="003A48AB">
        <w:rPr>
          <w:rFonts w:ascii="Arial" w:eastAsia="Times New Roman" w:hAnsi="Arial" w:cs="Arial"/>
          <w:color w:val="000000"/>
          <w:lang w:eastAsia="en-US" w:bidi="en-US"/>
        </w:rPr>
        <w:t>)</w:t>
      </w:r>
      <w:r w:rsidRPr="003A48AB">
        <w:rPr>
          <w:rFonts w:ascii="Arial" w:eastAsia="Yu Mincho" w:hAnsi="Arial" w:cs="Arial"/>
          <w:lang w:eastAsia="en-US" w:bidi="en-US"/>
        </w:rPr>
        <w:t xml:space="preserve"> and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(450ppm or 1000ppm) in mature sporophyte capsules of wild-type, </w:t>
      </w:r>
      <w:r w:rsidRPr="003A48AB">
        <w:rPr>
          <w:rFonts w:ascii="Arial" w:eastAsia="Yu Mincho" w:hAnsi="Arial" w:cs="Arial"/>
          <w:i/>
          <w:lang w:eastAsia="en-US" w:bidi="en-US"/>
        </w:rPr>
        <w:t>ppepf1-1</w:t>
      </w:r>
      <w:r w:rsidRPr="003A48AB">
        <w:rPr>
          <w:rFonts w:ascii="Arial" w:eastAsia="Yu Mincho" w:hAnsi="Arial" w:cs="Arial"/>
          <w:lang w:eastAsia="en-US" w:bidi="en-US"/>
        </w:rPr>
        <w:t xml:space="preserve">, </w:t>
      </w:r>
      <w:r w:rsidRPr="003A48AB">
        <w:rPr>
          <w:rFonts w:ascii="Arial" w:eastAsia="Yu Mincho" w:hAnsi="Arial" w:cs="Arial"/>
          <w:i/>
          <w:lang w:eastAsia="en-US" w:bidi="en-US"/>
        </w:rPr>
        <w:t>ppepf1-2</w:t>
      </w:r>
      <w:r w:rsidRPr="003A48AB">
        <w:rPr>
          <w:rFonts w:ascii="Arial" w:eastAsia="Yu Mincho" w:hAnsi="Arial" w:cs="Arial"/>
          <w:lang w:eastAsia="en-US" w:bidi="en-US"/>
        </w:rPr>
        <w:t xml:space="preserve"> and </w:t>
      </w:r>
      <w:r w:rsidRPr="003A48AB">
        <w:rPr>
          <w:rFonts w:ascii="Arial" w:eastAsia="Yu Mincho" w:hAnsi="Arial" w:cs="Arial"/>
          <w:i/>
          <w:lang w:eastAsia="en-US" w:bidi="en-US"/>
        </w:rPr>
        <w:t>pptmm-1</w:t>
      </w:r>
      <w:r w:rsidRPr="003A48AB">
        <w:rPr>
          <w:rFonts w:ascii="Arial" w:eastAsia="Yu Mincho" w:hAnsi="Arial" w:cs="Arial"/>
          <w:lang w:eastAsia="en-US" w:bidi="en-US"/>
        </w:rPr>
        <w:t>. (</w:t>
      </w:r>
      <w:r w:rsidRPr="003A48AB">
        <w:rPr>
          <w:rFonts w:ascii="Arial" w:eastAsia="Yu Mincho" w:hAnsi="Arial" w:cs="Arial"/>
          <w:b/>
          <w:lang w:eastAsia="en-US" w:bidi="en-US"/>
        </w:rPr>
        <w:t>b</w:t>
      </w:r>
      <w:r w:rsidRPr="003A48AB">
        <w:rPr>
          <w:rFonts w:ascii="Arial" w:eastAsia="Yu Mincho" w:hAnsi="Arial" w:cs="Arial"/>
          <w:lang w:eastAsia="en-US" w:bidi="en-US"/>
        </w:rPr>
        <w:t>) Responses of D taken from capsules used in (</w:t>
      </w:r>
      <w:r w:rsidRPr="003A48AB">
        <w:rPr>
          <w:rFonts w:ascii="Arial" w:eastAsia="Yu Mincho" w:hAnsi="Arial" w:cs="Arial"/>
          <w:b/>
          <w:lang w:eastAsia="en-US" w:bidi="en-US"/>
        </w:rPr>
        <w:t>a</w:t>
      </w:r>
      <w:r w:rsidRPr="003A48AB">
        <w:rPr>
          <w:rFonts w:ascii="Arial" w:eastAsia="Yu Mincho" w:hAnsi="Arial" w:cs="Arial"/>
          <w:lang w:eastAsia="en-US" w:bidi="en-US"/>
        </w:rPr>
        <w:t>). (</w:t>
      </w:r>
      <w:r w:rsidRPr="003A48AB">
        <w:rPr>
          <w:rFonts w:ascii="Arial" w:eastAsia="Yu Mincho" w:hAnsi="Arial" w:cs="Arial"/>
          <w:b/>
          <w:lang w:eastAsia="en-US" w:bidi="en-US"/>
        </w:rPr>
        <w:t>c</w:t>
      </w:r>
      <w:r w:rsidRPr="003A48AB">
        <w:rPr>
          <w:rFonts w:ascii="Arial" w:eastAsia="Yu Mincho" w:hAnsi="Arial" w:cs="Arial"/>
          <w:lang w:eastAsia="en-US" w:bidi="en-US"/>
        </w:rPr>
        <w:t xml:space="preserve">) Sporophyte capsule one-dimensional area size (See also </w:t>
      </w:r>
      <w:r w:rsidRPr="003A48AB">
        <w:rPr>
          <w:rFonts w:ascii="Arial" w:eastAsia="Yu Mincho" w:hAnsi="Arial" w:cs="Arial"/>
          <w:b/>
          <w:lang w:eastAsia="en-US" w:bidi="en-US"/>
        </w:rPr>
        <w:t>Fig. 5</w:t>
      </w:r>
      <w:r w:rsidRPr="003A48AB">
        <w:rPr>
          <w:rFonts w:ascii="Arial" w:eastAsia="Yu Mincho" w:hAnsi="Arial" w:cs="Arial"/>
          <w:lang w:eastAsia="en-US" w:bidi="en-US"/>
        </w:rPr>
        <w:t>) of large capsules used in (</w:t>
      </w:r>
      <w:r w:rsidRPr="003A48AB">
        <w:rPr>
          <w:rFonts w:ascii="Arial" w:eastAsia="Yu Mincho" w:hAnsi="Arial" w:cs="Arial"/>
          <w:b/>
          <w:lang w:eastAsia="en-US" w:bidi="en-US"/>
        </w:rPr>
        <w:t>a</w:t>
      </w:r>
      <w:r w:rsidRPr="003A48AB">
        <w:rPr>
          <w:rFonts w:ascii="Arial" w:eastAsia="Yu Mincho" w:hAnsi="Arial" w:cs="Arial"/>
          <w:lang w:eastAsia="en-US" w:bidi="en-US"/>
        </w:rPr>
        <w:t>) and (</w:t>
      </w:r>
      <w:r w:rsidRPr="003A48AB">
        <w:rPr>
          <w:rFonts w:ascii="Arial" w:eastAsia="Yu Mincho" w:hAnsi="Arial" w:cs="Arial"/>
          <w:b/>
          <w:lang w:eastAsia="en-US" w:bidi="en-US"/>
        </w:rPr>
        <w:t>b</w:t>
      </w:r>
      <w:r w:rsidRPr="003A48AB">
        <w:rPr>
          <w:rFonts w:ascii="Arial" w:eastAsia="Yu Mincho" w:hAnsi="Arial" w:cs="Arial"/>
          <w:lang w:eastAsia="en-US" w:bidi="en-US"/>
        </w:rPr>
        <w:t>). For each line and for each type of measurement (N, D and capsule area size) a multiple comparisons Two-way ANOVA was conducted. Within each line, for each parameter measured the differential lettering indicates significant differences (</w:t>
      </w:r>
      <w:r w:rsidRPr="003A48AB">
        <w:rPr>
          <w:rFonts w:ascii="Arial" w:eastAsia="Yu Mincho" w:hAnsi="Arial" w:cs="Arial"/>
          <w:i/>
          <w:lang w:eastAsia="en-US" w:bidi="en-US"/>
        </w:rPr>
        <w:t xml:space="preserve">P ≤ </w:t>
      </w:r>
      <w:r w:rsidRPr="003A48AB">
        <w:rPr>
          <w:rFonts w:ascii="Arial" w:eastAsia="Yu Mincho" w:hAnsi="Arial" w:cs="Arial"/>
          <w:lang w:eastAsia="en-US" w:bidi="en-US"/>
        </w:rPr>
        <w:t>0.05) between treatments, not between lines. Th</w:t>
      </w:r>
      <w:r w:rsidR="00185388">
        <w:rPr>
          <w:rFonts w:ascii="Arial" w:eastAsia="Yu Mincho" w:hAnsi="Arial" w:cs="Arial"/>
          <w:lang w:eastAsia="en-US" w:bidi="en-US"/>
        </w:rPr>
        <w:t>is has been illustrated this way</w:t>
      </w:r>
      <w:r w:rsidRPr="003A48AB">
        <w:rPr>
          <w:rFonts w:ascii="Arial" w:eastAsia="Yu Mincho" w:hAnsi="Arial" w:cs="Arial"/>
          <w:lang w:eastAsia="en-US" w:bidi="en-US"/>
        </w:rPr>
        <w:t xml:space="preserve"> to indicate if responses to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and or light within a line have been effected which can then be compared between wild-type and mutant lines. For each treatment 8 sporophytes per treatment were measured. Error bars = s.e.m.</w:t>
      </w:r>
    </w:p>
    <w:p w14:paraId="70231601"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br w:type="page"/>
      </w:r>
    </w:p>
    <w:p w14:paraId="0D100D7E" w14:textId="77777777" w:rsidR="003A48AB" w:rsidRPr="003A48AB" w:rsidRDefault="003A48AB" w:rsidP="003A48AB">
      <w:pPr>
        <w:spacing w:after="160" w:line="360" w:lineRule="auto"/>
        <w:rPr>
          <w:rFonts w:ascii="Arial" w:eastAsia="Yu Mincho" w:hAnsi="Arial" w:cs="Arial"/>
          <w:lang w:eastAsia="en-US" w:bidi="en-US"/>
        </w:rPr>
      </w:pPr>
    </w:p>
    <w:p w14:paraId="3BE24841"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noProof/>
          <w:lang w:eastAsia="ja-JP"/>
        </w:rPr>
        <w:drawing>
          <wp:inline distT="0" distB="0" distL="0" distR="0" wp14:anchorId="3578F674" wp14:editId="3DE5444D">
            <wp:extent cx="5620871" cy="6810117"/>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25974" cy="6816300"/>
                    </a:xfrm>
                    <a:prstGeom prst="rect">
                      <a:avLst/>
                    </a:prstGeom>
                    <a:noFill/>
                    <a:ln>
                      <a:noFill/>
                    </a:ln>
                  </pic:spPr>
                </pic:pic>
              </a:graphicData>
            </a:graphic>
          </wp:inline>
        </w:drawing>
      </w:r>
    </w:p>
    <w:p w14:paraId="72FAC944"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b/>
          <w:lang w:eastAsia="en-US" w:bidi="en-US"/>
        </w:rPr>
        <w:t xml:space="preserve">Figure 10. Stacked and flattened images of wild-type and </w:t>
      </w:r>
      <w:r w:rsidRPr="003A48AB">
        <w:rPr>
          <w:rFonts w:ascii="Arial" w:eastAsia="Yu Mincho" w:hAnsi="Arial" w:cs="Arial"/>
          <w:b/>
          <w:i/>
          <w:lang w:eastAsia="en-US" w:bidi="en-US"/>
        </w:rPr>
        <w:t xml:space="preserve">ppepf1 </w:t>
      </w:r>
      <w:r w:rsidRPr="003A48AB">
        <w:rPr>
          <w:rFonts w:ascii="Arial" w:eastAsia="Yu Mincho" w:hAnsi="Arial" w:cs="Arial"/>
          <w:b/>
          <w:lang w:eastAsia="en-US" w:bidi="en-US"/>
        </w:rPr>
        <w:t>mutant line sporophyte capsules grown at LL under 450ppm and 1000pm CO</w:t>
      </w:r>
      <w:r w:rsidRPr="003A48AB">
        <w:rPr>
          <w:rFonts w:ascii="Arial" w:eastAsia="Yu Mincho" w:hAnsi="Arial" w:cs="Arial"/>
          <w:b/>
          <w:vertAlign w:val="subscript"/>
          <w:lang w:eastAsia="en-US" w:bidi="en-US"/>
        </w:rPr>
        <w:t>2</w:t>
      </w:r>
      <w:r w:rsidRPr="003A48AB">
        <w:rPr>
          <w:rFonts w:ascii="Arial" w:eastAsia="Yu Mincho" w:hAnsi="Arial" w:cs="Arial"/>
          <w:b/>
          <w:lang w:eastAsia="en-US" w:bidi="en-US"/>
        </w:rPr>
        <w:t xml:space="preserve"> concentration. </w:t>
      </w:r>
      <w:r w:rsidRPr="003A48AB">
        <w:rPr>
          <w:rFonts w:ascii="Arial" w:eastAsia="Yu Mincho" w:hAnsi="Arial" w:cs="Arial"/>
          <w:lang w:eastAsia="en-US" w:bidi="en-US"/>
        </w:rPr>
        <w:t>(</w:t>
      </w:r>
      <w:r w:rsidRPr="003A48AB">
        <w:rPr>
          <w:rFonts w:ascii="Arial" w:eastAsia="Yu Mincho" w:hAnsi="Arial" w:cs="Arial"/>
          <w:b/>
          <w:lang w:eastAsia="en-US" w:bidi="en-US"/>
        </w:rPr>
        <w:t>a</w:t>
      </w:r>
      <w:r w:rsidRPr="003A48AB">
        <w:rPr>
          <w:rFonts w:ascii="Arial" w:eastAsia="Yu Mincho" w:hAnsi="Arial" w:cs="Arial"/>
          <w:lang w:eastAsia="en-US" w:bidi="en-US"/>
        </w:rPr>
        <w:t>) LL Wild-type sporophyte capsule representative grown at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t>
      </w:r>
      <w:r w:rsidRPr="003A48AB">
        <w:rPr>
          <w:rFonts w:ascii="Arial" w:eastAsia="Yu Mincho" w:hAnsi="Arial" w:cs="Arial"/>
          <w:b/>
          <w:lang w:eastAsia="en-US" w:bidi="en-US"/>
        </w:rPr>
        <w:t>b</w:t>
      </w:r>
      <w:r w:rsidRPr="003A48AB">
        <w:rPr>
          <w:rFonts w:ascii="Arial" w:eastAsia="Yu Mincho" w:hAnsi="Arial" w:cs="Arial"/>
          <w:lang w:eastAsia="en-US" w:bidi="en-US"/>
        </w:rPr>
        <w:t>) LL Wild-type sporophyte capsule representative grown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t>
      </w:r>
      <w:r w:rsidRPr="003A48AB">
        <w:rPr>
          <w:rFonts w:ascii="Arial" w:eastAsia="Yu Mincho" w:hAnsi="Arial" w:cs="Arial"/>
          <w:b/>
          <w:lang w:eastAsia="en-US" w:bidi="en-US"/>
        </w:rPr>
        <w:t>c</w:t>
      </w:r>
      <w:r w:rsidRPr="003A48AB">
        <w:rPr>
          <w:rFonts w:ascii="Arial" w:eastAsia="Yu Mincho" w:hAnsi="Arial" w:cs="Arial"/>
          <w:lang w:eastAsia="en-US" w:bidi="en-US"/>
        </w:rPr>
        <w:t xml:space="preserve">) LL </w:t>
      </w:r>
      <w:r w:rsidRPr="003A48AB">
        <w:rPr>
          <w:rFonts w:ascii="Arial" w:eastAsia="Yu Mincho" w:hAnsi="Arial" w:cs="Arial"/>
          <w:i/>
          <w:lang w:eastAsia="en-US" w:bidi="en-US"/>
        </w:rPr>
        <w:t>ppefp1-1</w:t>
      </w:r>
      <w:r w:rsidRPr="003A48AB">
        <w:rPr>
          <w:rFonts w:ascii="Arial" w:eastAsia="Yu Mincho" w:hAnsi="Arial" w:cs="Arial"/>
          <w:lang w:eastAsia="en-US" w:bidi="en-US"/>
        </w:rPr>
        <w:t xml:space="preserve"> sporophyte capsule representative grown at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t>
      </w:r>
      <w:r w:rsidRPr="003A48AB">
        <w:rPr>
          <w:rFonts w:ascii="Arial" w:eastAsia="Yu Mincho" w:hAnsi="Arial" w:cs="Arial"/>
          <w:b/>
          <w:lang w:eastAsia="en-US" w:bidi="en-US"/>
        </w:rPr>
        <w:t>d</w:t>
      </w:r>
      <w:r w:rsidRPr="003A48AB">
        <w:rPr>
          <w:rFonts w:ascii="Arial" w:eastAsia="Yu Mincho" w:hAnsi="Arial" w:cs="Arial"/>
          <w:lang w:eastAsia="en-US" w:bidi="en-US"/>
        </w:rPr>
        <w:t xml:space="preserve">) LL </w:t>
      </w:r>
      <w:r w:rsidRPr="003A48AB">
        <w:rPr>
          <w:rFonts w:ascii="Arial" w:eastAsia="Yu Mincho" w:hAnsi="Arial" w:cs="Arial"/>
          <w:i/>
          <w:lang w:eastAsia="en-US" w:bidi="en-US"/>
        </w:rPr>
        <w:t>ppefp1-1</w:t>
      </w:r>
      <w:r w:rsidRPr="003A48AB">
        <w:rPr>
          <w:rFonts w:ascii="Arial" w:eastAsia="Yu Mincho" w:hAnsi="Arial" w:cs="Arial"/>
          <w:lang w:eastAsia="en-US" w:bidi="en-US"/>
        </w:rPr>
        <w:t xml:space="preserve"> sporophyte capsule representative grown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t>
      </w:r>
      <w:r w:rsidRPr="003A48AB">
        <w:rPr>
          <w:rFonts w:ascii="Arial" w:eastAsia="Yu Mincho" w:hAnsi="Arial" w:cs="Arial"/>
          <w:b/>
          <w:lang w:eastAsia="en-US" w:bidi="en-US"/>
        </w:rPr>
        <w:t>e</w:t>
      </w:r>
      <w:r w:rsidRPr="003A48AB">
        <w:rPr>
          <w:rFonts w:ascii="Arial" w:eastAsia="Yu Mincho" w:hAnsi="Arial" w:cs="Arial"/>
          <w:lang w:eastAsia="en-US" w:bidi="en-US"/>
        </w:rPr>
        <w:t xml:space="preserve">) LL </w:t>
      </w:r>
      <w:r w:rsidRPr="003A48AB">
        <w:rPr>
          <w:rFonts w:ascii="Arial" w:eastAsia="Yu Mincho" w:hAnsi="Arial" w:cs="Arial"/>
          <w:i/>
          <w:lang w:eastAsia="en-US" w:bidi="en-US"/>
        </w:rPr>
        <w:lastRenderedPageBreak/>
        <w:t xml:space="preserve">ppefp1-2 </w:t>
      </w:r>
      <w:r w:rsidRPr="003A48AB">
        <w:rPr>
          <w:rFonts w:ascii="Arial" w:eastAsia="Yu Mincho" w:hAnsi="Arial" w:cs="Arial"/>
          <w:lang w:eastAsia="en-US" w:bidi="en-US"/>
        </w:rPr>
        <w:t>sporophyte capsule representative grown at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t>
      </w:r>
      <w:r w:rsidRPr="003A48AB">
        <w:rPr>
          <w:rFonts w:ascii="Arial" w:eastAsia="Yu Mincho" w:hAnsi="Arial" w:cs="Arial"/>
          <w:b/>
          <w:lang w:eastAsia="en-US" w:bidi="en-US"/>
        </w:rPr>
        <w:t>f</w:t>
      </w:r>
      <w:r w:rsidRPr="003A48AB">
        <w:rPr>
          <w:rFonts w:ascii="Arial" w:eastAsia="Yu Mincho" w:hAnsi="Arial" w:cs="Arial"/>
          <w:lang w:eastAsia="en-US" w:bidi="en-US"/>
        </w:rPr>
        <w:t xml:space="preserve">) LL </w:t>
      </w:r>
      <w:r w:rsidRPr="003A48AB">
        <w:rPr>
          <w:rFonts w:ascii="Arial" w:eastAsia="Yu Mincho" w:hAnsi="Arial" w:cs="Arial"/>
          <w:i/>
          <w:lang w:eastAsia="en-US" w:bidi="en-US"/>
        </w:rPr>
        <w:t>ppefp1-2</w:t>
      </w:r>
      <w:r w:rsidRPr="003A48AB">
        <w:rPr>
          <w:rFonts w:ascii="Arial" w:eastAsia="Yu Mincho" w:hAnsi="Arial" w:cs="Arial"/>
          <w:lang w:eastAsia="en-US" w:bidi="en-US"/>
        </w:rPr>
        <w:t xml:space="preserve"> sporophyte capsule representative grown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Note for (</w:t>
      </w:r>
      <w:r w:rsidRPr="003A48AB">
        <w:rPr>
          <w:rFonts w:ascii="Arial" w:eastAsia="Yu Mincho" w:hAnsi="Arial" w:cs="Arial"/>
          <w:b/>
          <w:lang w:eastAsia="en-US" w:bidi="en-US"/>
        </w:rPr>
        <w:t>c-f</w:t>
      </w:r>
      <w:r w:rsidRPr="003A48AB">
        <w:rPr>
          <w:rFonts w:ascii="Arial" w:eastAsia="Yu Mincho" w:hAnsi="Arial" w:cs="Arial"/>
          <w:lang w:eastAsia="en-US" w:bidi="en-US"/>
        </w:rPr>
        <w:t>)</w:t>
      </w:r>
      <w:r w:rsidRPr="003A48AB">
        <w:rPr>
          <w:rFonts w:ascii="Arial" w:eastAsia="Yu Mincho" w:hAnsi="Arial" w:cs="Arial"/>
          <w:b/>
          <w:lang w:eastAsia="en-US" w:bidi="en-US"/>
        </w:rPr>
        <w:t xml:space="preserve"> </w:t>
      </w:r>
      <w:r w:rsidRPr="003A48AB">
        <w:rPr>
          <w:rFonts w:ascii="Arial" w:eastAsia="Yu Mincho" w:hAnsi="Arial" w:cs="Arial"/>
          <w:lang w:eastAsia="en-US" w:bidi="en-US"/>
        </w:rPr>
        <w:t xml:space="preserve">the darkened patches of epidermis where stomata have formed that had led to apparent breakdown. Such severe lesion-like occurrences did not occur in the wild-type which suggests that epidermal integrity was compromised in the </w:t>
      </w:r>
      <w:r w:rsidRPr="003A48AB">
        <w:rPr>
          <w:rFonts w:ascii="Arial" w:eastAsia="Yu Mincho" w:hAnsi="Arial" w:cs="Arial"/>
          <w:i/>
          <w:lang w:eastAsia="en-US" w:bidi="en-US"/>
        </w:rPr>
        <w:t xml:space="preserve">ppepf1 </w:t>
      </w:r>
      <w:r w:rsidRPr="003A48AB">
        <w:rPr>
          <w:rFonts w:ascii="Arial" w:eastAsia="Yu Mincho" w:hAnsi="Arial" w:cs="Arial"/>
          <w:lang w:eastAsia="en-US" w:bidi="en-US"/>
        </w:rPr>
        <w:t>lines particularly at LL. Scale bars equal 100µm.</w:t>
      </w:r>
    </w:p>
    <w:p w14:paraId="45A1B2B4" w14:textId="1C9DAEA1" w:rsidR="003A48AB" w:rsidRPr="003A48AB" w:rsidRDefault="003A48AB" w:rsidP="00476449">
      <w:pPr>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lang w:eastAsia="en-US" w:bidi="en-US"/>
        </w:rPr>
        <w:t xml:space="preserve">Experiments conducted at HL, like LL, resulted in some </w:t>
      </w:r>
      <w:r w:rsidRPr="003A48AB">
        <w:rPr>
          <w:rFonts w:ascii="Arial" w:eastAsia="Times New Roman" w:hAnsi="Arial" w:cs="Arial"/>
          <w:i/>
          <w:color w:val="000000"/>
          <w:lang w:eastAsia="en-US" w:bidi="en-US"/>
        </w:rPr>
        <w:t xml:space="preserve">ppepf1 </w:t>
      </w:r>
      <w:r w:rsidRPr="003A48AB">
        <w:rPr>
          <w:rFonts w:ascii="Arial" w:eastAsia="Times New Roman" w:hAnsi="Arial" w:cs="Arial"/>
          <w:color w:val="000000"/>
          <w:lang w:eastAsia="en-US" w:bidi="en-US"/>
        </w:rPr>
        <w:t>capsule deformities although this was not to the</w:t>
      </w:r>
      <w:r w:rsidR="00185388">
        <w:rPr>
          <w:rFonts w:ascii="Arial" w:eastAsia="Times New Roman" w:hAnsi="Arial" w:cs="Arial"/>
          <w:color w:val="000000"/>
          <w:lang w:eastAsia="en-US" w:bidi="en-US"/>
        </w:rPr>
        <w:t xml:space="preserve"> same</w:t>
      </w:r>
      <w:r w:rsidRPr="003A48AB">
        <w:rPr>
          <w:rFonts w:ascii="Arial" w:eastAsia="Times New Roman" w:hAnsi="Arial" w:cs="Arial"/>
          <w:color w:val="000000"/>
          <w:lang w:eastAsia="en-US" w:bidi="en-US"/>
        </w:rPr>
        <w:t xml:space="preserve"> extent as LL (</w:t>
      </w:r>
      <w:r w:rsidRPr="003A48AB">
        <w:rPr>
          <w:rFonts w:ascii="Arial" w:eastAsia="Times New Roman" w:hAnsi="Arial" w:cs="Arial"/>
          <w:b/>
          <w:color w:val="000000"/>
          <w:lang w:eastAsia="en-US" w:bidi="en-US"/>
        </w:rPr>
        <w:t>Fig. 11</w:t>
      </w:r>
      <w:r w:rsidRPr="003A48AB">
        <w:rPr>
          <w:rFonts w:ascii="Arial" w:eastAsia="Times New Roman" w:hAnsi="Arial" w:cs="Arial"/>
          <w:color w:val="000000"/>
          <w:lang w:eastAsia="en-US" w:bidi="en-US"/>
        </w:rPr>
        <w:t xml:space="preserve">).  For </w:t>
      </w:r>
      <w:r w:rsidRPr="003A48AB">
        <w:rPr>
          <w:rFonts w:ascii="Arial" w:eastAsia="Times New Roman" w:hAnsi="Arial" w:cs="Arial"/>
          <w:i/>
          <w:color w:val="000000"/>
          <w:lang w:eastAsia="en-US" w:bidi="en-US"/>
        </w:rPr>
        <w:t xml:space="preserve">ppepf1-2 </w:t>
      </w:r>
      <w:r w:rsidRPr="003A48AB">
        <w:rPr>
          <w:rFonts w:ascii="Arial" w:eastAsia="Times New Roman" w:hAnsi="Arial" w:cs="Arial"/>
          <w:color w:val="000000"/>
          <w:lang w:eastAsia="en-US" w:bidi="en-US"/>
        </w:rPr>
        <w:t>especially,</w:t>
      </w:r>
      <w:r w:rsidRPr="003A48AB">
        <w:rPr>
          <w:rFonts w:ascii="Arial" w:eastAsia="Times New Roman" w:hAnsi="Arial" w:cs="Arial"/>
          <w:i/>
          <w:color w:val="000000"/>
          <w:lang w:eastAsia="en-US" w:bidi="en-US"/>
        </w:rPr>
        <w:t xml:space="preserve"> </w:t>
      </w:r>
      <w:r w:rsidRPr="003A48AB">
        <w:rPr>
          <w:rFonts w:ascii="Arial" w:eastAsia="Times New Roman" w:hAnsi="Arial" w:cs="Arial"/>
          <w:color w:val="000000"/>
          <w:lang w:eastAsia="en-US" w:bidi="en-US"/>
        </w:rPr>
        <w:t>the HL 450ppm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grown sporophytes produced considerable variation which lead to vastly variable sporophyte N (</w:t>
      </w:r>
      <w:r w:rsidRPr="003A48AB">
        <w:rPr>
          <w:rFonts w:ascii="Arial" w:eastAsia="Times New Roman" w:hAnsi="Arial" w:cs="Arial"/>
          <w:b/>
          <w:color w:val="000000"/>
          <w:lang w:eastAsia="en-US" w:bidi="en-US"/>
        </w:rPr>
        <w:t xml:space="preserve">Fig. 9a </w:t>
      </w:r>
      <w:r w:rsidRPr="003A48AB">
        <w:rPr>
          <w:rFonts w:ascii="Arial" w:eastAsia="Times New Roman" w:hAnsi="Arial" w:cs="Arial"/>
          <w:color w:val="000000"/>
          <w:lang w:eastAsia="en-US" w:bidi="en-US"/>
        </w:rPr>
        <w:t xml:space="preserve">and </w:t>
      </w:r>
      <w:r w:rsidRPr="003A48AB">
        <w:rPr>
          <w:rFonts w:ascii="Arial" w:eastAsia="Times New Roman" w:hAnsi="Arial" w:cs="Arial"/>
          <w:b/>
          <w:color w:val="000000"/>
          <w:lang w:eastAsia="en-US" w:bidi="en-US"/>
        </w:rPr>
        <w:t>Fig. 11e</w:t>
      </w:r>
      <w:r w:rsidRPr="003A48AB">
        <w:rPr>
          <w:rFonts w:ascii="Arial" w:eastAsia="Times New Roman" w:hAnsi="Arial" w:cs="Arial"/>
          <w:color w:val="000000"/>
          <w:lang w:eastAsia="en-US" w:bidi="en-US"/>
        </w:rPr>
        <w:t xml:space="preserve">). In the case of the capsule exhibited in </w:t>
      </w:r>
      <w:r w:rsidRPr="003A48AB">
        <w:rPr>
          <w:rFonts w:ascii="Arial" w:eastAsia="Times New Roman" w:hAnsi="Arial" w:cs="Arial"/>
          <w:b/>
          <w:color w:val="000000"/>
          <w:lang w:eastAsia="en-US" w:bidi="en-US"/>
        </w:rPr>
        <w:t>Fig. 11e</w:t>
      </w:r>
      <w:r w:rsidRPr="003A48AB">
        <w:rPr>
          <w:rFonts w:ascii="Arial" w:eastAsia="Times New Roman" w:hAnsi="Arial" w:cs="Arial"/>
          <w:color w:val="000000"/>
          <w:lang w:eastAsia="en-US" w:bidi="en-US"/>
        </w:rPr>
        <w:t xml:space="preserve"> this led to 79 stomata forming on one capsule. Such large variation makes interpreting the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responses difficult but the following general points can be made; at HL, </w:t>
      </w:r>
      <w:r w:rsidRPr="003A48AB">
        <w:rPr>
          <w:rFonts w:ascii="Arial" w:eastAsia="Times New Roman" w:hAnsi="Arial" w:cs="Arial"/>
          <w:i/>
          <w:color w:val="000000"/>
          <w:lang w:eastAsia="en-US" w:bidi="en-US"/>
        </w:rPr>
        <w:t xml:space="preserve">ppepf1 </w:t>
      </w:r>
      <w:r w:rsidRPr="003A48AB">
        <w:rPr>
          <w:rFonts w:ascii="Arial" w:eastAsia="Times New Roman" w:hAnsi="Arial" w:cs="Arial"/>
          <w:color w:val="000000"/>
          <w:lang w:eastAsia="en-US" w:bidi="en-US"/>
        </w:rPr>
        <w:t>lines did not show large increases in N at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nor were large increases in D observed that might have indicated a repressive action of PpEPF1 at elevated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Interestingly, the </w:t>
      </w:r>
      <w:r w:rsidRPr="003A48AB">
        <w:rPr>
          <w:rFonts w:ascii="Arial" w:eastAsia="Times New Roman" w:hAnsi="Arial" w:cs="Arial"/>
          <w:i/>
          <w:color w:val="000000"/>
          <w:lang w:eastAsia="en-US" w:bidi="en-US"/>
        </w:rPr>
        <w:t xml:space="preserve">pptmm </w:t>
      </w:r>
      <w:r w:rsidRPr="003A48AB">
        <w:rPr>
          <w:rFonts w:ascii="Arial" w:eastAsia="Times New Roman" w:hAnsi="Arial" w:cs="Arial"/>
          <w:color w:val="000000"/>
          <w:lang w:eastAsia="en-US" w:bidi="en-US"/>
        </w:rPr>
        <w:t>line assayed produced no stomatal responses to either light or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when different treatments were compared (</w:t>
      </w:r>
      <w:r w:rsidRPr="003A48AB">
        <w:rPr>
          <w:rFonts w:ascii="Arial" w:eastAsia="Times New Roman" w:hAnsi="Arial" w:cs="Arial"/>
          <w:b/>
          <w:color w:val="000000"/>
          <w:lang w:eastAsia="en-US" w:bidi="en-US"/>
        </w:rPr>
        <w:t>Fig. 9a</w:t>
      </w:r>
      <w:r w:rsidRPr="003A48AB">
        <w:rPr>
          <w:rFonts w:ascii="Arial" w:eastAsia="Yu Mincho" w:hAnsi="Arial" w:cs="Arial"/>
          <w:lang w:eastAsia="en-US" w:bidi="en-US"/>
        </w:rPr>
        <w:t>-</w:t>
      </w:r>
      <w:r w:rsidRPr="003A48AB">
        <w:rPr>
          <w:rFonts w:ascii="Arial" w:eastAsia="Times New Roman" w:hAnsi="Arial" w:cs="Arial"/>
          <w:b/>
          <w:color w:val="000000"/>
          <w:lang w:eastAsia="en-US" w:bidi="en-US"/>
        </w:rPr>
        <w:t>b</w:t>
      </w:r>
      <w:r w:rsidRPr="003A48AB">
        <w:rPr>
          <w:rFonts w:ascii="Arial" w:eastAsia="Times New Roman" w:hAnsi="Arial" w:cs="Arial"/>
          <w:color w:val="000000"/>
          <w:lang w:eastAsia="en-US" w:bidi="en-US"/>
        </w:rPr>
        <w:t xml:space="preserve">). However, as only one </w:t>
      </w:r>
      <w:r w:rsidRPr="003A48AB">
        <w:rPr>
          <w:rFonts w:ascii="Arial" w:eastAsia="Times New Roman" w:hAnsi="Arial" w:cs="Arial"/>
          <w:i/>
          <w:color w:val="000000"/>
          <w:lang w:eastAsia="en-US" w:bidi="en-US"/>
        </w:rPr>
        <w:t xml:space="preserve">pptmm </w:t>
      </w:r>
      <w:r w:rsidRPr="003A48AB">
        <w:rPr>
          <w:rFonts w:ascii="Arial" w:eastAsia="Times New Roman" w:hAnsi="Arial" w:cs="Arial"/>
          <w:color w:val="000000"/>
          <w:lang w:eastAsia="en-US" w:bidi="en-US"/>
        </w:rPr>
        <w:t>line was used analysed these results should be observed with caution.</w:t>
      </w:r>
    </w:p>
    <w:p w14:paraId="6751834C" w14:textId="77777777" w:rsidR="003A48AB" w:rsidRPr="003A48AB" w:rsidRDefault="003A48AB" w:rsidP="003A48AB">
      <w:pPr>
        <w:spacing w:after="160" w:line="360" w:lineRule="auto"/>
        <w:rPr>
          <w:rFonts w:ascii="Arial" w:eastAsia="Yu Mincho" w:hAnsi="Arial" w:cs="Arial"/>
          <w:lang w:eastAsia="en-US" w:bidi="en-US"/>
        </w:rPr>
      </w:pPr>
    </w:p>
    <w:p w14:paraId="3D26E7A1" w14:textId="77777777" w:rsidR="003A48AB" w:rsidRPr="003A48AB" w:rsidRDefault="003A48AB" w:rsidP="008653D0">
      <w:pPr>
        <w:spacing w:after="160" w:line="360" w:lineRule="auto"/>
        <w:jc w:val="center"/>
        <w:rPr>
          <w:rFonts w:ascii="Arial" w:eastAsia="Yu Mincho" w:hAnsi="Arial" w:cs="Arial"/>
          <w:lang w:eastAsia="en-US" w:bidi="en-US"/>
        </w:rPr>
      </w:pPr>
      <w:r w:rsidRPr="003A48AB">
        <w:rPr>
          <w:rFonts w:ascii="Arial" w:eastAsia="Yu Mincho" w:hAnsi="Arial" w:cs="Arial"/>
          <w:noProof/>
          <w:lang w:eastAsia="ja-JP"/>
        </w:rPr>
        <w:lastRenderedPageBreak/>
        <w:drawing>
          <wp:inline distT="0" distB="0" distL="0" distR="0" wp14:anchorId="453C4738" wp14:editId="7DF3A2EC">
            <wp:extent cx="4908884" cy="6312886"/>
            <wp:effectExtent l="0" t="0" r="635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13291" cy="6318554"/>
                    </a:xfrm>
                    <a:prstGeom prst="rect">
                      <a:avLst/>
                    </a:prstGeom>
                    <a:noFill/>
                    <a:ln>
                      <a:noFill/>
                    </a:ln>
                  </pic:spPr>
                </pic:pic>
              </a:graphicData>
            </a:graphic>
          </wp:inline>
        </w:drawing>
      </w:r>
    </w:p>
    <w:p w14:paraId="1890F058"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b/>
          <w:lang w:eastAsia="en-US" w:bidi="en-US"/>
        </w:rPr>
        <w:t xml:space="preserve">Figure 11. Stacked and flattened images of wild-type and </w:t>
      </w:r>
      <w:r w:rsidRPr="003A48AB">
        <w:rPr>
          <w:rFonts w:ascii="Arial" w:eastAsia="Yu Mincho" w:hAnsi="Arial" w:cs="Arial"/>
          <w:b/>
          <w:i/>
          <w:lang w:eastAsia="en-US" w:bidi="en-US"/>
        </w:rPr>
        <w:t xml:space="preserve">ppepf1 </w:t>
      </w:r>
      <w:r w:rsidRPr="003A48AB">
        <w:rPr>
          <w:rFonts w:ascii="Arial" w:eastAsia="Yu Mincho" w:hAnsi="Arial" w:cs="Arial"/>
          <w:b/>
          <w:lang w:eastAsia="en-US" w:bidi="en-US"/>
        </w:rPr>
        <w:t>mutant line sporophyte capsules grown at HL under 450ppm and 1000pm CO</w:t>
      </w:r>
      <w:r w:rsidRPr="003A48AB">
        <w:rPr>
          <w:rFonts w:ascii="Arial" w:eastAsia="Yu Mincho" w:hAnsi="Arial" w:cs="Arial"/>
          <w:b/>
          <w:vertAlign w:val="subscript"/>
          <w:lang w:eastAsia="en-US" w:bidi="en-US"/>
        </w:rPr>
        <w:t>2</w:t>
      </w:r>
      <w:r w:rsidRPr="003A48AB">
        <w:rPr>
          <w:rFonts w:ascii="Arial" w:eastAsia="Yu Mincho" w:hAnsi="Arial" w:cs="Arial"/>
          <w:b/>
          <w:lang w:eastAsia="en-US" w:bidi="en-US"/>
        </w:rPr>
        <w:t xml:space="preserve"> concentration. </w:t>
      </w:r>
      <w:r w:rsidRPr="003A48AB">
        <w:rPr>
          <w:rFonts w:ascii="Arial" w:eastAsia="Yu Mincho" w:hAnsi="Arial" w:cs="Arial"/>
          <w:lang w:eastAsia="en-US" w:bidi="en-US"/>
        </w:rPr>
        <w:t>(</w:t>
      </w:r>
      <w:r w:rsidRPr="003A48AB">
        <w:rPr>
          <w:rFonts w:ascii="Arial" w:eastAsia="Yu Mincho" w:hAnsi="Arial" w:cs="Arial"/>
          <w:b/>
          <w:lang w:eastAsia="en-US" w:bidi="en-US"/>
        </w:rPr>
        <w:t>a</w:t>
      </w:r>
      <w:r w:rsidRPr="003A48AB">
        <w:rPr>
          <w:rFonts w:ascii="Arial" w:eastAsia="Yu Mincho" w:hAnsi="Arial" w:cs="Arial"/>
          <w:lang w:eastAsia="en-US" w:bidi="en-US"/>
        </w:rPr>
        <w:t>) HL Wild-type sporophyte capsule representative grown at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t>
      </w:r>
      <w:r w:rsidRPr="003A48AB">
        <w:rPr>
          <w:rFonts w:ascii="Arial" w:eastAsia="Yu Mincho" w:hAnsi="Arial" w:cs="Arial"/>
          <w:b/>
          <w:lang w:eastAsia="en-US" w:bidi="en-US"/>
        </w:rPr>
        <w:t>b</w:t>
      </w:r>
      <w:r w:rsidRPr="003A48AB">
        <w:rPr>
          <w:rFonts w:ascii="Arial" w:eastAsia="Yu Mincho" w:hAnsi="Arial" w:cs="Arial"/>
          <w:lang w:eastAsia="en-US" w:bidi="en-US"/>
        </w:rPr>
        <w:t>) HL Wild-type sporophyte capsule representative grown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t>
      </w:r>
      <w:r w:rsidRPr="003A48AB">
        <w:rPr>
          <w:rFonts w:ascii="Arial" w:eastAsia="Yu Mincho" w:hAnsi="Arial" w:cs="Arial"/>
          <w:b/>
          <w:lang w:eastAsia="en-US" w:bidi="en-US"/>
        </w:rPr>
        <w:t>c</w:t>
      </w:r>
      <w:r w:rsidRPr="003A48AB">
        <w:rPr>
          <w:rFonts w:ascii="Arial" w:eastAsia="Yu Mincho" w:hAnsi="Arial" w:cs="Arial"/>
          <w:lang w:eastAsia="en-US" w:bidi="en-US"/>
        </w:rPr>
        <w:t xml:space="preserve">) HL </w:t>
      </w:r>
      <w:r w:rsidRPr="003A48AB">
        <w:rPr>
          <w:rFonts w:ascii="Arial" w:eastAsia="Yu Mincho" w:hAnsi="Arial" w:cs="Arial"/>
          <w:i/>
          <w:lang w:eastAsia="en-US" w:bidi="en-US"/>
        </w:rPr>
        <w:t>ppefp1-1</w:t>
      </w:r>
      <w:r w:rsidRPr="003A48AB">
        <w:rPr>
          <w:rFonts w:ascii="Arial" w:eastAsia="Yu Mincho" w:hAnsi="Arial" w:cs="Arial"/>
          <w:lang w:eastAsia="en-US" w:bidi="en-US"/>
        </w:rPr>
        <w:t xml:space="preserve"> sporophyte capsule representative grown at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t>
      </w:r>
      <w:r w:rsidRPr="003A48AB">
        <w:rPr>
          <w:rFonts w:ascii="Arial" w:eastAsia="Yu Mincho" w:hAnsi="Arial" w:cs="Arial"/>
          <w:b/>
          <w:lang w:eastAsia="en-US" w:bidi="en-US"/>
        </w:rPr>
        <w:t>d</w:t>
      </w:r>
      <w:r w:rsidRPr="003A48AB">
        <w:rPr>
          <w:rFonts w:ascii="Arial" w:eastAsia="Yu Mincho" w:hAnsi="Arial" w:cs="Arial"/>
          <w:lang w:eastAsia="en-US" w:bidi="en-US"/>
        </w:rPr>
        <w:t xml:space="preserve">) HL </w:t>
      </w:r>
      <w:r w:rsidRPr="003A48AB">
        <w:rPr>
          <w:rFonts w:ascii="Arial" w:eastAsia="Yu Mincho" w:hAnsi="Arial" w:cs="Arial"/>
          <w:i/>
          <w:lang w:eastAsia="en-US" w:bidi="en-US"/>
        </w:rPr>
        <w:t>ppefp1-1</w:t>
      </w:r>
      <w:r w:rsidRPr="003A48AB">
        <w:rPr>
          <w:rFonts w:ascii="Arial" w:eastAsia="Yu Mincho" w:hAnsi="Arial" w:cs="Arial"/>
          <w:lang w:eastAsia="en-US" w:bidi="en-US"/>
        </w:rPr>
        <w:t xml:space="preserve"> sporophyte capsule representative grown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t>
      </w:r>
      <w:r w:rsidRPr="003A48AB">
        <w:rPr>
          <w:rFonts w:ascii="Arial" w:eastAsia="Yu Mincho" w:hAnsi="Arial" w:cs="Arial"/>
          <w:b/>
          <w:lang w:eastAsia="en-US" w:bidi="en-US"/>
        </w:rPr>
        <w:t>e</w:t>
      </w:r>
      <w:r w:rsidRPr="003A48AB">
        <w:rPr>
          <w:rFonts w:ascii="Arial" w:eastAsia="Yu Mincho" w:hAnsi="Arial" w:cs="Arial"/>
          <w:lang w:eastAsia="en-US" w:bidi="en-US"/>
        </w:rPr>
        <w:t xml:space="preserve">) HL </w:t>
      </w:r>
      <w:r w:rsidRPr="003A48AB">
        <w:rPr>
          <w:rFonts w:ascii="Arial" w:eastAsia="Yu Mincho" w:hAnsi="Arial" w:cs="Arial"/>
          <w:i/>
          <w:lang w:eastAsia="en-US" w:bidi="en-US"/>
        </w:rPr>
        <w:t xml:space="preserve">ppefp1-2 </w:t>
      </w:r>
      <w:r w:rsidRPr="003A48AB">
        <w:rPr>
          <w:rFonts w:ascii="Arial" w:eastAsia="Yu Mincho" w:hAnsi="Arial" w:cs="Arial"/>
          <w:lang w:eastAsia="en-US" w:bidi="en-US"/>
        </w:rPr>
        <w:t>sporophyte capsule representative grown at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t>
      </w:r>
      <w:r w:rsidRPr="003A48AB">
        <w:rPr>
          <w:rFonts w:ascii="Arial" w:eastAsia="Yu Mincho" w:hAnsi="Arial" w:cs="Arial"/>
          <w:b/>
          <w:lang w:eastAsia="en-US" w:bidi="en-US"/>
        </w:rPr>
        <w:t>f</w:t>
      </w:r>
      <w:r w:rsidRPr="003A48AB">
        <w:rPr>
          <w:rFonts w:ascii="Arial" w:eastAsia="Yu Mincho" w:hAnsi="Arial" w:cs="Arial"/>
          <w:lang w:eastAsia="en-US" w:bidi="en-US"/>
        </w:rPr>
        <w:t xml:space="preserve">) HL </w:t>
      </w:r>
      <w:r w:rsidRPr="003A48AB">
        <w:rPr>
          <w:rFonts w:ascii="Arial" w:eastAsia="Yu Mincho" w:hAnsi="Arial" w:cs="Arial"/>
          <w:i/>
          <w:lang w:eastAsia="en-US" w:bidi="en-US"/>
        </w:rPr>
        <w:t>ppefp1-2</w:t>
      </w:r>
      <w:r w:rsidRPr="003A48AB">
        <w:rPr>
          <w:rFonts w:ascii="Arial" w:eastAsia="Yu Mincho" w:hAnsi="Arial" w:cs="Arial"/>
          <w:lang w:eastAsia="en-US" w:bidi="en-US"/>
        </w:rPr>
        <w:t xml:space="preserve"> sporophyte capsule representative grown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For HL treatments the formation of lesion-like patches still sometimes </w:t>
      </w:r>
      <w:r w:rsidR="008A2B4A" w:rsidRPr="003A48AB">
        <w:rPr>
          <w:rFonts w:ascii="Arial" w:eastAsia="Yu Mincho" w:hAnsi="Arial" w:cs="Arial"/>
          <w:lang w:eastAsia="en-US" w:bidi="en-US"/>
        </w:rPr>
        <w:t>occurred</w:t>
      </w:r>
      <w:r w:rsidRPr="003A48AB">
        <w:rPr>
          <w:rFonts w:ascii="Arial" w:eastAsia="Yu Mincho" w:hAnsi="Arial" w:cs="Arial"/>
          <w:lang w:eastAsia="en-US" w:bidi="en-US"/>
        </w:rPr>
        <w:t xml:space="preserve"> on </w:t>
      </w:r>
      <w:r w:rsidRPr="003A48AB">
        <w:rPr>
          <w:rFonts w:ascii="Arial" w:eastAsia="Yu Mincho" w:hAnsi="Arial" w:cs="Arial"/>
          <w:i/>
          <w:lang w:eastAsia="en-US" w:bidi="en-US"/>
        </w:rPr>
        <w:t xml:space="preserve">ppepf1 </w:t>
      </w:r>
      <w:r w:rsidRPr="003A48AB">
        <w:rPr>
          <w:rFonts w:ascii="Arial" w:eastAsia="Yu Mincho" w:hAnsi="Arial" w:cs="Arial"/>
          <w:lang w:eastAsia="en-US" w:bidi="en-US"/>
        </w:rPr>
        <w:t xml:space="preserve">lines but </w:t>
      </w:r>
      <w:r w:rsidRPr="003A48AB">
        <w:rPr>
          <w:rFonts w:ascii="Arial" w:eastAsia="Yu Mincho" w:hAnsi="Arial" w:cs="Arial"/>
          <w:lang w:eastAsia="en-US" w:bidi="en-US"/>
        </w:rPr>
        <w:lastRenderedPageBreak/>
        <w:t>not as often as in LL grown capsules (</w:t>
      </w:r>
      <w:r w:rsidRPr="003A48AB">
        <w:rPr>
          <w:rFonts w:ascii="Arial" w:eastAsia="Yu Mincho" w:hAnsi="Arial" w:cs="Arial"/>
          <w:b/>
          <w:lang w:eastAsia="en-US" w:bidi="en-US"/>
        </w:rPr>
        <w:t>Fig. 10</w:t>
      </w:r>
      <w:r w:rsidRPr="003A48AB">
        <w:rPr>
          <w:rFonts w:ascii="Arial" w:eastAsia="Yu Mincho" w:hAnsi="Arial" w:cs="Arial"/>
          <w:lang w:eastAsia="en-US" w:bidi="en-US"/>
        </w:rPr>
        <w:t>). In (</w:t>
      </w:r>
      <w:r w:rsidRPr="003A48AB">
        <w:rPr>
          <w:rFonts w:ascii="Arial" w:eastAsia="Yu Mincho" w:hAnsi="Arial" w:cs="Arial"/>
          <w:b/>
          <w:lang w:eastAsia="en-US" w:bidi="en-US"/>
        </w:rPr>
        <w:t>e</w:t>
      </w:r>
      <w:r w:rsidRPr="003A48AB">
        <w:rPr>
          <w:rFonts w:ascii="Arial" w:eastAsia="Yu Mincho" w:hAnsi="Arial" w:cs="Arial"/>
          <w:lang w:eastAsia="en-US" w:bidi="en-US"/>
        </w:rPr>
        <w:t>)</w:t>
      </w:r>
      <w:r w:rsidRPr="003A48AB">
        <w:rPr>
          <w:rFonts w:ascii="Arial" w:eastAsia="Yu Mincho" w:hAnsi="Arial" w:cs="Arial"/>
          <w:b/>
          <w:lang w:eastAsia="en-US" w:bidi="en-US"/>
        </w:rPr>
        <w:t xml:space="preserve"> </w:t>
      </w:r>
      <w:r w:rsidRPr="003A48AB">
        <w:rPr>
          <w:rFonts w:ascii="Arial" w:eastAsia="Yu Mincho" w:hAnsi="Arial" w:cs="Arial"/>
          <w:lang w:eastAsia="en-US" w:bidi="en-US"/>
        </w:rPr>
        <w:t>79 stomata formed leading to large variation of stomatal number for this line. Scale bars equal 100µm.</w:t>
      </w:r>
    </w:p>
    <w:p w14:paraId="0B61262E" w14:textId="77777777" w:rsidR="003A48AB" w:rsidRPr="003A48AB" w:rsidRDefault="003A48AB" w:rsidP="003A48AB">
      <w:pPr>
        <w:spacing w:after="160" w:line="360" w:lineRule="auto"/>
        <w:jc w:val="both"/>
        <w:rPr>
          <w:rFonts w:ascii="Arial" w:eastAsia="Times New Roman" w:hAnsi="Arial" w:cs="Arial"/>
          <w:color w:val="000000"/>
          <w:lang w:eastAsia="en-US" w:bidi="en-US"/>
        </w:rPr>
      </w:pPr>
      <w:r w:rsidRPr="003A48AB">
        <w:rPr>
          <w:rFonts w:ascii="Arial" w:eastAsia="Times New Roman" w:hAnsi="Arial" w:cs="Arial"/>
          <w:color w:val="000000"/>
          <w:lang w:eastAsia="en-US" w:bidi="en-US"/>
        </w:rPr>
        <w:t xml:space="preserve">In conclusion, this analysis of large sporophyte capsules suggests that </w:t>
      </w:r>
      <w:r w:rsidRPr="003A48AB">
        <w:rPr>
          <w:rFonts w:ascii="Arial" w:eastAsia="Times New Roman" w:hAnsi="Arial" w:cs="Arial"/>
          <w:i/>
          <w:color w:val="000000"/>
          <w:lang w:eastAsia="en-US" w:bidi="en-US"/>
        </w:rPr>
        <w:t>ppepf1</w:t>
      </w:r>
      <w:r w:rsidRPr="003A48AB">
        <w:rPr>
          <w:rFonts w:ascii="Arial" w:eastAsia="Times New Roman" w:hAnsi="Arial" w:cs="Arial"/>
          <w:color w:val="000000"/>
          <w:lang w:eastAsia="en-US" w:bidi="en-US"/>
        </w:rPr>
        <w:t xml:space="preserve"> lines responded in a similar manner to wild-type when grown at elevated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concentrations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when all factors are considered. That is, no vast increases in N or D were observed in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grown samples comparatively to the equivalent samples grown 450ppm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However, owing to variation in capsule size between lines and between treatments and also the deformities that were observed on the epidermis of </w:t>
      </w:r>
      <w:r w:rsidRPr="003A48AB">
        <w:rPr>
          <w:rFonts w:ascii="Arial" w:eastAsia="Times New Roman" w:hAnsi="Arial" w:cs="Arial"/>
          <w:i/>
          <w:color w:val="000000"/>
          <w:lang w:eastAsia="en-US" w:bidi="en-US"/>
        </w:rPr>
        <w:t xml:space="preserve">ppepf1 </w:t>
      </w:r>
      <w:r w:rsidRPr="003A48AB">
        <w:rPr>
          <w:rFonts w:ascii="Arial" w:eastAsia="Times New Roman" w:hAnsi="Arial" w:cs="Arial"/>
          <w:color w:val="000000"/>
          <w:lang w:eastAsia="en-US" w:bidi="en-US"/>
        </w:rPr>
        <w:t>lines a second experiments was necessary which standardised for capsule size differences.</w:t>
      </w:r>
    </w:p>
    <w:p w14:paraId="5D39640C" w14:textId="79D17D91" w:rsidR="003A48AB" w:rsidRPr="00476449"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u w:val="single"/>
          <w:lang w:eastAsia="en-US" w:bidi="en-US"/>
        </w:rPr>
        <w:t xml:space="preserve">5.2.7 </w:t>
      </w:r>
      <w:r w:rsidRPr="003A48AB">
        <w:rPr>
          <w:rFonts w:ascii="Arial" w:eastAsia="Yu Mincho" w:hAnsi="Arial" w:cs="Arial"/>
          <w:u w:val="single"/>
          <w:lang w:eastAsia="en-US" w:bidi="en-US"/>
        </w:rPr>
        <w:t>Stomatal D responses to CO</w:t>
      </w:r>
      <w:r w:rsidRPr="003A48AB">
        <w:rPr>
          <w:rFonts w:ascii="Arial" w:eastAsia="Yu Mincho" w:hAnsi="Arial" w:cs="Arial"/>
          <w:u w:val="single"/>
          <w:vertAlign w:val="subscript"/>
          <w:lang w:eastAsia="en-US" w:bidi="en-US"/>
        </w:rPr>
        <w:t>2</w:t>
      </w:r>
      <w:r w:rsidRPr="003A48AB">
        <w:rPr>
          <w:rFonts w:ascii="Arial" w:eastAsia="Yu Mincho" w:hAnsi="Arial" w:cs="Arial"/>
          <w:u w:val="single"/>
          <w:lang w:eastAsia="en-US" w:bidi="en-US"/>
        </w:rPr>
        <w:t xml:space="preserve"> at HL in same size capsules of </w:t>
      </w:r>
      <w:r w:rsidRPr="003A48AB">
        <w:rPr>
          <w:rFonts w:ascii="Arial" w:eastAsia="Yu Mincho" w:hAnsi="Arial" w:cs="Arial"/>
          <w:i/>
          <w:u w:val="single"/>
          <w:lang w:eastAsia="en-US" w:bidi="en-US"/>
        </w:rPr>
        <w:t xml:space="preserve">Physcomitrella patens </w:t>
      </w:r>
      <w:r w:rsidRPr="003A48AB">
        <w:rPr>
          <w:rFonts w:ascii="Arial" w:eastAsia="Yu Mincho" w:hAnsi="Arial" w:cs="Arial"/>
          <w:u w:val="single"/>
          <w:lang w:eastAsia="en-US" w:bidi="en-US"/>
        </w:rPr>
        <w:t>stomatal patterning mutants</w:t>
      </w:r>
    </w:p>
    <w:p w14:paraId="7DBFFF84" w14:textId="77777777"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lang w:eastAsia="en-US" w:bidi="en-US"/>
        </w:rPr>
        <w:t xml:space="preserve">Having considered the complications that come with increases in sizes (see prior large capsule analyses in </w:t>
      </w:r>
      <w:r w:rsidRPr="003A48AB">
        <w:rPr>
          <w:rFonts w:ascii="Arial" w:eastAsia="Times New Roman" w:hAnsi="Arial" w:cs="Arial"/>
          <w:i/>
          <w:color w:val="000000"/>
          <w:lang w:eastAsia="en-US" w:bidi="en-US"/>
        </w:rPr>
        <w:t xml:space="preserve">P. patens </w:t>
      </w:r>
      <w:r w:rsidRPr="003A48AB">
        <w:rPr>
          <w:rFonts w:ascii="Arial" w:eastAsia="Times New Roman" w:hAnsi="Arial" w:cs="Arial"/>
          <w:color w:val="000000"/>
          <w:lang w:eastAsia="en-US" w:bidi="en-US"/>
        </w:rPr>
        <w:t xml:space="preserve">wild-type and mutant lines) it was decided that the best and fairest way to compare any responses in the mutant backgrounds was to standardise capsule size. In this way, any responses observed in mutant lines could be more reliably attributed to the underpinning genetics involved with fashioning stomata and not due to capsule expansion effects or size differences between capsules in different backgrounds. For each line, a range of different sized one-dimensional area capsules (see </w:t>
      </w:r>
      <w:r w:rsidRPr="003A48AB">
        <w:rPr>
          <w:rFonts w:ascii="Arial" w:eastAsia="Times New Roman" w:hAnsi="Arial" w:cs="Arial"/>
          <w:b/>
          <w:color w:val="000000"/>
          <w:lang w:eastAsia="en-US" w:bidi="en-US"/>
        </w:rPr>
        <w:t>Fig. 5</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 xml:space="preserve"> </w:t>
      </w:r>
      <w:r w:rsidRPr="003A48AB">
        <w:rPr>
          <w:rFonts w:ascii="Arial" w:eastAsia="Times New Roman" w:hAnsi="Arial" w:cs="Arial"/>
          <w:color w:val="000000"/>
          <w:lang w:eastAsia="en-US" w:bidi="en-US"/>
        </w:rPr>
        <w:t>for details on capsule area procurement) were measured that were equivalent between lines leading to the same overall average area of capsules for all lines at both 450ppm and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concentrations. The overall average size chosen to measure was based on the average area size of 60 (30 from each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treatment) wild-type capsules. For each treatment 8 samples per treatment were measured. Whilst working with the lines it should be noted that no obvious size differences were observable between the mutant lines and the Gransden D12 wild-type background.</w:t>
      </w:r>
    </w:p>
    <w:p w14:paraId="49BA5F04" w14:textId="77777777"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Yu Mincho" w:hAnsi="Arial" w:cs="Arial"/>
          <w:lang w:eastAsia="en-US" w:bidi="en-US"/>
        </w:rPr>
        <w:t xml:space="preserve">Owing to new lines being verified at the time of the experiment the following stomatal patterning mutant lines were included in the assay; one </w:t>
      </w:r>
      <w:r w:rsidRPr="003A48AB">
        <w:rPr>
          <w:rFonts w:ascii="Arial" w:eastAsia="Yu Mincho" w:hAnsi="Arial" w:cs="Arial"/>
          <w:i/>
          <w:lang w:eastAsia="en-US" w:bidi="en-US"/>
        </w:rPr>
        <w:t xml:space="preserve">PpERECTA1 </w:t>
      </w:r>
      <w:r w:rsidRPr="003A48AB">
        <w:rPr>
          <w:rFonts w:ascii="Arial" w:eastAsia="Yu Mincho" w:hAnsi="Arial" w:cs="Arial"/>
          <w:lang w:eastAsia="en-US" w:bidi="en-US"/>
        </w:rPr>
        <w:t xml:space="preserve">line, </w:t>
      </w:r>
      <w:r w:rsidRPr="003A48AB">
        <w:rPr>
          <w:rFonts w:ascii="Arial" w:eastAsia="Yu Mincho" w:hAnsi="Arial" w:cs="Arial"/>
          <w:i/>
          <w:lang w:eastAsia="en-US" w:bidi="en-US"/>
        </w:rPr>
        <w:t>pperecta1-1,</w:t>
      </w:r>
      <w:r w:rsidRPr="003A48AB">
        <w:rPr>
          <w:rFonts w:ascii="Arial" w:eastAsia="Yu Mincho" w:hAnsi="Arial" w:cs="Arial"/>
          <w:lang w:eastAsia="en-US" w:bidi="en-US"/>
        </w:rPr>
        <w:t xml:space="preserve"> two</w:t>
      </w:r>
      <w:r w:rsidRPr="003A48AB">
        <w:rPr>
          <w:rFonts w:ascii="Arial" w:eastAsia="Yu Mincho" w:hAnsi="Arial" w:cs="Arial"/>
          <w:i/>
          <w:lang w:eastAsia="en-US" w:bidi="en-US"/>
        </w:rPr>
        <w:t xml:space="preserve"> PpEPF1</w:t>
      </w:r>
      <w:r w:rsidRPr="003A48AB">
        <w:rPr>
          <w:rFonts w:ascii="Arial" w:eastAsia="Yu Mincho" w:hAnsi="Arial" w:cs="Arial"/>
          <w:lang w:eastAsia="en-US" w:bidi="en-US"/>
        </w:rPr>
        <w:t xml:space="preserve"> lines, </w:t>
      </w:r>
      <w:r w:rsidRPr="003A48AB">
        <w:rPr>
          <w:rFonts w:ascii="Arial" w:eastAsia="Yu Mincho" w:hAnsi="Arial" w:cs="Arial"/>
          <w:i/>
          <w:lang w:eastAsia="en-US" w:bidi="en-US"/>
        </w:rPr>
        <w:t>ppepf1-2</w:t>
      </w:r>
      <w:r w:rsidRPr="003A48AB">
        <w:rPr>
          <w:rFonts w:ascii="Arial" w:eastAsia="Yu Mincho" w:hAnsi="Arial" w:cs="Arial"/>
          <w:lang w:eastAsia="en-US" w:bidi="en-US"/>
        </w:rPr>
        <w:t xml:space="preserve"> and </w:t>
      </w:r>
      <w:r w:rsidRPr="003A48AB">
        <w:rPr>
          <w:rFonts w:ascii="Arial" w:eastAsia="Yu Mincho" w:hAnsi="Arial" w:cs="Arial"/>
          <w:i/>
          <w:lang w:eastAsia="en-US" w:bidi="en-US"/>
        </w:rPr>
        <w:t>ppepf1-3</w:t>
      </w:r>
      <w:r w:rsidRPr="003A48AB">
        <w:rPr>
          <w:rFonts w:ascii="Arial" w:eastAsia="Yu Mincho" w:hAnsi="Arial" w:cs="Arial"/>
          <w:lang w:eastAsia="en-US" w:bidi="en-US"/>
        </w:rPr>
        <w:t xml:space="preserve"> and two </w:t>
      </w:r>
      <w:r w:rsidRPr="003A48AB">
        <w:rPr>
          <w:rFonts w:ascii="Arial" w:eastAsia="Yu Mincho" w:hAnsi="Arial" w:cs="Arial"/>
          <w:i/>
          <w:lang w:eastAsia="en-US" w:bidi="en-US"/>
        </w:rPr>
        <w:t>PpTMM lines</w:t>
      </w:r>
      <w:r w:rsidRPr="003A48AB">
        <w:rPr>
          <w:rFonts w:ascii="Arial" w:eastAsia="Yu Mincho" w:hAnsi="Arial" w:cs="Arial"/>
          <w:lang w:eastAsia="en-US" w:bidi="en-US"/>
        </w:rPr>
        <w:t xml:space="preserve">, </w:t>
      </w:r>
      <w:r w:rsidRPr="003A48AB">
        <w:rPr>
          <w:rFonts w:ascii="Arial" w:eastAsia="Yu Mincho" w:hAnsi="Arial" w:cs="Arial"/>
          <w:i/>
          <w:lang w:eastAsia="en-US" w:bidi="en-US"/>
        </w:rPr>
        <w:t xml:space="preserve">pptmm-1 </w:t>
      </w:r>
      <w:r w:rsidRPr="003A48AB">
        <w:rPr>
          <w:rFonts w:ascii="Arial" w:eastAsia="Yu Mincho" w:hAnsi="Arial" w:cs="Arial"/>
          <w:lang w:eastAsia="en-US" w:bidi="en-US"/>
        </w:rPr>
        <w:t xml:space="preserve">and </w:t>
      </w:r>
      <w:r w:rsidRPr="003A48AB">
        <w:rPr>
          <w:rFonts w:ascii="Arial" w:eastAsia="Yu Mincho" w:hAnsi="Arial" w:cs="Arial"/>
          <w:i/>
          <w:lang w:eastAsia="en-US" w:bidi="en-US"/>
        </w:rPr>
        <w:t>pptmm-3</w:t>
      </w:r>
      <w:r w:rsidRPr="003A48AB">
        <w:rPr>
          <w:rFonts w:ascii="Arial" w:eastAsia="Yu Mincho" w:hAnsi="Arial" w:cs="Arial"/>
          <w:lang w:eastAsia="en-US" w:bidi="en-US"/>
        </w:rPr>
        <w:t>. All lines</w:t>
      </w:r>
      <w:r w:rsidRPr="003A48AB">
        <w:rPr>
          <w:rFonts w:ascii="Arial" w:eastAsia="Yu Mincho" w:hAnsi="Arial" w:cs="Arial"/>
          <w:i/>
          <w:lang w:eastAsia="en-US" w:bidi="en-US"/>
        </w:rPr>
        <w:t xml:space="preserve"> </w:t>
      </w:r>
      <w:r w:rsidRPr="003A48AB">
        <w:rPr>
          <w:rFonts w:ascii="Arial" w:eastAsia="Yu Mincho" w:hAnsi="Arial" w:cs="Arial"/>
          <w:lang w:eastAsia="en-US" w:bidi="en-US"/>
        </w:rPr>
        <w:t>were grown under high light (HL) 200</w:t>
      </w:r>
      <w:r w:rsidRPr="003A48AB">
        <w:rPr>
          <w:rFonts w:ascii="Arial" w:eastAsia="Times New Roman" w:hAnsi="Arial" w:cs="Arial"/>
          <w:color w:val="000000"/>
          <w:lang w:eastAsia="en-US" w:bidi="en-US"/>
        </w:rPr>
        <w:t>µmol 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s</w:t>
      </w:r>
      <w:r w:rsidRPr="003A48AB">
        <w:rPr>
          <w:rFonts w:ascii="Arial" w:eastAsia="Times New Roman" w:hAnsi="Arial" w:cs="Arial"/>
          <w:color w:val="000000"/>
          <w:vertAlign w:val="superscript"/>
          <w:lang w:eastAsia="en-US" w:bidi="en-US"/>
        </w:rPr>
        <w:t>−1</w:t>
      </w:r>
      <w:r w:rsidRPr="003A48AB">
        <w:rPr>
          <w:rFonts w:ascii="Arial" w:eastAsia="Yu Mincho" w:hAnsi="Arial" w:cs="Arial"/>
          <w:lang w:eastAsia="en-US" w:bidi="en-US"/>
        </w:rPr>
        <w:t xml:space="preserve"> at either 450ppm or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w:t>
      </w:r>
      <w:r w:rsidRPr="003A48AB">
        <w:rPr>
          <w:rFonts w:ascii="Arial" w:eastAsia="Times New Roman" w:hAnsi="Arial" w:cs="Arial"/>
          <w:color w:val="000000"/>
          <w:lang w:eastAsia="en-US" w:bidi="en-US"/>
        </w:rPr>
        <w:t xml:space="preserve">. Owing to the large number of lines assayed it was impractical to perform such an assay using two light treatments so it was decided that using HL would give the optimum chance of seeing stomatal D response based on the results of previous experiments (see </w:t>
      </w:r>
      <w:r w:rsidRPr="003A48AB">
        <w:rPr>
          <w:rFonts w:ascii="Arial" w:eastAsia="Times New Roman" w:hAnsi="Arial" w:cs="Arial"/>
          <w:b/>
          <w:color w:val="000000"/>
          <w:lang w:eastAsia="en-US" w:bidi="en-US"/>
        </w:rPr>
        <w:t>Fig. 7b</w:t>
      </w:r>
      <w:r w:rsidRPr="003A48AB">
        <w:rPr>
          <w:rFonts w:ascii="Arial" w:eastAsia="Times New Roman" w:hAnsi="Arial" w:cs="Arial"/>
          <w:color w:val="000000"/>
          <w:lang w:eastAsia="en-US" w:bidi="en-US"/>
        </w:rPr>
        <w:t>). Furthermore, owing to the reversed D response to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and the epidermal lesion-like formations which quite regularly on </w:t>
      </w:r>
      <w:r w:rsidRPr="003A48AB">
        <w:rPr>
          <w:rFonts w:ascii="Arial" w:eastAsia="Times New Roman" w:hAnsi="Arial" w:cs="Arial"/>
          <w:i/>
          <w:color w:val="000000"/>
          <w:lang w:eastAsia="en-US" w:bidi="en-US"/>
        </w:rPr>
        <w:t xml:space="preserve">ppepf1 </w:t>
      </w:r>
      <w:r w:rsidRPr="003A48AB">
        <w:rPr>
          <w:rFonts w:ascii="Arial" w:eastAsia="Times New Roman" w:hAnsi="Arial" w:cs="Arial"/>
          <w:color w:val="000000"/>
          <w:lang w:eastAsia="en-US" w:bidi="en-US"/>
        </w:rPr>
        <w:t>mutant sporophyte capsules under LL, it did not seem warranted to use LL again as a treatment.</w:t>
      </w:r>
    </w:p>
    <w:p w14:paraId="0DDC043B" w14:textId="77777777"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lang w:eastAsia="en-US" w:bidi="en-US"/>
        </w:rPr>
        <w:lastRenderedPageBreak/>
        <w:t>Under HL conditions in this experiment the number of stomata per capsule (N) were the first criteria assayed (</w:t>
      </w:r>
      <w:r w:rsidRPr="003A48AB">
        <w:rPr>
          <w:rFonts w:ascii="Arial" w:eastAsia="Times New Roman" w:hAnsi="Arial" w:cs="Arial"/>
          <w:b/>
          <w:color w:val="000000"/>
          <w:lang w:eastAsia="en-US" w:bidi="en-US"/>
        </w:rPr>
        <w:t>Fig. 12a</w:t>
      </w:r>
      <w:r w:rsidRPr="003A48AB">
        <w:rPr>
          <w:rFonts w:ascii="Arial" w:eastAsia="Times New Roman" w:hAnsi="Arial" w:cs="Arial"/>
          <w:color w:val="000000"/>
          <w:lang w:eastAsia="en-US" w:bidi="en-US"/>
        </w:rPr>
        <w:t>). In the wild-type there was minimal difference in N observed between sporophyte capsules grown under 450ppm or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In most of the mutants too (including </w:t>
      </w:r>
      <w:r w:rsidRPr="003A48AB">
        <w:rPr>
          <w:rFonts w:ascii="Arial" w:eastAsia="Times New Roman" w:hAnsi="Arial" w:cs="Arial"/>
          <w:i/>
          <w:color w:val="000000"/>
          <w:lang w:eastAsia="en-US" w:bidi="en-US"/>
        </w:rPr>
        <w:t xml:space="preserve">ppepf1 </w:t>
      </w:r>
      <w:r w:rsidRPr="003A48AB">
        <w:rPr>
          <w:rFonts w:ascii="Arial" w:eastAsia="Times New Roman" w:hAnsi="Arial" w:cs="Arial"/>
          <w:color w:val="000000"/>
          <w:lang w:eastAsia="en-US" w:bidi="en-US"/>
        </w:rPr>
        <w:t>lines) there was no significant differences between 450ppm and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grown capsules, although in most cases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grown samples showed a small reduction in N (</w:t>
      </w:r>
      <w:r w:rsidRPr="003A48AB">
        <w:rPr>
          <w:rFonts w:ascii="Arial" w:eastAsia="Times New Roman" w:hAnsi="Arial" w:cs="Arial"/>
          <w:b/>
          <w:color w:val="000000"/>
          <w:lang w:eastAsia="en-US" w:bidi="en-US"/>
        </w:rPr>
        <w:t>Fig. 12a</w:t>
      </w:r>
      <w:r w:rsidRPr="003A48AB">
        <w:rPr>
          <w:rFonts w:ascii="Arial" w:eastAsia="Times New Roman" w:hAnsi="Arial" w:cs="Arial"/>
          <w:color w:val="000000"/>
          <w:lang w:eastAsia="en-US" w:bidi="en-US"/>
        </w:rPr>
        <w:t xml:space="preserve">). For </w:t>
      </w:r>
      <w:r w:rsidRPr="003A48AB">
        <w:rPr>
          <w:rFonts w:ascii="Arial" w:eastAsia="Times New Roman" w:hAnsi="Arial" w:cs="Arial"/>
          <w:i/>
          <w:color w:val="000000"/>
          <w:lang w:eastAsia="en-US" w:bidi="en-US"/>
        </w:rPr>
        <w:t>pptmm-3</w:t>
      </w:r>
      <w:r w:rsidRPr="003A48AB">
        <w:rPr>
          <w:rFonts w:ascii="Arial" w:eastAsia="Times New Roman" w:hAnsi="Arial" w:cs="Arial"/>
          <w:color w:val="000000"/>
          <w:lang w:eastAsia="en-US" w:bidi="en-US"/>
        </w:rPr>
        <w:t xml:space="preserve"> a N was reduced significantly when a multiple comparisons Two-way ANOVA was performed comparing 450ppm and 1000ppm CO</w:t>
      </w:r>
      <w:r w:rsidRPr="003A48AB">
        <w:rPr>
          <w:rFonts w:ascii="Arial" w:eastAsia="Times New Roman" w:hAnsi="Arial" w:cs="Arial"/>
          <w:color w:val="000000"/>
          <w:vertAlign w:val="subscript"/>
          <w:lang w:eastAsia="en-US" w:bidi="en-US"/>
        </w:rPr>
        <w:t xml:space="preserve">2 </w:t>
      </w:r>
      <w:r w:rsidRPr="003A48AB">
        <w:rPr>
          <w:rFonts w:ascii="Arial" w:eastAsia="Times New Roman" w:hAnsi="Arial" w:cs="Arial"/>
          <w:color w:val="000000"/>
          <w:lang w:eastAsia="en-US" w:bidi="en-US"/>
        </w:rPr>
        <w:t>grown samples (</w:t>
      </w:r>
      <w:r w:rsidRPr="003A48AB">
        <w:rPr>
          <w:rFonts w:ascii="Arial" w:eastAsia="Times New Roman" w:hAnsi="Arial" w:cs="Arial"/>
          <w:i/>
          <w:color w:val="000000"/>
          <w:lang w:eastAsia="en-US" w:bidi="en-US"/>
        </w:rPr>
        <w:t xml:space="preserve">P &lt; </w:t>
      </w:r>
      <w:r w:rsidRPr="003A48AB">
        <w:rPr>
          <w:rFonts w:ascii="Arial" w:eastAsia="Times New Roman" w:hAnsi="Arial" w:cs="Arial"/>
          <w:color w:val="000000"/>
          <w:lang w:eastAsia="en-US" w:bidi="en-US"/>
        </w:rPr>
        <w:t>0.05).</w:t>
      </w:r>
    </w:p>
    <w:p w14:paraId="4C9B14DD" w14:textId="77777777" w:rsidR="003A48AB" w:rsidRPr="003A48AB" w:rsidRDefault="003A48AB" w:rsidP="003A48AB">
      <w:pPr>
        <w:spacing w:after="160" w:line="360" w:lineRule="auto"/>
        <w:jc w:val="center"/>
        <w:rPr>
          <w:rFonts w:ascii="Arial" w:eastAsia="Times New Roman" w:hAnsi="Arial" w:cs="Arial"/>
          <w:b/>
          <w:color w:val="000000"/>
          <w:lang w:eastAsia="en-US" w:bidi="en-US"/>
        </w:rPr>
      </w:pPr>
      <w:r w:rsidRPr="003A48AB">
        <w:rPr>
          <w:rFonts w:ascii="Arial" w:eastAsia="Yu Mincho" w:hAnsi="Arial" w:cs="Arial"/>
          <w:noProof/>
          <w:lang w:eastAsia="ja-JP"/>
        </w:rPr>
        <w:drawing>
          <wp:inline distT="0" distB="0" distL="0" distR="0" wp14:anchorId="6D7C303A" wp14:editId="50532205">
            <wp:extent cx="4162425" cy="6429375"/>
            <wp:effectExtent l="0" t="0" r="9525" b="952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62425" cy="6429375"/>
                    </a:xfrm>
                    <a:prstGeom prst="rect">
                      <a:avLst/>
                    </a:prstGeom>
                    <a:noFill/>
                    <a:ln>
                      <a:noFill/>
                    </a:ln>
                  </pic:spPr>
                </pic:pic>
              </a:graphicData>
            </a:graphic>
          </wp:inline>
        </w:drawing>
      </w:r>
    </w:p>
    <w:p w14:paraId="747C3C6C" w14:textId="77777777"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b/>
          <w:color w:val="000000"/>
          <w:lang w:eastAsia="en-US" w:bidi="en-US"/>
        </w:rPr>
        <w:lastRenderedPageBreak/>
        <w:t xml:space="preserve">Figure 12. The stomatal developmental responses on same size capsules of </w:t>
      </w:r>
      <w:r w:rsidRPr="003A48AB">
        <w:rPr>
          <w:rFonts w:ascii="Arial" w:eastAsia="Times New Roman" w:hAnsi="Arial" w:cs="Arial"/>
          <w:b/>
          <w:i/>
          <w:color w:val="000000"/>
          <w:lang w:eastAsia="en-US" w:bidi="en-US"/>
        </w:rPr>
        <w:t xml:space="preserve">P. patens </w:t>
      </w:r>
      <w:r w:rsidRPr="003A48AB">
        <w:rPr>
          <w:rFonts w:ascii="Arial" w:eastAsia="Times New Roman" w:hAnsi="Arial" w:cs="Arial"/>
          <w:b/>
          <w:color w:val="000000"/>
          <w:lang w:eastAsia="en-US" w:bidi="en-US"/>
        </w:rPr>
        <w:t>wild-type and mutant lines grown at 450ppm and 1000ppm CO</w:t>
      </w:r>
      <w:r w:rsidRPr="003A48AB">
        <w:rPr>
          <w:rFonts w:ascii="Arial" w:eastAsia="Times New Roman" w:hAnsi="Arial" w:cs="Arial"/>
          <w:b/>
          <w:color w:val="000000"/>
          <w:vertAlign w:val="subscript"/>
          <w:lang w:eastAsia="en-US" w:bidi="en-US"/>
        </w:rPr>
        <w:t>2</w:t>
      </w:r>
      <w:r w:rsidRPr="003A48AB">
        <w:rPr>
          <w:rFonts w:ascii="Arial" w:eastAsia="Times New Roman" w:hAnsi="Arial" w:cs="Arial"/>
          <w:b/>
          <w:color w:val="000000"/>
          <w:lang w:eastAsia="en-US" w:bidi="en-US"/>
        </w:rPr>
        <w:t xml:space="preserve"> concentration at </w:t>
      </w:r>
      <w:r w:rsidRPr="003A48AB">
        <w:rPr>
          <w:rFonts w:ascii="Arial" w:eastAsia="Yu Mincho" w:hAnsi="Arial" w:cs="Arial"/>
          <w:b/>
          <w:lang w:eastAsia="en-US" w:bidi="en-US"/>
        </w:rPr>
        <w:t>200</w:t>
      </w:r>
      <w:r w:rsidRPr="003A48AB">
        <w:rPr>
          <w:rFonts w:ascii="Arial" w:eastAsia="Times New Roman" w:hAnsi="Arial" w:cs="Arial"/>
          <w:b/>
          <w:color w:val="000000"/>
          <w:lang w:eastAsia="en-US" w:bidi="en-US"/>
        </w:rPr>
        <w:t>µmol m</w:t>
      </w:r>
      <w:r w:rsidRPr="003A48AB">
        <w:rPr>
          <w:rFonts w:ascii="Arial" w:eastAsia="Times New Roman" w:hAnsi="Arial" w:cs="Arial"/>
          <w:b/>
          <w:color w:val="000000"/>
          <w:vertAlign w:val="superscript"/>
          <w:lang w:eastAsia="en-US" w:bidi="en-US"/>
        </w:rPr>
        <w:t>−2</w:t>
      </w:r>
      <w:r w:rsidRPr="003A48AB">
        <w:rPr>
          <w:rFonts w:ascii="Arial" w:eastAsia="Times New Roman" w:hAnsi="Arial" w:cs="Arial"/>
          <w:b/>
          <w:color w:val="000000"/>
          <w:lang w:eastAsia="en-US" w:bidi="en-US"/>
        </w:rPr>
        <w:t>s</w:t>
      </w:r>
      <w:r w:rsidRPr="003A48AB">
        <w:rPr>
          <w:rFonts w:ascii="Arial" w:eastAsia="Times New Roman" w:hAnsi="Arial" w:cs="Arial"/>
          <w:b/>
          <w:color w:val="000000"/>
          <w:vertAlign w:val="superscript"/>
          <w:lang w:eastAsia="en-US" w:bidi="en-US"/>
        </w:rPr>
        <w:t>−1</w:t>
      </w:r>
      <w:r w:rsidRPr="003A48AB">
        <w:rPr>
          <w:rFonts w:ascii="Arial" w:eastAsia="Times New Roman" w:hAnsi="Arial" w:cs="Arial"/>
          <w:b/>
          <w:color w:val="000000"/>
          <w:lang w:eastAsia="en-US" w:bidi="en-US"/>
        </w:rPr>
        <w:t xml:space="preserve"> high light (HL). </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 xml:space="preserve">) The stomatal number of wild-type and mutant lines; </w:t>
      </w:r>
      <w:r w:rsidRPr="003A48AB">
        <w:rPr>
          <w:rFonts w:ascii="Arial" w:eastAsia="Times New Roman" w:hAnsi="Arial" w:cs="Arial"/>
          <w:i/>
          <w:color w:val="000000"/>
          <w:lang w:eastAsia="en-US" w:bidi="en-US"/>
        </w:rPr>
        <w:t>pperecta1-1, ppepf1-2, ppefp1-3, pptmm-1</w:t>
      </w:r>
      <w:r w:rsidRPr="003A48AB">
        <w:rPr>
          <w:rFonts w:ascii="Arial" w:eastAsia="Times New Roman" w:hAnsi="Arial" w:cs="Arial"/>
          <w:color w:val="000000"/>
          <w:lang w:eastAsia="en-US" w:bidi="en-US"/>
        </w:rPr>
        <w:t xml:space="preserve"> and </w:t>
      </w:r>
      <w:r w:rsidRPr="003A48AB">
        <w:rPr>
          <w:rFonts w:ascii="Arial" w:eastAsia="Times New Roman" w:hAnsi="Arial" w:cs="Arial"/>
          <w:i/>
          <w:color w:val="000000"/>
          <w:lang w:eastAsia="en-US" w:bidi="en-US"/>
        </w:rPr>
        <w:t xml:space="preserve">pptmm-3 </w:t>
      </w:r>
      <w:r w:rsidRPr="003A48AB">
        <w:rPr>
          <w:rFonts w:ascii="Arial" w:eastAsia="Times New Roman" w:hAnsi="Arial" w:cs="Arial"/>
          <w:color w:val="000000"/>
          <w:lang w:eastAsia="en-US" w:bidi="en-US"/>
        </w:rPr>
        <w:t>grown at either 450ppm or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at HL. (</w:t>
      </w:r>
      <w:r w:rsidRPr="003A48AB">
        <w:rPr>
          <w:rFonts w:ascii="Arial" w:eastAsia="Times New Roman" w:hAnsi="Arial" w:cs="Arial"/>
          <w:b/>
          <w:color w:val="000000"/>
          <w:lang w:eastAsia="en-US" w:bidi="en-US"/>
        </w:rPr>
        <w:t>b</w:t>
      </w:r>
      <w:r w:rsidRPr="003A48AB">
        <w:rPr>
          <w:rFonts w:ascii="Arial" w:eastAsia="Times New Roman" w:hAnsi="Arial" w:cs="Arial"/>
          <w:color w:val="000000"/>
          <w:lang w:eastAsia="en-US" w:bidi="en-US"/>
        </w:rPr>
        <w:t>) The stomatal density of capsules analysed in (</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 For both (</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 and (</w:t>
      </w:r>
      <w:r w:rsidRPr="003A48AB">
        <w:rPr>
          <w:rFonts w:ascii="Arial" w:eastAsia="Times New Roman" w:hAnsi="Arial" w:cs="Arial"/>
          <w:b/>
          <w:color w:val="000000"/>
          <w:lang w:eastAsia="en-US" w:bidi="en-US"/>
        </w:rPr>
        <w:t>b</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 xml:space="preserve"> </w:t>
      </w:r>
      <w:r w:rsidRPr="003A48AB">
        <w:rPr>
          <w:rFonts w:ascii="Arial" w:eastAsia="Times New Roman" w:hAnsi="Arial" w:cs="Arial"/>
          <w:color w:val="000000"/>
          <w:lang w:eastAsia="en-US" w:bidi="en-US"/>
        </w:rPr>
        <w:t>two separate multiple comparisons Two-way ANOVAs were performed to ascertain whether significant differences were present between treatments within lines. Bars marked with different letters within a particular line (</w:t>
      </w:r>
      <w:r w:rsidRPr="003A48AB">
        <w:rPr>
          <w:rFonts w:ascii="Arial" w:eastAsia="Times New Roman" w:hAnsi="Arial" w:cs="Arial"/>
          <w:i/>
          <w:color w:val="000000"/>
          <w:lang w:eastAsia="en-US" w:bidi="en-US"/>
        </w:rPr>
        <w:t xml:space="preserve">P &lt; </w:t>
      </w:r>
      <w:r w:rsidRPr="003A48AB">
        <w:rPr>
          <w:rFonts w:ascii="Arial" w:eastAsia="Times New Roman" w:hAnsi="Arial" w:cs="Arial"/>
          <w:color w:val="000000"/>
          <w:lang w:eastAsia="en-US" w:bidi="en-US"/>
        </w:rPr>
        <w:t>0.05) are significantly different from each other. For each treatment 8 sporophyte capsules were analysed. Error bars = s.e.m.</w:t>
      </w:r>
    </w:p>
    <w:p w14:paraId="38BD09B6" w14:textId="7248981D"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lang w:eastAsia="en-US" w:bidi="en-US"/>
        </w:rPr>
        <w:t>In relation to D, a slight reduction was observed in the wild-type (</w:t>
      </w:r>
      <w:r w:rsidRPr="003A48AB">
        <w:rPr>
          <w:rFonts w:ascii="Arial" w:eastAsia="Times New Roman" w:hAnsi="Arial" w:cs="Arial"/>
          <w:b/>
          <w:color w:val="000000"/>
          <w:lang w:eastAsia="en-US" w:bidi="en-US"/>
        </w:rPr>
        <w:t>Fig. 12b</w:t>
      </w:r>
      <w:r w:rsidRPr="003A48AB">
        <w:rPr>
          <w:rFonts w:ascii="Arial" w:eastAsia="Times New Roman" w:hAnsi="Arial" w:cs="Arial"/>
          <w:color w:val="000000"/>
          <w:lang w:eastAsia="en-US" w:bidi="en-US"/>
        </w:rPr>
        <w:t xml:space="preserve">). For the D of </w:t>
      </w:r>
      <w:r w:rsidRPr="003A48AB">
        <w:rPr>
          <w:rFonts w:ascii="Arial" w:eastAsia="Times New Roman" w:hAnsi="Arial" w:cs="Arial"/>
          <w:i/>
          <w:color w:val="000000"/>
          <w:lang w:eastAsia="en-US" w:bidi="en-US"/>
        </w:rPr>
        <w:t xml:space="preserve">ppepf1 </w:t>
      </w:r>
      <w:r w:rsidRPr="003A48AB">
        <w:rPr>
          <w:rFonts w:ascii="Arial" w:eastAsia="Times New Roman" w:hAnsi="Arial" w:cs="Arial"/>
          <w:color w:val="000000"/>
          <w:lang w:eastAsia="en-US" w:bidi="en-US"/>
        </w:rPr>
        <w:t xml:space="preserve">lines, </w:t>
      </w:r>
      <w:r w:rsidRPr="003A48AB">
        <w:rPr>
          <w:rFonts w:ascii="Arial" w:eastAsia="Times New Roman" w:hAnsi="Arial" w:cs="Arial"/>
          <w:i/>
          <w:color w:val="000000"/>
          <w:lang w:eastAsia="en-US" w:bidi="en-US"/>
        </w:rPr>
        <w:t>ppepf1-2</w:t>
      </w:r>
      <w:r w:rsidRPr="003A48AB">
        <w:rPr>
          <w:rFonts w:ascii="Arial" w:eastAsia="Times New Roman" w:hAnsi="Arial" w:cs="Arial"/>
          <w:color w:val="000000"/>
          <w:lang w:eastAsia="en-US" w:bidi="en-US"/>
        </w:rPr>
        <w:t xml:space="preserve"> exhibited similar D in both 450ppm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and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grown samples, for </w:t>
      </w:r>
      <w:r w:rsidRPr="003A48AB">
        <w:rPr>
          <w:rFonts w:ascii="Arial" w:eastAsia="Times New Roman" w:hAnsi="Arial" w:cs="Arial"/>
          <w:i/>
          <w:color w:val="000000"/>
          <w:lang w:eastAsia="en-US" w:bidi="en-US"/>
        </w:rPr>
        <w:t xml:space="preserve">ppepf1-3 </w:t>
      </w:r>
      <w:r w:rsidRPr="003A48AB">
        <w:rPr>
          <w:rFonts w:ascii="Arial" w:eastAsia="Times New Roman" w:hAnsi="Arial" w:cs="Arial"/>
          <w:color w:val="000000"/>
          <w:lang w:eastAsia="en-US" w:bidi="en-US"/>
        </w:rPr>
        <w:t>a reduction in D was observed at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relative to 450ppm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w:t>
      </w:r>
      <w:r w:rsidRPr="003A48AB">
        <w:rPr>
          <w:rFonts w:ascii="Arial" w:eastAsia="Times New Roman" w:hAnsi="Arial" w:cs="Arial"/>
          <w:b/>
          <w:color w:val="000000"/>
          <w:lang w:eastAsia="en-US" w:bidi="en-US"/>
        </w:rPr>
        <w:t>Fig. 12b</w:t>
      </w:r>
      <w:r w:rsidRPr="003A48AB">
        <w:rPr>
          <w:rFonts w:ascii="Arial" w:eastAsia="Times New Roman" w:hAnsi="Arial" w:cs="Arial"/>
          <w:color w:val="000000"/>
          <w:lang w:eastAsia="en-US" w:bidi="en-US"/>
        </w:rPr>
        <w:t xml:space="preserve">). None of the differences observed in the wild-type or the </w:t>
      </w:r>
      <w:r w:rsidRPr="003A48AB">
        <w:rPr>
          <w:rFonts w:ascii="Arial" w:eastAsia="Times New Roman" w:hAnsi="Arial" w:cs="Arial"/>
          <w:i/>
          <w:color w:val="000000"/>
          <w:lang w:eastAsia="en-US" w:bidi="en-US"/>
        </w:rPr>
        <w:t xml:space="preserve">ppefp1 </w:t>
      </w:r>
      <w:r w:rsidRPr="003A48AB">
        <w:rPr>
          <w:rFonts w:ascii="Arial" w:eastAsia="Times New Roman" w:hAnsi="Arial" w:cs="Arial"/>
          <w:color w:val="000000"/>
          <w:lang w:eastAsia="en-US" w:bidi="en-US"/>
        </w:rPr>
        <w:t>lines for N or D were significantly different when two separate multiple comparison Two-way ANOVAs were performed that compared the values observed within a line. Overall this data strongly suggests there is no obvious phenotypic response to increased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in </w:t>
      </w:r>
      <w:r w:rsidRPr="003A48AB">
        <w:rPr>
          <w:rFonts w:ascii="Arial" w:eastAsia="Times New Roman" w:hAnsi="Arial" w:cs="Arial"/>
          <w:i/>
          <w:color w:val="000000"/>
          <w:lang w:eastAsia="en-US" w:bidi="en-US"/>
        </w:rPr>
        <w:t xml:space="preserve">ppepf1 </w:t>
      </w:r>
      <w:r w:rsidRPr="003A48AB">
        <w:rPr>
          <w:rFonts w:ascii="Arial" w:eastAsia="Times New Roman" w:hAnsi="Arial" w:cs="Arial"/>
          <w:color w:val="000000"/>
          <w:lang w:eastAsia="en-US" w:bidi="en-US"/>
        </w:rPr>
        <w:t>lines either in same size capsules (</w:t>
      </w:r>
      <w:r w:rsidRPr="003A48AB">
        <w:rPr>
          <w:rFonts w:ascii="Arial" w:eastAsia="Times New Roman" w:hAnsi="Arial" w:cs="Arial"/>
          <w:b/>
          <w:color w:val="000000"/>
          <w:lang w:eastAsia="en-US" w:bidi="en-US"/>
        </w:rPr>
        <w:t>Fig. 12</w:t>
      </w:r>
      <w:r w:rsidRPr="003A48AB">
        <w:rPr>
          <w:rFonts w:ascii="Arial" w:eastAsia="Times New Roman" w:hAnsi="Arial" w:cs="Arial"/>
          <w:color w:val="000000"/>
          <w:lang w:eastAsia="en-US" w:bidi="en-US"/>
        </w:rPr>
        <w:t xml:space="preserve">) of large capsules (see </w:t>
      </w:r>
      <w:r w:rsidRPr="003A48AB">
        <w:rPr>
          <w:rFonts w:ascii="Arial" w:eastAsia="Times New Roman" w:hAnsi="Arial" w:cs="Arial"/>
          <w:b/>
          <w:color w:val="000000"/>
          <w:lang w:eastAsia="en-US" w:bidi="en-US"/>
        </w:rPr>
        <w:t>Fig. 9</w:t>
      </w:r>
      <w:r w:rsidRPr="003A48AB">
        <w:rPr>
          <w:rFonts w:ascii="Arial" w:eastAsia="Times New Roman" w:hAnsi="Arial" w:cs="Arial"/>
          <w:color w:val="000000"/>
          <w:lang w:eastAsia="en-US" w:bidi="en-US"/>
        </w:rPr>
        <w:t xml:space="preserve">). Although only slight, in the single </w:t>
      </w:r>
      <w:r w:rsidRPr="003A48AB">
        <w:rPr>
          <w:rFonts w:ascii="Arial" w:eastAsia="Times New Roman" w:hAnsi="Arial" w:cs="Arial"/>
          <w:i/>
          <w:color w:val="000000"/>
          <w:lang w:eastAsia="en-US" w:bidi="en-US"/>
        </w:rPr>
        <w:t xml:space="preserve">pperecta1 </w:t>
      </w:r>
      <w:r w:rsidRPr="003A48AB">
        <w:rPr>
          <w:rFonts w:ascii="Arial" w:eastAsia="Times New Roman" w:hAnsi="Arial" w:cs="Arial"/>
          <w:color w:val="000000"/>
          <w:lang w:eastAsia="en-US" w:bidi="en-US"/>
        </w:rPr>
        <w:t>line assayed a small increase in D at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relative to 450ppm was observed which is interesting given Arabidopsis ERECTA family mutant phenotype responses to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presented above (</w:t>
      </w:r>
      <w:r w:rsidRPr="003A48AB">
        <w:rPr>
          <w:rFonts w:ascii="Arial" w:eastAsia="Times New Roman" w:hAnsi="Arial" w:cs="Arial"/>
          <w:b/>
          <w:color w:val="000000"/>
          <w:lang w:eastAsia="en-US" w:bidi="en-US"/>
        </w:rPr>
        <w:t>Fig. 8</w:t>
      </w:r>
      <w:r w:rsidRPr="003A48AB">
        <w:rPr>
          <w:rFonts w:ascii="Arial" w:eastAsia="Times New Roman" w:hAnsi="Arial" w:cs="Arial"/>
          <w:color w:val="000000"/>
          <w:lang w:eastAsia="en-US" w:bidi="en-US"/>
        </w:rPr>
        <w:t xml:space="preserve">) and in the work presented by Engineer and colleagues </w:t>
      </w:r>
      <w:r w:rsidRPr="003A48AB">
        <w:rPr>
          <w:rFonts w:ascii="Arial" w:eastAsia="Times New Roman" w:hAnsi="Arial" w:cs="Arial"/>
          <w:color w:val="000000"/>
          <w:lang w:eastAsia="en-US" w:bidi="en-US"/>
        </w:rPr>
        <w:fldChar w:fldCharType="begin">
          <w:fldData xml:space="preserve">PEVuZE5vdGU+PENpdGU+PEF1dGhvcj5FbmdpbmVlcjwvQXV0aG9yPjxZZWFyPjIwMTQ8L1llYXI+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</w:fldData>
        </w:fldChar>
      </w:r>
      <w:r w:rsidR="00417B1E">
        <w:rPr>
          <w:rFonts w:ascii="Arial" w:eastAsia="Times New Roman" w:hAnsi="Arial" w:cs="Arial"/>
          <w:color w:val="000000"/>
          <w:lang w:eastAsia="en-US" w:bidi="en-US"/>
        </w:rPr>
        <w:instrText xml:space="preserve"> ADDIN EN.CITE </w:instrText>
      </w:r>
      <w:r w:rsidR="00417B1E">
        <w:rPr>
          <w:rFonts w:ascii="Arial" w:eastAsia="Times New Roman" w:hAnsi="Arial" w:cs="Arial"/>
          <w:color w:val="000000"/>
          <w:lang w:eastAsia="en-US" w:bidi="en-US"/>
        </w:rPr>
        <w:fldChar w:fldCharType="begin">
          <w:fldData xml:space="preserve">PEVuZE5vdGU+PENpdGU+PEF1dGhvcj5FbmdpbmVlcjwvQXV0aG9yPjxZZWFyPjIwMTQ8L1llYXI+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</w:fldData>
        </w:fldChar>
      </w:r>
      <w:r w:rsidR="00417B1E">
        <w:rPr>
          <w:rFonts w:ascii="Arial" w:eastAsia="Times New Roman" w:hAnsi="Arial" w:cs="Arial"/>
          <w:color w:val="000000"/>
          <w:lang w:eastAsia="en-US" w:bidi="en-US"/>
        </w:rPr>
        <w:instrText xml:space="preserve"> ADDIN EN.CITE.DATA </w:instrText>
      </w:r>
      <w:r w:rsidR="00417B1E">
        <w:rPr>
          <w:rFonts w:ascii="Arial" w:eastAsia="Times New Roman" w:hAnsi="Arial" w:cs="Arial"/>
          <w:color w:val="000000"/>
          <w:lang w:eastAsia="en-US" w:bidi="en-US"/>
        </w:rPr>
      </w:r>
      <w:r w:rsidR="00417B1E">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(Engineer et al., 2014)</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The D responses of </w:t>
      </w:r>
      <w:r w:rsidRPr="003A48AB">
        <w:rPr>
          <w:rFonts w:ascii="Arial" w:eastAsia="Times New Roman" w:hAnsi="Arial" w:cs="Arial"/>
          <w:i/>
          <w:color w:val="000000"/>
          <w:lang w:eastAsia="en-US" w:bidi="en-US"/>
        </w:rPr>
        <w:t>pptmm</w:t>
      </w:r>
      <w:r w:rsidRPr="003A48AB">
        <w:rPr>
          <w:rFonts w:ascii="Arial" w:eastAsia="Times New Roman" w:hAnsi="Arial" w:cs="Arial"/>
          <w:color w:val="000000"/>
          <w:lang w:eastAsia="en-US" w:bidi="en-US"/>
        </w:rPr>
        <w:t xml:space="preserve"> mutant lines showed no significant differences at HL as was the case in </w:t>
      </w:r>
      <w:r w:rsidRPr="003A48AB">
        <w:rPr>
          <w:rFonts w:ascii="Arial" w:eastAsia="Times New Roman" w:hAnsi="Arial" w:cs="Arial"/>
          <w:b/>
          <w:color w:val="000000"/>
          <w:lang w:eastAsia="en-US" w:bidi="en-US"/>
        </w:rPr>
        <w:t>Fig. 9</w:t>
      </w:r>
      <w:r w:rsidRPr="003A48AB">
        <w:rPr>
          <w:rFonts w:ascii="Arial" w:eastAsia="Times New Roman" w:hAnsi="Arial" w:cs="Arial"/>
          <w:color w:val="000000"/>
          <w:lang w:eastAsia="en-US" w:bidi="en-US"/>
        </w:rPr>
        <w:t>.</w:t>
      </w:r>
    </w:p>
    <w:p w14:paraId="472A68C7" w14:textId="77777777"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u w:val="single"/>
          <w:lang w:eastAsia="en-US" w:bidi="en-US"/>
        </w:rPr>
        <w:t xml:space="preserve">5.2.8 Subtilisin-like serine proteases (SLSP) in </w:t>
      </w:r>
      <w:r w:rsidRPr="003A48AB">
        <w:rPr>
          <w:rFonts w:ascii="Arial" w:eastAsia="Times New Roman" w:hAnsi="Arial" w:cs="Arial"/>
          <w:i/>
          <w:color w:val="000000"/>
          <w:u w:val="single"/>
          <w:lang w:eastAsia="en-US" w:bidi="en-US"/>
        </w:rPr>
        <w:t>P. patens</w:t>
      </w:r>
      <w:r w:rsidRPr="003A48AB">
        <w:rPr>
          <w:rFonts w:ascii="Arial" w:eastAsia="Times New Roman" w:hAnsi="Arial" w:cs="Arial"/>
          <w:color w:val="000000"/>
          <w:u w:val="single"/>
          <w:lang w:eastAsia="en-US" w:bidi="en-US"/>
        </w:rPr>
        <w:t>, stomatal development and responses to CO</w:t>
      </w:r>
      <w:r w:rsidRPr="003A48AB">
        <w:rPr>
          <w:rFonts w:ascii="Arial" w:eastAsia="Times New Roman" w:hAnsi="Arial" w:cs="Arial"/>
          <w:color w:val="000000"/>
          <w:u w:val="single"/>
          <w:vertAlign w:val="subscript"/>
          <w:lang w:eastAsia="en-US" w:bidi="en-US"/>
        </w:rPr>
        <w:t>2</w:t>
      </w:r>
    </w:p>
    <w:p w14:paraId="41027615" w14:textId="01AA0C5F" w:rsidR="003A48AB" w:rsidRPr="003A48AB" w:rsidRDefault="003A48AB" w:rsidP="003A48AB">
      <w:pPr>
        <w:spacing w:after="160" w:line="360" w:lineRule="auto"/>
        <w:rPr>
          <w:rFonts w:ascii="Arial" w:eastAsia="Times New Roman" w:hAnsi="Arial" w:cs="Arial"/>
          <w:b/>
          <w:color w:val="000000"/>
          <w:lang w:eastAsia="en-US" w:bidi="en-US"/>
        </w:rPr>
      </w:pPr>
      <w:r w:rsidRPr="003A48AB">
        <w:rPr>
          <w:rFonts w:ascii="Arial" w:eastAsia="Times New Roman" w:hAnsi="Arial" w:cs="Arial"/>
          <w:color w:val="000000"/>
          <w:lang w:eastAsia="en-US" w:bidi="en-US"/>
        </w:rPr>
        <w:t>As highlighted previously</w:t>
      </w:r>
      <w:r w:rsidR="00185388">
        <w:rPr>
          <w:rFonts w:ascii="Arial" w:eastAsia="Times New Roman" w:hAnsi="Arial" w:cs="Arial"/>
          <w:color w:val="000000"/>
          <w:lang w:eastAsia="en-US" w:bidi="en-US"/>
        </w:rPr>
        <w:t xml:space="preserve"> (see section 5.1)</w:t>
      </w:r>
      <w:r w:rsidRPr="003A48AB">
        <w:rPr>
          <w:rFonts w:ascii="Arial" w:eastAsia="Times New Roman" w:hAnsi="Arial" w:cs="Arial"/>
          <w:color w:val="000000"/>
          <w:lang w:eastAsia="en-US" w:bidi="en-US"/>
        </w:rPr>
        <w:t xml:space="preserve">, Engineer and colleagues </w:t>
      </w:r>
      <w:r w:rsidRPr="003A48AB">
        <w:rPr>
          <w:rFonts w:ascii="Arial" w:eastAsia="Times New Roman" w:hAnsi="Arial" w:cs="Arial"/>
          <w:color w:val="000000"/>
          <w:lang w:eastAsia="en-US" w:bidi="en-US"/>
        </w:rPr>
        <w:fldChar w:fldCharType="begin">
          <w:fldData xml:space="preserve">PEVuZE5vdGU+PENpdGUgRXhjbHVkZUF1dGg9IjEiPjxBdXRob3I+RW5naW5lZXI8L0F1dGhvcj48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</w:fldData>
        </w:fldChar>
      </w:r>
      <w:r w:rsidR="00417B1E">
        <w:rPr>
          <w:rFonts w:ascii="Arial" w:eastAsia="Times New Roman" w:hAnsi="Arial" w:cs="Arial"/>
          <w:color w:val="000000"/>
          <w:lang w:eastAsia="en-US" w:bidi="en-US"/>
        </w:rPr>
        <w:instrText xml:space="preserve"> ADDIN EN.CITE </w:instrText>
      </w:r>
      <w:r w:rsidR="00417B1E">
        <w:rPr>
          <w:rFonts w:ascii="Arial" w:eastAsia="Times New Roman" w:hAnsi="Arial" w:cs="Arial"/>
          <w:color w:val="000000"/>
          <w:lang w:eastAsia="en-US" w:bidi="en-US"/>
        </w:rPr>
        <w:fldChar w:fldCharType="begin">
          <w:fldData xml:space="preserve">PEVuZE5vdGU+PENpdGUgRXhjbHVkZUF1dGg9IjEiPjxBdXRob3I+RW5naW5lZXI8L0F1dGhvcj48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</w:fldData>
        </w:fldChar>
      </w:r>
      <w:r w:rsidR="00417B1E">
        <w:rPr>
          <w:rFonts w:ascii="Arial" w:eastAsia="Times New Roman" w:hAnsi="Arial" w:cs="Arial"/>
          <w:color w:val="000000"/>
          <w:lang w:eastAsia="en-US" w:bidi="en-US"/>
        </w:rPr>
        <w:instrText xml:space="preserve"> ADDIN EN.CITE.DATA </w:instrText>
      </w:r>
      <w:r w:rsidR="00417B1E">
        <w:rPr>
          <w:rFonts w:ascii="Arial" w:eastAsia="Times New Roman" w:hAnsi="Arial" w:cs="Arial"/>
          <w:color w:val="000000"/>
          <w:lang w:eastAsia="en-US" w:bidi="en-US"/>
        </w:rPr>
      </w:r>
      <w:r w:rsidR="00417B1E">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(2014)</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established that a subtilisin-like serine protease (SLSP) named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RESPONSE SECRETED PROTEASE (CRSP) is involved in the regulation of stomatal index and density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responses in Arabidopsis. This protein belongs to a vast family of proteases in land plants that are involved in many processes including stomatal development </w:t>
      </w:r>
      <w:r w:rsidRPr="003A48AB">
        <w:rPr>
          <w:rFonts w:ascii="Arial" w:eastAsia="Times New Roman" w:hAnsi="Arial" w:cs="Arial"/>
          <w:color w:val="000000"/>
          <w:lang w:eastAsia="en-US" w:bidi="en-US"/>
        </w:rPr>
        <w:fldChar w:fldCharType="begin"/>
      </w:r>
      <w:r w:rsidRPr="003A48AB">
        <w:rPr>
          <w:rFonts w:ascii="Arial" w:eastAsia="Times New Roman" w:hAnsi="Arial" w:cs="Arial"/>
          <w:color w:val="000000"/>
          <w:lang w:eastAsia="en-US" w:bidi="en-US"/>
        </w:rPr>
        <w:instrText xml:space="preserve"> ADDIN EN.CITE &lt;EndNote&gt;&lt;Cite&gt;&lt;Author&gt;Berger&lt;/Author&gt;&lt;Year&gt;2000&lt;/Year&gt;&lt;IDText&gt;A subtilisin-like serine protease involved in the regulation of stomatal density and distribution in Arabidopsis thaliana&lt;/IDText&gt;&lt;DisplayText&gt;(Berger and Altmann, 2000)&lt;/DisplayText&gt;&lt;record&gt;&lt;dates&gt;&lt;pub-dates&gt;&lt;date&gt;May 1&lt;/date&gt;&lt;/pub-dates&gt;&lt;year&gt;2000&lt;/year&gt;&lt;/dates&gt;&lt;keywords&gt;&lt;keyword&gt;Amino Acid Sequence&lt;/keyword&gt;&lt;keyword&gt;Arabidopsis/genetics/growth &amp;amp; development/*physiology&lt;/keyword&gt;&lt;keyword&gt;*Arabidopsis Proteins&lt;/keyword&gt;&lt;keyword&gt;Consensus Sequence&lt;/keyword&gt;&lt;keyword&gt;Cotyledon/cytology/physiology&lt;/keyword&gt;&lt;keyword&gt;Gene Expression Regulation, Plant&lt;/keyword&gt;&lt;keyword&gt;Humans&lt;/keyword&gt;&lt;keyword&gt;Molecular Sequence Data&lt;/keyword&gt;&lt;keyword&gt;Plant Leaves/cytology/physiology&lt;/keyword&gt;&lt;keyword&gt;Sequence Alignment&lt;/keyword&gt;&lt;keyword&gt;Sequence Homology, Amino Acid&lt;/keyword&gt;&lt;keyword&gt;Serine Endopeptidases/chemistry/*genetics/*metabolism&lt;/keyword&gt;&lt;/keywords&gt;&lt;isbn&gt;0890-9369 (Print)&amp;#xD;0890-9369&lt;/isbn&gt;&lt;custom2&gt;PMC316574&lt;/custom2&gt;&lt;titles&gt;&lt;title&gt;A subtilisin-like serine protease involved in the regulation of stomatal density and distribution in Arabidopsis thaliana&lt;/title&gt;&lt;secondary-title&gt;Genes Dev&lt;/secondary-title&gt;&lt;alt-title&gt;Genes &amp;amp; development&lt;/alt-title&gt;&lt;/titles&gt;&lt;pages&gt;1119-31&lt;/pages&gt;&lt;number&gt;9&lt;/number&gt;&lt;contributors&gt;&lt;authors&gt;&lt;author&gt;Berger, D.&lt;/author&gt;&lt;author&gt;Altmann, T.&lt;/author&gt;&lt;/authors&gt;&lt;/contributors&gt;&lt;edition&gt;2000/05/16&lt;/edition&gt;&lt;language&gt;eng&lt;/language&gt;&lt;added-date format="utc"&gt;1456324745&lt;/added-date&gt;&lt;ref-type name="Journal Article"&gt;17&lt;/ref-type&gt;&lt;auth-address&gt;Department Willmitzer, Max-Planck-Institute of Molecular Plant Physiology, Am Muhlenberg 1, 14476 Golm, Germany.&lt;/auth-address&gt;&lt;remote-database-provider&gt;NLM&lt;/remote-database-provider&gt;&lt;rec-number&gt;1049&lt;/rec-number&gt;&lt;last-updated-date format="utc"&gt;1456324745&lt;/last-updated-date&gt;&lt;accession-num&gt;10809670&lt;/accession-num&gt;&lt;volume&gt;14&lt;/volume&gt;&lt;/record&gt;&lt;/Cite&gt;&lt;/EndNote&gt;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(Berger and Altmann, 2000)</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mucilage secretion from seeds </w:t>
      </w:r>
      <w:r w:rsidRPr="003A48AB">
        <w:rPr>
          <w:rFonts w:ascii="Arial" w:eastAsia="Times New Roman" w:hAnsi="Arial" w:cs="Arial"/>
          <w:color w:val="000000"/>
          <w:lang w:eastAsia="en-US" w:bidi="en-US"/>
        </w:rPr>
        <w:fldChar w:fldCharType="begin">
          <w:fldData xml:space="preserve">PEVuZE5vdGU+PENpdGU+PEF1dGhvcj5SYXV0ZW5nYXJ0ZW48L0F1dGhvcj48WWVhcj4yMDA4PC9Z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</w:fldData>
        </w:fldChar>
      </w:r>
      <w:r w:rsidRPr="003A48AB">
        <w:rPr>
          <w:rFonts w:ascii="Arial" w:eastAsia="Times New Roman" w:hAnsi="Arial" w:cs="Arial"/>
          <w:color w:val="000000"/>
          <w:lang w:eastAsia="en-US" w:bidi="en-US"/>
        </w:rPr>
        <w:instrText xml:space="preserve"> ADDIN EN.CITE </w:instrText>
      </w:r>
      <w:r w:rsidRPr="003A48AB">
        <w:rPr>
          <w:rFonts w:ascii="Arial" w:eastAsia="Times New Roman" w:hAnsi="Arial" w:cs="Arial"/>
          <w:color w:val="000000"/>
          <w:lang w:eastAsia="en-US" w:bidi="en-US"/>
        </w:rPr>
        <w:fldChar w:fldCharType="begin">
          <w:fldData xml:space="preserve">PEVuZE5vdGU+PENpdGU+PEF1dGhvcj5SYXV0ZW5nYXJ0ZW48L0F1dGhvcj48WWVhcj4yMDA4PC9Z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</w:fldData>
        </w:fldChar>
      </w:r>
      <w:r w:rsidRPr="003A48AB">
        <w:rPr>
          <w:rFonts w:ascii="Arial" w:eastAsia="Times New Roman" w:hAnsi="Arial" w:cs="Arial"/>
          <w:color w:val="000000"/>
          <w:lang w:eastAsia="en-US" w:bidi="en-US"/>
        </w:rPr>
        <w:instrText xml:space="preserve"> ADDIN EN.CITE.DATA </w:instrText>
      </w:r>
      <w:r w:rsidRPr="003A48AB">
        <w:rPr>
          <w:rFonts w:ascii="Arial" w:eastAsia="Times New Roman" w:hAnsi="Arial" w:cs="Arial"/>
          <w:color w:val="000000"/>
          <w:lang w:eastAsia="en-US" w:bidi="en-US"/>
        </w:rPr>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(Rautengarten et al., 2008)</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growth hormone processing </w:t>
      </w:r>
      <w:r w:rsidRPr="003A48AB">
        <w:rPr>
          <w:rFonts w:ascii="Arial" w:eastAsia="Times New Roman" w:hAnsi="Arial" w:cs="Arial"/>
          <w:color w:val="000000"/>
          <w:lang w:eastAsia="en-US" w:bidi="en-US"/>
        </w:rPr>
        <w:fldChar w:fldCharType="begin">
          <w:fldData xml:space="preserve">PEVuZE5vdGU+PENpdGU+PEF1dGhvcj5Tcml2YXN0YXZhPC9BdXRob3I+PFllYXI+MjAwODwvWWVh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==
</w:fldData>
        </w:fldChar>
      </w:r>
      <w:r w:rsidRPr="003A48AB">
        <w:rPr>
          <w:rFonts w:ascii="Arial" w:eastAsia="Times New Roman" w:hAnsi="Arial" w:cs="Arial"/>
          <w:color w:val="000000"/>
          <w:lang w:eastAsia="en-US" w:bidi="en-US"/>
        </w:rPr>
        <w:instrText xml:space="preserve"> ADDIN EN.CITE </w:instrText>
      </w:r>
      <w:r w:rsidRPr="003A48AB">
        <w:rPr>
          <w:rFonts w:ascii="Arial" w:eastAsia="Times New Roman" w:hAnsi="Arial" w:cs="Arial"/>
          <w:color w:val="000000"/>
          <w:lang w:eastAsia="en-US" w:bidi="en-US"/>
        </w:rPr>
        <w:fldChar w:fldCharType="begin">
          <w:fldData xml:space="preserve">PEVuZE5vdGU+PENpdGU+PEF1dGhvcj5Tcml2YXN0YXZhPC9BdXRob3I+PFllYXI+MjAwODwvWWVh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==
</w:fldData>
        </w:fldChar>
      </w:r>
      <w:r w:rsidRPr="003A48AB">
        <w:rPr>
          <w:rFonts w:ascii="Arial" w:eastAsia="Times New Roman" w:hAnsi="Arial" w:cs="Arial"/>
          <w:color w:val="000000"/>
          <w:lang w:eastAsia="en-US" w:bidi="en-US"/>
        </w:rPr>
        <w:instrText xml:space="preserve"> ADDIN EN.CITE.DATA </w:instrText>
      </w:r>
      <w:r w:rsidRPr="003A48AB">
        <w:rPr>
          <w:rFonts w:ascii="Arial" w:eastAsia="Times New Roman" w:hAnsi="Arial" w:cs="Arial"/>
          <w:color w:val="000000"/>
          <w:lang w:eastAsia="en-US" w:bidi="en-US"/>
        </w:rPr>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(Srivastava et al., 2009; Srivastava et al., 2008)</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branching and silique formation and regulation of senescence </w:t>
      </w:r>
      <w:r w:rsidRPr="003A48AB">
        <w:rPr>
          <w:rFonts w:ascii="Arial" w:eastAsia="Times New Roman" w:hAnsi="Arial" w:cs="Arial"/>
          <w:color w:val="000000"/>
          <w:lang w:eastAsia="en-US" w:bidi="en-US"/>
        </w:rPr>
        <w:fldChar w:fldCharType="begin"/>
      </w:r>
      <w:r w:rsidRPr="003A48AB">
        <w:rPr>
          <w:rFonts w:ascii="Arial" w:eastAsia="Times New Roman" w:hAnsi="Arial" w:cs="Arial"/>
          <w:color w:val="000000"/>
          <w:lang w:eastAsia="en-US" w:bidi="en-US"/>
        </w:rPr>
        <w:instrText xml:space="preserve"> ADDIN EN.CITE &lt;EndNote&gt;&lt;Cite&gt;&lt;Author&gt;Martinez&lt;/Author&gt;&lt;Year&gt;2014&lt;/Year&gt;&lt;IDText&gt;SASP, a Senescence-Associated Subtilisin Protease, is involved in reproductive development and determination of silique number in Arabidopsis&lt;/IDText&gt;&lt;DisplayText&gt;(Martinez et al., 2014)&lt;/DisplayText&gt;&lt;record&gt;&lt;urls&gt;&lt;related-urls&gt;&lt;url&gt;http://jxb.oxfordjournals.org/content/early/2014/11/03/jxb.eru409.abstract&lt;/url&gt;&lt;/related-urls&gt;&lt;/urls&gt;&lt;titles&gt;&lt;title&gt;SASP, a Senescence-Associated Subtilisin Protease, is involved in reproductive development and determination of silique number in Arabidopsis&lt;/title&gt;&lt;secondary-title&gt;Journal of Experimental Botany&lt;/secondary-title&gt;&lt;/titles&gt;&lt;contributors&gt;&lt;authors&gt;&lt;author&gt;Martinez, Dana E.&lt;/author&gt;&lt;author&gt;Borniego, Maria L.&lt;/author&gt;&lt;author&gt;Battchikova, Natalia&lt;/author&gt;&lt;author&gt;Aro, Eva-Mari&lt;/author&gt;&lt;author&gt;Tyystjärvi, Esa&lt;/author&gt;&lt;author&gt;Guiamét, Juan J.&lt;/author&gt;&lt;/authors&gt;&lt;/contributors&gt;&lt;added-date format="utc"&gt;1456326631&lt;/added-date&gt;&lt;ref-type name="Journal Article"&gt;17&lt;/ref-type&gt;&lt;dates&gt;&lt;year&gt;2014&lt;/year&gt;&lt;/dates&gt;&lt;rec-number&gt;1054&lt;/rec-number&gt;&lt;last-updated-date format="utc"&gt;1456326631&lt;/last-updated-date&gt;&lt;/record&gt;&lt;/Cite&gt;&lt;/EndNote&gt;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(Martinez et al., 2014)</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To identify whether </w:t>
      </w:r>
      <w:r w:rsidRPr="003A48AB">
        <w:rPr>
          <w:rFonts w:ascii="Arial" w:eastAsia="Times New Roman" w:hAnsi="Arial" w:cs="Arial"/>
          <w:i/>
          <w:color w:val="000000"/>
          <w:lang w:eastAsia="en-US" w:bidi="en-US"/>
        </w:rPr>
        <w:t xml:space="preserve">P. patens </w:t>
      </w:r>
      <w:r w:rsidRPr="003A48AB">
        <w:rPr>
          <w:rFonts w:ascii="Arial" w:eastAsia="Times New Roman" w:hAnsi="Arial" w:cs="Arial"/>
          <w:color w:val="000000"/>
          <w:lang w:eastAsia="en-US" w:bidi="en-US"/>
        </w:rPr>
        <w:t xml:space="preserve">might have equivalent proteases to Arabidopsis </w:t>
      </w:r>
      <w:r w:rsidRPr="00185388">
        <w:rPr>
          <w:rFonts w:ascii="Arial" w:eastAsia="Times New Roman" w:hAnsi="Arial" w:cs="Arial"/>
          <w:i/>
          <w:color w:val="000000"/>
          <w:lang w:eastAsia="en-US" w:bidi="en-US"/>
        </w:rPr>
        <w:t>CRSP</w:t>
      </w:r>
      <w:r w:rsidRPr="003A48AB">
        <w:rPr>
          <w:rFonts w:ascii="Arial" w:eastAsia="Times New Roman" w:hAnsi="Arial" w:cs="Arial"/>
          <w:color w:val="000000"/>
          <w:lang w:eastAsia="en-US" w:bidi="en-US"/>
        </w:rPr>
        <w:t xml:space="preserve">, gene family members were checked using the V1.6 </w:t>
      </w:r>
      <w:r w:rsidRPr="003A48AB">
        <w:rPr>
          <w:rFonts w:ascii="Arial" w:eastAsia="Times New Roman" w:hAnsi="Arial" w:cs="Arial"/>
          <w:i/>
          <w:color w:val="000000"/>
          <w:lang w:eastAsia="en-US" w:bidi="en-US"/>
        </w:rPr>
        <w:t xml:space="preserve">P. patens </w:t>
      </w:r>
      <w:r w:rsidRPr="003A48AB">
        <w:rPr>
          <w:rFonts w:ascii="Arial" w:eastAsia="Times New Roman" w:hAnsi="Arial" w:cs="Arial"/>
          <w:color w:val="000000"/>
          <w:lang w:eastAsia="en-US" w:bidi="en-US"/>
        </w:rPr>
        <w:t xml:space="preserve">genome annotation </w:t>
      </w:r>
      <w:r w:rsidRPr="003A48AB">
        <w:rPr>
          <w:rFonts w:ascii="Arial" w:eastAsia="Times New Roman" w:hAnsi="Arial" w:cs="Arial"/>
          <w:color w:val="000000"/>
          <w:lang w:eastAsia="en-US" w:bidi="en-US"/>
        </w:rPr>
        <w:fldChar w:fldCharType="begin"/>
      </w:r>
      <w:r w:rsidRPr="003A48AB">
        <w:rPr>
          <w:rFonts w:ascii="Arial" w:eastAsia="Times New Roman" w:hAnsi="Arial" w:cs="Arial"/>
          <w:color w:val="000000"/>
          <w:lang w:eastAsia="en-US" w:bidi="en-US"/>
        </w:rPr>
        <w:instrText xml:space="preserve"> ADDIN EN.CITE &lt;EndNote&gt;&lt;Cite&gt;&lt;Author&gt;Zimmer&lt;/Author&gt;&lt;Year&gt;2013&lt;/Year&gt;&lt;IDText&gt;Reannotation and extended community resources for the genome of the non-seed plant Physcomitrella patens provide insights into the evolution of plant gene structures and functions&lt;/IDText&gt;&lt;DisplayText&gt;(Zimmer et al., 2013)&lt;/DisplayText&gt;&lt;record&gt;&lt;dates&gt;&lt;pub-dates&gt;&lt;date&gt;2013//&lt;/date&gt;&lt;/pub-dates&gt;&lt;year&gt;2013&lt;/year&gt;&lt;/dates&gt;&lt;urls&gt;&lt;related-urls&gt;&lt;url&gt;http://dx.doi.org/10.1186/1471-2164-14-498&lt;/url&gt;&lt;/related-urls&gt;&lt;/urls&gt;&lt;isbn&gt;1471-2164&lt;/isbn&gt;&lt;titles&gt;&lt;title&gt;Reannotation and extended community resources for the genome of the non-seed plant Physcomitrella patens provide insights into the evolution of plant gene structures and functions&lt;/title&gt;&lt;secondary-title&gt;BMC Genomics&lt;/secondary-title&gt;&lt;/titles&gt;&lt;pages&gt;1-20&lt;/pages&gt;&lt;number&gt;1&lt;/number&gt;&lt;contributors&gt;&lt;authors&gt;&lt;author&gt;Zimmer, Andreas D.&lt;/author&gt;&lt;author&gt;Lang, Daniel&lt;/author&gt;&lt;author&gt;Buchta, Karol&lt;/author&gt;&lt;author&gt;Rombauts, Stephane&lt;/author&gt;&lt;author&gt;Nishiyama, Tomoaki&lt;/author&gt;&lt;author&gt;Hasebe, Mitsuyasu&lt;/author&gt;&lt;author&gt;Van de Peer, Yves&lt;/author&gt;&lt;author&gt;Rensing, Stefan A.&lt;/author&gt;&lt;author&gt;Reski, Ralf&lt;/author&gt;&lt;/authors&gt;&lt;/contributors&gt;&lt;added-date format="utc"&gt;1454072737&lt;/added-date&gt;&lt;ref-type name="Journal Article"&gt;17&lt;/ref-type&gt;&lt;rec-number&gt;702&lt;/rec-number&gt;&lt;last-updated-date format="utc"&gt;1454072737&lt;/last-updated-date&gt;&lt;electronic-resource-num&gt;10.1186/1471-2164-14-498&lt;/electronic-resource-num&gt;&lt;volume&gt;14&lt;/volume&gt;&lt;/record&gt;&lt;/Cite&gt;&lt;/EndNote&gt;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(Zimmer et al., 2013)</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on Phytozome V10 </w:t>
      </w:r>
      <w:r w:rsidRPr="003A48AB">
        <w:rPr>
          <w:rFonts w:ascii="Arial" w:eastAsia="Times New Roman" w:hAnsi="Arial" w:cs="Arial"/>
          <w:color w:val="000000"/>
          <w:lang w:eastAsia="en-US" w:bidi="en-US"/>
        </w:rPr>
        <w:fldChar w:fldCharType="begin"/>
      </w:r>
      <w:r w:rsidRPr="003A48AB">
        <w:rPr>
          <w:rFonts w:ascii="Arial" w:eastAsia="Times New Roman" w:hAnsi="Arial" w:cs="Arial"/>
          <w:color w:val="000000"/>
          <w:lang w:eastAsia="en-US" w:bidi="en-US"/>
        </w:rPr>
        <w:instrText xml:space="preserve"> ADDIN EN.CITE &lt;EndNote&gt;&lt;Cite&gt;&lt;Author&gt;Goodstein&lt;/Author&gt;&lt;Year&gt;2012&lt;/Year&gt;&lt;IDText&gt;Phytozome: a comparative platform for green plant genomics&lt;/IDText&gt;&lt;DisplayText&gt;(Goodstein et al., 2012)&lt;/DisplayText&gt;&lt;record&gt;&lt;dates&gt;&lt;pub-dates&gt;&lt;date&gt;2012//&lt;/date&gt;&lt;/pub-dates&gt;&lt;year&gt;2012&lt;/year&gt;&lt;/dates&gt;&lt;urls&gt;&lt;related-urls&gt;&lt;url&gt;http://dx.doi.org/10.1093/nar/gkr944&lt;/url&gt;&lt;/related-urls&gt;&lt;/urls&gt;&lt;titles&gt;&lt;title&gt;Phytozome: a comparative platform for green plant genomics&lt;/title&gt;&lt;secondary-title&gt;Nucleic Acids Res&lt;/secondary-title&gt;&lt;/titles&gt;&lt;contributors&gt;&lt;authors&gt;&lt;author&gt;Goodstein, D. M.&lt;/author&gt;&lt;author&gt;Shu, S.&lt;/author&gt;&lt;author&gt;Howson, R.&lt;/author&gt;&lt;author&gt;Neupane, R.&lt;/author&gt;&lt;author&gt;Hayes, R. D.&lt;/author&gt;&lt;author&gt;Fazo, J.&lt;/author&gt;&lt;author&gt;Mitros, T.&lt;/author&gt;&lt;author&gt;Dirks, W.&lt;/author&gt;&lt;author&gt;Hellsten, U.&lt;/author&gt;&lt;author&gt;Putnam, N.&lt;/author&gt;&lt;author&gt;Rokhsar, D. S.&lt;/author&gt;&lt;/authors&gt;&lt;/contributors&gt;&lt;added-date format="utc"&gt;1454072695&lt;/added-date&gt;&lt;ref-type name="Journal Article"&gt;17&lt;/ref-type&gt;&lt;rec-number&gt;496&lt;/rec-number&gt;&lt;last-updated-date format="utc"&gt;1454072695&lt;/last-updated-date&gt;&lt;electronic-resource-num&gt;10.1093/nar/gkr944&lt;/electronic-resource-num&gt;&lt;volume&gt;40&lt;/volume&gt;&lt;/record&gt;&lt;/Cite&gt;&lt;/EndNote&gt;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(Goodstein et al., 2012)</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There were four gene family members identified which were suggested to share </w:t>
      </w:r>
      <w:r w:rsidRPr="003A48AB">
        <w:rPr>
          <w:rFonts w:ascii="Arial" w:eastAsia="Times New Roman" w:hAnsi="Arial" w:cs="Arial"/>
          <w:color w:val="000000"/>
          <w:lang w:eastAsia="en-US" w:bidi="en-US"/>
        </w:rPr>
        <w:lastRenderedPageBreak/>
        <w:t xml:space="preserve">homology, which for identification purposes have been labelled as PpSLSP1, PpSLSP2, PpSLSP3 and PpSLSP4. A more thorough phylogenetic analysis of putative </w:t>
      </w:r>
      <w:r w:rsidRPr="003A48AB">
        <w:rPr>
          <w:rFonts w:ascii="Arial" w:eastAsia="Times New Roman" w:hAnsi="Arial" w:cs="Arial"/>
          <w:i/>
          <w:color w:val="000000"/>
          <w:lang w:eastAsia="en-US" w:bidi="en-US"/>
        </w:rPr>
        <w:t xml:space="preserve">P. patens </w:t>
      </w:r>
      <w:r w:rsidRPr="003A48AB">
        <w:rPr>
          <w:rFonts w:ascii="Arial" w:eastAsia="Times New Roman" w:hAnsi="Arial" w:cs="Arial"/>
          <w:color w:val="000000"/>
          <w:lang w:eastAsia="en-US" w:bidi="en-US"/>
        </w:rPr>
        <w:t xml:space="preserve">CRSP family members was completed in February 2016 using Phytozome V11 the latest V3.3 of the </w:t>
      </w:r>
      <w:r w:rsidRPr="003A48AB">
        <w:rPr>
          <w:rFonts w:ascii="Arial" w:eastAsia="Times New Roman" w:hAnsi="Arial" w:cs="Arial"/>
          <w:i/>
          <w:color w:val="000000"/>
          <w:lang w:eastAsia="en-US" w:bidi="en-US"/>
        </w:rPr>
        <w:t>P. patens</w:t>
      </w:r>
      <w:r w:rsidRPr="003A48AB">
        <w:rPr>
          <w:rFonts w:ascii="Arial" w:eastAsia="Times New Roman" w:hAnsi="Arial" w:cs="Arial"/>
          <w:color w:val="000000"/>
          <w:lang w:eastAsia="en-US" w:bidi="en-US"/>
        </w:rPr>
        <w:t xml:space="preserve"> genome annotation (</w:t>
      </w:r>
      <w:r w:rsidRPr="003A48AB">
        <w:rPr>
          <w:rFonts w:ascii="Arial" w:eastAsia="Times New Roman" w:hAnsi="Arial" w:cs="Arial"/>
          <w:b/>
          <w:color w:val="000000"/>
          <w:lang w:eastAsia="en-US" w:bidi="en-US"/>
        </w:rPr>
        <w:t xml:space="preserve">Fig. 13). </w:t>
      </w:r>
    </w:p>
    <w:p w14:paraId="1678CAAA" w14:textId="77777777"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lang w:eastAsia="en-US" w:bidi="en-US"/>
        </w:rPr>
        <w:t xml:space="preserve">The phylogenetic analysis undertaken was performed by first blasting the peptide sequence of AtCRSP against the proteomes of </w:t>
      </w:r>
      <w:r w:rsidRPr="003A48AB">
        <w:rPr>
          <w:rFonts w:ascii="Arial" w:eastAsia="Times New Roman" w:hAnsi="Arial" w:cs="Arial"/>
          <w:i/>
          <w:color w:val="000000"/>
          <w:lang w:eastAsia="en-US" w:bidi="en-US"/>
        </w:rPr>
        <w:t>A. thaliana</w:t>
      </w:r>
      <w:r w:rsidRPr="003A48AB">
        <w:rPr>
          <w:rFonts w:ascii="Arial" w:eastAsia="Times New Roman" w:hAnsi="Arial" w:cs="Arial"/>
          <w:color w:val="000000"/>
          <w:lang w:eastAsia="en-US" w:bidi="en-US"/>
        </w:rPr>
        <w:t xml:space="preserve">, </w:t>
      </w:r>
      <w:r w:rsidRPr="003A48AB">
        <w:rPr>
          <w:rFonts w:ascii="Arial" w:eastAsia="Times New Roman" w:hAnsi="Arial" w:cs="Arial"/>
          <w:i/>
          <w:color w:val="000000"/>
          <w:lang w:eastAsia="en-US" w:bidi="en-US"/>
        </w:rPr>
        <w:t xml:space="preserve">P. patens </w:t>
      </w:r>
      <w:r w:rsidRPr="003A48AB">
        <w:rPr>
          <w:rFonts w:ascii="Arial" w:eastAsia="Times New Roman" w:hAnsi="Arial" w:cs="Arial"/>
          <w:color w:val="000000"/>
          <w:lang w:eastAsia="en-US" w:bidi="en-US"/>
        </w:rPr>
        <w:t xml:space="preserve">and </w:t>
      </w:r>
      <w:r w:rsidRPr="003A48AB">
        <w:rPr>
          <w:rFonts w:ascii="Arial" w:eastAsia="Times New Roman" w:hAnsi="Arial" w:cs="Arial"/>
          <w:i/>
          <w:color w:val="000000"/>
          <w:lang w:eastAsia="en-US" w:bidi="en-US"/>
        </w:rPr>
        <w:t xml:space="preserve">Selaginella moellendorffii </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Fig. 13</w:t>
      </w:r>
      <w:r w:rsidRPr="003A48AB">
        <w:rPr>
          <w:rFonts w:ascii="Arial" w:eastAsia="Times New Roman" w:hAnsi="Arial" w:cs="Arial"/>
          <w:color w:val="000000"/>
          <w:lang w:eastAsia="en-US" w:bidi="en-US"/>
        </w:rPr>
        <w:t>). Owing to large number of proteases utilised by land plants, the analysis had to be limited to a small number of species (see figure legend for a complete method).</w:t>
      </w:r>
      <w:r w:rsidRPr="003A48AB">
        <w:rPr>
          <w:rFonts w:ascii="Arial" w:eastAsia="Times New Roman" w:hAnsi="Arial" w:cs="Arial"/>
          <w:i/>
          <w:color w:val="000000"/>
          <w:lang w:eastAsia="en-US" w:bidi="en-US"/>
        </w:rPr>
        <w:t xml:space="preserve"> </w:t>
      </w:r>
      <w:r w:rsidRPr="003A48AB">
        <w:rPr>
          <w:rFonts w:ascii="Arial" w:eastAsia="Times New Roman" w:hAnsi="Arial" w:cs="Arial"/>
          <w:color w:val="000000"/>
          <w:lang w:eastAsia="en-US" w:bidi="en-US"/>
        </w:rPr>
        <w:t xml:space="preserve">As can be seen all four protease genes initially identified appear to be more similarly related to other peptides such as Arabidopsis SDD1 (which is also involved in stomatal development) </w:t>
      </w:r>
      <w:r w:rsidRPr="003A48AB">
        <w:rPr>
          <w:rFonts w:ascii="Arial" w:eastAsia="Times New Roman" w:hAnsi="Arial" w:cs="Arial"/>
          <w:color w:val="000000"/>
          <w:lang w:eastAsia="en-US" w:bidi="en-US"/>
        </w:rPr>
        <w:fldChar w:fldCharType="begin"/>
      </w:r>
      <w:r w:rsidRPr="003A48AB">
        <w:rPr>
          <w:rFonts w:ascii="Arial" w:eastAsia="Times New Roman" w:hAnsi="Arial" w:cs="Arial"/>
          <w:color w:val="000000"/>
          <w:lang w:eastAsia="en-US" w:bidi="en-US"/>
        </w:rPr>
        <w:instrText xml:space="preserve"> ADDIN EN.CITE &lt;EndNote&gt;&lt;Cite&gt;&lt;Author&gt;Berger&lt;/Author&gt;&lt;Year&gt;2000&lt;/Year&gt;&lt;IDText&gt;A subtilisin-like serine protease involved in the regulation of stomatal density and distribution in Arabidopsis thaliana&lt;/IDText&gt;&lt;DisplayText&gt;(Berger and Altmann, 2000)&lt;/DisplayText&gt;&lt;record&gt;&lt;dates&gt;&lt;pub-dates&gt;&lt;date&gt;May 1&lt;/date&gt;&lt;/pub-dates&gt;&lt;year&gt;2000&lt;/year&gt;&lt;/dates&gt;&lt;keywords&gt;&lt;keyword&gt;Amino Acid Sequence&lt;/keyword&gt;&lt;keyword&gt;Arabidopsis/genetics/growth &amp;amp; development/*physiology&lt;/keyword&gt;&lt;keyword&gt;*Arabidopsis Proteins&lt;/keyword&gt;&lt;keyword&gt;Consensus Sequence&lt;/keyword&gt;&lt;keyword&gt;Cotyledon/cytology/physiology&lt;/keyword&gt;&lt;keyword&gt;Gene Expression Regulation, Plant&lt;/keyword&gt;&lt;keyword&gt;Humans&lt;/keyword&gt;&lt;keyword&gt;Molecular Sequence Data&lt;/keyword&gt;&lt;keyword&gt;Plant Leaves/cytology/physiology&lt;/keyword&gt;&lt;keyword&gt;Sequence Alignment&lt;/keyword&gt;&lt;keyword&gt;Sequence Homology, Amino Acid&lt;/keyword&gt;&lt;keyword&gt;Serine Endopeptidases/chemistry/*genetics/*metabolism&lt;/keyword&gt;&lt;/keywords&gt;&lt;isbn&gt;0890-9369 (Print)&amp;#xD;0890-9369&lt;/isbn&gt;&lt;custom2&gt;PMC316574&lt;/custom2&gt;&lt;titles&gt;&lt;title&gt;A subtilisin-like serine protease involved in the regulation of stomatal density and distribution in Arabidopsis thaliana&lt;/title&gt;&lt;secondary-title&gt;Genes Dev&lt;/secondary-title&gt;&lt;alt-title&gt;Genes &amp;amp; development&lt;/alt-title&gt;&lt;/titles&gt;&lt;pages&gt;1119-31&lt;/pages&gt;&lt;number&gt;9&lt;/number&gt;&lt;contributors&gt;&lt;authors&gt;&lt;author&gt;Berger, D.&lt;/author&gt;&lt;author&gt;Altmann, T.&lt;/author&gt;&lt;/authors&gt;&lt;/contributors&gt;&lt;edition&gt;2000/05/16&lt;/edition&gt;&lt;language&gt;eng&lt;/language&gt;&lt;added-date format="utc"&gt;1456324745&lt;/added-date&gt;&lt;ref-type name="Journal Article"&gt;17&lt;/ref-type&gt;&lt;auth-address&gt;Department Willmitzer, Max-Planck-Institute of Molecular Plant Physiology, Am Muhlenberg 1, 14476 Golm, Germany.&lt;/auth-address&gt;&lt;remote-database-provider&gt;NLM&lt;/remote-database-provider&gt;&lt;rec-number&gt;1049&lt;/rec-number&gt;&lt;last-updated-date format="utc"&gt;1456324745&lt;/last-updated-date&gt;&lt;accession-num&gt;10809670&lt;/accession-num&gt;&lt;volume&gt;14&lt;/volume&gt;&lt;/record&gt;&lt;/Cite&gt;&lt;/EndNote&gt;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(Berger and Altmann, 2000)</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An additional protein sequence </w:t>
      </w:r>
      <w:r w:rsidRPr="003A48AB">
        <w:rPr>
          <w:rFonts w:ascii="Arial" w:eastAsia="Times New Roman" w:hAnsi="Arial" w:cs="Arial"/>
          <w:i/>
          <w:color w:val="000000"/>
          <w:lang w:eastAsia="en-US" w:bidi="en-US"/>
        </w:rPr>
        <w:t xml:space="preserve">PpSLSP5 </w:t>
      </w:r>
      <w:r w:rsidRPr="003A48AB">
        <w:rPr>
          <w:rFonts w:ascii="Arial" w:eastAsia="Times New Roman" w:hAnsi="Arial" w:cs="Arial"/>
          <w:color w:val="000000"/>
          <w:lang w:eastAsia="en-US" w:bidi="en-US"/>
        </w:rPr>
        <w:t xml:space="preserve">was also identified in this analysis, however at the time of experimentation it was not an annotated protein or gene and so has not been functionally studied. The expression level of this protein has been checked using Phytozome V11 </w:t>
      </w:r>
      <w:r w:rsidRPr="003A48AB">
        <w:rPr>
          <w:rFonts w:ascii="Arial" w:eastAsia="Times New Roman" w:hAnsi="Arial" w:cs="Arial"/>
          <w:color w:val="000000"/>
          <w:lang w:eastAsia="en-US" w:bidi="en-US"/>
        </w:rPr>
        <w:fldChar w:fldCharType="begin"/>
      </w:r>
      <w:r w:rsidRPr="003A48AB">
        <w:rPr>
          <w:rFonts w:ascii="Arial" w:eastAsia="Times New Roman" w:hAnsi="Arial" w:cs="Arial"/>
          <w:color w:val="000000"/>
          <w:lang w:eastAsia="en-US" w:bidi="en-US"/>
        </w:rPr>
        <w:instrText xml:space="preserve"> ADDIN EN.CITE &lt;EndNote&gt;&lt;Cite&gt;&lt;Author&gt;Goodstein&lt;/Author&gt;&lt;Year&gt;2012&lt;/Year&gt;&lt;IDText&gt;Phytozome: a comparative platform for green plant genomics&lt;/IDText&gt;&lt;DisplayText&gt;(Goodstein et al., 2012)&lt;/DisplayText&gt;&lt;record&gt;&lt;dates&gt;&lt;pub-dates&gt;&lt;date&gt;2012//&lt;/date&gt;&lt;/pub-dates&gt;&lt;year&gt;2012&lt;/year&gt;&lt;/dates&gt;&lt;urls&gt;&lt;related-urls&gt;&lt;url&gt;http://dx.doi.org/10.1093/nar/gkr944&lt;/url&gt;&lt;/related-urls&gt;&lt;/urls&gt;&lt;titles&gt;&lt;title&gt;Phytozome: a comparative platform for green plant genomics&lt;/title&gt;&lt;secondary-title&gt;Nucleic Acids Res&lt;/secondary-title&gt;&lt;/titles&gt;&lt;contributors&gt;&lt;authors&gt;&lt;author&gt;Goodstein, D. M.&lt;/author&gt;&lt;author&gt;Shu, S.&lt;/author&gt;&lt;author&gt;Howson, R.&lt;/author&gt;&lt;author&gt;Neupane, R.&lt;/author&gt;&lt;author&gt;Hayes, R. D.&lt;/author&gt;&lt;author&gt;Fazo, J.&lt;/author&gt;&lt;author&gt;Mitros, T.&lt;/author&gt;&lt;author&gt;Dirks, W.&lt;/author&gt;&lt;author&gt;Hellsten, U.&lt;/author&gt;&lt;author&gt;Putnam, N.&lt;/author&gt;&lt;author&gt;Rokhsar, D. S.&lt;/author&gt;&lt;/authors&gt;&lt;/contributors&gt;&lt;added-date format="utc"&gt;1454072695&lt;/added-date&gt;&lt;ref-type name="Journal Article"&gt;17&lt;/ref-type&gt;&lt;rec-number&gt;496&lt;/rec-number&gt;&lt;last-updated-date format="utc"&gt;1454072695&lt;/last-updated-date&gt;&lt;electronic-resource-num&gt;10.1093/nar/gkr944&lt;/electronic-resource-num&gt;&lt;volume&gt;40&lt;/volume&gt;&lt;/record&gt;&lt;/Cite&gt;&lt;/EndNote&gt;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(Goodstein et al., 2012)</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and it seems </w:t>
      </w:r>
      <w:r w:rsidRPr="003A48AB">
        <w:rPr>
          <w:rFonts w:ascii="Arial" w:eastAsia="Times New Roman" w:hAnsi="Arial" w:cs="Arial"/>
          <w:i/>
          <w:color w:val="000000"/>
          <w:lang w:eastAsia="en-US" w:bidi="en-US"/>
        </w:rPr>
        <w:t xml:space="preserve">PpSLSP5 </w:t>
      </w:r>
      <w:r w:rsidRPr="003A48AB">
        <w:rPr>
          <w:rFonts w:ascii="Arial" w:eastAsia="Times New Roman" w:hAnsi="Arial" w:cs="Arial"/>
          <w:color w:val="000000"/>
          <w:lang w:eastAsia="en-US" w:bidi="en-US"/>
        </w:rPr>
        <w:t xml:space="preserve">is most highly expressed in the sporophyte but not at a particularly high level comparatively to some of the other </w:t>
      </w:r>
      <w:r w:rsidRPr="003A48AB">
        <w:rPr>
          <w:rFonts w:ascii="Arial" w:eastAsia="Times New Roman" w:hAnsi="Arial" w:cs="Arial"/>
          <w:i/>
          <w:color w:val="000000"/>
          <w:lang w:eastAsia="en-US" w:bidi="en-US"/>
        </w:rPr>
        <w:t xml:space="preserve">PpSLSP </w:t>
      </w:r>
      <w:r w:rsidRPr="003A48AB">
        <w:rPr>
          <w:rFonts w:ascii="Arial" w:eastAsia="Times New Roman" w:hAnsi="Arial" w:cs="Arial"/>
          <w:color w:val="000000"/>
          <w:lang w:eastAsia="en-US" w:bidi="en-US"/>
        </w:rPr>
        <w:t xml:space="preserve">candidates such as </w:t>
      </w:r>
      <w:r w:rsidRPr="003A48AB">
        <w:rPr>
          <w:rFonts w:ascii="Arial" w:eastAsia="Times New Roman" w:hAnsi="Arial" w:cs="Arial"/>
          <w:i/>
          <w:color w:val="000000"/>
          <w:lang w:eastAsia="en-US" w:bidi="en-US"/>
        </w:rPr>
        <w:t xml:space="preserve">PpSLSP1 </w:t>
      </w:r>
      <w:r w:rsidRPr="003A48AB">
        <w:rPr>
          <w:rFonts w:ascii="Arial" w:eastAsia="Times New Roman" w:hAnsi="Arial" w:cs="Arial"/>
          <w:color w:val="000000"/>
          <w:lang w:eastAsia="en-US" w:bidi="en-US"/>
        </w:rPr>
        <w:t xml:space="preserve">or </w:t>
      </w:r>
      <w:r w:rsidRPr="003A48AB">
        <w:rPr>
          <w:rFonts w:ascii="Arial" w:eastAsia="Times New Roman" w:hAnsi="Arial" w:cs="Arial"/>
          <w:i/>
          <w:color w:val="000000"/>
          <w:lang w:eastAsia="en-US" w:bidi="en-US"/>
        </w:rPr>
        <w:t>PpSLSP2</w:t>
      </w:r>
      <w:r w:rsidRPr="003A48AB">
        <w:rPr>
          <w:rFonts w:ascii="Arial" w:eastAsia="Times New Roman" w:hAnsi="Arial" w:cs="Arial"/>
          <w:color w:val="000000"/>
          <w:lang w:eastAsia="en-US" w:bidi="en-US"/>
        </w:rPr>
        <w:t xml:space="preserve"> which might be like AtCRSP. </w:t>
      </w:r>
    </w:p>
    <w:p w14:paraId="330396BA"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noProof/>
          <w:lang w:eastAsia="ja-JP"/>
        </w:rPr>
        <w:lastRenderedPageBreak/>
        <w:drawing>
          <wp:inline distT="0" distB="0" distL="0" distR="0" wp14:anchorId="204D0AE3" wp14:editId="540F3886">
            <wp:extent cx="5810865" cy="7917593"/>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16479" cy="7925242"/>
                    </a:xfrm>
                    <a:prstGeom prst="rect">
                      <a:avLst/>
                    </a:prstGeom>
                    <a:noFill/>
                    <a:ln>
                      <a:noFill/>
                    </a:ln>
                  </pic:spPr>
                </pic:pic>
              </a:graphicData>
            </a:graphic>
          </wp:inline>
        </w:drawing>
      </w:r>
      <w:r w:rsidRPr="003A48AB">
        <w:rPr>
          <w:rFonts w:ascii="Arial" w:eastAsia="Yu Mincho" w:hAnsi="Arial" w:cs="Arial"/>
          <w:lang w:eastAsia="en-US" w:bidi="en-US"/>
        </w:rPr>
        <w:br w:type="textWrapping" w:clear="all"/>
      </w:r>
      <w:r w:rsidRPr="003A48AB">
        <w:rPr>
          <w:rFonts w:ascii="Arial" w:eastAsia="Times New Roman" w:hAnsi="Arial" w:cs="Arial"/>
          <w:b/>
          <w:bCs/>
          <w:color w:val="000000"/>
          <w:lang w:eastAsia="en-US" w:bidi="en-US"/>
        </w:rPr>
        <w:t xml:space="preserve">Figure 13. Phylogenetic relationships of selected subtilase family proteases that share homology with </w:t>
      </w:r>
      <w:r w:rsidRPr="003A48AB">
        <w:rPr>
          <w:rFonts w:ascii="Arial" w:eastAsia="Times New Roman" w:hAnsi="Arial" w:cs="Arial"/>
          <w:b/>
          <w:bCs/>
          <w:i/>
          <w:color w:val="000000"/>
          <w:lang w:eastAsia="en-US" w:bidi="en-US"/>
        </w:rPr>
        <w:t xml:space="preserve">Arabidopsis thaliana </w:t>
      </w:r>
      <w:r w:rsidRPr="003A48AB">
        <w:rPr>
          <w:rFonts w:ascii="Arial" w:eastAsia="Times New Roman" w:hAnsi="Arial" w:cs="Arial"/>
          <w:b/>
          <w:bCs/>
          <w:color w:val="000000"/>
          <w:lang w:eastAsia="en-US" w:bidi="en-US"/>
        </w:rPr>
        <w:t xml:space="preserve">CO2 RESPONSE SECRETED PROTEASE (AtCRSP). </w:t>
      </w:r>
      <w:r w:rsidRPr="003A48AB">
        <w:rPr>
          <w:rFonts w:ascii="Arial" w:eastAsia="Times New Roman" w:hAnsi="Arial" w:cs="Arial"/>
          <w:bCs/>
          <w:color w:val="000000"/>
          <w:lang w:eastAsia="en-US" w:bidi="en-US"/>
        </w:rPr>
        <w:t xml:space="preserve">Owing to the large number of family members within an individual species this </w:t>
      </w:r>
      <w:r w:rsidRPr="003A48AB">
        <w:rPr>
          <w:rFonts w:ascii="Arial" w:eastAsia="Times New Roman" w:hAnsi="Arial" w:cs="Arial"/>
          <w:bCs/>
          <w:color w:val="000000"/>
          <w:lang w:eastAsia="en-US" w:bidi="en-US"/>
        </w:rPr>
        <w:lastRenderedPageBreak/>
        <w:t xml:space="preserve">analysis was limited to 3 species. The </w:t>
      </w:r>
      <w:r w:rsidRPr="003A48AB">
        <w:rPr>
          <w:rFonts w:ascii="Arial" w:eastAsia="Times New Roman" w:hAnsi="Arial" w:cs="Arial"/>
          <w:color w:val="000000"/>
          <w:lang w:eastAsia="en-US" w:bidi="en-US"/>
        </w:rPr>
        <w:t xml:space="preserve">Sequences used were obtained by blasting the </w:t>
      </w:r>
      <w:r w:rsidRPr="003A48AB">
        <w:rPr>
          <w:rFonts w:ascii="Arial" w:eastAsia="Times New Roman" w:hAnsi="Arial" w:cs="Arial"/>
          <w:bCs/>
          <w:color w:val="000000"/>
          <w:lang w:eastAsia="en-US" w:bidi="en-US"/>
        </w:rPr>
        <w:t xml:space="preserve">AtCRSP amino acid sequence against the proteomes of </w:t>
      </w:r>
      <w:r w:rsidRPr="003A48AB">
        <w:rPr>
          <w:rFonts w:ascii="Arial" w:eastAsia="Times New Roman" w:hAnsi="Arial" w:cs="Arial"/>
          <w:bCs/>
          <w:i/>
          <w:color w:val="000000"/>
          <w:lang w:eastAsia="en-US" w:bidi="en-US"/>
        </w:rPr>
        <w:t xml:space="preserve">Physcomitrella patens </w:t>
      </w:r>
      <w:r w:rsidRPr="003A48AB">
        <w:rPr>
          <w:rFonts w:ascii="Arial" w:eastAsia="Times New Roman" w:hAnsi="Arial" w:cs="Arial"/>
          <w:bCs/>
          <w:color w:val="000000"/>
          <w:lang w:eastAsia="en-US" w:bidi="en-US"/>
        </w:rPr>
        <w:t xml:space="preserve">(Pp), </w:t>
      </w:r>
      <w:r w:rsidRPr="003A48AB">
        <w:rPr>
          <w:rFonts w:ascii="Arial" w:eastAsia="Times New Roman" w:hAnsi="Arial" w:cs="Arial"/>
          <w:bCs/>
          <w:i/>
          <w:color w:val="000000"/>
          <w:lang w:eastAsia="en-US" w:bidi="en-US"/>
        </w:rPr>
        <w:t xml:space="preserve">Selaginella moellendorffii </w:t>
      </w:r>
      <w:r w:rsidRPr="003A48AB">
        <w:rPr>
          <w:rFonts w:ascii="Arial" w:eastAsia="Times New Roman" w:hAnsi="Arial" w:cs="Arial"/>
          <w:bCs/>
          <w:color w:val="000000"/>
          <w:lang w:eastAsia="en-US" w:bidi="en-US"/>
        </w:rPr>
        <w:t xml:space="preserve">(Sm) and </w:t>
      </w:r>
      <w:r w:rsidRPr="003A48AB">
        <w:rPr>
          <w:rFonts w:ascii="Arial" w:eastAsia="Times New Roman" w:hAnsi="Arial" w:cs="Arial"/>
          <w:bCs/>
          <w:i/>
          <w:color w:val="000000"/>
          <w:lang w:eastAsia="en-US" w:bidi="en-US"/>
        </w:rPr>
        <w:t xml:space="preserve">Arabidopsis thaliana </w:t>
      </w:r>
      <w:r w:rsidRPr="003A48AB">
        <w:rPr>
          <w:rFonts w:ascii="Arial" w:eastAsia="Times New Roman" w:hAnsi="Arial" w:cs="Arial"/>
          <w:bCs/>
          <w:color w:val="000000"/>
          <w:lang w:eastAsia="en-US" w:bidi="en-US"/>
        </w:rPr>
        <w:t xml:space="preserve">(At) using Phytozome version 11 </w:t>
      </w:r>
      <w:r w:rsidRPr="003A48AB">
        <w:rPr>
          <w:rFonts w:ascii="Arial" w:eastAsia="Times New Roman" w:hAnsi="Arial" w:cs="Arial"/>
          <w:bCs/>
          <w:color w:val="000000"/>
          <w:lang w:eastAsia="en-US" w:bidi="en-US"/>
        </w:rPr>
        <w:fldChar w:fldCharType="begin"/>
      </w:r>
      <w:r w:rsidRPr="003A48AB">
        <w:rPr>
          <w:rFonts w:ascii="Arial" w:eastAsia="Times New Roman" w:hAnsi="Arial" w:cs="Arial"/>
          <w:bCs/>
          <w:color w:val="000000"/>
          <w:lang w:eastAsia="en-US" w:bidi="en-US"/>
        </w:rPr>
        <w:instrText xml:space="preserve"> ADDIN EN.CITE &lt;EndNote&gt;&lt;Cite&gt;&lt;Author&gt;Goodstein&lt;/Author&gt;&lt;Year&gt;2012&lt;/Year&gt;&lt;IDText&gt;Phytozome: a comparative platform for green plant genomics&lt;/IDText&gt;&lt;DisplayText&gt;(Goodstein et al., 2012)&lt;/DisplayText&gt;&lt;record&gt;&lt;dates&gt;&lt;pub-dates&gt;&lt;date&gt;2012//&lt;/date&gt;&lt;/pub-dates&gt;&lt;year&gt;2012&lt;/year&gt;&lt;/dates&gt;&lt;urls&gt;&lt;related-urls&gt;&lt;url&gt;http://dx.doi.org/10.1093/nar/gkr944&lt;/url&gt;&lt;/related-urls&gt;&lt;/urls&gt;&lt;titles&gt;&lt;title&gt;Phytozome: a comparative platform for green plant genomics&lt;/title&gt;&lt;secondary-title&gt;Nucleic Acids Res&lt;/secondary-title&gt;&lt;/titles&gt;&lt;contributors&gt;&lt;authors&gt;&lt;author&gt;Goodstein, D. M.&lt;/author&gt;&lt;author&gt;Shu, S.&lt;/author&gt;&lt;author&gt;Howson, R.&lt;/author&gt;&lt;author&gt;Neupane, R.&lt;/author&gt;&lt;author&gt;Hayes, R. D.&lt;/author&gt;&lt;author&gt;Fazo, J.&lt;/author&gt;&lt;author&gt;Mitros, T.&lt;/author&gt;&lt;author&gt;Dirks, W.&lt;/author&gt;&lt;author&gt;Hellsten, U.&lt;/author&gt;&lt;author&gt;Putnam, N.&lt;/author&gt;&lt;author&gt;Rokhsar, D. S.&lt;/author&gt;&lt;/authors&gt;&lt;/contributors&gt;&lt;added-date format="utc"&gt;1454072695&lt;/added-date&gt;&lt;ref-type name="Journal Article"&gt;17&lt;/ref-type&gt;&lt;rec-number&gt;496&lt;/rec-number&gt;&lt;last-updated-date format="utc"&gt;1454072695&lt;/last-updated-date&gt;&lt;electronic-resource-num&gt;10.1093/nar/gkr944&lt;/electronic-resource-num&gt;&lt;volume&gt;40&lt;/volume&gt;&lt;/record&gt;&lt;/Cite&gt;&lt;/EndNote&gt;</w:instrText>
      </w:r>
      <w:r w:rsidRPr="003A48AB">
        <w:rPr>
          <w:rFonts w:ascii="Arial" w:eastAsia="Times New Roman" w:hAnsi="Arial" w:cs="Arial"/>
          <w:bCs/>
          <w:color w:val="000000"/>
          <w:lang w:eastAsia="en-US" w:bidi="en-US"/>
        </w:rPr>
        <w:fldChar w:fldCharType="separate"/>
      </w:r>
      <w:r w:rsidRPr="003A48AB">
        <w:rPr>
          <w:rFonts w:ascii="Arial" w:eastAsia="Times New Roman" w:hAnsi="Arial" w:cs="Arial"/>
          <w:bCs/>
          <w:noProof/>
          <w:color w:val="000000"/>
          <w:lang w:eastAsia="en-US" w:bidi="en-US"/>
        </w:rPr>
        <w:t>(Goodstein et al., 2012)</w:t>
      </w:r>
      <w:r w:rsidRPr="003A48AB">
        <w:rPr>
          <w:rFonts w:ascii="Arial" w:eastAsia="Times New Roman" w:hAnsi="Arial" w:cs="Arial"/>
          <w:bCs/>
          <w:color w:val="000000"/>
          <w:lang w:eastAsia="en-US" w:bidi="en-US"/>
        </w:rPr>
        <w:fldChar w:fldCharType="end"/>
      </w:r>
      <w:r w:rsidRPr="003A48AB">
        <w:rPr>
          <w:rFonts w:ascii="Arial" w:eastAsia="Times New Roman" w:hAnsi="Arial" w:cs="Arial"/>
          <w:bCs/>
          <w:color w:val="000000"/>
          <w:lang w:eastAsia="en-US" w:bidi="en-US"/>
        </w:rPr>
        <w:t xml:space="preserve">. A total of 148 peptide sequences were obtained. Firstly, the 54 Arabidopsis sequences were aligned with the 16 </w:t>
      </w:r>
      <w:r w:rsidRPr="003A48AB">
        <w:rPr>
          <w:rFonts w:ascii="Arial" w:eastAsia="Times New Roman" w:hAnsi="Arial" w:cs="Arial"/>
          <w:bCs/>
          <w:i/>
          <w:color w:val="000000"/>
          <w:lang w:eastAsia="en-US" w:bidi="en-US"/>
        </w:rPr>
        <w:t xml:space="preserve">P. patens </w:t>
      </w:r>
      <w:r w:rsidRPr="003A48AB">
        <w:rPr>
          <w:rFonts w:ascii="Arial" w:eastAsia="Times New Roman" w:hAnsi="Arial" w:cs="Arial"/>
          <w:bCs/>
          <w:color w:val="000000"/>
          <w:lang w:eastAsia="en-US" w:bidi="en-US"/>
        </w:rPr>
        <w:t xml:space="preserve">sequences using the MUSCLE algorithm </w:t>
      </w:r>
      <w:r w:rsidRPr="003A48AB">
        <w:rPr>
          <w:rFonts w:ascii="Arial" w:eastAsia="Times New Roman" w:hAnsi="Arial" w:cs="Arial"/>
          <w:bCs/>
          <w:color w:val="000000"/>
          <w:lang w:eastAsia="en-US" w:bidi="en-US"/>
        </w:rPr>
        <w:fldChar w:fldCharType="begin"/>
      </w:r>
      <w:r w:rsidRPr="003A48AB">
        <w:rPr>
          <w:rFonts w:ascii="Arial" w:eastAsia="Times New Roman" w:hAnsi="Arial" w:cs="Arial"/>
          <w:bCs/>
          <w:color w:val="000000"/>
          <w:lang w:eastAsia="en-US" w:bidi="en-US"/>
        </w:rPr>
        <w:instrText xml:space="preserve"> ADDIN EN.CITE &lt;EndNote&gt;&lt;Cite&gt;&lt;Author&gt;Edgar&lt;/Author&gt;&lt;Year&gt;2004&lt;/Year&gt;&lt;IDText&gt;MUSCLE: a multiple sequence alignment method with reduced time and space complexity&lt;/IDText&gt;&lt;DisplayText&gt;(Edgar, 2004)&lt;/DisplayText&gt;&lt;record&gt;&lt;dates&gt;&lt;pub-dates&gt;&lt;date&gt;Aug 19&lt;/date&gt;&lt;/pub-dates&gt;&lt;year&gt;2004&lt;/year&gt;&lt;/dates&gt;&lt;keywords&gt;&lt;keyword&gt;Cluster Analysis&lt;/keyword&gt;&lt;keyword&gt;Computational Biology/methods/statistics &amp;amp; numerical data/trends&lt;/keyword&gt;&lt;keyword&gt;Phylogeny&lt;/keyword&gt;&lt;keyword&gt;Sequence Alignment/*methods/statistics &amp;amp; numerical data/*trends&lt;/keyword&gt;&lt;keyword&gt;*Software&lt;/keyword&gt;&lt;keyword&gt;Software Design&lt;/keyword&gt;&lt;keyword&gt;Time Factors&lt;/keyword&gt;&lt;/keywords&gt;&lt;isbn&gt;1471-2105&lt;/isbn&gt;&lt;custom2&gt;PMC517706&lt;/custom2&gt;&lt;titles&gt;&lt;title&gt;MUSCLE: a multiple sequence alignment method with reduced time and space complexity&lt;/title&gt;&lt;secondary-title&gt;BMC Bioinformatics&lt;/secondary-title&gt;&lt;alt-title&gt;BMC bioinformatics&lt;/alt-title&gt;&lt;/titles&gt;&lt;pages&gt;113&lt;/pages&gt;&lt;contributors&gt;&lt;authors&gt;&lt;author&gt;Edgar, R. C.&lt;/author&gt;&lt;/authors&gt;&lt;/contributors&gt;&lt;edition&gt;2004/08/21&lt;/edition&gt;&lt;language&gt;eng&lt;/language&gt;&lt;added-date format="utc"&gt;1452355510&lt;/added-date&gt;&lt;ref-type name="Journal Article"&gt;17&lt;/ref-type&gt;&lt;auth-address&gt;Department of Plant and Microbial Biology, 461 Koshland Hall, University of California, Berkeley, CA 94720-3102, USA. bob@drive5.com&lt;/auth-address&gt;&lt;remote-database-provider&gt;NLM&lt;/remote-database-provider&gt;&lt;rec-number&gt;420&lt;/rec-number&gt;&lt;last-updated-date format="utc"&gt;1452355510&lt;/last-updated-date&gt;&lt;accession-num&gt;15318951&lt;/accession-num&gt;&lt;electronic-resource-num&gt;10.1186/1471-2105-5-113&lt;/electronic-resource-num&gt;&lt;volume&gt;5&lt;/volume&gt;&lt;/record&gt;&lt;/Cite&gt;&lt;/EndNote&gt;</w:instrText>
      </w:r>
      <w:r w:rsidRPr="003A48AB">
        <w:rPr>
          <w:rFonts w:ascii="Arial" w:eastAsia="Times New Roman" w:hAnsi="Arial" w:cs="Arial"/>
          <w:bCs/>
          <w:color w:val="000000"/>
          <w:lang w:eastAsia="en-US" w:bidi="en-US"/>
        </w:rPr>
        <w:fldChar w:fldCharType="separate"/>
      </w:r>
      <w:r w:rsidRPr="003A48AB">
        <w:rPr>
          <w:rFonts w:ascii="Arial" w:eastAsia="Times New Roman" w:hAnsi="Arial" w:cs="Arial"/>
          <w:bCs/>
          <w:noProof/>
          <w:color w:val="000000"/>
          <w:lang w:eastAsia="en-US" w:bidi="en-US"/>
        </w:rPr>
        <w:t>(Edgar, 2004)</w:t>
      </w:r>
      <w:r w:rsidRPr="003A48AB">
        <w:rPr>
          <w:rFonts w:ascii="Arial" w:eastAsia="Times New Roman" w:hAnsi="Arial" w:cs="Arial"/>
          <w:bCs/>
          <w:color w:val="000000"/>
          <w:lang w:eastAsia="en-US" w:bidi="en-US"/>
        </w:rPr>
        <w:fldChar w:fldCharType="end"/>
      </w:r>
      <w:r w:rsidRPr="003A48AB">
        <w:rPr>
          <w:rFonts w:ascii="Arial" w:eastAsia="Times New Roman" w:hAnsi="Arial" w:cs="Arial"/>
          <w:bCs/>
          <w:color w:val="000000"/>
          <w:lang w:eastAsia="en-US" w:bidi="en-US"/>
        </w:rPr>
        <w:t xml:space="preserve"> on Jalview </w:t>
      </w:r>
      <w:r w:rsidRPr="003A48AB">
        <w:rPr>
          <w:rFonts w:ascii="Arial" w:eastAsia="Times New Roman" w:hAnsi="Arial" w:cs="Arial"/>
          <w:bCs/>
          <w:color w:val="000000"/>
          <w:lang w:eastAsia="en-US" w:bidi="en-US"/>
        </w:rPr>
        <w:fldChar w:fldCharType="begin"/>
      </w:r>
      <w:r w:rsidRPr="003A48AB">
        <w:rPr>
          <w:rFonts w:ascii="Arial" w:eastAsia="Times New Roman" w:hAnsi="Arial" w:cs="Arial"/>
          <w:bCs/>
          <w:color w:val="000000"/>
          <w:lang w:eastAsia="en-US" w:bidi="en-US"/>
        </w:rPr>
        <w:instrText xml:space="preserve"> ADDIN EN.CITE &lt;EndNote&gt;&lt;Cite&gt;&lt;Author&gt;Waterhouse&lt;/Author&gt;&lt;Year&gt;2009&lt;/Year&gt;&lt;IDText&gt;Jalview Version 2 - a multiple sequence alignment editor and analysis workbench&lt;/IDText&gt;&lt;DisplayText&gt;(Waterhouse et al., 2009)&lt;/DisplayText&gt;&lt;record&gt;&lt;dates&gt;&lt;pub-dates&gt;&lt;date&gt;May 1&lt;/date&gt;&lt;/pub-dates&gt;&lt;year&gt;2009&lt;/year&gt;&lt;/dates&gt;&lt;keywords&gt;&lt;keyword&gt;Computational Biology/*methods&lt;/keyword&gt;&lt;keyword&gt;Databases, Protein&lt;/keyword&gt;&lt;keyword&gt;Proteins/*chemistry&lt;/keyword&gt;&lt;keyword&gt;Sequence Alignment/*methods&lt;/keyword&gt;&lt;keyword&gt;Sequence Analysis, Protein&lt;/keyword&gt;&lt;keyword&gt;*Software&lt;/keyword&gt;&lt;/keywords&gt;&lt;isbn&gt;1367-4803&lt;/isbn&gt;&lt;custom2&gt;PMC2672624&lt;/custom2&gt;&lt;titles&gt;&lt;title&gt;Jalview Version 2 - a multiple sequence alignment editor and analysis workbench&lt;/title&gt;&lt;secondary-title&gt;Bioinformatics&lt;/secondary-title&gt;&lt;alt-title&gt;Bioinformatics (Oxford, England)&lt;/alt-title&gt;&lt;/titles&gt;&lt;pages&gt;1189-91&lt;/pages&gt;&lt;number&gt;9&lt;/number&gt;&lt;contributors&gt;&lt;authors&gt;&lt;author&gt;Waterhouse, A. M.&lt;/author&gt;&lt;author&gt;Procter, J. B.&lt;/author&gt;&lt;author&gt;Martin, D. M.&lt;/author&gt;&lt;author&gt;Clamp, M.&lt;/author&gt;&lt;author&gt;Barton, G. J.&lt;/author&gt;&lt;/authors&gt;&lt;/contributors&gt;&lt;edition&gt;2009/01/20&lt;/edition&gt;&lt;language&gt;eng&lt;/language&gt;&lt;added-date format="utc"&gt;1452355379&lt;/added-date&gt;&lt;ref-type name="Journal Article"&gt;17&lt;/ref-type&gt;&lt;auth-address&gt;School of Life Sciences Research, College of Life Sciences, University of Dundee, Dow Street, Dundee DD1 5EH, UK.&lt;/auth-address&gt;&lt;remote-database-provider&gt;NLM&lt;/remote-database-provider&gt;&lt;rec-number&gt;419&lt;/rec-number&gt;&lt;last-updated-date format="utc"&gt;1452355444&lt;/last-updated-date&gt;&lt;accession-num&gt;19151095&lt;/accession-num&gt;&lt;electronic-resource-num&gt;10.1093/bioinformatics/btp033&lt;/electronic-resource-num&gt;&lt;volume&gt;25&lt;/volume&gt;&lt;/record&gt;&lt;/Cite&gt;&lt;/EndNote&gt;</w:instrText>
      </w:r>
      <w:r w:rsidRPr="003A48AB">
        <w:rPr>
          <w:rFonts w:ascii="Arial" w:eastAsia="Times New Roman" w:hAnsi="Arial" w:cs="Arial"/>
          <w:bCs/>
          <w:color w:val="000000"/>
          <w:lang w:eastAsia="en-US" w:bidi="en-US"/>
        </w:rPr>
        <w:fldChar w:fldCharType="separate"/>
      </w:r>
      <w:r w:rsidRPr="003A48AB">
        <w:rPr>
          <w:rFonts w:ascii="Arial" w:eastAsia="Times New Roman" w:hAnsi="Arial" w:cs="Arial"/>
          <w:bCs/>
          <w:noProof/>
          <w:color w:val="000000"/>
          <w:lang w:eastAsia="en-US" w:bidi="en-US"/>
        </w:rPr>
        <w:t>(Waterhouse et al., 2009)</w:t>
      </w:r>
      <w:r w:rsidRPr="003A48AB">
        <w:rPr>
          <w:rFonts w:ascii="Arial" w:eastAsia="Times New Roman" w:hAnsi="Arial" w:cs="Arial"/>
          <w:bCs/>
          <w:color w:val="000000"/>
          <w:lang w:eastAsia="en-US" w:bidi="en-US"/>
        </w:rPr>
        <w:fldChar w:fldCharType="end"/>
      </w:r>
      <w:r w:rsidRPr="003A48AB">
        <w:rPr>
          <w:rFonts w:ascii="Arial" w:eastAsia="Times New Roman" w:hAnsi="Arial" w:cs="Arial"/>
          <w:bCs/>
          <w:color w:val="000000"/>
          <w:lang w:eastAsia="en-US" w:bidi="en-US"/>
        </w:rPr>
        <w:t xml:space="preserve">. A tree was then constructed by computing the average distances using  BLOSUM62 </w:t>
      </w:r>
      <w:r w:rsidRPr="003A48AB">
        <w:rPr>
          <w:rFonts w:ascii="Arial" w:eastAsia="Times New Roman" w:hAnsi="Arial" w:cs="Arial"/>
          <w:bCs/>
          <w:color w:val="000000"/>
          <w:lang w:eastAsia="en-US" w:bidi="en-US"/>
        </w:rPr>
        <w:fldChar w:fldCharType="begin"/>
      </w:r>
      <w:r w:rsidRPr="003A48AB">
        <w:rPr>
          <w:rFonts w:ascii="Arial" w:eastAsia="Times New Roman" w:hAnsi="Arial" w:cs="Arial"/>
          <w:bCs/>
          <w:color w:val="000000"/>
          <w:lang w:eastAsia="en-US" w:bidi="en-US"/>
        </w:rPr>
        <w:instrText xml:space="preserve"> ADDIN EN.CITE &lt;EndNote&gt;&lt;Cite&gt;&lt;Author&gt;Henikoff&lt;/Author&gt;&lt;Year&gt;1992&lt;/Year&gt;&lt;IDText&gt;Amino acid substitution matrices from protein blocks&lt;/IDText&gt;&lt;DisplayText&gt;(Henikoff and Henikoff, 1992)&lt;/DisplayText&gt;&lt;record&gt;&lt;dates&gt;&lt;pub-dates&gt;&lt;date&gt;Nov 15&lt;/date&gt;&lt;/pub-dates&gt;&lt;year&gt;1992&lt;/year&gt;&lt;/dates&gt;&lt;keywords&gt;&lt;keyword&gt;Algorithms&lt;/keyword&gt;&lt;keyword&gt;*Amino Acid Sequence&lt;/keyword&gt;&lt;keyword&gt;Animals&lt;/keyword&gt;&lt;keyword&gt;Caenorhabditis elegans/genetics&lt;/keyword&gt;&lt;keyword&gt;Drosophila/genetics&lt;/keyword&gt;&lt;keyword&gt;Lod Score&lt;/keyword&gt;&lt;keyword&gt;Mathematics&lt;/keyword&gt;&lt;keyword&gt;Molecular Sequence Data&lt;/keyword&gt;&lt;keyword&gt;Probability&lt;/keyword&gt;&lt;keyword&gt;Proteins/chemistry/*genetics&lt;/keyword&gt;&lt;keyword&gt;*Sequence Homology, Amino Acid&lt;/keyword&gt;&lt;keyword&gt;*Software&lt;/keyword&gt;&lt;/keywords&gt;&lt;isbn&gt;0027-8424 (Print)&amp;#xD;0027-8424&lt;/isbn&gt;&lt;custom2&gt;PMC50453&lt;/custom2&gt;&lt;titles&gt;&lt;title&gt;Amino acid substitution matrices from protein blocks&lt;/title&gt;&lt;secondary-title&gt;Proc Natl Acad Sci U S A&lt;/secondary-title&gt;&lt;alt-title&gt;Proceedings of the National Academy of Sciences of the United States of America&lt;/alt-title&gt;&lt;/titles&gt;&lt;pages&gt;10915-9&lt;/pages&gt;&lt;number&gt;22&lt;/number&gt;&lt;contributors&gt;&lt;authors&gt;&lt;author&gt;Henikoff, S.&lt;/author&gt;&lt;author&gt;Henikoff, J. G.&lt;/author&gt;&lt;/authors&gt;&lt;/contributors&gt;&lt;edition&gt;1992/11/15&lt;/edition&gt;&lt;language&gt;eng&lt;/language&gt;&lt;added-date format="utc"&gt;1454068552&lt;/added-date&gt;&lt;ref-type name="Journal Article"&gt;17&lt;/ref-type&gt;&lt;auth-address&gt;Howard Hughes Medical Institute, Fred Hutchinson Cancer Research Center, Seattle, WA 98104.&lt;/auth-address&gt;&lt;remote-database-provider&gt;NLM&lt;/remote-database-provider&gt;&lt;rec-number&gt;456&lt;/rec-number&gt;&lt;last-updated-date format="utc"&gt;1454068552&lt;/last-updated-date&gt;&lt;accession-num&gt;1438297&lt;/accession-num&gt;&lt;volume&gt;89&lt;/volume&gt;&lt;/record&gt;&lt;/Cite&gt;&lt;/EndNote&gt;</w:instrText>
      </w:r>
      <w:r w:rsidRPr="003A48AB">
        <w:rPr>
          <w:rFonts w:ascii="Arial" w:eastAsia="Times New Roman" w:hAnsi="Arial" w:cs="Arial"/>
          <w:bCs/>
          <w:color w:val="000000"/>
          <w:lang w:eastAsia="en-US" w:bidi="en-US"/>
        </w:rPr>
        <w:fldChar w:fldCharType="separate"/>
      </w:r>
      <w:r w:rsidRPr="003A48AB">
        <w:rPr>
          <w:rFonts w:ascii="Arial" w:eastAsia="Times New Roman" w:hAnsi="Arial" w:cs="Arial"/>
          <w:bCs/>
          <w:noProof/>
          <w:color w:val="000000"/>
          <w:lang w:eastAsia="en-US" w:bidi="en-US"/>
        </w:rPr>
        <w:t>(Henikoff and Henikoff, 1992)</w:t>
      </w:r>
      <w:r w:rsidRPr="003A48AB">
        <w:rPr>
          <w:rFonts w:ascii="Arial" w:eastAsia="Times New Roman" w:hAnsi="Arial" w:cs="Arial"/>
          <w:bCs/>
          <w:color w:val="000000"/>
          <w:lang w:eastAsia="en-US" w:bidi="en-US"/>
        </w:rPr>
        <w:fldChar w:fldCharType="end"/>
      </w:r>
      <w:r w:rsidRPr="003A48AB">
        <w:rPr>
          <w:rFonts w:ascii="Arial" w:eastAsia="Times New Roman" w:hAnsi="Arial" w:cs="Arial"/>
          <w:bCs/>
          <w:color w:val="000000"/>
          <w:lang w:eastAsia="en-US" w:bidi="en-US"/>
        </w:rPr>
        <w:t xml:space="preserve">. From the produced tree, 17 sequences were identified to cluster in a clade with AtCRSP and so together with AtCRSP, these sequences were taken forward and aligned with the 78 sequences obtained from blasting AtCRSP against the </w:t>
      </w:r>
      <w:r w:rsidRPr="003A48AB">
        <w:rPr>
          <w:rFonts w:ascii="Arial" w:eastAsia="Times New Roman" w:hAnsi="Arial" w:cs="Arial"/>
          <w:bCs/>
          <w:i/>
          <w:color w:val="000000"/>
          <w:lang w:eastAsia="en-US" w:bidi="en-US"/>
        </w:rPr>
        <w:t>S. moellendorffii</w:t>
      </w:r>
      <w:r w:rsidRPr="003A48AB">
        <w:rPr>
          <w:rFonts w:ascii="Arial" w:eastAsia="Times New Roman" w:hAnsi="Arial" w:cs="Arial"/>
          <w:bCs/>
          <w:color w:val="000000"/>
          <w:lang w:eastAsia="en-US" w:bidi="en-US"/>
        </w:rPr>
        <w:t xml:space="preserve"> genome again using MUSCLE on Jalview. A phylogenetic tree was then produced using the computed average distances obtained via the BLOSUM62 algorithm. From the generated tree, 27 sequences were isolated that formed a clade with AtCRSP. These sequences together with a closely related subtilase, AT2G39850 were isolated and subsequently aligned using MUSCLE in MEGA6 </w:t>
      </w:r>
      <w:r w:rsidRPr="003A48AB">
        <w:rPr>
          <w:rFonts w:ascii="Arial" w:eastAsia="Times New Roman" w:hAnsi="Arial" w:cs="Arial"/>
          <w:bCs/>
          <w:color w:val="000000"/>
          <w:lang w:eastAsia="en-US" w:bidi="en-US"/>
        </w:rPr>
        <w:fldChar w:fldCharType="begin"/>
      </w:r>
      <w:r w:rsidRPr="003A48AB">
        <w:rPr>
          <w:rFonts w:ascii="Arial" w:eastAsia="Times New Roman" w:hAnsi="Arial" w:cs="Arial"/>
          <w:bCs/>
          <w:color w:val="000000"/>
          <w:lang w:eastAsia="en-US" w:bidi="en-US"/>
        </w:rPr>
        <w:instrText xml:space="preserve"> ADDIN EN.CITE &lt;EndNote&gt;&lt;Cite&gt;&lt;Author&gt;Tamura&lt;/Author&gt;&lt;Year&gt;2013&lt;/Year&gt;&lt;IDText&gt;MEGA6: Molecular Evolutionary Genetics Analysis version 6.0&lt;/IDText&gt;&lt;DisplayText&gt;(Tamura et al., 2013)&lt;/DisplayText&gt;&lt;record&gt;&lt;dates&gt;&lt;pub-dates&gt;&lt;date&gt;Dec&lt;/date&gt;&lt;/pub-dates&gt;&lt;year&gt;2013&lt;/year&gt;&lt;/dates&gt;&lt;keywords&gt;&lt;keyword&gt;Algorithms&lt;/keyword&gt;&lt;keyword&gt;Databases, Genetic&lt;/keyword&gt;&lt;keyword&gt;*Evolution, Molecular&lt;/keyword&gt;&lt;keyword&gt;Internet&lt;/keyword&gt;&lt;keyword&gt;Phylogeny&lt;/keyword&gt;&lt;keyword&gt;*Software&lt;/keyword&gt;&lt;keyword&gt;*User-Computer Interface&lt;/keyword&gt;&lt;keyword&gt;phylogeny&lt;/keyword&gt;&lt;keyword&gt;relaxed clocks&lt;/keyword&gt;&lt;keyword&gt;software&lt;/keyword&gt;&lt;/keywords&gt;&lt;isbn&gt;0737-4038&lt;/isbn&gt;&lt;custom2&gt;PMC3840312&lt;/custom2&gt;&lt;titles&gt;&lt;title&gt;MEGA6: Molecular Evolutionary Genetics Analysis version 6.0&lt;/title&gt;&lt;secondary-title&gt;Mol Biol Evol&lt;/secondary-title&gt;&lt;alt-title&gt;Molecular biology and evolution&lt;/alt-title&gt;&lt;/titles&gt;&lt;pages&gt;2725-9&lt;/pages&gt;&lt;number&gt;12&lt;/number&gt;&lt;contributors&gt;&lt;authors&gt;&lt;author&gt;Tamura, K.&lt;/author&gt;&lt;author&gt;Stecher, G.&lt;/author&gt;&lt;author&gt;Peterson, D.&lt;/author&gt;&lt;author&gt;Filipski, A.&lt;/author&gt;&lt;author&gt;Kumar, S.&lt;/author&gt;&lt;/authors&gt;&lt;/contributors&gt;&lt;edition&gt;2013/10/18&lt;/edition&gt;&lt;language&gt;eng&lt;/language&gt;&lt;added-date format="utc"&gt;1453907986&lt;/added-date&gt;&lt;ref-type name="Journal Article"&gt;17&lt;/ref-type&gt;&lt;auth-address&gt;Research Center for Genomics and Bioinformatics, Tokyo Metropolitan University, Hachioji, Tokyo, Japan.&lt;/auth-address&gt;&lt;remote-database-provider&gt;NLM&lt;/remote-database-provider&gt;&lt;rec-number&gt;455&lt;/rec-number&gt;&lt;last-updated-date format="utc"&gt;1453907986&lt;/last-updated-date&gt;&lt;accession-num&gt;24132122&lt;/accession-num&gt;&lt;electronic-resource-num&gt;10.1093/molbev/mst197&lt;/electronic-resource-num&gt;&lt;volume&gt;30&lt;/volume&gt;&lt;/record&gt;&lt;/Cite&gt;&lt;/EndNote&gt;</w:instrText>
      </w:r>
      <w:r w:rsidRPr="003A48AB">
        <w:rPr>
          <w:rFonts w:ascii="Arial" w:eastAsia="Times New Roman" w:hAnsi="Arial" w:cs="Arial"/>
          <w:bCs/>
          <w:color w:val="000000"/>
          <w:lang w:eastAsia="en-US" w:bidi="en-US"/>
        </w:rPr>
        <w:fldChar w:fldCharType="separate"/>
      </w:r>
      <w:r w:rsidRPr="003A48AB">
        <w:rPr>
          <w:rFonts w:ascii="Arial" w:eastAsia="Times New Roman" w:hAnsi="Arial" w:cs="Arial"/>
          <w:bCs/>
          <w:noProof/>
          <w:color w:val="000000"/>
          <w:lang w:eastAsia="en-US" w:bidi="en-US"/>
        </w:rPr>
        <w:t>(Tamura et al., 2013)</w:t>
      </w:r>
      <w:r w:rsidRPr="003A48AB">
        <w:rPr>
          <w:rFonts w:ascii="Arial" w:eastAsia="Times New Roman" w:hAnsi="Arial" w:cs="Arial"/>
          <w:bCs/>
          <w:color w:val="000000"/>
          <w:lang w:eastAsia="en-US" w:bidi="en-US"/>
        </w:rPr>
        <w:fldChar w:fldCharType="end"/>
      </w:r>
      <w:r w:rsidRPr="003A48AB">
        <w:rPr>
          <w:rFonts w:ascii="Arial" w:eastAsia="Times New Roman" w:hAnsi="Arial" w:cs="Arial"/>
          <w:bCs/>
          <w:color w:val="000000"/>
          <w:lang w:eastAsia="en-US" w:bidi="en-US"/>
        </w:rPr>
        <w:t xml:space="preserve"> </w:t>
      </w:r>
      <w:r w:rsidRPr="003A48AB">
        <w:rPr>
          <w:rFonts w:ascii="Arial" w:eastAsia="Times New Roman" w:hAnsi="Arial" w:cs="Arial"/>
          <w:color w:val="000000"/>
          <w:lang w:eastAsia="en-US" w:bidi="en-US"/>
        </w:rPr>
        <w:t xml:space="preserve">To construct the final phylogenetic tree the Neighbour-Joining method was used </w:t>
      </w:r>
      <w:r w:rsidRPr="003A48AB">
        <w:rPr>
          <w:rFonts w:ascii="Arial" w:eastAsia="Times New Roman" w:hAnsi="Arial" w:cs="Arial"/>
          <w:color w:val="000000"/>
          <w:lang w:eastAsia="en-US" w:bidi="en-US"/>
        </w:rPr>
        <w:fldChar w:fldCharType="begin"/>
      </w:r>
      <w:r w:rsidRPr="003A48AB">
        <w:rPr>
          <w:rFonts w:ascii="Arial" w:eastAsia="Times New Roman" w:hAnsi="Arial" w:cs="Arial"/>
          <w:color w:val="000000"/>
          <w:lang w:eastAsia="en-US" w:bidi="en-US"/>
        </w:rPr>
        <w:instrText xml:space="preserve"> ADDIN EN.CITE &lt;EndNote&gt;&lt;Cite&gt;&lt;Author&gt;Saitou&lt;/Author&gt;&lt;Year&gt;1987&lt;/Year&gt;&lt;IDText&gt;The neighbor-joining method: a new method for reconstructing phylogenetic trees&lt;/IDText&gt;&lt;DisplayText&gt;(Saitou and Nei, 1987)&lt;/DisplayText&gt;&lt;record&gt;&lt;dates&gt;&lt;pub-dates&gt;&lt;date&gt;Jul&lt;/date&gt;&lt;/pub-dates&gt;&lt;year&gt;1987&lt;/year&gt;&lt;/dates&gt;&lt;keywords&gt;&lt;keyword&gt;Animals&lt;/keyword&gt;&lt;keyword&gt;Biological Evolution&lt;/keyword&gt;&lt;keyword&gt;Biometry&lt;/keyword&gt;&lt;keyword&gt;*Models, Genetic&lt;/keyword&gt;&lt;keyword&gt;*Phylogeny&lt;/keyword&gt;&lt;keyword&gt;Ranidae/*genetics&lt;/keyword&gt;&lt;/keywords&gt;&lt;isbn&gt;0737-4038 (Print)&amp;#xD;0737-4038&lt;/isbn&gt;&lt;titles&gt;&lt;title&gt;The neighbor-joining method: a new method for reconstructing phylogenetic trees&lt;/title&gt;&lt;secondary-title&gt;Mol Biol Evol&lt;/secondary-title&gt;&lt;alt-title&gt;Molecular biology and evolution&lt;/alt-title&gt;&lt;/titles&gt;&lt;pages&gt;406-25&lt;/pages&gt;&lt;number&gt;4&lt;/number&gt;&lt;contributors&gt;&lt;authors&gt;&lt;author&gt;Saitou, N.&lt;/author&gt;&lt;author&gt;Nei, M.&lt;/author&gt;&lt;/authors&gt;&lt;/contributors&gt;&lt;edition&gt;1987/07/01&lt;/edition&gt;&lt;language&gt;eng&lt;/language&gt;&lt;added-date format="utc"&gt;1453907563&lt;/added-date&gt;&lt;ref-type name="Journal Article"&gt;17&lt;/ref-type&gt;&lt;auth-address&gt;Center for Demographic and Population Genetics, University of Texas Health Science Center, Houston 77225.&lt;/auth-address&gt;&lt;remote-database-provider&gt;NLM&lt;/remote-database-provider&gt;&lt;rec-number&gt;451&lt;/rec-number&gt;&lt;last-updated-date format="utc"&gt;1453907563&lt;/last-updated-date&gt;&lt;accession-num&gt;3447015&lt;/accession-num&gt;&lt;volume&gt;4&lt;/volume&gt;&lt;/record&gt;&lt;/Cite&gt;&lt;/EndNote&gt;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(Saitou and Nei, 1987)</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A bootstrap test (1000 replicates) was performed, with percentages generated listed next to branches to illustrate how often associated taxa cluster together </w:t>
      </w:r>
      <w:r w:rsidRPr="003A48AB">
        <w:rPr>
          <w:rFonts w:ascii="Arial" w:eastAsia="Times New Roman" w:hAnsi="Arial" w:cs="Arial"/>
          <w:color w:val="000000"/>
          <w:lang w:eastAsia="en-US" w:bidi="en-US"/>
        </w:rPr>
        <w:fldChar w:fldCharType="begin"/>
      </w:r>
      <w:r w:rsidRPr="003A48AB">
        <w:rPr>
          <w:rFonts w:ascii="Arial" w:eastAsia="Times New Roman" w:hAnsi="Arial" w:cs="Arial"/>
          <w:color w:val="000000"/>
          <w:lang w:eastAsia="en-US" w:bidi="en-US"/>
        </w:rPr>
        <w:instrText xml:space="preserve"> ADDIN EN.CITE &lt;EndNote&gt;&lt;Cite&gt;&lt;Author&gt;Felsenstein&lt;/Author&gt;&lt;Year&gt;1985&lt;/Year&gt;&lt;IDText&gt;Confidence Limits on Phylogenies: An Approach Using the Bootstrap&lt;/IDText&gt;&lt;DisplayText&gt;(Felsenstein, 1985)&lt;/DisplayText&gt;&lt;record&gt;&lt;urls&gt;&lt;related-urls&gt;&lt;url&gt;http://www.jstor.org/stable/2408678&lt;/url&gt;&lt;/related-urls&gt;&lt;/urls&gt;&lt;isbn&gt;00143820, 15585646&lt;/isbn&gt;&lt;custom1&gt;Full publication date: Jul., 1985&lt;/custom1&gt;&lt;titles&gt;&lt;title&gt;Confidence Limits on Phylogenies: An Approach Using the Bootstrap&lt;/title&gt;&lt;secondary-title&gt;Evolution&lt;/secondary-title&gt;&lt;/titles&gt;&lt;pages&gt;783-791&lt;/pages&gt;&lt;number&gt;4&lt;/number&gt;&lt;contributors&gt;&lt;authors&gt;&lt;author&gt;Felsenstein, Joseph&lt;/author&gt;&lt;/authors&gt;&lt;/contributors&gt;&lt;added-date format="utc"&gt;1453907641&lt;/added-date&gt;&lt;ref-type name="Journal Article"&gt;17&lt;/ref-type&gt;&lt;dates&gt;&lt;year&gt;1985&lt;/year&gt;&lt;/dates&gt;&lt;rec-number&gt;452&lt;/rec-number&gt;&lt;publisher&gt;[Society for the Study of Evolution, Wiley]&lt;/publisher&gt;&lt;last-updated-date format="utc"&gt;1453907641&lt;/last-updated-date&gt;&lt;electronic-resource-num&gt;10.2307/2408678&lt;/electronic-resource-num&gt;&lt;volume&gt;39&lt;/volume&gt;&lt;/record&gt;&lt;/Cite&gt;&lt;/EndNote&gt;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(Felsenstein, 1985)</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The Poisson correction method was used to compute evolutionary distances </w:t>
      </w:r>
      <w:r w:rsidRPr="003A48AB">
        <w:rPr>
          <w:rFonts w:ascii="Arial" w:eastAsia="Times New Roman" w:hAnsi="Arial" w:cs="Arial"/>
          <w:color w:val="000000"/>
          <w:lang w:eastAsia="en-US" w:bidi="en-US"/>
        </w:rPr>
        <w:fldChar w:fldCharType="begin"/>
      </w:r>
      <w:r w:rsidRPr="003A48AB">
        <w:rPr>
          <w:rFonts w:ascii="Arial" w:eastAsia="Times New Roman" w:hAnsi="Arial" w:cs="Arial"/>
          <w:color w:val="000000"/>
          <w:lang w:eastAsia="en-US" w:bidi="en-US"/>
        </w:rPr>
        <w:instrText xml:space="preserve"> ADDIN EN.CITE &lt;EndNote&gt;&lt;Cite&gt;&lt;Author&gt;Zuckerkandl&lt;/Author&gt;&lt;Year&gt;1965&lt;/Year&gt;&lt;IDText&gt;Molecules as documents of evolutionary history&lt;/IDText&gt;&lt;DisplayText&gt;(Zuckerkandl and Pauling, 1965)&lt;/DisplayText&gt;&lt;record&gt;&lt;dates&gt;&lt;pub-dates&gt;&lt;date&gt;Mar&lt;/date&gt;&lt;/pub-dates&gt;&lt;year&gt;1965&lt;/year&gt;&lt;/dates&gt;&lt;keywords&gt;&lt;keyword&gt;Amino Acid Sequence&lt;/keyword&gt;&lt;keyword&gt;*Biological Evolution&lt;/keyword&gt;&lt;keyword&gt;*Genes&lt;/keyword&gt;&lt;keyword&gt;*Genetic Code&lt;/keyword&gt;&lt;keyword&gt;*Macromolecular Substances&lt;/keyword&gt;&lt;keyword&gt;Nucleic Acids&lt;/keyword&gt;&lt;keyword&gt;*RNA, Messenger&lt;/keyword&gt;&lt;/keywords&gt;&lt;isbn&gt;0022-5193 (Print)&amp;#xD;0022-5193&lt;/isbn&gt;&lt;titles&gt;&lt;title&gt;Molecules as documents of evolutionary history&lt;/title&gt;&lt;secondary-title&gt;J Theor Biol&lt;/secondary-title&gt;&lt;alt-title&gt;Journal of theoretical biology&lt;/alt-title&gt;&lt;/titles&gt;&lt;pages&gt;357-66&lt;/pages&gt;&lt;number&gt;2&lt;/number&gt;&lt;contributors&gt;&lt;authors&gt;&lt;author&gt;Zuckerkandl, E.&lt;/author&gt;&lt;author&gt;Pauling, L.&lt;/author&gt;&lt;/authors&gt;&lt;/contributors&gt;&lt;edition&gt;1965/03/01&lt;/edition&gt;&lt;language&gt;eng&lt;/language&gt;&lt;added-date format="utc"&gt;1453907838&lt;/added-date&gt;&lt;ref-type name="Journal Article"&gt;17&lt;/ref-type&gt;&lt;remote-database-provider&gt;NLM&lt;/remote-database-provider&gt;&lt;rec-number&gt;454&lt;/rec-number&gt;&lt;last-updated-date format="utc"&gt;1453907838&lt;/last-updated-date&gt;&lt;accession-num&gt;5876245&lt;/accession-num&gt;&lt;volume&gt;8&lt;/volume&gt;&lt;/record&gt;&lt;/Cite&gt;&lt;/EndNote&gt;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(Zuckerkandl and Pauling, 1965)</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All positions containing gaps and missing data were eliminated. The final tree is presented in a bootstrap consensus format </w:t>
      </w:r>
      <w:r w:rsidRPr="003A48AB">
        <w:rPr>
          <w:rFonts w:ascii="Arial" w:eastAsia="Times New Roman" w:hAnsi="Arial" w:cs="Arial"/>
          <w:color w:val="000000"/>
          <w:lang w:eastAsia="en-US" w:bidi="en-US"/>
        </w:rPr>
        <w:fldChar w:fldCharType="begin"/>
      </w:r>
      <w:r w:rsidRPr="003A48AB">
        <w:rPr>
          <w:rFonts w:ascii="Arial" w:eastAsia="Times New Roman" w:hAnsi="Arial" w:cs="Arial"/>
          <w:color w:val="000000"/>
          <w:lang w:eastAsia="en-US" w:bidi="en-US"/>
        </w:rPr>
        <w:instrText xml:space="preserve"> ADDIN EN.CITE &lt;EndNote&gt;&lt;Cite&gt;&lt;Author&gt;Tamura&lt;/Author&gt;&lt;Year&gt;2013&lt;/Year&gt;&lt;IDText&gt;MEGA6: Molecular Evolutionary Genetics Analysis version 6.0&lt;/IDText&gt;&lt;DisplayText&gt;(Tamura et al., 2013)&lt;/DisplayText&gt;&lt;record&gt;&lt;dates&gt;&lt;pub-dates&gt;&lt;date&gt;Dec&lt;/date&gt;&lt;/pub-dates&gt;&lt;year&gt;2013&lt;/year&gt;&lt;/dates&gt;&lt;keywords&gt;&lt;keyword&gt;Algorithms&lt;/keyword&gt;&lt;keyword&gt;Databases, Genetic&lt;/keyword&gt;&lt;keyword&gt;*Evolution, Molecular&lt;/keyword&gt;&lt;keyword&gt;Internet&lt;/keyword&gt;&lt;keyword&gt;Phylogeny&lt;/keyword&gt;&lt;keyword&gt;*Software&lt;/keyword&gt;&lt;keyword&gt;*User-Computer Interface&lt;/keyword&gt;&lt;keyword&gt;phylogeny&lt;/keyword&gt;&lt;keyword&gt;relaxed clocks&lt;/keyword&gt;&lt;keyword&gt;software&lt;/keyword&gt;&lt;/keywords&gt;&lt;isbn&gt;0737-4038&lt;/isbn&gt;&lt;custom2&gt;PMC3840312&lt;/custom2&gt;&lt;titles&gt;&lt;title&gt;MEGA6: Molecular Evolutionary Genetics Analysis version 6.0&lt;/title&gt;&lt;secondary-title&gt;Mol Biol Evol&lt;/secondary-title&gt;&lt;alt-title&gt;Molecular biology and evolution&lt;/alt-title&gt;&lt;/titles&gt;&lt;pages&gt;2725-9&lt;/pages&gt;&lt;number&gt;12&lt;/number&gt;&lt;contributors&gt;&lt;authors&gt;&lt;author&gt;Tamura, K.&lt;/author&gt;&lt;author&gt;Stecher, G.&lt;/author&gt;&lt;author&gt;Peterson, D.&lt;/author&gt;&lt;author&gt;Filipski, A.&lt;/author&gt;&lt;author&gt;Kumar, S.&lt;/author&gt;&lt;/authors&gt;&lt;/contributors&gt;&lt;edition&gt;2013/10/18&lt;/edition&gt;&lt;language&gt;eng&lt;/language&gt;&lt;added-date format="utc"&gt;1453907986&lt;/added-date&gt;&lt;ref-type name="Journal Article"&gt;17&lt;/ref-type&gt;&lt;auth-address&gt;Research Center for Genomics and Bioinformatics, Tokyo Metropolitan University, Hachioji, Tokyo, Japan.&lt;/auth-address&gt;&lt;remote-database-provider&gt;NLM&lt;/remote-database-provider&gt;&lt;rec-number&gt;455&lt;/rec-number&gt;&lt;last-updated-date format="utc"&gt;1453907986&lt;/last-updated-date&gt;&lt;accession-num&gt;24132122&lt;/accession-num&gt;&lt;electronic-resource-num&gt;10.1093/molbev/mst197&lt;/electronic-resource-num&gt;&lt;volume&gt;30&lt;/volume&gt;&lt;/record&gt;&lt;/Cite&gt;&lt;/EndNote&gt;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(Tamura et al., 2013)</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Starred items are </w:t>
      </w:r>
      <w:r w:rsidRPr="003A48AB">
        <w:rPr>
          <w:rFonts w:ascii="Arial" w:eastAsia="Times New Roman" w:hAnsi="Arial" w:cs="Arial"/>
          <w:i/>
          <w:color w:val="000000"/>
          <w:lang w:eastAsia="en-US" w:bidi="en-US"/>
        </w:rPr>
        <w:t xml:space="preserve">P. patens </w:t>
      </w:r>
      <w:r w:rsidRPr="003A48AB">
        <w:rPr>
          <w:rFonts w:ascii="Arial" w:eastAsia="Times New Roman" w:hAnsi="Arial" w:cs="Arial"/>
          <w:color w:val="000000"/>
          <w:lang w:eastAsia="en-US" w:bidi="en-US"/>
        </w:rPr>
        <w:t xml:space="preserve">proteases that in V1.6 genome annotation shared a single accession number </w:t>
      </w:r>
      <w:r w:rsidRPr="003A48AB">
        <w:rPr>
          <w:rFonts w:ascii="Arial" w:eastAsia="Times New Roman" w:hAnsi="Arial" w:cs="Arial"/>
          <w:color w:val="000000"/>
          <w:lang w:eastAsia="en-US" w:bidi="en-US"/>
        </w:rPr>
        <w:fldChar w:fldCharType="begin"/>
      </w:r>
      <w:r w:rsidRPr="003A48AB">
        <w:rPr>
          <w:rFonts w:ascii="Arial" w:eastAsia="Times New Roman" w:hAnsi="Arial" w:cs="Arial"/>
          <w:color w:val="000000"/>
          <w:lang w:eastAsia="en-US" w:bidi="en-US"/>
        </w:rPr>
        <w:instrText xml:space="preserve"> ADDIN EN.CITE &lt;EndNote&gt;&lt;Cite&gt;&lt;Author&gt;Zimmer&lt;/Author&gt;&lt;Year&gt;2013&lt;/Year&gt;&lt;IDText&gt;Reannotation and extended community resources for the genome of the non-seed plant Physcomitrella patens provide insights into the evolution of plant gene structures and functions&lt;/IDText&gt;&lt;DisplayText&gt;(Zimmer et al., 2013)&lt;/DisplayText&gt;&lt;record&gt;&lt;dates&gt;&lt;pub-dates&gt;&lt;date&gt;2013//&lt;/date&gt;&lt;/pub-dates&gt;&lt;year&gt;2013&lt;/year&gt;&lt;/dates&gt;&lt;urls&gt;&lt;related-urls&gt;&lt;url&gt;http://dx.doi.org/10.1186/1471-2164-14-498&lt;/url&gt;&lt;/related-urls&gt;&lt;/urls&gt;&lt;isbn&gt;1471-2164&lt;/isbn&gt;&lt;titles&gt;&lt;title&gt;Reannotation and extended community resources for the genome of the non-seed plant Physcomitrella patens provide insights into the evolution of plant gene structures and functions&lt;/title&gt;&lt;secondary-title&gt;BMC Genomics&lt;/secondary-title&gt;&lt;/titles&gt;&lt;pages&gt;1-20&lt;/pages&gt;&lt;number&gt;1&lt;/number&gt;&lt;contributors&gt;&lt;authors&gt;&lt;author&gt;Zimmer, Andreas D.&lt;/author&gt;&lt;author&gt;Lang, Daniel&lt;/author&gt;&lt;author&gt;Buchta, Karol&lt;/author&gt;&lt;author&gt;Rombauts, Stephane&lt;/author&gt;&lt;author&gt;Nishiyama, Tomoaki&lt;/author&gt;&lt;author&gt;Hasebe, Mitsuyasu&lt;/author&gt;&lt;author&gt;Van de Peer, Yves&lt;/author&gt;&lt;author&gt;Rensing, Stefan A.&lt;/author&gt;&lt;author&gt;Reski, Ralf&lt;/author&gt;&lt;/authors&gt;&lt;/contributors&gt;&lt;added-date format="utc"&gt;1454072737&lt;/added-date&gt;&lt;ref-type name="Journal Article"&gt;17&lt;/ref-type&gt;&lt;rec-number&gt;702&lt;/rec-number&gt;&lt;last-updated-date format="utc"&gt;1454072737&lt;/last-updated-date&gt;&lt;electronic-resource-num&gt;10.1186/1471-2164-14-498&lt;/electronic-resource-num&gt;&lt;volume&gt;14&lt;/volume&gt;&lt;/record&gt;&lt;/Cite&gt;&lt;/EndNote&gt;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(Zimmer et al., 2013)</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A fifth gene family member PpSLSP5 was determined in this analysis which was not previously annotated in the V1.6 </w:t>
      </w:r>
      <w:r w:rsidRPr="003A48AB">
        <w:rPr>
          <w:rFonts w:ascii="Arial" w:eastAsia="Times New Roman" w:hAnsi="Arial" w:cs="Arial"/>
          <w:i/>
          <w:color w:val="000000"/>
          <w:lang w:eastAsia="en-US" w:bidi="en-US"/>
        </w:rPr>
        <w:t xml:space="preserve">P. patens </w:t>
      </w:r>
      <w:r w:rsidRPr="003A48AB">
        <w:rPr>
          <w:rFonts w:ascii="Arial" w:eastAsia="Times New Roman" w:hAnsi="Arial" w:cs="Arial"/>
          <w:color w:val="000000"/>
          <w:lang w:eastAsia="en-US" w:bidi="en-US"/>
        </w:rPr>
        <w:t xml:space="preserve">genome release </w:t>
      </w:r>
      <w:r w:rsidRPr="003A48AB">
        <w:rPr>
          <w:rFonts w:ascii="Arial" w:eastAsia="Times New Roman" w:hAnsi="Arial" w:cs="Arial"/>
          <w:color w:val="000000"/>
          <w:lang w:eastAsia="en-US" w:bidi="en-US"/>
        </w:rPr>
        <w:fldChar w:fldCharType="begin"/>
      </w:r>
      <w:r w:rsidRPr="003A48AB">
        <w:rPr>
          <w:rFonts w:ascii="Arial" w:eastAsia="Times New Roman" w:hAnsi="Arial" w:cs="Arial"/>
          <w:color w:val="000000"/>
          <w:lang w:eastAsia="en-US" w:bidi="en-US"/>
        </w:rPr>
        <w:instrText xml:space="preserve"> ADDIN EN.CITE &lt;EndNote&gt;&lt;Cite&gt;&lt;Author&gt;Zimmer&lt;/Author&gt;&lt;Year&gt;2013&lt;/Year&gt;&lt;IDText&gt;Reannotation and extended community resources for the genome of the non-seed plant Physcomitrella patens provide insights into the evolution of plant gene structures and functions&lt;/IDText&gt;&lt;DisplayText&gt;(Zimmer et al., 2013)&lt;/DisplayText&gt;&lt;record&gt;&lt;dates&gt;&lt;pub-dates&gt;&lt;date&gt;2013//&lt;/date&gt;&lt;/pub-dates&gt;&lt;year&gt;2013&lt;/year&gt;&lt;/dates&gt;&lt;urls&gt;&lt;related-urls&gt;&lt;url&gt;http://dx.doi.org/10.1186/1471-2164-14-498&lt;/url&gt;&lt;/related-urls&gt;&lt;/urls&gt;&lt;isbn&gt;1471-2164&lt;/isbn&gt;&lt;titles&gt;&lt;title&gt;Reannotation and extended community resources for the genome of the non-seed plant Physcomitrella patens provide insights into the evolution of plant gene structures and functions&lt;/title&gt;&lt;secondary-title&gt;BMC Genomics&lt;/secondary-title&gt;&lt;/titles&gt;&lt;pages&gt;1-20&lt;/pages&gt;&lt;number&gt;1&lt;/number&gt;&lt;contributors&gt;&lt;authors&gt;&lt;author&gt;Zimmer, Andreas D.&lt;/author&gt;&lt;author&gt;Lang, Daniel&lt;/author&gt;&lt;author&gt;Buchta, Karol&lt;/author&gt;&lt;author&gt;Rombauts, Stephane&lt;/author&gt;&lt;author&gt;Nishiyama, Tomoaki&lt;/author&gt;&lt;author&gt;Hasebe, Mitsuyasu&lt;/author&gt;&lt;author&gt;Van de Peer, Yves&lt;/author&gt;&lt;author&gt;Rensing, Stefan A.&lt;/author&gt;&lt;author&gt;Reski, Ralf&lt;/author&gt;&lt;/authors&gt;&lt;/contributors&gt;&lt;added-date format="utc"&gt;1454072737&lt;/added-date&gt;&lt;ref-type name="Journal Article"&gt;17&lt;/ref-type&gt;&lt;rec-number&gt;702&lt;/rec-number&gt;&lt;last-updated-date format="utc"&gt;1454072737&lt;/last-updated-date&gt;&lt;electronic-resource-num&gt;10.1186/1471-2164-14-498&lt;/electronic-resource-num&gt;&lt;volume&gt;14&lt;/volume&gt;&lt;/record&gt;&lt;/Cite&gt;&lt;/EndNote&gt;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(Zimmer et al., 2013)</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w:t>
      </w:r>
      <w:r w:rsidRPr="003A48AB">
        <w:rPr>
          <w:rFonts w:ascii="Arial" w:eastAsia="Yu Mincho" w:hAnsi="Arial" w:cs="Arial"/>
          <w:lang w:eastAsia="en-US" w:bidi="en-US"/>
        </w:rPr>
        <w:t xml:space="preserve"> The phylogeny names used for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 xml:space="preserve">and </w:t>
      </w:r>
      <w:r w:rsidRPr="003A48AB">
        <w:rPr>
          <w:rFonts w:ascii="Arial" w:eastAsia="Yu Mincho" w:hAnsi="Arial" w:cs="Arial"/>
          <w:i/>
          <w:lang w:eastAsia="en-US" w:bidi="en-US"/>
        </w:rPr>
        <w:t xml:space="preserve">S. moellendorffii </w:t>
      </w:r>
      <w:r w:rsidRPr="003A48AB">
        <w:rPr>
          <w:rFonts w:ascii="Arial" w:eastAsia="Yu Mincho" w:hAnsi="Arial" w:cs="Arial"/>
          <w:lang w:eastAsia="en-US" w:bidi="en-US"/>
        </w:rPr>
        <w:t>have been assigned manually for better visualisation of phylogeny and for classification purposes.</w:t>
      </w:r>
    </w:p>
    <w:p w14:paraId="21A4AC0D" w14:textId="6D55B241" w:rsidR="003A48AB" w:rsidRPr="00476449" w:rsidRDefault="003A48AB" w:rsidP="003A48AB">
      <w:pPr>
        <w:spacing w:after="160" w:line="360" w:lineRule="auto"/>
        <w:rPr>
          <w:rFonts w:ascii="Arial" w:eastAsia="Yu Mincho" w:hAnsi="Arial" w:cs="Arial"/>
          <w:lang w:eastAsia="en-US" w:bidi="en-US"/>
        </w:rPr>
      </w:pPr>
      <w:r w:rsidRPr="003A48AB">
        <w:rPr>
          <w:rFonts w:ascii="Arial" w:eastAsia="Times New Roman" w:hAnsi="Arial" w:cs="Arial"/>
          <w:color w:val="000000"/>
          <w:lang w:eastAsia="en-US" w:bidi="en-US"/>
        </w:rPr>
        <w:t xml:space="preserve">To ascertain if any of the initial four genes identified via Phytozome V10 </w:t>
      </w:r>
      <w:r w:rsidRPr="003A48AB">
        <w:rPr>
          <w:rFonts w:ascii="Arial" w:eastAsia="Times New Roman" w:hAnsi="Arial" w:cs="Arial"/>
          <w:color w:val="000000"/>
          <w:lang w:eastAsia="en-US" w:bidi="en-US"/>
        </w:rPr>
        <w:fldChar w:fldCharType="begin"/>
      </w:r>
      <w:r w:rsidRPr="003A48AB">
        <w:rPr>
          <w:rFonts w:ascii="Arial" w:eastAsia="Times New Roman" w:hAnsi="Arial" w:cs="Arial"/>
          <w:color w:val="000000"/>
          <w:lang w:eastAsia="en-US" w:bidi="en-US"/>
        </w:rPr>
        <w:instrText xml:space="preserve"> ADDIN EN.CITE &lt;EndNote&gt;&lt;Cite&gt;&lt;Author&gt;Goodstein&lt;/Author&gt;&lt;Year&gt;2012&lt;/Year&gt;&lt;IDText&gt;Phytozome: a comparative platform for green plant genomics&lt;/IDText&gt;&lt;DisplayText&gt;(Goodstein et al., 2012)&lt;/DisplayText&gt;&lt;record&gt;&lt;dates&gt;&lt;pub-dates&gt;&lt;date&gt;2012//&lt;/date&gt;&lt;/pub-dates&gt;&lt;year&gt;2012&lt;/year&gt;&lt;/dates&gt;&lt;urls&gt;&lt;related-urls&gt;&lt;url&gt;http://dx.doi.org/10.1093/nar/gkr944&lt;/url&gt;&lt;/related-urls&gt;&lt;/urls&gt;&lt;titles&gt;&lt;title&gt;Phytozome: a comparative platform for green plant genomics&lt;/title&gt;&lt;secondary-title&gt;Nucleic Acids Res&lt;/secondary-title&gt;&lt;/titles&gt;&lt;contributors&gt;&lt;authors&gt;&lt;author&gt;Goodstein, D. M.&lt;/author&gt;&lt;author&gt;Shu, S.&lt;/author&gt;&lt;author&gt;Howson, R.&lt;/author&gt;&lt;author&gt;Neupane, R.&lt;/author&gt;&lt;author&gt;Hayes, R. D.&lt;/author&gt;&lt;author&gt;Fazo, J.&lt;/author&gt;&lt;author&gt;Mitros, T.&lt;/author&gt;&lt;author&gt;Dirks, W.&lt;/author&gt;&lt;author&gt;Hellsten, U.&lt;/author&gt;&lt;author&gt;Putnam, N.&lt;/author&gt;&lt;author&gt;Rokhsar, D. S.&lt;/author&gt;&lt;/authors&gt;&lt;/contributors&gt;&lt;added-date format="utc"&gt;1454072695&lt;/added-date&gt;&lt;ref-type name="Journal Article"&gt;17&lt;/ref-type&gt;&lt;rec-number&gt;496&lt;/rec-number&gt;&lt;last-updated-date format="utc"&gt;1454072695&lt;/last-updated-date&gt;&lt;electronic-resource-num&gt;10.1093/nar/gkr944&lt;/electronic-resource-num&gt;&lt;volume&gt;40&lt;/volume&gt;&lt;/record&gt;&lt;/Cite&gt;&lt;/EndNote&gt;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(Goodstein et al., 2012)</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were more likely to be involved in responding to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microarray datasets were interrogated which had expression information relating to the developing sporophyte </w:t>
      </w:r>
      <w:r w:rsidRPr="003A48AB">
        <w:rPr>
          <w:rFonts w:ascii="Arial" w:eastAsia="Times New Roman" w:hAnsi="Arial" w:cs="Arial"/>
          <w:color w:val="000000"/>
          <w:lang w:eastAsia="en-US" w:bidi="en-US"/>
        </w:rPr>
        <w:fldChar w:fldCharType="begin">
          <w:fldData xml:space="preserve">PEVuZE5vdGU+PENpdGU+PEF1dGhvcj5PJmFwb3M7RG9ub2dodWU8L0F1dGhvcj48WWVhcj4yMDEz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</w:fldData>
        </w:fldChar>
      </w:r>
      <w:r w:rsidR="00417B1E">
        <w:rPr>
          <w:rFonts w:ascii="Arial" w:eastAsia="Times New Roman" w:hAnsi="Arial" w:cs="Arial"/>
          <w:color w:val="000000"/>
          <w:lang w:eastAsia="en-US" w:bidi="en-US"/>
        </w:rPr>
        <w:instrText xml:space="preserve"> ADDIN EN.CITE </w:instrText>
      </w:r>
      <w:r w:rsidR="00417B1E">
        <w:rPr>
          <w:rFonts w:ascii="Arial" w:eastAsia="Times New Roman" w:hAnsi="Arial" w:cs="Arial"/>
          <w:color w:val="000000"/>
          <w:lang w:eastAsia="en-US" w:bidi="en-US"/>
        </w:rPr>
        <w:fldChar w:fldCharType="begin">
          <w:fldData xml:space="preserve">PEVuZE5vdGU+PENpdGU+PEF1dGhvcj5PJmFwb3M7RG9ub2dodWU8L0F1dGhvcj48WWVhcj4yMDEz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</w:fldData>
        </w:fldChar>
      </w:r>
      <w:r w:rsidR="00417B1E">
        <w:rPr>
          <w:rFonts w:ascii="Arial" w:eastAsia="Times New Roman" w:hAnsi="Arial" w:cs="Arial"/>
          <w:color w:val="000000"/>
          <w:lang w:eastAsia="en-US" w:bidi="en-US"/>
        </w:rPr>
        <w:instrText xml:space="preserve"> ADDIN EN.CITE.DATA </w:instrText>
      </w:r>
      <w:r w:rsidR="00417B1E">
        <w:rPr>
          <w:rFonts w:ascii="Arial" w:eastAsia="Times New Roman" w:hAnsi="Arial" w:cs="Arial"/>
          <w:color w:val="000000"/>
          <w:lang w:eastAsia="en-US" w:bidi="en-US"/>
        </w:rPr>
      </w:r>
      <w:r w:rsidR="00417B1E">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(O'Donoghue et al., 2013)</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From this analysis there were 2 genes, PpSLSP1 and PpSLSP2 (</w:t>
      </w:r>
      <w:r w:rsidRPr="003A48AB">
        <w:rPr>
          <w:rFonts w:ascii="Arial" w:eastAsia="Times New Roman" w:hAnsi="Arial" w:cs="Arial"/>
          <w:b/>
          <w:color w:val="000000"/>
          <w:lang w:eastAsia="en-US" w:bidi="en-US"/>
        </w:rPr>
        <w:t>Fig. 14</w:t>
      </w:r>
      <w:r w:rsidRPr="003A48AB">
        <w:rPr>
          <w:rFonts w:ascii="Arial" w:eastAsia="Times New Roman" w:hAnsi="Arial" w:cs="Arial"/>
          <w:color w:val="000000"/>
          <w:lang w:eastAsia="en-US" w:bidi="en-US"/>
        </w:rPr>
        <w:t>), which were upregulated in the sporophyte and so were deemed good candidates to pursue in relation to having a role in stomatal developmental responses to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during development. </w:t>
      </w:r>
    </w:p>
    <w:p w14:paraId="45693C0C" w14:textId="77777777"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Yu Mincho" w:hAnsi="Arial" w:cs="Arial"/>
          <w:noProof/>
          <w:lang w:eastAsia="ja-JP"/>
        </w:rPr>
        <w:lastRenderedPageBreak/>
        <w:drawing>
          <wp:inline distT="0" distB="0" distL="0" distR="0" wp14:anchorId="1DBF1DE3" wp14:editId="49FA038D">
            <wp:extent cx="5692877" cy="6047380"/>
            <wp:effectExtent l="0" t="0" r="317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99694" cy="6054621"/>
                    </a:xfrm>
                    <a:prstGeom prst="rect">
                      <a:avLst/>
                    </a:prstGeom>
                    <a:noFill/>
                    <a:ln>
                      <a:noFill/>
                    </a:ln>
                  </pic:spPr>
                </pic:pic>
              </a:graphicData>
            </a:graphic>
          </wp:inline>
        </w:drawing>
      </w:r>
      <w:r w:rsidRPr="003A48AB">
        <w:rPr>
          <w:rFonts w:ascii="Arial" w:eastAsia="Yu Mincho" w:hAnsi="Arial" w:cs="Arial"/>
          <w:b/>
          <w:lang w:eastAsia="en-US" w:bidi="en-US"/>
        </w:rPr>
        <w:t xml:space="preserve">Figure 14. Microarray raw intensity expression values of PpSLSP genes taken from protonema vs early sporophyte and protonema vs mid sporophyte analysis. </w:t>
      </w:r>
      <w:r w:rsidRPr="003A48AB">
        <w:rPr>
          <w:rFonts w:ascii="Arial" w:eastAsia="Yu Mincho" w:hAnsi="Arial" w:cs="Arial"/>
          <w:lang w:eastAsia="en-US" w:bidi="en-US"/>
        </w:rPr>
        <w:t>(</w:t>
      </w:r>
      <w:r w:rsidRPr="003A48AB">
        <w:rPr>
          <w:rFonts w:ascii="Arial" w:eastAsia="Yu Mincho" w:hAnsi="Arial" w:cs="Arial"/>
          <w:b/>
          <w:lang w:eastAsia="en-US" w:bidi="en-US"/>
        </w:rPr>
        <w:t>a</w:t>
      </w:r>
      <w:r w:rsidRPr="003A48AB">
        <w:rPr>
          <w:rFonts w:ascii="Arial" w:eastAsia="Yu Mincho" w:hAnsi="Arial" w:cs="Arial"/>
          <w:lang w:eastAsia="en-US" w:bidi="en-US"/>
        </w:rPr>
        <w:t xml:space="preserve">) </w:t>
      </w:r>
      <w:r w:rsidRPr="003A48AB">
        <w:rPr>
          <w:rFonts w:ascii="Arial" w:eastAsia="Yu Mincho" w:hAnsi="Arial" w:cs="Arial"/>
          <w:i/>
          <w:lang w:eastAsia="en-US" w:bidi="en-US"/>
        </w:rPr>
        <w:t xml:space="preserve">PpSLSP1 </w:t>
      </w:r>
      <w:r w:rsidRPr="003A48AB">
        <w:rPr>
          <w:rFonts w:ascii="Arial" w:eastAsia="Yu Mincho" w:hAnsi="Arial" w:cs="Arial"/>
          <w:lang w:eastAsia="en-US" w:bidi="en-US"/>
        </w:rPr>
        <w:t>upregulation occurs in the early and mid-sporophyte stages of development relative to protonemal growth. (</w:t>
      </w:r>
      <w:r w:rsidRPr="003A48AB">
        <w:rPr>
          <w:rFonts w:ascii="Arial" w:eastAsia="Yu Mincho" w:hAnsi="Arial" w:cs="Arial"/>
          <w:b/>
          <w:lang w:eastAsia="en-US" w:bidi="en-US"/>
        </w:rPr>
        <w:t>b</w:t>
      </w:r>
      <w:r w:rsidRPr="003A48AB">
        <w:rPr>
          <w:rFonts w:ascii="Arial" w:eastAsia="Yu Mincho" w:hAnsi="Arial" w:cs="Arial"/>
          <w:lang w:eastAsia="en-US" w:bidi="en-US"/>
        </w:rPr>
        <w:t xml:space="preserve">) </w:t>
      </w:r>
      <w:r w:rsidRPr="003A48AB">
        <w:rPr>
          <w:rFonts w:ascii="Arial" w:eastAsia="Yu Mincho" w:hAnsi="Arial" w:cs="Arial"/>
          <w:i/>
          <w:lang w:eastAsia="en-US" w:bidi="en-US"/>
        </w:rPr>
        <w:t xml:space="preserve">PpSLSP2 </w:t>
      </w:r>
      <w:r w:rsidRPr="003A48AB">
        <w:rPr>
          <w:rFonts w:ascii="Arial" w:eastAsia="Yu Mincho" w:hAnsi="Arial" w:cs="Arial"/>
          <w:lang w:eastAsia="en-US" w:bidi="en-US"/>
        </w:rPr>
        <w:t>upregulation occurs in the early and mid-sporophyte stages of development relative to protonemal growth. (</w:t>
      </w:r>
      <w:r w:rsidRPr="003A48AB">
        <w:rPr>
          <w:rFonts w:ascii="Arial" w:eastAsia="Yu Mincho" w:hAnsi="Arial" w:cs="Arial"/>
          <w:b/>
          <w:lang w:eastAsia="en-US" w:bidi="en-US"/>
        </w:rPr>
        <w:t>c</w:t>
      </w:r>
      <w:r w:rsidRPr="003A48AB">
        <w:rPr>
          <w:rFonts w:ascii="Arial" w:eastAsia="Yu Mincho" w:hAnsi="Arial" w:cs="Arial"/>
          <w:lang w:eastAsia="en-US" w:bidi="en-US"/>
        </w:rPr>
        <w:t xml:space="preserve">) The expression of </w:t>
      </w:r>
      <w:r w:rsidRPr="003A48AB">
        <w:rPr>
          <w:rFonts w:ascii="Arial" w:eastAsia="Yu Mincho" w:hAnsi="Arial" w:cs="Arial"/>
          <w:i/>
          <w:lang w:eastAsia="en-US" w:bidi="en-US"/>
        </w:rPr>
        <w:t xml:space="preserve">PpSLSP3 </w:t>
      </w:r>
      <w:r w:rsidRPr="003A48AB">
        <w:rPr>
          <w:rFonts w:ascii="Arial" w:eastAsia="Yu Mincho" w:hAnsi="Arial" w:cs="Arial"/>
          <w:lang w:eastAsia="en-US" w:bidi="en-US"/>
        </w:rPr>
        <w:t>is fairly similarly across the three different developmental stages. (</w:t>
      </w:r>
      <w:r w:rsidRPr="003A48AB">
        <w:rPr>
          <w:rFonts w:ascii="Arial" w:eastAsia="Yu Mincho" w:hAnsi="Arial" w:cs="Arial"/>
          <w:b/>
          <w:lang w:eastAsia="en-US" w:bidi="en-US"/>
        </w:rPr>
        <w:t>d</w:t>
      </w:r>
      <w:r w:rsidRPr="003A48AB">
        <w:rPr>
          <w:rFonts w:ascii="Arial" w:eastAsia="Yu Mincho" w:hAnsi="Arial" w:cs="Arial"/>
          <w:lang w:eastAsia="en-US" w:bidi="en-US"/>
        </w:rPr>
        <w:t xml:space="preserve">) The expression of </w:t>
      </w:r>
      <w:r w:rsidRPr="003A48AB">
        <w:rPr>
          <w:rFonts w:ascii="Arial" w:eastAsia="Yu Mincho" w:hAnsi="Arial" w:cs="Arial"/>
          <w:i/>
          <w:lang w:eastAsia="en-US" w:bidi="en-US"/>
        </w:rPr>
        <w:t xml:space="preserve">PpSLSP4 </w:t>
      </w:r>
      <w:r w:rsidRPr="003A48AB">
        <w:rPr>
          <w:rFonts w:ascii="Arial" w:eastAsia="Yu Mincho" w:hAnsi="Arial" w:cs="Arial"/>
          <w:lang w:eastAsia="en-US" w:bidi="en-US"/>
        </w:rPr>
        <w:t xml:space="preserve">is downregulated in the sporophyte relative to the protonema. For the intensity values of each gene a Two-way multiple comparisons ANOVA was performed to illustrate where significant differences occurred between tissue types. Tissue types marked within a graph with different lettering are significantly different </w:t>
      </w:r>
      <w:r w:rsidRPr="003A48AB">
        <w:rPr>
          <w:rFonts w:ascii="Arial" w:eastAsia="Times New Roman" w:hAnsi="Arial" w:cs="Arial"/>
          <w:color w:val="000000"/>
          <w:lang w:eastAsia="en-US" w:bidi="en-US"/>
        </w:rPr>
        <w:t>(</w:t>
      </w:r>
      <w:r w:rsidRPr="003A48AB">
        <w:rPr>
          <w:rFonts w:ascii="Arial" w:eastAsia="Times New Roman" w:hAnsi="Arial" w:cs="Arial"/>
          <w:i/>
          <w:color w:val="000000"/>
          <w:lang w:eastAsia="en-US" w:bidi="en-US"/>
        </w:rPr>
        <w:t xml:space="preserve">P &lt; </w:t>
      </w:r>
      <w:r w:rsidRPr="003A48AB">
        <w:rPr>
          <w:rFonts w:ascii="Arial" w:eastAsia="Times New Roman" w:hAnsi="Arial" w:cs="Arial"/>
          <w:color w:val="000000"/>
          <w:lang w:eastAsia="en-US" w:bidi="en-US"/>
        </w:rPr>
        <w:t>0.05). Error bars = s.e.m.</w:t>
      </w:r>
    </w:p>
    <w:p w14:paraId="4437F5F4" w14:textId="256107C6" w:rsidR="00476449" w:rsidRPr="0070574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color w:val="000000"/>
          <w:lang w:eastAsia="en-US" w:bidi="en-US"/>
        </w:rPr>
        <w:lastRenderedPageBreak/>
        <w:t xml:space="preserve">To interrogate the two genes identified, 3 knock-out lines of PpSLSP1, and 2 knock-out lines of PpSLSP2 were generated via homologous recombination </w:t>
      </w:r>
      <w:r w:rsidRPr="003A48AB">
        <w:rPr>
          <w:rFonts w:ascii="Arial" w:eastAsia="Times New Roman" w:hAnsi="Arial" w:cs="Arial"/>
          <w:color w:val="000000"/>
          <w:lang w:eastAsia="en-US" w:bidi="en-US"/>
        </w:rPr>
        <w:fldChar w:fldCharType="begin">
          <w:fldData xml:space="preserve">PEVuZE5vdGU+PENpdGU+PEF1dGhvcj5LYW1pc3VnaTwvQXV0aG9yPjxZZWFyPjIwMDY8L1llYXI+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</w:fldData>
        </w:fldChar>
      </w:r>
      <w:r w:rsidR="00417B1E">
        <w:rPr>
          <w:rFonts w:ascii="Arial" w:eastAsia="Times New Roman" w:hAnsi="Arial" w:cs="Arial"/>
          <w:color w:val="000000"/>
          <w:lang w:eastAsia="en-US" w:bidi="en-US"/>
        </w:rPr>
        <w:instrText xml:space="preserve"> ADDIN EN.CITE </w:instrText>
      </w:r>
      <w:r w:rsidR="00417B1E">
        <w:rPr>
          <w:rFonts w:ascii="Arial" w:eastAsia="Times New Roman" w:hAnsi="Arial" w:cs="Arial"/>
          <w:color w:val="000000"/>
          <w:lang w:eastAsia="en-US" w:bidi="en-US"/>
        </w:rPr>
        <w:fldChar w:fldCharType="begin">
          <w:fldData xml:space="preserve">PEVuZE5vdGU+PENpdGU+PEF1dGhvcj5LYW1pc3VnaTwvQXV0aG9yPjxZZWFyPjIwMDY8L1llYXI+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</w:fldData>
        </w:fldChar>
      </w:r>
      <w:r w:rsidR="00417B1E">
        <w:rPr>
          <w:rFonts w:ascii="Arial" w:eastAsia="Times New Roman" w:hAnsi="Arial" w:cs="Arial"/>
          <w:color w:val="000000"/>
          <w:lang w:eastAsia="en-US" w:bidi="en-US"/>
        </w:rPr>
        <w:instrText xml:space="preserve"> ADDIN EN.CITE.DATA </w:instrText>
      </w:r>
      <w:r w:rsidR="00417B1E">
        <w:rPr>
          <w:rFonts w:ascii="Arial" w:eastAsia="Times New Roman" w:hAnsi="Arial" w:cs="Arial"/>
          <w:color w:val="000000"/>
          <w:lang w:eastAsia="en-US" w:bidi="en-US"/>
        </w:rPr>
      </w:r>
      <w:r w:rsidR="00417B1E">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(Kamisugi et al., 2006)</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Confirmation of transgene targeting was performed via amplification of genomic PCR fragments at the 5’ and 3’ of the targeted locus. In all but</w:t>
      </w:r>
      <w:r w:rsidR="0078461F">
        <w:rPr>
          <w:rFonts w:ascii="Arial" w:eastAsia="Times New Roman" w:hAnsi="Arial" w:cs="Arial"/>
          <w:color w:val="000000"/>
          <w:lang w:eastAsia="en-US" w:bidi="en-US"/>
        </w:rPr>
        <w:t xml:space="preserve"> the 3’ end of one </w:t>
      </w:r>
      <w:r w:rsidR="0078461F" w:rsidRPr="0078461F">
        <w:rPr>
          <w:rFonts w:ascii="Arial" w:eastAsia="Times New Roman" w:hAnsi="Arial" w:cs="Arial"/>
          <w:i/>
          <w:color w:val="000000"/>
          <w:lang w:eastAsia="en-US" w:bidi="en-US"/>
        </w:rPr>
        <w:t>ppslsp2</w:t>
      </w:r>
      <w:r w:rsidR="0078461F">
        <w:rPr>
          <w:rFonts w:ascii="Arial" w:eastAsia="Times New Roman" w:hAnsi="Arial" w:cs="Arial"/>
          <w:color w:val="000000"/>
          <w:lang w:eastAsia="en-US" w:bidi="en-US"/>
        </w:rPr>
        <w:t xml:space="preserve"> line, </w:t>
      </w:r>
      <w:r w:rsidRPr="0078461F">
        <w:rPr>
          <w:rFonts w:ascii="Arial" w:eastAsia="Times New Roman" w:hAnsi="Arial" w:cs="Arial"/>
          <w:color w:val="000000"/>
          <w:lang w:eastAsia="en-US" w:bidi="en-US"/>
        </w:rPr>
        <w:t>PCR</w:t>
      </w:r>
      <w:r w:rsidRPr="003A48AB">
        <w:rPr>
          <w:rFonts w:ascii="Arial" w:eastAsia="Times New Roman" w:hAnsi="Arial" w:cs="Arial"/>
          <w:color w:val="000000"/>
          <w:lang w:eastAsia="en-US" w:bidi="en-US"/>
        </w:rPr>
        <w:t xml:space="preserve"> products of the correct size were obtained (data not show). To confirm no expression in mutant lines, RT-PCR was performed to illustrate the absence of transcript from </w:t>
      </w:r>
      <w:r w:rsidRPr="003A48AB">
        <w:rPr>
          <w:rFonts w:ascii="Arial" w:eastAsia="Times New Roman" w:hAnsi="Arial" w:cs="Arial"/>
          <w:i/>
          <w:color w:val="000000"/>
          <w:lang w:eastAsia="en-US" w:bidi="en-US"/>
        </w:rPr>
        <w:t>ppslsp</w:t>
      </w:r>
      <w:r w:rsidRPr="003A48AB">
        <w:rPr>
          <w:rFonts w:ascii="Arial" w:eastAsia="Times New Roman" w:hAnsi="Arial" w:cs="Arial"/>
          <w:color w:val="000000"/>
          <w:lang w:eastAsia="en-US" w:bidi="en-US"/>
        </w:rPr>
        <w:t xml:space="preserve"> mutant lines (</w:t>
      </w:r>
      <w:r w:rsidRPr="003A48AB">
        <w:rPr>
          <w:rFonts w:ascii="Arial" w:eastAsia="Times New Roman" w:hAnsi="Arial" w:cs="Arial"/>
          <w:b/>
          <w:color w:val="000000"/>
          <w:lang w:eastAsia="en-US" w:bidi="en-US"/>
        </w:rPr>
        <w:t>Fig. 15a</w:t>
      </w:r>
      <w:r w:rsidRPr="003A48AB">
        <w:rPr>
          <w:rFonts w:ascii="Arial" w:eastAsia="Yu Mincho" w:hAnsi="Arial" w:cs="Arial"/>
          <w:lang w:eastAsia="en-US" w:bidi="en-US"/>
        </w:rPr>
        <w:t>-</w:t>
      </w:r>
      <w:r w:rsidRPr="003A48AB">
        <w:rPr>
          <w:rFonts w:ascii="Arial" w:eastAsia="Times New Roman" w:hAnsi="Arial" w:cs="Arial"/>
          <w:b/>
          <w:color w:val="000000"/>
          <w:lang w:eastAsia="en-US" w:bidi="en-US"/>
        </w:rPr>
        <w:t>c</w:t>
      </w:r>
      <w:r w:rsidRPr="003A48AB">
        <w:rPr>
          <w:rFonts w:ascii="Arial" w:eastAsia="Times New Roman" w:hAnsi="Arial" w:cs="Arial"/>
          <w:color w:val="000000"/>
          <w:lang w:eastAsia="en-US" w:bidi="en-US"/>
        </w:rPr>
        <w:t xml:space="preserve">). Note.  For </w:t>
      </w:r>
      <w:r w:rsidRPr="003A48AB">
        <w:rPr>
          <w:rFonts w:ascii="Arial" w:eastAsia="Times New Roman" w:hAnsi="Arial" w:cs="Arial"/>
          <w:i/>
          <w:color w:val="000000"/>
          <w:lang w:eastAsia="en-US" w:bidi="en-US"/>
        </w:rPr>
        <w:t>ppslsp1</w:t>
      </w:r>
      <w:r w:rsidRPr="003A48AB">
        <w:rPr>
          <w:rFonts w:ascii="Arial" w:eastAsia="Times New Roman" w:hAnsi="Arial" w:cs="Arial"/>
          <w:color w:val="000000"/>
          <w:lang w:eastAsia="en-US" w:bidi="en-US"/>
        </w:rPr>
        <w:t xml:space="preserve"> lines, under standard grown conditions, a minor reduction in stomatal number N was observed in some cases although this was not significant (</w:t>
      </w:r>
      <w:r w:rsidRPr="003A48AB">
        <w:rPr>
          <w:rFonts w:ascii="Arial" w:eastAsia="Times New Roman" w:hAnsi="Arial" w:cs="Arial"/>
          <w:b/>
          <w:color w:val="000000"/>
          <w:lang w:eastAsia="en-US" w:bidi="en-US"/>
        </w:rPr>
        <w:t>Fig. 15i</w:t>
      </w:r>
      <w:r w:rsidRPr="003A48AB">
        <w:rPr>
          <w:rFonts w:ascii="Arial" w:eastAsia="Yu Mincho" w:hAnsi="Arial" w:cs="Arial"/>
          <w:lang w:eastAsia="en-US" w:bidi="en-US"/>
        </w:rPr>
        <w:t>-</w:t>
      </w:r>
      <w:r w:rsidRPr="003A48AB">
        <w:rPr>
          <w:rFonts w:ascii="Arial" w:eastAsia="Times New Roman" w:hAnsi="Arial" w:cs="Arial"/>
          <w:b/>
          <w:color w:val="000000"/>
          <w:lang w:eastAsia="en-US" w:bidi="en-US"/>
        </w:rPr>
        <w:t>j</w:t>
      </w:r>
      <w:r w:rsidRPr="003A48AB">
        <w:rPr>
          <w:rFonts w:ascii="Arial" w:eastAsia="Times New Roman" w:hAnsi="Arial" w:cs="Arial"/>
          <w:color w:val="000000"/>
          <w:lang w:eastAsia="en-US" w:bidi="en-US"/>
        </w:rPr>
        <w:t xml:space="preserve">). For </w:t>
      </w:r>
      <w:r w:rsidRPr="003A48AB">
        <w:rPr>
          <w:rFonts w:ascii="Arial" w:eastAsia="Times New Roman" w:hAnsi="Arial" w:cs="Arial"/>
          <w:i/>
          <w:color w:val="000000"/>
          <w:lang w:eastAsia="en-US" w:bidi="en-US"/>
        </w:rPr>
        <w:t xml:space="preserve">ppslsp2 </w:t>
      </w:r>
      <w:r w:rsidRPr="003A48AB">
        <w:rPr>
          <w:rFonts w:ascii="Arial" w:eastAsia="Times New Roman" w:hAnsi="Arial" w:cs="Arial"/>
          <w:color w:val="000000"/>
          <w:lang w:eastAsia="en-US" w:bidi="en-US"/>
        </w:rPr>
        <w:t>lines, again a slight reduction in N was observed, which in one line was significantly, when a multiple comparisons Two-way ANOVA was performed (</w:t>
      </w:r>
      <w:r w:rsidRPr="003A48AB">
        <w:rPr>
          <w:rFonts w:ascii="Arial" w:eastAsia="Times New Roman" w:hAnsi="Arial" w:cs="Arial"/>
          <w:i/>
          <w:color w:val="000000"/>
          <w:lang w:eastAsia="en-US" w:bidi="en-US"/>
        </w:rPr>
        <w:t xml:space="preserve">P &lt; </w:t>
      </w:r>
      <w:r w:rsidRPr="003A48AB">
        <w:rPr>
          <w:rFonts w:ascii="Arial" w:eastAsia="Times New Roman" w:hAnsi="Arial" w:cs="Arial"/>
          <w:color w:val="000000"/>
          <w:lang w:eastAsia="en-US" w:bidi="en-US"/>
        </w:rPr>
        <w:t>0.05) (</w:t>
      </w:r>
      <w:r w:rsidRPr="003A48AB">
        <w:rPr>
          <w:rFonts w:ascii="Arial" w:eastAsia="Times New Roman" w:hAnsi="Arial" w:cs="Arial"/>
          <w:b/>
          <w:color w:val="000000"/>
          <w:lang w:eastAsia="en-US" w:bidi="en-US"/>
        </w:rPr>
        <w:t>Fig. 15k</w:t>
      </w:r>
      <w:r w:rsidRPr="003A48AB">
        <w:rPr>
          <w:rFonts w:ascii="Arial" w:eastAsia="Times New Roman" w:hAnsi="Arial" w:cs="Arial"/>
          <w:color w:val="000000"/>
          <w:lang w:eastAsia="en-US" w:bidi="en-US"/>
        </w:rPr>
        <w:t xml:space="preserve">). There may have been minor defects in the morphology of cells involved in stomatal development for both of genes studied, but owing to irregularities that sometimes arise during stomatal development in the wild-type it is difficult to conclude this was the case. It should be noted no increases in stomatal clustering were observed relative to the wild-type which suggests these two genes independently do not function like </w:t>
      </w:r>
      <w:r w:rsidRPr="003A48AB">
        <w:rPr>
          <w:rFonts w:ascii="Arial" w:eastAsia="Times New Roman" w:hAnsi="Arial" w:cs="Arial"/>
          <w:i/>
          <w:color w:val="000000"/>
          <w:lang w:eastAsia="en-US" w:bidi="en-US"/>
        </w:rPr>
        <w:t xml:space="preserve">sdd1 </w:t>
      </w:r>
      <w:r w:rsidRPr="003A48AB">
        <w:rPr>
          <w:rFonts w:ascii="Arial" w:eastAsia="Times New Roman" w:hAnsi="Arial" w:cs="Arial"/>
          <w:color w:val="000000"/>
          <w:lang w:eastAsia="en-US" w:bidi="en-US"/>
        </w:rPr>
        <w:t xml:space="preserve">in Arabidopsis where stomatal clustering is prevalent </w:t>
      </w:r>
      <w:r w:rsidRPr="003A48AB">
        <w:rPr>
          <w:rFonts w:ascii="Arial" w:eastAsia="Times New Roman" w:hAnsi="Arial" w:cs="Arial"/>
          <w:color w:val="000000"/>
          <w:lang w:eastAsia="en-US" w:bidi="en-US"/>
        </w:rPr>
        <w:fldChar w:fldCharType="begin"/>
      </w:r>
      <w:r w:rsidRPr="003A48AB">
        <w:rPr>
          <w:rFonts w:ascii="Arial" w:eastAsia="Times New Roman" w:hAnsi="Arial" w:cs="Arial"/>
          <w:color w:val="000000"/>
          <w:lang w:eastAsia="en-US" w:bidi="en-US"/>
        </w:rPr>
        <w:instrText xml:space="preserve"> ADDIN EN.CITE &lt;EndNote&gt;&lt;Cite&gt;&lt;Author&gt;Berger&lt;/Author&gt;&lt;Year&gt;2000&lt;/Year&gt;&lt;IDText&gt;A subtilisin-like serine protease involved in the regulation of stomatal density and distribution in Arabidopsis thaliana&lt;/IDText&gt;&lt;DisplayText&gt;(Berger and Altmann, 2000)&lt;/DisplayText&gt;&lt;record&gt;&lt;dates&gt;&lt;pub-dates&gt;&lt;date&gt;May 1&lt;/date&gt;&lt;/pub-dates&gt;&lt;year&gt;2000&lt;/year&gt;&lt;/dates&gt;&lt;keywords&gt;&lt;keyword&gt;Amino Acid Sequence&lt;/keyword&gt;&lt;keyword&gt;Arabidopsis/genetics/growth &amp;amp; development/*physiology&lt;/keyword&gt;&lt;keyword&gt;*Arabidopsis Proteins&lt;/keyword&gt;&lt;keyword&gt;Consensus Sequence&lt;/keyword&gt;&lt;keyword&gt;Cotyledon/cytology/physiology&lt;/keyword&gt;&lt;keyword&gt;Gene Expression Regulation, Plant&lt;/keyword&gt;&lt;keyword&gt;Humans&lt;/keyword&gt;&lt;keyword&gt;Molecular Sequence Data&lt;/keyword&gt;&lt;keyword&gt;Plant Leaves/cytology/physiology&lt;/keyword&gt;&lt;keyword&gt;Sequence Alignment&lt;/keyword&gt;&lt;keyword&gt;Sequence Homology, Amino Acid&lt;/keyword&gt;&lt;keyword&gt;Serine Endopeptidases/chemistry/*genetics/*metabolism&lt;/keyword&gt;&lt;/keywords&gt;&lt;isbn&gt;0890-9369 (Print)&amp;#xD;0890-9369&lt;/isbn&gt;&lt;custom2&gt;PMC316574&lt;/custom2&gt;&lt;titles&gt;&lt;title&gt;A subtilisin-like serine protease involved in the regulation of stomatal density and distribution in Arabidopsis thaliana&lt;/title&gt;&lt;secondary-title&gt;Genes Dev&lt;/secondary-title&gt;&lt;alt-title&gt;Genes &amp;amp; development&lt;/alt-title&gt;&lt;/titles&gt;&lt;pages&gt;1119-31&lt;/pages&gt;&lt;number&gt;9&lt;/number&gt;&lt;contributors&gt;&lt;authors&gt;&lt;author&gt;Berger, D.&lt;/author&gt;&lt;author&gt;Altmann, T.&lt;/author&gt;&lt;/authors&gt;&lt;/contributors&gt;&lt;edition&gt;2000/05/16&lt;/edition&gt;&lt;language&gt;eng&lt;/language&gt;&lt;added-date format="utc"&gt;1456324745&lt;/added-date&gt;&lt;ref-type name="Journal Article"&gt;17&lt;/ref-type&gt;&lt;auth-address&gt;Department Willmitzer, Max-Planck-Institute of Molecular Plant Physiology, Am Muhlenberg 1, 14476 Golm, Germany.&lt;/auth-address&gt;&lt;remote-database-provider&gt;NLM&lt;/remote-database-provider&gt;&lt;rec-number&gt;1049&lt;/rec-number&gt;&lt;last-updated-date format="utc"&gt;1456324745&lt;/last-updated-date&gt;&lt;accession-num&gt;10809670&lt;/accession-num&gt;&lt;volume&gt;14&lt;/volume&gt;&lt;/record&gt;&lt;/Cite&gt;&lt;/EndNote&gt;</w:instrText>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(Berger and Altmann, 2000)</w:t>
      </w:r>
      <w:r w:rsidRPr="003A48AB">
        <w:rPr>
          <w:rFonts w:ascii="Arial" w:eastAsia="Times New Roman" w:hAnsi="Arial" w:cs="Arial"/>
          <w:color w:val="000000"/>
          <w:lang w:eastAsia="en-US" w:bidi="en-US"/>
        </w:rPr>
        <w:fldChar w:fldCharType="end"/>
      </w:r>
      <w:r w:rsidR="0070574B">
        <w:rPr>
          <w:rFonts w:ascii="Arial" w:eastAsia="Times New Roman" w:hAnsi="Arial" w:cs="Arial"/>
          <w:color w:val="000000"/>
          <w:lang w:eastAsia="en-US" w:bidi="en-US"/>
        </w:rPr>
        <w:t>.</w:t>
      </w:r>
      <w:r w:rsidRPr="003A48AB">
        <w:rPr>
          <w:rFonts w:ascii="Arial" w:eastAsia="Times New Roman" w:hAnsi="Arial" w:cs="Arial"/>
          <w:color w:val="000000"/>
          <w:lang w:eastAsia="en-US" w:bidi="en-US"/>
        </w:rPr>
        <w:br w:type="page"/>
      </w:r>
      <w:r w:rsidRPr="003A48AB">
        <w:rPr>
          <w:rFonts w:ascii="Arial" w:eastAsia="Times New Roman" w:hAnsi="Arial" w:cs="Arial"/>
          <w:noProof/>
          <w:color w:val="000000"/>
          <w:lang w:eastAsia="ja-JP"/>
        </w:rPr>
        <w:lastRenderedPageBreak/>
        <w:drawing>
          <wp:inline distT="0" distB="0" distL="0" distR="0" wp14:anchorId="04F49F3F" wp14:editId="7A769E23">
            <wp:extent cx="5644055" cy="5716344"/>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ure 15 updated.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647623" cy="5719958"/>
                    </a:xfrm>
                    <a:prstGeom prst="rect">
                      <a:avLst/>
                    </a:prstGeom>
                  </pic:spPr>
                </pic:pic>
              </a:graphicData>
            </a:graphic>
          </wp:inline>
        </w:drawing>
      </w:r>
      <w:r w:rsidRPr="003A48AB">
        <w:rPr>
          <w:rFonts w:ascii="Arial" w:eastAsia="Yu Mincho" w:hAnsi="Arial" w:cs="Arial"/>
          <w:b/>
          <w:lang w:eastAsia="en-US" w:bidi="en-US"/>
        </w:rPr>
        <w:t xml:space="preserve"> Figure 15. Subtilisin-like serine protease (SLSP) mutants in </w:t>
      </w:r>
      <w:r w:rsidRPr="003A48AB">
        <w:rPr>
          <w:rFonts w:ascii="Arial" w:eastAsia="Yu Mincho" w:hAnsi="Arial" w:cs="Arial"/>
          <w:b/>
          <w:i/>
          <w:lang w:eastAsia="en-US" w:bidi="en-US"/>
        </w:rPr>
        <w:t>P. patens</w:t>
      </w:r>
      <w:r w:rsidRPr="003A48AB">
        <w:rPr>
          <w:rFonts w:ascii="Arial" w:eastAsia="Yu Mincho" w:hAnsi="Arial" w:cs="Arial"/>
          <w:b/>
          <w:lang w:eastAsia="en-US" w:bidi="en-US"/>
        </w:rPr>
        <w:t xml:space="preserve">. </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 xml:space="preserve">) Three independent lines of </w:t>
      </w:r>
      <w:r w:rsidRPr="003A48AB">
        <w:rPr>
          <w:rFonts w:ascii="Arial" w:eastAsia="Times New Roman" w:hAnsi="Arial" w:cs="Arial"/>
          <w:i/>
          <w:color w:val="000000"/>
          <w:lang w:eastAsia="en-US" w:bidi="en-US"/>
        </w:rPr>
        <w:t xml:space="preserve">ppslsp1 </w:t>
      </w:r>
      <w:r w:rsidRPr="003A48AB">
        <w:rPr>
          <w:rFonts w:ascii="Arial" w:eastAsia="Times New Roman" w:hAnsi="Arial" w:cs="Arial"/>
          <w:color w:val="000000"/>
          <w:lang w:eastAsia="en-US" w:bidi="en-US"/>
        </w:rPr>
        <w:t xml:space="preserve">have no </w:t>
      </w:r>
      <w:r w:rsidRPr="003A48AB">
        <w:rPr>
          <w:rFonts w:ascii="Arial" w:eastAsia="Times New Roman" w:hAnsi="Arial" w:cs="Arial"/>
          <w:i/>
          <w:color w:val="000000"/>
          <w:lang w:eastAsia="en-US" w:bidi="en-US"/>
        </w:rPr>
        <w:t xml:space="preserve">PpSLSP1 </w:t>
      </w:r>
      <w:r w:rsidRPr="003A48AB">
        <w:rPr>
          <w:rFonts w:ascii="Arial" w:eastAsia="Times New Roman" w:hAnsi="Arial" w:cs="Arial"/>
          <w:color w:val="000000"/>
          <w:lang w:eastAsia="en-US" w:bidi="en-US"/>
        </w:rPr>
        <w:t>transcript present when RT-PCR was performed using cDNA generated from sporophyte/ gametophyte mix mRNA. (</w:t>
      </w:r>
      <w:r w:rsidRPr="003A48AB">
        <w:rPr>
          <w:rFonts w:ascii="Arial" w:eastAsia="Times New Roman" w:hAnsi="Arial" w:cs="Arial"/>
          <w:b/>
          <w:color w:val="000000"/>
          <w:lang w:eastAsia="en-US" w:bidi="en-US"/>
        </w:rPr>
        <w:t>b</w:t>
      </w:r>
      <w:r w:rsidRPr="003A48AB">
        <w:rPr>
          <w:rFonts w:ascii="Arial" w:eastAsia="Times New Roman" w:hAnsi="Arial" w:cs="Arial"/>
          <w:color w:val="000000"/>
          <w:lang w:eastAsia="en-US" w:bidi="en-US"/>
        </w:rPr>
        <w:t>) A small Rubisco sub-unit (RbsC) control for (</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 highlighting the presence of cDNA in all samples assayed. (</w:t>
      </w:r>
      <w:r w:rsidRPr="003A48AB">
        <w:rPr>
          <w:rFonts w:ascii="Arial" w:eastAsia="Times New Roman" w:hAnsi="Arial" w:cs="Arial"/>
          <w:b/>
          <w:color w:val="000000"/>
          <w:lang w:eastAsia="en-US" w:bidi="en-US"/>
        </w:rPr>
        <w:t>c</w:t>
      </w:r>
      <w:r w:rsidRPr="003A48AB">
        <w:rPr>
          <w:rFonts w:ascii="Arial" w:eastAsia="Times New Roman" w:hAnsi="Arial" w:cs="Arial"/>
          <w:color w:val="000000"/>
          <w:lang w:eastAsia="en-US" w:bidi="en-US"/>
        </w:rPr>
        <w:t xml:space="preserve">) Two independent lines of </w:t>
      </w:r>
      <w:r w:rsidRPr="003A48AB">
        <w:rPr>
          <w:rFonts w:ascii="Arial" w:eastAsia="Times New Roman" w:hAnsi="Arial" w:cs="Arial"/>
          <w:i/>
          <w:color w:val="000000"/>
          <w:lang w:eastAsia="en-US" w:bidi="en-US"/>
        </w:rPr>
        <w:t xml:space="preserve">ppslsp2 </w:t>
      </w:r>
      <w:r w:rsidRPr="003A48AB">
        <w:rPr>
          <w:rFonts w:ascii="Arial" w:eastAsia="Times New Roman" w:hAnsi="Arial" w:cs="Arial"/>
          <w:color w:val="000000"/>
          <w:lang w:eastAsia="en-US" w:bidi="en-US"/>
        </w:rPr>
        <w:t xml:space="preserve">have no </w:t>
      </w:r>
      <w:r w:rsidRPr="003A48AB">
        <w:rPr>
          <w:rFonts w:ascii="Arial" w:eastAsia="Times New Roman" w:hAnsi="Arial" w:cs="Arial"/>
          <w:i/>
          <w:color w:val="000000"/>
          <w:lang w:eastAsia="en-US" w:bidi="en-US"/>
        </w:rPr>
        <w:t xml:space="preserve">PpSLSP2 </w:t>
      </w:r>
      <w:r w:rsidRPr="003A48AB">
        <w:rPr>
          <w:rFonts w:ascii="Arial" w:eastAsia="Times New Roman" w:hAnsi="Arial" w:cs="Arial"/>
          <w:color w:val="000000"/>
          <w:lang w:eastAsia="en-US" w:bidi="en-US"/>
        </w:rPr>
        <w:t>transcript present when RT-PCR was performed using cDNA generated from sporophyte/ gametophyte mix mRNA. (</w:t>
      </w:r>
      <w:r w:rsidRPr="003A48AB">
        <w:rPr>
          <w:rFonts w:ascii="Arial" w:eastAsia="Times New Roman" w:hAnsi="Arial" w:cs="Arial"/>
          <w:b/>
          <w:color w:val="000000"/>
          <w:lang w:eastAsia="en-US" w:bidi="en-US"/>
        </w:rPr>
        <w:t>d</w:t>
      </w:r>
      <w:r w:rsidRPr="003A48AB">
        <w:rPr>
          <w:rFonts w:ascii="Arial" w:eastAsia="Times New Roman" w:hAnsi="Arial" w:cs="Arial"/>
          <w:color w:val="000000"/>
          <w:lang w:eastAsia="en-US" w:bidi="en-US"/>
        </w:rPr>
        <w:t>) A RbcS control for (</w:t>
      </w:r>
      <w:r w:rsidRPr="003A48AB">
        <w:rPr>
          <w:rFonts w:ascii="Arial" w:eastAsia="Times New Roman" w:hAnsi="Arial" w:cs="Arial"/>
          <w:b/>
          <w:color w:val="000000"/>
          <w:lang w:eastAsia="en-US" w:bidi="en-US"/>
        </w:rPr>
        <w:t>c</w:t>
      </w:r>
      <w:r w:rsidRPr="003A48AB">
        <w:rPr>
          <w:rFonts w:ascii="Arial" w:eastAsia="Times New Roman" w:hAnsi="Arial" w:cs="Arial"/>
          <w:color w:val="000000"/>
          <w:lang w:eastAsia="en-US" w:bidi="en-US"/>
        </w:rPr>
        <w:t>) highlighting the presence of cDNA in all samples assayed. Note for (</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h</w:t>
      </w:r>
      <w:r w:rsidRPr="003A48AB">
        <w:rPr>
          <w:rFonts w:ascii="Arial" w:eastAsia="Times New Roman" w:hAnsi="Arial" w:cs="Arial"/>
          <w:color w:val="000000"/>
          <w:lang w:eastAsia="en-US" w:bidi="en-US"/>
        </w:rPr>
        <w:t xml:space="preserve">), Gr denotes the </w:t>
      </w:r>
      <w:r w:rsidRPr="003A48AB">
        <w:rPr>
          <w:rFonts w:ascii="Arial" w:eastAsia="Times New Roman" w:hAnsi="Arial" w:cs="Arial"/>
          <w:i/>
          <w:color w:val="000000"/>
          <w:lang w:eastAsia="en-US" w:bidi="en-US"/>
        </w:rPr>
        <w:t>P. patens</w:t>
      </w:r>
      <w:r w:rsidRPr="003A48AB">
        <w:rPr>
          <w:rFonts w:ascii="Arial" w:eastAsia="Times New Roman" w:hAnsi="Arial" w:cs="Arial"/>
          <w:color w:val="000000"/>
          <w:lang w:eastAsia="en-US" w:bidi="en-US"/>
        </w:rPr>
        <w:t xml:space="preserve"> wild-type Gransden D12 sample and W denotes the water sample. (</w:t>
      </w:r>
      <w:r w:rsidRPr="003A48AB">
        <w:rPr>
          <w:rFonts w:ascii="Arial" w:eastAsia="Times New Roman" w:hAnsi="Arial" w:cs="Arial"/>
          <w:b/>
          <w:color w:val="000000"/>
          <w:lang w:eastAsia="en-US" w:bidi="en-US"/>
        </w:rPr>
        <w:t>e</w:t>
      </w:r>
      <w:r w:rsidRPr="003A48AB">
        <w:rPr>
          <w:rFonts w:ascii="Arial" w:eastAsia="Times New Roman" w:hAnsi="Arial" w:cs="Arial"/>
          <w:color w:val="000000"/>
          <w:lang w:eastAsia="en-US" w:bidi="en-US"/>
        </w:rPr>
        <w:t xml:space="preserve"> and </w:t>
      </w:r>
      <w:r w:rsidRPr="003A48AB">
        <w:rPr>
          <w:rFonts w:ascii="Arial" w:eastAsia="Times New Roman" w:hAnsi="Arial" w:cs="Arial"/>
          <w:b/>
          <w:color w:val="000000"/>
          <w:lang w:eastAsia="en-US" w:bidi="en-US"/>
        </w:rPr>
        <w:t>f</w:t>
      </w:r>
      <w:r w:rsidRPr="003A48AB">
        <w:rPr>
          <w:rFonts w:ascii="Arial" w:eastAsia="Times New Roman" w:hAnsi="Arial" w:cs="Arial"/>
          <w:color w:val="000000"/>
          <w:lang w:eastAsia="en-US" w:bidi="en-US"/>
        </w:rPr>
        <w:t xml:space="preserve">) </w:t>
      </w:r>
      <w:r w:rsidRPr="003A48AB">
        <w:rPr>
          <w:rFonts w:ascii="Arial" w:eastAsia="Yu Mincho" w:hAnsi="Arial" w:cs="Arial"/>
          <w:lang w:eastAsia="en-US" w:bidi="en-US"/>
        </w:rPr>
        <w:t xml:space="preserve">The stomatal number (N) (under standard growth conditions) of three independent lines of </w:t>
      </w:r>
      <w:r w:rsidRPr="003A48AB">
        <w:rPr>
          <w:rFonts w:ascii="Arial" w:eastAsia="Yu Mincho" w:hAnsi="Arial" w:cs="Arial"/>
          <w:i/>
          <w:lang w:eastAsia="en-US" w:bidi="en-US"/>
        </w:rPr>
        <w:t xml:space="preserve">ppslsp1 </w:t>
      </w:r>
      <w:r w:rsidRPr="003A48AB">
        <w:rPr>
          <w:rFonts w:ascii="Arial" w:eastAsia="Yu Mincho" w:hAnsi="Arial" w:cs="Arial"/>
          <w:lang w:eastAsia="en-US" w:bidi="en-US"/>
        </w:rPr>
        <w:t xml:space="preserve">mutant lines generated via homologous recombination </w:t>
      </w:r>
      <w:r w:rsidRPr="003A48AB">
        <w:rPr>
          <w:rFonts w:ascii="Arial" w:eastAsia="Yu Mincho" w:hAnsi="Arial" w:cs="Arial"/>
          <w:lang w:eastAsia="en-US" w:bidi="en-US"/>
        </w:rPr>
        <w:fldChar w:fldCharType="begin">
          <w:fldData xml:space="preserve">PEVuZE5vdGU+PENpdGU+PEF1dGhvcj5LYW1pc3VnaTwvQXV0aG9yPjxZZWFyPjIwMDY8L1llYXI+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PEVuZE5vdGU+PENpdGU+PEF1dGhvcj5LYW1pc3VnaTwvQXV0aG9yPjxZZWFyPjIwMDY8L1llYXI+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(Kamisugi et al., 2006)</w:t>
      </w:r>
      <w:r w:rsidRPr="003A48AB">
        <w:rPr>
          <w:rFonts w:ascii="Arial" w:eastAsia="Yu Mincho" w:hAnsi="Arial" w:cs="Arial"/>
          <w:lang w:eastAsia="en-US" w:bidi="en-US"/>
        </w:rPr>
        <w:fldChar w:fldCharType="end"/>
      </w:r>
      <w:r w:rsidRPr="003A48AB">
        <w:rPr>
          <w:rFonts w:ascii="Arial" w:eastAsia="Yu Mincho" w:hAnsi="Arial" w:cs="Arial"/>
          <w:lang w:eastAsia="en-US" w:bidi="en-US"/>
        </w:rPr>
        <w:t>. Note, these lines were generated at different times and so stomatal counts were also performed at different times (</w:t>
      </w:r>
      <w:r w:rsidRPr="003A48AB">
        <w:rPr>
          <w:rFonts w:ascii="Arial" w:eastAsia="Yu Mincho" w:hAnsi="Arial" w:cs="Arial"/>
          <w:b/>
          <w:lang w:eastAsia="en-US" w:bidi="en-US"/>
        </w:rPr>
        <w:t>g</w:t>
      </w:r>
      <w:r w:rsidRPr="003A48AB">
        <w:rPr>
          <w:rFonts w:ascii="Arial" w:eastAsia="Yu Mincho" w:hAnsi="Arial" w:cs="Arial"/>
          <w:lang w:eastAsia="en-US" w:bidi="en-US"/>
        </w:rPr>
        <w:t xml:space="preserve">) The N (under standard growth conditions) of two </w:t>
      </w:r>
      <w:r w:rsidRPr="003A48AB">
        <w:rPr>
          <w:rFonts w:ascii="Arial" w:eastAsia="Yu Mincho" w:hAnsi="Arial" w:cs="Arial"/>
          <w:i/>
          <w:lang w:eastAsia="en-US" w:bidi="en-US"/>
        </w:rPr>
        <w:t>ppslsp2</w:t>
      </w:r>
      <w:r w:rsidRPr="003A48AB">
        <w:rPr>
          <w:rFonts w:ascii="Arial" w:eastAsia="Yu Mincho" w:hAnsi="Arial" w:cs="Arial"/>
          <w:lang w:eastAsia="en-US" w:bidi="en-US"/>
        </w:rPr>
        <w:t xml:space="preserve"> mutant lines. For (</w:t>
      </w:r>
      <w:r w:rsidRPr="003A48AB">
        <w:rPr>
          <w:rFonts w:ascii="Arial" w:eastAsia="Yu Mincho" w:hAnsi="Arial" w:cs="Arial"/>
          <w:b/>
          <w:lang w:eastAsia="en-US" w:bidi="en-US"/>
        </w:rPr>
        <w:t xml:space="preserve">e </w:t>
      </w:r>
      <w:r w:rsidRPr="003A48AB">
        <w:rPr>
          <w:rFonts w:ascii="Arial" w:eastAsia="Yu Mincho" w:hAnsi="Arial" w:cs="Arial"/>
          <w:lang w:eastAsia="en-US" w:bidi="en-US"/>
        </w:rPr>
        <w:t xml:space="preserve">and </w:t>
      </w:r>
      <w:r w:rsidRPr="003A48AB">
        <w:rPr>
          <w:rFonts w:ascii="Arial" w:eastAsia="Yu Mincho" w:hAnsi="Arial" w:cs="Arial"/>
          <w:b/>
          <w:lang w:eastAsia="en-US" w:bidi="en-US"/>
        </w:rPr>
        <w:t>g</w:t>
      </w:r>
      <w:r w:rsidRPr="003A48AB">
        <w:rPr>
          <w:rFonts w:ascii="Arial" w:eastAsia="Yu Mincho" w:hAnsi="Arial" w:cs="Arial"/>
          <w:lang w:eastAsia="en-US" w:bidi="en-US"/>
        </w:rPr>
        <w:t xml:space="preserve">) two separate multiple comparisons One-way </w:t>
      </w:r>
      <w:r w:rsidRPr="003A48AB">
        <w:rPr>
          <w:rFonts w:ascii="Arial" w:eastAsia="Yu Mincho" w:hAnsi="Arial" w:cs="Arial"/>
          <w:lang w:eastAsia="en-US" w:bidi="en-US"/>
        </w:rPr>
        <w:lastRenderedPageBreak/>
        <w:t>ANOVAs were performed. For (</w:t>
      </w:r>
      <w:r w:rsidRPr="003A48AB">
        <w:rPr>
          <w:rFonts w:ascii="Arial" w:eastAsia="Yu Mincho" w:hAnsi="Arial" w:cs="Arial"/>
          <w:b/>
          <w:lang w:eastAsia="en-US" w:bidi="en-US"/>
        </w:rPr>
        <w:t>f</w:t>
      </w:r>
      <w:r w:rsidRPr="003A48AB">
        <w:rPr>
          <w:rFonts w:ascii="Arial" w:eastAsia="Yu Mincho" w:hAnsi="Arial" w:cs="Arial"/>
          <w:lang w:eastAsia="en-US" w:bidi="en-US"/>
        </w:rPr>
        <w:t>) a Student’s two-tailed equal variance T-test was performed. In (</w:t>
      </w:r>
      <w:r w:rsidRPr="003A48AB">
        <w:rPr>
          <w:rFonts w:ascii="Arial" w:eastAsia="Yu Mincho" w:hAnsi="Arial" w:cs="Arial"/>
          <w:b/>
          <w:lang w:eastAsia="en-US" w:bidi="en-US"/>
        </w:rPr>
        <w:t>g</w:t>
      </w:r>
      <w:r w:rsidRPr="003A48AB">
        <w:rPr>
          <w:rFonts w:ascii="Arial" w:eastAsia="Yu Mincho" w:hAnsi="Arial" w:cs="Arial"/>
          <w:lang w:eastAsia="en-US" w:bidi="en-US"/>
        </w:rPr>
        <w:t xml:space="preserve">) the difference between wild-type and </w:t>
      </w:r>
      <w:r w:rsidRPr="003A48AB">
        <w:rPr>
          <w:rFonts w:ascii="Arial" w:eastAsia="Yu Mincho" w:hAnsi="Arial" w:cs="Arial"/>
          <w:i/>
          <w:lang w:eastAsia="en-US" w:bidi="en-US"/>
        </w:rPr>
        <w:t>ppslsp2-2</w:t>
      </w:r>
      <w:r w:rsidRPr="003A48AB">
        <w:rPr>
          <w:rFonts w:ascii="Arial" w:eastAsia="Yu Mincho" w:hAnsi="Arial" w:cs="Arial"/>
          <w:lang w:eastAsia="en-US" w:bidi="en-US"/>
        </w:rPr>
        <w:t xml:space="preserve"> is significant to </w:t>
      </w:r>
      <w:r w:rsidRPr="003A48AB">
        <w:rPr>
          <w:rFonts w:ascii="Arial" w:eastAsia="Yu Mincho" w:hAnsi="Arial" w:cs="Arial"/>
          <w:i/>
          <w:lang w:eastAsia="en-US" w:bidi="en-US"/>
        </w:rPr>
        <w:t>P &lt;</w:t>
      </w:r>
      <w:r w:rsidRPr="003A48AB">
        <w:rPr>
          <w:rFonts w:ascii="Arial" w:eastAsia="Yu Mincho" w:hAnsi="Arial" w:cs="Arial"/>
          <w:lang w:eastAsia="en-US" w:bidi="en-US"/>
        </w:rPr>
        <w:t xml:space="preserve"> 0.05. For each line 8 sporophytes were used to compare N. Error bars = s.e.m.</w:t>
      </w:r>
      <w:r w:rsidR="00476449" w:rsidRPr="003A48AB">
        <w:rPr>
          <w:rFonts w:ascii="Arial" w:eastAsia="Yu Mincho" w:hAnsi="Arial" w:cs="Arial"/>
          <w:lang w:eastAsia="en-US" w:bidi="en-US"/>
        </w:rPr>
        <w:t xml:space="preserve"> </w:t>
      </w:r>
    </w:p>
    <w:p w14:paraId="2E93BD61" w14:textId="21C957BF"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 xml:space="preserve">To address whether </w:t>
      </w:r>
      <w:r w:rsidRPr="003A48AB">
        <w:rPr>
          <w:rFonts w:ascii="Arial" w:eastAsia="Yu Mincho" w:hAnsi="Arial" w:cs="Arial"/>
          <w:i/>
          <w:lang w:eastAsia="en-US" w:bidi="en-US"/>
        </w:rPr>
        <w:t xml:space="preserve">PpSLSP1 </w:t>
      </w:r>
      <w:r w:rsidRPr="003A48AB">
        <w:rPr>
          <w:rFonts w:ascii="Arial" w:eastAsia="Yu Mincho" w:hAnsi="Arial" w:cs="Arial"/>
          <w:lang w:eastAsia="en-US" w:bidi="en-US"/>
        </w:rPr>
        <w:t xml:space="preserve">or </w:t>
      </w:r>
      <w:r w:rsidRPr="003A48AB">
        <w:rPr>
          <w:rFonts w:ascii="Arial" w:eastAsia="Yu Mincho" w:hAnsi="Arial" w:cs="Arial"/>
          <w:i/>
          <w:lang w:eastAsia="en-US" w:bidi="en-US"/>
        </w:rPr>
        <w:t xml:space="preserve">PpSLSP2 </w:t>
      </w:r>
      <w:r w:rsidRPr="003A48AB">
        <w:rPr>
          <w:rFonts w:ascii="Arial" w:eastAsia="Yu Mincho" w:hAnsi="Arial" w:cs="Arial"/>
          <w:lang w:eastAsia="en-US" w:bidi="en-US"/>
        </w:rPr>
        <w:t>were involved in regulating stomatal N and or D at elevated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same size sporophyte capsules from two lines of </w:t>
      </w:r>
      <w:r w:rsidRPr="003A48AB">
        <w:rPr>
          <w:rFonts w:ascii="Arial" w:eastAsia="Yu Mincho" w:hAnsi="Arial" w:cs="Arial"/>
          <w:i/>
          <w:lang w:eastAsia="en-US" w:bidi="en-US"/>
        </w:rPr>
        <w:t>ppslsp1</w:t>
      </w:r>
      <w:r w:rsidRPr="003A48AB">
        <w:rPr>
          <w:rFonts w:ascii="Arial" w:eastAsia="Yu Mincho" w:hAnsi="Arial" w:cs="Arial"/>
          <w:lang w:eastAsia="en-US" w:bidi="en-US"/>
        </w:rPr>
        <w:t xml:space="preserve"> and two lines of </w:t>
      </w:r>
      <w:r w:rsidRPr="003A48AB">
        <w:rPr>
          <w:rFonts w:ascii="Arial" w:eastAsia="Yu Mincho" w:hAnsi="Arial" w:cs="Arial"/>
          <w:i/>
          <w:lang w:eastAsia="en-US" w:bidi="en-US"/>
        </w:rPr>
        <w:t xml:space="preserve">ppslsp2 </w:t>
      </w:r>
      <w:r w:rsidRPr="003A48AB">
        <w:rPr>
          <w:rFonts w:ascii="Arial" w:eastAsia="Yu Mincho" w:hAnsi="Arial" w:cs="Arial"/>
          <w:lang w:eastAsia="en-US" w:bidi="en-US"/>
        </w:rPr>
        <w:t>were assayed and compared (</w:t>
      </w:r>
      <w:r w:rsidRPr="003A48AB">
        <w:rPr>
          <w:rFonts w:ascii="Arial" w:eastAsia="Yu Mincho" w:hAnsi="Arial" w:cs="Arial"/>
          <w:b/>
          <w:lang w:eastAsia="en-US" w:bidi="en-US"/>
        </w:rPr>
        <w:t>Fig. 16</w:t>
      </w:r>
      <w:r w:rsidRPr="003A48AB">
        <w:rPr>
          <w:rFonts w:ascii="Arial" w:eastAsia="Yu Mincho" w:hAnsi="Arial" w:cs="Arial"/>
          <w:lang w:eastAsia="en-US" w:bidi="en-US"/>
        </w:rPr>
        <w:t>). In the wild-type, stomatal N was almost identical between 450ppm and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grown plants (</w:t>
      </w:r>
      <w:r w:rsidRPr="003A48AB">
        <w:rPr>
          <w:rFonts w:ascii="Arial" w:eastAsia="Yu Mincho" w:hAnsi="Arial" w:cs="Arial"/>
          <w:b/>
          <w:lang w:eastAsia="en-US" w:bidi="en-US"/>
        </w:rPr>
        <w:t>Fig. 16a</w:t>
      </w:r>
      <w:r w:rsidRPr="003A48AB">
        <w:rPr>
          <w:rFonts w:ascii="Arial" w:eastAsia="Yu Mincho" w:hAnsi="Arial" w:cs="Arial"/>
          <w:lang w:eastAsia="en-US" w:bidi="en-US"/>
        </w:rPr>
        <w:t>) although a small reduction in D was observed but this was not significant (</w:t>
      </w:r>
      <w:r w:rsidRPr="003A48AB">
        <w:rPr>
          <w:rFonts w:ascii="Arial" w:eastAsia="Yu Mincho" w:hAnsi="Arial" w:cs="Arial"/>
          <w:b/>
          <w:lang w:eastAsia="en-US" w:bidi="en-US"/>
        </w:rPr>
        <w:t>Fig. 16b</w:t>
      </w:r>
      <w:r w:rsidRPr="003A48AB">
        <w:rPr>
          <w:rFonts w:ascii="Arial" w:eastAsia="Yu Mincho" w:hAnsi="Arial" w:cs="Arial"/>
          <w:lang w:eastAsia="en-US" w:bidi="en-US"/>
        </w:rPr>
        <w:t xml:space="preserve">).  For </w:t>
      </w:r>
      <w:r w:rsidRPr="003A48AB">
        <w:rPr>
          <w:rFonts w:ascii="Arial" w:eastAsia="Yu Mincho" w:hAnsi="Arial" w:cs="Arial"/>
          <w:i/>
          <w:lang w:eastAsia="en-US" w:bidi="en-US"/>
        </w:rPr>
        <w:t xml:space="preserve">ppslsp1 </w:t>
      </w:r>
      <w:r w:rsidRPr="003A48AB">
        <w:rPr>
          <w:rFonts w:ascii="Arial" w:eastAsia="Yu Mincho" w:hAnsi="Arial" w:cs="Arial"/>
          <w:lang w:eastAsia="en-US" w:bidi="en-US"/>
        </w:rPr>
        <w:t>lines, comparisons of capsules grown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comparatively to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suggested a very small increases in N, which was not significant using a multiple comparisons Two-way ANOVA (</w:t>
      </w:r>
      <w:r w:rsidRPr="003A48AB">
        <w:rPr>
          <w:rFonts w:ascii="Arial" w:eastAsia="Yu Mincho" w:hAnsi="Arial" w:cs="Arial"/>
          <w:b/>
          <w:lang w:eastAsia="en-US" w:bidi="en-US"/>
        </w:rPr>
        <w:t>Fig. 16a</w:t>
      </w:r>
      <w:r w:rsidRPr="003A48AB">
        <w:rPr>
          <w:rFonts w:ascii="Arial" w:eastAsia="Yu Mincho" w:hAnsi="Arial" w:cs="Arial"/>
          <w:lang w:eastAsia="en-US" w:bidi="en-US"/>
        </w:rPr>
        <w:t xml:space="preserve">). When D was considered, oppositely to wild-type, the </w:t>
      </w:r>
      <w:r w:rsidRPr="003A48AB">
        <w:rPr>
          <w:rFonts w:ascii="Arial" w:eastAsia="Yu Mincho" w:hAnsi="Arial" w:cs="Arial"/>
          <w:i/>
          <w:lang w:eastAsia="en-US" w:bidi="en-US"/>
        </w:rPr>
        <w:t xml:space="preserve">ppslsp1 </w:t>
      </w:r>
      <w:r w:rsidRPr="003A48AB">
        <w:rPr>
          <w:rFonts w:ascii="Arial" w:eastAsia="Yu Mincho" w:hAnsi="Arial" w:cs="Arial"/>
          <w:lang w:eastAsia="en-US" w:bidi="en-US"/>
        </w:rPr>
        <w:t>lines showed a very slight increase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although not significantly when tested with a multiple comparisons Two-way ANOVA (</w:t>
      </w:r>
      <w:r w:rsidRPr="003A48AB">
        <w:rPr>
          <w:rFonts w:ascii="Arial" w:eastAsia="Yu Mincho" w:hAnsi="Arial" w:cs="Arial"/>
          <w:b/>
          <w:lang w:eastAsia="en-US" w:bidi="en-US"/>
        </w:rPr>
        <w:t>Fig. 16b</w:t>
      </w:r>
      <w:r w:rsidRPr="003A48AB">
        <w:rPr>
          <w:rFonts w:ascii="Arial" w:eastAsia="Yu Mincho" w:hAnsi="Arial" w:cs="Arial"/>
          <w:lang w:eastAsia="en-US" w:bidi="en-US"/>
        </w:rPr>
        <w:t xml:space="preserve">). For </w:t>
      </w:r>
      <w:r w:rsidRPr="003A48AB">
        <w:rPr>
          <w:rFonts w:ascii="Arial" w:eastAsia="Yu Mincho" w:hAnsi="Arial" w:cs="Arial"/>
          <w:i/>
          <w:lang w:eastAsia="en-US" w:bidi="en-US"/>
        </w:rPr>
        <w:t>ppslsp2</w:t>
      </w:r>
      <w:r w:rsidRPr="003A48AB">
        <w:rPr>
          <w:rFonts w:ascii="Arial" w:eastAsia="Yu Mincho" w:hAnsi="Arial" w:cs="Arial"/>
          <w:lang w:eastAsia="en-US" w:bidi="en-US"/>
        </w:rPr>
        <w:t>, the trend of N values between treatments behaved more like wild-type values observed (</w:t>
      </w:r>
      <w:r w:rsidRPr="003A48AB">
        <w:rPr>
          <w:rFonts w:ascii="Arial" w:eastAsia="Yu Mincho" w:hAnsi="Arial" w:cs="Arial"/>
          <w:b/>
          <w:lang w:eastAsia="en-US" w:bidi="en-US"/>
        </w:rPr>
        <w:t>Fig. 16a</w:t>
      </w:r>
      <w:r w:rsidRPr="003A48AB">
        <w:rPr>
          <w:rFonts w:ascii="Arial" w:eastAsia="Yu Mincho" w:hAnsi="Arial" w:cs="Arial"/>
          <w:lang w:eastAsia="en-US" w:bidi="en-US"/>
        </w:rPr>
        <w:t>), but the D of the two lines very slightly increased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in a similar manner to the </w:t>
      </w:r>
      <w:r w:rsidRPr="003A48AB">
        <w:rPr>
          <w:rFonts w:ascii="Arial" w:eastAsia="Yu Mincho" w:hAnsi="Arial" w:cs="Arial"/>
          <w:i/>
          <w:lang w:eastAsia="en-US" w:bidi="en-US"/>
        </w:rPr>
        <w:t xml:space="preserve">ppslsp1 </w:t>
      </w:r>
      <w:r w:rsidRPr="003A48AB">
        <w:rPr>
          <w:rFonts w:ascii="Arial" w:eastAsia="Yu Mincho" w:hAnsi="Arial" w:cs="Arial"/>
          <w:lang w:eastAsia="en-US" w:bidi="en-US"/>
        </w:rPr>
        <w:t>lines again not significantly so (</w:t>
      </w:r>
      <w:r w:rsidRPr="003A48AB">
        <w:rPr>
          <w:rFonts w:ascii="Arial" w:eastAsia="Yu Mincho" w:hAnsi="Arial" w:cs="Arial"/>
          <w:b/>
          <w:lang w:eastAsia="en-US" w:bidi="en-US"/>
        </w:rPr>
        <w:t>Fig. 16b</w:t>
      </w:r>
      <w:r w:rsidRPr="003A48AB">
        <w:rPr>
          <w:rFonts w:ascii="Arial" w:eastAsia="Yu Mincho" w:hAnsi="Arial" w:cs="Arial"/>
          <w:lang w:eastAsia="en-US" w:bidi="en-US"/>
        </w:rPr>
        <w:t>).</w:t>
      </w:r>
    </w:p>
    <w:p w14:paraId="74D510B8" w14:textId="77777777" w:rsidR="003A48AB" w:rsidRPr="003A48AB" w:rsidRDefault="003A48AB" w:rsidP="003A48AB">
      <w:pPr>
        <w:spacing w:after="160" w:line="360" w:lineRule="auto"/>
        <w:jc w:val="center"/>
        <w:rPr>
          <w:rFonts w:ascii="Arial" w:eastAsia="Yu Mincho" w:hAnsi="Arial" w:cs="Arial"/>
          <w:b/>
          <w:lang w:eastAsia="en-US" w:bidi="en-US"/>
        </w:rPr>
      </w:pPr>
      <w:r w:rsidRPr="003A48AB">
        <w:rPr>
          <w:rFonts w:ascii="Arial" w:eastAsia="Yu Mincho" w:hAnsi="Arial" w:cs="Arial"/>
          <w:noProof/>
          <w:lang w:eastAsia="ja-JP"/>
        </w:rPr>
        <w:lastRenderedPageBreak/>
        <w:drawing>
          <wp:inline distT="0" distB="0" distL="0" distR="0" wp14:anchorId="5AB80388" wp14:editId="606C6859">
            <wp:extent cx="4438650" cy="6943725"/>
            <wp:effectExtent l="0" t="0" r="0" b="952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38650" cy="6943725"/>
                    </a:xfrm>
                    <a:prstGeom prst="rect">
                      <a:avLst/>
                    </a:prstGeom>
                    <a:noFill/>
                    <a:ln>
                      <a:noFill/>
                    </a:ln>
                  </pic:spPr>
                </pic:pic>
              </a:graphicData>
            </a:graphic>
          </wp:inline>
        </w:drawing>
      </w:r>
    </w:p>
    <w:p w14:paraId="2CEF64EC" w14:textId="77777777" w:rsidR="003A48AB" w:rsidRPr="003A48AB" w:rsidRDefault="003A48AB" w:rsidP="003A48AB">
      <w:pPr>
        <w:spacing w:after="160" w:line="360" w:lineRule="auto"/>
        <w:rPr>
          <w:rFonts w:ascii="Arial" w:eastAsia="Times New Roman" w:hAnsi="Arial" w:cs="Arial"/>
          <w:color w:val="000000"/>
          <w:lang w:eastAsia="en-US" w:bidi="en-US"/>
        </w:rPr>
      </w:pPr>
      <w:r w:rsidRPr="003A48AB">
        <w:rPr>
          <w:rFonts w:ascii="Arial" w:eastAsia="Times New Roman" w:hAnsi="Arial" w:cs="Arial"/>
          <w:b/>
          <w:color w:val="000000"/>
          <w:lang w:eastAsia="en-US" w:bidi="en-US"/>
        </w:rPr>
        <w:t xml:space="preserve">Figure 16. The stomatal number (N) and density (D) responses on same size capsules of </w:t>
      </w:r>
      <w:r w:rsidRPr="003A48AB">
        <w:rPr>
          <w:rFonts w:ascii="Arial" w:eastAsia="Times New Roman" w:hAnsi="Arial" w:cs="Arial"/>
          <w:b/>
          <w:i/>
          <w:color w:val="000000"/>
          <w:lang w:eastAsia="en-US" w:bidi="en-US"/>
        </w:rPr>
        <w:t xml:space="preserve">P. patens </w:t>
      </w:r>
      <w:r w:rsidRPr="003A48AB">
        <w:rPr>
          <w:rFonts w:ascii="Arial" w:eastAsia="Times New Roman" w:hAnsi="Arial" w:cs="Arial"/>
          <w:b/>
          <w:color w:val="000000"/>
          <w:lang w:eastAsia="en-US" w:bidi="en-US"/>
        </w:rPr>
        <w:t xml:space="preserve">wild-type, </w:t>
      </w:r>
      <w:r w:rsidRPr="003A48AB">
        <w:rPr>
          <w:rFonts w:ascii="Arial" w:eastAsia="Times New Roman" w:hAnsi="Arial" w:cs="Arial"/>
          <w:b/>
          <w:i/>
          <w:color w:val="000000"/>
          <w:lang w:eastAsia="en-US" w:bidi="en-US"/>
        </w:rPr>
        <w:t>ppslsp1</w:t>
      </w:r>
      <w:r w:rsidRPr="003A48AB">
        <w:rPr>
          <w:rFonts w:ascii="Arial" w:eastAsia="Times New Roman" w:hAnsi="Arial" w:cs="Arial"/>
          <w:b/>
          <w:color w:val="000000"/>
          <w:lang w:eastAsia="en-US" w:bidi="en-US"/>
        </w:rPr>
        <w:t xml:space="preserve"> and </w:t>
      </w:r>
      <w:r w:rsidRPr="003A48AB">
        <w:rPr>
          <w:rFonts w:ascii="Arial" w:eastAsia="Times New Roman" w:hAnsi="Arial" w:cs="Arial"/>
          <w:b/>
          <w:i/>
          <w:color w:val="000000"/>
          <w:lang w:eastAsia="en-US" w:bidi="en-US"/>
        </w:rPr>
        <w:t xml:space="preserve">ppslsp2 </w:t>
      </w:r>
      <w:r w:rsidRPr="003A48AB">
        <w:rPr>
          <w:rFonts w:ascii="Arial" w:eastAsia="Times New Roman" w:hAnsi="Arial" w:cs="Arial"/>
          <w:b/>
          <w:color w:val="000000"/>
          <w:lang w:eastAsia="en-US" w:bidi="en-US"/>
        </w:rPr>
        <w:t>mutant lines grown at 450ppm and 1000ppm CO</w:t>
      </w:r>
      <w:r w:rsidRPr="003A48AB">
        <w:rPr>
          <w:rFonts w:ascii="Arial" w:eastAsia="Times New Roman" w:hAnsi="Arial" w:cs="Arial"/>
          <w:b/>
          <w:color w:val="000000"/>
          <w:vertAlign w:val="subscript"/>
          <w:lang w:eastAsia="en-US" w:bidi="en-US"/>
        </w:rPr>
        <w:t>2</w:t>
      </w:r>
      <w:r w:rsidRPr="003A48AB">
        <w:rPr>
          <w:rFonts w:ascii="Arial" w:eastAsia="Times New Roman" w:hAnsi="Arial" w:cs="Arial"/>
          <w:b/>
          <w:color w:val="000000"/>
          <w:lang w:eastAsia="en-US" w:bidi="en-US"/>
        </w:rPr>
        <w:t xml:space="preserve"> concentration at </w:t>
      </w:r>
      <w:r w:rsidRPr="003A48AB">
        <w:rPr>
          <w:rFonts w:ascii="Arial" w:eastAsia="Yu Mincho" w:hAnsi="Arial" w:cs="Arial"/>
          <w:b/>
          <w:lang w:eastAsia="en-US" w:bidi="en-US"/>
        </w:rPr>
        <w:t>200</w:t>
      </w:r>
      <w:r w:rsidRPr="003A48AB">
        <w:rPr>
          <w:rFonts w:ascii="Arial" w:eastAsia="Times New Roman" w:hAnsi="Arial" w:cs="Arial"/>
          <w:b/>
          <w:color w:val="000000"/>
          <w:lang w:eastAsia="en-US" w:bidi="en-US"/>
        </w:rPr>
        <w:t>µmol m</w:t>
      </w:r>
      <w:r w:rsidRPr="003A48AB">
        <w:rPr>
          <w:rFonts w:ascii="Arial" w:eastAsia="Times New Roman" w:hAnsi="Arial" w:cs="Arial"/>
          <w:b/>
          <w:color w:val="000000"/>
          <w:vertAlign w:val="superscript"/>
          <w:lang w:eastAsia="en-US" w:bidi="en-US"/>
        </w:rPr>
        <w:t>−2</w:t>
      </w:r>
      <w:r w:rsidRPr="003A48AB">
        <w:rPr>
          <w:rFonts w:ascii="Arial" w:eastAsia="Times New Roman" w:hAnsi="Arial" w:cs="Arial"/>
          <w:b/>
          <w:color w:val="000000"/>
          <w:lang w:eastAsia="en-US" w:bidi="en-US"/>
        </w:rPr>
        <w:t>s</w:t>
      </w:r>
      <w:r w:rsidRPr="003A48AB">
        <w:rPr>
          <w:rFonts w:ascii="Arial" w:eastAsia="Times New Roman" w:hAnsi="Arial" w:cs="Arial"/>
          <w:b/>
          <w:color w:val="000000"/>
          <w:vertAlign w:val="superscript"/>
          <w:lang w:eastAsia="en-US" w:bidi="en-US"/>
        </w:rPr>
        <w:t>−1</w:t>
      </w:r>
      <w:r w:rsidRPr="003A48AB">
        <w:rPr>
          <w:rFonts w:ascii="Arial" w:eastAsia="Times New Roman" w:hAnsi="Arial" w:cs="Arial"/>
          <w:b/>
          <w:color w:val="000000"/>
          <w:lang w:eastAsia="en-US" w:bidi="en-US"/>
        </w:rPr>
        <w:t xml:space="preserve"> high light (HL). </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 xml:space="preserve">) The N of Wild-type, two lines of </w:t>
      </w:r>
      <w:r w:rsidRPr="003A48AB">
        <w:rPr>
          <w:rFonts w:ascii="Arial" w:eastAsia="Times New Roman" w:hAnsi="Arial" w:cs="Arial"/>
          <w:i/>
          <w:color w:val="000000"/>
          <w:lang w:eastAsia="en-US" w:bidi="en-US"/>
        </w:rPr>
        <w:t>ppslsp1</w:t>
      </w:r>
      <w:r w:rsidRPr="003A48AB">
        <w:rPr>
          <w:rFonts w:ascii="Arial" w:eastAsia="Times New Roman" w:hAnsi="Arial" w:cs="Arial"/>
          <w:color w:val="000000"/>
          <w:lang w:eastAsia="en-US" w:bidi="en-US"/>
        </w:rPr>
        <w:t xml:space="preserve"> and two lines of </w:t>
      </w:r>
      <w:r w:rsidRPr="003A48AB">
        <w:rPr>
          <w:rFonts w:ascii="Arial" w:eastAsia="Times New Roman" w:hAnsi="Arial" w:cs="Arial"/>
          <w:i/>
          <w:color w:val="000000"/>
          <w:lang w:eastAsia="en-US" w:bidi="en-US"/>
        </w:rPr>
        <w:t xml:space="preserve">ppslsp2 </w:t>
      </w:r>
      <w:r w:rsidRPr="003A48AB">
        <w:rPr>
          <w:rFonts w:ascii="Arial" w:eastAsia="Times New Roman" w:hAnsi="Arial" w:cs="Arial"/>
          <w:color w:val="000000"/>
          <w:lang w:eastAsia="en-US" w:bidi="en-US"/>
        </w:rPr>
        <w:t>for both 450ppm and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treatments HL. Note, for </w:t>
      </w:r>
      <w:r w:rsidRPr="003A48AB">
        <w:rPr>
          <w:rFonts w:ascii="Arial" w:eastAsia="Times New Roman" w:hAnsi="Arial" w:cs="Arial"/>
          <w:i/>
          <w:color w:val="000000"/>
          <w:lang w:eastAsia="en-US" w:bidi="en-US"/>
        </w:rPr>
        <w:t xml:space="preserve">ppslsp1 </w:t>
      </w:r>
      <w:r w:rsidRPr="003A48AB">
        <w:rPr>
          <w:rFonts w:ascii="Arial" w:eastAsia="Times New Roman" w:hAnsi="Arial" w:cs="Arial"/>
          <w:color w:val="000000"/>
          <w:lang w:eastAsia="en-US" w:bidi="en-US"/>
        </w:rPr>
        <w:t>lines, slight increases in stomatal number were observed at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comparatively to 450ppm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grown sporophyte capsules. (</w:t>
      </w:r>
      <w:r w:rsidRPr="003A48AB">
        <w:rPr>
          <w:rFonts w:ascii="Arial" w:eastAsia="Times New Roman" w:hAnsi="Arial" w:cs="Arial"/>
          <w:b/>
          <w:color w:val="000000"/>
          <w:lang w:eastAsia="en-US" w:bidi="en-US"/>
        </w:rPr>
        <w:t>b</w:t>
      </w:r>
      <w:r w:rsidRPr="003A48AB">
        <w:rPr>
          <w:rFonts w:ascii="Arial" w:eastAsia="Times New Roman" w:hAnsi="Arial" w:cs="Arial"/>
          <w:color w:val="000000"/>
          <w:lang w:eastAsia="en-US" w:bidi="en-US"/>
        </w:rPr>
        <w:t xml:space="preserve">) The stomatal density of capsules analysed in </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 xml:space="preserve">. For both </w:t>
      </w:r>
      <w:r w:rsidRPr="003A48AB">
        <w:rPr>
          <w:rFonts w:ascii="Arial" w:eastAsia="Times New Roman" w:hAnsi="Arial" w:cs="Arial"/>
          <w:i/>
          <w:color w:val="000000"/>
          <w:lang w:eastAsia="en-US" w:bidi="en-US"/>
        </w:rPr>
        <w:t xml:space="preserve">ppslsp1 </w:t>
      </w:r>
      <w:r w:rsidRPr="003A48AB">
        <w:rPr>
          <w:rFonts w:ascii="Arial" w:eastAsia="Times New Roman" w:hAnsi="Arial" w:cs="Arial"/>
          <w:color w:val="000000"/>
          <w:lang w:eastAsia="en-US" w:bidi="en-US"/>
        </w:rPr>
        <w:lastRenderedPageBreak/>
        <w:t xml:space="preserve">and </w:t>
      </w:r>
      <w:r w:rsidRPr="003A48AB">
        <w:rPr>
          <w:rFonts w:ascii="Arial" w:eastAsia="Times New Roman" w:hAnsi="Arial" w:cs="Arial"/>
          <w:i/>
          <w:color w:val="000000"/>
          <w:lang w:eastAsia="en-US" w:bidi="en-US"/>
        </w:rPr>
        <w:t xml:space="preserve">ppslsp2 </w:t>
      </w:r>
      <w:r w:rsidRPr="003A48AB">
        <w:rPr>
          <w:rFonts w:ascii="Arial" w:eastAsia="Times New Roman" w:hAnsi="Arial" w:cs="Arial"/>
          <w:color w:val="000000"/>
          <w:lang w:eastAsia="en-US" w:bidi="en-US"/>
        </w:rPr>
        <w:t>very minor increases in density were observed on capsules grown at elevated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For both </w:t>
      </w:r>
      <w:r w:rsidRPr="003A48AB">
        <w:rPr>
          <w:rFonts w:ascii="Arial" w:eastAsia="Times New Roman" w:hAnsi="Arial" w:cs="Arial"/>
          <w:b/>
          <w:color w:val="000000"/>
          <w:lang w:eastAsia="en-US" w:bidi="en-US"/>
        </w:rPr>
        <w:t>a</w:t>
      </w:r>
      <w:r w:rsidRPr="003A48AB">
        <w:rPr>
          <w:rFonts w:ascii="Arial" w:eastAsia="Times New Roman" w:hAnsi="Arial" w:cs="Arial"/>
          <w:color w:val="000000"/>
          <w:lang w:eastAsia="en-US" w:bidi="en-US"/>
        </w:rPr>
        <w:t xml:space="preserve"> and </w:t>
      </w:r>
      <w:r w:rsidRPr="003A48AB">
        <w:rPr>
          <w:rFonts w:ascii="Arial" w:eastAsia="Times New Roman" w:hAnsi="Arial" w:cs="Arial"/>
          <w:b/>
          <w:color w:val="000000"/>
          <w:lang w:eastAsia="en-US" w:bidi="en-US"/>
        </w:rPr>
        <w:t xml:space="preserve">b, </w:t>
      </w:r>
      <w:r w:rsidRPr="003A48AB">
        <w:rPr>
          <w:rFonts w:ascii="Arial" w:eastAsia="Times New Roman" w:hAnsi="Arial" w:cs="Arial"/>
          <w:color w:val="000000"/>
          <w:lang w:eastAsia="en-US" w:bidi="en-US"/>
        </w:rPr>
        <w:t>two separate multiple comparisons Two-way ANOVAs were performed to ascertain significances between treatments within line. Within each line, no values were significantly different which would imply no significant changes in stomatal developmental in response to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at 1000ppm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concentration for either the wild-type or </w:t>
      </w:r>
      <w:r w:rsidRPr="003A48AB">
        <w:rPr>
          <w:rFonts w:ascii="Arial" w:eastAsia="Times New Roman" w:hAnsi="Arial" w:cs="Arial"/>
          <w:i/>
          <w:color w:val="000000"/>
          <w:lang w:eastAsia="en-US" w:bidi="en-US"/>
        </w:rPr>
        <w:t xml:space="preserve">ppslsp1 </w:t>
      </w:r>
      <w:r w:rsidRPr="003A48AB">
        <w:rPr>
          <w:rFonts w:ascii="Arial" w:eastAsia="Times New Roman" w:hAnsi="Arial" w:cs="Arial"/>
          <w:color w:val="000000"/>
          <w:lang w:eastAsia="en-US" w:bidi="en-US"/>
        </w:rPr>
        <w:t xml:space="preserve">or </w:t>
      </w:r>
      <w:r w:rsidRPr="003A48AB">
        <w:rPr>
          <w:rFonts w:ascii="Arial" w:eastAsia="Times New Roman" w:hAnsi="Arial" w:cs="Arial"/>
          <w:i/>
          <w:color w:val="000000"/>
          <w:lang w:eastAsia="en-US" w:bidi="en-US"/>
        </w:rPr>
        <w:t xml:space="preserve">ppslsp2 </w:t>
      </w:r>
      <w:r w:rsidRPr="003A48AB">
        <w:rPr>
          <w:rFonts w:ascii="Arial" w:eastAsia="Times New Roman" w:hAnsi="Arial" w:cs="Arial"/>
          <w:color w:val="000000"/>
          <w:lang w:eastAsia="en-US" w:bidi="en-US"/>
        </w:rPr>
        <w:t>mutants. For each treatment 8 sporophyte capsules were analysed. Error bars = s.e.m.</w:t>
      </w:r>
    </w:p>
    <w:p w14:paraId="40BD8490" w14:textId="3D98DFE0" w:rsidR="003A48AB" w:rsidRPr="00476449" w:rsidRDefault="003A48AB" w:rsidP="003A48AB">
      <w:pPr>
        <w:spacing w:after="160" w:line="360" w:lineRule="auto"/>
        <w:rPr>
          <w:rFonts w:ascii="Arial" w:eastAsia="Times New Roman" w:hAnsi="Arial" w:cs="Arial"/>
          <w:color w:val="000000"/>
          <w:lang w:eastAsia="en-US" w:bidi="en-US"/>
        </w:rPr>
      </w:pPr>
      <w:r w:rsidRPr="003A48AB">
        <w:rPr>
          <w:rFonts w:ascii="Arial" w:eastAsia="Yu Mincho" w:hAnsi="Arial" w:cs="Arial"/>
          <w:lang w:eastAsia="en-US" w:bidi="en-US"/>
        </w:rPr>
        <w:t xml:space="preserve">Taken together, slight increases of N and D of </w:t>
      </w:r>
      <w:r w:rsidRPr="003A48AB">
        <w:rPr>
          <w:rFonts w:ascii="Arial" w:eastAsia="Yu Mincho" w:hAnsi="Arial" w:cs="Arial"/>
          <w:i/>
          <w:lang w:eastAsia="en-US" w:bidi="en-US"/>
        </w:rPr>
        <w:t xml:space="preserve">ppslsp1 </w:t>
      </w:r>
      <w:r w:rsidRPr="003A48AB">
        <w:rPr>
          <w:rFonts w:ascii="Arial" w:eastAsia="Yu Mincho" w:hAnsi="Arial" w:cs="Arial"/>
          <w:lang w:eastAsia="en-US" w:bidi="en-US"/>
        </w:rPr>
        <w:t>lines grown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have been observed which suggest that such mutants might not be following the same trends as the wild-type, although, the observed increases were not significant. For </w:t>
      </w:r>
      <w:r w:rsidRPr="003A48AB">
        <w:rPr>
          <w:rFonts w:ascii="Arial" w:eastAsia="Yu Mincho" w:hAnsi="Arial" w:cs="Arial"/>
          <w:i/>
          <w:lang w:eastAsia="en-US" w:bidi="en-US"/>
        </w:rPr>
        <w:t>ppslsp2</w:t>
      </w:r>
      <w:r w:rsidRPr="003A48AB">
        <w:rPr>
          <w:rFonts w:ascii="Arial" w:eastAsia="Yu Mincho" w:hAnsi="Arial" w:cs="Arial"/>
          <w:lang w:eastAsia="en-US" w:bidi="en-US"/>
        </w:rPr>
        <w:t xml:space="preserve">, the D values obtained may also not be following a similar trend to the wild-type. Overall the differences in the trends observed between </w:t>
      </w:r>
      <w:r w:rsidRPr="003A48AB">
        <w:rPr>
          <w:rFonts w:ascii="Arial" w:eastAsia="Yu Mincho" w:hAnsi="Arial" w:cs="Arial"/>
          <w:i/>
          <w:lang w:eastAsia="en-US" w:bidi="en-US"/>
        </w:rPr>
        <w:t xml:space="preserve">ppslsp </w:t>
      </w:r>
      <w:r w:rsidRPr="003A48AB">
        <w:rPr>
          <w:rFonts w:ascii="Arial" w:eastAsia="Yu Mincho" w:hAnsi="Arial" w:cs="Arial"/>
          <w:lang w:eastAsia="en-US" w:bidi="en-US"/>
        </w:rPr>
        <w:t>lines and the wild-type are very small and not significant which does not allow the rejection of a research hypothesis on statistical grounds that these genes are involved in modifying the stomatal developmental program in response to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However, functional redundancy between these and other closely related </w:t>
      </w:r>
      <w:r w:rsidRPr="003A48AB">
        <w:rPr>
          <w:rFonts w:ascii="Arial" w:eastAsia="Yu Mincho" w:hAnsi="Arial" w:cs="Arial"/>
          <w:i/>
          <w:lang w:eastAsia="en-US" w:bidi="en-US"/>
        </w:rPr>
        <w:t xml:space="preserve">PpSLSP </w:t>
      </w:r>
      <w:r w:rsidRPr="003A48AB">
        <w:rPr>
          <w:rFonts w:ascii="Arial" w:eastAsia="Yu Mincho" w:hAnsi="Arial" w:cs="Arial"/>
          <w:lang w:eastAsia="en-US" w:bidi="en-US"/>
        </w:rPr>
        <w:t xml:space="preserve">genes cannot be ruled out.   </w:t>
      </w:r>
    </w:p>
    <w:p w14:paraId="4193600E" w14:textId="77777777" w:rsidR="003A48AB" w:rsidRPr="003A48AB" w:rsidRDefault="003A48AB" w:rsidP="003A48AB">
      <w:pPr>
        <w:spacing w:after="160" w:line="360" w:lineRule="auto"/>
        <w:rPr>
          <w:rFonts w:ascii="Arial" w:eastAsia="Yu Mincho" w:hAnsi="Arial" w:cs="Arial"/>
          <w:b/>
          <w:u w:val="single"/>
          <w:lang w:eastAsia="en-US" w:bidi="en-US"/>
        </w:rPr>
      </w:pPr>
      <w:r w:rsidRPr="003A48AB">
        <w:rPr>
          <w:rFonts w:ascii="Arial" w:eastAsia="Yu Mincho" w:hAnsi="Arial" w:cs="Arial"/>
          <w:b/>
          <w:u w:val="single"/>
          <w:lang w:eastAsia="en-US" w:bidi="en-US"/>
        </w:rPr>
        <w:t xml:space="preserve">5.3 Discussion </w:t>
      </w:r>
    </w:p>
    <w:p w14:paraId="4DD8C776" w14:textId="5816F9E5"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By analysing the stomatal size (S) density (D) of fossilised plant surfaces researchers have been able to deduce the atmospheric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of long-since past geological time periods </w:t>
      </w:r>
      <w:r w:rsidRPr="003A48AB">
        <w:rPr>
          <w:rFonts w:ascii="Arial" w:eastAsia="Yu Mincho" w:hAnsi="Arial" w:cs="Arial"/>
          <w:lang w:eastAsia="en-US" w:bidi="en-US"/>
        </w:rPr>
        <w:fldChar w:fldCharType="begin">
          <w:fldData xml:space="preserve">PEVuZE5vdGU+PENpdGU+PEF1dGhvcj5GcmFua3M8L0F1dGhvcj48WWVhcj4yMDA5PC9ZZWFyPjxJ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PEVuZE5vdGU+PENpdGU+PEF1dGhvcj5GcmFua3M8L0F1dGhvcj48WWVhcj4yMDA5PC9ZZWFyPjxJ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(Franks and Beerling, 2009)</w:t>
      </w:r>
      <w:r w:rsidRPr="003A48AB">
        <w:rPr>
          <w:rFonts w:ascii="Arial" w:eastAsia="Yu Mincho" w:hAnsi="Arial" w:cs="Arial"/>
          <w:lang w:eastAsia="en-US" w:bidi="en-US"/>
        </w:rPr>
        <w:fldChar w:fldCharType="end"/>
      </w:r>
      <w:r w:rsidRPr="003A48AB">
        <w:rPr>
          <w:rFonts w:ascii="Arial" w:eastAsia="Yu Mincho" w:hAnsi="Arial" w:cs="Arial"/>
          <w:lang w:eastAsia="en-US" w:bidi="en-US"/>
        </w:rPr>
        <w:t>. Typically, plants have increased S and reduced D when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have been high. Contrastingly, when atmospheric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have been low the reverse has occurred, plants have reduced S and increase D. In this way, at low concentrations of atmospheric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it has been suggested that plants could maximise stomatal conductance of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thereby obtaining sufficient quantities of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even when it was relatively sparse in the surrounding air </w:t>
      </w:r>
      <w:r w:rsidRPr="003A48AB">
        <w:rPr>
          <w:rFonts w:ascii="Arial" w:eastAsia="Yu Mincho" w:hAnsi="Arial" w:cs="Arial"/>
          <w:lang w:eastAsia="en-US" w:bidi="en-US"/>
        </w:rPr>
        <w:fldChar w:fldCharType="begin">
          <w:fldData xml:space="preserve">PEVuZE5vdGU+PENpdGU+PEF1dGhvcj5GcmFua3M8L0F1dGhvcj48WWVhcj4yMDA5PC9ZZWFyPjxJ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PEVuZE5vdGU+PENpdGU+PEF1dGhvcj5GcmFua3M8L0F1dGhvcj48WWVhcj4yMDA5PC9ZZWFyPjxJ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(Franks and Beerling, 2009)</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Such is the accuracy with which this has occurred that ancient plants have been described as “exquisite tachometers of Earth’s history”  </w:t>
      </w:r>
      <w:r w:rsidRPr="003A48AB">
        <w:rPr>
          <w:rFonts w:ascii="Arial" w:eastAsia="Yu Mincho" w:hAnsi="Arial" w:cs="Arial"/>
          <w:lang w:eastAsia="en-US" w:bidi="en-US"/>
        </w:rPr>
        <w:fldChar w:fldCharType="begin"/>
      </w:r>
      <w:r w:rsidRPr="003A48AB">
        <w:rPr>
          <w:rFonts w:ascii="Arial" w:eastAsia="Yu Mincho" w:hAnsi="Arial" w:cs="Arial"/>
          <w:lang w:eastAsia="en-US" w:bidi="en-US"/>
        </w:rPr>
        <w:instrText xml:space="preserve"> ADDIN EN.CITE &lt;EndNote&gt;&lt;Cite&gt;&lt;Author&gt;Beerling&lt;/Author&gt;&lt;Year&gt;2007&lt;/Year&gt;&lt;IDText&gt;The emerald planet : how plants changed Earth&amp;apos;s history&lt;/IDText&gt;&lt;DisplayText&gt;(Beerling, 2007)&lt;/DisplayText&gt;&lt;record&gt;&lt;keywords&gt;&lt;keyword&gt;Plant-atmosphere relationships.&lt;/keyword&gt;&lt;keyword&gt;Paleobotany.&lt;/keyword&gt;&lt;keyword&gt;Paleoclimatology.&lt;/keyword&gt;&lt;keyword&gt;Paleontology.&lt;/keyword&gt;&lt;/keywords&gt;&lt;isbn&gt;9780192806024 (hbk.)&amp;#xD;0192806025 (hbk.)&lt;/isbn&gt;&lt;titles&gt;&lt;title&gt;The emerald planet : how plants changed Earth&amp;apos;s history&lt;/title&gt;&lt;/titles&gt;&lt;pages&gt;xvi, 288 p., [8] p. of plates&lt;/pages&gt;&lt;contributors&gt;&lt;authors&gt;&lt;author&gt;Beerling, D. J.&lt;/author&gt;&lt;/authors&gt;&lt;/contributors&gt;&lt;added-date format="utc"&gt;1354434032&lt;/added-date&gt;&lt;pub-location&gt;Oxford&lt;/pub-location&gt;&lt;ref-type name="Book"&gt;6&lt;/ref-type&gt;&lt;dates&gt;&lt;year&gt;2007&lt;/year&gt;&lt;/dates&gt;&lt;rec-number&gt;78&lt;/rec-number&gt;&lt;publisher&gt;Oxford University Press&lt;/publisher&gt;&lt;last-updated-date format="utc"&gt;1354434032&lt;/last-updated-date&gt;&lt;accession-num&gt;1991786&lt;/accession-num&gt;&lt;/record&gt;&lt;/Cite&gt;&lt;/EndNote&gt;</w:instrText>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(Beerling, 2007)</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However, whilst these above described traits appear to have been present in some very early land plants such as </w:t>
      </w:r>
      <w:r w:rsidRPr="003A48AB">
        <w:rPr>
          <w:rFonts w:ascii="Arial" w:eastAsia="Yu Mincho" w:hAnsi="Arial" w:cs="Arial"/>
          <w:i/>
          <w:lang w:eastAsia="en-US" w:bidi="en-US"/>
        </w:rPr>
        <w:t>Aglaophyton major</w:t>
      </w:r>
      <w:r w:rsidRPr="003A48AB">
        <w:rPr>
          <w:rFonts w:ascii="Arial" w:eastAsia="Yu Mincho" w:hAnsi="Arial" w:cs="Arial"/>
          <w:lang w:eastAsia="en-US" w:bidi="en-US"/>
        </w:rPr>
        <w:t xml:space="preserve"> and </w:t>
      </w:r>
      <w:r w:rsidRPr="003A48AB">
        <w:rPr>
          <w:rFonts w:ascii="Arial" w:eastAsia="Yu Mincho" w:hAnsi="Arial" w:cs="Arial"/>
          <w:i/>
          <w:lang w:eastAsia="en-US" w:bidi="en-US"/>
        </w:rPr>
        <w:t xml:space="preserve">Horneophyton major </w:t>
      </w:r>
      <w:r w:rsidRPr="003A48AB">
        <w:rPr>
          <w:rFonts w:ascii="Arial" w:eastAsia="Yu Mincho" w:hAnsi="Arial" w:cs="Arial"/>
          <w:lang w:eastAsia="en-US" w:bidi="en-US"/>
        </w:rPr>
        <w:t xml:space="preserve">395mya </w:t>
      </w:r>
      <w:r w:rsidRPr="003A48AB">
        <w:rPr>
          <w:rFonts w:ascii="Arial" w:eastAsia="Yu Mincho" w:hAnsi="Arial" w:cs="Arial"/>
          <w:lang w:eastAsia="en-US" w:bidi="en-US"/>
        </w:rPr>
        <w:fldChar w:fldCharType="begin">
          <w:fldData xml:space="preserve">PEVuZE5vdGU+PENpdGU+PEF1dGhvcj5FZHdhcmRzPC9BdXRob3I+PFllYXI+MTk5ODwvWWVhcj48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PEVuZE5vdGU+PENpdGU+PEF1dGhvcj5FZHdhcmRzPC9BdXRob3I+PFllYXI+MTk5ODwvWWVhcj48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(Edwards et al., 1998; Franks and Beerling, 2009)</w:t>
      </w:r>
      <w:r w:rsidRPr="003A48AB">
        <w:rPr>
          <w:rFonts w:ascii="Arial" w:eastAsia="Yu Mincho" w:hAnsi="Arial" w:cs="Arial"/>
          <w:lang w:eastAsia="en-US" w:bidi="en-US"/>
        </w:rPr>
        <w:fldChar w:fldCharType="end"/>
      </w:r>
      <w:r w:rsidRPr="003A48AB">
        <w:rPr>
          <w:rFonts w:ascii="Arial" w:eastAsia="Yu Mincho" w:hAnsi="Arial" w:cs="Arial"/>
          <w:lang w:eastAsia="en-US" w:bidi="en-US"/>
        </w:rPr>
        <w:t>, fossilised evidence for moss stomatal responses to changes in atmospheric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w:t>
      </w:r>
      <w:r w:rsidR="0078461F">
        <w:rPr>
          <w:rFonts w:ascii="Arial" w:eastAsia="Yu Mincho" w:hAnsi="Arial" w:cs="Arial"/>
          <w:lang w:eastAsia="en-US" w:bidi="en-US"/>
        </w:rPr>
        <w:t xml:space="preserve">are extremely lacking although some very ancient bryophyte-like specimens have recently been recovered </w:t>
      </w:r>
      <w:r w:rsidR="0078461F">
        <w:rPr>
          <w:rFonts w:ascii="Arial" w:eastAsia="Yu Mincho" w:hAnsi="Arial" w:cs="Arial"/>
          <w:lang w:eastAsia="en-US" w:bidi="en-US"/>
        </w:rPr>
        <w:fldChar w:fldCharType="begin"/>
      </w:r>
      <w:r w:rsidR="001D2DA0">
        <w:rPr>
          <w:rFonts w:ascii="Arial" w:eastAsia="Yu Mincho" w:hAnsi="Arial" w:cs="Arial"/>
          <w:lang w:eastAsia="en-US" w:bidi="en-US"/>
        </w:rPr>
        <w:instrText xml:space="preserve"> ADDIN EN.CITE &lt;EndNote&gt;&lt;Cite&gt;&lt;Author&gt;Edwards&lt;/Author&gt;&lt;Year&gt;2012&lt;/Year&gt;&lt;IDText&gt;A new group of Early Devonian plants with valvate sporangia containing sculptured permanent dyads&lt;/IDText&gt;&lt;DisplayText&gt;(Edwards et al., 2012)&lt;/DisplayText&gt;&lt;record&gt;&lt;keywords&gt;&lt;keyword&gt;bryophytes&lt;/keyword&gt;&lt;keyword&gt;cryptospores&lt;/keyword&gt;&lt;keyword&gt;development&lt;/keyword&gt;&lt;keyword&gt;embryophytes&lt;/keyword&gt;&lt;keyword&gt;liverworts&lt;/keyword&gt;&lt;keyword&gt;meiosis&lt;/keyword&gt;&lt;keyword&gt;tetrads&lt;/keyword&gt;&lt;keyword&gt;ultrastructure&lt;/keyword&gt;&lt;/keywords&gt;&lt;urls&gt;&lt;related-urls&gt;&lt;url&gt;http://dx.doi.org/10.1111/j.1095-8339.2011.01207.x&lt;/url&gt;&lt;/related-urls&gt;&lt;/urls&gt;&lt;isbn&gt;1095-8339&lt;/isbn&gt;&lt;titles&gt;&lt;title&gt;A new group of Early Devonian plants with valvate sporangia containing sculptured permanent dyads&lt;/title&gt;&lt;secondary-title&gt;Botanical Journal of the Linnean Society&lt;/secondary-title&gt;&lt;/titles&gt;&lt;pages&gt;229-257&lt;/pages&gt;&lt;number&gt;3&lt;/number&gt;&lt;contributors&gt;&lt;authors&gt;&lt;author&gt;Edwards, Dianne&lt;/author&gt;&lt;author&gt;Richardson, John B.&lt;/author&gt;&lt;author&gt;Axe, Lindsey&lt;/author&gt;&lt;author&gt;Davies, Kevin L.&lt;/author&gt;&lt;/authors&gt;&lt;/contributors&gt;&lt;added-date format="utc"&gt;1485728313&lt;/added-date&gt;&lt;ref-type name="Journal Article"&gt;17&lt;/ref-type&gt;&lt;dates&gt;&lt;year&gt;2012&lt;/year&gt;&lt;/dates&gt;&lt;rec-number&gt;1359&lt;/rec-number&gt;&lt;publisher&gt;Blackwell Publishing Ltd&lt;/publisher&gt;&lt;last-updated-date format="utc"&gt;1485728313&lt;/last-updated-date&gt;&lt;electronic-resource-num&gt;10.1111/j.1095-8339.2011.01207.x&lt;/electronic-resource-num&gt;&lt;volume&gt;168&lt;/volume&gt;&lt;/record&gt;&lt;/Cite&gt;&lt;/EndNote&gt;</w:instrText>
      </w:r>
      <w:r w:rsidR="0078461F">
        <w:rPr>
          <w:rFonts w:ascii="Arial" w:eastAsia="Yu Mincho" w:hAnsi="Arial" w:cs="Arial"/>
          <w:lang w:eastAsia="en-US" w:bidi="en-US"/>
        </w:rPr>
        <w:fldChar w:fldCharType="separate"/>
      </w:r>
      <w:r w:rsidR="001D2DA0">
        <w:rPr>
          <w:rFonts w:ascii="Arial" w:eastAsia="Yu Mincho" w:hAnsi="Arial" w:cs="Arial"/>
          <w:noProof/>
          <w:lang w:eastAsia="en-US" w:bidi="en-US"/>
        </w:rPr>
        <w:t>(Edwards et al., 2012)</w:t>
      </w:r>
      <w:r w:rsidR="0078461F">
        <w:rPr>
          <w:rFonts w:ascii="Arial" w:eastAsia="Yu Mincho" w:hAnsi="Arial" w:cs="Arial"/>
          <w:lang w:eastAsia="en-US" w:bidi="en-US"/>
        </w:rPr>
        <w:fldChar w:fldCharType="end"/>
      </w:r>
      <w:r w:rsidR="0078461F">
        <w:rPr>
          <w:rFonts w:ascii="Arial" w:eastAsia="Yu Mincho" w:hAnsi="Arial" w:cs="Arial"/>
          <w:lang w:eastAsia="en-US" w:bidi="en-US"/>
        </w:rPr>
        <w:t xml:space="preserve">. </w:t>
      </w:r>
      <w:r w:rsidRPr="003A48AB">
        <w:rPr>
          <w:rFonts w:ascii="Arial" w:eastAsia="Yu Mincho" w:hAnsi="Arial" w:cs="Arial"/>
          <w:lang w:eastAsia="en-US" w:bidi="en-US"/>
        </w:rPr>
        <w:t xml:space="preserve">The oldest found evidence for fossilised moss stomata appears to be from the late cretaceous </w:t>
      </w:r>
      <w:r w:rsidRPr="003A48AB">
        <w:rPr>
          <w:rFonts w:ascii="Arial" w:eastAsia="Yu Mincho" w:hAnsi="Arial" w:cs="Arial"/>
          <w:lang w:eastAsia="en-US" w:bidi="en-US"/>
        </w:rPr>
        <w:fldChar w:fldCharType="begin"/>
      </w:r>
      <w:r w:rsidRPr="003A48AB">
        <w:rPr>
          <w:rFonts w:ascii="Arial" w:eastAsia="Yu Mincho" w:hAnsi="Arial" w:cs="Arial"/>
          <w:lang w:eastAsia="en-US" w:bidi="en-US"/>
        </w:rPr>
        <w:instrText xml:space="preserve"> ADDIN EN.CITE &lt;EndNote&gt;&lt;Cite&gt;&lt;Author&gt;Konopka&lt;/Author&gt;&lt;Year&gt;1998&lt;/Year&gt;&lt;IDText&gt;Sporophytes and gametophytes of Dicranaceae from the Santonian (Late Cretaceous) of Georgia, USA&lt;/IDText&gt;&lt;DisplayText&gt;(Konopka et al., 1998)&lt;/DisplayText&gt;&lt;record&gt;&lt;dates&gt;&lt;pub-dates&gt;&lt;date&gt;May&lt;/date&gt;&lt;/pub-dates&gt;&lt;year&gt;1998&lt;/year&gt;&lt;/dates&gt;&lt;isbn&gt;0002-9122 (Print)&amp;#xD;0002-9122&lt;/isbn&gt;&lt;titles&gt;&lt;title&gt;Sporophytes and gametophytes of Dicranaceae from the Santonian (Late Cretaceous) of Georgia, USA&lt;/title&gt;&lt;secondary-title&gt;Am J Bot&lt;/secondary-title&gt;&lt;alt-title&gt;American journal of botany&lt;/alt-title&gt;&lt;/titles&gt;&lt;pages&gt;714&lt;/pages&gt;&lt;number&gt;5&lt;/number&gt;&lt;contributors&gt;&lt;authors&gt;&lt;author&gt;Konopka, A.&lt;/author&gt;&lt;author&gt;Herendeen, P.&lt;/author&gt;&lt;author&gt;Crane, P.&lt;/author&gt;&lt;/authors&gt;&lt;/contributors&gt;&lt;edition&gt;1998/05/01&lt;/edition&gt;&lt;language&gt;eng&lt;/language&gt;&lt;added-date format="utc"&gt;1456397463&lt;/added-date&gt;&lt;ref-type name="Journal Article"&gt;17&lt;/ref-type&gt;&lt;remote-database-provider&gt;NLM&lt;/remote-database-provider&gt;&lt;rec-number&gt;1055&lt;/rec-number&gt;&lt;last-updated-date format="utc"&gt;1456397463&lt;/last-updated-date&gt;&lt;accession-num&gt;21684954&lt;/accession-num&gt;&lt;volume&gt;85&lt;/volume&gt;&lt;/record&gt;&lt;/Cite&gt;&lt;/EndNote&gt;</w:instrText>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(Konopka et al., 1998)</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which implies an absence of moss sporophytes and their stomata from the fossil record for hundreds of millions of years.</w:t>
      </w:r>
    </w:p>
    <w:p w14:paraId="1068D38F" w14:textId="459BAF22"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lastRenderedPageBreak/>
        <w:t>To test whether extant mosses can respond to being grown at different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by changing their stomatal S and D, a number of experiments were conducted. The findings presented here on the larger sporophyte-bearing moss species </w:t>
      </w:r>
      <w:r w:rsidRPr="003A48AB">
        <w:rPr>
          <w:rFonts w:ascii="Arial" w:eastAsia="Yu Mincho" w:hAnsi="Arial" w:cs="Arial"/>
          <w:i/>
          <w:lang w:eastAsia="en-US" w:bidi="en-US"/>
        </w:rPr>
        <w:t xml:space="preserve">Funaria hygrometrica </w:t>
      </w:r>
      <w:r w:rsidRPr="003A48AB">
        <w:rPr>
          <w:rFonts w:ascii="Arial" w:eastAsia="Yu Mincho" w:hAnsi="Arial" w:cs="Arial"/>
          <w:lang w:eastAsia="en-US" w:bidi="en-US"/>
        </w:rPr>
        <w:t>suggest that indeed that a moss species can alter both stomatal S and D in response to being grown at 200ppm or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comparatively to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t>
      </w:r>
      <w:r w:rsidRPr="003A48AB">
        <w:rPr>
          <w:rFonts w:ascii="Arial" w:eastAsia="Yu Mincho" w:hAnsi="Arial" w:cs="Arial"/>
          <w:b/>
          <w:lang w:eastAsia="en-US" w:bidi="en-US"/>
        </w:rPr>
        <w:t>Fig. 3d</w:t>
      </w:r>
      <w:r w:rsidRPr="003A48AB">
        <w:rPr>
          <w:rFonts w:ascii="Arial" w:eastAsia="Yu Mincho" w:hAnsi="Arial" w:cs="Arial"/>
          <w:lang w:eastAsia="en-US" w:bidi="en-US"/>
        </w:rPr>
        <w:t xml:space="preserve">). To ascertain whether this was solely a size effect of larger sporophytes (see </w:t>
      </w:r>
      <w:r w:rsidRPr="003A48AB">
        <w:rPr>
          <w:rFonts w:ascii="Arial" w:eastAsia="Yu Mincho" w:hAnsi="Arial" w:cs="Arial"/>
          <w:b/>
          <w:lang w:eastAsia="en-US" w:bidi="en-US"/>
        </w:rPr>
        <w:t>Fig. 1</w:t>
      </w:r>
      <w:r w:rsidRPr="003A48AB">
        <w:rPr>
          <w:rFonts w:ascii="Arial" w:eastAsia="Yu Mincho" w:hAnsi="Arial" w:cs="Arial"/>
          <w:lang w:eastAsia="en-US" w:bidi="en-US"/>
        </w:rPr>
        <w:t>), stomatal indices were also calculated and it appears there were proportionally slightly more stomata to pavement cells on the sporophyte capsules of 200ppm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grown plants relative to 450 and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equivalents (</w:t>
      </w:r>
      <w:r w:rsidRPr="003A48AB">
        <w:rPr>
          <w:rFonts w:ascii="Arial" w:eastAsia="Yu Mincho" w:hAnsi="Arial" w:cs="Arial"/>
          <w:b/>
          <w:lang w:eastAsia="en-US" w:bidi="en-US"/>
        </w:rPr>
        <w:t>Fig. 3e</w:t>
      </w:r>
      <w:r w:rsidRPr="003A48AB">
        <w:rPr>
          <w:rFonts w:ascii="Arial" w:eastAsia="Yu Mincho" w:hAnsi="Arial" w:cs="Arial"/>
          <w:lang w:eastAsia="en-US" w:bidi="en-US"/>
        </w:rPr>
        <w:t xml:space="preserve">), implying that increases in D might not just be because of cellular expansion brought on by increased overall size. Interestingly, Baars and Edwards </w:t>
      </w:r>
      <w:r w:rsidRPr="003A48AB">
        <w:rPr>
          <w:rFonts w:ascii="Arial" w:eastAsia="Yu Mincho" w:hAnsi="Arial" w:cs="Arial"/>
          <w:lang w:eastAsia="en-US" w:bidi="en-US"/>
        </w:rPr>
        <w:fldChar w:fldCharType="begin"/>
      </w:r>
      <w:r w:rsidR="00417B1E">
        <w:rPr>
          <w:rFonts w:ascii="Arial" w:eastAsia="Yu Mincho" w:hAnsi="Arial" w:cs="Arial"/>
          <w:lang w:eastAsia="en-US" w:bidi="en-US"/>
        </w:rPr>
        <w:instrText xml:space="preserve"> ADDIN EN.CITE &lt;EndNote&gt;&lt;Cite ExcludeAuth="1"&gt;&lt;Author&gt;Baars&lt;/Author&gt;&lt;Year&gt;2008&lt;/Year&gt;&lt;IDText&gt;Effects of elevated atmospheric CO2 on spore capsules of the moss Leptobryum pyriforme&lt;/IDText&gt;&lt;DisplayText&gt;(2008)&lt;/DisplayText&gt;&lt;record&gt;&lt;keywords&gt;&lt;keyword&gt;Leptobryum pyriforme&lt;/keyword&gt;&lt;keyword&gt;bryophytes&lt;/keyword&gt;&lt;keyword&gt;stomata&lt;/keyword&gt;&lt;keyword&gt;atmospheric CO2&lt;/keyword&gt;&lt;keyword&gt;capsule&lt;/keyword&gt;&lt;keyword&gt;size&lt;/keyword&gt;&lt;keyword&gt;sporophyte&lt;/keyword&gt;&lt;keyword&gt;STOMATAL DENSITY&lt;/keyword&gt;&lt;keyword&gt;POPLAR POPULUS&lt;/keyword&gt;&lt;keyword&gt;PLANTS&lt;/keyword&gt;&lt;keyword&gt;ENRICHMENT&lt;/keyword&gt;&lt;keyword&gt;RESPONSES&lt;/keyword&gt;&lt;keyword&gt;TEMPERATURE&lt;/keyword&gt;&lt;keyword&gt;INDICATORS&lt;/keyword&gt;&lt;keyword&gt;MECHANISMS&lt;/keyword&gt;&lt;keyword&gt;GROWTH&lt;/keyword&gt;&lt;keyword&gt;INDEX&lt;/keyword&gt;&lt;/keywords&gt;&lt;urls&gt;&lt;related-urls&gt;&lt;url&gt;&amp;lt;Go to ISI&amp;gt;://WOS:000257312100004&lt;/url&gt;&lt;/related-urls&gt;&lt;/urls&gt;&lt;isbn&gt;0373-6687&lt;/isbn&gt;&lt;work-type&gt;Article&lt;/work-type&gt;&lt;titles&gt;&lt;title&gt;Effects of elevated atmospheric CO2 on spore capsules of the moss Leptobryum pyriforme&lt;/title&gt;&lt;secondary-title&gt;Journal of Bryology&lt;/secondary-title&gt;&lt;alt-title&gt;J. Bryol.&lt;/alt-title&gt;&lt;/titles&gt;&lt;pages&gt;36-40&lt;/pages&gt;&lt;contributors&gt;&lt;authors&gt;&lt;author&gt;Baars, C.&lt;/author&gt;&lt;author&gt;Edwards, D.&lt;/author&gt;&lt;/authors&gt;&lt;/contributors&gt;&lt;language&gt;English&lt;/language&gt;&lt;added-date format="utc"&gt;1353145478&lt;/added-date&gt;&lt;ref-type name="Journal Article"&gt;17&lt;/ref-type&gt;&lt;auth-address&gt;[Baars, Christian&amp;#xD;Edwards, Dianne] Cardiff Univ, Sch Earth Ocean &amp;amp; Planetary Sci, Cardiff CF10 3YE, S Glam, Wales. [Baars, Christian] Natl Museum Wales, Dept Geol, Cardiff CF10 3NP, England.&amp;#xD;Baars, C (reprint author), Cardiff Univ, Sch Earth Ocean &amp;amp; Planetary Sci, Cardiff CF10 3YE, S Glam, Wales.&amp;#xD;christian.baars@museumwales.ac.uk&lt;/auth-address&gt;&lt;dates&gt;&lt;year&gt;2008&lt;/year&gt;&lt;/dates&gt;&lt;rec-number&gt;32&lt;/rec-number&gt;&lt;last-updated-date format="utc"&gt;1353145478&lt;/last-updated-date&gt;&lt;accession-num&gt;WOS:000257312100004&lt;/accession-num&gt;&lt;electronic-resource-num&gt;10.1179/174328208x282094&lt;/electronic-resource-num&gt;&lt;volume&gt;30&lt;/volume&gt;&lt;/record&gt;&lt;/Cite&gt;&lt;/EndNote&gt;</w:instrText>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(2008)</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found that at 3500ppm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stomatal index was significantly reduced implying at highly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plants reduced the relative number of stomata (and total number). However, for Baars and Edwards </w:t>
      </w:r>
      <w:r w:rsidRPr="003A48AB">
        <w:rPr>
          <w:rFonts w:ascii="Arial" w:eastAsia="Yu Mincho" w:hAnsi="Arial" w:cs="Arial"/>
          <w:lang w:eastAsia="en-US" w:bidi="en-US"/>
        </w:rPr>
        <w:fldChar w:fldCharType="begin"/>
      </w:r>
      <w:r w:rsidR="00417B1E">
        <w:rPr>
          <w:rFonts w:ascii="Arial" w:eastAsia="Yu Mincho" w:hAnsi="Arial" w:cs="Arial"/>
          <w:lang w:eastAsia="en-US" w:bidi="en-US"/>
        </w:rPr>
        <w:instrText xml:space="preserve"> ADDIN EN.CITE &lt;EndNote&gt;&lt;Cite ExcludeAuth="1"&gt;&lt;Author&gt;Baars&lt;/Author&gt;&lt;Year&gt;2008&lt;/Year&gt;&lt;IDText&gt;Effects of elevated atmospheric CO2 on spore capsules of the moss Leptobryum pyriforme&lt;/IDText&gt;&lt;DisplayText&gt;(2008)&lt;/DisplayText&gt;&lt;record&gt;&lt;keywords&gt;&lt;keyword&gt;Leptobryum pyriforme&lt;/keyword&gt;&lt;keyword&gt;bryophytes&lt;/keyword&gt;&lt;keyword&gt;stomata&lt;/keyword&gt;&lt;keyword&gt;atmospheric CO2&lt;/keyword&gt;&lt;keyword&gt;capsule&lt;/keyword&gt;&lt;keyword&gt;size&lt;/keyword&gt;&lt;keyword&gt;sporophyte&lt;/keyword&gt;&lt;keyword&gt;STOMATAL DENSITY&lt;/keyword&gt;&lt;keyword&gt;POPLAR POPULUS&lt;/keyword&gt;&lt;keyword&gt;PLANTS&lt;/keyword&gt;&lt;keyword&gt;ENRICHMENT&lt;/keyword&gt;&lt;keyword&gt;RESPONSES&lt;/keyword&gt;&lt;keyword&gt;TEMPERATURE&lt;/keyword&gt;&lt;keyword&gt;INDICATORS&lt;/keyword&gt;&lt;keyword&gt;MECHANISMS&lt;/keyword&gt;&lt;keyword&gt;GROWTH&lt;/keyword&gt;&lt;keyword&gt;INDEX&lt;/keyword&gt;&lt;/keywords&gt;&lt;urls&gt;&lt;related-urls&gt;&lt;url&gt;&amp;lt;Go to ISI&amp;gt;://WOS:000257312100004&lt;/url&gt;&lt;/related-urls&gt;&lt;/urls&gt;&lt;isbn&gt;0373-6687&lt;/isbn&gt;&lt;work-type&gt;Article&lt;/work-type&gt;&lt;titles&gt;&lt;title&gt;Effects of elevated atmospheric CO2 on spore capsules of the moss Leptobryum pyriforme&lt;/title&gt;&lt;secondary-title&gt;Journal of Bryology&lt;/secondary-title&gt;&lt;alt-title&gt;J. Bryol.&lt;/alt-title&gt;&lt;/titles&gt;&lt;pages&gt;36-40&lt;/pages&gt;&lt;contributors&gt;&lt;authors&gt;&lt;author&gt;Baars, C.&lt;/author&gt;&lt;author&gt;Edwards, D.&lt;/author&gt;&lt;/authors&gt;&lt;/contributors&gt;&lt;language&gt;English&lt;/language&gt;&lt;added-date format="utc"&gt;1353145478&lt;/added-date&gt;&lt;ref-type name="Journal Article"&gt;17&lt;/ref-type&gt;&lt;auth-address&gt;[Baars, Christian&amp;#xD;Edwards, Dianne] Cardiff Univ, Sch Earth Ocean &amp;amp; Planetary Sci, Cardiff CF10 3YE, S Glam, Wales. [Baars, Christian] Natl Museum Wales, Dept Geol, Cardiff CF10 3NP, England.&amp;#xD;Baars, C (reprint author), Cardiff Univ, Sch Earth Ocean &amp;amp; Planetary Sci, Cardiff CF10 3YE, S Glam, Wales.&amp;#xD;christian.baars@museumwales.ac.uk&lt;/auth-address&gt;&lt;dates&gt;&lt;year&gt;2008&lt;/year&gt;&lt;/dates&gt;&lt;rec-number&gt;32&lt;/rec-number&gt;&lt;last-updated-date format="utc"&gt;1353145478&lt;/last-updated-date&gt;&lt;accession-num&gt;WOS:000257312100004&lt;/accession-num&gt;&lt;electronic-resource-num&gt;10.1179/174328208x282094&lt;/electronic-resource-num&gt;&lt;volume&gt;30&lt;/volume&gt;&lt;/record&gt;&lt;/Cite&gt;&lt;/EndNote&gt;</w:instrText>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(2008)</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this did not correspond with an increased S, instead, guard cell length was reduced. This unexpected change in S appeared to be linked to epidermal cell length and quantity as at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more smaller cells were produced. Because Baars and Edwards </w:t>
      </w:r>
      <w:r w:rsidRPr="003A48AB">
        <w:rPr>
          <w:rFonts w:ascii="Arial" w:eastAsia="Yu Mincho" w:hAnsi="Arial" w:cs="Arial"/>
          <w:lang w:eastAsia="en-US" w:bidi="en-US"/>
        </w:rPr>
        <w:fldChar w:fldCharType="begin"/>
      </w:r>
      <w:r w:rsidR="00417B1E">
        <w:rPr>
          <w:rFonts w:ascii="Arial" w:eastAsia="Yu Mincho" w:hAnsi="Arial" w:cs="Arial"/>
          <w:lang w:eastAsia="en-US" w:bidi="en-US"/>
        </w:rPr>
        <w:instrText xml:space="preserve"> ADDIN EN.CITE &lt;EndNote&gt;&lt;Cite ExcludeAuth="1"&gt;&lt;Author&gt;Baars&lt;/Author&gt;&lt;Year&gt;2008&lt;/Year&gt;&lt;IDText&gt;Effects of elevated atmospheric CO2 on spore capsules of the moss Leptobryum pyriforme&lt;/IDText&gt;&lt;DisplayText&gt;(2008)&lt;/DisplayText&gt;&lt;record&gt;&lt;keywords&gt;&lt;keyword&gt;Leptobryum pyriforme&lt;/keyword&gt;&lt;keyword&gt;bryophytes&lt;/keyword&gt;&lt;keyword&gt;stomata&lt;/keyword&gt;&lt;keyword&gt;atmospheric CO2&lt;/keyword&gt;&lt;keyword&gt;capsule&lt;/keyword&gt;&lt;keyword&gt;size&lt;/keyword&gt;&lt;keyword&gt;sporophyte&lt;/keyword&gt;&lt;keyword&gt;STOMATAL DENSITY&lt;/keyword&gt;&lt;keyword&gt;POPLAR POPULUS&lt;/keyword&gt;&lt;keyword&gt;PLANTS&lt;/keyword&gt;&lt;keyword&gt;ENRICHMENT&lt;/keyword&gt;&lt;keyword&gt;RESPONSES&lt;/keyword&gt;&lt;keyword&gt;TEMPERATURE&lt;/keyword&gt;&lt;keyword&gt;INDICATORS&lt;/keyword&gt;&lt;keyword&gt;MECHANISMS&lt;/keyword&gt;&lt;keyword&gt;GROWTH&lt;/keyword&gt;&lt;keyword&gt;INDEX&lt;/keyword&gt;&lt;/keywords&gt;&lt;urls&gt;&lt;related-urls&gt;&lt;url&gt;&amp;lt;Go to ISI&amp;gt;://WOS:000257312100004&lt;/url&gt;&lt;/related-urls&gt;&lt;/urls&gt;&lt;isbn&gt;0373-6687&lt;/isbn&gt;&lt;work-type&gt;Article&lt;/work-type&gt;&lt;titles&gt;&lt;title&gt;Effects of elevated atmospheric CO2 on spore capsules of the moss Leptobryum pyriforme&lt;/title&gt;&lt;secondary-title&gt;Journal of Bryology&lt;/secondary-title&gt;&lt;alt-title&gt;J. Bryol.&lt;/alt-title&gt;&lt;/titles&gt;&lt;pages&gt;36-40&lt;/pages&gt;&lt;contributors&gt;&lt;authors&gt;&lt;author&gt;Baars, C.&lt;/author&gt;&lt;author&gt;Edwards, D.&lt;/author&gt;&lt;/authors&gt;&lt;/contributors&gt;&lt;language&gt;English&lt;/language&gt;&lt;added-date format="utc"&gt;1353145478&lt;/added-date&gt;&lt;ref-type name="Journal Article"&gt;17&lt;/ref-type&gt;&lt;auth-address&gt;[Baars, Christian&amp;#xD;Edwards, Dianne] Cardiff Univ, Sch Earth Ocean &amp;amp; Planetary Sci, Cardiff CF10 3YE, S Glam, Wales. [Baars, Christian] Natl Museum Wales, Dept Geol, Cardiff CF10 3NP, England.&amp;#xD;Baars, C (reprint author), Cardiff Univ, Sch Earth Ocean &amp;amp; Planetary Sci, Cardiff CF10 3YE, S Glam, Wales.&amp;#xD;christian.baars@museumwales.ac.uk&lt;/auth-address&gt;&lt;dates&gt;&lt;year&gt;2008&lt;/year&gt;&lt;/dates&gt;&lt;rec-number&gt;32&lt;/rec-number&gt;&lt;last-updated-date format="utc"&gt;1353145478&lt;/last-updated-date&gt;&lt;accession-num&gt;WOS:000257312100004&lt;/accession-num&gt;&lt;electronic-resource-num&gt;10.1179/174328208x282094&lt;/electronic-resource-num&gt;&lt;volume&gt;30&lt;/volume&gt;&lt;/record&gt;&lt;/Cite&gt;&lt;/EndNote&gt;</w:instrText>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(2008)</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performed their study under such different conditions It is difficult to make direct comparisons but what is apparent is that there is still a lot to understand in relation to different non-vascular land responses to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and the genetics that might or might not underpin such responses.</w:t>
      </w:r>
    </w:p>
    <w:p w14:paraId="2088D8B0"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 xml:space="preserve">For the smaller sporophyte-bearing moss </w:t>
      </w:r>
      <w:r w:rsidRPr="003A48AB">
        <w:rPr>
          <w:rFonts w:ascii="Arial" w:eastAsia="Yu Mincho" w:hAnsi="Arial" w:cs="Arial"/>
          <w:i/>
          <w:lang w:eastAsia="en-US" w:bidi="en-US"/>
        </w:rPr>
        <w:t>Physcomitrella patens</w:t>
      </w:r>
      <w:r w:rsidRPr="003A48AB">
        <w:rPr>
          <w:rFonts w:ascii="Arial" w:eastAsia="Yu Mincho" w:hAnsi="Arial" w:cs="Arial"/>
          <w:lang w:eastAsia="en-US" w:bidi="en-US"/>
        </w:rPr>
        <w:t xml:space="preserve"> a more complicated picture emerged, but when comparing sub-ambient and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a clear reduction in S and increase in D was found in sub-ambient grown sporophyte capsules relatively to capsules grown at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w:t>
      </w:r>
      <w:r w:rsidRPr="003A48AB">
        <w:rPr>
          <w:rFonts w:ascii="Arial" w:eastAsia="Yu Mincho" w:hAnsi="Arial" w:cs="Arial"/>
          <w:b/>
          <w:lang w:eastAsia="en-US" w:bidi="en-US"/>
        </w:rPr>
        <w:t>Fig. 4</w:t>
      </w:r>
      <w:r w:rsidRPr="003A48AB">
        <w:rPr>
          <w:rFonts w:ascii="Arial" w:eastAsia="Yu Mincho" w:hAnsi="Arial" w:cs="Arial"/>
          <w:lang w:eastAsia="en-US" w:bidi="en-US"/>
        </w:rPr>
        <w:t>). However, as it was not possible to measure stomatal index in such a small, curved sporophyte capsule it was not possible to test whether observed D changes occurred due to changes in cell identity or because of cell/ capsule size changes associated with growth at reduced or increased CO</w:t>
      </w:r>
      <w:r w:rsidRPr="003A48AB">
        <w:rPr>
          <w:rFonts w:ascii="Arial" w:eastAsia="Yu Mincho" w:hAnsi="Arial" w:cs="Arial"/>
          <w:vertAlign w:val="subscript"/>
          <w:lang w:eastAsia="en-US" w:bidi="en-US"/>
        </w:rPr>
        <w:t xml:space="preserve">2 </w:t>
      </w:r>
      <w:r w:rsidRPr="003A48AB">
        <w:rPr>
          <w:rFonts w:ascii="Arial" w:eastAsia="Yu Mincho" w:hAnsi="Arial" w:cs="Arial"/>
          <w:lang w:eastAsia="en-US" w:bidi="en-US"/>
        </w:rPr>
        <w:t xml:space="preserve">concentrations. Unfortunately, individual capsule size was not measured for each sporophyte assessed in the first experiment so it is not possible to make inferences about how or if size of the capsules affected stomatal N, S and D. </w:t>
      </w:r>
    </w:p>
    <w:p w14:paraId="3CED9335" w14:textId="77777777" w:rsidR="003A48AB" w:rsidRPr="003A48AB" w:rsidRDefault="003A48AB" w:rsidP="003A48AB">
      <w:pPr>
        <w:spacing w:after="160" w:line="360" w:lineRule="auto"/>
        <w:rPr>
          <w:rFonts w:ascii="Arial" w:eastAsia="Yu Mincho" w:hAnsi="Arial" w:cs="Arial"/>
          <w:vertAlign w:val="subscript"/>
          <w:lang w:eastAsia="en-US" w:bidi="en-US"/>
        </w:rPr>
      </w:pPr>
      <w:r w:rsidRPr="003A48AB">
        <w:rPr>
          <w:rFonts w:ascii="Arial" w:eastAsia="Yu Mincho" w:hAnsi="Arial" w:cs="Arial"/>
          <w:lang w:eastAsia="en-US" w:bidi="en-US"/>
        </w:rPr>
        <w:t xml:space="preserve">Light plays an important part in stomatal development in higher land plants, with higher light levels leading to the formation of more stomata and increased density </w:t>
      </w:r>
      <w:r w:rsidRPr="003A48AB">
        <w:rPr>
          <w:rFonts w:ascii="Arial" w:eastAsia="Yu Mincho" w:hAnsi="Arial" w:cs="Arial"/>
          <w:lang w:eastAsia="en-US" w:bidi="en-US"/>
        </w:rPr>
        <w:fldChar w:fldCharType="begin">
          <w:fldData xml:space="preserve">PEVuZE5vdGU+PENpdGU+PEF1dGhvcj5DYXNzb248L0F1dGhvcj48WWVhcj4yMDA5PC9ZZWFyPjxJ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</w:fldData>
        </w:fldChar>
      </w:r>
      <w:r w:rsidRPr="003A48AB">
        <w:rPr>
          <w:rFonts w:ascii="Arial" w:eastAsia="Yu Mincho" w:hAnsi="Arial" w:cs="Arial"/>
          <w:lang w:eastAsia="en-US" w:bidi="en-US"/>
        </w:rPr>
        <w:instrText xml:space="preserve"> ADDIN EN.CITE </w:instrText>
      </w:r>
      <w:r w:rsidRPr="003A48AB">
        <w:rPr>
          <w:rFonts w:ascii="Arial" w:eastAsia="Yu Mincho" w:hAnsi="Arial" w:cs="Arial"/>
          <w:lang w:eastAsia="en-US" w:bidi="en-US"/>
        </w:rPr>
        <w:fldChar w:fldCharType="begin">
          <w:fldData xml:space="preserve">PEVuZE5vdGU+PENpdGU+PEF1dGhvcj5DYXNzb248L0F1dGhvcj48WWVhcj4yMDA5PC9ZZWFyPjxJ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</w:fldData>
        </w:fldChar>
      </w:r>
      <w:r w:rsidRPr="003A48AB">
        <w:rPr>
          <w:rFonts w:ascii="Arial" w:eastAsia="Yu Mincho" w:hAnsi="Arial" w:cs="Arial"/>
          <w:lang w:eastAsia="en-US" w:bidi="en-US"/>
        </w:rPr>
        <w:instrText xml:space="preserve"> ADDIN EN.CITE.DATA </w:instrText>
      </w:r>
      <w:r w:rsidRPr="003A48AB">
        <w:rPr>
          <w:rFonts w:ascii="Arial" w:eastAsia="Yu Mincho" w:hAnsi="Arial" w:cs="Arial"/>
          <w:lang w:eastAsia="en-US" w:bidi="en-US"/>
        </w:rPr>
      </w:r>
      <w:r w:rsidRPr="003A48AB">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(Casson et al., 2009; Casson and Hetherington, 2014; Gay and Hurd, 1975; Kang et al., 2009)</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However, nothing is known about how growth at different light concentrations effects stomatal development in non-vascular land plant lineages. It was initially hypothesised therefore, that if light is a key factor in stomatal development in </w:t>
      </w:r>
      <w:r w:rsidRPr="003A48AB">
        <w:rPr>
          <w:rFonts w:ascii="Arial" w:eastAsia="Yu Mincho" w:hAnsi="Arial" w:cs="Arial"/>
          <w:i/>
          <w:lang w:eastAsia="en-US" w:bidi="en-US"/>
        </w:rPr>
        <w:t>P. patens</w:t>
      </w:r>
      <w:r w:rsidRPr="003A48AB">
        <w:rPr>
          <w:rFonts w:ascii="Arial" w:eastAsia="Yu Mincho" w:hAnsi="Arial" w:cs="Arial"/>
          <w:lang w:eastAsia="en-US" w:bidi="en-US"/>
        </w:rPr>
        <w:t xml:space="preserve"> (akin to vascular land plants), then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 xml:space="preserve">sporophyte capsules grown at higher light (HL) would exhibit an increased D relative to low </w:t>
      </w:r>
      <w:r w:rsidRPr="003A48AB">
        <w:rPr>
          <w:rFonts w:ascii="Arial" w:eastAsia="Yu Mincho" w:hAnsi="Arial" w:cs="Arial"/>
          <w:lang w:eastAsia="en-US" w:bidi="en-US"/>
        </w:rPr>
        <w:lastRenderedPageBreak/>
        <w:t>light (LL) grown plants. To test such a hypothesis, 8 large sporophyte capsules grown under both HL and LL and ambient and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were analysed (</w:t>
      </w:r>
      <w:r w:rsidRPr="003A48AB">
        <w:rPr>
          <w:rFonts w:ascii="Arial" w:eastAsia="Yu Mincho" w:hAnsi="Arial" w:cs="Arial"/>
          <w:b/>
          <w:lang w:eastAsia="en-US" w:bidi="en-US"/>
        </w:rPr>
        <w:t>Fig. 6</w:t>
      </w:r>
      <w:r w:rsidRPr="003A48AB">
        <w:rPr>
          <w:rFonts w:ascii="Arial" w:eastAsia="Yu Mincho" w:hAnsi="Arial" w:cs="Arial"/>
          <w:lang w:eastAsia="en-US" w:bidi="en-US"/>
        </w:rPr>
        <w:t>). For ambient CO</w:t>
      </w:r>
      <w:r w:rsidRPr="003A48AB">
        <w:rPr>
          <w:rFonts w:ascii="Arial" w:eastAsia="Yu Mincho" w:hAnsi="Arial" w:cs="Arial"/>
          <w:vertAlign w:val="subscript"/>
          <w:lang w:eastAsia="en-US" w:bidi="en-US"/>
        </w:rPr>
        <w:t xml:space="preserve">2 </w:t>
      </w:r>
      <w:r w:rsidRPr="003A48AB">
        <w:rPr>
          <w:rFonts w:ascii="Arial" w:eastAsia="Yu Mincho" w:hAnsi="Arial" w:cs="Arial"/>
          <w:lang w:eastAsia="en-US" w:bidi="en-US"/>
        </w:rPr>
        <w:t xml:space="preserve">grown sporophyte capsules under HL, N and D increased relative to LL, with the D response being significant (multiple comparisons Two-way ANOVA, </w:t>
      </w:r>
      <w:r w:rsidRPr="003A48AB">
        <w:rPr>
          <w:rFonts w:ascii="Arial" w:eastAsia="Yu Mincho" w:hAnsi="Arial" w:cs="Arial"/>
          <w:i/>
          <w:lang w:eastAsia="en-US" w:bidi="en-US"/>
        </w:rPr>
        <w:t xml:space="preserve">P &lt; </w:t>
      </w:r>
      <w:r w:rsidRPr="003A48AB">
        <w:rPr>
          <w:rFonts w:ascii="Arial" w:eastAsia="Yu Mincho" w:hAnsi="Arial" w:cs="Arial"/>
          <w:lang w:eastAsia="en-US" w:bidi="en-US"/>
        </w:rPr>
        <w:t>0.05) (</w:t>
      </w:r>
      <w:r w:rsidRPr="003A48AB">
        <w:rPr>
          <w:rFonts w:ascii="Arial" w:eastAsia="Yu Mincho" w:hAnsi="Arial" w:cs="Arial"/>
          <w:b/>
          <w:lang w:eastAsia="en-US" w:bidi="en-US"/>
        </w:rPr>
        <w:t>Fig. 6a</w:t>
      </w:r>
      <w:r w:rsidRPr="003A48AB">
        <w:rPr>
          <w:rFonts w:ascii="Arial" w:eastAsia="Yu Mincho" w:hAnsi="Arial" w:cs="Arial"/>
          <w:lang w:eastAsia="en-US" w:bidi="en-US"/>
        </w:rPr>
        <w:t>-</w:t>
      </w:r>
      <w:r w:rsidRPr="003A48AB">
        <w:rPr>
          <w:rFonts w:ascii="Arial" w:eastAsia="Yu Mincho" w:hAnsi="Arial" w:cs="Arial"/>
          <w:b/>
          <w:lang w:eastAsia="en-US" w:bidi="en-US"/>
        </w:rPr>
        <w:t>b</w:t>
      </w:r>
      <w:r w:rsidRPr="003A48AB">
        <w:rPr>
          <w:rFonts w:ascii="Arial" w:eastAsia="Yu Mincho" w:hAnsi="Arial" w:cs="Arial"/>
          <w:lang w:eastAsia="en-US" w:bidi="en-US"/>
        </w:rPr>
        <w:t>). When ambient and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treatments were compared within the different light treatments it became clear that at LL, D did not reduce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but N did increase. At HL where stomata were more focused on the capsule base (</w:t>
      </w:r>
      <w:r w:rsidRPr="003A48AB">
        <w:rPr>
          <w:rFonts w:ascii="Arial" w:eastAsia="Yu Mincho" w:hAnsi="Arial" w:cs="Arial"/>
          <w:b/>
          <w:lang w:eastAsia="en-US" w:bidi="en-US"/>
        </w:rPr>
        <w:t>Fig. 6c</w:t>
      </w:r>
      <w:r w:rsidRPr="003A48AB">
        <w:rPr>
          <w:rFonts w:ascii="Arial" w:eastAsia="Yu Mincho" w:hAnsi="Arial" w:cs="Arial"/>
          <w:lang w:eastAsia="en-US" w:bidi="en-US"/>
        </w:rPr>
        <w:t>),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again increased N but the stomata spread out more leading to a reduction in D although when a two-way ANOVA was performed this difference was not significant. Unlike with D, different light treatments appeared to have little impact on S.</w:t>
      </w:r>
    </w:p>
    <w:p w14:paraId="013525BC"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 xml:space="preserve">To test whether the results relating to S and D in </w:t>
      </w:r>
      <w:r w:rsidRPr="003A48AB">
        <w:rPr>
          <w:rFonts w:ascii="Arial" w:eastAsia="Yu Mincho" w:hAnsi="Arial" w:cs="Arial"/>
          <w:b/>
          <w:lang w:eastAsia="en-US" w:bidi="en-US"/>
        </w:rPr>
        <w:t>Fig. 6</w:t>
      </w:r>
      <w:r w:rsidRPr="003A48AB">
        <w:rPr>
          <w:rFonts w:ascii="Arial" w:eastAsia="Yu Mincho" w:hAnsi="Arial" w:cs="Arial"/>
          <w:lang w:eastAsia="en-US" w:bidi="en-US"/>
        </w:rPr>
        <w:t xml:space="preserve"> were due to larger capsules, a further analysis was conducted using capsules of a similar size (</w:t>
      </w:r>
      <w:r w:rsidRPr="003A48AB">
        <w:rPr>
          <w:rFonts w:ascii="Arial" w:eastAsia="Yu Mincho" w:hAnsi="Arial" w:cs="Arial"/>
          <w:b/>
          <w:lang w:eastAsia="en-US" w:bidi="en-US"/>
        </w:rPr>
        <w:t>Fig. 7</w:t>
      </w:r>
      <w:r w:rsidRPr="003A48AB">
        <w:rPr>
          <w:rFonts w:ascii="Arial" w:eastAsia="Yu Mincho" w:hAnsi="Arial" w:cs="Arial"/>
          <w:lang w:eastAsia="en-US" w:bidi="en-US"/>
        </w:rPr>
        <w:t>). When capsule size was standardised the responses of N and D to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observed within the two light treatments ceased to occur (</w:t>
      </w:r>
      <w:r w:rsidRPr="003A48AB">
        <w:rPr>
          <w:rFonts w:ascii="Arial" w:eastAsia="Yu Mincho" w:hAnsi="Arial" w:cs="Arial"/>
          <w:b/>
          <w:lang w:eastAsia="en-US" w:bidi="en-US"/>
        </w:rPr>
        <w:t>Fig. 7</w:t>
      </w:r>
      <w:r w:rsidRPr="003A48AB">
        <w:rPr>
          <w:rFonts w:ascii="Arial" w:eastAsia="Yu Mincho" w:hAnsi="Arial" w:cs="Arial"/>
          <w:lang w:eastAsia="en-US" w:bidi="en-US"/>
        </w:rPr>
        <w:t>). Instead both D and N response at LL or HL were more similar when 450ppm and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grown samples were compared. However, when the D of LL and HL 450 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grown samples were compared a difference was clearly still detectable as with the results in </w:t>
      </w:r>
      <w:r w:rsidRPr="003A48AB">
        <w:rPr>
          <w:rFonts w:ascii="Arial" w:eastAsia="Yu Mincho" w:hAnsi="Arial" w:cs="Arial"/>
          <w:b/>
          <w:lang w:eastAsia="en-US" w:bidi="en-US"/>
        </w:rPr>
        <w:t xml:space="preserve">Fig. 6 </w:t>
      </w:r>
      <w:r w:rsidRPr="003A48AB">
        <w:rPr>
          <w:rFonts w:ascii="Arial" w:eastAsia="Yu Mincho" w:hAnsi="Arial" w:cs="Arial"/>
          <w:lang w:eastAsia="en-US" w:bidi="en-US"/>
        </w:rPr>
        <w:t xml:space="preserve">(multiple comparisons Two-way ANOVA, </w:t>
      </w:r>
      <w:r w:rsidRPr="003A48AB">
        <w:rPr>
          <w:rFonts w:ascii="Arial" w:eastAsia="Yu Mincho" w:hAnsi="Arial" w:cs="Arial"/>
          <w:i/>
          <w:lang w:eastAsia="en-US" w:bidi="en-US"/>
        </w:rPr>
        <w:t xml:space="preserve">P </w:t>
      </w:r>
      <w:r w:rsidRPr="003A48AB">
        <w:rPr>
          <w:rFonts w:ascii="Arial" w:eastAsia="Yu Mincho" w:hAnsi="Arial" w:cs="Arial"/>
          <w:lang w:eastAsia="en-US" w:bidi="en-US"/>
        </w:rPr>
        <w:t xml:space="preserve">&lt; 0.01). In summary, </w:t>
      </w:r>
      <w:r w:rsidRPr="003A48AB">
        <w:rPr>
          <w:rFonts w:ascii="Arial" w:eastAsia="Yu Mincho" w:hAnsi="Arial" w:cs="Arial"/>
          <w:i/>
          <w:lang w:eastAsia="en-US" w:bidi="en-US"/>
        </w:rPr>
        <w:t>P. patens</w:t>
      </w:r>
      <w:r w:rsidRPr="003A48AB">
        <w:rPr>
          <w:rFonts w:ascii="Arial" w:eastAsia="Yu Mincho" w:hAnsi="Arial" w:cs="Arial"/>
          <w:lang w:eastAsia="en-US" w:bidi="en-US"/>
        </w:rPr>
        <w:t xml:space="preserve"> sporophyte capsules grown at HL tended to have more stomata focussed to the base of the sporophyte resulting in increased D (</w:t>
      </w:r>
      <w:r w:rsidRPr="003A48AB">
        <w:rPr>
          <w:rFonts w:ascii="Arial" w:eastAsia="Yu Mincho" w:hAnsi="Arial" w:cs="Arial"/>
          <w:b/>
          <w:lang w:eastAsia="en-US" w:bidi="en-US"/>
        </w:rPr>
        <w:t>Fig. 6</w:t>
      </w:r>
      <w:r w:rsidRPr="003A48AB">
        <w:rPr>
          <w:rFonts w:ascii="Arial" w:eastAsia="Yu Mincho" w:hAnsi="Arial" w:cs="Arial"/>
          <w:lang w:eastAsia="en-US" w:bidi="en-US"/>
        </w:rPr>
        <w:t>-</w:t>
      </w:r>
      <w:r w:rsidRPr="003A48AB">
        <w:rPr>
          <w:rFonts w:ascii="Arial" w:eastAsia="Yu Mincho" w:hAnsi="Arial" w:cs="Arial"/>
          <w:b/>
          <w:lang w:eastAsia="en-US" w:bidi="en-US"/>
        </w:rPr>
        <w:t>7</w:t>
      </w:r>
      <w:r w:rsidRPr="003A48AB">
        <w:rPr>
          <w:rFonts w:ascii="Arial" w:eastAsia="Yu Mincho" w:hAnsi="Arial" w:cs="Arial"/>
          <w:lang w:eastAsia="en-US" w:bidi="en-US"/>
        </w:rPr>
        <w:t>). Conversely, plants grown under increased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had stomata that were spread out further over the base leading to reductions in D at HL but this was only evident when larger capsules were studied suggesting that overall HL induced reduced D at high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is dependent on the size of capsules being compared (</w:t>
      </w:r>
      <w:r w:rsidRPr="003A48AB">
        <w:rPr>
          <w:rFonts w:ascii="Arial" w:eastAsia="Yu Mincho" w:hAnsi="Arial" w:cs="Arial"/>
          <w:b/>
          <w:lang w:eastAsia="en-US" w:bidi="en-US"/>
        </w:rPr>
        <w:t>Fig. 6</w:t>
      </w:r>
      <w:r w:rsidRPr="003A48AB">
        <w:rPr>
          <w:rFonts w:ascii="Arial" w:eastAsia="Yu Mincho" w:hAnsi="Arial" w:cs="Arial"/>
          <w:lang w:eastAsia="en-US" w:bidi="en-US"/>
        </w:rPr>
        <w:t>-</w:t>
      </w:r>
      <w:r w:rsidRPr="003A48AB">
        <w:rPr>
          <w:rFonts w:ascii="Arial" w:eastAsia="Yu Mincho" w:hAnsi="Arial" w:cs="Arial"/>
          <w:b/>
          <w:lang w:eastAsia="en-US" w:bidi="en-US"/>
        </w:rPr>
        <w:t>7</w:t>
      </w:r>
      <w:r w:rsidRPr="003A48AB">
        <w:rPr>
          <w:rFonts w:ascii="Arial" w:eastAsia="Yu Mincho" w:hAnsi="Arial" w:cs="Arial"/>
          <w:lang w:eastAsia="en-US" w:bidi="en-US"/>
        </w:rPr>
        <w:t xml:space="preserve">). </w:t>
      </w:r>
    </w:p>
    <w:p w14:paraId="6EF549BA" w14:textId="24778372"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 xml:space="preserve">The findings from </w:t>
      </w:r>
      <w:r w:rsidRPr="003A48AB">
        <w:rPr>
          <w:rFonts w:ascii="Arial" w:eastAsia="Yu Mincho" w:hAnsi="Arial" w:cs="Arial"/>
          <w:b/>
          <w:lang w:eastAsia="en-US" w:bidi="en-US"/>
        </w:rPr>
        <w:t xml:space="preserve">Fig. 4 </w:t>
      </w:r>
      <w:r w:rsidRPr="003A48AB">
        <w:rPr>
          <w:rFonts w:ascii="Arial" w:eastAsia="Yu Mincho" w:hAnsi="Arial" w:cs="Arial"/>
          <w:lang w:eastAsia="en-US" w:bidi="en-US"/>
        </w:rPr>
        <w:t>and</w:t>
      </w:r>
      <w:r w:rsidRPr="003A48AB">
        <w:rPr>
          <w:rFonts w:ascii="Arial" w:eastAsia="Yu Mincho" w:hAnsi="Arial" w:cs="Arial"/>
          <w:b/>
          <w:lang w:eastAsia="en-US" w:bidi="en-US"/>
        </w:rPr>
        <w:t xml:space="preserve"> 6 </w:t>
      </w:r>
      <w:r w:rsidRPr="003A48AB">
        <w:rPr>
          <w:rFonts w:ascii="Arial" w:eastAsia="Yu Mincho" w:hAnsi="Arial" w:cs="Arial"/>
          <w:lang w:eastAsia="en-US" w:bidi="en-US"/>
        </w:rPr>
        <w:t xml:space="preserve">can be interpreted in two ways. At the level of the sporophyte capsule (disregarding size measurements), it could be argued in </w:t>
      </w:r>
      <w:r w:rsidRPr="003A48AB">
        <w:rPr>
          <w:rFonts w:ascii="Arial" w:eastAsia="Yu Mincho" w:hAnsi="Arial" w:cs="Arial"/>
          <w:b/>
          <w:lang w:eastAsia="en-US" w:bidi="en-US"/>
        </w:rPr>
        <w:t xml:space="preserve">Fig. 4 </w:t>
      </w:r>
      <w:r w:rsidRPr="003A48AB">
        <w:rPr>
          <w:rFonts w:ascii="Arial" w:eastAsia="Yu Mincho" w:hAnsi="Arial" w:cs="Arial"/>
          <w:lang w:eastAsia="en-US" w:bidi="en-US"/>
        </w:rPr>
        <w:t xml:space="preserve">and </w:t>
      </w:r>
      <w:r w:rsidRPr="003A48AB">
        <w:rPr>
          <w:rFonts w:ascii="Arial" w:eastAsia="Yu Mincho" w:hAnsi="Arial" w:cs="Arial"/>
          <w:b/>
          <w:lang w:eastAsia="en-US" w:bidi="en-US"/>
        </w:rPr>
        <w:t>6</w:t>
      </w:r>
      <w:r w:rsidRPr="003A48AB">
        <w:rPr>
          <w:rFonts w:ascii="Arial" w:eastAsia="Yu Mincho" w:hAnsi="Arial" w:cs="Arial"/>
          <w:lang w:eastAsia="en-US" w:bidi="en-US"/>
        </w:rPr>
        <w:t xml:space="preserve"> that D increases because N increases per capsule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relatively to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However, by interpreting D at the capsule level as opposed to the D per unit area level, a failure to understand the spatial dynamics of stomatal patterning on the sporophyte capsule base arises. This is the method utilised by Field and colleagues </w:t>
      </w:r>
      <w:r w:rsidRPr="003A48AB">
        <w:rPr>
          <w:rFonts w:ascii="Arial" w:eastAsia="Yu Mincho" w:hAnsi="Arial" w:cs="Arial"/>
          <w:lang w:eastAsia="en-US" w:bidi="en-US"/>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(2015)</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to claim that no changes in stomatal D occur in mosses and hornworts. Another way to interpret such data is to attempt quantify the formation of stomata per unit area and per sporophyte capsule. Using multiple parameters to measure D a clearer picture emerges as to how stomata are spaced and therefore a more precise representation of D can be made. </w:t>
      </w:r>
      <w:r w:rsidRPr="003A48AB">
        <w:rPr>
          <w:rFonts w:ascii="Arial" w:eastAsia="Times New Roman" w:hAnsi="Arial" w:cs="Arial"/>
          <w:color w:val="000000"/>
          <w:lang w:eastAsia="en-US" w:bidi="en-US"/>
        </w:rPr>
        <w:t xml:space="preserve">Note, due to the small curved stomatal-bearing surfaces of </w:t>
      </w:r>
      <w:r w:rsidRPr="003A48AB">
        <w:rPr>
          <w:rFonts w:ascii="Arial" w:eastAsia="Times New Roman" w:hAnsi="Arial" w:cs="Arial"/>
          <w:i/>
          <w:color w:val="000000"/>
          <w:lang w:eastAsia="en-US" w:bidi="en-US"/>
        </w:rPr>
        <w:t xml:space="preserve">P. patens </w:t>
      </w:r>
      <w:r w:rsidRPr="003A48AB">
        <w:rPr>
          <w:rFonts w:ascii="Arial" w:eastAsia="Times New Roman" w:hAnsi="Arial" w:cs="Arial"/>
          <w:color w:val="000000"/>
          <w:lang w:eastAsia="en-US" w:bidi="en-US"/>
        </w:rPr>
        <w:t xml:space="preserve">it was not possible to measure SI (as in </w:t>
      </w:r>
      <w:r w:rsidRPr="003A48AB">
        <w:rPr>
          <w:rFonts w:ascii="Arial" w:eastAsia="Times New Roman" w:hAnsi="Arial" w:cs="Arial"/>
          <w:b/>
          <w:color w:val="000000"/>
          <w:lang w:eastAsia="en-US" w:bidi="en-US"/>
        </w:rPr>
        <w:t>Fig. 3</w:t>
      </w:r>
      <w:r w:rsidRPr="003A48AB">
        <w:rPr>
          <w:rFonts w:ascii="Arial" w:eastAsia="Times New Roman" w:hAnsi="Arial" w:cs="Arial"/>
          <w:color w:val="000000"/>
          <w:lang w:eastAsia="en-US" w:bidi="en-US"/>
        </w:rPr>
        <w:t>)</w:t>
      </w:r>
      <w:r w:rsidRPr="003A48AB">
        <w:rPr>
          <w:rFonts w:ascii="Arial" w:eastAsia="Times New Roman" w:hAnsi="Arial" w:cs="Arial"/>
          <w:b/>
          <w:color w:val="000000"/>
          <w:lang w:eastAsia="en-US" w:bidi="en-US"/>
        </w:rPr>
        <w:t xml:space="preserve"> </w:t>
      </w:r>
      <w:r w:rsidRPr="003A48AB">
        <w:rPr>
          <w:rFonts w:ascii="Arial" w:eastAsia="Times New Roman" w:hAnsi="Arial" w:cs="Arial"/>
          <w:color w:val="000000"/>
          <w:lang w:eastAsia="en-US" w:bidi="en-US"/>
        </w:rPr>
        <w:t>as epidermal cells were not always easy to discern.</w:t>
      </w:r>
    </w:p>
    <w:p w14:paraId="531A59C2" w14:textId="64A75EF0"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lastRenderedPageBreak/>
        <w:t xml:space="preserve">The results of Field and colleagues </w:t>
      </w:r>
      <w:r w:rsidRPr="003A48AB">
        <w:rPr>
          <w:rFonts w:ascii="Arial" w:eastAsia="Yu Mincho" w:hAnsi="Arial" w:cs="Arial"/>
          <w:lang w:eastAsia="en-US" w:bidi="en-US"/>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(2015)</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are not similar to some of the results presented in this work. Some noticeable methodological differences were observed between studies which may have led to such differences arising. Firstly, in the work conducted by Field and colleagues </w:t>
      </w:r>
      <w:r w:rsidRPr="003A48AB">
        <w:rPr>
          <w:rFonts w:ascii="Arial" w:eastAsia="Yu Mincho" w:hAnsi="Arial" w:cs="Arial"/>
          <w:lang w:eastAsia="en-US" w:bidi="en-US"/>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(2015)</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plants were not grown for their entirety at a set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rather only for the sporophyte part of the lifecycle were plants grown under a particular treatment. As gametophyte growth appears to be linked to sporophyte size (see </w:t>
      </w:r>
      <w:r w:rsidRPr="003A48AB">
        <w:rPr>
          <w:rFonts w:ascii="Arial" w:eastAsia="Yu Mincho" w:hAnsi="Arial" w:cs="Arial"/>
          <w:b/>
          <w:lang w:eastAsia="en-US" w:bidi="en-US"/>
        </w:rPr>
        <w:t>Fig. 1</w:t>
      </w:r>
      <w:r w:rsidRPr="003A48AB">
        <w:rPr>
          <w:rFonts w:ascii="Arial" w:eastAsia="Yu Mincho" w:hAnsi="Arial" w:cs="Arial"/>
          <w:lang w:eastAsia="en-US" w:bidi="en-US"/>
        </w:rPr>
        <w:t>) which appears to be linked to S and D (</w:t>
      </w:r>
      <w:r w:rsidRPr="003A48AB">
        <w:rPr>
          <w:rFonts w:ascii="Arial" w:eastAsia="Yu Mincho" w:hAnsi="Arial" w:cs="Arial"/>
          <w:b/>
          <w:lang w:eastAsia="en-US" w:bidi="en-US"/>
        </w:rPr>
        <w:t>Fig. 3</w:t>
      </w:r>
      <w:r w:rsidRPr="003A48AB">
        <w:rPr>
          <w:rFonts w:ascii="Arial" w:eastAsia="Yu Mincho" w:hAnsi="Arial" w:cs="Arial"/>
          <w:lang w:eastAsia="en-US" w:bidi="en-US"/>
        </w:rPr>
        <w:t xml:space="preserve"> and </w:t>
      </w:r>
      <w:r w:rsidRPr="003A48AB">
        <w:rPr>
          <w:rFonts w:ascii="Arial" w:eastAsia="Yu Mincho" w:hAnsi="Arial" w:cs="Arial"/>
          <w:b/>
          <w:lang w:eastAsia="en-US" w:bidi="en-US"/>
        </w:rPr>
        <w:t>6</w:t>
      </w:r>
      <w:r w:rsidRPr="003A48AB">
        <w:rPr>
          <w:rFonts w:ascii="Arial" w:eastAsia="Yu Mincho" w:hAnsi="Arial" w:cs="Arial"/>
          <w:lang w:eastAsia="en-US" w:bidi="en-US"/>
        </w:rPr>
        <w:t>-</w:t>
      </w:r>
      <w:r w:rsidRPr="003A48AB">
        <w:rPr>
          <w:rFonts w:ascii="Arial" w:eastAsia="Yu Mincho" w:hAnsi="Arial" w:cs="Arial"/>
          <w:b/>
          <w:lang w:eastAsia="en-US" w:bidi="en-US"/>
        </w:rPr>
        <w:t>7</w:t>
      </w:r>
      <w:r w:rsidRPr="003A48AB">
        <w:rPr>
          <w:rFonts w:ascii="Arial" w:eastAsia="Yu Mincho" w:hAnsi="Arial" w:cs="Arial"/>
          <w:lang w:eastAsia="en-US" w:bidi="en-US"/>
        </w:rPr>
        <w:t xml:space="preserve">) this suggests that the results produced by Field and colleagues </w:t>
      </w:r>
      <w:r w:rsidRPr="003A48AB">
        <w:rPr>
          <w:rFonts w:ascii="Arial" w:eastAsia="Yu Mincho" w:hAnsi="Arial" w:cs="Arial"/>
          <w:lang w:eastAsia="en-US" w:bidi="en-US"/>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(2015)</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can only be interpreted based on how developing sporophytes responded to being grown at different CO</w:t>
      </w:r>
      <w:r w:rsidRPr="003A48AB">
        <w:rPr>
          <w:rFonts w:ascii="Arial" w:eastAsia="Yu Mincho" w:hAnsi="Arial" w:cs="Arial"/>
          <w:vertAlign w:val="subscript"/>
          <w:lang w:eastAsia="en-US" w:bidi="en-US"/>
        </w:rPr>
        <w:t>2</w:t>
      </w:r>
      <w:r w:rsidR="0078461F">
        <w:rPr>
          <w:rFonts w:ascii="Arial" w:eastAsia="Yu Mincho" w:hAnsi="Arial" w:cs="Arial"/>
          <w:lang w:eastAsia="en-US" w:bidi="en-US"/>
        </w:rPr>
        <w:t xml:space="preserve"> concentrations, </w:t>
      </w:r>
      <w:r w:rsidRPr="003A48AB">
        <w:rPr>
          <w:rFonts w:ascii="Arial" w:eastAsia="Yu Mincho" w:hAnsi="Arial" w:cs="Arial"/>
          <w:lang w:eastAsia="en-US" w:bidi="en-US"/>
        </w:rPr>
        <w:t>not how whole plants or species responded. Furthermore, the relatively low light levels of 50</w:t>
      </w:r>
      <w:r w:rsidRPr="003A48AB">
        <w:rPr>
          <w:rFonts w:ascii="Arial" w:eastAsia="Times New Roman" w:hAnsi="Arial" w:cs="Arial"/>
          <w:color w:val="000000"/>
          <w:lang w:eastAsia="en-US" w:bidi="en-US"/>
        </w:rPr>
        <w:t xml:space="preserve"> µmol m</w:t>
      </w:r>
      <w:r w:rsidRPr="003A48AB">
        <w:rPr>
          <w:rFonts w:ascii="Arial" w:eastAsia="Times New Roman" w:hAnsi="Arial" w:cs="Arial"/>
          <w:color w:val="000000"/>
          <w:vertAlign w:val="superscript"/>
          <w:lang w:eastAsia="en-US" w:bidi="en-US"/>
        </w:rPr>
        <w:t>−2</w:t>
      </w:r>
      <w:r w:rsidRPr="003A48AB">
        <w:rPr>
          <w:rFonts w:ascii="Arial" w:eastAsia="Times New Roman" w:hAnsi="Arial" w:cs="Arial"/>
          <w:color w:val="000000"/>
          <w:lang w:eastAsia="en-US" w:bidi="en-US"/>
        </w:rPr>
        <w:t>s</w:t>
      </w:r>
      <w:r w:rsidRPr="003A48AB">
        <w:rPr>
          <w:rFonts w:ascii="Arial" w:eastAsia="Times New Roman" w:hAnsi="Arial" w:cs="Arial"/>
          <w:color w:val="000000"/>
          <w:vertAlign w:val="superscript"/>
          <w:lang w:eastAsia="en-US" w:bidi="en-US"/>
        </w:rPr>
        <w:t>−1</w:t>
      </w:r>
      <w:r w:rsidRPr="003A48AB">
        <w:rPr>
          <w:rFonts w:ascii="Arial" w:eastAsia="Times New Roman" w:hAnsi="Arial" w:cs="Arial"/>
          <w:color w:val="000000"/>
          <w:lang w:eastAsia="en-US" w:bidi="en-US"/>
        </w:rPr>
        <w:t xml:space="preserve"> used by Field and colleagues </w:t>
      </w:r>
      <w:r w:rsidRPr="003A48AB">
        <w:rPr>
          <w:rFonts w:ascii="Arial" w:eastAsia="Times New Roman" w:hAnsi="Arial" w:cs="Arial"/>
          <w:color w:val="000000"/>
          <w:lang w:eastAsia="en-US" w:bidi="en-US"/>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sidR="00417B1E">
        <w:rPr>
          <w:rFonts w:ascii="Arial" w:eastAsia="Times New Roman" w:hAnsi="Arial" w:cs="Arial"/>
          <w:color w:val="000000"/>
          <w:lang w:eastAsia="en-US" w:bidi="en-US"/>
        </w:rPr>
        <w:instrText xml:space="preserve"> ADDIN EN.CITE </w:instrText>
      </w:r>
      <w:r w:rsidR="00417B1E">
        <w:rPr>
          <w:rFonts w:ascii="Arial" w:eastAsia="Times New Roman" w:hAnsi="Arial" w:cs="Arial"/>
          <w:color w:val="000000"/>
          <w:lang w:eastAsia="en-US" w:bidi="en-US"/>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sidR="00417B1E">
        <w:rPr>
          <w:rFonts w:ascii="Arial" w:eastAsia="Times New Roman" w:hAnsi="Arial" w:cs="Arial"/>
          <w:color w:val="000000"/>
          <w:lang w:eastAsia="en-US" w:bidi="en-US"/>
        </w:rPr>
        <w:instrText xml:space="preserve"> ADDIN EN.CITE.DATA </w:instrText>
      </w:r>
      <w:r w:rsidR="00417B1E">
        <w:rPr>
          <w:rFonts w:ascii="Arial" w:eastAsia="Times New Roman" w:hAnsi="Arial" w:cs="Arial"/>
          <w:color w:val="000000"/>
          <w:lang w:eastAsia="en-US" w:bidi="en-US"/>
        </w:rPr>
      </w:r>
      <w:r w:rsidR="00417B1E">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r>
      <w:r w:rsidRPr="003A48AB">
        <w:rPr>
          <w:rFonts w:ascii="Arial" w:eastAsia="Times New Roman" w:hAnsi="Arial" w:cs="Arial"/>
          <w:color w:val="000000"/>
          <w:lang w:eastAsia="en-US" w:bidi="en-US"/>
        </w:rPr>
        <w:fldChar w:fldCharType="separate"/>
      </w:r>
      <w:r w:rsidRPr="003A48AB">
        <w:rPr>
          <w:rFonts w:ascii="Arial" w:eastAsia="Times New Roman" w:hAnsi="Arial" w:cs="Arial"/>
          <w:noProof/>
          <w:color w:val="000000"/>
          <w:lang w:eastAsia="en-US" w:bidi="en-US"/>
        </w:rPr>
        <w:t>(2015)</w:t>
      </w:r>
      <w:r w:rsidRPr="003A48AB">
        <w:rPr>
          <w:rFonts w:ascii="Arial" w:eastAsia="Times New Roman" w:hAnsi="Arial" w:cs="Arial"/>
          <w:color w:val="000000"/>
          <w:lang w:eastAsia="en-US" w:bidi="en-US"/>
        </w:rPr>
        <w:fldChar w:fldCharType="end"/>
      </w:r>
      <w:r w:rsidRPr="003A48AB">
        <w:rPr>
          <w:rFonts w:ascii="Arial" w:eastAsia="Times New Roman" w:hAnsi="Arial" w:cs="Arial"/>
          <w:color w:val="000000"/>
          <w:lang w:eastAsia="en-US" w:bidi="en-US"/>
        </w:rPr>
        <w:t xml:space="preserve"> to grow sporophytes may have meant that that light was not sufficient to capture a D response at elevated CO</w:t>
      </w:r>
      <w:r w:rsidRPr="003A48AB">
        <w:rPr>
          <w:rFonts w:ascii="Arial" w:eastAsia="Times New Roman" w:hAnsi="Arial" w:cs="Arial"/>
          <w:color w:val="000000"/>
          <w:vertAlign w:val="subscript"/>
          <w:lang w:eastAsia="en-US" w:bidi="en-US"/>
        </w:rPr>
        <w:t>2</w:t>
      </w:r>
      <w:r w:rsidRPr="003A48AB">
        <w:rPr>
          <w:rFonts w:ascii="Arial" w:eastAsia="Times New Roman" w:hAnsi="Arial" w:cs="Arial"/>
          <w:color w:val="000000"/>
          <w:lang w:eastAsia="en-US" w:bidi="en-US"/>
        </w:rPr>
        <w:t xml:space="preserve"> based on the results presented in this chapter (</w:t>
      </w:r>
      <w:r w:rsidRPr="003A48AB">
        <w:rPr>
          <w:rFonts w:ascii="Arial" w:eastAsia="Times New Roman" w:hAnsi="Arial" w:cs="Arial"/>
          <w:b/>
          <w:color w:val="000000"/>
          <w:lang w:eastAsia="en-US" w:bidi="en-US"/>
        </w:rPr>
        <w:t xml:space="preserve">Fig. 4 </w:t>
      </w:r>
      <w:r w:rsidRPr="003A48AB">
        <w:rPr>
          <w:rFonts w:ascii="Arial" w:eastAsia="Times New Roman" w:hAnsi="Arial" w:cs="Arial"/>
          <w:color w:val="000000"/>
          <w:lang w:eastAsia="en-US" w:bidi="en-US"/>
        </w:rPr>
        <w:t>and</w:t>
      </w:r>
      <w:r w:rsidRPr="003A48AB">
        <w:rPr>
          <w:rFonts w:ascii="Arial" w:eastAsia="Times New Roman" w:hAnsi="Arial" w:cs="Arial"/>
          <w:b/>
          <w:color w:val="000000"/>
          <w:lang w:eastAsia="en-US" w:bidi="en-US"/>
        </w:rPr>
        <w:t xml:space="preserve"> 6</w:t>
      </w:r>
      <w:r w:rsidRPr="003A48AB">
        <w:rPr>
          <w:rFonts w:ascii="Arial" w:eastAsia="Yu Mincho" w:hAnsi="Arial" w:cs="Arial"/>
          <w:lang w:eastAsia="en-US" w:bidi="en-US"/>
        </w:rPr>
        <w:t>-</w:t>
      </w:r>
      <w:r w:rsidRPr="003A48AB">
        <w:rPr>
          <w:rFonts w:ascii="Arial" w:eastAsia="Times New Roman" w:hAnsi="Arial" w:cs="Arial"/>
          <w:b/>
          <w:color w:val="000000"/>
          <w:lang w:eastAsia="en-US" w:bidi="en-US"/>
        </w:rPr>
        <w:t>7</w:t>
      </w:r>
      <w:r w:rsidRPr="003A48AB">
        <w:rPr>
          <w:rFonts w:ascii="Arial" w:eastAsia="Times New Roman" w:hAnsi="Arial" w:cs="Arial"/>
          <w:color w:val="000000"/>
          <w:lang w:eastAsia="en-US" w:bidi="en-US"/>
        </w:rPr>
        <w:t>).</w:t>
      </w:r>
      <w:r w:rsidRPr="003A48AB">
        <w:rPr>
          <w:rFonts w:ascii="Arial" w:eastAsia="Yu Mincho" w:hAnsi="Arial" w:cs="Arial"/>
          <w:lang w:eastAsia="en-US" w:bidi="en-US"/>
        </w:rPr>
        <w:t xml:space="preserve"> </w:t>
      </w:r>
    </w:p>
    <w:p w14:paraId="34F25027" w14:textId="1CBA5FDE"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To try to elucidate how Arabidopsis alters its D in response to being grown at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a number of mutant backgrounds were grown under different combinations of light and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w:t>
      </w:r>
      <w:r w:rsidRPr="003A48AB">
        <w:rPr>
          <w:rFonts w:ascii="Arial" w:eastAsia="Yu Mincho" w:hAnsi="Arial" w:cs="Arial"/>
          <w:b/>
          <w:lang w:eastAsia="en-US" w:bidi="en-US"/>
        </w:rPr>
        <w:t>Fig. 8</w:t>
      </w:r>
      <w:r w:rsidRPr="003A48AB">
        <w:rPr>
          <w:rFonts w:ascii="Arial" w:eastAsia="Yu Mincho" w:hAnsi="Arial" w:cs="Arial"/>
          <w:lang w:eastAsia="en-US" w:bidi="en-US"/>
        </w:rPr>
        <w:t xml:space="preserve">). It was found that like by Engineer and colleagues </w:t>
      </w:r>
      <w:r w:rsidRPr="003A48AB">
        <w:rPr>
          <w:rFonts w:ascii="Arial" w:eastAsia="Yu Mincho" w:hAnsi="Arial" w:cs="Arial"/>
          <w:lang w:eastAsia="en-US" w:bidi="en-US"/>
        </w:rPr>
        <w:fldChar w:fldCharType="begin">
          <w:fldData xml:space="preserve">PEVuZE5vdGU+PENpdGUgRXhjbHVkZUF1dGg9IjEiPjxBdXRob3I+RW5naW5lZXI8L0F1dGhvcj48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PEVuZE5vdGU+PENpdGUgRXhjbHVkZUF1dGg9IjEiPjxBdXRob3I+RW5naW5lZXI8L0F1dGhvcj48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(2014)</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that Arabidopsis </w:t>
      </w:r>
      <w:r w:rsidRPr="003A48AB">
        <w:rPr>
          <w:rFonts w:ascii="Arial" w:eastAsia="Yu Mincho" w:hAnsi="Arial" w:cs="Arial"/>
          <w:i/>
          <w:lang w:eastAsia="en-US" w:bidi="en-US"/>
        </w:rPr>
        <w:t>EPF2</w:t>
      </w:r>
      <w:r w:rsidRPr="003A48AB">
        <w:rPr>
          <w:rFonts w:ascii="Arial" w:eastAsia="Yu Mincho" w:hAnsi="Arial" w:cs="Arial"/>
          <w:lang w:eastAsia="en-US" w:bidi="en-US"/>
        </w:rPr>
        <w:t xml:space="preserve"> is very important in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response and that additionally </w:t>
      </w:r>
      <w:r w:rsidRPr="003A48AB">
        <w:rPr>
          <w:rFonts w:ascii="Arial" w:eastAsia="Yu Mincho" w:hAnsi="Arial" w:cs="Arial"/>
          <w:i/>
          <w:lang w:eastAsia="en-US" w:bidi="en-US"/>
        </w:rPr>
        <w:t xml:space="preserve">EPF2 </w:t>
      </w:r>
      <w:r w:rsidRPr="003A48AB">
        <w:rPr>
          <w:rFonts w:ascii="Arial" w:eastAsia="Yu Mincho" w:hAnsi="Arial" w:cs="Arial"/>
          <w:lang w:eastAsia="en-US" w:bidi="en-US"/>
        </w:rPr>
        <w:t>function appears to be dependent on light levels (</w:t>
      </w:r>
      <w:r w:rsidRPr="003A48AB">
        <w:rPr>
          <w:rFonts w:ascii="Arial" w:eastAsia="Yu Mincho" w:hAnsi="Arial" w:cs="Arial"/>
          <w:b/>
          <w:lang w:eastAsia="en-US" w:bidi="en-US"/>
        </w:rPr>
        <w:t>Fig. 8</w:t>
      </w:r>
      <w:r w:rsidRPr="003A48AB">
        <w:rPr>
          <w:rFonts w:ascii="Arial" w:eastAsia="Yu Mincho" w:hAnsi="Arial" w:cs="Arial"/>
          <w:lang w:eastAsia="en-US" w:bidi="en-US"/>
        </w:rPr>
        <w:t xml:space="preserve">). Therefore, using the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 xml:space="preserve">orthologous equivalent, </w:t>
      </w:r>
      <w:r w:rsidRPr="003A48AB">
        <w:rPr>
          <w:rFonts w:ascii="Arial" w:eastAsia="Yu Mincho" w:hAnsi="Arial" w:cs="Arial"/>
          <w:i/>
          <w:lang w:eastAsia="en-US" w:bidi="en-US"/>
        </w:rPr>
        <w:t>PpEPF1,</w:t>
      </w:r>
      <w:r w:rsidRPr="003A48AB">
        <w:rPr>
          <w:rFonts w:ascii="Arial" w:eastAsia="Yu Mincho" w:hAnsi="Arial" w:cs="Arial"/>
          <w:lang w:eastAsia="en-US" w:bidi="en-US"/>
        </w:rPr>
        <w:t xml:space="preserve"> HL and LL experiments were conducted at ambient and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w:t>
      </w:r>
      <w:r w:rsidRPr="003A48AB">
        <w:rPr>
          <w:rFonts w:ascii="Arial" w:eastAsia="Yu Mincho" w:hAnsi="Arial" w:cs="Arial"/>
          <w:b/>
          <w:lang w:eastAsia="en-US" w:bidi="en-US"/>
        </w:rPr>
        <w:t>Fig. 9</w:t>
      </w:r>
      <w:r w:rsidRPr="003A48AB">
        <w:rPr>
          <w:rFonts w:ascii="Arial" w:eastAsia="Yu Mincho" w:hAnsi="Arial" w:cs="Arial"/>
          <w:lang w:eastAsia="en-US" w:bidi="en-US"/>
        </w:rPr>
        <w:t xml:space="preserve">) to determine whether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could respond to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in a manner similar to the response observed by Arabidopsis </w:t>
      </w:r>
      <w:r w:rsidRPr="003A48AB">
        <w:rPr>
          <w:rFonts w:ascii="Arial" w:eastAsia="Yu Mincho" w:hAnsi="Arial" w:cs="Arial"/>
          <w:i/>
          <w:lang w:eastAsia="en-US" w:bidi="en-US"/>
        </w:rPr>
        <w:t xml:space="preserve">epf2 </w:t>
      </w:r>
      <w:r w:rsidRPr="003A48AB">
        <w:rPr>
          <w:rFonts w:ascii="Arial" w:eastAsia="Yu Mincho" w:hAnsi="Arial" w:cs="Arial"/>
          <w:lang w:eastAsia="en-US" w:bidi="en-US"/>
        </w:rPr>
        <w:t>mutants (</w:t>
      </w:r>
      <w:r w:rsidRPr="003A48AB">
        <w:rPr>
          <w:rFonts w:ascii="Arial" w:eastAsia="Yu Mincho" w:hAnsi="Arial" w:cs="Arial"/>
          <w:b/>
          <w:lang w:eastAsia="en-US" w:bidi="en-US"/>
        </w:rPr>
        <w:t>Fig. 8</w:t>
      </w:r>
      <w:r w:rsidRPr="003A48AB">
        <w:rPr>
          <w:rFonts w:ascii="Arial" w:eastAsia="Yu Mincho" w:hAnsi="Arial" w:cs="Arial"/>
          <w:lang w:eastAsia="en-US" w:bidi="en-US"/>
        </w:rPr>
        <w:t xml:space="preserve">). Measuring large </w:t>
      </w:r>
      <w:r w:rsidRPr="003A48AB">
        <w:rPr>
          <w:rFonts w:ascii="Arial" w:eastAsia="Yu Mincho" w:hAnsi="Arial" w:cs="Arial"/>
          <w:i/>
          <w:lang w:eastAsia="en-US" w:bidi="en-US"/>
        </w:rPr>
        <w:t xml:space="preserve">ppepf1 </w:t>
      </w:r>
      <w:r w:rsidRPr="003A48AB">
        <w:rPr>
          <w:rFonts w:ascii="Arial" w:eastAsia="Yu Mincho" w:hAnsi="Arial" w:cs="Arial"/>
          <w:lang w:eastAsia="en-US" w:bidi="en-US"/>
        </w:rPr>
        <w:t>capsules, it was found that neither N nor D increased substantially under HL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conditions comparatively to the trends observed in wild-type. An additional experiment (</w:t>
      </w:r>
      <w:r w:rsidRPr="003A48AB">
        <w:rPr>
          <w:rFonts w:ascii="Arial" w:eastAsia="Yu Mincho" w:hAnsi="Arial" w:cs="Arial"/>
          <w:b/>
          <w:lang w:eastAsia="en-US" w:bidi="en-US"/>
        </w:rPr>
        <w:t>Fig. 12</w:t>
      </w:r>
      <w:r w:rsidRPr="003A48AB">
        <w:rPr>
          <w:rFonts w:ascii="Arial" w:eastAsia="Yu Mincho" w:hAnsi="Arial" w:cs="Arial"/>
          <w:lang w:eastAsia="en-US" w:bidi="en-US"/>
        </w:rPr>
        <w:t>) on same size capsules confirmed the previous findings (</w:t>
      </w:r>
      <w:r w:rsidRPr="003A48AB">
        <w:rPr>
          <w:rFonts w:ascii="Arial" w:eastAsia="Yu Mincho" w:hAnsi="Arial" w:cs="Arial"/>
          <w:b/>
          <w:lang w:eastAsia="en-US" w:bidi="en-US"/>
        </w:rPr>
        <w:t>Fig. 9</w:t>
      </w:r>
      <w:r w:rsidRPr="003A48AB">
        <w:rPr>
          <w:rFonts w:ascii="Arial" w:eastAsia="Yu Mincho" w:hAnsi="Arial" w:cs="Arial"/>
          <w:lang w:eastAsia="en-US" w:bidi="en-US"/>
        </w:rPr>
        <w:t>) of no significant increases in either N or D at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in the absence of </w:t>
      </w:r>
      <w:r w:rsidRPr="003A48AB">
        <w:rPr>
          <w:rFonts w:ascii="Arial" w:eastAsia="Yu Mincho" w:hAnsi="Arial" w:cs="Arial"/>
          <w:i/>
          <w:lang w:eastAsia="en-US" w:bidi="en-US"/>
        </w:rPr>
        <w:t>PpEPF1</w:t>
      </w:r>
      <w:r w:rsidRPr="003A48AB">
        <w:rPr>
          <w:rFonts w:ascii="Arial" w:eastAsia="Yu Mincho" w:hAnsi="Arial" w:cs="Arial"/>
          <w:lang w:eastAsia="en-US" w:bidi="en-US"/>
        </w:rPr>
        <w:t>. Such findings suggest that an equivalent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response mechanism to that of Arabidopsis using </w:t>
      </w:r>
      <w:r w:rsidRPr="003A48AB">
        <w:rPr>
          <w:rFonts w:ascii="Arial" w:eastAsia="Yu Mincho" w:hAnsi="Arial" w:cs="Arial"/>
          <w:i/>
          <w:lang w:eastAsia="en-US" w:bidi="en-US"/>
        </w:rPr>
        <w:t xml:space="preserve">EPF2 </w:t>
      </w:r>
      <w:r w:rsidRPr="003A48AB">
        <w:rPr>
          <w:rFonts w:ascii="Arial" w:eastAsia="Yu Mincho" w:hAnsi="Arial" w:cs="Arial"/>
          <w:lang w:eastAsia="en-US" w:bidi="en-US"/>
        </w:rPr>
        <w:t xml:space="preserve">does not occur in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 xml:space="preserve">using </w:t>
      </w:r>
      <w:r w:rsidRPr="003A48AB">
        <w:rPr>
          <w:rFonts w:ascii="Arial" w:eastAsia="Yu Mincho" w:hAnsi="Arial" w:cs="Arial"/>
          <w:i/>
          <w:lang w:eastAsia="en-US" w:bidi="en-US"/>
        </w:rPr>
        <w:t>PpEPF1</w:t>
      </w:r>
      <w:r w:rsidRPr="003A48AB">
        <w:rPr>
          <w:rFonts w:ascii="Arial" w:eastAsia="Yu Mincho" w:hAnsi="Arial" w:cs="Arial"/>
          <w:lang w:eastAsia="en-US" w:bidi="en-US"/>
        </w:rPr>
        <w:t xml:space="preserve">. It should be noted that </w:t>
      </w:r>
      <w:r w:rsidRPr="003A48AB">
        <w:rPr>
          <w:rFonts w:ascii="Arial" w:eastAsia="Yu Mincho" w:hAnsi="Arial" w:cs="Arial"/>
          <w:i/>
          <w:lang w:eastAsia="en-US" w:bidi="en-US"/>
        </w:rPr>
        <w:t>a</w:t>
      </w:r>
      <w:r w:rsidRPr="003A48AB">
        <w:rPr>
          <w:rFonts w:ascii="Arial" w:eastAsia="Yu Mincho" w:hAnsi="Arial" w:cs="Arial"/>
          <w:lang w:eastAsia="en-US" w:bidi="en-US"/>
        </w:rPr>
        <w:t>s chamber availability was limited these experiments were not performed at sub-ambient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akin to the experiments performed by Engineer and colleagues </w:t>
      </w:r>
      <w:r w:rsidRPr="003A48AB">
        <w:rPr>
          <w:rFonts w:ascii="Arial" w:eastAsia="Yu Mincho" w:hAnsi="Arial" w:cs="Arial"/>
          <w:lang w:eastAsia="en-US" w:bidi="en-US"/>
        </w:rPr>
        <w:fldChar w:fldCharType="begin">
          <w:fldData xml:space="preserve">PEVuZE5vdGU+PENpdGUgRXhjbHVkZUF1dGg9IjEiPjxBdXRob3I+RW5naW5lZXI8L0F1dGhvcj48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PEVuZE5vdGU+PENpdGUgRXhjbHVkZUF1dGg9IjEiPjxBdXRob3I+RW5naW5lZXI8L0F1dGhvcj48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(2014)</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and so a further experiment comparing 200ppm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grown with sporophytes with 1000ppm grown sporophytes might be a sensible next venture.  </w:t>
      </w:r>
    </w:p>
    <w:p w14:paraId="4EF9B87E"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In an attempt to further understand stomatal density responses to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a number of subtilisin-like serine protease (SLSP) mutants of 2 genes, </w:t>
      </w:r>
      <w:r w:rsidRPr="003A48AB">
        <w:rPr>
          <w:rFonts w:ascii="Arial" w:eastAsia="Yu Mincho" w:hAnsi="Arial" w:cs="Arial"/>
          <w:i/>
          <w:lang w:eastAsia="en-US" w:bidi="en-US"/>
        </w:rPr>
        <w:t xml:space="preserve">PpSLSP1 </w:t>
      </w:r>
      <w:r w:rsidRPr="003A48AB">
        <w:rPr>
          <w:rFonts w:ascii="Arial" w:eastAsia="Yu Mincho" w:hAnsi="Arial" w:cs="Arial"/>
          <w:lang w:eastAsia="en-US" w:bidi="en-US"/>
        </w:rPr>
        <w:t xml:space="preserve">and </w:t>
      </w:r>
      <w:r w:rsidRPr="003A48AB">
        <w:rPr>
          <w:rFonts w:ascii="Arial" w:eastAsia="Yu Mincho" w:hAnsi="Arial" w:cs="Arial"/>
          <w:i/>
          <w:lang w:eastAsia="en-US" w:bidi="en-US"/>
        </w:rPr>
        <w:t xml:space="preserve">PpSLSP2 </w:t>
      </w:r>
      <w:r w:rsidRPr="003A48AB">
        <w:rPr>
          <w:rFonts w:ascii="Arial" w:eastAsia="Yu Mincho" w:hAnsi="Arial" w:cs="Arial"/>
          <w:lang w:eastAsia="en-US" w:bidi="en-US"/>
        </w:rPr>
        <w:t>were created which shared homology with Arabidopsis CRSP (</w:t>
      </w:r>
      <w:r w:rsidRPr="003A48AB">
        <w:rPr>
          <w:rFonts w:ascii="Arial" w:eastAsia="Yu Mincho" w:hAnsi="Arial" w:cs="Arial"/>
          <w:b/>
          <w:lang w:eastAsia="en-US" w:bidi="en-US"/>
        </w:rPr>
        <w:t>Fig. 13</w:t>
      </w:r>
      <w:r w:rsidRPr="003A48AB">
        <w:rPr>
          <w:rFonts w:ascii="Arial" w:eastAsia="Yu Mincho" w:hAnsi="Arial" w:cs="Arial"/>
          <w:lang w:eastAsia="en-US" w:bidi="en-US"/>
        </w:rPr>
        <w:t>-</w:t>
      </w:r>
      <w:r w:rsidRPr="003A48AB">
        <w:rPr>
          <w:rFonts w:ascii="Arial" w:eastAsia="Yu Mincho" w:hAnsi="Arial" w:cs="Arial"/>
          <w:b/>
          <w:lang w:eastAsia="en-US" w:bidi="en-US"/>
        </w:rPr>
        <w:t>15</w:t>
      </w:r>
      <w:r w:rsidRPr="003A48AB">
        <w:rPr>
          <w:rFonts w:ascii="Arial" w:eastAsia="Yu Mincho" w:hAnsi="Arial" w:cs="Arial"/>
          <w:lang w:eastAsia="en-US" w:bidi="en-US"/>
        </w:rPr>
        <w:t xml:space="preserve">). Under standard growth conditions (see methods), the </w:t>
      </w:r>
      <w:r w:rsidRPr="003A48AB">
        <w:rPr>
          <w:rFonts w:ascii="Arial" w:eastAsia="Yu Mincho" w:hAnsi="Arial" w:cs="Arial"/>
          <w:i/>
          <w:lang w:eastAsia="en-US" w:bidi="en-US"/>
        </w:rPr>
        <w:t xml:space="preserve">ppslsp1 </w:t>
      </w:r>
      <w:r w:rsidRPr="003A48AB">
        <w:rPr>
          <w:rFonts w:ascii="Arial" w:eastAsia="Yu Mincho" w:hAnsi="Arial" w:cs="Arial"/>
          <w:lang w:eastAsia="en-US" w:bidi="en-US"/>
        </w:rPr>
        <w:t xml:space="preserve">and </w:t>
      </w:r>
      <w:r w:rsidRPr="003A48AB">
        <w:rPr>
          <w:rFonts w:ascii="Arial" w:eastAsia="Yu Mincho" w:hAnsi="Arial" w:cs="Arial"/>
          <w:i/>
          <w:lang w:eastAsia="en-US" w:bidi="en-US"/>
        </w:rPr>
        <w:t xml:space="preserve">ppslsp2 </w:t>
      </w:r>
      <w:r w:rsidRPr="003A48AB">
        <w:rPr>
          <w:rFonts w:ascii="Arial" w:eastAsia="Yu Mincho" w:hAnsi="Arial" w:cs="Arial"/>
          <w:lang w:eastAsia="en-US" w:bidi="en-US"/>
        </w:rPr>
        <w:t xml:space="preserve">genes had in some instances a minor reduction in N, which for </w:t>
      </w:r>
      <w:r w:rsidRPr="003A48AB">
        <w:rPr>
          <w:rFonts w:ascii="Arial" w:eastAsia="Yu Mincho" w:hAnsi="Arial" w:cs="Arial"/>
          <w:i/>
          <w:lang w:eastAsia="en-US" w:bidi="en-US"/>
        </w:rPr>
        <w:t xml:space="preserve">ppslsp2-2 </w:t>
      </w:r>
      <w:r w:rsidRPr="003A48AB">
        <w:rPr>
          <w:rFonts w:ascii="Arial" w:eastAsia="Yu Mincho" w:hAnsi="Arial" w:cs="Arial"/>
          <w:lang w:eastAsia="en-US" w:bidi="en-US"/>
        </w:rPr>
        <w:t>was significant when a multiple comparisons One-way ANOVA was performed (</w:t>
      </w:r>
      <w:r w:rsidRPr="003A48AB">
        <w:rPr>
          <w:rFonts w:ascii="Arial" w:eastAsia="Yu Mincho" w:hAnsi="Arial" w:cs="Arial"/>
          <w:i/>
          <w:lang w:eastAsia="en-US" w:bidi="en-US"/>
        </w:rPr>
        <w:t xml:space="preserve">P </w:t>
      </w:r>
      <w:r w:rsidRPr="003A48AB">
        <w:rPr>
          <w:rFonts w:ascii="Arial" w:eastAsia="Yu Mincho" w:hAnsi="Arial" w:cs="Arial"/>
          <w:lang w:eastAsia="en-US" w:bidi="en-US"/>
        </w:rPr>
        <w:t>&lt; 0.05) (</w:t>
      </w:r>
      <w:r w:rsidRPr="003A48AB">
        <w:rPr>
          <w:rFonts w:ascii="Arial" w:eastAsia="Yu Mincho" w:hAnsi="Arial" w:cs="Arial"/>
          <w:b/>
          <w:lang w:eastAsia="en-US" w:bidi="en-US"/>
        </w:rPr>
        <w:t>Fig. 15</w:t>
      </w:r>
      <w:r w:rsidRPr="003A48AB">
        <w:rPr>
          <w:rFonts w:ascii="Arial" w:eastAsia="Yu Mincho" w:hAnsi="Arial" w:cs="Arial"/>
          <w:lang w:eastAsia="en-US" w:bidi="en-US"/>
        </w:rPr>
        <w:t xml:space="preserve">). </w:t>
      </w:r>
    </w:p>
    <w:p w14:paraId="5D2788D2"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lastRenderedPageBreak/>
        <w:t xml:space="preserve">To ascertain whether </w:t>
      </w:r>
      <w:r w:rsidRPr="003A48AB">
        <w:rPr>
          <w:rFonts w:ascii="Arial" w:eastAsia="Yu Mincho" w:hAnsi="Arial" w:cs="Arial"/>
          <w:i/>
          <w:lang w:eastAsia="en-US" w:bidi="en-US"/>
        </w:rPr>
        <w:t xml:space="preserve">PpSLSP1 </w:t>
      </w:r>
      <w:r w:rsidRPr="003A48AB">
        <w:rPr>
          <w:rFonts w:ascii="Arial" w:eastAsia="Yu Mincho" w:hAnsi="Arial" w:cs="Arial"/>
          <w:lang w:eastAsia="en-US" w:bidi="en-US"/>
        </w:rPr>
        <w:t xml:space="preserve">or </w:t>
      </w:r>
      <w:r w:rsidRPr="003A48AB">
        <w:rPr>
          <w:rFonts w:ascii="Arial" w:eastAsia="Yu Mincho" w:hAnsi="Arial" w:cs="Arial"/>
          <w:i/>
          <w:lang w:eastAsia="en-US" w:bidi="en-US"/>
        </w:rPr>
        <w:t xml:space="preserve">PpSLSP2 </w:t>
      </w:r>
      <w:r w:rsidRPr="003A48AB">
        <w:rPr>
          <w:rFonts w:ascii="Arial" w:eastAsia="Yu Mincho" w:hAnsi="Arial" w:cs="Arial"/>
          <w:lang w:eastAsia="en-US" w:bidi="en-US"/>
        </w:rPr>
        <w:t>were involved in D response to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in </w:t>
      </w:r>
      <w:r w:rsidRPr="003A48AB">
        <w:rPr>
          <w:rFonts w:ascii="Arial" w:eastAsia="Yu Mincho" w:hAnsi="Arial" w:cs="Arial"/>
          <w:i/>
          <w:lang w:eastAsia="en-US" w:bidi="en-US"/>
        </w:rPr>
        <w:t>P. patens</w:t>
      </w:r>
      <w:r w:rsidRPr="003A48AB">
        <w:rPr>
          <w:rFonts w:ascii="Arial" w:eastAsia="Yu Mincho" w:hAnsi="Arial" w:cs="Arial"/>
          <w:lang w:eastAsia="en-US" w:bidi="en-US"/>
        </w:rPr>
        <w:t>, a subsequent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experiment was performed that looked at same sized capsules. It appeared that for </w:t>
      </w:r>
      <w:r w:rsidRPr="003A48AB">
        <w:rPr>
          <w:rFonts w:ascii="Arial" w:eastAsia="Yu Mincho" w:hAnsi="Arial" w:cs="Arial"/>
          <w:i/>
          <w:lang w:eastAsia="en-US" w:bidi="en-US"/>
        </w:rPr>
        <w:t>ppslsp1</w:t>
      </w:r>
      <w:r w:rsidRPr="003A48AB">
        <w:rPr>
          <w:rFonts w:ascii="Arial" w:eastAsia="Yu Mincho" w:hAnsi="Arial" w:cs="Arial"/>
          <w:lang w:eastAsia="en-US" w:bidi="en-US"/>
        </w:rPr>
        <w:t>,</w:t>
      </w:r>
      <w:r w:rsidRPr="003A48AB">
        <w:rPr>
          <w:rFonts w:ascii="Arial" w:eastAsia="Yu Mincho" w:hAnsi="Arial" w:cs="Arial"/>
          <w:i/>
          <w:lang w:eastAsia="en-US" w:bidi="en-US"/>
        </w:rPr>
        <w:t xml:space="preserve"> </w:t>
      </w:r>
      <w:r w:rsidRPr="003A48AB">
        <w:rPr>
          <w:rFonts w:ascii="Arial" w:eastAsia="Yu Mincho" w:hAnsi="Arial" w:cs="Arial"/>
          <w:lang w:eastAsia="en-US" w:bidi="en-US"/>
        </w:rPr>
        <w:t>N slightly increased at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a slight change in response to the wild-type where N was similar between ambient and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treatments. However, the response observed in </w:t>
      </w:r>
      <w:r w:rsidRPr="003A48AB">
        <w:rPr>
          <w:rFonts w:ascii="Arial" w:eastAsia="Yu Mincho" w:hAnsi="Arial" w:cs="Arial"/>
          <w:i/>
          <w:lang w:eastAsia="en-US" w:bidi="en-US"/>
        </w:rPr>
        <w:t xml:space="preserve">ppslsp1 </w:t>
      </w:r>
      <w:r w:rsidRPr="003A48AB">
        <w:rPr>
          <w:rFonts w:ascii="Arial" w:eastAsia="Yu Mincho" w:hAnsi="Arial" w:cs="Arial"/>
          <w:lang w:eastAsia="en-US" w:bidi="en-US"/>
        </w:rPr>
        <w:t>lines between treatments was not significantly different using a Two-Way ANOVA with multiple comparisons (</w:t>
      </w:r>
      <w:r w:rsidRPr="003A48AB">
        <w:rPr>
          <w:rFonts w:ascii="Arial" w:eastAsia="Yu Mincho" w:hAnsi="Arial" w:cs="Arial"/>
          <w:b/>
          <w:lang w:eastAsia="en-US" w:bidi="en-US"/>
        </w:rPr>
        <w:t>Fig. 16</w:t>
      </w:r>
      <w:r w:rsidRPr="003A48AB">
        <w:rPr>
          <w:rFonts w:ascii="Arial" w:eastAsia="Yu Mincho" w:hAnsi="Arial" w:cs="Arial"/>
          <w:lang w:eastAsia="en-US" w:bidi="en-US"/>
        </w:rPr>
        <w:t xml:space="preserve">). In the case of D, </w:t>
      </w:r>
      <w:r w:rsidRPr="003A48AB">
        <w:rPr>
          <w:rFonts w:ascii="Arial" w:eastAsia="Yu Mincho" w:hAnsi="Arial" w:cs="Arial"/>
          <w:i/>
          <w:lang w:eastAsia="en-US" w:bidi="en-US"/>
        </w:rPr>
        <w:t xml:space="preserve">ppslsp1 </w:t>
      </w:r>
      <w:r w:rsidRPr="003A48AB">
        <w:rPr>
          <w:rFonts w:ascii="Arial" w:eastAsia="Yu Mincho" w:hAnsi="Arial" w:cs="Arial"/>
          <w:lang w:eastAsia="en-US" w:bidi="en-US"/>
        </w:rPr>
        <w:t xml:space="preserve">and </w:t>
      </w:r>
      <w:r w:rsidRPr="003A48AB">
        <w:rPr>
          <w:rFonts w:ascii="Arial" w:eastAsia="Yu Mincho" w:hAnsi="Arial" w:cs="Arial"/>
          <w:i/>
          <w:lang w:eastAsia="en-US" w:bidi="en-US"/>
        </w:rPr>
        <w:t>ppslsp2</w:t>
      </w:r>
      <w:r w:rsidRPr="003A48AB">
        <w:rPr>
          <w:rFonts w:ascii="Arial" w:eastAsia="Yu Mincho" w:hAnsi="Arial" w:cs="Arial"/>
          <w:lang w:eastAsia="en-US" w:bidi="en-US"/>
        </w:rPr>
        <w:t xml:space="preserve"> both had marginal increases at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a trend opposite to the wild-type, where D was slightly reduced at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but again using multiple comparisons Two-Way ANOVA no significant differences between treatments in any of lines were detected however. As the two described genes are fairly closely related it is possible that redundancy exists between them and so the production of double KO lines would seem like a sensible next step to further understand whether </w:t>
      </w:r>
      <w:r w:rsidRPr="003A48AB">
        <w:rPr>
          <w:rFonts w:ascii="Arial" w:eastAsia="Yu Mincho" w:hAnsi="Arial" w:cs="Arial"/>
          <w:i/>
          <w:lang w:eastAsia="en-US" w:bidi="en-US"/>
        </w:rPr>
        <w:t xml:space="preserve">PpSLSP1 </w:t>
      </w:r>
      <w:r w:rsidRPr="003A48AB">
        <w:rPr>
          <w:rFonts w:ascii="Arial" w:eastAsia="Yu Mincho" w:hAnsi="Arial" w:cs="Arial"/>
          <w:lang w:eastAsia="en-US" w:bidi="en-US"/>
        </w:rPr>
        <w:t xml:space="preserve">and </w:t>
      </w:r>
      <w:r w:rsidRPr="003A48AB">
        <w:rPr>
          <w:rFonts w:ascii="Arial" w:eastAsia="Yu Mincho" w:hAnsi="Arial" w:cs="Arial"/>
          <w:i/>
          <w:lang w:eastAsia="en-US" w:bidi="en-US"/>
        </w:rPr>
        <w:t xml:space="preserve">PpSLSP2 </w:t>
      </w:r>
      <w:r w:rsidRPr="003A48AB">
        <w:rPr>
          <w:rFonts w:ascii="Arial" w:eastAsia="Yu Mincho" w:hAnsi="Arial" w:cs="Arial"/>
          <w:lang w:eastAsia="en-US" w:bidi="en-US"/>
        </w:rPr>
        <w:t>are definitively involved in D responses to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w:t>
      </w:r>
    </w:p>
    <w:p w14:paraId="50B8D254" w14:textId="16BFCDC3"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 xml:space="preserve">Most of the experimentation performed in this chapter has been conducted using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which whilst being useful in providing insight into the genetics underpinning stomatal development in general does not represent an ideal species with which to study the genetics underpinning stomatal developmental responses to either sub-ambient or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One reason for this is, as seen in chapter 3, </w:t>
      </w:r>
      <w:r w:rsidRPr="003A48AB">
        <w:rPr>
          <w:rFonts w:ascii="Arial" w:eastAsia="Yu Mincho" w:hAnsi="Arial" w:cs="Arial"/>
          <w:i/>
          <w:lang w:eastAsia="en-US" w:bidi="en-US"/>
        </w:rPr>
        <w:t>P. patens</w:t>
      </w:r>
      <w:r w:rsidRPr="003A48AB">
        <w:rPr>
          <w:rFonts w:ascii="Arial" w:eastAsia="Yu Mincho" w:hAnsi="Arial" w:cs="Arial"/>
          <w:lang w:eastAsia="en-US" w:bidi="en-US"/>
        </w:rPr>
        <w:t xml:space="preserve"> can produce mature sporophyte capsule with viable spores when stomata are not present, suggesting that stomata are not essential for sporophyte development. As this is the case, the selective pressures on having the correct compliment of S and D in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 xml:space="preserve">might not be as constrained as in a mosses where stomata provide more to the developing sporophyte. Such a situation may well be the case in mosses with larger sporophytes such as </w:t>
      </w:r>
      <w:r w:rsidRPr="003A48AB">
        <w:rPr>
          <w:rFonts w:ascii="Arial" w:eastAsia="Yu Mincho" w:hAnsi="Arial" w:cs="Arial"/>
          <w:i/>
          <w:lang w:eastAsia="en-US" w:bidi="en-US"/>
        </w:rPr>
        <w:t xml:space="preserve">F. hygrometrica </w:t>
      </w:r>
      <w:r w:rsidRPr="003A48AB">
        <w:rPr>
          <w:rFonts w:ascii="Arial" w:eastAsia="Yu Mincho" w:hAnsi="Arial" w:cs="Arial"/>
          <w:lang w:eastAsia="en-US" w:bidi="en-US"/>
        </w:rPr>
        <w:t xml:space="preserve">or </w:t>
      </w:r>
      <w:r w:rsidRPr="003A48AB">
        <w:rPr>
          <w:rFonts w:ascii="Arial" w:eastAsia="Yu Mincho" w:hAnsi="Arial" w:cs="Arial"/>
          <w:i/>
          <w:lang w:eastAsia="en-US" w:bidi="en-US"/>
        </w:rPr>
        <w:t>Polytrichum formosum</w:t>
      </w:r>
      <w:r w:rsidRPr="003A48AB">
        <w:rPr>
          <w:rFonts w:ascii="Arial" w:eastAsia="Yu Mincho" w:hAnsi="Arial" w:cs="Arial"/>
          <w:lang w:eastAsia="en-US" w:bidi="en-US"/>
        </w:rPr>
        <w:t xml:space="preserve"> where in excess of 200 stomata per capsule can form </w:t>
      </w:r>
      <w:r w:rsidRPr="003A48AB">
        <w:rPr>
          <w:rFonts w:ascii="Arial" w:eastAsia="Yu Mincho" w:hAnsi="Arial" w:cs="Arial"/>
          <w:lang w:eastAsia="en-US" w:bidi="en-US"/>
        </w:rPr>
        <w:fldChar w:fldCharType="begin">
          <w:fldData xml:space="preserve">PEVuZE5vdGU+PENpdGU+PEF1dGhvcj5GaWVsZDwvQXV0aG9yPjxZZWFyPjIwMTU8L1llYXI+PElE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PEVuZE5vdGU+PENpdGU+PEF1dGhvcj5GaWVsZDwvQXV0aG9yPjxZZWFyPjIwMTU8L1llYXI+PElE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(Field et al., 2015)</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w:t>
      </w:r>
    </w:p>
    <w:p w14:paraId="5D69CBE3" w14:textId="77777777" w:rsidR="003A48AB" w:rsidRPr="003A48AB" w:rsidRDefault="003A48AB" w:rsidP="003A48AB">
      <w:pPr>
        <w:spacing w:after="160" w:line="360" w:lineRule="auto"/>
        <w:rPr>
          <w:rFonts w:ascii="Arial" w:eastAsia="Yu Mincho" w:hAnsi="Arial" w:cs="Arial"/>
          <w:b/>
          <w:u w:val="single"/>
          <w:lang w:eastAsia="en-US" w:bidi="en-US"/>
        </w:rPr>
      </w:pPr>
      <w:r w:rsidRPr="003A48AB">
        <w:rPr>
          <w:rFonts w:ascii="Arial" w:eastAsia="Yu Mincho" w:hAnsi="Arial" w:cs="Arial"/>
          <w:b/>
          <w:u w:val="single"/>
          <w:lang w:eastAsia="en-US" w:bidi="en-US"/>
        </w:rPr>
        <w:t>5.4 Conclusion</w:t>
      </w:r>
    </w:p>
    <w:p w14:paraId="3EBFA878"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The results in this chapter present a complex picture of how stomatal development and environmental factors are interlinked during sporophyte development in mosses. Ultimately, it appears that observed stomatal developmental responses to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in moss sporophytes are heavily linked to the overall size of the sporophyte capsule and the light intensity which plants are grown under (</w:t>
      </w:r>
      <w:r w:rsidRPr="003A48AB">
        <w:rPr>
          <w:rFonts w:ascii="Arial" w:eastAsia="Yu Mincho" w:hAnsi="Arial" w:cs="Arial"/>
          <w:b/>
          <w:lang w:eastAsia="en-US" w:bidi="en-US"/>
        </w:rPr>
        <w:t>Figs. 1</w:t>
      </w:r>
      <w:r w:rsidRPr="003A48AB">
        <w:rPr>
          <w:rFonts w:ascii="Arial" w:eastAsia="Yu Mincho" w:hAnsi="Arial" w:cs="Arial"/>
          <w:lang w:eastAsia="en-US" w:bidi="en-US"/>
        </w:rPr>
        <w:t xml:space="preserve">, </w:t>
      </w:r>
      <w:r w:rsidRPr="003A48AB">
        <w:rPr>
          <w:rFonts w:ascii="Arial" w:eastAsia="Yu Mincho" w:hAnsi="Arial" w:cs="Arial"/>
          <w:b/>
          <w:lang w:eastAsia="en-US" w:bidi="en-US"/>
        </w:rPr>
        <w:t>3</w:t>
      </w:r>
      <w:r w:rsidRPr="003A48AB">
        <w:rPr>
          <w:rFonts w:ascii="Arial" w:eastAsia="Yu Mincho" w:hAnsi="Arial" w:cs="Arial"/>
          <w:lang w:eastAsia="en-US" w:bidi="en-US"/>
        </w:rPr>
        <w:t>,</w:t>
      </w:r>
      <w:r w:rsidRPr="003A48AB">
        <w:rPr>
          <w:rFonts w:ascii="Arial" w:eastAsia="Yu Mincho" w:hAnsi="Arial" w:cs="Arial"/>
          <w:b/>
          <w:lang w:eastAsia="en-US" w:bidi="en-US"/>
        </w:rPr>
        <w:t xml:space="preserve"> 6</w:t>
      </w:r>
      <w:r w:rsidRPr="003A48AB">
        <w:rPr>
          <w:rFonts w:ascii="Arial" w:eastAsia="Yu Mincho" w:hAnsi="Arial" w:cs="Arial"/>
          <w:lang w:eastAsia="en-US" w:bidi="en-US"/>
        </w:rPr>
        <w:t xml:space="preserve"> and </w:t>
      </w:r>
      <w:r w:rsidRPr="003A48AB">
        <w:rPr>
          <w:rFonts w:ascii="Arial" w:eastAsia="Yu Mincho" w:hAnsi="Arial" w:cs="Arial"/>
          <w:b/>
          <w:lang w:eastAsia="en-US" w:bidi="en-US"/>
        </w:rPr>
        <w:t>7</w:t>
      </w:r>
      <w:r w:rsidRPr="003A48AB">
        <w:rPr>
          <w:rFonts w:ascii="Arial" w:eastAsia="Yu Mincho" w:hAnsi="Arial" w:cs="Arial"/>
          <w:lang w:eastAsia="en-US" w:bidi="en-US"/>
        </w:rPr>
        <w:t>). Some of the genetics underpinning stomatal patterning in a non-vascular land plant lineages have been assayed for their involvement in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response. It is reported that none of the genes surveyed significantly reversed the N or D of sporophytes at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relatively to ambient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w:t>
      </w:r>
      <w:r w:rsidRPr="003A48AB">
        <w:rPr>
          <w:rFonts w:ascii="Arial" w:eastAsia="Yu Mincho" w:hAnsi="Arial" w:cs="Arial"/>
          <w:b/>
          <w:lang w:eastAsia="en-US" w:bidi="en-US"/>
        </w:rPr>
        <w:t>Figs. 9</w:t>
      </w:r>
      <w:r w:rsidRPr="003A48AB">
        <w:rPr>
          <w:rFonts w:ascii="Arial" w:eastAsia="Yu Mincho" w:hAnsi="Arial" w:cs="Arial"/>
          <w:lang w:eastAsia="en-US" w:bidi="en-US"/>
        </w:rPr>
        <w:t xml:space="preserve">, </w:t>
      </w:r>
      <w:r w:rsidRPr="003A48AB">
        <w:rPr>
          <w:rFonts w:ascii="Arial" w:eastAsia="Yu Mincho" w:hAnsi="Arial" w:cs="Arial"/>
          <w:b/>
          <w:lang w:eastAsia="en-US" w:bidi="en-US"/>
        </w:rPr>
        <w:t xml:space="preserve">12 </w:t>
      </w:r>
      <w:r w:rsidRPr="003A48AB">
        <w:rPr>
          <w:rFonts w:ascii="Arial" w:eastAsia="Yu Mincho" w:hAnsi="Arial" w:cs="Arial"/>
          <w:lang w:eastAsia="en-US" w:bidi="en-US"/>
        </w:rPr>
        <w:t xml:space="preserve">and </w:t>
      </w:r>
      <w:r w:rsidRPr="003A48AB">
        <w:rPr>
          <w:rFonts w:ascii="Arial" w:eastAsia="Yu Mincho" w:hAnsi="Arial" w:cs="Arial"/>
          <w:b/>
          <w:lang w:eastAsia="en-US" w:bidi="en-US"/>
        </w:rPr>
        <w:t>16</w:t>
      </w:r>
      <w:r w:rsidRPr="003A48AB">
        <w:rPr>
          <w:rFonts w:ascii="Arial" w:eastAsia="Yu Mincho" w:hAnsi="Arial" w:cs="Arial"/>
          <w:lang w:eastAsia="en-US" w:bidi="en-US"/>
        </w:rPr>
        <w:t xml:space="preserve">). However, whether functional redundancy exists between </w:t>
      </w:r>
      <w:r w:rsidRPr="003A48AB">
        <w:rPr>
          <w:rFonts w:ascii="Arial" w:eastAsia="Yu Mincho" w:hAnsi="Arial" w:cs="Arial"/>
          <w:i/>
          <w:lang w:eastAsia="en-US" w:bidi="en-US"/>
        </w:rPr>
        <w:t xml:space="preserve">PpSLSP1 </w:t>
      </w:r>
      <w:r w:rsidRPr="003A48AB">
        <w:rPr>
          <w:rFonts w:ascii="Arial" w:eastAsia="Yu Mincho" w:hAnsi="Arial" w:cs="Arial"/>
          <w:lang w:eastAsia="en-US" w:bidi="en-US"/>
        </w:rPr>
        <w:t xml:space="preserve">and </w:t>
      </w:r>
      <w:r w:rsidRPr="003A48AB">
        <w:rPr>
          <w:rFonts w:ascii="Arial" w:eastAsia="Yu Mincho" w:hAnsi="Arial" w:cs="Arial"/>
          <w:i/>
          <w:lang w:eastAsia="en-US" w:bidi="en-US"/>
        </w:rPr>
        <w:t xml:space="preserve">PpSLSP2 </w:t>
      </w:r>
      <w:r w:rsidRPr="003A48AB">
        <w:rPr>
          <w:rFonts w:ascii="Arial" w:eastAsia="Yu Mincho" w:hAnsi="Arial" w:cs="Arial"/>
          <w:lang w:eastAsia="en-US" w:bidi="en-US"/>
        </w:rPr>
        <w:t>which prevented such a phenotype from being observed awaits further study.</w:t>
      </w:r>
    </w:p>
    <w:p w14:paraId="59AED7BD" w14:textId="3E6DCF20"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lastRenderedPageBreak/>
        <w:t>One of the fundamental questions being asked by experimentation in current times is: can plants that have evolved in this geological time period, within a generation instantaneously alter their stomatal S and D during development in responses to being grown at sub-ambient or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It appears that for D in certain higher land plants such as Arabidopsis that genetic mechanisms exist that permit such stomatal responses to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during development (</w:t>
      </w:r>
      <w:r w:rsidRPr="003A48AB">
        <w:rPr>
          <w:rFonts w:ascii="Arial" w:eastAsia="Yu Mincho" w:hAnsi="Arial" w:cs="Arial"/>
          <w:b/>
          <w:lang w:eastAsia="en-US" w:bidi="en-US"/>
        </w:rPr>
        <w:t>Fig. 8</w:t>
      </w:r>
      <w:r w:rsidRPr="003A48AB">
        <w:rPr>
          <w:rFonts w:ascii="Arial" w:eastAsia="Yu Mincho" w:hAnsi="Arial" w:cs="Arial"/>
          <w:lang w:eastAsia="en-US" w:bidi="en-US"/>
        </w:rPr>
        <w:t xml:space="preserve">) </w:t>
      </w:r>
      <w:r w:rsidRPr="003A48AB">
        <w:rPr>
          <w:rFonts w:ascii="Arial" w:eastAsia="Yu Mincho" w:hAnsi="Arial" w:cs="Arial"/>
          <w:lang w:eastAsia="en-US" w:bidi="en-US"/>
        </w:rPr>
        <w:fldChar w:fldCharType="begin">
          <w:fldData xml:space="preserve">PEVuZE5vdGU+PENpdGU+PEF1dGhvcj5FbmdpbmVlcjwvQXV0aG9yPjxZZWFyPjIwMTQ8L1llYXI+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PEVuZE5vdGU+PENpdGU+PEF1dGhvcj5FbmdpbmVlcjwvQXV0aG9yPjxZZWFyPjIwMTQ8L1llYXI+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(Engineer et al., 2014)</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For plants </w:t>
      </w:r>
      <w:r w:rsidR="0078461F">
        <w:rPr>
          <w:rFonts w:ascii="Arial" w:eastAsia="Yu Mincho" w:hAnsi="Arial" w:cs="Arial"/>
          <w:lang w:eastAsia="en-US" w:bidi="en-US"/>
        </w:rPr>
        <w:t xml:space="preserve">that </w:t>
      </w:r>
      <w:r w:rsidRPr="003A48AB">
        <w:rPr>
          <w:rFonts w:ascii="Arial" w:eastAsia="Yu Mincho" w:hAnsi="Arial" w:cs="Arial"/>
          <w:lang w:eastAsia="en-US" w:bidi="en-US"/>
        </w:rPr>
        <w:t xml:space="preserve">may not have such genetic mechanisms, as may be the case with </w:t>
      </w:r>
      <w:r w:rsidRPr="003A48AB">
        <w:rPr>
          <w:rFonts w:ascii="Arial" w:eastAsia="Yu Mincho" w:hAnsi="Arial" w:cs="Arial"/>
          <w:i/>
          <w:lang w:eastAsia="en-US" w:bidi="en-US"/>
        </w:rPr>
        <w:t>P. patens</w:t>
      </w:r>
      <w:r w:rsidRPr="003A48AB">
        <w:rPr>
          <w:rFonts w:ascii="Arial" w:eastAsia="Yu Mincho" w:hAnsi="Arial" w:cs="Arial"/>
          <w:lang w:eastAsia="en-US" w:bidi="en-US"/>
        </w:rPr>
        <w:t>,</w:t>
      </w:r>
      <w:r w:rsidRPr="003A48AB">
        <w:rPr>
          <w:rFonts w:ascii="Arial" w:eastAsia="Yu Mincho" w:hAnsi="Arial" w:cs="Arial"/>
          <w:i/>
          <w:lang w:eastAsia="en-US" w:bidi="en-US"/>
        </w:rPr>
        <w:t xml:space="preserve"> </w:t>
      </w:r>
      <w:r w:rsidRPr="003A48AB">
        <w:rPr>
          <w:rFonts w:ascii="Arial" w:eastAsia="Yu Mincho" w:hAnsi="Arial" w:cs="Arial"/>
          <w:lang w:eastAsia="en-US" w:bidi="en-US"/>
        </w:rPr>
        <w:t>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responses if present, could be linked primarily to overall changes in sporophyte capsule size (due to more available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rather than direct alterations to the stomatal developmental module during early sporophyte development. Even though some plants cannot instantaneously respond in one generation by altering S and D in response to sub-ambient or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w:t>
      </w:r>
      <w:r w:rsidRPr="003A48AB">
        <w:rPr>
          <w:rFonts w:ascii="Arial" w:eastAsia="Yu Mincho" w:hAnsi="Arial" w:cs="Arial"/>
          <w:lang w:eastAsia="en-US" w:bidi="en-US"/>
        </w:rPr>
        <w:fldChar w:fldCharType="begin"/>
      </w:r>
      <w:r w:rsidRPr="003A48AB">
        <w:rPr>
          <w:rFonts w:ascii="Arial" w:eastAsia="Yu Mincho" w:hAnsi="Arial" w:cs="Arial"/>
          <w:lang w:eastAsia="en-US" w:bidi="en-US"/>
        </w:rPr>
        <w:instrText xml:space="preserve"> ADDIN EN.CITE &lt;EndNote&gt;&lt;Cite&gt;&lt;Author&gt;Haworth&lt;/Author&gt;&lt;Year&gt;2013&lt;/Year&gt;&lt;IDText&gt;Co-ordination of physiological and morphological responses of stomata to elevated [CO2] in vascular plants&lt;/IDText&gt;&lt;DisplayText&gt;(Haworth et al., 2013)&lt;/DisplayText&gt;&lt;record&gt;&lt;dates&gt;&lt;pub-dates&gt;&lt;date&gt;2013//&lt;/date&gt;&lt;/pub-dates&gt;&lt;year&gt;2013&lt;/year&gt;&lt;/dates&gt;&lt;urls&gt;&lt;related-urls&gt;&lt;url&gt;http://dx.doi.org/10.1007/s00442-012-2406-9&lt;/url&gt;&lt;/related-urls&gt;&lt;/urls&gt;&lt;isbn&gt;1432-1939&lt;/isbn&gt;&lt;titles&gt;&lt;title&gt;Co-ordination of physiological and morphological responses of stomata to elevated [CO2] in vascular plants&lt;/title&gt;&lt;secondary-title&gt;Oecologia&lt;/secondary-title&gt;&lt;/titles&gt;&lt;pages&gt;71-82&lt;/pages&gt;&lt;number&gt;1&lt;/number&gt;&lt;contributors&gt;&lt;authors&gt;&lt;author&gt;Haworth, Matthew&lt;/author&gt;&lt;author&gt;Elliott-Kingston, Caroline&lt;/author&gt;&lt;author&gt;McElwain, Jennifer C.&lt;/author&gt;&lt;/authors&gt;&lt;/contributors&gt;&lt;added-date format="utc"&gt;1465913356&lt;/added-date&gt;&lt;ref-type name="Journal Article"&gt;17&lt;/ref-type&gt;&lt;rec-number&gt;1308&lt;/rec-number&gt;&lt;last-updated-date format="utc"&gt;1465913356&lt;/last-updated-date&gt;&lt;electronic-resource-num&gt;10.1007/s00442-012-2406-9&lt;/electronic-resource-num&gt;&lt;volume&gt;171&lt;/volume&gt;&lt;/record&gt;&lt;/Cite&gt;&lt;/EndNote&gt;</w:instrText>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(Haworth et al., 2013)</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this does not necessarily infer that over geological time periods that such plants would not have gradually evolved a response as has been previously suggested for D </w:t>
      </w:r>
      <w:r w:rsidRPr="003A48AB">
        <w:rPr>
          <w:rFonts w:ascii="Arial" w:eastAsia="Yu Mincho" w:hAnsi="Arial" w:cs="Arial"/>
          <w:lang w:eastAsia="en-US" w:bidi="en-US"/>
        </w:rPr>
        <w:fldChar w:fldCharType="begin"/>
      </w:r>
      <w:r w:rsidRPr="003A48AB">
        <w:rPr>
          <w:rFonts w:ascii="Arial" w:eastAsia="Yu Mincho" w:hAnsi="Arial" w:cs="Arial"/>
          <w:lang w:eastAsia="en-US" w:bidi="en-US"/>
        </w:rPr>
        <w:instrText xml:space="preserve"> ADDIN EN.CITE &lt;EndNote&gt;&lt;Cite&gt;&lt;Author&gt;McElwain&lt;/Author&gt;&lt;Year&gt;1995&lt;/Year&gt;&lt;IDText&gt;Stomatal Density and Index of Fossil Plants Track Atmospheric Carbon Dioxide in the Palaeozoic&lt;/IDText&gt;&lt;DisplayText&gt;(McElwain and Chaloner, 1995)&lt;/DisplayText&gt;&lt;record&gt;&lt;urls&gt;&lt;related-urls&gt;&lt;url&gt;http://aob.oxfordjournals.org/content/76/4/389.abstract&lt;/url&gt;&lt;/related-urls&gt;&lt;/urls&gt;&lt;titles&gt;&lt;title&gt;Stomatal Density and Index of Fossil Plants Track Atmospheric Carbon Dioxide in the Palaeozoic&lt;/title&gt;&lt;secondary-title&gt;Annals of Botany&lt;/secondary-title&gt;&lt;/titles&gt;&lt;pages&gt;389-395&lt;/pages&gt;&lt;number&gt;4&lt;/number&gt;&lt;contributors&gt;&lt;authors&gt;&lt;author&gt;McElwain, Jennifer C.&lt;/author&gt;&lt;author&gt;Chaloner, William G.&lt;/author&gt;&lt;/authors&gt;&lt;/contributors&gt;&lt;added-date format="utc"&gt;1455283299&lt;/added-date&gt;&lt;ref-type name="Journal Article"&gt;17&lt;/ref-type&gt;&lt;dates&gt;&lt;year&gt;1995&lt;/year&gt;&lt;/dates&gt;&lt;rec-number&gt;831&lt;/rec-number&gt;&lt;last-updated-date format="utc"&gt;1455283299&lt;/last-updated-date&gt;&lt;volume&gt;76&lt;/volume&gt;&lt;/record&gt;&lt;/Cite&gt;&lt;/EndNote&gt;</w:instrText>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(McElwain and Chaloner, 1995)</w:t>
      </w:r>
      <w:r w:rsidRPr="003A48AB">
        <w:rPr>
          <w:rFonts w:ascii="Arial" w:eastAsia="Yu Mincho" w:hAnsi="Arial" w:cs="Arial"/>
          <w:lang w:eastAsia="en-US" w:bidi="en-US"/>
        </w:rPr>
        <w:fldChar w:fldCharType="end"/>
      </w:r>
      <w:r w:rsidRPr="003A48AB">
        <w:rPr>
          <w:rFonts w:ascii="Arial" w:eastAsia="Yu Mincho" w:hAnsi="Arial" w:cs="Arial"/>
          <w:lang w:eastAsia="en-US" w:bidi="en-US"/>
        </w:rPr>
        <w:t>.</w:t>
      </w:r>
    </w:p>
    <w:p w14:paraId="239746D4" w14:textId="77777777" w:rsidR="003A48AB" w:rsidRPr="003A48AB" w:rsidRDefault="003A48AB" w:rsidP="003A48AB">
      <w:pPr>
        <w:spacing w:after="160" w:line="360" w:lineRule="auto"/>
        <w:rPr>
          <w:rFonts w:ascii="Arial" w:eastAsia="Yu Mincho" w:hAnsi="Arial" w:cs="Arial"/>
          <w:lang w:eastAsia="en-US" w:bidi="en-US"/>
        </w:rPr>
      </w:pPr>
    </w:p>
    <w:p w14:paraId="7D84EC55" w14:textId="77777777" w:rsidR="003A48AB" w:rsidRPr="003A48AB" w:rsidRDefault="003A48AB" w:rsidP="003A48AB">
      <w:pPr>
        <w:spacing w:after="160" w:line="360" w:lineRule="auto"/>
        <w:rPr>
          <w:rFonts w:ascii="Arial" w:eastAsia="Yu Mincho" w:hAnsi="Arial" w:cs="Arial"/>
          <w:lang w:eastAsia="en-US" w:bidi="en-US"/>
        </w:rPr>
      </w:pPr>
    </w:p>
    <w:p w14:paraId="6F6B775B"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br w:type="page"/>
      </w:r>
    </w:p>
    <w:p w14:paraId="08CECF47"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lastRenderedPageBreak/>
        <w:t>The key conclusions from this chapter are:</w:t>
      </w:r>
    </w:p>
    <w:p w14:paraId="00F29BF5" w14:textId="77777777" w:rsidR="003A48AB" w:rsidRPr="003A48AB" w:rsidRDefault="003A48AB" w:rsidP="003A48AB">
      <w:pPr>
        <w:numPr>
          <w:ilvl w:val="0"/>
          <w:numId w:val="36"/>
        </w:numPr>
        <w:spacing w:after="160" w:line="360" w:lineRule="auto"/>
        <w:contextualSpacing/>
        <w:rPr>
          <w:rFonts w:ascii="Arial" w:eastAsia="Yu Mincho" w:hAnsi="Arial" w:cs="Arial"/>
          <w:lang w:eastAsia="en-US" w:bidi="en-US"/>
        </w:rPr>
      </w:pPr>
      <w:r w:rsidRPr="003A48AB">
        <w:rPr>
          <w:rFonts w:ascii="Arial" w:eastAsia="Yu Mincho" w:hAnsi="Arial" w:cs="Arial"/>
          <w:lang w:eastAsia="en-US" w:bidi="en-US"/>
        </w:rPr>
        <w:t xml:space="preserve">The large sporophyte-bearing moss </w:t>
      </w:r>
      <w:r w:rsidRPr="003A48AB">
        <w:rPr>
          <w:rFonts w:ascii="Arial" w:eastAsia="Yu Mincho" w:hAnsi="Arial" w:cs="Arial"/>
          <w:i/>
          <w:lang w:eastAsia="en-US" w:bidi="en-US"/>
        </w:rPr>
        <w:t xml:space="preserve">F. hygrometrica </w:t>
      </w:r>
      <w:r w:rsidRPr="003A48AB">
        <w:rPr>
          <w:rFonts w:ascii="Arial" w:eastAsia="Yu Mincho" w:hAnsi="Arial" w:cs="Arial"/>
          <w:lang w:eastAsia="en-US" w:bidi="en-US"/>
        </w:rPr>
        <w:t>produces significantly larger sporophytes on plants that have been grown at increasingly high concentrations of CO</w:t>
      </w:r>
      <w:r w:rsidRPr="003A48AB">
        <w:rPr>
          <w:rFonts w:ascii="Arial" w:eastAsia="Yu Mincho" w:hAnsi="Arial" w:cs="Arial"/>
          <w:vertAlign w:val="subscript"/>
          <w:lang w:eastAsia="en-US" w:bidi="en-US"/>
        </w:rPr>
        <w:t>2.</w:t>
      </w:r>
    </w:p>
    <w:p w14:paraId="7655AC37" w14:textId="77777777" w:rsidR="003A48AB" w:rsidRPr="003A48AB" w:rsidRDefault="003A48AB" w:rsidP="003A48AB">
      <w:pPr>
        <w:numPr>
          <w:ilvl w:val="0"/>
          <w:numId w:val="36"/>
        </w:numPr>
        <w:spacing w:after="160" w:line="360" w:lineRule="auto"/>
        <w:contextualSpacing/>
        <w:rPr>
          <w:rFonts w:ascii="Arial" w:eastAsia="Yu Mincho" w:hAnsi="Arial" w:cs="Arial"/>
          <w:lang w:eastAsia="en-US" w:bidi="en-US"/>
        </w:rPr>
      </w:pPr>
      <w:r w:rsidRPr="003A48AB">
        <w:rPr>
          <w:rFonts w:ascii="Arial" w:eastAsia="Yu Mincho" w:hAnsi="Arial" w:cs="Arial"/>
          <w:lang w:eastAsia="en-US" w:bidi="en-US"/>
        </w:rPr>
        <w:t xml:space="preserve">The stomata of </w:t>
      </w:r>
      <w:r w:rsidRPr="003A48AB">
        <w:rPr>
          <w:rFonts w:ascii="Arial" w:eastAsia="Yu Mincho" w:hAnsi="Arial" w:cs="Arial"/>
          <w:i/>
          <w:lang w:eastAsia="en-US" w:bidi="en-US"/>
        </w:rPr>
        <w:t>F. hygrometrica</w:t>
      </w:r>
      <w:r w:rsidRPr="003A48AB">
        <w:rPr>
          <w:rFonts w:ascii="Arial" w:eastAsia="Yu Mincho" w:hAnsi="Arial" w:cs="Arial"/>
          <w:lang w:eastAsia="en-US" w:bidi="en-US"/>
        </w:rPr>
        <w:t xml:space="preserve"> appear to share the same trend as many other plants in relation to stomatal S and D. That is, those plants grown under increasingly high concentrations of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increased S and reduced D.</w:t>
      </w:r>
    </w:p>
    <w:p w14:paraId="4FBCAC3F" w14:textId="77777777" w:rsidR="003A48AB" w:rsidRPr="003A48AB" w:rsidRDefault="003A48AB" w:rsidP="003A48AB">
      <w:pPr>
        <w:numPr>
          <w:ilvl w:val="0"/>
          <w:numId w:val="36"/>
        </w:numPr>
        <w:spacing w:after="160" w:line="360" w:lineRule="auto"/>
        <w:contextualSpacing/>
        <w:rPr>
          <w:rFonts w:ascii="Arial" w:eastAsia="Yu Mincho" w:hAnsi="Arial" w:cs="Arial"/>
          <w:lang w:eastAsia="en-US" w:bidi="en-US"/>
        </w:rPr>
      </w:pPr>
      <w:r w:rsidRPr="003A48AB">
        <w:rPr>
          <w:rFonts w:ascii="Arial" w:eastAsia="Yu Mincho" w:hAnsi="Arial" w:cs="Arial"/>
          <w:lang w:eastAsia="en-US" w:bidi="en-US"/>
        </w:rPr>
        <w:t xml:space="preserve">For </w:t>
      </w:r>
      <w:r w:rsidRPr="003A48AB">
        <w:rPr>
          <w:rFonts w:ascii="Arial" w:eastAsia="Yu Mincho" w:hAnsi="Arial" w:cs="Arial"/>
          <w:i/>
          <w:lang w:eastAsia="en-US" w:bidi="en-US"/>
        </w:rPr>
        <w:t>P. patens</w:t>
      </w:r>
      <w:r w:rsidRPr="003A48AB">
        <w:rPr>
          <w:rFonts w:ascii="Arial" w:eastAsia="Yu Mincho" w:hAnsi="Arial" w:cs="Arial"/>
          <w:lang w:eastAsia="en-US" w:bidi="en-US"/>
        </w:rPr>
        <w:t>, the relationship between increased S and reduced D with increasing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was present when sub-ambient (200ppm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and elevated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were compared. When sporophytes grown at 200ppm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and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were compared no such clear relationship was detected (</w:t>
      </w:r>
      <w:r w:rsidRPr="003A48AB">
        <w:rPr>
          <w:rFonts w:ascii="Arial" w:eastAsia="Yu Mincho" w:hAnsi="Arial" w:cs="Arial"/>
          <w:b/>
          <w:lang w:eastAsia="en-US" w:bidi="en-US"/>
        </w:rPr>
        <w:t>Fig. 4</w:t>
      </w:r>
      <w:r w:rsidRPr="003A48AB">
        <w:rPr>
          <w:rFonts w:ascii="Arial" w:eastAsia="Yu Mincho" w:hAnsi="Arial" w:cs="Arial"/>
          <w:lang w:eastAsia="en-US" w:bidi="en-US"/>
        </w:rPr>
        <w:t>).</w:t>
      </w:r>
    </w:p>
    <w:p w14:paraId="1428D26B" w14:textId="691A31D8" w:rsidR="003A48AB" w:rsidRPr="003A48AB" w:rsidRDefault="003A48AB" w:rsidP="003A48AB">
      <w:pPr>
        <w:numPr>
          <w:ilvl w:val="0"/>
          <w:numId w:val="36"/>
        </w:numPr>
        <w:spacing w:after="160" w:line="360" w:lineRule="auto"/>
        <w:contextualSpacing/>
        <w:rPr>
          <w:rFonts w:ascii="Arial" w:eastAsia="Yu Mincho" w:hAnsi="Arial" w:cs="Arial"/>
          <w:lang w:eastAsia="en-US" w:bidi="en-US"/>
        </w:rPr>
      </w:pPr>
      <w:r w:rsidRPr="003A48AB">
        <w:rPr>
          <w:rFonts w:ascii="Arial" w:eastAsia="Yu Mincho" w:hAnsi="Arial" w:cs="Arial"/>
          <w:lang w:eastAsia="en-US" w:bidi="en-US"/>
        </w:rPr>
        <w:t xml:space="preserve">The N produced by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 xml:space="preserve">is linked to the light intensity at which the sporophytes develop in. High </w:t>
      </w:r>
      <w:r w:rsidR="0078461F">
        <w:rPr>
          <w:rFonts w:ascii="Arial" w:eastAsia="Yu Mincho" w:hAnsi="Arial" w:cs="Arial"/>
          <w:lang w:eastAsia="en-US" w:bidi="en-US"/>
        </w:rPr>
        <w:t xml:space="preserve">light </w:t>
      </w:r>
      <w:r w:rsidRPr="003A48AB">
        <w:rPr>
          <w:rFonts w:ascii="Arial" w:eastAsia="Yu Mincho" w:hAnsi="Arial" w:cs="Arial"/>
          <w:lang w:eastAsia="en-US" w:bidi="en-US"/>
        </w:rPr>
        <w:t>intensity grown sporophytes appear to have a greater N which appears to be linked to an increase in sporophyte size (</w:t>
      </w:r>
      <w:r w:rsidRPr="003A48AB">
        <w:rPr>
          <w:rFonts w:ascii="Arial" w:eastAsia="Yu Mincho" w:hAnsi="Arial" w:cs="Arial"/>
          <w:b/>
          <w:lang w:eastAsia="en-US" w:bidi="en-US"/>
        </w:rPr>
        <w:t>Fig. 6</w:t>
      </w:r>
      <w:r w:rsidRPr="003A48AB">
        <w:rPr>
          <w:rFonts w:ascii="Arial" w:eastAsia="Yu Mincho" w:hAnsi="Arial" w:cs="Arial"/>
          <w:lang w:eastAsia="en-US" w:bidi="en-US"/>
        </w:rPr>
        <w:t>-</w:t>
      </w:r>
      <w:r w:rsidRPr="003A48AB">
        <w:rPr>
          <w:rFonts w:ascii="Arial" w:eastAsia="Yu Mincho" w:hAnsi="Arial" w:cs="Arial"/>
          <w:b/>
          <w:lang w:eastAsia="en-US" w:bidi="en-US"/>
        </w:rPr>
        <w:t>7</w:t>
      </w:r>
      <w:r w:rsidRPr="003A48AB">
        <w:rPr>
          <w:rFonts w:ascii="Arial" w:eastAsia="Yu Mincho" w:hAnsi="Arial" w:cs="Arial"/>
          <w:lang w:eastAsia="en-US" w:bidi="en-US"/>
        </w:rPr>
        <w:t>).</w:t>
      </w:r>
    </w:p>
    <w:p w14:paraId="7D1D0B10" w14:textId="1D6FBCAA" w:rsidR="003A48AB" w:rsidRPr="003A48AB" w:rsidRDefault="003A48AB" w:rsidP="003A48AB">
      <w:pPr>
        <w:numPr>
          <w:ilvl w:val="0"/>
          <w:numId w:val="36"/>
        </w:numPr>
        <w:spacing w:after="160" w:line="360" w:lineRule="auto"/>
        <w:contextualSpacing/>
        <w:rPr>
          <w:rFonts w:ascii="Arial" w:eastAsia="Yu Mincho" w:hAnsi="Arial" w:cs="Arial"/>
          <w:lang w:eastAsia="en-US" w:bidi="en-US"/>
        </w:rPr>
      </w:pPr>
      <w:r w:rsidRPr="003A48AB">
        <w:rPr>
          <w:rFonts w:ascii="Arial" w:eastAsia="Yu Mincho" w:hAnsi="Arial" w:cs="Arial"/>
          <w:lang w:eastAsia="en-US" w:bidi="en-US"/>
        </w:rPr>
        <w:t xml:space="preserve">For </w:t>
      </w:r>
      <w:r w:rsidRPr="003A48AB">
        <w:rPr>
          <w:rFonts w:ascii="Arial" w:eastAsia="Yu Mincho" w:hAnsi="Arial" w:cs="Arial"/>
          <w:i/>
          <w:lang w:eastAsia="en-US" w:bidi="en-US"/>
        </w:rPr>
        <w:t>P. patens,</w:t>
      </w:r>
      <w:r w:rsidRPr="003A48AB">
        <w:rPr>
          <w:rFonts w:ascii="Arial" w:eastAsia="Yu Mincho" w:hAnsi="Arial" w:cs="Arial"/>
          <w:lang w:eastAsia="en-US" w:bidi="en-US"/>
        </w:rPr>
        <w:t xml:space="preserve"> D responses to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are linked to absolute sporophyte capsule size and the light in which the sporophytes develops. HL grown large capsules have significantly reduced D when grown at 1000ppm CO</w:t>
      </w:r>
      <w:r w:rsidRPr="003A48AB">
        <w:rPr>
          <w:rFonts w:ascii="Arial" w:eastAsia="Yu Mincho" w:hAnsi="Arial" w:cs="Arial"/>
          <w:vertAlign w:val="subscript"/>
          <w:lang w:eastAsia="en-US" w:bidi="en-US"/>
        </w:rPr>
        <w:t xml:space="preserve">2 </w:t>
      </w:r>
      <w:r w:rsidRPr="003A48AB">
        <w:rPr>
          <w:rFonts w:ascii="Arial" w:eastAsia="Yu Mincho" w:hAnsi="Arial" w:cs="Arial"/>
          <w:lang w:eastAsia="en-US" w:bidi="en-US"/>
        </w:rPr>
        <w:t>concentrations comparatively to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LL grown large capsules grown at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do not have a reduced D comparatively to capsules grown at LL 450ppm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instead a small increase </w:t>
      </w:r>
      <w:r w:rsidR="0078461F">
        <w:rPr>
          <w:rFonts w:ascii="Arial" w:eastAsia="Yu Mincho" w:hAnsi="Arial" w:cs="Arial"/>
          <w:lang w:eastAsia="en-US" w:bidi="en-US"/>
        </w:rPr>
        <w:t>occurred</w:t>
      </w:r>
      <w:r w:rsidRPr="003A48AB">
        <w:rPr>
          <w:rFonts w:ascii="Arial" w:eastAsia="Yu Mincho" w:hAnsi="Arial" w:cs="Arial"/>
          <w:lang w:eastAsia="en-US" w:bidi="en-US"/>
        </w:rPr>
        <w:t>.</w:t>
      </w:r>
    </w:p>
    <w:p w14:paraId="5E3E6DDB" w14:textId="7A4F7943" w:rsidR="003A48AB" w:rsidRPr="003A48AB" w:rsidRDefault="003A48AB" w:rsidP="003A48AB">
      <w:pPr>
        <w:numPr>
          <w:ilvl w:val="0"/>
          <w:numId w:val="36"/>
        </w:numPr>
        <w:spacing w:after="160" w:line="360" w:lineRule="auto"/>
        <w:contextualSpacing/>
        <w:rPr>
          <w:rFonts w:ascii="Arial" w:eastAsia="Yu Mincho" w:hAnsi="Arial" w:cs="Arial"/>
          <w:lang w:eastAsia="en-US" w:bidi="en-US"/>
        </w:rPr>
      </w:pPr>
      <w:r w:rsidRPr="003A48AB">
        <w:rPr>
          <w:rFonts w:ascii="Arial" w:eastAsia="Yu Mincho" w:hAnsi="Arial" w:cs="Arial"/>
          <w:lang w:eastAsia="en-US" w:bidi="en-US"/>
        </w:rPr>
        <w:t>Standardising of capsule size</w:t>
      </w:r>
      <w:r w:rsidR="00B35746">
        <w:rPr>
          <w:rFonts w:ascii="Arial" w:eastAsia="Yu Mincho" w:hAnsi="Arial" w:cs="Arial"/>
          <w:lang w:eastAsia="en-US" w:bidi="en-US"/>
        </w:rPr>
        <w:t xml:space="preserve"> in </w:t>
      </w:r>
      <w:r w:rsidR="00B35746">
        <w:rPr>
          <w:rFonts w:ascii="Arial" w:eastAsia="Yu Mincho" w:hAnsi="Arial" w:cs="Arial"/>
          <w:i/>
          <w:lang w:eastAsia="en-US" w:bidi="en-US"/>
        </w:rPr>
        <w:t>P. patens</w:t>
      </w:r>
      <w:r w:rsidRPr="003A48AB">
        <w:rPr>
          <w:rFonts w:ascii="Arial" w:eastAsia="Yu Mincho" w:hAnsi="Arial" w:cs="Arial"/>
          <w:lang w:eastAsia="en-US" w:bidi="en-US"/>
        </w:rPr>
        <w:t xml:space="preserve"> led to the D response of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being greatly reduced in low light and high light.</w:t>
      </w:r>
    </w:p>
    <w:p w14:paraId="1C094CF1" w14:textId="77777777" w:rsidR="003A48AB" w:rsidRPr="003A48AB" w:rsidRDefault="003A48AB" w:rsidP="003A48AB">
      <w:pPr>
        <w:numPr>
          <w:ilvl w:val="0"/>
          <w:numId w:val="36"/>
        </w:numPr>
        <w:spacing w:after="160" w:line="360" w:lineRule="auto"/>
        <w:contextualSpacing/>
        <w:rPr>
          <w:rFonts w:ascii="Arial" w:eastAsia="Yu Mincho" w:hAnsi="Arial" w:cs="Arial"/>
          <w:lang w:eastAsia="en-US" w:bidi="en-US"/>
        </w:rPr>
      </w:pPr>
      <w:r w:rsidRPr="003A48AB">
        <w:rPr>
          <w:rFonts w:ascii="Arial" w:eastAsia="Yu Mincho" w:hAnsi="Arial" w:cs="Arial"/>
          <w:i/>
          <w:lang w:eastAsia="en-US" w:bidi="en-US"/>
        </w:rPr>
        <w:t xml:space="preserve">EPF2 </w:t>
      </w:r>
      <w:r w:rsidRPr="003A48AB">
        <w:rPr>
          <w:rFonts w:ascii="Arial" w:eastAsia="Yu Mincho" w:hAnsi="Arial" w:cs="Arial"/>
          <w:lang w:eastAsia="en-US" w:bidi="en-US"/>
        </w:rPr>
        <w:t>in Arabidopsis is responsible for permitting a reduced D response to elevated 1000ppm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 at HL but not LL.</w:t>
      </w:r>
    </w:p>
    <w:p w14:paraId="2BD97FFC" w14:textId="77777777" w:rsidR="003A48AB" w:rsidRPr="003A48AB" w:rsidRDefault="003A48AB" w:rsidP="003A48AB">
      <w:pPr>
        <w:numPr>
          <w:ilvl w:val="0"/>
          <w:numId w:val="36"/>
        </w:numPr>
        <w:spacing w:after="160" w:line="360" w:lineRule="auto"/>
        <w:contextualSpacing/>
        <w:rPr>
          <w:rFonts w:ascii="Arial" w:eastAsia="Yu Mincho" w:hAnsi="Arial" w:cs="Arial"/>
          <w:i/>
          <w:lang w:eastAsia="en-US" w:bidi="en-US"/>
        </w:rPr>
      </w:pPr>
      <w:r w:rsidRPr="003A48AB">
        <w:rPr>
          <w:rFonts w:ascii="Arial" w:eastAsia="Yu Mincho" w:hAnsi="Arial" w:cs="Arial"/>
          <w:i/>
          <w:lang w:eastAsia="en-US" w:bidi="en-US"/>
        </w:rPr>
        <w:t xml:space="preserve">P. patens PpEPF1 </w:t>
      </w:r>
      <w:r w:rsidRPr="003A48AB">
        <w:rPr>
          <w:rFonts w:ascii="Arial" w:eastAsia="Yu Mincho" w:hAnsi="Arial" w:cs="Arial"/>
          <w:lang w:eastAsia="en-US" w:bidi="en-US"/>
        </w:rPr>
        <w:t xml:space="preserve">does not permit reduced D at HL in either large or same sized capsules in a manner similar to that observed with Arabidopsis </w:t>
      </w:r>
      <w:r w:rsidRPr="003A48AB">
        <w:rPr>
          <w:rFonts w:ascii="Arial" w:eastAsia="Yu Mincho" w:hAnsi="Arial" w:cs="Arial"/>
          <w:i/>
          <w:lang w:eastAsia="en-US" w:bidi="en-US"/>
        </w:rPr>
        <w:t>EPF2</w:t>
      </w:r>
      <w:r w:rsidRPr="003A48AB">
        <w:rPr>
          <w:rFonts w:ascii="Arial" w:eastAsia="Yu Mincho" w:hAnsi="Arial" w:cs="Arial"/>
          <w:lang w:eastAsia="en-US" w:bidi="en-US"/>
        </w:rPr>
        <w:t>.</w:t>
      </w:r>
    </w:p>
    <w:p w14:paraId="520FB67F" w14:textId="77777777" w:rsidR="003A48AB" w:rsidRPr="003A48AB" w:rsidRDefault="003A48AB" w:rsidP="003A48AB">
      <w:pPr>
        <w:numPr>
          <w:ilvl w:val="0"/>
          <w:numId w:val="36"/>
        </w:numPr>
        <w:spacing w:after="160" w:line="360" w:lineRule="auto"/>
        <w:contextualSpacing/>
        <w:rPr>
          <w:rFonts w:ascii="Arial" w:eastAsia="Yu Mincho" w:hAnsi="Arial" w:cs="Arial"/>
          <w:i/>
          <w:lang w:eastAsia="en-US" w:bidi="en-US"/>
        </w:rPr>
      </w:pPr>
      <w:r w:rsidRPr="003A48AB">
        <w:rPr>
          <w:rFonts w:ascii="Arial" w:eastAsia="Yu Mincho" w:hAnsi="Arial" w:cs="Arial"/>
          <w:lang w:eastAsia="en-US" w:bidi="en-US"/>
        </w:rPr>
        <w:t xml:space="preserve">Whether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uses multiple SLSPs in a mechanism akin to CRSP-mediated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response in Arabidopsis requires further study to clarify.</w:t>
      </w:r>
    </w:p>
    <w:p w14:paraId="7038FF51" w14:textId="77777777" w:rsidR="00755614" w:rsidRDefault="00755614" w:rsidP="003A48AB">
      <w:pPr>
        <w:spacing w:after="160" w:line="360" w:lineRule="auto"/>
        <w:rPr>
          <w:rFonts w:ascii="Arial" w:eastAsia="Yu Mincho" w:hAnsi="Arial" w:cs="Arial"/>
          <w:b/>
          <w:u w:val="single"/>
          <w:lang w:eastAsia="en-US" w:bidi="en-US"/>
        </w:rPr>
      </w:pPr>
    </w:p>
    <w:p w14:paraId="3FD8F8B5" w14:textId="350DDF37" w:rsidR="003A48AB" w:rsidRPr="00405CE5" w:rsidRDefault="003A48AB" w:rsidP="003A48AB">
      <w:pPr>
        <w:spacing w:after="160" w:line="360" w:lineRule="auto"/>
        <w:rPr>
          <w:rFonts w:ascii="Arial" w:eastAsia="Yu Mincho" w:hAnsi="Arial" w:cs="Arial"/>
          <w:b/>
          <w:u w:val="single"/>
          <w:lang w:eastAsia="en-US" w:bidi="en-US"/>
        </w:rPr>
      </w:pPr>
      <w:r w:rsidRPr="00405CE5">
        <w:rPr>
          <w:rFonts w:ascii="Arial" w:eastAsia="Yu Mincho" w:hAnsi="Arial" w:cs="Arial"/>
          <w:b/>
          <w:u w:val="single"/>
          <w:lang w:eastAsia="en-US" w:bidi="en-US"/>
        </w:rPr>
        <w:t>5.5 Future research</w:t>
      </w:r>
    </w:p>
    <w:p w14:paraId="01CA180A" w14:textId="6B4F7AD3"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Whilst the findings presented here provide valuable insight into stomatal development in response to environmental stimuli such as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and light, a number of questions remain unanswered. As has been highlighted here and previously by others, whilst being a genetically tractable system to work with, </w:t>
      </w:r>
      <w:r w:rsidRPr="003A48AB">
        <w:rPr>
          <w:rFonts w:ascii="Arial" w:eastAsia="Yu Mincho" w:hAnsi="Arial" w:cs="Arial"/>
          <w:i/>
          <w:lang w:eastAsia="en-US" w:bidi="en-US"/>
        </w:rPr>
        <w:t>P. patens</w:t>
      </w:r>
      <w:r w:rsidRPr="003A48AB">
        <w:rPr>
          <w:rFonts w:ascii="Arial" w:eastAsia="Yu Mincho" w:hAnsi="Arial" w:cs="Arial"/>
          <w:lang w:eastAsia="en-US" w:bidi="en-US"/>
        </w:rPr>
        <w:t xml:space="preserve"> has a considerably small number of stomata and a reduced stomatal-bearing region </w:t>
      </w:r>
      <w:r w:rsidRPr="003A48AB">
        <w:rPr>
          <w:rFonts w:ascii="Arial" w:eastAsia="Yu Mincho" w:hAnsi="Arial" w:cs="Arial"/>
          <w:lang w:eastAsia="en-US" w:bidi="en-US"/>
        </w:rPr>
        <w:fldChar w:fldCharType="begin">
          <w:fldData xml:space="preserve">PEVuZE5vdGU+PENpdGU+PEF1dGhvcj5GaWVsZDwvQXV0aG9yPjxZZWFyPjIwMTU8L1llYXI+PElE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PEVuZE5vdGU+PENpdGU+PEF1dGhvcj5GaWVsZDwvQXV0aG9yPjxZZWFyPjIwMTU8L1llYXI+PElE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(Field et al., 2015)</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This compacted area </w:t>
      </w:r>
      <w:r w:rsidRPr="003A48AB">
        <w:rPr>
          <w:rFonts w:ascii="Arial" w:eastAsia="Yu Mincho" w:hAnsi="Arial" w:cs="Arial"/>
          <w:lang w:eastAsia="en-US" w:bidi="en-US"/>
        </w:rPr>
        <w:lastRenderedPageBreak/>
        <w:t>makes measuring attributes such as D, stomatal index and epidermal cell size and index difficult. As this is the case, it might be pertinent for future research into the molecular mechanisms governing stomatal developmental responses to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to be conducted using species which bare larger more easy to image sporophytes such as </w:t>
      </w:r>
      <w:r w:rsidRPr="003A48AB">
        <w:rPr>
          <w:rFonts w:ascii="Arial" w:eastAsia="Yu Mincho" w:hAnsi="Arial" w:cs="Arial"/>
          <w:i/>
          <w:lang w:eastAsia="en-US" w:bidi="en-US"/>
        </w:rPr>
        <w:t>F</w:t>
      </w:r>
      <w:r w:rsidRPr="003A48AB">
        <w:rPr>
          <w:rFonts w:ascii="Arial" w:eastAsia="Yu Mincho" w:hAnsi="Arial" w:cs="Arial"/>
          <w:lang w:eastAsia="en-US" w:bidi="en-US"/>
        </w:rPr>
        <w:t xml:space="preserve">. </w:t>
      </w:r>
      <w:r w:rsidRPr="00755614">
        <w:rPr>
          <w:rFonts w:ascii="Arial" w:eastAsia="Yu Mincho" w:hAnsi="Arial" w:cs="Arial"/>
          <w:i/>
          <w:lang w:eastAsia="en-US" w:bidi="en-US"/>
        </w:rPr>
        <w:t>hygrometrica</w:t>
      </w:r>
      <w:r w:rsidRPr="003A48AB">
        <w:rPr>
          <w:rFonts w:ascii="Arial" w:eastAsia="Yu Mincho" w:hAnsi="Arial" w:cs="Arial"/>
          <w:lang w:eastAsia="en-US" w:bidi="en-US"/>
        </w:rPr>
        <w:t xml:space="preserve"> or </w:t>
      </w:r>
      <w:r w:rsidRPr="003A48AB">
        <w:rPr>
          <w:rFonts w:ascii="Arial" w:eastAsia="Yu Mincho" w:hAnsi="Arial" w:cs="Arial"/>
          <w:i/>
          <w:lang w:eastAsia="en-US" w:bidi="en-US"/>
        </w:rPr>
        <w:t>P. formosum</w:t>
      </w:r>
      <w:r w:rsidRPr="003A48AB">
        <w:rPr>
          <w:rFonts w:ascii="Arial" w:eastAsia="Yu Mincho" w:hAnsi="Arial" w:cs="Arial"/>
          <w:lang w:eastAsia="en-US" w:bidi="en-US"/>
        </w:rPr>
        <w:t xml:space="preserve">. Such species have many more stomata </w:t>
      </w:r>
      <w:r w:rsidRPr="003A48AB">
        <w:rPr>
          <w:rFonts w:ascii="Arial" w:eastAsia="Yu Mincho" w:hAnsi="Arial" w:cs="Arial"/>
          <w:lang w:eastAsia="en-US" w:bidi="en-US"/>
        </w:rPr>
        <w:fldChar w:fldCharType="begin">
          <w:fldData xml:space="preserve">PEVuZE5vdGU+PENpdGU+PEF1dGhvcj5GaWVsZDwvQXV0aG9yPjxZZWFyPjIwMTU8L1llYXI+PElE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</w:fldData>
        </w:fldChar>
      </w:r>
      <w:r w:rsidR="00417B1E">
        <w:rPr>
          <w:rFonts w:ascii="Arial" w:eastAsia="Yu Mincho" w:hAnsi="Arial" w:cs="Arial"/>
          <w:lang w:eastAsia="en-US" w:bidi="en-US"/>
        </w:rPr>
        <w:instrText xml:space="preserve"> ADDIN EN.CITE </w:instrText>
      </w:r>
      <w:r w:rsidR="00417B1E">
        <w:rPr>
          <w:rFonts w:ascii="Arial" w:eastAsia="Yu Mincho" w:hAnsi="Arial" w:cs="Arial"/>
          <w:lang w:eastAsia="en-US" w:bidi="en-US"/>
        </w:rPr>
        <w:fldChar w:fldCharType="begin">
          <w:fldData xml:space="preserve">PEVuZE5vdGU+PENpdGU+PEF1dGhvcj5GaWVsZDwvQXV0aG9yPjxZZWFyPjIwMTU8L1llYXI+PElE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</w:fldData>
        </w:fldChar>
      </w:r>
      <w:r w:rsidR="00417B1E">
        <w:rPr>
          <w:rFonts w:ascii="Arial" w:eastAsia="Yu Mincho" w:hAnsi="Arial" w:cs="Arial"/>
          <w:lang w:eastAsia="en-US" w:bidi="en-US"/>
        </w:rPr>
        <w:instrText xml:space="preserve"> ADDIN EN.CITE.DATA </w:instrText>
      </w:r>
      <w:r w:rsidR="00417B1E">
        <w:rPr>
          <w:rFonts w:ascii="Arial" w:eastAsia="Yu Mincho" w:hAnsi="Arial" w:cs="Arial"/>
          <w:lang w:eastAsia="en-US" w:bidi="en-US"/>
        </w:rPr>
      </w:r>
      <w:r w:rsidR="00417B1E">
        <w:rPr>
          <w:rFonts w:ascii="Arial" w:eastAsia="Yu Mincho" w:hAnsi="Arial" w:cs="Arial"/>
          <w:lang w:eastAsia="en-US" w:bidi="en-US"/>
        </w:rPr>
        <w:fldChar w:fldCharType="end"/>
      </w:r>
      <w:r w:rsidRPr="003A48AB">
        <w:rPr>
          <w:rFonts w:ascii="Arial" w:eastAsia="Yu Mincho" w:hAnsi="Arial" w:cs="Arial"/>
          <w:lang w:eastAsia="en-US" w:bidi="en-US"/>
        </w:rPr>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(Field et al., 2015)</w:t>
      </w:r>
      <w:r w:rsidRPr="003A48AB">
        <w:rPr>
          <w:rFonts w:ascii="Arial" w:eastAsia="Yu Mincho" w:hAnsi="Arial" w:cs="Arial"/>
          <w:lang w:eastAsia="en-US" w:bidi="en-US"/>
        </w:rPr>
        <w:fldChar w:fldCharType="end"/>
      </w:r>
      <w:r w:rsidRPr="003A48AB">
        <w:rPr>
          <w:rFonts w:ascii="Arial" w:eastAsia="Yu Mincho" w:hAnsi="Arial" w:cs="Arial"/>
          <w:lang w:eastAsia="en-US" w:bidi="en-US"/>
        </w:rPr>
        <w:t xml:space="preserve"> (see also </w:t>
      </w:r>
      <w:r w:rsidRPr="003A48AB">
        <w:rPr>
          <w:rFonts w:ascii="Arial" w:eastAsia="Yu Mincho" w:hAnsi="Arial" w:cs="Arial"/>
          <w:b/>
          <w:lang w:eastAsia="en-US" w:bidi="en-US"/>
        </w:rPr>
        <w:t>Fig. 3)</w:t>
      </w:r>
      <w:r w:rsidRPr="003A48AB">
        <w:rPr>
          <w:rFonts w:ascii="Arial" w:eastAsia="Yu Mincho" w:hAnsi="Arial" w:cs="Arial"/>
          <w:lang w:eastAsia="en-US" w:bidi="en-US"/>
        </w:rPr>
        <w:t>. In such species, the stomata that form may provide more physiological advantages to the sporophyte and as such, changes in the underpinning developmental genetics may be more pronounced in response to factors such as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and light. </w:t>
      </w:r>
    </w:p>
    <w:p w14:paraId="4108FAC5" w14:textId="649F2B7D"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 xml:space="preserve">The small differences observed in both N and D of same sized </w:t>
      </w:r>
      <w:r w:rsidRPr="003A48AB">
        <w:rPr>
          <w:rFonts w:ascii="Arial" w:eastAsia="Yu Mincho" w:hAnsi="Arial" w:cs="Arial"/>
          <w:i/>
          <w:lang w:eastAsia="en-US" w:bidi="en-US"/>
        </w:rPr>
        <w:t>ppslsp1</w:t>
      </w:r>
      <w:r w:rsidRPr="003A48AB">
        <w:rPr>
          <w:rFonts w:ascii="Arial" w:eastAsia="Yu Mincho" w:hAnsi="Arial" w:cs="Arial"/>
          <w:lang w:eastAsia="en-US" w:bidi="en-US"/>
        </w:rPr>
        <w:t xml:space="preserve"> sporophyte capsules grown at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may hold some clues into the small stomatal D response to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exhibited by </w:t>
      </w:r>
      <w:r w:rsidRPr="003A48AB">
        <w:rPr>
          <w:rFonts w:ascii="Arial" w:eastAsia="Yu Mincho" w:hAnsi="Arial" w:cs="Arial"/>
          <w:i/>
          <w:lang w:eastAsia="en-US" w:bidi="en-US"/>
        </w:rPr>
        <w:t>P. patens</w:t>
      </w:r>
      <w:r w:rsidRPr="003A48AB">
        <w:rPr>
          <w:rFonts w:ascii="Arial" w:eastAsia="Yu Mincho" w:hAnsi="Arial" w:cs="Arial"/>
          <w:lang w:eastAsia="en-US" w:bidi="en-US"/>
        </w:rPr>
        <w:t xml:space="preserve">. Similarly, very small D increases observed in </w:t>
      </w:r>
      <w:r w:rsidRPr="003A48AB">
        <w:rPr>
          <w:rFonts w:ascii="Arial" w:eastAsia="Yu Mincho" w:hAnsi="Arial" w:cs="Arial"/>
          <w:i/>
          <w:lang w:eastAsia="en-US" w:bidi="en-US"/>
        </w:rPr>
        <w:t xml:space="preserve">ppslsp2 </w:t>
      </w:r>
      <w:r w:rsidRPr="003A48AB">
        <w:rPr>
          <w:rFonts w:ascii="Arial" w:eastAsia="Yu Mincho" w:hAnsi="Arial" w:cs="Arial"/>
          <w:lang w:eastAsia="en-US" w:bidi="en-US"/>
        </w:rPr>
        <w:t>sporophyte capsules grown at elevated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may also hold some significance in understanding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stomatal developmental responses but again because the differences observed were very minor this is difficult to confidently conclude. In relation to t</w:t>
      </w:r>
      <w:r w:rsidR="00755614">
        <w:rPr>
          <w:rFonts w:ascii="Arial" w:eastAsia="Yu Mincho" w:hAnsi="Arial" w:cs="Arial"/>
          <w:lang w:eastAsia="en-US" w:bidi="en-US"/>
        </w:rPr>
        <w:t>he genes studied</w:t>
      </w:r>
      <w:r w:rsidRPr="003A48AB">
        <w:rPr>
          <w:rFonts w:ascii="Arial" w:eastAsia="Yu Mincho" w:hAnsi="Arial" w:cs="Arial"/>
          <w:lang w:eastAsia="en-US" w:bidi="en-US"/>
        </w:rPr>
        <w:t xml:space="preserve"> and close relatives the following could be performed; </w:t>
      </w:r>
    </w:p>
    <w:p w14:paraId="108927D2" w14:textId="77777777" w:rsidR="003A48AB" w:rsidRPr="003A48AB" w:rsidRDefault="003A48AB" w:rsidP="003A48AB">
      <w:pPr>
        <w:numPr>
          <w:ilvl w:val="0"/>
          <w:numId w:val="37"/>
        </w:numPr>
        <w:spacing w:after="160" w:line="360" w:lineRule="auto"/>
        <w:contextualSpacing/>
        <w:rPr>
          <w:rFonts w:ascii="Arial" w:eastAsia="Yu Mincho" w:hAnsi="Arial" w:cs="Arial"/>
          <w:lang w:eastAsia="en-US" w:bidi="en-US"/>
        </w:rPr>
      </w:pPr>
      <w:r w:rsidRPr="003A48AB">
        <w:rPr>
          <w:rFonts w:ascii="Arial" w:eastAsia="Yu Mincho" w:hAnsi="Arial" w:cs="Arial"/>
          <w:lang w:eastAsia="en-US" w:bidi="en-US"/>
        </w:rPr>
        <w:t xml:space="preserve">Both </w:t>
      </w:r>
      <w:r w:rsidRPr="003A48AB">
        <w:rPr>
          <w:rFonts w:ascii="Arial" w:eastAsia="Yu Mincho" w:hAnsi="Arial" w:cs="Arial"/>
          <w:i/>
          <w:lang w:eastAsia="en-US" w:bidi="en-US"/>
        </w:rPr>
        <w:t xml:space="preserve">PpSLSP1 </w:t>
      </w:r>
      <w:r w:rsidRPr="003A48AB">
        <w:rPr>
          <w:rFonts w:ascii="Arial" w:eastAsia="Yu Mincho" w:hAnsi="Arial" w:cs="Arial"/>
          <w:lang w:eastAsia="en-US" w:bidi="en-US"/>
        </w:rPr>
        <w:t xml:space="preserve">and </w:t>
      </w:r>
      <w:r w:rsidRPr="003A48AB">
        <w:rPr>
          <w:rFonts w:ascii="Arial" w:eastAsia="Yu Mincho" w:hAnsi="Arial" w:cs="Arial"/>
          <w:i/>
          <w:lang w:eastAsia="en-US" w:bidi="en-US"/>
        </w:rPr>
        <w:t xml:space="preserve">PpSLSP2 </w:t>
      </w:r>
      <w:r w:rsidRPr="003A48AB">
        <w:rPr>
          <w:rFonts w:ascii="Arial" w:eastAsia="Yu Mincho" w:hAnsi="Arial" w:cs="Arial"/>
          <w:lang w:eastAsia="en-US" w:bidi="en-US"/>
        </w:rPr>
        <w:t>could be knocked-out together to see if they are ordinarily functionally redundant in their regulation of N and D in developing sporophyte capsules.</w:t>
      </w:r>
    </w:p>
    <w:p w14:paraId="78C95C02" w14:textId="77777777" w:rsidR="003A48AB" w:rsidRPr="003A48AB" w:rsidRDefault="003A48AB" w:rsidP="003A48AB">
      <w:pPr>
        <w:numPr>
          <w:ilvl w:val="0"/>
          <w:numId w:val="37"/>
        </w:numPr>
        <w:spacing w:after="160" w:line="360" w:lineRule="auto"/>
        <w:contextualSpacing/>
        <w:rPr>
          <w:rFonts w:ascii="Arial" w:eastAsia="Yu Mincho" w:hAnsi="Arial" w:cs="Arial"/>
          <w:lang w:eastAsia="en-US" w:bidi="en-US"/>
        </w:rPr>
      </w:pPr>
      <w:r w:rsidRPr="003A48AB">
        <w:rPr>
          <w:rFonts w:ascii="Arial" w:eastAsia="Yu Mincho" w:hAnsi="Arial" w:cs="Arial"/>
          <w:lang w:eastAsia="en-US" w:bidi="en-US"/>
        </w:rPr>
        <w:t xml:space="preserve">A further analysis of large-grown sporophytes to test for changes in S, N and D could be performed in the generated in single and a double </w:t>
      </w:r>
      <w:r w:rsidRPr="003A48AB">
        <w:rPr>
          <w:rFonts w:ascii="Arial" w:eastAsia="Yu Mincho" w:hAnsi="Arial" w:cs="Arial"/>
          <w:i/>
          <w:lang w:eastAsia="en-US" w:bidi="en-US"/>
        </w:rPr>
        <w:t xml:space="preserve">PpSLSP </w:t>
      </w:r>
      <w:r w:rsidRPr="003A48AB">
        <w:rPr>
          <w:rFonts w:ascii="Arial" w:eastAsia="Yu Mincho" w:hAnsi="Arial" w:cs="Arial"/>
          <w:lang w:eastAsia="en-US" w:bidi="en-US"/>
        </w:rPr>
        <w:t>lines to see if these proteases might be involved in regulating stomata in large sporophyte capsules.</w:t>
      </w:r>
    </w:p>
    <w:p w14:paraId="5FDBA5D2" w14:textId="77777777" w:rsidR="003A48AB" w:rsidRPr="003A48AB" w:rsidRDefault="003A48AB" w:rsidP="003A48AB">
      <w:pPr>
        <w:numPr>
          <w:ilvl w:val="0"/>
          <w:numId w:val="37"/>
        </w:numPr>
        <w:spacing w:after="160" w:line="360" w:lineRule="auto"/>
        <w:contextualSpacing/>
        <w:rPr>
          <w:rFonts w:ascii="Arial" w:eastAsia="Yu Mincho" w:hAnsi="Arial" w:cs="Arial"/>
          <w:lang w:eastAsia="en-US" w:bidi="en-US"/>
        </w:rPr>
      </w:pPr>
      <w:r w:rsidRPr="003A48AB">
        <w:rPr>
          <w:rFonts w:ascii="Arial" w:eastAsia="Yu Mincho" w:hAnsi="Arial" w:cs="Arial"/>
          <w:lang w:eastAsia="en-US" w:bidi="en-US"/>
        </w:rPr>
        <w:t xml:space="preserve">The newly identified </w:t>
      </w:r>
      <w:r w:rsidRPr="003A48AB">
        <w:rPr>
          <w:rFonts w:ascii="Arial" w:eastAsia="Yu Mincho" w:hAnsi="Arial" w:cs="Arial"/>
          <w:i/>
          <w:lang w:eastAsia="en-US" w:bidi="en-US"/>
        </w:rPr>
        <w:t xml:space="preserve">PpSLSP5 </w:t>
      </w:r>
      <w:r w:rsidRPr="003A48AB">
        <w:rPr>
          <w:rFonts w:ascii="Arial" w:eastAsia="Yu Mincho" w:hAnsi="Arial" w:cs="Arial"/>
          <w:lang w:eastAsia="en-US" w:bidi="en-US"/>
        </w:rPr>
        <w:t>gene may also be a candidate for future study as this appears to more closely related to Arabidopsis CRSP (</w:t>
      </w:r>
      <w:r w:rsidRPr="003A48AB">
        <w:rPr>
          <w:rFonts w:ascii="Arial" w:eastAsia="Yu Mincho" w:hAnsi="Arial" w:cs="Arial"/>
          <w:b/>
          <w:lang w:eastAsia="en-US" w:bidi="en-US"/>
        </w:rPr>
        <w:t>Fig. 13</w:t>
      </w:r>
      <w:r w:rsidRPr="003A48AB">
        <w:rPr>
          <w:rFonts w:ascii="Arial" w:eastAsia="Yu Mincho" w:hAnsi="Arial" w:cs="Arial"/>
          <w:lang w:eastAsia="en-US" w:bidi="en-US"/>
        </w:rPr>
        <w:t xml:space="preserve">) and this gene too also appears to be upregulated in the sporophyte according to transcriptomic data available on phytozome </w:t>
      </w:r>
      <w:r w:rsidRPr="003A48AB">
        <w:rPr>
          <w:rFonts w:ascii="Arial" w:eastAsia="Yu Mincho" w:hAnsi="Arial" w:cs="Arial"/>
          <w:lang w:eastAsia="en-US" w:bidi="en-US"/>
        </w:rPr>
        <w:fldChar w:fldCharType="begin"/>
      </w:r>
      <w:r w:rsidRPr="003A48AB">
        <w:rPr>
          <w:rFonts w:ascii="Arial" w:eastAsia="Yu Mincho" w:hAnsi="Arial" w:cs="Arial"/>
          <w:lang w:eastAsia="en-US" w:bidi="en-US"/>
        </w:rPr>
        <w:instrText xml:space="preserve"> ADDIN EN.CITE &lt;EndNote&gt;&lt;Cite&gt;&lt;Author&gt;Goodstein&lt;/Author&gt;&lt;Year&gt;2012&lt;/Year&gt;&lt;IDText&gt;Phytozome: a comparative platform for green plant genomics&lt;/IDText&gt;&lt;DisplayText&gt;(Goodstein et al., 2012)&lt;/DisplayText&gt;&lt;record&gt;&lt;dates&gt;&lt;pub-dates&gt;&lt;date&gt;2012//&lt;/date&gt;&lt;/pub-dates&gt;&lt;year&gt;2012&lt;/year&gt;&lt;/dates&gt;&lt;urls&gt;&lt;related-urls&gt;&lt;url&gt;http://dx.doi.org/10.1093/nar/gkr944&lt;/url&gt;&lt;/related-urls&gt;&lt;/urls&gt;&lt;titles&gt;&lt;title&gt;Phytozome: a comparative platform for green plant genomics&lt;/title&gt;&lt;secondary-title&gt;Nucleic Acids Res&lt;/secondary-title&gt;&lt;/titles&gt;&lt;contributors&gt;&lt;authors&gt;&lt;author&gt;Goodstein, D. M.&lt;/author&gt;&lt;author&gt;Shu, S.&lt;/author&gt;&lt;author&gt;Howson, R.&lt;/author&gt;&lt;author&gt;Neupane, R.&lt;/author&gt;&lt;author&gt;Hayes, R. D.&lt;/author&gt;&lt;author&gt;Fazo, J.&lt;/author&gt;&lt;author&gt;Mitros, T.&lt;/author&gt;&lt;author&gt;Dirks, W.&lt;/author&gt;&lt;author&gt;Hellsten, U.&lt;/author&gt;&lt;author&gt;Putnam, N.&lt;/author&gt;&lt;author&gt;Rokhsar, D. S.&lt;/author&gt;&lt;/authors&gt;&lt;/contributors&gt;&lt;added-date format="utc"&gt;1454072695&lt;/added-date&gt;&lt;ref-type name="Journal Article"&gt;17&lt;/ref-type&gt;&lt;rec-number&gt;496&lt;/rec-number&gt;&lt;last-updated-date format="utc"&gt;1454072695&lt;/last-updated-date&gt;&lt;electronic-resource-num&gt;10.1093/nar/gkr944&lt;/electronic-resource-num&gt;&lt;volume&gt;40&lt;/volume&gt;&lt;/record&gt;&lt;/Cite&gt;&lt;/EndNote&gt;</w:instrText>
      </w:r>
      <w:r w:rsidRPr="003A48AB">
        <w:rPr>
          <w:rFonts w:ascii="Arial" w:eastAsia="Yu Mincho" w:hAnsi="Arial" w:cs="Arial"/>
          <w:lang w:eastAsia="en-US" w:bidi="en-US"/>
        </w:rPr>
        <w:fldChar w:fldCharType="separate"/>
      </w:r>
      <w:r w:rsidRPr="003A48AB">
        <w:rPr>
          <w:rFonts w:ascii="Arial" w:eastAsia="Yu Mincho" w:hAnsi="Arial" w:cs="Arial"/>
          <w:noProof/>
          <w:lang w:eastAsia="en-US" w:bidi="en-US"/>
        </w:rPr>
        <w:t>(Goodstein et al., 2012)</w:t>
      </w:r>
      <w:r w:rsidRPr="003A48AB">
        <w:rPr>
          <w:rFonts w:ascii="Arial" w:eastAsia="Yu Mincho" w:hAnsi="Arial" w:cs="Arial"/>
          <w:lang w:eastAsia="en-US" w:bidi="en-US"/>
        </w:rPr>
        <w:fldChar w:fldCharType="end"/>
      </w:r>
      <w:r w:rsidRPr="003A48AB">
        <w:rPr>
          <w:rFonts w:ascii="Arial" w:eastAsia="Yu Mincho" w:hAnsi="Arial" w:cs="Arial"/>
          <w:lang w:eastAsia="en-US" w:bidi="en-US"/>
        </w:rPr>
        <w:t>.</w:t>
      </w:r>
    </w:p>
    <w:p w14:paraId="0875551D" w14:textId="77777777"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 xml:space="preserve">Ultimately, whether an equivalent to an Arabidopsis CRSP truly functions in </w:t>
      </w:r>
      <w:r w:rsidRPr="003A48AB">
        <w:rPr>
          <w:rFonts w:ascii="Arial" w:eastAsia="Yu Mincho" w:hAnsi="Arial" w:cs="Arial"/>
          <w:i/>
          <w:lang w:eastAsia="en-US" w:bidi="en-US"/>
        </w:rPr>
        <w:t xml:space="preserve">P. patens </w:t>
      </w:r>
      <w:r w:rsidRPr="003A48AB">
        <w:rPr>
          <w:rFonts w:ascii="Arial" w:eastAsia="Yu Mincho" w:hAnsi="Arial" w:cs="Arial"/>
          <w:lang w:eastAsia="en-US" w:bidi="en-US"/>
        </w:rPr>
        <w:t xml:space="preserve">remains to be seen. It can be said that what might be considered to be the most CRSP-like target gene in </w:t>
      </w:r>
      <w:r w:rsidRPr="003A48AB">
        <w:rPr>
          <w:rFonts w:ascii="Arial" w:eastAsia="Yu Mincho" w:hAnsi="Arial" w:cs="Arial"/>
          <w:i/>
          <w:lang w:eastAsia="en-US" w:bidi="en-US"/>
        </w:rPr>
        <w:t>P. patens, PpEPF1</w:t>
      </w:r>
      <w:r w:rsidRPr="003A48AB">
        <w:rPr>
          <w:rFonts w:ascii="Arial" w:eastAsia="Yu Mincho" w:hAnsi="Arial" w:cs="Arial"/>
          <w:lang w:eastAsia="en-US" w:bidi="en-US"/>
        </w:rPr>
        <w:t xml:space="preserve"> does not appear to function in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responsive way like AtEPF2 in Arabidopsis.</w:t>
      </w:r>
    </w:p>
    <w:p w14:paraId="184EFBA0" w14:textId="5CDF167E" w:rsidR="003A48AB" w:rsidRP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t>More generally, RNA-seq experiments exploring changes in</w:t>
      </w:r>
      <w:r w:rsidR="00755614">
        <w:rPr>
          <w:rFonts w:ascii="Arial" w:eastAsia="Yu Mincho" w:hAnsi="Arial" w:cs="Arial"/>
          <w:lang w:eastAsia="en-US" w:bidi="en-US"/>
        </w:rPr>
        <w:t xml:space="preserve"> gene</w:t>
      </w:r>
      <w:r w:rsidRPr="003A48AB">
        <w:rPr>
          <w:rFonts w:ascii="Arial" w:eastAsia="Yu Mincho" w:hAnsi="Arial" w:cs="Arial"/>
          <w:lang w:eastAsia="en-US" w:bidi="en-US"/>
        </w:rPr>
        <w:t xml:space="preserve"> expression between developing sporophytes grown at different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might also be useful for deciphering what occurs at the molecular level during stomatal development at different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concentrations in non-vascular land plant species.</w:t>
      </w:r>
    </w:p>
    <w:p w14:paraId="2917E48B" w14:textId="77777777" w:rsidR="003A48AB" w:rsidRDefault="003A48AB" w:rsidP="003A48AB">
      <w:pPr>
        <w:spacing w:after="160" w:line="360" w:lineRule="auto"/>
        <w:rPr>
          <w:rFonts w:ascii="Arial" w:eastAsia="Yu Mincho" w:hAnsi="Arial" w:cs="Arial"/>
          <w:lang w:eastAsia="en-US" w:bidi="en-US"/>
        </w:rPr>
      </w:pPr>
      <w:r w:rsidRPr="003A48AB">
        <w:rPr>
          <w:rFonts w:ascii="Arial" w:eastAsia="Yu Mincho" w:hAnsi="Arial" w:cs="Arial"/>
          <w:lang w:eastAsia="en-US" w:bidi="en-US"/>
        </w:rPr>
        <w:lastRenderedPageBreak/>
        <w:t>To test whether such responses to S and D occur gradually over generations a multi-generational experiment over many years in controlled CO</w:t>
      </w:r>
      <w:r w:rsidRPr="003A48AB">
        <w:rPr>
          <w:rFonts w:ascii="Arial" w:eastAsia="Yu Mincho" w:hAnsi="Arial" w:cs="Arial"/>
          <w:vertAlign w:val="subscript"/>
          <w:lang w:eastAsia="en-US" w:bidi="en-US"/>
        </w:rPr>
        <w:t>2</w:t>
      </w:r>
      <w:r w:rsidRPr="003A48AB">
        <w:rPr>
          <w:rFonts w:ascii="Arial" w:eastAsia="Yu Mincho" w:hAnsi="Arial" w:cs="Arial"/>
          <w:lang w:eastAsia="en-US" w:bidi="en-US"/>
        </w:rPr>
        <w:t xml:space="preserve"> conditions might also be a useful scientific line of enquiry.</w:t>
      </w:r>
    </w:p>
    <w:p w14:paraId="14A783E9" w14:textId="77777777" w:rsidR="003A48AB" w:rsidRDefault="003A48AB">
      <w:pPr>
        <w:rPr>
          <w:rFonts w:ascii="Arial" w:eastAsia="Yu Mincho" w:hAnsi="Arial" w:cs="Arial"/>
          <w:lang w:eastAsia="en-US" w:bidi="en-US"/>
        </w:rPr>
      </w:pPr>
      <w:r>
        <w:rPr>
          <w:rFonts w:ascii="Arial" w:eastAsia="Yu Mincho" w:hAnsi="Arial" w:cs="Arial"/>
          <w:lang w:eastAsia="en-US" w:bidi="en-US"/>
        </w:rPr>
        <w:br w:type="page"/>
      </w:r>
    </w:p>
    <w:p w14:paraId="797C4C32" w14:textId="77777777" w:rsidR="0091388F" w:rsidRDefault="0091388F" w:rsidP="0091388F">
      <w:pPr>
        <w:rPr>
          <w:sz w:val="56"/>
        </w:rPr>
      </w:pPr>
    </w:p>
    <w:p w14:paraId="3084101A" w14:textId="77777777" w:rsidR="0091388F" w:rsidRDefault="0091388F" w:rsidP="0091388F">
      <w:pPr>
        <w:rPr>
          <w:sz w:val="56"/>
        </w:rPr>
      </w:pPr>
    </w:p>
    <w:p w14:paraId="556A8BB0" w14:textId="77777777" w:rsidR="0091388F" w:rsidRDefault="0091388F" w:rsidP="0091388F">
      <w:pPr>
        <w:rPr>
          <w:sz w:val="56"/>
        </w:rPr>
      </w:pPr>
    </w:p>
    <w:p w14:paraId="737DBB65" w14:textId="77777777" w:rsidR="0091388F" w:rsidRDefault="0091388F" w:rsidP="0091388F">
      <w:pPr>
        <w:rPr>
          <w:rFonts w:ascii="Arial" w:hAnsi="Arial" w:cs="Arial"/>
          <w:sz w:val="56"/>
          <w:u w:val="single"/>
        </w:rPr>
      </w:pPr>
    </w:p>
    <w:p w14:paraId="398B1770" w14:textId="77777777" w:rsidR="0091388F" w:rsidRPr="00486BCB" w:rsidRDefault="0091388F" w:rsidP="0091388F">
      <w:pPr>
        <w:rPr>
          <w:rFonts w:ascii="Arial" w:hAnsi="Arial" w:cs="Arial"/>
          <w:sz w:val="56"/>
          <w:u w:val="single"/>
        </w:rPr>
      </w:pPr>
      <w:r w:rsidRPr="00486BCB">
        <w:rPr>
          <w:rFonts w:ascii="Arial" w:hAnsi="Arial" w:cs="Arial"/>
          <w:sz w:val="56"/>
          <w:u w:val="single"/>
        </w:rPr>
        <w:t>Chapter 6:</w:t>
      </w:r>
    </w:p>
    <w:p w14:paraId="280F065F" w14:textId="77777777" w:rsidR="0091388F" w:rsidRPr="00486BCB" w:rsidRDefault="0091388F" w:rsidP="0091388F">
      <w:pPr>
        <w:rPr>
          <w:rFonts w:ascii="Arial" w:hAnsi="Arial" w:cs="Arial"/>
          <w:sz w:val="56"/>
          <w:u w:val="single"/>
        </w:rPr>
      </w:pPr>
      <w:r w:rsidRPr="00486BCB">
        <w:rPr>
          <w:rFonts w:ascii="Arial" w:hAnsi="Arial" w:cs="Arial"/>
          <w:sz w:val="56"/>
          <w:u w:val="single"/>
        </w:rPr>
        <w:t>Discussion</w:t>
      </w:r>
    </w:p>
    <w:p w14:paraId="63742674" w14:textId="77777777" w:rsidR="0091388F" w:rsidRDefault="0091388F" w:rsidP="0091388F">
      <w:pPr>
        <w:rPr>
          <w:sz w:val="56"/>
          <w:u w:val="single"/>
        </w:rPr>
      </w:pPr>
      <w:r>
        <w:rPr>
          <w:sz w:val="56"/>
          <w:u w:val="single"/>
        </w:rPr>
        <w:br w:type="page"/>
      </w:r>
    </w:p>
    <w:p w14:paraId="23FC49D0" w14:textId="77777777" w:rsidR="006C37DC" w:rsidRPr="006C37DC" w:rsidRDefault="006C37DC" w:rsidP="006C37DC">
      <w:pPr>
        <w:spacing w:line="360" w:lineRule="auto"/>
        <w:rPr>
          <w:rFonts w:ascii="Arial" w:hAnsi="Arial" w:cs="Arial"/>
          <w:b/>
          <w:u w:val="single"/>
        </w:rPr>
      </w:pPr>
      <w:r w:rsidRPr="006C37DC">
        <w:rPr>
          <w:rFonts w:ascii="Arial" w:hAnsi="Arial" w:cs="Arial"/>
          <w:b/>
          <w:u w:val="single"/>
        </w:rPr>
        <w:lastRenderedPageBreak/>
        <w:t>6.1 Introduction</w:t>
      </w:r>
    </w:p>
    <w:p w14:paraId="20A87F2A" w14:textId="044E1967" w:rsidR="006C37DC" w:rsidRPr="00445172" w:rsidRDefault="006C37DC" w:rsidP="006C37DC">
      <w:pPr>
        <w:spacing w:line="360" w:lineRule="auto"/>
        <w:rPr>
          <w:rFonts w:ascii="Arial" w:hAnsi="Arial" w:cs="Arial"/>
        </w:rPr>
      </w:pPr>
      <w:r w:rsidRPr="00F60BEE">
        <w:rPr>
          <w:rFonts w:ascii="Arial" w:hAnsi="Arial" w:cs="Arial"/>
        </w:rPr>
        <w:t xml:space="preserve">The title of this thesis: </w:t>
      </w:r>
      <w:r w:rsidRPr="00F60BEE">
        <w:rPr>
          <w:rFonts w:ascii="Arial" w:hAnsi="Arial" w:cs="Arial"/>
          <w:i/>
        </w:rPr>
        <w:t>Towards the Identification and characterisation of toolkit genes responsible for stomatal development and CO</w:t>
      </w:r>
      <w:r w:rsidRPr="00F60BEE">
        <w:rPr>
          <w:rFonts w:ascii="Arial" w:hAnsi="Arial" w:cs="Arial"/>
          <w:i/>
          <w:vertAlign w:val="subscript"/>
        </w:rPr>
        <w:t>2</w:t>
      </w:r>
      <w:r w:rsidRPr="00F60BEE">
        <w:rPr>
          <w:rFonts w:ascii="Arial" w:hAnsi="Arial" w:cs="Arial"/>
          <w:i/>
        </w:rPr>
        <w:t xml:space="preserve"> response in the non-vascular land plant Physcomitrella patens</w:t>
      </w:r>
      <w:r w:rsidRPr="00F60BEE">
        <w:rPr>
          <w:rFonts w:ascii="Arial" w:hAnsi="Arial" w:cs="Arial"/>
        </w:rPr>
        <w:t xml:space="preserve"> represents</w:t>
      </w:r>
      <w:r>
        <w:rPr>
          <w:rFonts w:ascii="Arial" w:hAnsi="Arial" w:cs="Arial"/>
        </w:rPr>
        <w:t xml:space="preserve"> two broad areas of research with many unknowns. Fortunately, for both stomatal developmental genetics and CO</w:t>
      </w:r>
      <w:r>
        <w:rPr>
          <w:rFonts w:ascii="Arial" w:hAnsi="Arial" w:cs="Arial"/>
          <w:vertAlign w:val="subscript"/>
        </w:rPr>
        <w:t>2</w:t>
      </w:r>
      <w:r>
        <w:rPr>
          <w:rFonts w:ascii="Arial" w:hAnsi="Arial" w:cs="Arial"/>
        </w:rPr>
        <w:t xml:space="preserve"> responses in general, a large body of work exists from which I (and others overseeing my project) have been able to </w:t>
      </w:r>
      <w:r w:rsidR="00755614">
        <w:rPr>
          <w:rFonts w:ascii="Arial" w:hAnsi="Arial" w:cs="Arial"/>
        </w:rPr>
        <w:t xml:space="preserve">use to </w:t>
      </w:r>
      <w:r>
        <w:rPr>
          <w:rFonts w:ascii="Arial" w:hAnsi="Arial" w:cs="Arial"/>
        </w:rPr>
        <w:t xml:space="preserve">conceive ideas and subsequently build and test hypotheses. It has become evident during the course my studies that to attempt to answers such fundamental questions relating to </w:t>
      </w:r>
      <w:r>
        <w:rPr>
          <w:rFonts w:ascii="Arial" w:hAnsi="Arial" w:cs="Arial"/>
          <w:i/>
        </w:rPr>
        <w:t xml:space="preserve">P. patens </w:t>
      </w:r>
      <w:r>
        <w:rPr>
          <w:rFonts w:ascii="Arial" w:hAnsi="Arial" w:cs="Arial"/>
        </w:rPr>
        <w:t xml:space="preserve">biology, an understanding relating to the possible function/s of </w:t>
      </w:r>
      <w:r>
        <w:rPr>
          <w:rFonts w:ascii="Arial" w:hAnsi="Arial" w:cs="Arial"/>
          <w:i/>
        </w:rPr>
        <w:t xml:space="preserve">P. patens </w:t>
      </w:r>
      <w:r>
        <w:rPr>
          <w:rFonts w:ascii="Arial" w:hAnsi="Arial" w:cs="Arial"/>
        </w:rPr>
        <w:t>stomata was and is also fundamental. Accordingly, as well as providing data relating to the topics addressed in the thesis title</w:t>
      </w:r>
      <w:r w:rsidR="00755614">
        <w:rPr>
          <w:rFonts w:ascii="Arial" w:hAnsi="Arial" w:cs="Arial"/>
        </w:rPr>
        <w:t>,</w:t>
      </w:r>
      <w:r>
        <w:rPr>
          <w:rFonts w:ascii="Arial" w:hAnsi="Arial" w:cs="Arial"/>
        </w:rPr>
        <w:t xml:space="preserve"> efforts have also been made to try to understand why stomata function in </w:t>
      </w:r>
      <w:r>
        <w:rPr>
          <w:rFonts w:ascii="Arial" w:hAnsi="Arial" w:cs="Arial"/>
          <w:i/>
        </w:rPr>
        <w:t xml:space="preserve">P. patens </w:t>
      </w:r>
      <w:r>
        <w:rPr>
          <w:rFonts w:ascii="Arial" w:hAnsi="Arial" w:cs="Arial"/>
        </w:rPr>
        <w:t xml:space="preserve">during sporophyte development. The ideas and experimental data discussed below relate primarily to </w:t>
      </w:r>
      <w:r>
        <w:rPr>
          <w:rFonts w:ascii="Arial" w:hAnsi="Arial" w:cs="Arial"/>
          <w:i/>
        </w:rPr>
        <w:t xml:space="preserve">P. patens, </w:t>
      </w:r>
      <w:r w:rsidRPr="00732D04">
        <w:rPr>
          <w:rFonts w:ascii="Arial" w:hAnsi="Arial" w:cs="Arial"/>
        </w:rPr>
        <w:t xml:space="preserve">which </w:t>
      </w:r>
      <w:r>
        <w:rPr>
          <w:rFonts w:ascii="Arial" w:hAnsi="Arial" w:cs="Arial"/>
        </w:rPr>
        <w:t xml:space="preserve">serves as a proxy for stomatal development in ancient land plants. However, whilst such interpretations are useful in visualising how ancient plants would have functioned it must not be forgotten that </w:t>
      </w:r>
      <w:r>
        <w:rPr>
          <w:rFonts w:ascii="Arial" w:hAnsi="Arial" w:cs="Arial"/>
          <w:i/>
        </w:rPr>
        <w:t xml:space="preserve">P. patens </w:t>
      </w:r>
      <w:r>
        <w:rPr>
          <w:rFonts w:ascii="Arial" w:hAnsi="Arial" w:cs="Arial"/>
        </w:rPr>
        <w:t xml:space="preserve">has also had around 450 million years </w:t>
      </w:r>
      <w:r>
        <w:rPr>
          <w:rFonts w:ascii="Arial" w:hAnsi="Arial" w:cs="Arial"/>
        </w:rPr>
        <w:fldChar w:fldCharType="begin"/>
      </w:r>
      <w:r>
        <w:rPr>
          <w:rFonts w:ascii="Arial" w:hAnsi="Arial" w:cs="Arial"/>
        </w:rPr>
        <w:instrText xml:space="preserve"> ADDIN EN.CITE &lt;EndNote&gt;&lt;Cite&gt;&lt;Author&gt;Chater&lt;/Author&gt;&lt;Year&gt;2013&lt;/Year&gt;&lt;IDText&gt;Early evolutionary acquisition of stomatal control and development gene signalling networks&lt;/IDText&gt;&lt;DisplayText&gt;(Chater et al., 2013)&lt;/DisplayText&gt;&lt;record&gt;&lt;dates&gt;&lt;pub-dates&gt;&lt;date&gt;Oct&lt;/date&gt;&lt;/pub-dates&gt;&lt;year&gt;2013&lt;/year&gt;&lt;/dates&gt;&lt;keywords&gt;&lt;keyword&gt;moss physcomitrella-patens&lt;/keyword&gt;&lt;keyword&gt;abscisic-acid&lt;/keyword&gt;&lt;keyword&gt;land plants&lt;/keyword&gt;&lt;keyword&gt;carbon-dioxide&lt;/keyword&gt;&lt;keyword&gt;guard-cells&lt;/keyword&gt;&lt;keyword&gt;mechanisms&lt;/keyword&gt;&lt;keyword&gt;drought&lt;/keyword&gt;&lt;keyword&gt;fern&lt;/keyword&gt;&lt;keyword&gt;co2&lt;/keyword&gt;&lt;keyword&gt;transduction&lt;/keyword&gt;&lt;keyword&gt;Plant Sciences&lt;/keyword&gt;&lt;/keywords&gt;&lt;urls&gt;&lt;related-urls&gt;&lt;url&gt;&amp;lt;Go to ISI&amp;gt;://WOS:000326432800014&lt;/url&gt;&lt;/related-urls&gt;&lt;/urls&gt;&lt;isbn&gt;1369-5266&lt;/isbn&gt;&lt;work-type&gt;Review&lt;/work-type&gt;&lt;titles&gt;&lt;title&gt;Early evolutionary acquisition of stomatal control and development gene signalling networks&lt;/title&gt;&lt;secondary-title&gt;Current Opinion in Plant Biology&lt;/secondary-title&gt;&lt;/titles&gt;&lt;pages&gt;638-646&lt;/pages&gt;&lt;number&gt;5&lt;/number&gt;&lt;contributors&gt;&lt;authors&gt;&lt;author&gt;Chater, C.&lt;/author&gt;&lt;author&gt;Gray, J. E.&lt;/author&gt;&lt;author&gt;Beerling, D. J.&lt;/author&gt;&lt;/authors&gt;&lt;/contributors&gt;&lt;language&gt;English&lt;/language&gt;&lt;added-date format="utc"&gt;1445462732&lt;/added-date&gt;&lt;ref-type name="Journal Article"&gt;17&lt;/ref-type&gt;&lt;auth-address&gt;[Chater, Caspar&amp;#xD;Gray, Julie E.] Univ Sheffield, Dept Mol Biol &amp;amp; Biotechnol, Sheffield S10 2TN, S Yorkshire, England. [Beerling, David J.] Univ Sheffield, Dept Anim &amp;amp; Plant Sci, Sheffield S10 2TN, S Yorkshire, England.&amp;#xD;Beerling, DJ (reprint author), Univ Sheffield, Dept Anim &amp;amp; Plant Sci, Sheffield S10 2TN, S Yorkshire, England.&amp;#xD;d.j.beerling@sheffield.ac.uk&lt;/auth-address&gt;&lt;rec-number&gt;180&lt;/rec-number&gt;&lt;last-updated-date format="utc"&gt;1445462732&lt;/last-updated-date&gt;&lt;accession-num&gt;WOS:000326432800014&lt;/accession-num&gt;&lt;electronic-resource-num&gt;10.1016/j.pbi.2013.06.013&lt;/electronic-resource-num&gt;&lt;volume&gt;16&lt;/volume&gt;&lt;/record&gt;&lt;/Cite&gt;&lt;/EndNote&gt;</w:instrText>
      </w:r>
      <w:r>
        <w:rPr>
          <w:rFonts w:ascii="Arial" w:hAnsi="Arial" w:cs="Arial"/>
        </w:rPr>
        <w:fldChar w:fldCharType="separate"/>
      </w:r>
      <w:r>
        <w:rPr>
          <w:rFonts w:ascii="Arial" w:hAnsi="Arial" w:cs="Arial"/>
          <w:noProof/>
        </w:rPr>
        <w:t>(Chater et al., 2013)</w:t>
      </w:r>
      <w:r>
        <w:rPr>
          <w:rFonts w:ascii="Arial" w:hAnsi="Arial" w:cs="Arial"/>
        </w:rPr>
        <w:fldChar w:fldCharType="end"/>
      </w:r>
      <w:r>
        <w:rPr>
          <w:rFonts w:ascii="Arial" w:hAnsi="Arial" w:cs="Arial"/>
        </w:rPr>
        <w:t xml:space="preserve"> to evolve since it diverged from the ancestral plant lineage and so caution must taken relating to inferences regarding the evolutionary concepts presented in this chapter. </w:t>
      </w:r>
    </w:p>
    <w:p w14:paraId="7B23367C" w14:textId="77777777" w:rsidR="006C37DC" w:rsidRPr="00405CE5" w:rsidRDefault="006C37DC" w:rsidP="006C37DC">
      <w:pPr>
        <w:spacing w:line="360" w:lineRule="auto"/>
        <w:rPr>
          <w:rFonts w:ascii="Arial" w:hAnsi="Arial" w:cs="Arial"/>
          <w:u w:val="single"/>
        </w:rPr>
      </w:pPr>
      <w:r w:rsidRPr="00405CE5">
        <w:rPr>
          <w:rFonts w:ascii="Arial" w:hAnsi="Arial" w:cs="Arial"/>
          <w:u w:val="single"/>
        </w:rPr>
        <w:t>6.2 Chapter 3 summary and further discussion</w:t>
      </w:r>
    </w:p>
    <w:p w14:paraId="10EE3726" w14:textId="42DDC1A7" w:rsidR="006C37DC" w:rsidRDefault="006C37DC" w:rsidP="006C37DC">
      <w:pPr>
        <w:spacing w:line="360" w:lineRule="auto"/>
        <w:rPr>
          <w:rFonts w:ascii="Arial" w:hAnsi="Arial" w:cs="Arial"/>
        </w:rPr>
      </w:pPr>
      <w:r>
        <w:rPr>
          <w:rFonts w:ascii="Arial" w:hAnsi="Arial" w:cs="Arial"/>
        </w:rPr>
        <w:t>To understand the function of toolkit genes underpinning stomatal</w:t>
      </w:r>
      <w:r w:rsidRPr="00F60BEE">
        <w:rPr>
          <w:rFonts w:ascii="Arial" w:hAnsi="Arial" w:cs="Arial"/>
        </w:rPr>
        <w:t xml:space="preserve"> </w:t>
      </w:r>
      <w:r>
        <w:rPr>
          <w:rFonts w:ascii="Arial" w:hAnsi="Arial" w:cs="Arial"/>
        </w:rPr>
        <w:t xml:space="preserve">development in </w:t>
      </w:r>
      <w:r>
        <w:rPr>
          <w:rFonts w:ascii="Arial" w:hAnsi="Arial" w:cs="Arial"/>
          <w:i/>
        </w:rPr>
        <w:t>P. patens</w:t>
      </w:r>
      <w:r>
        <w:rPr>
          <w:rFonts w:ascii="Arial" w:hAnsi="Arial" w:cs="Arial"/>
        </w:rPr>
        <w:t xml:space="preserve"> it was first necessary to outline how stomatal development unfolded in the wild-type. Accordingly, an in-depth study into where and how </w:t>
      </w:r>
      <w:r w:rsidRPr="00F60BEE">
        <w:rPr>
          <w:rFonts w:ascii="Arial" w:hAnsi="Arial" w:cs="Arial"/>
        </w:rPr>
        <w:t xml:space="preserve">stomata develop on the sporophyte </w:t>
      </w:r>
      <w:r>
        <w:rPr>
          <w:rFonts w:ascii="Arial" w:hAnsi="Arial" w:cs="Arial"/>
        </w:rPr>
        <w:t>was conducted</w:t>
      </w:r>
      <w:r w:rsidRPr="00F60BEE">
        <w:rPr>
          <w:rFonts w:ascii="Arial" w:hAnsi="Arial" w:cs="Arial"/>
        </w:rPr>
        <w:t xml:space="preserve">. Such studies highlighted that </w:t>
      </w:r>
      <w:r>
        <w:rPr>
          <w:rFonts w:ascii="Arial" w:hAnsi="Arial" w:cs="Arial"/>
        </w:rPr>
        <w:t>at the level of the sporophyte that stomata developed at the base of the capsule during elongation and prior to and during the outwards expansion of the capsule. Close-up studies suggested that that first definitive stomatal lineage cell were probably guard mother cells (</w:t>
      </w:r>
      <w:r w:rsidRPr="00F60BEE">
        <w:rPr>
          <w:rFonts w:ascii="Arial" w:hAnsi="Arial" w:cs="Arial"/>
        </w:rPr>
        <w:t>GMC</w:t>
      </w:r>
      <w:r>
        <w:rPr>
          <w:rFonts w:ascii="Arial" w:hAnsi="Arial" w:cs="Arial"/>
        </w:rPr>
        <w:t xml:space="preserve">), akin to other moss and hornwort studies </w:t>
      </w:r>
      <w:r>
        <w:rPr>
          <w:rFonts w:ascii="Arial" w:hAnsi="Arial" w:cs="Arial"/>
        </w:rPr>
        <w:fldChar w:fldCharType="begin">
          <w:fldData xml:space="preserve">PEVuZE5vdGU+PENpdGU+PEF1dGhvcj5QcmVzc2VsPC9BdXRob3I+PFllYXI+MjAxNDwvWWVhcj48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=
</w:fldData>
        </w:fldChar>
      </w:r>
      <w:r w:rsidR="001D2DA0">
        <w:rPr>
          <w:rFonts w:ascii="Arial" w:hAnsi="Arial" w:cs="Arial"/>
        </w:rPr>
        <w:instrText xml:space="preserve"> ADDIN EN.CITE </w:instrText>
      </w:r>
      <w:r w:rsidR="001D2DA0">
        <w:rPr>
          <w:rFonts w:ascii="Arial" w:hAnsi="Arial" w:cs="Arial"/>
        </w:rPr>
        <w:fldChar w:fldCharType="begin">
          <w:fldData xml:space="preserve">PEVuZE5vdGU+PENpdGU+PEF1dGhvcj5QcmVzc2VsPC9BdXRob3I+PFllYXI+MjAxNDwvWWVhcj48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=
</w:fldData>
        </w:fldChar>
      </w:r>
      <w:r w:rsidR="001D2DA0">
        <w:rPr>
          <w:rFonts w:ascii="Arial" w:hAnsi="Arial" w:cs="Arial"/>
        </w:rPr>
        <w:instrText xml:space="preserve"> ADDIN EN.CITE.DATA </w:instrText>
      </w:r>
      <w:r w:rsidR="001D2DA0">
        <w:rPr>
          <w:rFonts w:ascii="Arial" w:hAnsi="Arial" w:cs="Arial"/>
        </w:rPr>
      </w:r>
      <w:r w:rsidR="001D2DA0">
        <w:rPr>
          <w:rFonts w:ascii="Arial" w:hAnsi="Arial" w:cs="Arial"/>
        </w:rPr>
        <w:fldChar w:fldCharType="end"/>
      </w:r>
      <w:r>
        <w:rPr>
          <w:rFonts w:ascii="Arial" w:hAnsi="Arial" w:cs="Arial"/>
        </w:rPr>
      </w:r>
      <w:r>
        <w:rPr>
          <w:rFonts w:ascii="Arial" w:hAnsi="Arial" w:cs="Arial"/>
        </w:rPr>
        <w:fldChar w:fldCharType="separate"/>
      </w:r>
      <w:r w:rsidR="001D2DA0">
        <w:rPr>
          <w:rFonts w:ascii="Arial" w:hAnsi="Arial" w:cs="Arial"/>
          <w:noProof/>
        </w:rPr>
        <w:t>(Merced and Renzaglia, 2016; Pressel et al., 2014)</w:t>
      </w:r>
      <w:r>
        <w:rPr>
          <w:rFonts w:ascii="Arial" w:hAnsi="Arial" w:cs="Arial"/>
        </w:rPr>
        <w:fldChar w:fldCharType="end"/>
      </w:r>
      <w:r>
        <w:rPr>
          <w:rFonts w:ascii="Arial" w:hAnsi="Arial" w:cs="Arial"/>
        </w:rPr>
        <w:t>, although it could not be ruled out smaller rounded cells may have also acquired some stomatal lineage identity prior to GMC formation (</w:t>
      </w:r>
      <w:r>
        <w:rPr>
          <w:rFonts w:ascii="Arial" w:hAnsi="Arial" w:cs="Arial"/>
          <w:b/>
        </w:rPr>
        <w:t>Fig. 1a</w:t>
      </w:r>
      <w:r>
        <w:rPr>
          <w:rFonts w:ascii="Arial" w:hAnsi="Arial" w:cs="Arial"/>
        </w:rPr>
        <w:t xml:space="preserve">). As well outlining how GMC cells transitioned and subsequently divided to become a guard cell it was also highlighted that </w:t>
      </w:r>
      <w:r w:rsidRPr="00F60BEE">
        <w:rPr>
          <w:rFonts w:ascii="Arial" w:hAnsi="Arial" w:cs="Arial"/>
          <w:i/>
        </w:rPr>
        <w:t xml:space="preserve">P. patens </w:t>
      </w:r>
      <w:r w:rsidRPr="00F60BEE">
        <w:rPr>
          <w:rFonts w:ascii="Arial" w:hAnsi="Arial" w:cs="Arial"/>
        </w:rPr>
        <w:t>might have the potential to undergo an asymmetric</w:t>
      </w:r>
      <w:r>
        <w:rPr>
          <w:rFonts w:ascii="Arial" w:hAnsi="Arial" w:cs="Arial"/>
        </w:rPr>
        <w:t xml:space="preserve"> GMC spacing </w:t>
      </w:r>
      <w:r w:rsidRPr="00F60BEE">
        <w:rPr>
          <w:rFonts w:ascii="Arial" w:hAnsi="Arial" w:cs="Arial"/>
        </w:rPr>
        <w:t>division</w:t>
      </w:r>
      <w:r>
        <w:rPr>
          <w:rFonts w:ascii="Arial" w:hAnsi="Arial" w:cs="Arial"/>
        </w:rPr>
        <w:t xml:space="preserve"> at the level of the early GMC when clustering of early GMCs occurred (</w:t>
      </w:r>
      <w:r>
        <w:rPr>
          <w:rFonts w:ascii="Arial" w:hAnsi="Arial" w:cs="Arial"/>
          <w:b/>
        </w:rPr>
        <w:t>Fig. 1b</w:t>
      </w:r>
      <w:r>
        <w:rPr>
          <w:rFonts w:ascii="Arial" w:hAnsi="Arial" w:cs="Arial"/>
        </w:rPr>
        <w:t xml:space="preserve">). Such a division by one the early GMCs </w:t>
      </w:r>
      <w:r w:rsidRPr="00F60BEE">
        <w:rPr>
          <w:rFonts w:ascii="Arial" w:hAnsi="Arial" w:cs="Arial"/>
        </w:rPr>
        <w:t>yield</w:t>
      </w:r>
      <w:r>
        <w:rPr>
          <w:rFonts w:ascii="Arial" w:hAnsi="Arial" w:cs="Arial"/>
        </w:rPr>
        <w:t>ed</w:t>
      </w:r>
      <w:r w:rsidRPr="00F60BEE">
        <w:rPr>
          <w:rFonts w:ascii="Arial" w:hAnsi="Arial" w:cs="Arial"/>
        </w:rPr>
        <w:t xml:space="preserve"> two daughter cells </w:t>
      </w:r>
      <w:r>
        <w:rPr>
          <w:rFonts w:ascii="Arial" w:hAnsi="Arial" w:cs="Arial"/>
        </w:rPr>
        <w:t xml:space="preserve">of different identities which resulted in an epidermal pavement cell spacing previously clustering early GMC stomatal lineage cells </w:t>
      </w:r>
      <w:r w:rsidRPr="00F60BEE">
        <w:rPr>
          <w:rFonts w:ascii="Arial" w:hAnsi="Arial" w:cs="Arial"/>
        </w:rPr>
        <w:t xml:space="preserve">thereby illustrating a </w:t>
      </w:r>
      <w:r>
        <w:rPr>
          <w:rFonts w:ascii="Arial" w:hAnsi="Arial" w:cs="Arial"/>
        </w:rPr>
        <w:t>way to pattern stomata that has not previously been illustrated.</w:t>
      </w:r>
      <w:r w:rsidRPr="00F60BEE">
        <w:rPr>
          <w:rFonts w:ascii="Arial" w:hAnsi="Arial" w:cs="Arial"/>
        </w:rPr>
        <w:t xml:space="preserve"> </w:t>
      </w:r>
      <w:r>
        <w:rPr>
          <w:rFonts w:ascii="Arial" w:hAnsi="Arial" w:cs="Arial"/>
        </w:rPr>
        <w:t xml:space="preserve">The final identify of the newly </w:t>
      </w:r>
      <w:r>
        <w:rPr>
          <w:rFonts w:ascii="Arial" w:hAnsi="Arial" w:cs="Arial"/>
        </w:rPr>
        <w:lastRenderedPageBreak/>
        <w:t xml:space="preserve">formed stomatal lineage cell could not be determined but it is proposed that it may have enlarged and divided, then transitioned to a mature stoma. Whether one isolated GMC that develops in isolation can duplicate to produce two GMCs in </w:t>
      </w:r>
      <w:r>
        <w:rPr>
          <w:rFonts w:ascii="Arial" w:hAnsi="Arial" w:cs="Arial"/>
          <w:i/>
        </w:rPr>
        <w:t xml:space="preserve">P. patens </w:t>
      </w:r>
      <w:r>
        <w:rPr>
          <w:rFonts w:ascii="Arial" w:hAnsi="Arial" w:cs="Arial"/>
        </w:rPr>
        <w:t xml:space="preserve">cannot be ruled and requires further study. Upon full </w:t>
      </w:r>
      <w:r w:rsidR="00755614">
        <w:rPr>
          <w:rFonts w:ascii="Arial" w:hAnsi="Arial" w:cs="Arial"/>
        </w:rPr>
        <w:t xml:space="preserve">capsule </w:t>
      </w:r>
      <w:r>
        <w:rPr>
          <w:rFonts w:ascii="Arial" w:hAnsi="Arial" w:cs="Arial"/>
        </w:rPr>
        <w:t>expansion and maturation of sporophyte capsules, mature stomata were also analysed and described.</w:t>
      </w:r>
    </w:p>
    <w:p w14:paraId="1DC66946" w14:textId="77777777" w:rsidR="006C37DC" w:rsidRDefault="006C37DC" w:rsidP="006C37DC">
      <w:pPr>
        <w:spacing w:line="360" w:lineRule="auto"/>
        <w:rPr>
          <w:rFonts w:ascii="Arial" w:hAnsi="Arial" w:cs="Arial"/>
        </w:rPr>
      </w:pPr>
      <w:r>
        <w:rPr>
          <w:rFonts w:ascii="Arial" w:hAnsi="Arial" w:cs="Arial"/>
          <w:noProof/>
          <w:lang w:eastAsia="ja-JP"/>
        </w:rPr>
        <mc:AlternateContent>
          <mc:Choice Requires="wps">
            <w:drawing>
              <wp:anchor distT="0" distB="0" distL="114300" distR="114300" simplePos="0" relativeHeight="251683840" behindDoc="0" locked="0" layoutInCell="1" allowOverlap="1" wp14:anchorId="6B2E1864" wp14:editId="626AA82A">
                <wp:simplePos x="0" y="0"/>
                <wp:positionH relativeFrom="column">
                  <wp:posOffset>3592992</wp:posOffset>
                </wp:positionH>
                <wp:positionV relativeFrom="paragraph">
                  <wp:posOffset>1201420</wp:posOffset>
                </wp:positionV>
                <wp:extent cx="45719" cy="108000"/>
                <wp:effectExtent l="0" t="0" r="12065" b="25400"/>
                <wp:wrapNone/>
                <wp:docPr id="428" name="Oval 428"/>
                <wp:cNvGraphicFramePr/>
                <a:graphic xmlns:a="http://schemas.openxmlformats.org/drawingml/2006/main">
                  <a:graphicData uri="http://schemas.microsoft.com/office/word/2010/wordprocessingShape">
                    <wps:wsp>
                      <wps:cNvSpPr/>
                      <wps:spPr>
                        <a:xfrm>
                          <a:off x="0" y="0"/>
                          <a:ext cx="45719" cy="108000"/>
                        </a:xfrm>
                        <a:prstGeom prst="ellipse">
                          <a:avLst/>
                        </a:prstGeom>
                        <a:solidFill>
                          <a:schemeClr val="accent4">
                            <a:lumMod val="75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32FD8CE" id="Oval 428" o:spid="_x0000_s1026" style="position:absolute;margin-left:282.9pt;margin-top:94.6pt;width:3.6pt;height:8.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" fillcolor="#5f497a [2407]" strokecolor="#3f3151 [1607]" strokeweight="2pt"/>
            </w:pict>
          </mc:Fallback>
        </mc:AlternateContent>
      </w:r>
      <w:r>
        <w:rPr>
          <w:rFonts w:ascii="Arial" w:hAnsi="Arial" w:cs="Arial"/>
          <w:noProof/>
          <w:lang w:eastAsia="ja-JP"/>
        </w:rPr>
        <mc:AlternateContent>
          <mc:Choice Requires="wpg">
            <w:drawing>
              <wp:inline distT="0" distB="0" distL="0" distR="0" wp14:anchorId="30C24C91" wp14:editId="29003370">
                <wp:extent cx="5622423" cy="4738936"/>
                <wp:effectExtent l="0" t="0" r="0" b="0"/>
                <wp:docPr id="429" name="Group 429"/>
                <wp:cNvGraphicFramePr/>
                <a:graphic xmlns:a="http://schemas.openxmlformats.org/drawingml/2006/main">
                  <a:graphicData uri="http://schemas.microsoft.com/office/word/2010/wordprocessingGroup">
                    <wpg:wgp>
                      <wpg:cNvGrpSpPr/>
                      <wpg:grpSpPr>
                        <a:xfrm>
                          <a:off x="0" y="0"/>
                          <a:ext cx="5622423" cy="4738936"/>
                          <a:chOff x="0" y="0"/>
                          <a:chExt cx="5622423" cy="4738936"/>
                        </a:xfrm>
                      </wpg:grpSpPr>
                      <wpg:grpSp>
                        <wpg:cNvPr id="430" name="Group 430"/>
                        <wpg:cNvGrpSpPr/>
                        <wpg:grpSpPr>
                          <a:xfrm>
                            <a:off x="0" y="0"/>
                            <a:ext cx="5588000" cy="2625090"/>
                            <a:chOff x="0" y="0"/>
                            <a:chExt cx="5588000" cy="2625090"/>
                          </a:xfrm>
                        </wpg:grpSpPr>
                        <wpg:grpSp>
                          <wpg:cNvPr id="431" name="Group 431"/>
                          <wpg:cNvGrpSpPr/>
                          <wpg:grpSpPr>
                            <a:xfrm>
                              <a:off x="0" y="0"/>
                              <a:ext cx="5588000" cy="2625090"/>
                              <a:chOff x="0" y="0"/>
                              <a:chExt cx="5588307" cy="2625251"/>
                            </a:xfrm>
                          </wpg:grpSpPr>
                          <wpg:grpSp>
                            <wpg:cNvPr id="432" name="Group 432"/>
                            <wpg:cNvGrpSpPr>
                              <a:grpSpLocks noChangeAspect="1"/>
                            </wpg:cNvGrpSpPr>
                            <wpg:grpSpPr>
                              <a:xfrm>
                                <a:off x="0" y="0"/>
                                <a:ext cx="5588307" cy="2625251"/>
                                <a:chOff x="663190" y="472272"/>
                                <a:chExt cx="5012055" cy="2356017"/>
                              </a:xfrm>
                            </wpg:grpSpPr>
                            <wps:wsp>
                              <wps:cNvPr id="433" name="Rectangle 433"/>
                              <wps:cNvSpPr/>
                              <wps:spPr>
                                <a:xfrm>
                                  <a:off x="673240" y="472273"/>
                                  <a:ext cx="5001895" cy="2350826"/>
                                </a:xfrm>
                                <a:prstGeom prst="rect">
                                  <a:avLst/>
                                </a:prstGeom>
                                <a:solidFill>
                                  <a:schemeClr val="tx1"/>
                                </a:solidFill>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4" name="Picture 434"/>
                                <pic:cNvPicPr>
                                  <a:picLocks noChangeAspect="1"/>
                                </pic:cNvPicPr>
                              </pic:nvPicPr>
                              <pic:blipFill rotWithShape="1">
                                <a:blip r:embed="rId88">
                                  <a:extLst>
                                    <a:ext uri="{28A0092B-C50C-407E-A947-70E740481C1C}">
                                      <a14:useLocalDpi xmlns:a14="http://schemas.microsoft.com/office/drawing/2010/main" val="0"/>
                                    </a:ext>
                                  </a:extLst>
                                </a:blip>
                                <a:srcRect l="11686" t="16698" r="6"/>
                                <a:stretch/>
                              </pic:blipFill>
                              <pic:spPr>
                                <a:xfrm>
                                  <a:off x="663190" y="472272"/>
                                  <a:ext cx="5012055" cy="2356017"/>
                                </a:xfrm>
                                <a:prstGeom prst="rect">
                                  <a:avLst/>
                                </a:prstGeom>
                              </pic:spPr>
                            </pic:pic>
                          </wpg:grpSp>
                          <wps:wsp>
                            <wps:cNvPr id="435" name="Text Box 2"/>
                            <wps:cNvSpPr txBox="1">
                              <a:spLocks noChangeArrowheads="1"/>
                            </wps:cNvSpPr>
                            <wps:spPr bwMode="auto">
                              <a:xfrm>
                                <a:off x="1225803" y="703258"/>
                                <a:ext cx="301641" cy="513110"/>
                              </a:xfrm>
                              <a:prstGeom prst="rect">
                                <a:avLst/>
                              </a:prstGeom>
                              <a:noFill/>
                              <a:ln w="9525">
                                <a:noFill/>
                                <a:miter lim="800000"/>
                                <a:headEnd/>
                                <a:tailEnd/>
                              </a:ln>
                            </wps:spPr>
                            <wps:txbx>
                              <w:txbxContent>
                                <w:p w14:paraId="7A13728A" w14:textId="77777777" w:rsidR="003104C5" w:rsidRPr="00FE4483" w:rsidRDefault="003104C5" w:rsidP="006C37DC">
                                  <w:pPr>
                                    <w:rPr>
                                      <w:color w:val="FFFFFF" w:themeColor="background1"/>
                                      <w:sz w:val="32"/>
                                    </w:rPr>
                                  </w:pPr>
                                  <w:r w:rsidRPr="00FE4483">
                                    <w:rPr>
                                      <w:color w:val="FFFFFF" w:themeColor="background1"/>
                                      <w:sz w:val="32"/>
                                    </w:rPr>
                                    <w:t>?</w:t>
                                  </w:r>
                                </w:p>
                              </w:txbxContent>
                            </wps:txbx>
                            <wps:bodyPr rot="0" vert="horz" wrap="square" lIns="91440" tIns="45720" rIns="91440" bIns="45720" anchor="t" anchorCtr="0">
                              <a:spAutoFit/>
                            </wps:bodyPr>
                          </wps:wsp>
                        </wpg:grpSp>
                        <wps:wsp>
                          <wps:cNvPr id="436" name="Text Box 2"/>
                          <wps:cNvSpPr txBox="1">
                            <a:spLocks noChangeArrowheads="1"/>
                          </wps:cNvSpPr>
                          <wps:spPr bwMode="auto">
                            <a:xfrm>
                              <a:off x="10633" y="10632"/>
                              <a:ext cx="297180" cy="265430"/>
                            </a:xfrm>
                            <a:prstGeom prst="rect">
                              <a:avLst/>
                            </a:prstGeom>
                            <a:noFill/>
                            <a:ln w="9525">
                              <a:noFill/>
                              <a:miter lim="800000"/>
                              <a:headEnd/>
                              <a:tailEnd/>
                            </a:ln>
                          </wps:spPr>
                          <wps:txbx>
                            <w:txbxContent>
                              <w:p w14:paraId="37DAB586" w14:textId="77777777" w:rsidR="003104C5" w:rsidRPr="002A2F85" w:rsidRDefault="003104C5" w:rsidP="006C37DC">
                                <w:pPr>
                                  <w:spacing w:after="0" w:line="204" w:lineRule="auto"/>
                                  <w:jc w:val="center"/>
                                  <w:rPr>
                                    <w:rFonts w:ascii="Arial" w:hAnsi="Arial" w:cs="Arial"/>
                                    <w:b/>
                                    <w:color w:val="FFFFFF" w:themeColor="background1"/>
                                    <w:sz w:val="24"/>
                                    <w:szCs w:val="26"/>
                                  </w:rPr>
                                </w:pPr>
                                <w:r w:rsidRPr="002A2F85">
                                  <w:rPr>
                                    <w:rFonts w:ascii="Arial" w:hAnsi="Arial" w:cs="Arial"/>
                                    <w:b/>
                                    <w:color w:val="FFFFFF" w:themeColor="background1"/>
                                    <w:sz w:val="24"/>
                                    <w:szCs w:val="26"/>
                                  </w:rPr>
                                  <w:t>a)</w:t>
                                </w:r>
                              </w:p>
                            </w:txbxContent>
                          </wps:txbx>
                          <wps:bodyPr rot="0" vert="horz" wrap="square" lIns="36000" tIns="36000" rIns="36000" bIns="36000" anchor="t" anchorCtr="0">
                            <a:noAutofit/>
                          </wps:bodyPr>
                        </wps:wsp>
                      </wpg:grpSp>
                      <wpg:grpSp>
                        <wpg:cNvPr id="437" name="Group 437"/>
                        <wpg:cNvGrpSpPr/>
                        <wpg:grpSpPr>
                          <a:xfrm>
                            <a:off x="0" y="2690037"/>
                            <a:ext cx="5622423" cy="2048899"/>
                            <a:chOff x="0" y="0"/>
                            <a:chExt cx="5622423" cy="2048899"/>
                          </a:xfrm>
                        </wpg:grpSpPr>
                        <wpg:grpSp>
                          <wpg:cNvPr id="438" name="Group 438"/>
                          <wpg:cNvGrpSpPr/>
                          <wpg:grpSpPr>
                            <a:xfrm>
                              <a:off x="74428" y="223284"/>
                              <a:ext cx="5547995" cy="1825615"/>
                              <a:chOff x="0" y="0"/>
                              <a:chExt cx="5547995" cy="1825615"/>
                            </a:xfrm>
                          </wpg:grpSpPr>
                          <pic:pic xmlns:pic="http://schemas.openxmlformats.org/drawingml/2006/picture">
                            <pic:nvPicPr>
                              <pic:cNvPr id="439" name="Picture 439"/>
                              <pic:cNvPicPr>
                                <a:picLocks noChangeAspect="1"/>
                              </pic:cNvPicPr>
                            </pic:nvPicPr>
                            <pic:blipFill rotWithShape="1">
                              <a:blip r:embed="rId89">
                                <a:extLst>
                                  <a:ext uri="{28A0092B-C50C-407E-A947-70E740481C1C}">
                                    <a14:useLocalDpi xmlns:a14="http://schemas.microsoft.com/office/drawing/2010/main" val="0"/>
                                  </a:ext>
                                </a:extLst>
                              </a:blip>
                              <a:srcRect l="8592" t="67303" b="5989"/>
                              <a:stretch/>
                            </pic:blipFill>
                            <pic:spPr bwMode="auto">
                              <a:xfrm>
                                <a:off x="0" y="27295"/>
                                <a:ext cx="5547995" cy="1798320"/>
                              </a:xfrm>
                              <a:prstGeom prst="rect">
                                <a:avLst/>
                              </a:prstGeom>
                              <a:ln>
                                <a:noFill/>
                              </a:ln>
                              <a:extLst>
                                <a:ext uri="{53640926-AAD7-44D8-BBD7-CCE9431645EC}">
                                  <a14:shadowObscured xmlns:a14="http://schemas.microsoft.com/office/drawing/2010/main"/>
                                </a:ext>
                              </a:extLst>
                            </pic:spPr>
                          </pic:pic>
                          <wps:wsp>
                            <wps:cNvPr id="440" name="Text Box 2"/>
                            <wps:cNvSpPr txBox="1">
                              <a:spLocks noChangeArrowheads="1"/>
                            </wps:cNvSpPr>
                            <wps:spPr bwMode="auto">
                              <a:xfrm>
                                <a:off x="54591" y="0"/>
                                <a:ext cx="683260" cy="416560"/>
                              </a:xfrm>
                              <a:prstGeom prst="rect">
                                <a:avLst/>
                              </a:prstGeom>
                              <a:solidFill>
                                <a:schemeClr val="bg1"/>
                              </a:solidFill>
                              <a:ln w="9525">
                                <a:noFill/>
                                <a:miter lim="800000"/>
                                <a:headEnd/>
                                <a:tailEnd/>
                              </a:ln>
                            </wps:spPr>
                            <wps:txbx>
                              <w:txbxContent>
                                <w:p w14:paraId="3842A1CA" w14:textId="77777777" w:rsidR="003104C5" w:rsidRPr="00DE70A9" w:rsidRDefault="003104C5" w:rsidP="006C37DC">
                                  <w:pPr>
                                    <w:spacing w:after="0" w:line="204" w:lineRule="auto"/>
                                    <w:jc w:val="center"/>
                                    <w:rPr>
                                      <w:sz w:val="24"/>
                                      <w:szCs w:val="26"/>
                                    </w:rPr>
                                  </w:pPr>
                                  <w:r w:rsidRPr="00DE70A9">
                                    <w:rPr>
                                      <w:sz w:val="24"/>
                                      <w:szCs w:val="26"/>
                                    </w:rPr>
                                    <w:t>Early</w:t>
                                  </w:r>
                                </w:p>
                                <w:p w14:paraId="6F4590C1" w14:textId="77777777" w:rsidR="003104C5" w:rsidRPr="00DE70A9" w:rsidRDefault="003104C5" w:rsidP="006C37DC">
                                  <w:pPr>
                                    <w:spacing w:after="0" w:line="204" w:lineRule="auto"/>
                                    <w:jc w:val="center"/>
                                    <w:rPr>
                                      <w:sz w:val="24"/>
                                      <w:szCs w:val="26"/>
                                    </w:rPr>
                                  </w:pPr>
                                  <w:r w:rsidRPr="00DE70A9">
                                    <w:rPr>
                                      <w:sz w:val="24"/>
                                      <w:szCs w:val="26"/>
                                    </w:rPr>
                                    <w:t>GMC</w:t>
                                  </w:r>
                                </w:p>
                              </w:txbxContent>
                            </wps:txbx>
                            <wps:bodyPr rot="0" vert="horz" wrap="square" lIns="91440" tIns="45720" rIns="91440" bIns="45720" anchor="t" anchorCtr="0">
                              <a:spAutoFit/>
                            </wps:bodyPr>
                          </wps:wsp>
                          <wps:wsp>
                            <wps:cNvPr id="441" name="Text Box 2"/>
                            <wps:cNvSpPr txBox="1">
                              <a:spLocks noChangeArrowheads="1"/>
                            </wps:cNvSpPr>
                            <wps:spPr bwMode="auto">
                              <a:xfrm>
                                <a:off x="54591" y="1323833"/>
                                <a:ext cx="683260" cy="416560"/>
                              </a:xfrm>
                              <a:prstGeom prst="rect">
                                <a:avLst/>
                              </a:prstGeom>
                              <a:solidFill>
                                <a:schemeClr val="bg1"/>
                              </a:solidFill>
                              <a:ln w="9525">
                                <a:noFill/>
                                <a:miter lim="800000"/>
                                <a:headEnd/>
                                <a:tailEnd/>
                              </a:ln>
                            </wps:spPr>
                            <wps:txbx>
                              <w:txbxContent>
                                <w:p w14:paraId="5B44016E" w14:textId="77777777" w:rsidR="003104C5" w:rsidRPr="00DE70A9" w:rsidRDefault="003104C5" w:rsidP="006C37DC">
                                  <w:pPr>
                                    <w:spacing w:after="0" w:line="204" w:lineRule="auto"/>
                                    <w:jc w:val="center"/>
                                    <w:rPr>
                                      <w:sz w:val="24"/>
                                      <w:szCs w:val="26"/>
                                    </w:rPr>
                                  </w:pPr>
                                  <w:r w:rsidRPr="00DE70A9">
                                    <w:rPr>
                                      <w:sz w:val="24"/>
                                      <w:szCs w:val="26"/>
                                    </w:rPr>
                                    <w:t>Early</w:t>
                                  </w:r>
                                </w:p>
                                <w:p w14:paraId="5AF7C18F" w14:textId="77777777" w:rsidR="003104C5" w:rsidRPr="00DE70A9" w:rsidRDefault="003104C5" w:rsidP="006C37DC">
                                  <w:pPr>
                                    <w:spacing w:after="0" w:line="204" w:lineRule="auto"/>
                                    <w:jc w:val="center"/>
                                    <w:rPr>
                                      <w:sz w:val="24"/>
                                      <w:szCs w:val="26"/>
                                    </w:rPr>
                                  </w:pPr>
                                  <w:r w:rsidRPr="00DE70A9">
                                    <w:rPr>
                                      <w:sz w:val="24"/>
                                      <w:szCs w:val="26"/>
                                    </w:rPr>
                                    <w:t>GMC</w:t>
                                  </w:r>
                                </w:p>
                              </w:txbxContent>
                            </wps:txbx>
                            <wps:bodyPr rot="0" vert="horz" wrap="square" lIns="91440" tIns="45720" rIns="91440" bIns="45720" anchor="t" anchorCtr="0">
                              <a:spAutoFit/>
                            </wps:bodyPr>
                          </wps:wsp>
                          <wps:wsp>
                            <wps:cNvPr id="442" name="Text Box 2"/>
                            <wps:cNvSpPr txBox="1">
                              <a:spLocks noChangeArrowheads="1"/>
                            </wps:cNvSpPr>
                            <wps:spPr bwMode="auto">
                              <a:xfrm>
                                <a:off x="1091820" y="887104"/>
                                <a:ext cx="186690" cy="143510"/>
                              </a:xfrm>
                              <a:prstGeom prst="rect">
                                <a:avLst/>
                              </a:prstGeom>
                              <a:solidFill>
                                <a:schemeClr val="bg1"/>
                              </a:solidFill>
                              <a:ln w="9525">
                                <a:noFill/>
                                <a:miter lim="800000"/>
                                <a:headEnd/>
                                <a:tailEnd/>
                              </a:ln>
                            </wps:spPr>
                            <wps:txbx>
                              <w:txbxContent>
                                <w:p w14:paraId="6573C54A" w14:textId="77777777" w:rsidR="003104C5" w:rsidRPr="00DE70A9" w:rsidRDefault="003104C5" w:rsidP="006C37DC">
                                  <w:pPr>
                                    <w:spacing w:after="0" w:line="204" w:lineRule="auto"/>
                                    <w:jc w:val="center"/>
                                    <w:rPr>
                                      <w:sz w:val="24"/>
                                      <w:szCs w:val="26"/>
                                    </w:rPr>
                                  </w:pPr>
                                  <w:r>
                                    <w:rPr>
                                      <w:sz w:val="24"/>
                                      <w:szCs w:val="26"/>
                                    </w:rPr>
                                    <w:t>PC</w:t>
                                  </w:r>
                                </w:p>
                              </w:txbxContent>
                            </wps:txbx>
                            <wps:bodyPr rot="0" vert="horz" wrap="square" lIns="0" tIns="0" rIns="0" bIns="0" anchor="t" anchorCtr="0">
                              <a:noAutofit/>
                            </wps:bodyPr>
                          </wps:wsp>
                          <wps:wsp>
                            <wps:cNvPr id="443" name="Rectangle 443"/>
                            <wps:cNvSpPr/>
                            <wps:spPr>
                              <a:xfrm>
                                <a:off x="2674961" y="914400"/>
                                <a:ext cx="186690" cy="1005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4" name="Rectangle 444"/>
                            <wps:cNvSpPr/>
                            <wps:spPr>
                              <a:xfrm>
                                <a:off x="3480179" y="900752"/>
                                <a:ext cx="186690" cy="1003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 name="Text Box 2"/>
                            <wps:cNvSpPr txBox="1">
                              <a:spLocks noChangeArrowheads="1"/>
                            </wps:cNvSpPr>
                            <wps:spPr bwMode="auto">
                              <a:xfrm>
                                <a:off x="2671361" y="883505"/>
                                <a:ext cx="186690" cy="143510"/>
                              </a:xfrm>
                              <a:prstGeom prst="rect">
                                <a:avLst/>
                              </a:prstGeom>
                              <a:noFill/>
                              <a:ln w="9525">
                                <a:noFill/>
                                <a:miter lim="800000"/>
                                <a:headEnd/>
                                <a:tailEnd/>
                              </a:ln>
                            </wps:spPr>
                            <wps:txbx>
                              <w:txbxContent>
                                <w:p w14:paraId="1F693E7F" w14:textId="77777777" w:rsidR="003104C5" w:rsidRPr="00DE70A9" w:rsidRDefault="003104C5" w:rsidP="006C37DC">
                                  <w:pPr>
                                    <w:spacing w:after="0" w:line="204" w:lineRule="auto"/>
                                    <w:jc w:val="center"/>
                                    <w:rPr>
                                      <w:sz w:val="24"/>
                                      <w:szCs w:val="26"/>
                                    </w:rPr>
                                  </w:pPr>
                                  <w:r>
                                    <w:rPr>
                                      <w:sz w:val="24"/>
                                      <w:szCs w:val="26"/>
                                    </w:rPr>
                                    <w:t>PC</w:t>
                                  </w:r>
                                </w:p>
                              </w:txbxContent>
                            </wps:txbx>
                            <wps:bodyPr rot="0" vert="horz" wrap="square" lIns="0" tIns="0" rIns="0" bIns="0" anchor="t" anchorCtr="0">
                              <a:noAutofit/>
                            </wps:bodyPr>
                          </wps:wsp>
                          <wps:wsp>
                            <wps:cNvPr id="446" name="Text Box 2"/>
                            <wps:cNvSpPr txBox="1">
                              <a:spLocks noChangeArrowheads="1"/>
                            </wps:cNvSpPr>
                            <wps:spPr bwMode="auto">
                              <a:xfrm>
                                <a:off x="3476575" y="878479"/>
                                <a:ext cx="186690" cy="143510"/>
                              </a:xfrm>
                              <a:prstGeom prst="rect">
                                <a:avLst/>
                              </a:prstGeom>
                              <a:solidFill>
                                <a:schemeClr val="bg1"/>
                              </a:solidFill>
                              <a:ln w="9525">
                                <a:noFill/>
                                <a:miter lim="800000"/>
                                <a:headEnd/>
                                <a:tailEnd/>
                              </a:ln>
                            </wps:spPr>
                            <wps:txbx>
                              <w:txbxContent>
                                <w:p w14:paraId="4D5B8D19" w14:textId="77777777" w:rsidR="003104C5" w:rsidRPr="00DE70A9" w:rsidRDefault="003104C5" w:rsidP="006C37DC">
                                  <w:pPr>
                                    <w:spacing w:after="0" w:line="204" w:lineRule="auto"/>
                                    <w:jc w:val="center"/>
                                    <w:rPr>
                                      <w:sz w:val="24"/>
                                      <w:szCs w:val="26"/>
                                    </w:rPr>
                                  </w:pPr>
                                  <w:r>
                                    <w:rPr>
                                      <w:sz w:val="24"/>
                                      <w:szCs w:val="26"/>
                                    </w:rPr>
                                    <w:t>PC</w:t>
                                  </w:r>
                                </w:p>
                              </w:txbxContent>
                            </wps:txbx>
                            <wps:bodyPr rot="0" vert="horz" wrap="square" lIns="0" tIns="0" rIns="0" bIns="0" anchor="t" anchorCtr="0">
                              <a:noAutofit/>
                            </wps:bodyPr>
                          </wps:wsp>
                          <wps:wsp>
                            <wps:cNvPr id="447" name="Text Box 2"/>
                            <wps:cNvSpPr txBox="1">
                              <a:spLocks noChangeArrowheads="1"/>
                            </wps:cNvSpPr>
                            <wps:spPr bwMode="auto">
                              <a:xfrm>
                                <a:off x="1826656" y="888882"/>
                                <a:ext cx="186690" cy="143510"/>
                              </a:xfrm>
                              <a:prstGeom prst="rect">
                                <a:avLst/>
                              </a:prstGeom>
                              <a:solidFill>
                                <a:schemeClr val="bg1"/>
                              </a:solidFill>
                              <a:ln w="9525">
                                <a:solidFill>
                                  <a:schemeClr val="bg1"/>
                                </a:solidFill>
                                <a:miter lim="800000"/>
                                <a:headEnd/>
                                <a:tailEnd/>
                              </a:ln>
                            </wps:spPr>
                            <wps:txbx>
                              <w:txbxContent>
                                <w:p w14:paraId="6F3D8B55" w14:textId="77777777" w:rsidR="003104C5" w:rsidRPr="00DE70A9" w:rsidRDefault="003104C5" w:rsidP="006C37DC">
                                  <w:pPr>
                                    <w:spacing w:after="0" w:line="204" w:lineRule="auto"/>
                                    <w:jc w:val="center"/>
                                    <w:rPr>
                                      <w:sz w:val="24"/>
                                      <w:szCs w:val="26"/>
                                    </w:rPr>
                                  </w:pPr>
                                  <w:r>
                                    <w:rPr>
                                      <w:sz w:val="24"/>
                                      <w:szCs w:val="26"/>
                                    </w:rPr>
                                    <w:t>PC</w:t>
                                  </w:r>
                                </w:p>
                              </w:txbxContent>
                            </wps:txbx>
                            <wps:bodyPr rot="0" vert="horz" wrap="square" lIns="0" tIns="0" rIns="0" bIns="0" anchor="t" anchorCtr="0">
                              <a:noAutofit/>
                            </wps:bodyPr>
                          </wps:wsp>
                        </wpg:grpSp>
                        <wps:wsp>
                          <wps:cNvPr id="448" name="Rectangle 448"/>
                          <wps:cNvSpPr/>
                          <wps:spPr>
                            <a:xfrm>
                              <a:off x="1913860" y="1127051"/>
                              <a:ext cx="194945" cy="11049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Text Box 2"/>
                          <wps:cNvSpPr txBox="1">
                            <a:spLocks noChangeArrowheads="1"/>
                          </wps:cNvSpPr>
                          <wps:spPr bwMode="auto">
                            <a:xfrm>
                              <a:off x="1924503" y="1116419"/>
                              <a:ext cx="186690" cy="142875"/>
                            </a:xfrm>
                            <a:prstGeom prst="rect">
                              <a:avLst/>
                            </a:prstGeom>
                            <a:noFill/>
                            <a:ln w="9525">
                              <a:noFill/>
                              <a:miter lim="800000"/>
                              <a:headEnd/>
                              <a:tailEnd/>
                            </a:ln>
                          </wps:spPr>
                          <wps:txbx>
                            <w:txbxContent>
                              <w:p w14:paraId="404F100D" w14:textId="77777777" w:rsidR="003104C5" w:rsidRPr="00DE70A9" w:rsidRDefault="003104C5" w:rsidP="006C37DC">
                                <w:pPr>
                                  <w:spacing w:after="0" w:line="204" w:lineRule="auto"/>
                                  <w:jc w:val="center"/>
                                  <w:rPr>
                                    <w:sz w:val="24"/>
                                    <w:szCs w:val="26"/>
                                  </w:rPr>
                                </w:pPr>
                                <w:r>
                                  <w:rPr>
                                    <w:sz w:val="24"/>
                                    <w:szCs w:val="26"/>
                                  </w:rPr>
                                  <w:t>PC</w:t>
                                </w:r>
                              </w:p>
                            </w:txbxContent>
                          </wps:txbx>
                          <wps:bodyPr rot="0" vert="horz" wrap="square" lIns="0" tIns="0" rIns="0" bIns="0" anchor="t" anchorCtr="0">
                            <a:noAutofit/>
                          </wps:bodyPr>
                        </wps:wsp>
                        <wps:wsp>
                          <wps:cNvPr id="450" name="Text Box 2"/>
                          <wps:cNvSpPr txBox="1">
                            <a:spLocks noChangeArrowheads="1"/>
                          </wps:cNvSpPr>
                          <wps:spPr bwMode="auto">
                            <a:xfrm>
                              <a:off x="1467293" y="1616149"/>
                              <a:ext cx="222885" cy="201930"/>
                            </a:xfrm>
                            <a:prstGeom prst="rect">
                              <a:avLst/>
                            </a:prstGeom>
                            <a:noFill/>
                            <a:ln w="9525">
                              <a:noFill/>
                              <a:miter lim="800000"/>
                              <a:headEnd/>
                              <a:tailEnd/>
                            </a:ln>
                          </wps:spPr>
                          <wps:txbx>
                            <w:txbxContent>
                              <w:p w14:paraId="6CF08607" w14:textId="77777777" w:rsidR="003104C5" w:rsidRPr="00772AFF" w:rsidRDefault="003104C5" w:rsidP="006C37DC">
                                <w:pPr>
                                  <w:spacing w:after="0" w:line="204" w:lineRule="auto"/>
                                  <w:jc w:val="center"/>
                                  <w:rPr>
                                    <w:sz w:val="28"/>
                                    <w:szCs w:val="26"/>
                                  </w:rPr>
                                </w:pPr>
                                <w:r w:rsidRPr="00772AFF">
                                  <w:rPr>
                                    <w:sz w:val="28"/>
                                    <w:szCs w:val="26"/>
                                  </w:rPr>
                                  <w:t>?</w:t>
                                </w:r>
                              </w:p>
                            </w:txbxContent>
                          </wps:txbx>
                          <wps:bodyPr rot="0" vert="horz" wrap="square" lIns="0" tIns="0" rIns="0" bIns="0" anchor="t" anchorCtr="0">
                            <a:noAutofit/>
                          </wps:bodyPr>
                        </wps:wsp>
                        <wps:wsp>
                          <wps:cNvPr id="451" name="Text Box 2"/>
                          <wps:cNvSpPr txBox="1">
                            <a:spLocks noChangeArrowheads="1"/>
                          </wps:cNvSpPr>
                          <wps:spPr bwMode="auto">
                            <a:xfrm>
                              <a:off x="2296633" y="1605516"/>
                              <a:ext cx="222885" cy="201930"/>
                            </a:xfrm>
                            <a:prstGeom prst="rect">
                              <a:avLst/>
                            </a:prstGeom>
                            <a:noFill/>
                            <a:ln w="9525">
                              <a:noFill/>
                              <a:miter lim="800000"/>
                              <a:headEnd/>
                              <a:tailEnd/>
                            </a:ln>
                          </wps:spPr>
                          <wps:txbx>
                            <w:txbxContent>
                              <w:p w14:paraId="18BF3B23" w14:textId="77777777" w:rsidR="003104C5" w:rsidRPr="00772AFF" w:rsidRDefault="003104C5" w:rsidP="006C37DC">
                                <w:pPr>
                                  <w:spacing w:after="0" w:line="204" w:lineRule="auto"/>
                                  <w:jc w:val="center"/>
                                  <w:rPr>
                                    <w:sz w:val="28"/>
                                    <w:szCs w:val="26"/>
                                  </w:rPr>
                                </w:pPr>
                                <w:r w:rsidRPr="00772AFF">
                                  <w:rPr>
                                    <w:sz w:val="28"/>
                                    <w:szCs w:val="26"/>
                                  </w:rPr>
                                  <w:t>?</w:t>
                                </w:r>
                              </w:p>
                            </w:txbxContent>
                          </wps:txbx>
                          <wps:bodyPr rot="0" vert="horz" wrap="square" lIns="0" tIns="0" rIns="0" bIns="0" anchor="t" anchorCtr="0">
                            <a:noAutofit/>
                          </wps:bodyPr>
                        </wps:wsp>
                        <wps:wsp>
                          <wps:cNvPr id="452" name="Text Box 2"/>
                          <wps:cNvSpPr txBox="1">
                            <a:spLocks noChangeArrowheads="1"/>
                          </wps:cNvSpPr>
                          <wps:spPr bwMode="auto">
                            <a:xfrm>
                              <a:off x="3094074" y="1626781"/>
                              <a:ext cx="222885" cy="201930"/>
                            </a:xfrm>
                            <a:prstGeom prst="rect">
                              <a:avLst/>
                            </a:prstGeom>
                            <a:noFill/>
                            <a:ln w="9525">
                              <a:noFill/>
                              <a:miter lim="800000"/>
                              <a:headEnd/>
                              <a:tailEnd/>
                            </a:ln>
                          </wps:spPr>
                          <wps:txbx>
                            <w:txbxContent>
                              <w:p w14:paraId="3D83F79A" w14:textId="77777777" w:rsidR="003104C5" w:rsidRPr="00772AFF" w:rsidRDefault="003104C5" w:rsidP="006C37DC">
                                <w:pPr>
                                  <w:spacing w:after="0" w:line="204" w:lineRule="auto"/>
                                  <w:jc w:val="center"/>
                                  <w:rPr>
                                    <w:sz w:val="28"/>
                                    <w:szCs w:val="26"/>
                                  </w:rPr>
                                </w:pPr>
                                <w:r w:rsidRPr="00772AFF">
                                  <w:rPr>
                                    <w:sz w:val="28"/>
                                    <w:szCs w:val="26"/>
                                  </w:rPr>
                                  <w:t>?</w:t>
                                </w:r>
                              </w:p>
                            </w:txbxContent>
                          </wps:txbx>
                          <wps:bodyPr rot="0" vert="horz" wrap="square" lIns="0" tIns="0" rIns="0" bIns="0" anchor="t" anchorCtr="0">
                            <a:noAutofit/>
                          </wps:bodyPr>
                        </wps:wsp>
                        <wps:wsp>
                          <wps:cNvPr id="453" name="Text Box 2"/>
                          <wps:cNvSpPr txBox="1">
                            <a:spLocks noChangeArrowheads="1"/>
                          </wps:cNvSpPr>
                          <wps:spPr bwMode="auto">
                            <a:xfrm>
                              <a:off x="0" y="0"/>
                              <a:ext cx="297180" cy="265430"/>
                            </a:xfrm>
                            <a:prstGeom prst="rect">
                              <a:avLst/>
                            </a:prstGeom>
                            <a:noFill/>
                            <a:ln w="9525">
                              <a:noFill/>
                              <a:miter lim="800000"/>
                              <a:headEnd/>
                              <a:tailEnd/>
                            </a:ln>
                          </wps:spPr>
                          <wps:txbx>
                            <w:txbxContent>
                              <w:p w14:paraId="4D4750BF" w14:textId="77777777" w:rsidR="003104C5" w:rsidRPr="002A2F85" w:rsidRDefault="003104C5" w:rsidP="006C37DC">
                                <w:pPr>
                                  <w:spacing w:after="0" w:line="204" w:lineRule="auto"/>
                                  <w:jc w:val="center"/>
                                  <w:rPr>
                                    <w:rFonts w:ascii="Arial" w:hAnsi="Arial" w:cs="Arial"/>
                                    <w:b/>
                                    <w:color w:val="000000" w:themeColor="text1"/>
                                    <w:sz w:val="24"/>
                                    <w:szCs w:val="26"/>
                                  </w:rPr>
                                </w:pPr>
                                <w:r>
                                  <w:rPr>
                                    <w:rFonts w:ascii="Arial" w:hAnsi="Arial" w:cs="Arial"/>
                                    <w:b/>
                                    <w:color w:val="000000" w:themeColor="text1"/>
                                    <w:sz w:val="24"/>
                                    <w:szCs w:val="26"/>
                                  </w:rPr>
                                  <w:t>b</w:t>
                                </w:r>
                                <w:r w:rsidRPr="002A2F85">
                                  <w:rPr>
                                    <w:rFonts w:ascii="Arial" w:hAnsi="Arial" w:cs="Arial"/>
                                    <w:b/>
                                    <w:color w:val="000000" w:themeColor="text1"/>
                                    <w:sz w:val="24"/>
                                    <w:szCs w:val="26"/>
                                  </w:rPr>
                                  <w:t>)</w:t>
                                </w:r>
                              </w:p>
                            </w:txbxContent>
                          </wps:txbx>
                          <wps:bodyPr rot="0" vert="horz" wrap="square" lIns="36000" tIns="36000" rIns="36000" bIns="36000" anchor="t" anchorCtr="0">
                            <a:noAutofit/>
                          </wps:bodyPr>
                        </wps:wsp>
                      </wpg:grpSp>
                    </wpg:wgp>
                  </a:graphicData>
                </a:graphic>
              </wp:inline>
            </w:drawing>
          </mc:Choice>
          <mc:Fallback>
            <w:pict>
              <v:group w14:anchorId="30C24C91" id="Group 429" o:spid="_x0000_s1127" style="width:442.7pt;height:373.15pt;mso-position-horizontal-relative:char;mso-position-vertical-relative:line" coordsize="56224,47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Hk/9g7&#10;C/Corq0N74RAqf515dIiySQBkhCbeHCnpe7u7i5UcKe0UFrcg2sICe4ucdeZCFB3Pf/69swZTkJo&#10;aS+9pe33Ps96ZjJz/Ow52evba61N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&#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">
                <v:group id="Group 430" o:spid="_x0000_s1128" style="position:absolute;width:55880;height:26250" coordsize="55880,2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group id="Group 431" o:spid="_x0000_s1129" style="position:absolute;width:55880;height:26250" coordsize="55883,26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">
                    <v:group id="Group 432" o:spid="_x0000_s1130" style="position:absolute;width:55883;height:26252" coordorigin="6631,4722" coordsize="50120,2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iJ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TeDvTDgCcv0LAAD//wMAUEsBAi0AFAAGAAgAAAAhANvh9svuAAAAhQEAABMAAAAAAAAA&#10;AAAAAAAAAAAAAFtDb250ZW50X1R5cGVzXS54bWxQSwECLQAUAAYACAAAACEAWvQsW78AAAAVAQAA&#10;CwAAAAAAAAAAAAAAAAAfAQAAX3JlbHMvLnJlbHNQSwECLQAUAAYACAAAACEAd1jIicYAAADcAAAA&#10;DwAAAAAAAAAAAAAAAAAHAgAAZHJzL2Rvd25yZXYueG1sUEsFBgAAAAADAAMAtwAAAPoCAAAAAA==&#10;">
                      <o:lock v:ext="edit" aspectratio="t"/>
                      <v:rect id="Rectangle 433" o:spid="_x0000_s1131" style="position:absolute;left:6732;top:4722;width:50019;height:23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" fillcolor="black [3213]" strokecolor="black [3213]" strokeweight="2pt"/>
                      <v:shape id="Picture 434" o:spid="_x0000_s1132" type="#_x0000_t75" style="position:absolute;left:6631;top:4722;width:50121;height:23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">
                        <v:imagedata r:id="rId90" o:title="" croptop="10943f" cropleft="7659f" cropright="4f"/>
                        <v:path arrowok="t"/>
                      </v:shape>
                    </v:group>
                    <v:shape id="_x0000_s1133" type="#_x0000_t202" style="position:absolute;left:12258;top:7032;width:3016;height:5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" filled="f" stroked="f">
                      <v:textbox style="mso-fit-shape-to-text:t">
                        <w:txbxContent>
                          <w:p w14:paraId="7A13728A" w14:textId="77777777" w:rsidR="003104C5" w:rsidRPr="00FE4483" w:rsidRDefault="003104C5" w:rsidP="006C37DC">
                            <w:pPr>
                              <w:rPr>
                                <w:color w:val="FFFFFF" w:themeColor="background1"/>
                                <w:sz w:val="32"/>
                              </w:rPr>
                            </w:pPr>
                            <w:r w:rsidRPr="00FE4483">
                              <w:rPr>
                                <w:color w:val="FFFFFF" w:themeColor="background1"/>
                                <w:sz w:val="32"/>
                              </w:rPr>
                              <w:t>?</w:t>
                            </w:r>
                          </w:p>
                        </w:txbxContent>
                      </v:textbox>
                    </v:shape>
                  </v:group>
                  <v:shape id="_x0000_s1134" type="#_x0000_t202" style="position:absolute;left:106;top:106;width:2972;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" filled="f" stroked="f">
                    <v:textbox inset="1mm,1mm,1mm,1mm">
                      <w:txbxContent>
                        <w:p w14:paraId="37DAB586" w14:textId="77777777" w:rsidR="003104C5" w:rsidRPr="002A2F85" w:rsidRDefault="003104C5" w:rsidP="006C37DC">
                          <w:pPr>
                            <w:spacing w:after="0" w:line="204" w:lineRule="auto"/>
                            <w:jc w:val="center"/>
                            <w:rPr>
                              <w:rFonts w:ascii="Arial" w:hAnsi="Arial" w:cs="Arial"/>
                              <w:b/>
                              <w:color w:val="FFFFFF" w:themeColor="background1"/>
                              <w:sz w:val="24"/>
                              <w:szCs w:val="26"/>
                            </w:rPr>
                          </w:pPr>
                          <w:r w:rsidRPr="002A2F85">
                            <w:rPr>
                              <w:rFonts w:ascii="Arial" w:hAnsi="Arial" w:cs="Arial"/>
                              <w:b/>
                              <w:color w:val="FFFFFF" w:themeColor="background1"/>
                              <w:sz w:val="24"/>
                              <w:szCs w:val="26"/>
                            </w:rPr>
                            <w:t>a)</w:t>
                          </w:r>
                        </w:p>
                      </w:txbxContent>
                    </v:textbox>
                  </v:shape>
                </v:group>
                <v:group id="Group 437" o:spid="_x0000_s1135" style="position:absolute;top:26900;width:56224;height:20489" coordsize="56224,20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">
                  <v:group id="Group 438" o:spid="_x0000_s1136" style="position:absolute;left:744;top:2232;width:55480;height:18256" coordsize="55479,18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">
                    <v:shape id="Picture 439" o:spid="_x0000_s1137" type="#_x0000_t75" style="position:absolute;top:272;width:55479;height:17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">
                      <v:imagedata r:id="rId91" o:title="" croptop="44108f" cropbottom="3925f" cropleft="5631f"/>
                      <v:path arrowok="t"/>
                    </v:shape>
                    <v:shape id="_x0000_s1138" type="#_x0000_t202" style="position:absolute;left:545;width:6833;height:4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" fillcolor="white [3212]" stroked="f">
                      <v:textbox style="mso-fit-shape-to-text:t">
                        <w:txbxContent>
                          <w:p w14:paraId="3842A1CA" w14:textId="77777777" w:rsidR="003104C5" w:rsidRPr="00DE70A9" w:rsidRDefault="003104C5" w:rsidP="006C37DC">
                            <w:pPr>
                              <w:spacing w:after="0" w:line="204" w:lineRule="auto"/>
                              <w:jc w:val="center"/>
                              <w:rPr>
                                <w:sz w:val="24"/>
                                <w:szCs w:val="26"/>
                              </w:rPr>
                            </w:pPr>
                            <w:r w:rsidRPr="00DE70A9">
                              <w:rPr>
                                <w:sz w:val="24"/>
                                <w:szCs w:val="26"/>
                              </w:rPr>
                              <w:t>Early</w:t>
                            </w:r>
                          </w:p>
                          <w:p w14:paraId="6F4590C1" w14:textId="77777777" w:rsidR="003104C5" w:rsidRPr="00DE70A9" w:rsidRDefault="003104C5" w:rsidP="006C37DC">
                            <w:pPr>
                              <w:spacing w:after="0" w:line="204" w:lineRule="auto"/>
                              <w:jc w:val="center"/>
                              <w:rPr>
                                <w:sz w:val="24"/>
                                <w:szCs w:val="26"/>
                              </w:rPr>
                            </w:pPr>
                            <w:r w:rsidRPr="00DE70A9">
                              <w:rPr>
                                <w:sz w:val="24"/>
                                <w:szCs w:val="26"/>
                              </w:rPr>
                              <w:t>GMC</w:t>
                            </w:r>
                          </w:p>
                        </w:txbxContent>
                      </v:textbox>
                    </v:shape>
                    <v:shape id="_x0000_s1139" type="#_x0000_t202" style="position:absolute;left:545;top:13238;width:6833;height:4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" fillcolor="white [3212]" stroked="f">
                      <v:textbox style="mso-fit-shape-to-text:t">
                        <w:txbxContent>
                          <w:p w14:paraId="5B44016E" w14:textId="77777777" w:rsidR="003104C5" w:rsidRPr="00DE70A9" w:rsidRDefault="003104C5" w:rsidP="006C37DC">
                            <w:pPr>
                              <w:spacing w:after="0" w:line="204" w:lineRule="auto"/>
                              <w:jc w:val="center"/>
                              <w:rPr>
                                <w:sz w:val="24"/>
                                <w:szCs w:val="26"/>
                              </w:rPr>
                            </w:pPr>
                            <w:r w:rsidRPr="00DE70A9">
                              <w:rPr>
                                <w:sz w:val="24"/>
                                <w:szCs w:val="26"/>
                              </w:rPr>
                              <w:t>Early</w:t>
                            </w:r>
                          </w:p>
                          <w:p w14:paraId="5AF7C18F" w14:textId="77777777" w:rsidR="003104C5" w:rsidRPr="00DE70A9" w:rsidRDefault="003104C5" w:rsidP="006C37DC">
                            <w:pPr>
                              <w:spacing w:after="0" w:line="204" w:lineRule="auto"/>
                              <w:jc w:val="center"/>
                              <w:rPr>
                                <w:sz w:val="24"/>
                                <w:szCs w:val="26"/>
                              </w:rPr>
                            </w:pPr>
                            <w:r w:rsidRPr="00DE70A9">
                              <w:rPr>
                                <w:sz w:val="24"/>
                                <w:szCs w:val="26"/>
                              </w:rPr>
                              <w:t>GMC</w:t>
                            </w:r>
                          </w:p>
                        </w:txbxContent>
                      </v:textbox>
                    </v:shape>
                    <v:shape id="_x0000_s1140" type="#_x0000_t202" style="position:absolute;left:10918;top:8871;width:1867;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" fillcolor="white [3212]" stroked="f">
                      <v:textbox inset="0,0,0,0">
                        <w:txbxContent>
                          <w:p w14:paraId="6573C54A" w14:textId="77777777" w:rsidR="003104C5" w:rsidRPr="00DE70A9" w:rsidRDefault="003104C5" w:rsidP="006C37DC">
                            <w:pPr>
                              <w:spacing w:after="0" w:line="204" w:lineRule="auto"/>
                              <w:jc w:val="center"/>
                              <w:rPr>
                                <w:sz w:val="24"/>
                                <w:szCs w:val="26"/>
                              </w:rPr>
                            </w:pPr>
                            <w:r>
                              <w:rPr>
                                <w:sz w:val="24"/>
                                <w:szCs w:val="26"/>
                              </w:rPr>
                              <w:t>PC</w:t>
                            </w:r>
                          </w:p>
                        </w:txbxContent>
                      </v:textbox>
                    </v:shape>
                    <v:rect id="Rectangle 443" o:spid="_x0000_s1141" style="position:absolute;left:26749;top:9144;width:1867;height: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" fillcolor="white [3212]" stroked="f" strokeweight="2pt"/>
                    <v:rect id="Rectangle 444" o:spid="_x0000_s1142" style="position:absolute;left:34801;top:9007;width:1867;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" fillcolor="white [3212]" stroked="f" strokeweight="2pt"/>
                    <v:shape id="_x0000_s1143" type="#_x0000_t202" style="position:absolute;left:26713;top:8835;width:1867;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egzxQAAANwAAAAPAAAAZHJzL2Rvd25yZXYueG1sRI9Ba8JA&#10;FITvhf6H5RW81U2L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CKregzxQAAANwAAAAP&#10;AAAAAAAAAAAAAAAAAAcCAABkcnMvZG93bnJldi54bWxQSwUGAAAAAAMAAwC3AAAA+QIAAAAA&#10;" filled="f" stroked="f">
                      <v:textbox inset="0,0,0,0">
                        <w:txbxContent>
                          <w:p w14:paraId="1F693E7F" w14:textId="77777777" w:rsidR="003104C5" w:rsidRPr="00DE70A9" w:rsidRDefault="003104C5" w:rsidP="006C37DC">
                            <w:pPr>
                              <w:spacing w:after="0" w:line="204" w:lineRule="auto"/>
                              <w:jc w:val="center"/>
                              <w:rPr>
                                <w:sz w:val="24"/>
                                <w:szCs w:val="26"/>
                              </w:rPr>
                            </w:pPr>
                            <w:r>
                              <w:rPr>
                                <w:sz w:val="24"/>
                                <w:szCs w:val="26"/>
                              </w:rPr>
                              <w:t>PC</w:t>
                            </w:r>
                          </w:p>
                        </w:txbxContent>
                      </v:textbox>
                    </v:shape>
                    <v:shape id="_x0000_s1144" type="#_x0000_t202" style="position:absolute;left:34765;top:8784;width:1867;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" fillcolor="white [3212]" stroked="f">
                      <v:textbox inset="0,0,0,0">
                        <w:txbxContent>
                          <w:p w14:paraId="4D5B8D19" w14:textId="77777777" w:rsidR="003104C5" w:rsidRPr="00DE70A9" w:rsidRDefault="003104C5" w:rsidP="006C37DC">
                            <w:pPr>
                              <w:spacing w:after="0" w:line="204" w:lineRule="auto"/>
                              <w:jc w:val="center"/>
                              <w:rPr>
                                <w:sz w:val="24"/>
                                <w:szCs w:val="26"/>
                              </w:rPr>
                            </w:pPr>
                            <w:r>
                              <w:rPr>
                                <w:sz w:val="24"/>
                                <w:szCs w:val="26"/>
                              </w:rPr>
                              <w:t>PC</w:t>
                            </w:r>
                          </w:p>
                        </w:txbxContent>
                      </v:textbox>
                    </v:shape>
                    <v:shape id="_x0000_s1145" type="#_x0000_t202" style="position:absolute;left:18266;top:8888;width:1867;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" fillcolor="white [3212]" strokecolor="white [3212]">
                      <v:textbox inset="0,0,0,0">
                        <w:txbxContent>
                          <w:p w14:paraId="6F3D8B55" w14:textId="77777777" w:rsidR="003104C5" w:rsidRPr="00DE70A9" w:rsidRDefault="003104C5" w:rsidP="006C37DC">
                            <w:pPr>
                              <w:spacing w:after="0" w:line="204" w:lineRule="auto"/>
                              <w:jc w:val="center"/>
                              <w:rPr>
                                <w:sz w:val="24"/>
                                <w:szCs w:val="26"/>
                              </w:rPr>
                            </w:pPr>
                            <w:r>
                              <w:rPr>
                                <w:sz w:val="24"/>
                                <w:szCs w:val="26"/>
                              </w:rPr>
                              <w:t>PC</w:t>
                            </w:r>
                          </w:p>
                        </w:txbxContent>
                      </v:textbox>
                    </v:shape>
                  </v:group>
                  <v:rect id="Rectangle 448" o:spid="_x0000_s1146" style="position:absolute;left:19138;top:11270;width:1950;height:1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" fillcolor="white [3212]" strokecolor="white [3212]" strokeweight="2pt"/>
                  <v:shape id="_x0000_s1147" type="#_x0000_t202" style="position:absolute;left:19245;top:11164;width:1866;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OI2xAAAANwAAAAPAAAAZHJzL2Rvd25yZXYueG1sRI9Ba8JA&#10;FITvgv9heUJvulFE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Avg4jbEAAAA3AAAAA8A&#10;AAAAAAAAAAAAAAAABwIAAGRycy9kb3ducmV2LnhtbFBLBQYAAAAAAwADALcAAAD4AgAAAAA=&#10;" filled="f" stroked="f">
                    <v:textbox inset="0,0,0,0">
                      <w:txbxContent>
                        <w:p w14:paraId="404F100D" w14:textId="77777777" w:rsidR="003104C5" w:rsidRPr="00DE70A9" w:rsidRDefault="003104C5" w:rsidP="006C37DC">
                          <w:pPr>
                            <w:spacing w:after="0" w:line="204" w:lineRule="auto"/>
                            <w:jc w:val="center"/>
                            <w:rPr>
                              <w:sz w:val="24"/>
                              <w:szCs w:val="26"/>
                            </w:rPr>
                          </w:pPr>
                          <w:r>
                            <w:rPr>
                              <w:sz w:val="24"/>
                              <w:szCs w:val="26"/>
                            </w:rPr>
                            <w:t>PC</w:t>
                          </w:r>
                        </w:p>
                      </w:txbxContent>
                    </v:textbox>
                  </v:shape>
                  <v:shape id="_x0000_s1148" type="#_x0000_t202" style="position:absolute;left:14672;top:16161;width:2229;height:2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12wgAAANwAAAAPAAAAZHJzL2Rvd25yZXYueG1sRE/Pa8Iw&#10;FL4P9j+EN/A2U8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AfA912wgAAANwAAAAPAAAA&#10;AAAAAAAAAAAAAAcCAABkcnMvZG93bnJldi54bWxQSwUGAAAAAAMAAwC3AAAA9gIAAAAA&#10;" filled="f" stroked="f">
                    <v:textbox inset="0,0,0,0">
                      <w:txbxContent>
                        <w:p w14:paraId="6CF08607" w14:textId="77777777" w:rsidR="003104C5" w:rsidRPr="00772AFF" w:rsidRDefault="003104C5" w:rsidP="006C37DC">
                          <w:pPr>
                            <w:spacing w:after="0" w:line="204" w:lineRule="auto"/>
                            <w:jc w:val="center"/>
                            <w:rPr>
                              <w:sz w:val="28"/>
                              <w:szCs w:val="26"/>
                            </w:rPr>
                          </w:pPr>
                          <w:r w:rsidRPr="00772AFF">
                            <w:rPr>
                              <w:sz w:val="28"/>
                              <w:szCs w:val="26"/>
                            </w:rPr>
                            <w:t>?</w:t>
                          </w:r>
                        </w:p>
                      </w:txbxContent>
                    </v:textbox>
                  </v:shape>
                  <v:shape id="_x0000_s1149" type="#_x0000_t202" style="position:absolute;left:22966;top:16055;width:2229;height:2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3jtxgAAANwAAAAPAAAAZHJzL2Rvd25yZXYueG1sRI9Ba8JA&#10;FITvBf/D8oTe6sbS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cE947cYAAADcAAAA&#10;DwAAAAAAAAAAAAAAAAAHAgAAZHJzL2Rvd25yZXYueG1sUEsFBgAAAAADAAMAtwAAAPoCAAAAAA==&#10;" filled="f" stroked="f">
                    <v:textbox inset="0,0,0,0">
                      <w:txbxContent>
                        <w:p w14:paraId="18BF3B23" w14:textId="77777777" w:rsidR="003104C5" w:rsidRPr="00772AFF" w:rsidRDefault="003104C5" w:rsidP="006C37DC">
                          <w:pPr>
                            <w:spacing w:after="0" w:line="204" w:lineRule="auto"/>
                            <w:jc w:val="center"/>
                            <w:rPr>
                              <w:sz w:val="28"/>
                              <w:szCs w:val="26"/>
                            </w:rPr>
                          </w:pPr>
                          <w:r w:rsidRPr="00772AFF">
                            <w:rPr>
                              <w:sz w:val="28"/>
                              <w:szCs w:val="26"/>
                            </w:rPr>
                            <w:t>?</w:t>
                          </w:r>
                        </w:p>
                      </w:txbxContent>
                    </v:textbox>
                  </v:shape>
                  <v:shape id="_x0000_s1150" type="#_x0000_t202" style="position:absolute;left:30940;top:16267;width:2229;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ea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gJ3mmsYAAADcAAAA&#10;DwAAAAAAAAAAAAAAAAAHAgAAZHJzL2Rvd25yZXYueG1sUEsFBgAAAAADAAMAtwAAAPoCAAAAAA==&#10;" filled="f" stroked="f">
                    <v:textbox inset="0,0,0,0">
                      <w:txbxContent>
                        <w:p w14:paraId="3D83F79A" w14:textId="77777777" w:rsidR="003104C5" w:rsidRPr="00772AFF" w:rsidRDefault="003104C5" w:rsidP="006C37DC">
                          <w:pPr>
                            <w:spacing w:after="0" w:line="204" w:lineRule="auto"/>
                            <w:jc w:val="center"/>
                            <w:rPr>
                              <w:sz w:val="28"/>
                              <w:szCs w:val="26"/>
                            </w:rPr>
                          </w:pPr>
                          <w:r w:rsidRPr="00772AFF">
                            <w:rPr>
                              <w:sz w:val="28"/>
                              <w:szCs w:val="26"/>
                            </w:rPr>
                            <w:t>?</w:t>
                          </w:r>
                        </w:p>
                      </w:txbxContent>
                    </v:textbox>
                  </v:shape>
                  <v:shape id="_x0000_s1151" type="#_x0000_t202" style="position:absolute;width:2971;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" filled="f" stroked="f">
                    <v:textbox inset="1mm,1mm,1mm,1mm">
                      <w:txbxContent>
                        <w:p w14:paraId="4D4750BF" w14:textId="77777777" w:rsidR="003104C5" w:rsidRPr="002A2F85" w:rsidRDefault="003104C5" w:rsidP="006C37DC">
                          <w:pPr>
                            <w:spacing w:after="0" w:line="204" w:lineRule="auto"/>
                            <w:jc w:val="center"/>
                            <w:rPr>
                              <w:rFonts w:ascii="Arial" w:hAnsi="Arial" w:cs="Arial"/>
                              <w:b/>
                              <w:color w:val="000000" w:themeColor="text1"/>
                              <w:sz w:val="24"/>
                              <w:szCs w:val="26"/>
                            </w:rPr>
                          </w:pPr>
                          <w:r>
                            <w:rPr>
                              <w:rFonts w:ascii="Arial" w:hAnsi="Arial" w:cs="Arial"/>
                              <w:b/>
                              <w:color w:val="000000" w:themeColor="text1"/>
                              <w:sz w:val="24"/>
                              <w:szCs w:val="26"/>
                            </w:rPr>
                            <w:t>b</w:t>
                          </w:r>
                          <w:r w:rsidRPr="002A2F85">
                            <w:rPr>
                              <w:rFonts w:ascii="Arial" w:hAnsi="Arial" w:cs="Arial"/>
                              <w:b/>
                              <w:color w:val="000000" w:themeColor="text1"/>
                              <w:sz w:val="24"/>
                              <w:szCs w:val="26"/>
                            </w:rPr>
                            <w:t>)</w:t>
                          </w:r>
                        </w:p>
                      </w:txbxContent>
                    </v:textbox>
                  </v:shape>
                </v:group>
                <w10:anchorlock/>
              </v:group>
            </w:pict>
          </mc:Fallback>
        </mc:AlternateContent>
      </w:r>
    </w:p>
    <w:p w14:paraId="419B8DE3" w14:textId="77777777" w:rsidR="0070574B" w:rsidRDefault="006C37DC" w:rsidP="006C37DC">
      <w:pPr>
        <w:spacing w:line="360" w:lineRule="auto"/>
        <w:rPr>
          <w:rFonts w:ascii="Arial" w:hAnsi="Arial" w:cs="Arial"/>
        </w:rPr>
      </w:pPr>
      <w:r>
        <w:rPr>
          <w:rFonts w:ascii="Arial" w:hAnsi="Arial" w:cs="Arial"/>
          <w:b/>
        </w:rPr>
        <w:t xml:space="preserve">Figure 1. </w:t>
      </w:r>
      <w:r w:rsidR="00BD0A55">
        <w:rPr>
          <w:rFonts w:ascii="Arial" w:hAnsi="Arial" w:cs="Arial"/>
          <w:b/>
        </w:rPr>
        <w:t>W</w:t>
      </w:r>
      <w:r>
        <w:rPr>
          <w:rFonts w:ascii="Arial" w:hAnsi="Arial" w:cs="Arial"/>
          <w:b/>
        </w:rPr>
        <w:t xml:space="preserve">ild-type </w:t>
      </w:r>
      <w:r>
        <w:rPr>
          <w:rFonts w:ascii="Arial" w:hAnsi="Arial" w:cs="Arial"/>
          <w:b/>
          <w:i/>
        </w:rPr>
        <w:t>P. patens</w:t>
      </w:r>
      <w:r w:rsidR="00BD0A55">
        <w:rPr>
          <w:rFonts w:ascii="Arial" w:hAnsi="Arial" w:cs="Arial"/>
          <w:b/>
          <w:i/>
        </w:rPr>
        <w:t xml:space="preserve"> </w:t>
      </w:r>
      <w:r w:rsidR="00BD0A55">
        <w:rPr>
          <w:rFonts w:ascii="Arial" w:hAnsi="Arial" w:cs="Arial"/>
          <w:b/>
        </w:rPr>
        <w:t>stomatal development</w:t>
      </w:r>
      <w:r>
        <w:rPr>
          <w:rFonts w:ascii="Arial" w:hAnsi="Arial" w:cs="Arial"/>
          <w:b/>
        </w:rPr>
        <w:t xml:space="preserve">. </w:t>
      </w:r>
      <w:r>
        <w:rPr>
          <w:rFonts w:ascii="Arial" w:hAnsi="Arial" w:cs="Arial"/>
        </w:rPr>
        <w:t>(</w:t>
      </w:r>
      <w:r>
        <w:rPr>
          <w:rFonts w:ascii="Arial" w:hAnsi="Arial" w:cs="Arial"/>
          <w:b/>
        </w:rPr>
        <w:t>a</w:t>
      </w:r>
      <w:r>
        <w:rPr>
          <w:rFonts w:ascii="Arial" w:hAnsi="Arial" w:cs="Arial"/>
        </w:rPr>
        <w:t xml:space="preserve">) The transition from a protodermal cell to a mature guard cell in </w:t>
      </w:r>
      <w:r>
        <w:rPr>
          <w:rFonts w:ascii="Arial" w:hAnsi="Arial" w:cs="Arial"/>
          <w:i/>
        </w:rPr>
        <w:t>P. patens</w:t>
      </w:r>
      <w:r>
        <w:rPr>
          <w:rFonts w:ascii="Arial" w:hAnsi="Arial" w:cs="Arial"/>
        </w:rPr>
        <w:t xml:space="preserve">. </w:t>
      </w:r>
      <w:r>
        <w:rPr>
          <w:rFonts w:ascii="Arial" w:hAnsi="Arial" w:cs="Arial"/>
        </w:rPr>
        <w:br/>
      </w:r>
    </w:p>
    <w:p w14:paraId="5FC16C4F" w14:textId="1351BBBA" w:rsidR="006C37DC" w:rsidRPr="00053C0D" w:rsidRDefault="006C37DC" w:rsidP="006C37DC">
      <w:pPr>
        <w:spacing w:line="360" w:lineRule="auto"/>
        <w:rPr>
          <w:rFonts w:ascii="Arial" w:hAnsi="Arial" w:cs="Arial"/>
        </w:rPr>
      </w:pPr>
      <w:r>
        <w:rPr>
          <w:rFonts w:ascii="Arial" w:hAnsi="Arial" w:cs="Arial"/>
        </w:rPr>
        <w:t xml:space="preserve">During early stomatal development protodermal cells on the distal portion of the sporophyte are specified which expand leading to the aggregation of internal organelles. In early GMCs that have expanded the aggregated organelles are typically positioned radially close to the perimeter with additional organelles also sometimes present more centrally. At this stage a septum can be seen which is centrally located. As the GMC continues to develop it seems that previous cellular aggregations dissipate, which by the late GMC stage appear to have fragmented, suggestive of the late GMC undergoing a symmetric division. At this stage a </w:t>
      </w:r>
      <w:r>
        <w:rPr>
          <w:rFonts w:ascii="Arial" w:hAnsi="Arial" w:cs="Arial"/>
        </w:rPr>
        <w:lastRenderedPageBreak/>
        <w:t xml:space="preserve">nascent pore is evident which when visualized under UV emits a white fluorescence. Once the division process has been completed it seems that like with </w:t>
      </w:r>
      <w:r w:rsidRPr="00143108">
        <w:rPr>
          <w:rFonts w:ascii="Arial" w:hAnsi="Arial" w:cs="Arial"/>
          <w:i/>
        </w:rPr>
        <w:t>Funaria</w:t>
      </w:r>
      <w:r>
        <w:rPr>
          <w:rFonts w:ascii="Arial" w:hAnsi="Arial" w:cs="Arial"/>
        </w:rPr>
        <w:t xml:space="preserve"> </w:t>
      </w:r>
      <w:r>
        <w:rPr>
          <w:rFonts w:ascii="Arial" w:hAnsi="Arial" w:cs="Arial"/>
          <w:i/>
        </w:rPr>
        <w:t>hygrometrica</w:t>
      </w:r>
      <w:r>
        <w:rPr>
          <w:rFonts w:ascii="Arial" w:hAnsi="Arial" w:cs="Arial"/>
        </w:rPr>
        <w:t xml:space="preserve"> that a single incompletely divided Guard cell is formed with organelles that have re-aggregated. At this stage a yellow to orange hue is present which as the stomata matures becomes more orange. During the stomatal lineage cells can abort leading to the formation of pavement cells (PC) and aborted stomata (AS). (</w:t>
      </w:r>
      <w:r>
        <w:rPr>
          <w:rFonts w:ascii="Arial" w:hAnsi="Arial" w:cs="Arial"/>
          <w:b/>
        </w:rPr>
        <w:t>b</w:t>
      </w:r>
      <w:r>
        <w:rPr>
          <w:rFonts w:ascii="Arial" w:hAnsi="Arial" w:cs="Arial"/>
        </w:rPr>
        <w:t xml:space="preserve">). A mechanism to space stomata in </w:t>
      </w:r>
      <w:r>
        <w:rPr>
          <w:rFonts w:ascii="Arial" w:hAnsi="Arial" w:cs="Arial"/>
          <w:i/>
        </w:rPr>
        <w:t>P. patens</w:t>
      </w:r>
      <w:r>
        <w:rPr>
          <w:rFonts w:ascii="Arial" w:hAnsi="Arial" w:cs="Arial"/>
        </w:rPr>
        <w:t>. When two early GMCs form immediately adjacently to one another a spacing mechanism can occur to separate stomatal lineage cells. In such instances, one of the clustering early GMC cells begins to bud, which results in an asymmetric spacing division of the GMCs which produces an PC and a smaller stomatal lineage cell. It is proposed that both GMCs then undergo similar mechanisms to those described in (</w:t>
      </w:r>
      <w:r>
        <w:rPr>
          <w:rFonts w:ascii="Arial" w:hAnsi="Arial" w:cs="Arial"/>
          <w:b/>
        </w:rPr>
        <w:t>a</w:t>
      </w:r>
      <w:r>
        <w:rPr>
          <w:rFonts w:ascii="Arial" w:hAnsi="Arial" w:cs="Arial"/>
        </w:rPr>
        <w:t>) to form two separate individual guard cells spaced by a central PC although these transitions have not been visualised after such a division. It is unknown as to whether the early GMC cells in (</w:t>
      </w:r>
      <w:r>
        <w:rPr>
          <w:rFonts w:ascii="Arial" w:hAnsi="Arial" w:cs="Arial"/>
          <w:b/>
        </w:rPr>
        <w:t>b</w:t>
      </w:r>
      <w:r>
        <w:rPr>
          <w:rFonts w:ascii="Arial" w:hAnsi="Arial" w:cs="Arial"/>
        </w:rPr>
        <w:t xml:space="preserve">) are derived from the same parent cell early GMC cells or whether they arose from individual epidermal cells. </w:t>
      </w:r>
    </w:p>
    <w:p w14:paraId="1A64F04A" w14:textId="23CBD253" w:rsidR="006C37DC" w:rsidRDefault="006C37DC" w:rsidP="006C37DC">
      <w:pPr>
        <w:spacing w:line="360" w:lineRule="auto"/>
        <w:rPr>
          <w:rFonts w:ascii="Arial" w:hAnsi="Arial" w:cs="Arial"/>
        </w:rPr>
      </w:pPr>
      <w:r w:rsidRPr="00F60BEE">
        <w:rPr>
          <w:rFonts w:ascii="Arial" w:hAnsi="Arial" w:cs="Arial"/>
        </w:rPr>
        <w:t xml:space="preserve">Identifying stomatal toolkit genes and how they function was a core part of the studies undertaken during research conducted </w:t>
      </w:r>
      <w:r>
        <w:rPr>
          <w:rFonts w:ascii="Arial" w:hAnsi="Arial" w:cs="Arial"/>
        </w:rPr>
        <w:t xml:space="preserve">to produce this </w:t>
      </w:r>
      <w:r w:rsidRPr="00F60BEE">
        <w:rPr>
          <w:rFonts w:ascii="Arial" w:hAnsi="Arial" w:cs="Arial"/>
        </w:rPr>
        <w:t>thesis</w:t>
      </w:r>
      <w:r>
        <w:rPr>
          <w:rFonts w:ascii="Arial" w:hAnsi="Arial" w:cs="Arial"/>
        </w:rPr>
        <w:t>. The work presented in c</w:t>
      </w:r>
      <w:r w:rsidRPr="00F60BEE">
        <w:rPr>
          <w:rFonts w:ascii="Arial" w:hAnsi="Arial" w:cs="Arial"/>
        </w:rPr>
        <w:t xml:space="preserve">hapter 3 </w:t>
      </w:r>
      <w:r w:rsidR="00755614">
        <w:rPr>
          <w:rFonts w:ascii="Arial" w:hAnsi="Arial" w:cs="Arial"/>
        </w:rPr>
        <w:t xml:space="preserve">also </w:t>
      </w:r>
      <w:r w:rsidRPr="00F60BEE">
        <w:rPr>
          <w:rFonts w:ascii="Arial" w:hAnsi="Arial" w:cs="Arial"/>
        </w:rPr>
        <w:t xml:space="preserve">confirmed that bHLH genes governing stomatal development </w:t>
      </w:r>
      <w:r>
        <w:rPr>
          <w:rFonts w:ascii="Arial" w:hAnsi="Arial" w:cs="Arial"/>
        </w:rPr>
        <w:t xml:space="preserve">appear to </w:t>
      </w:r>
      <w:r w:rsidRPr="00F60BEE">
        <w:rPr>
          <w:rFonts w:ascii="Arial" w:hAnsi="Arial" w:cs="Arial"/>
        </w:rPr>
        <w:t>have been conserved within land plants since at least the last common ancestor of mosses and vascular land plants perhaps over 450 million years ago</w:t>
      </w:r>
      <w:r>
        <w:rPr>
          <w:rFonts w:ascii="Arial" w:hAnsi="Arial" w:cs="Arial"/>
        </w:rPr>
        <w:t xml:space="preserve"> </w:t>
      </w:r>
      <w:r>
        <w:rPr>
          <w:rFonts w:ascii="Arial" w:hAnsi="Arial" w:cs="Arial"/>
        </w:rPr>
        <w:fldChar w:fldCharType="begin">
          <w:fldData xml:space="preserve">PEVuZE5vdGU+PENpdGU+PEF1dGhvcj5DaGF0ZXI8L0F1dGhvcj48WWVhcj4yMDEzPC9ZZWFyPjxJ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</w:fldData>
        </w:fldChar>
      </w:r>
      <w:r>
        <w:rPr>
          <w:rFonts w:ascii="Arial" w:hAnsi="Arial" w:cs="Arial"/>
        </w:rPr>
        <w:instrText xml:space="preserve"> ADDIN EN.CITE </w:instrText>
      </w:r>
      <w:r>
        <w:rPr>
          <w:rFonts w:ascii="Arial" w:hAnsi="Arial" w:cs="Arial"/>
        </w:rPr>
        <w:fldChar w:fldCharType="begin">
          <w:fldData xml:space="preserve">PEVuZE5vdGU+PENpdGU+PEF1dGhvcj5DaGF0ZXI8L0F1dGhvcj48WWVhcj4yMDEzPC9ZZWFyPjxJ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(Chater et al., 2013; MacAlister and Bergmann, 2011)</w:t>
      </w:r>
      <w:r>
        <w:rPr>
          <w:rFonts w:ascii="Arial" w:hAnsi="Arial" w:cs="Arial"/>
        </w:rPr>
        <w:fldChar w:fldCharType="end"/>
      </w:r>
      <w:r w:rsidRPr="00F60BEE">
        <w:rPr>
          <w:rFonts w:ascii="Arial" w:hAnsi="Arial" w:cs="Arial"/>
        </w:rPr>
        <w:t xml:space="preserve">. These studies highlighted at the molecular level how toolkit genes </w:t>
      </w:r>
      <w:r>
        <w:rPr>
          <w:rFonts w:ascii="Arial" w:hAnsi="Arial" w:cs="Arial"/>
        </w:rPr>
        <w:t>Pp</w:t>
      </w:r>
      <w:r w:rsidRPr="00F60BEE">
        <w:rPr>
          <w:rFonts w:ascii="Arial" w:hAnsi="Arial" w:cs="Arial"/>
        </w:rPr>
        <w:t xml:space="preserve">SMF1 and </w:t>
      </w:r>
      <w:r>
        <w:rPr>
          <w:rFonts w:ascii="Arial" w:hAnsi="Arial" w:cs="Arial"/>
        </w:rPr>
        <w:t>Pp</w:t>
      </w:r>
      <w:r w:rsidRPr="00F60BEE">
        <w:rPr>
          <w:rFonts w:ascii="Arial" w:hAnsi="Arial" w:cs="Arial"/>
        </w:rPr>
        <w:t xml:space="preserve">SCRM1 regulate stomatal formation by ordinarily promoting </w:t>
      </w:r>
      <w:r>
        <w:rPr>
          <w:rFonts w:ascii="Arial" w:hAnsi="Arial" w:cs="Arial"/>
        </w:rPr>
        <w:t xml:space="preserve">early </w:t>
      </w:r>
      <w:r w:rsidRPr="00F60BEE">
        <w:rPr>
          <w:rFonts w:ascii="Arial" w:hAnsi="Arial" w:cs="Arial"/>
        </w:rPr>
        <w:t>GMC formation during early sporophyte development</w:t>
      </w:r>
      <w:r>
        <w:rPr>
          <w:rFonts w:ascii="Arial" w:hAnsi="Arial" w:cs="Arial"/>
        </w:rPr>
        <w:t xml:space="preserve"> by forming a heterodimer (Fig. 15, chapter 3, </w:t>
      </w:r>
      <w:r>
        <w:rPr>
          <w:rFonts w:ascii="Arial" w:hAnsi="Arial" w:cs="Arial"/>
        </w:rPr>
        <w:fldChar w:fldCharType="begin"/>
      </w:r>
      <w:r>
        <w:rPr>
          <w:rFonts w:ascii="Arial" w:hAnsi="Arial" w:cs="Arial"/>
        </w:rPr>
        <w:instrText xml:space="preserve"> ADDIN EN.CITE &lt;EndNote&gt;&lt;Cite&gt;&lt;Author&gt;Chater&lt;/Author&gt;&lt;Year&gt;2016&lt;/Year&gt;&lt;IDText&gt;Origin and function of stomata in the moss Physcomitrella patens&lt;/IDText&gt;&lt;DisplayText&gt;(Chater et al., 2016)&lt;/DisplayText&gt;&lt;record&gt;&lt;dates&gt;&lt;pub-dates&gt;&lt;date&gt;2016 Nov&lt;/date&gt;&lt;/pub-dates&gt;&lt;year&gt;2016&lt;/year&gt;&lt;/dates&gt;&lt;urls&gt;&lt;related-urls&gt;&lt;url&gt;&amp;lt;Go to ISI&amp;gt;://MEDLINE:27892923&lt;/url&gt;&lt;/related-urls&gt;&lt;/urls&gt;&lt;titles&gt;&lt;title&gt;Origin and function of stomata in the moss Physcomitrella patens&lt;/title&gt;&lt;secondary-title&gt;Nature plants&lt;/secondary-title&gt;&lt;/titles&gt;&lt;pages&gt;16179-16179&lt;/pages&gt;&lt;contributors&gt;&lt;authors&gt;&lt;author&gt;Chater, Caspar C.&lt;/author&gt;&lt;author&gt;Caine, Robert S.&lt;/author&gt;&lt;author&gt;Tomek, Marta&lt;/author&gt;&lt;author&gt;Wallace, Simon&lt;/author&gt;&lt;author&gt;Kamisugi, Yasuko&lt;/author&gt;&lt;author&gt;Cuming, Andrew C.&lt;/author&gt;&lt;author&gt;Lang, Daniel&lt;/author&gt;&lt;author&gt;MacAlister, Cora A.&lt;/author&gt;&lt;author&gt;Casson, Stuart&lt;/author&gt;&lt;author&gt;Bergmann, Dominique C.&lt;/author&gt;&lt;author&gt;Decker, Eva L.&lt;/author&gt;&lt;author&gt;Frank, Wolfgang&lt;/author&gt;&lt;author&gt;Gray, Julie E.&lt;/author&gt;&lt;author&gt;Fleming, Andrew&lt;/author&gt;&lt;author&gt;Reski, Ralf&lt;/author&gt;&lt;author&gt;Beerling, David J.&lt;/author&gt;&lt;/authors&gt;&lt;/contributors&gt;&lt;added-date format="utc"&gt;1485254994&lt;/added-date&gt;&lt;ref-type name="Journal Article"&gt;17&lt;/ref-type&gt;&lt;rec-number&gt;1346&lt;/rec-number&gt;&lt;last-updated-date format="utc"&gt;1485254994&lt;/last-updated-date&gt;&lt;accession-num&gt;MEDLINE:27892923&lt;/accession-num&gt;&lt;electronic-resource-num&gt;10.1038/nplants.2016.179&lt;/electronic-resource-num&gt;&lt;volume&gt;2&lt;/volume&gt;&lt;/record&gt;&lt;/Cite&gt;&lt;/EndNote&gt;</w:instrText>
      </w:r>
      <w:r>
        <w:rPr>
          <w:rFonts w:ascii="Arial" w:hAnsi="Arial" w:cs="Arial"/>
        </w:rPr>
        <w:fldChar w:fldCharType="separate"/>
      </w:r>
      <w:r>
        <w:rPr>
          <w:rFonts w:ascii="Arial" w:hAnsi="Arial" w:cs="Arial"/>
          <w:noProof/>
        </w:rPr>
        <w:t>(Chater et al., 2016)</w:t>
      </w:r>
      <w:r>
        <w:rPr>
          <w:rFonts w:ascii="Arial" w:hAnsi="Arial" w:cs="Arial"/>
        </w:rPr>
        <w:fldChar w:fldCharType="end"/>
      </w:r>
      <w:r>
        <w:rPr>
          <w:rFonts w:ascii="Arial" w:hAnsi="Arial" w:cs="Arial"/>
        </w:rPr>
        <w:t>)</w:t>
      </w:r>
      <w:r w:rsidRPr="00F60BEE">
        <w:rPr>
          <w:rFonts w:ascii="Arial" w:hAnsi="Arial" w:cs="Arial"/>
        </w:rPr>
        <w:t>.</w:t>
      </w:r>
      <w:r>
        <w:rPr>
          <w:rFonts w:ascii="Arial" w:hAnsi="Arial" w:cs="Arial"/>
        </w:rPr>
        <w:t xml:space="preserve"> For both genes, </w:t>
      </w:r>
      <w:r w:rsidRPr="00F60BEE">
        <w:rPr>
          <w:rFonts w:ascii="Arial" w:hAnsi="Arial" w:cs="Arial"/>
        </w:rPr>
        <w:t xml:space="preserve">functioning </w:t>
      </w:r>
      <w:r>
        <w:rPr>
          <w:rFonts w:ascii="Arial" w:hAnsi="Arial" w:cs="Arial"/>
        </w:rPr>
        <w:t xml:space="preserve">appears to be </w:t>
      </w:r>
      <w:r w:rsidRPr="00F60BEE">
        <w:rPr>
          <w:rFonts w:ascii="Arial" w:hAnsi="Arial" w:cs="Arial"/>
        </w:rPr>
        <w:t>similar to</w:t>
      </w:r>
      <w:r>
        <w:rPr>
          <w:rFonts w:ascii="Arial" w:hAnsi="Arial" w:cs="Arial"/>
        </w:rPr>
        <w:t xml:space="preserve"> that of</w:t>
      </w:r>
      <w:r w:rsidRPr="00F60BEE">
        <w:rPr>
          <w:rFonts w:ascii="Arial" w:hAnsi="Arial" w:cs="Arial"/>
        </w:rPr>
        <w:t xml:space="preserve"> MUTE </w:t>
      </w:r>
      <w:r>
        <w:rPr>
          <w:rFonts w:ascii="Arial" w:hAnsi="Arial" w:cs="Arial"/>
        </w:rPr>
        <w:t xml:space="preserve">in Arabidopsis </w:t>
      </w:r>
      <w:r w:rsidRPr="00F60BEE">
        <w:rPr>
          <w:rFonts w:ascii="Arial" w:hAnsi="Arial" w:cs="Arial"/>
        </w:rPr>
        <w:t>in</w:t>
      </w:r>
      <w:r>
        <w:rPr>
          <w:rFonts w:ascii="Arial" w:hAnsi="Arial" w:cs="Arial"/>
        </w:rPr>
        <w:t xml:space="preserve"> that if</w:t>
      </w:r>
      <w:r w:rsidRPr="00F60BEE">
        <w:rPr>
          <w:rFonts w:ascii="Arial" w:hAnsi="Arial" w:cs="Arial"/>
        </w:rPr>
        <w:t xml:space="preserve"> </w:t>
      </w:r>
      <w:r>
        <w:rPr>
          <w:rFonts w:ascii="Arial" w:hAnsi="Arial" w:cs="Arial"/>
        </w:rPr>
        <w:t xml:space="preserve">either is absent GMC formation fails to occur </w:t>
      </w:r>
      <w:r>
        <w:rPr>
          <w:rFonts w:ascii="Arial" w:hAnsi="Arial" w:cs="Arial"/>
        </w:rPr>
        <w:fldChar w:fldCharType="begin">
          <w:fldData xml:space="preserve">PEVuZE5vdGU+PENpdGU+PEF1dGhvcj5QaWxsaXR0ZXJpPC9BdXRob3I+PFllYXI+MjAwNzwvWWVh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=
</w:fldData>
        </w:fldChar>
      </w:r>
      <w:r>
        <w:rPr>
          <w:rFonts w:ascii="Arial" w:hAnsi="Arial" w:cs="Arial"/>
        </w:rPr>
        <w:instrText xml:space="preserve"> ADDIN EN.CITE </w:instrText>
      </w:r>
      <w:r>
        <w:rPr>
          <w:rFonts w:ascii="Arial" w:hAnsi="Arial" w:cs="Arial"/>
        </w:rPr>
        <w:fldChar w:fldCharType="begin">
          <w:fldData xml:space="preserve">PEVuZE5vdGU+PENpdGU+PEF1dGhvcj5QaWxsaXR0ZXJpPC9BdXRob3I+PFllYXI+MjAwNzwvWWVh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=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(Pillitteri et al., 2008; Pillitteri et al., 2007)</w:t>
      </w:r>
      <w:r>
        <w:rPr>
          <w:rFonts w:ascii="Arial" w:hAnsi="Arial" w:cs="Arial"/>
        </w:rPr>
        <w:fldChar w:fldCharType="end"/>
      </w:r>
      <w:r>
        <w:rPr>
          <w:rFonts w:ascii="Arial" w:hAnsi="Arial" w:cs="Arial"/>
        </w:rPr>
        <w:t>.</w:t>
      </w:r>
      <w:r w:rsidRPr="00F60BEE">
        <w:rPr>
          <w:rFonts w:ascii="Arial" w:hAnsi="Arial" w:cs="Arial"/>
        </w:rPr>
        <w:t xml:space="preserve"> </w:t>
      </w:r>
      <w:r>
        <w:rPr>
          <w:rFonts w:ascii="Arial" w:hAnsi="Arial" w:cs="Arial"/>
        </w:rPr>
        <w:t>H</w:t>
      </w:r>
      <w:r w:rsidRPr="00F60BEE">
        <w:rPr>
          <w:rFonts w:ascii="Arial" w:hAnsi="Arial" w:cs="Arial"/>
        </w:rPr>
        <w:t>owever</w:t>
      </w:r>
      <w:r>
        <w:rPr>
          <w:rFonts w:ascii="Arial" w:hAnsi="Arial" w:cs="Arial"/>
        </w:rPr>
        <w:t>,</w:t>
      </w:r>
      <w:r w:rsidRPr="00F60BEE">
        <w:rPr>
          <w:rFonts w:ascii="Arial" w:hAnsi="Arial" w:cs="Arial"/>
        </w:rPr>
        <w:t xml:space="preserve"> if the GMC is considered as the first cell type in th</w:t>
      </w:r>
      <w:r>
        <w:rPr>
          <w:rFonts w:ascii="Arial" w:hAnsi="Arial" w:cs="Arial"/>
        </w:rPr>
        <w:t xml:space="preserve">e stomatal lineage then </w:t>
      </w:r>
      <w:r w:rsidRPr="00F60BEE">
        <w:rPr>
          <w:rFonts w:ascii="Arial" w:hAnsi="Arial" w:cs="Arial"/>
        </w:rPr>
        <w:t>PpSMF1 and PpSCRM1</w:t>
      </w:r>
      <w:r>
        <w:rPr>
          <w:rFonts w:ascii="Arial" w:hAnsi="Arial" w:cs="Arial"/>
        </w:rPr>
        <w:t xml:space="preserve">, also perform </w:t>
      </w:r>
      <w:r w:rsidRPr="00F60BEE">
        <w:rPr>
          <w:rFonts w:ascii="Arial" w:hAnsi="Arial" w:cs="Arial"/>
        </w:rPr>
        <w:t>SPCH-like function</w:t>
      </w:r>
      <w:r>
        <w:rPr>
          <w:rFonts w:ascii="Arial" w:hAnsi="Arial" w:cs="Arial"/>
        </w:rPr>
        <w:t>s by initiating stomatal</w:t>
      </w:r>
      <w:r w:rsidRPr="00F60BEE">
        <w:rPr>
          <w:rFonts w:ascii="Arial" w:hAnsi="Arial" w:cs="Arial"/>
        </w:rPr>
        <w:t xml:space="preserve"> lineage entry</w:t>
      </w:r>
      <w:r>
        <w:rPr>
          <w:rFonts w:ascii="Arial" w:hAnsi="Arial" w:cs="Arial"/>
        </w:rPr>
        <w:t xml:space="preserve"> as is the case in Arabidopsis </w:t>
      </w:r>
      <w:r>
        <w:rPr>
          <w:rFonts w:ascii="Arial" w:hAnsi="Arial" w:cs="Arial"/>
        </w:rPr>
        <w:fldChar w:fldCharType="begin"/>
      </w:r>
      <w:r>
        <w:rPr>
          <w:rFonts w:ascii="Arial" w:hAnsi="Arial" w:cs="Arial"/>
        </w:rPr>
        <w:instrText xml:space="preserve"> ADDIN EN.CITE &lt;EndNote&gt;&lt;Cite&gt;&lt;Author&gt;MacAlister&lt;/Author&gt;&lt;Year&gt;2007&lt;/Year&gt;&lt;IDText&gt;Transcription factor control of asymmetric cell divisions that establish the stomatal lineage&lt;/IDText&gt;&lt;DisplayText&gt;(MacAlister et al., 2007)&lt;/DisplayText&gt;&lt;record&gt;&lt;dates&gt;&lt;pub-dates&gt;&lt;date&gt;Feb&lt;/date&gt;&lt;/pub-dates&gt;&lt;year&gt;2007&lt;/year&gt;&lt;/dates&gt;&lt;keywords&gt;&lt;keyword&gt;MAPKK KINASE&lt;/keyword&gt;&lt;keyword&gt;ARABIDOPSIS&lt;/keyword&gt;&lt;keyword&gt;MOUTHS&lt;/keyword&gt;&lt;keyword&gt;TOO&lt;/keyword&gt;&lt;keyword&gt;MUTANTS&lt;/keyword&gt;&lt;keyword&gt;PATTERN&lt;/keyword&gt;&lt;keyword&gt;4-LIPS&lt;/keyword&gt;&lt;/keywords&gt;&lt;urls&gt;&lt;related-urls&gt;&lt;url&gt;&amp;lt;Go to ISI&amp;gt;://WOS:000243867300043&lt;/url&gt;&lt;/related-urls&gt;&lt;/urls&gt;&lt;isbn&gt;0028-0836&lt;/isbn&gt;&lt;work-type&gt;Article&lt;/work-type&gt;&lt;titles&gt;&lt;title&gt;Transcription factor control of asymmetric cell divisions that establish the stomatal lineage&lt;/title&gt;&lt;secondary-title&gt;Nature&lt;/secondary-title&gt;&lt;alt-title&gt;Nature&lt;/alt-title&gt;&lt;/titles&gt;&lt;pages&gt;537-540&lt;/pages&gt;&lt;number&gt;7127&lt;/number&gt;&lt;contributors&gt;&lt;authors&gt;&lt;author&gt;MacAlister, C. A.&lt;/author&gt;&lt;author&gt;Ohashi-Ito, K.&lt;/author&gt;&lt;author&gt;Bergmann, D. C.&lt;/author&gt;&lt;/authors&gt;&lt;/contributors&gt;&lt;language&gt;English&lt;/language&gt;&lt;added-date format="utc"&gt;1352217000&lt;/added-date&gt;&lt;ref-type name="Journal Article"&gt;17&lt;/ref-type&gt;&lt;auth-address&gt;Stanford Univ, Dept Biol Sci, Stanford, CA 94305 USA.&amp;#xD;Bergmann, DC (reprint author), Stanford Univ, Dept Biol Sci, Stanford, CA 94305 USA.&amp;#xD;dbergmann@stanford.edu&lt;/auth-address&gt;&lt;rec-number&gt;25&lt;/rec-number&gt;&lt;last-updated-date format="utc"&gt;1352217000&lt;/last-updated-date&gt;&lt;accession-num&gt;WOS:000243867300043&lt;/accession-num&gt;&lt;electronic-resource-num&gt;10.1038/nature05491&lt;/electronic-resource-num&gt;&lt;volume&gt;445&lt;/volume&gt;&lt;/record&gt;&lt;/Cite&gt;&lt;/EndNote&gt;</w:instrText>
      </w:r>
      <w:r>
        <w:rPr>
          <w:rFonts w:ascii="Arial" w:hAnsi="Arial" w:cs="Arial"/>
        </w:rPr>
        <w:fldChar w:fldCharType="separate"/>
      </w:r>
      <w:r>
        <w:rPr>
          <w:rFonts w:ascii="Arial" w:hAnsi="Arial" w:cs="Arial"/>
          <w:noProof/>
        </w:rPr>
        <w:t>(MacAlister et al., 2007)</w:t>
      </w:r>
      <w:r>
        <w:rPr>
          <w:rFonts w:ascii="Arial" w:hAnsi="Arial" w:cs="Arial"/>
        </w:rPr>
        <w:fldChar w:fldCharType="end"/>
      </w:r>
      <w:r w:rsidRPr="00F60BEE">
        <w:rPr>
          <w:rFonts w:ascii="Arial" w:hAnsi="Arial" w:cs="Arial"/>
        </w:rPr>
        <w:t xml:space="preserve">. </w:t>
      </w:r>
      <w:r>
        <w:rPr>
          <w:rFonts w:ascii="Arial" w:hAnsi="Arial" w:cs="Arial"/>
        </w:rPr>
        <w:t>Whether such functioning extends to regulating guard cell formation from the GMC</w:t>
      </w:r>
      <w:r w:rsidR="00755614">
        <w:rPr>
          <w:rFonts w:ascii="Arial" w:hAnsi="Arial" w:cs="Arial"/>
        </w:rPr>
        <w:t xml:space="preserve"> (akin to Arabidopsis FAMA)</w:t>
      </w:r>
      <w:r>
        <w:rPr>
          <w:rFonts w:ascii="Arial" w:hAnsi="Arial" w:cs="Arial"/>
        </w:rPr>
        <w:t xml:space="preserve"> is unclear and requires further study. Given the recent study by Raissig and colleagues it is intriguing to think that other PpSCRMs (PpSCRM2-4) may be responsible for such regulation in conjunction with perhaps PpSMF1 </w:t>
      </w:r>
      <w:r>
        <w:rPr>
          <w:rFonts w:ascii="Arial" w:hAnsi="Arial" w:cs="Arial"/>
        </w:rPr>
        <w:fldChar w:fldCharType="begin"/>
      </w:r>
      <w:r>
        <w:rPr>
          <w:rFonts w:ascii="Arial" w:hAnsi="Arial" w:cs="Arial"/>
        </w:rPr>
        <w:instrText xml:space="preserve"> ADDIN EN.CITE &lt;EndNote&gt;&lt;Cite&gt;&lt;Author&gt;Raissig&lt;/Author&gt;&lt;Year&gt;2016&lt;/Year&gt;&lt;IDText&gt;Grasses use an alternatively wired bHLH transcription factor network to establish stomatal identity&lt;/IDText&gt;&lt;DisplayText&gt;(Raissig et al., 2016)&lt;/DisplayText&gt;&lt;record&gt;&lt;urls&gt;&lt;related-urls&gt;&lt;url&gt;http://www.pnas.org/content/113/29/8326.abstract&lt;/url&gt;&lt;/related-urls&gt;&lt;/urls&gt;&lt;titles&gt;&lt;title&gt;Grasses use an alternatively wired bHLH transcription factor network to establish stomatal identity&lt;/title&gt;&lt;secondary-title&gt;Proceedings of the National Academy of Sciences&lt;/secondary-title&gt;&lt;/titles&gt;&lt;pages&gt;8326-8331&lt;/pages&gt;&lt;number&gt;29&lt;/number&gt;&lt;contributors&gt;&lt;authors&gt;&lt;author&gt;Raissig, Michael T.&lt;/author&gt;&lt;author&gt;Abrash, Emily&lt;/author&gt;&lt;author&gt;Bettadapur, Akhila&lt;/author&gt;&lt;author&gt;Vogel, John P.&lt;/author&gt;&lt;author&gt;Bergmann, Dominique C.&lt;/author&gt;&lt;/authors&gt;&lt;/contributors&gt;&lt;added-date format="utc"&gt;1470228710&lt;/added-date&gt;&lt;ref-type name="Journal Article"&gt;17&lt;/ref-type&gt;&lt;dates&gt;&lt;year&gt;2016&lt;/year&gt;&lt;/dates&gt;&lt;rec-number&gt;1330&lt;/rec-number&gt;&lt;last-updated-date format="utc"&gt;1470228710&lt;/last-updated-date&gt;&lt;volume&gt;113&lt;/volume&gt;&lt;/record&gt;&lt;/Cite&gt;&lt;/EndNote&gt;</w:instrText>
      </w:r>
      <w:r>
        <w:rPr>
          <w:rFonts w:ascii="Arial" w:hAnsi="Arial" w:cs="Arial"/>
        </w:rPr>
        <w:fldChar w:fldCharType="separate"/>
      </w:r>
      <w:r>
        <w:rPr>
          <w:rFonts w:ascii="Arial" w:hAnsi="Arial" w:cs="Arial"/>
          <w:noProof/>
        </w:rPr>
        <w:t>(Raissig et al., 2016)</w:t>
      </w:r>
      <w:r>
        <w:rPr>
          <w:rFonts w:ascii="Arial" w:hAnsi="Arial" w:cs="Arial"/>
        </w:rPr>
        <w:fldChar w:fldCharType="end"/>
      </w:r>
      <w:r>
        <w:rPr>
          <w:rFonts w:ascii="Arial" w:hAnsi="Arial" w:cs="Arial"/>
        </w:rPr>
        <w:t xml:space="preserve">. </w:t>
      </w:r>
      <w:r w:rsidRPr="00F60BEE">
        <w:rPr>
          <w:rFonts w:ascii="Arial" w:hAnsi="Arial" w:cs="Arial"/>
        </w:rPr>
        <w:t>Whether PpSMF1</w:t>
      </w:r>
      <w:r>
        <w:rPr>
          <w:rFonts w:ascii="Arial" w:hAnsi="Arial" w:cs="Arial"/>
        </w:rPr>
        <w:t xml:space="preserve"> or PpSCRM1 influence stomatal lineage activity prior to promoting early GMC formation seems unlikely but cannot be completely ruled out.</w:t>
      </w:r>
      <w:r w:rsidRPr="00F60BEE">
        <w:rPr>
          <w:rFonts w:ascii="Arial" w:hAnsi="Arial" w:cs="Arial"/>
        </w:rPr>
        <w:t xml:space="preserve"> </w:t>
      </w:r>
    </w:p>
    <w:p w14:paraId="2D62F557" w14:textId="56D0EDB7" w:rsidR="006C37DC" w:rsidRDefault="006C37DC" w:rsidP="006C37DC">
      <w:pPr>
        <w:spacing w:after="0" w:line="360" w:lineRule="auto"/>
        <w:rPr>
          <w:rFonts w:ascii="Arial" w:hAnsi="Arial" w:cs="Arial"/>
          <w:b/>
        </w:rPr>
      </w:pPr>
      <w:r>
        <w:rPr>
          <w:rFonts w:ascii="Arial" w:hAnsi="Arial" w:cs="Arial"/>
        </w:rPr>
        <w:t xml:space="preserve">With regard to the evolution of stomatal </w:t>
      </w:r>
      <w:r w:rsidR="00C7050F">
        <w:rPr>
          <w:rFonts w:ascii="Arial" w:hAnsi="Arial" w:cs="Arial"/>
        </w:rPr>
        <w:t>ontogeny</w:t>
      </w:r>
      <w:r>
        <w:rPr>
          <w:rFonts w:ascii="Arial" w:hAnsi="Arial" w:cs="Arial"/>
        </w:rPr>
        <w:t xml:space="preserve">, based on this study and recent work published by Merced and Renzaglia </w:t>
      </w:r>
      <w:r>
        <w:rPr>
          <w:rFonts w:ascii="Arial" w:hAnsi="Arial" w:cs="Arial"/>
        </w:rPr>
        <w:fldChar w:fldCharType="begin"/>
      </w:r>
      <w:r w:rsidR="001D2DA0">
        <w:rPr>
          <w:rFonts w:ascii="Arial" w:hAnsi="Arial" w:cs="Arial"/>
        </w:rPr>
        <w:instrText xml:space="preserve"> ADDIN EN.CITE &lt;EndNote&gt;&lt;Cite ExcludeAuth="1"&gt;&lt;Author&gt;Merced&lt;/Author&gt;&lt;Year&gt;2016&lt;/Year&gt;&lt;IDText&gt;Patterning of stomata in the moss Funaria: a simple way to space guard cells&lt;/IDText&gt;&lt;DisplayText&gt;(2016)&lt;/DisplayText&gt;&lt;record&gt;&lt;dates&gt;&lt;pub-dates&gt;&lt;date&gt;May&lt;/date&gt;&lt;/pub-dates&gt;&lt;year&gt;2016&lt;/year&gt;&lt;/dates&gt;&lt;keywords&gt;&lt;keyword&gt;Funaria&lt;/keyword&gt;&lt;keyword&gt;GMC&lt;/keyword&gt;&lt;keyword&gt;guard cell&lt;/keyword&gt;&lt;keyword&gt;LM19&lt;/keyword&gt;&lt;keyword&gt;mosses&lt;/keyword&gt;&lt;keyword&gt;immunolocalization&lt;/keyword&gt;&lt;keyword&gt;stomata&lt;/keyword&gt;&lt;keyword&gt;stomatal development&lt;/keyword&gt;&lt;keyword&gt;stomatal patterning&lt;/keyword&gt;&lt;keyword&gt;ultrastructure&lt;/keyword&gt;&lt;keyword&gt;land plants&lt;/keyword&gt;&lt;keyword&gt;mother cell&lt;/keyword&gt;&lt;keyword&gt;evolution&lt;/keyword&gt;&lt;keyword&gt;arabidopsis&lt;/keyword&gt;&lt;keyword&gt;sporophyte&lt;/keyword&gt;&lt;keyword&gt;calyptra&lt;/keyword&gt;&lt;keyword&gt;cuticle&lt;/keyword&gt;&lt;keyword&gt;hygrometrica&lt;/keyword&gt;&lt;keyword&gt;angiosperms&lt;/keyword&gt;&lt;keyword&gt;hornworts&lt;/keyword&gt;&lt;keyword&gt;Plant Sciences&lt;/keyword&gt;&lt;/keywords&gt;&lt;urls&gt;&lt;related-urls&gt;&lt;url&gt;&amp;lt;Go to ISI&amp;gt;://WOS:000376655400004&lt;/url&gt;&lt;/related-urls&gt;&lt;/urls&gt;&lt;isbn&gt;0305-7364&lt;/isbn&gt;&lt;work-type&gt;Article&lt;/work-type&gt;&lt;titles&gt;&lt;title&gt;Patterning of stomata in the moss Funaria: a simple way to space guard cells&lt;/title&gt;&lt;secondary-title&gt;Annals of Botany&lt;/secondary-title&gt;&lt;/titles&gt;&lt;pages&gt;985-994&lt;/pages&gt;&lt;number&gt;6&lt;/number&gt;&lt;contributors&gt;&lt;authors&gt;&lt;author&gt;Merced, A.&lt;/author&gt;&lt;author&gt;Renzaglia, K. S.&lt;/author&gt;&lt;/authors&gt;&lt;/contributors&gt;&lt;language&gt;English&lt;/language&gt;&lt;added-date format="utc"&gt;1472795758&lt;/added-date&gt;&lt;ref-type name="Journal Article"&gt;17&lt;/ref-type&gt;&lt;auth-address&gt;[Merced, Amelia&amp;#xD;Renzaglia, Karen S.] So Illinois Univ, Dept Plant Biol, Carbondale, IL 62901 USA.&amp;#xD;Merced, A (reprint author), So Illinois Univ, Dept Plant Biol, Carbondale, IL 62901 USA.&amp;#xD;ameliamerced@siu.edu&lt;/auth-address&gt;&lt;rec-number&gt;1338&lt;/rec-number&gt;&lt;last-updated-date format="utc"&gt;1472795758&lt;/last-updated-date&gt;&lt;accession-num&gt;WOS:000376655400004&lt;/accession-num&gt;&lt;electronic-resource-num&gt;10.1093/aob/mcw029&lt;/electronic-resource-num&gt;&lt;volume&gt;117&lt;/volume&gt;&lt;/record&gt;&lt;/Cite&gt;&lt;/EndNote&gt;</w:instrText>
      </w:r>
      <w:r>
        <w:rPr>
          <w:rFonts w:ascii="Arial" w:hAnsi="Arial" w:cs="Arial"/>
        </w:rPr>
        <w:fldChar w:fldCharType="separate"/>
      </w:r>
      <w:r w:rsidR="001D2DA0">
        <w:rPr>
          <w:rFonts w:ascii="Arial" w:hAnsi="Arial" w:cs="Arial"/>
          <w:noProof/>
        </w:rPr>
        <w:t>(2016)</w:t>
      </w:r>
      <w:r>
        <w:rPr>
          <w:rFonts w:ascii="Arial" w:hAnsi="Arial" w:cs="Arial"/>
        </w:rPr>
        <w:fldChar w:fldCharType="end"/>
      </w:r>
      <w:r>
        <w:rPr>
          <w:rFonts w:ascii="Arial" w:hAnsi="Arial" w:cs="Arial"/>
        </w:rPr>
        <w:t xml:space="preserve"> and Pressel and colleagues </w:t>
      </w:r>
      <w:r>
        <w:rPr>
          <w:rFonts w:ascii="Arial" w:hAnsi="Arial" w:cs="Arial"/>
        </w:rPr>
        <w:fldChar w:fldCharType="begin"/>
      </w:r>
      <w:r>
        <w:rPr>
          <w:rFonts w:ascii="Arial" w:hAnsi="Arial" w:cs="Arial"/>
        </w:rPr>
        <w:instrText xml:space="preserve"> ADDIN EN.CITE &lt;EndNote&gt;&lt;Cite ExcludeAuth="1"&gt;&lt;Author&gt;Pressel&lt;/Author&gt;&lt;Year&gt;2014&lt;/Year&gt;&lt;IDText&gt;Stomatal differentiation and abnormal stomata in hornworts&lt;/IDText&gt;&lt;DisplayText&gt;(2014)&lt;/DisplayText&gt;&lt;record&gt;&lt;dates&gt;&lt;pub-dates&gt;&lt;date&gt;Jun&lt;/date&gt;&lt;/pub-dates&gt;&lt;year&gt;2014&lt;/year&gt;&lt;/dates&gt;&lt;keywords&gt;&lt;keyword&gt;Anthocerotophyta&lt;/keyword&gt;&lt;keyword&gt;Capsule dehiscence&lt;/keyword&gt;&lt;keyword&gt;Desiccation biology&lt;/keyword&gt;&lt;keyword&gt;Guard cells&lt;/keyword&gt;&lt;keyword&gt;Stomatal evolution&lt;/keyword&gt;&lt;keyword&gt;early land plants&lt;/keyword&gt;&lt;keyword&gt;abscisic-acid&lt;/keyword&gt;&lt;keyword&gt;division polarity&lt;/keyword&gt;&lt;keyword&gt;atmospheric co2&lt;/keyword&gt;&lt;keyword&gt;carbon-dioxide&lt;/keyword&gt;&lt;keyword&gt;density&lt;/keyword&gt;&lt;keyword&gt;evolution&lt;/keyword&gt;&lt;keyword&gt;sporophytes&lt;/keyword&gt;&lt;keyword&gt;fluorescence&lt;/keyword&gt;&lt;keyword&gt;bryophytes&lt;/keyword&gt;&lt;keyword&gt;Plant Sciences&lt;/keyword&gt;&lt;/keywords&gt;&lt;urls&gt;&lt;related-urls&gt;&lt;url&gt;&amp;lt;Go to ISI&amp;gt;://WOS:000337099400001&lt;/url&gt;&lt;/related-urls&gt;&lt;/urls&gt;&lt;isbn&gt;0373-6687&lt;/isbn&gt;&lt;work-type&gt;Article&lt;/work-type&gt;&lt;titles&gt;&lt;title&gt;Stomatal differentiation and abnormal stomata in hornworts&lt;/title&gt;&lt;secondary-title&gt;Journal of Bryology&lt;/secondary-title&gt;&lt;/titles&gt;&lt;pages&gt;87-103&lt;/pages&gt;&lt;contributors&gt;&lt;authors&gt;&lt;author&gt;Pressel, S.&lt;/author&gt;&lt;author&gt;Goral, T.&lt;/author&gt;&lt;author&gt;Duckett, J. G.&lt;/author&gt;&lt;/authors&gt;&lt;/contributors&gt;&lt;language&gt;English&lt;/language&gt;&lt;added-date format="utc"&gt;1431376663&lt;/added-date&gt;&lt;ref-type name="Journal Article"&gt;17&lt;/ref-type&gt;&lt;auth-address&gt;[Pressel, Silvia&amp;#xD;Duckett, Jeffrey G.] Nat Hist Museum, Dept Life Sci, London SW7 5BD, England. [Goral, Tomasz] Nat Hist Museum, Imaging &amp;amp; Anal Ctr, London SW7 5BD, England.&amp;#xD;Pressel, S (reprint author), Nat Hist Museum, Dept Life Sci, Cromwell Rd, London SW7 5BD, England.&amp;#xD;s.pressel@nhm.ac.uk&lt;/auth-address&gt;&lt;rec-number&gt;158&lt;/rec-number&gt;&lt;last-updated-date format="utc"&gt;1431376663&lt;/last-updated-date&gt;&lt;accession-num&gt;WOS:000337099400001&lt;/accession-num&gt;&lt;electronic-resource-num&gt;10.1179/1743282014y.0000000103&lt;/electronic-resource-num&gt;&lt;volume&gt;36&lt;/volume&gt;&lt;/record&gt;&lt;/Cite&gt;&lt;/EndNote&gt;</w:instrText>
      </w:r>
      <w:r>
        <w:rPr>
          <w:rFonts w:ascii="Arial" w:hAnsi="Arial" w:cs="Arial"/>
        </w:rPr>
        <w:fldChar w:fldCharType="separate"/>
      </w:r>
      <w:r>
        <w:rPr>
          <w:rFonts w:ascii="Arial" w:hAnsi="Arial" w:cs="Arial"/>
          <w:noProof/>
        </w:rPr>
        <w:t>(2014)</w:t>
      </w:r>
      <w:r>
        <w:rPr>
          <w:rFonts w:ascii="Arial" w:hAnsi="Arial" w:cs="Arial"/>
        </w:rPr>
        <w:fldChar w:fldCharType="end"/>
      </w:r>
      <w:r>
        <w:rPr>
          <w:rFonts w:ascii="Arial" w:hAnsi="Arial" w:cs="Arial"/>
        </w:rPr>
        <w:t xml:space="preserve"> it would seem that the most ancient form of stomatal development was similar to that of modern-day </w:t>
      </w:r>
      <w:r>
        <w:rPr>
          <w:rFonts w:ascii="Arial" w:hAnsi="Arial" w:cs="Arial"/>
        </w:rPr>
        <w:lastRenderedPageBreak/>
        <w:t xml:space="preserve">hornworts and some mosses (See hornwort example in </w:t>
      </w:r>
      <w:r>
        <w:rPr>
          <w:rFonts w:ascii="Arial" w:hAnsi="Arial" w:cs="Arial"/>
          <w:b/>
        </w:rPr>
        <w:t>Fig. 2</w:t>
      </w:r>
      <w:r w:rsidRPr="00B307A2">
        <w:rPr>
          <w:rFonts w:ascii="Arial" w:hAnsi="Arial" w:cs="Arial"/>
        </w:rPr>
        <w:t>)</w:t>
      </w:r>
      <w:r>
        <w:rPr>
          <w:rFonts w:ascii="Arial" w:hAnsi="Arial" w:cs="Arial"/>
        </w:rPr>
        <w:t>. This involved the specification of particular protodermal cells that subsequently enlarged to become GMCs and then underwent a symmetric division to produce a pair of</w:t>
      </w:r>
      <w:r w:rsidR="00405CE5">
        <w:rPr>
          <w:rFonts w:ascii="Arial" w:hAnsi="Arial" w:cs="Arial"/>
        </w:rPr>
        <w:t xml:space="preserve"> guard cells. Based on the ontogeny</w:t>
      </w:r>
      <w:r>
        <w:rPr>
          <w:rFonts w:ascii="Arial" w:hAnsi="Arial" w:cs="Arial"/>
        </w:rPr>
        <w:t xml:space="preserve"> data presented in chapter 3 and above relating to </w:t>
      </w:r>
      <w:r>
        <w:rPr>
          <w:rFonts w:ascii="Arial" w:hAnsi="Arial" w:cs="Arial"/>
          <w:i/>
        </w:rPr>
        <w:t xml:space="preserve">P. patens </w:t>
      </w:r>
      <w:r>
        <w:rPr>
          <w:rFonts w:ascii="Arial" w:hAnsi="Arial" w:cs="Arial"/>
        </w:rPr>
        <w:t xml:space="preserve">stomatal development it appears that in </w:t>
      </w:r>
      <w:r>
        <w:rPr>
          <w:rFonts w:ascii="Arial" w:hAnsi="Arial" w:cs="Arial"/>
          <w:i/>
        </w:rPr>
        <w:t xml:space="preserve">P. patens </w:t>
      </w:r>
      <w:r>
        <w:rPr>
          <w:rFonts w:ascii="Arial" w:hAnsi="Arial" w:cs="Arial"/>
        </w:rPr>
        <w:t xml:space="preserve">stomatal development the GMC may have some meristematic capabilities to correctly space guard cells by undergoing asymmetric GMC spacing divisions (see moss stomatal development in </w:t>
      </w:r>
      <w:r>
        <w:rPr>
          <w:rFonts w:ascii="Arial" w:hAnsi="Arial" w:cs="Arial"/>
          <w:b/>
        </w:rPr>
        <w:t xml:space="preserve">Fig. 1 </w:t>
      </w:r>
      <w:r>
        <w:rPr>
          <w:rFonts w:ascii="Arial" w:hAnsi="Arial" w:cs="Arial"/>
        </w:rPr>
        <w:t xml:space="preserve">and </w:t>
      </w:r>
      <w:r>
        <w:rPr>
          <w:rFonts w:ascii="Arial" w:hAnsi="Arial" w:cs="Arial"/>
          <w:b/>
        </w:rPr>
        <w:t xml:space="preserve">Fig. 2). </w:t>
      </w:r>
    </w:p>
    <w:p w14:paraId="486AD5C2" w14:textId="77777777" w:rsidR="006C37DC" w:rsidRDefault="006C37DC" w:rsidP="006C37DC">
      <w:pPr>
        <w:spacing w:after="0" w:line="360" w:lineRule="auto"/>
        <w:rPr>
          <w:rFonts w:ascii="Arial" w:hAnsi="Arial" w:cs="Arial"/>
          <w:b/>
        </w:rPr>
      </w:pPr>
    </w:p>
    <w:p w14:paraId="4597546F" w14:textId="77777777" w:rsidR="006C37DC" w:rsidRDefault="006C37DC" w:rsidP="006C37DC">
      <w:pPr>
        <w:spacing w:line="360" w:lineRule="auto"/>
        <w:rPr>
          <w:rFonts w:ascii="Arial" w:hAnsi="Arial" w:cs="Arial"/>
        </w:rPr>
      </w:pPr>
      <w:r>
        <w:rPr>
          <w:rFonts w:ascii="Arial" w:hAnsi="Arial" w:cs="Arial"/>
          <w:noProof/>
          <w:lang w:eastAsia="ja-JP"/>
        </w:rPr>
        <w:drawing>
          <wp:inline distT="0" distB="0" distL="0" distR="0" wp14:anchorId="07C22496" wp14:editId="2BDE5A6D">
            <wp:extent cx="5731510" cy="6534785"/>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2 latest modedede.tif"/>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31510" cy="6534785"/>
                    </a:xfrm>
                    <a:prstGeom prst="rect">
                      <a:avLst/>
                    </a:prstGeom>
                  </pic:spPr>
                </pic:pic>
              </a:graphicData>
            </a:graphic>
          </wp:inline>
        </w:drawing>
      </w:r>
    </w:p>
    <w:p w14:paraId="598F01CF" w14:textId="3993661F" w:rsidR="006C37DC" w:rsidRDefault="006C37DC" w:rsidP="006C37DC">
      <w:pPr>
        <w:spacing w:line="360" w:lineRule="auto"/>
        <w:rPr>
          <w:rFonts w:ascii="Arial" w:hAnsi="Arial" w:cs="Arial"/>
        </w:rPr>
      </w:pPr>
      <w:r w:rsidRPr="00015475">
        <w:rPr>
          <w:rFonts w:ascii="Arial" w:hAnsi="Arial" w:cs="Arial"/>
          <w:b/>
        </w:rPr>
        <w:lastRenderedPageBreak/>
        <w:t>Figure 2. Stomatal developmental onto</w:t>
      </w:r>
      <w:r w:rsidR="00405CE5">
        <w:rPr>
          <w:rFonts w:ascii="Arial" w:hAnsi="Arial" w:cs="Arial"/>
          <w:b/>
        </w:rPr>
        <w:t>geny</w:t>
      </w:r>
      <w:r w:rsidRPr="00015475">
        <w:rPr>
          <w:rFonts w:ascii="Arial" w:hAnsi="Arial" w:cs="Arial"/>
          <w:b/>
        </w:rPr>
        <w:t xml:space="preserve"> across land plants.</w:t>
      </w:r>
      <w:r>
        <w:rPr>
          <w:rFonts w:ascii="Arial" w:hAnsi="Arial" w:cs="Arial"/>
        </w:rPr>
        <w:t xml:space="preserve"> The depictions of stomatal development within each lineage presented are examples of</w:t>
      </w:r>
      <w:r w:rsidR="00405CE5">
        <w:rPr>
          <w:rFonts w:ascii="Arial" w:hAnsi="Arial" w:cs="Arial"/>
        </w:rPr>
        <w:t xml:space="preserve"> stomatal developmental ontogeny</w:t>
      </w:r>
      <w:r>
        <w:rPr>
          <w:rFonts w:ascii="Arial" w:hAnsi="Arial" w:cs="Arial"/>
        </w:rPr>
        <w:t xml:space="preserve"> but variation within some lineage does exist. In the early diverging hornwort lineage, a simple form of stomatal development has been observed where a GMC forms from a protodermal cell which then symmetrically divides to produce a pair of guard cells </w:t>
      </w:r>
      <w:r>
        <w:rPr>
          <w:rFonts w:ascii="Arial" w:hAnsi="Arial" w:cs="Arial"/>
        </w:rPr>
        <w:fldChar w:fldCharType="begin"/>
      </w:r>
      <w:r>
        <w:rPr>
          <w:rFonts w:ascii="Arial" w:hAnsi="Arial" w:cs="Arial"/>
        </w:rPr>
        <w:instrText xml:space="preserve"> ADDIN EN.CITE &lt;EndNote&gt;&lt;Cite&gt;&lt;Author&gt;Pressel&lt;/Author&gt;&lt;Year&gt;2014&lt;/Year&gt;&lt;IDText&gt;Stomatal differentiation and abnormal stomata in hornworts&lt;/IDText&gt;&lt;DisplayText&gt;(Pressel et al., 2014)&lt;/DisplayText&gt;&lt;record&gt;&lt;dates&gt;&lt;pub-dates&gt;&lt;date&gt;Jun&lt;/date&gt;&lt;/pub-dates&gt;&lt;year&gt;2014&lt;/year&gt;&lt;/dates&gt;&lt;keywords&gt;&lt;keyword&gt;Anthocerotophyta&lt;/keyword&gt;&lt;keyword&gt;Capsule dehiscence&lt;/keyword&gt;&lt;keyword&gt;Desiccation biology&lt;/keyword&gt;&lt;keyword&gt;Guard cells&lt;/keyword&gt;&lt;keyword&gt;Stomatal evolution&lt;/keyword&gt;&lt;keyword&gt;early land plants&lt;/keyword&gt;&lt;keyword&gt;abscisic-acid&lt;/keyword&gt;&lt;keyword&gt;division polarity&lt;/keyword&gt;&lt;keyword&gt;atmospheric co2&lt;/keyword&gt;&lt;keyword&gt;carbon-dioxide&lt;/keyword&gt;&lt;keyword&gt;density&lt;/keyword&gt;&lt;keyword&gt;evolution&lt;/keyword&gt;&lt;keyword&gt;sporophytes&lt;/keyword&gt;&lt;keyword&gt;fluorescence&lt;/keyword&gt;&lt;keyword&gt;bryophytes&lt;/keyword&gt;&lt;keyword&gt;Plant Sciences&lt;/keyword&gt;&lt;/keywords&gt;&lt;urls&gt;&lt;related-urls&gt;&lt;url&gt;&amp;lt;Go to ISI&amp;gt;://WOS:000337099400001&lt;/url&gt;&lt;/related-urls&gt;&lt;/urls&gt;&lt;isbn&gt;0373-6687&lt;/isbn&gt;&lt;work-type&gt;Article&lt;/work-type&gt;&lt;titles&gt;&lt;title&gt;Stomatal differentiation and abnormal stomata in hornworts&lt;/title&gt;&lt;secondary-title&gt;Journal of Bryology&lt;/secondary-title&gt;&lt;/titles&gt;&lt;pages&gt;87-103&lt;/pages&gt;&lt;contributors&gt;&lt;authors&gt;&lt;author&gt;Pressel, S.&lt;/author&gt;&lt;author&gt;Goral, T.&lt;/author&gt;&lt;author&gt;Duckett, J. G.&lt;/author&gt;&lt;/authors&gt;&lt;/contributors&gt;&lt;language&gt;English&lt;/language&gt;&lt;added-date format="utc"&gt;1431376663&lt;/added-date&gt;&lt;ref-type name="Journal Article"&gt;17&lt;/ref-type&gt;&lt;auth-address&gt;[Pressel, Silvia&amp;#xD;Duckett, Jeffrey G.] Nat Hist Museum, Dept Life Sci, London SW7 5BD, England. [Goral, Tomasz] Nat Hist Museum, Imaging &amp;amp; Anal Ctr, London SW7 5BD, England.&amp;#xD;Pressel, S (reprint author), Nat Hist Museum, Dept Life Sci, Cromwell Rd, London SW7 5BD, England.&amp;#xD;s.pressel@nhm.ac.uk&lt;/auth-address&gt;&lt;rec-number&gt;158&lt;/rec-number&gt;&lt;last-updated-date format="utc"&gt;1431376663&lt;/last-updated-date&gt;&lt;accession-num&gt;WOS:000337099400001&lt;/accession-num&gt;&lt;electronic-resource-num&gt;10.1179/1743282014y.0000000103&lt;/electronic-resource-num&gt;&lt;volume&gt;36&lt;/volume&gt;&lt;/record&gt;&lt;/Cite&gt;&lt;/EndNote&gt;</w:instrText>
      </w:r>
      <w:r>
        <w:rPr>
          <w:rFonts w:ascii="Arial" w:hAnsi="Arial" w:cs="Arial"/>
        </w:rPr>
        <w:fldChar w:fldCharType="separate"/>
      </w:r>
      <w:r>
        <w:rPr>
          <w:rFonts w:ascii="Arial" w:hAnsi="Arial" w:cs="Arial"/>
          <w:noProof/>
        </w:rPr>
        <w:t>(Pressel et al., 2014)</w:t>
      </w:r>
      <w:r>
        <w:rPr>
          <w:rFonts w:ascii="Arial" w:hAnsi="Arial" w:cs="Arial"/>
        </w:rPr>
        <w:fldChar w:fldCharType="end"/>
      </w:r>
      <w:r>
        <w:rPr>
          <w:rFonts w:ascii="Arial" w:hAnsi="Arial" w:cs="Arial"/>
        </w:rPr>
        <w:t>. In the mosses a similar form of stomatal development has been previously reported (</w:t>
      </w:r>
      <w:r>
        <w:rPr>
          <w:rFonts w:ascii="Arial" w:hAnsi="Arial" w:cs="Arial"/>
          <w:b/>
        </w:rPr>
        <w:t>Fig. 1a</w:t>
      </w:r>
      <w:r w:rsidRPr="00525A28">
        <w:rPr>
          <w:rFonts w:ascii="Arial" w:hAnsi="Arial" w:cs="Arial"/>
        </w:rPr>
        <w:t>)</w:t>
      </w:r>
      <w:r>
        <w:rPr>
          <w:rFonts w:ascii="Arial" w:hAnsi="Arial" w:cs="Arial"/>
        </w:rPr>
        <w:t xml:space="preserve"> </w:t>
      </w:r>
      <w:r>
        <w:rPr>
          <w:rFonts w:ascii="Arial" w:hAnsi="Arial" w:cs="Arial"/>
        </w:rPr>
        <w:fldChar w:fldCharType="begin"/>
      </w:r>
      <w:r w:rsidR="001D2DA0">
        <w:rPr>
          <w:rFonts w:ascii="Arial" w:hAnsi="Arial" w:cs="Arial"/>
        </w:rPr>
        <w:instrText xml:space="preserve"> ADDIN EN.CITE &lt;EndNote&gt;&lt;Cite&gt;&lt;Author&gt;Merced&lt;/Author&gt;&lt;Year&gt;2016&lt;/Year&gt;&lt;IDText&gt;Patterning of stomata in the moss Funaria: a simple way to space guard cells&lt;/IDText&gt;&lt;DisplayText&gt;(Merced and Renzaglia, 2016)&lt;/DisplayText&gt;&lt;record&gt;&lt;dates&gt;&lt;pub-dates&gt;&lt;date&gt;May&lt;/date&gt;&lt;/pub-dates&gt;&lt;year&gt;2016&lt;/year&gt;&lt;/dates&gt;&lt;keywords&gt;&lt;keyword&gt;Funaria&lt;/keyword&gt;&lt;keyword&gt;GMC&lt;/keyword&gt;&lt;keyword&gt;guard cell&lt;/keyword&gt;&lt;keyword&gt;LM19&lt;/keyword&gt;&lt;keyword&gt;mosses&lt;/keyword&gt;&lt;keyword&gt;immunolocalization&lt;/keyword&gt;&lt;keyword&gt;stomata&lt;/keyword&gt;&lt;keyword&gt;stomatal development&lt;/keyword&gt;&lt;keyword&gt;stomatal patterning&lt;/keyword&gt;&lt;keyword&gt;ultrastructure&lt;/keyword&gt;&lt;keyword&gt;land plants&lt;/keyword&gt;&lt;keyword&gt;mother cell&lt;/keyword&gt;&lt;keyword&gt;evolution&lt;/keyword&gt;&lt;keyword&gt;arabidopsis&lt;/keyword&gt;&lt;keyword&gt;sporophyte&lt;/keyword&gt;&lt;keyword&gt;calyptra&lt;/keyword&gt;&lt;keyword&gt;cuticle&lt;/keyword&gt;&lt;keyword&gt;hygrometrica&lt;/keyword&gt;&lt;keyword&gt;angiosperms&lt;/keyword&gt;&lt;keyword&gt;hornworts&lt;/keyword&gt;&lt;keyword&gt;Plant Sciences&lt;/keyword&gt;&lt;/keywords&gt;&lt;urls&gt;&lt;related-urls&gt;&lt;url&gt;&amp;lt;Go to ISI&amp;gt;://WOS:000376655400004&lt;/url&gt;&lt;/related-urls&gt;&lt;/urls&gt;&lt;isbn&gt;0305-7364&lt;/isbn&gt;&lt;work-type&gt;Article&lt;/work-type&gt;&lt;titles&gt;&lt;title&gt;Patterning of stomata in the moss Funaria: a simple way to space guard cells&lt;/title&gt;&lt;secondary-title&gt;Annals of Botany&lt;/secondary-title&gt;&lt;/titles&gt;&lt;pages&gt;985-994&lt;/pages&gt;&lt;number&gt;6&lt;/number&gt;&lt;contributors&gt;&lt;authors&gt;&lt;author&gt;Merced, A.&lt;/author&gt;&lt;author&gt;Renzaglia, K. S.&lt;/author&gt;&lt;/authors&gt;&lt;/contributors&gt;&lt;language&gt;English&lt;/language&gt;&lt;added-date format="utc"&gt;1472795758&lt;/added-date&gt;&lt;ref-type name="Journal Article"&gt;17&lt;/ref-type&gt;&lt;auth-address&gt;[Merced, Amelia&amp;#xD;Renzaglia, Karen S.] So Illinois Univ, Dept Plant Biol, Carbondale, IL 62901 USA.&amp;#xD;Merced, A (reprint author), So Illinois Univ, Dept Plant Biol, Carbondale, IL 62901 USA.&amp;#xD;ameliamerced@siu.edu&lt;/auth-address&gt;&lt;rec-number&gt;1338&lt;/rec-number&gt;&lt;last-updated-date format="utc"&gt;1472795758&lt;/last-updated-date&gt;&lt;accession-num&gt;WOS:000376655400004&lt;/accession-num&gt;&lt;electronic-resource-num&gt;10.1093/aob/mcw029&lt;/electronic-resource-num&gt;&lt;volume&gt;117&lt;/volume&gt;&lt;/record&gt;&lt;/Cite&gt;&lt;/EndNote&gt;</w:instrText>
      </w:r>
      <w:r>
        <w:rPr>
          <w:rFonts w:ascii="Arial" w:hAnsi="Arial" w:cs="Arial"/>
        </w:rPr>
        <w:fldChar w:fldCharType="separate"/>
      </w:r>
      <w:r w:rsidR="001D2DA0">
        <w:rPr>
          <w:rFonts w:ascii="Arial" w:hAnsi="Arial" w:cs="Arial"/>
          <w:noProof/>
        </w:rPr>
        <w:t>(Merced and Renzaglia, 2016)</w:t>
      </w:r>
      <w:r>
        <w:rPr>
          <w:rFonts w:ascii="Arial" w:hAnsi="Arial" w:cs="Arial"/>
        </w:rPr>
        <w:fldChar w:fldCharType="end"/>
      </w:r>
      <w:r>
        <w:rPr>
          <w:rFonts w:ascii="Arial" w:hAnsi="Arial" w:cs="Arial"/>
        </w:rPr>
        <w:t xml:space="preserve">. In addition an asymmetric GMC spacing division also occurs which prevents neighbouring GMCs from forming immediately adjacently in </w:t>
      </w:r>
      <w:r>
        <w:rPr>
          <w:rFonts w:ascii="Arial" w:hAnsi="Arial" w:cs="Arial"/>
          <w:i/>
        </w:rPr>
        <w:t xml:space="preserve">P. patens </w:t>
      </w:r>
      <w:r>
        <w:rPr>
          <w:rFonts w:ascii="Arial" w:hAnsi="Arial" w:cs="Arial"/>
        </w:rPr>
        <w:t xml:space="preserve">(see also </w:t>
      </w:r>
      <w:r>
        <w:rPr>
          <w:rFonts w:ascii="Arial" w:hAnsi="Arial" w:cs="Arial"/>
          <w:b/>
        </w:rPr>
        <w:t>Fig. 1b</w:t>
      </w:r>
      <w:r>
        <w:rPr>
          <w:rFonts w:ascii="Arial" w:hAnsi="Arial" w:cs="Arial"/>
        </w:rPr>
        <w:t xml:space="preserve">). Such a division appears to yield a renewed GMC and a pavement cell. In </w:t>
      </w:r>
      <w:r>
        <w:rPr>
          <w:rFonts w:ascii="Arial" w:hAnsi="Arial" w:cs="Arial"/>
          <w:i/>
        </w:rPr>
        <w:t xml:space="preserve">P. patens </w:t>
      </w:r>
      <w:r>
        <w:rPr>
          <w:rFonts w:ascii="Arial" w:hAnsi="Arial" w:cs="Arial"/>
        </w:rPr>
        <w:t xml:space="preserve">it has been shown that </w:t>
      </w:r>
      <w:r>
        <w:rPr>
          <w:rFonts w:ascii="Arial" w:hAnsi="Arial" w:cs="Arial"/>
          <w:i/>
        </w:rPr>
        <w:t>PpSMF1</w:t>
      </w:r>
      <w:r w:rsidRPr="00DB4286">
        <w:rPr>
          <w:rFonts w:ascii="Arial" w:hAnsi="Arial" w:cs="Arial"/>
        </w:rPr>
        <w:t xml:space="preserve">, </w:t>
      </w:r>
      <w:r>
        <w:rPr>
          <w:rFonts w:ascii="Arial" w:hAnsi="Arial" w:cs="Arial"/>
          <w:i/>
        </w:rPr>
        <w:t xml:space="preserve">PpSCRM1, PpEPF1, PpTMM </w:t>
      </w:r>
      <w:r>
        <w:rPr>
          <w:rFonts w:ascii="Arial" w:hAnsi="Arial" w:cs="Arial"/>
        </w:rPr>
        <w:t xml:space="preserve">and </w:t>
      </w:r>
      <w:r>
        <w:rPr>
          <w:rFonts w:ascii="Arial" w:hAnsi="Arial" w:cs="Arial"/>
          <w:i/>
        </w:rPr>
        <w:t xml:space="preserve">PpERECTA1 </w:t>
      </w:r>
      <w:r>
        <w:rPr>
          <w:rFonts w:ascii="Arial" w:hAnsi="Arial" w:cs="Arial"/>
        </w:rPr>
        <w:t xml:space="preserve">are important for regulating stomatal development and patterning and that these genes are orthologous to genes in Arabidopsis (see Chapters 3 and 4). For observational purposes, </w:t>
      </w:r>
      <w:r w:rsidRPr="00681A02">
        <w:rPr>
          <w:rFonts w:ascii="Arial" w:hAnsi="Arial" w:cs="Arial"/>
          <w:i/>
        </w:rPr>
        <w:t>TMM</w:t>
      </w:r>
      <w:r>
        <w:rPr>
          <w:rFonts w:ascii="Arial" w:hAnsi="Arial" w:cs="Arial"/>
          <w:i/>
        </w:rPr>
        <w:t xml:space="preserve"> </w:t>
      </w:r>
      <w:r>
        <w:rPr>
          <w:rFonts w:ascii="Arial" w:hAnsi="Arial" w:cs="Arial"/>
        </w:rPr>
        <w:t xml:space="preserve">and </w:t>
      </w:r>
      <w:r>
        <w:rPr>
          <w:rFonts w:ascii="Arial" w:hAnsi="Arial" w:cs="Arial"/>
          <w:i/>
        </w:rPr>
        <w:t xml:space="preserve">ERECTA </w:t>
      </w:r>
      <w:r>
        <w:rPr>
          <w:rFonts w:ascii="Arial" w:hAnsi="Arial" w:cs="Arial"/>
        </w:rPr>
        <w:t xml:space="preserve">gene orthologues that function during stomatal development have been omitted from </w:t>
      </w:r>
      <w:r>
        <w:rPr>
          <w:rFonts w:ascii="Arial" w:hAnsi="Arial" w:cs="Arial"/>
          <w:i/>
        </w:rPr>
        <w:t xml:space="preserve">P. patens </w:t>
      </w:r>
      <w:r>
        <w:rPr>
          <w:rFonts w:ascii="Arial" w:hAnsi="Arial" w:cs="Arial"/>
        </w:rPr>
        <w:t>and Arabidopsis</w:t>
      </w:r>
      <w:r>
        <w:rPr>
          <w:rFonts w:ascii="Arial" w:hAnsi="Arial" w:cs="Arial"/>
          <w:i/>
        </w:rPr>
        <w:t xml:space="preserve"> </w:t>
      </w:r>
      <w:r>
        <w:rPr>
          <w:rFonts w:ascii="Arial" w:hAnsi="Arial" w:cs="Arial"/>
        </w:rPr>
        <w:t>onto</w:t>
      </w:r>
      <w:r w:rsidR="00405CE5">
        <w:rPr>
          <w:rFonts w:ascii="Arial" w:hAnsi="Arial" w:cs="Arial"/>
        </w:rPr>
        <w:t>genies</w:t>
      </w:r>
      <w:r>
        <w:rPr>
          <w:rFonts w:ascii="Arial" w:hAnsi="Arial" w:cs="Arial"/>
        </w:rPr>
        <w:t xml:space="preserve">. In the early diverging vascular land plant lineage of the lycophytes stomatal development may be similar to that of the mosses </w:t>
      </w:r>
      <w:r>
        <w:rPr>
          <w:rFonts w:ascii="Arial" w:hAnsi="Arial" w:cs="Arial"/>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SURUZXh0PjxEaXNwbGF5VGV4dD4oUnVkYWxsIGV0IGFsLiwgMjAxMyk8L0Rpc3BsYXlUZXh0Pjxy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</w:fldData>
        </w:fldChar>
      </w:r>
      <w:r>
        <w:rPr>
          <w:rFonts w:ascii="Arial" w:hAnsi="Arial" w:cs="Arial"/>
        </w:rPr>
        <w:instrText xml:space="preserve"> ADDIN EN.CITE </w:instrText>
      </w:r>
      <w:r>
        <w:rPr>
          <w:rFonts w:ascii="Arial" w:hAnsi="Arial" w:cs="Arial"/>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SURUZXh0PjxEaXNwbGF5VGV4dD4oUnVkYWxsIGV0IGFsLiwgMjAxMyk8L0Rpc3BsYXlUZXh0Pjxy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(Rudall et al., 2013)</w:t>
      </w:r>
      <w:r>
        <w:rPr>
          <w:rFonts w:ascii="Arial" w:hAnsi="Arial" w:cs="Arial"/>
        </w:rPr>
        <w:fldChar w:fldCharType="end"/>
      </w:r>
      <w:r>
        <w:rPr>
          <w:rFonts w:ascii="Arial" w:hAnsi="Arial" w:cs="Arial"/>
        </w:rPr>
        <w:t xml:space="preserve">, but could also include an entry asymmetric division </w:t>
      </w:r>
      <w:r>
        <w:rPr>
          <w:rFonts w:ascii="Arial" w:hAnsi="Arial" w:cs="Arial"/>
        </w:rPr>
        <w:fldChar w:fldCharType="begin"/>
      </w:r>
      <w:r>
        <w:rPr>
          <w:rFonts w:ascii="Arial" w:hAnsi="Arial" w:cs="Arial"/>
        </w:rPr>
        <w:instrText xml:space="preserve"> ADDIN EN.CITE &lt;EndNote&gt;&lt;Cite&gt;&lt;Author&gt;Payne&lt;/Author&gt;&lt;Year&gt;1979&lt;/Year&gt;&lt;IDText&gt;Stomatal patterns in embyrophytes - Their evolution, ontogeny and interpretation&lt;/IDText&gt;&lt;DisplayText&gt;(Payne, 1979)&lt;/DisplayText&gt;&lt;record&gt;&lt;urls&gt;&lt;related-urls&gt;&lt;url&gt;&amp;lt;Go to ISI&amp;gt;://WOS:A1979GS81200017&lt;/url&gt;&lt;/related-urls&gt;&lt;/urls&gt;&lt;isbn&gt;0040-0262&lt;/isbn&gt;&lt;work-type&gt;Article&lt;/work-type&gt;&lt;titles&gt;&lt;title&gt;Stomatal patterns in embyrophytes - Their evolution, ontogeny and interpretation&lt;/title&gt;&lt;secondary-title&gt;Taxon&lt;/secondary-title&gt;&lt;alt-title&gt;Taxon&lt;/alt-title&gt;&lt;/titles&gt;&lt;pages&gt;117-132&lt;/pages&gt;&lt;number&gt;1-3&lt;/number&gt;&lt;contributors&gt;&lt;authors&gt;&lt;author&gt;Payne, W. W.&lt;/author&gt;&lt;/authors&gt;&lt;/contributors&gt;&lt;language&gt;English&lt;/language&gt;&lt;added-date format="utc"&gt;1354648675&lt;/added-date&gt;&lt;ref-type name="Journal Article"&gt;17&lt;/ref-type&gt;&lt;auth-address&gt;FAIRCHILD TROP GARDEN,MIAMI,FL 33156.&amp;#xD;PAYNE, WW (reprint author), NEW YORK BOT GARDEN,CARY ARBORETUM,BOX AB,MILLBROOK,NY 12545, USA.&lt;/auth-address&gt;&lt;dates&gt;&lt;year&gt;1979&lt;/year&gt;&lt;/dates&gt;&lt;rec-number&gt;91&lt;/rec-number&gt;&lt;last-updated-date format="utc"&gt;1465018399&lt;/last-updated-date&gt;&lt;accession-num&gt;WOS:A1979GS81200017&lt;/accession-num&gt;&lt;electronic-resource-num&gt;10.2307/1219566&lt;/electronic-resource-num&gt;&lt;volume&gt;28&lt;/volume&gt;&lt;/record&gt;&lt;/Cite&gt;&lt;/EndNote&gt;</w:instrText>
      </w:r>
      <w:r>
        <w:rPr>
          <w:rFonts w:ascii="Arial" w:hAnsi="Arial" w:cs="Arial"/>
        </w:rPr>
        <w:fldChar w:fldCharType="separate"/>
      </w:r>
      <w:r>
        <w:rPr>
          <w:rFonts w:ascii="Arial" w:hAnsi="Arial" w:cs="Arial"/>
          <w:noProof/>
        </w:rPr>
        <w:t>(Payne, 1979)</w:t>
      </w:r>
      <w:r>
        <w:rPr>
          <w:rFonts w:ascii="Arial" w:hAnsi="Arial" w:cs="Arial"/>
        </w:rPr>
        <w:fldChar w:fldCharType="end"/>
      </w:r>
      <w:r>
        <w:rPr>
          <w:rFonts w:ascii="Arial" w:hAnsi="Arial" w:cs="Arial"/>
        </w:rPr>
        <w:t xml:space="preserve">. The ferns display asymmetric entry divisions which yield a GMC and a stomatal lineage ground cell (SLGC) </w:t>
      </w:r>
      <w:r>
        <w:rPr>
          <w:rFonts w:ascii="Arial" w:hAnsi="Arial" w:cs="Arial"/>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SURUZXh0PjxEaXNwbGF5VGV4dD4oUnVkYWxsIGV0IGFsLiwgMjAxMyk8L0Rpc3BsYXlUZXh0Pjxy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</w:fldData>
        </w:fldChar>
      </w:r>
      <w:r>
        <w:rPr>
          <w:rFonts w:ascii="Arial" w:hAnsi="Arial" w:cs="Arial"/>
        </w:rPr>
        <w:instrText xml:space="preserve"> ADDIN EN.CITE </w:instrText>
      </w:r>
      <w:r>
        <w:rPr>
          <w:rFonts w:ascii="Arial" w:hAnsi="Arial" w:cs="Arial"/>
        </w:rPr>
        <w:fldChar w:fldCharType="begin">
          <w:fldData xml:space="preserve">PEVuZE5vdGU+PENpdGU+PEF1dGhvcj5SdWRhbGw8L0F1dGhvcj48WWVhcj4yMDEzPC9ZZWFyPjxJ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(Rudall et al., 2013)</w:t>
      </w:r>
      <w:r>
        <w:rPr>
          <w:rFonts w:ascii="Arial" w:hAnsi="Arial" w:cs="Arial"/>
        </w:rPr>
        <w:fldChar w:fldCharType="end"/>
      </w:r>
      <w:r>
        <w:rPr>
          <w:rFonts w:ascii="Arial" w:hAnsi="Arial" w:cs="Arial"/>
        </w:rPr>
        <w:t xml:space="preserve">. Asymmetric SLGC spacing divisions (also termed spacing divisions) occur after the entry division in some ferns </w:t>
      </w:r>
      <w:r>
        <w:rPr>
          <w:rFonts w:ascii="Arial" w:hAnsi="Arial" w:cs="Arial"/>
        </w:rPr>
        <w:fldChar w:fldCharType="begin"/>
      </w:r>
      <w:r>
        <w:rPr>
          <w:rFonts w:ascii="Arial" w:hAnsi="Arial" w:cs="Arial"/>
        </w:rPr>
        <w:instrText xml:space="preserve"> ADDIN EN.CITE &lt;EndNote&gt;&lt;Cite&gt;&lt;Author&gt;Maroti&lt;/Author&gt;&lt;Year&gt;1966&lt;/Year&gt;&lt;IDText&gt;Development of Tmesopsida and Pteropsida leaves and histogenesis of the epidermis.&lt;/IDText&gt;&lt;DisplayText&gt;(Maroti, 1966)&lt;/DisplayText&gt;&lt;record&gt;&lt;titles&gt;&lt;title&gt;Development of Tmesopsida and Pteropsida leaves and histogenesis of the epidermis.&lt;/title&gt;&lt;secondary-title&gt;Acta Biologica &lt;/secondary-title&gt;&lt;/titles&gt;&lt;pages&gt;37-60&lt;/pages&gt;&lt;contributors&gt;&lt;authors&gt;&lt;author&gt;Maroti, I&lt;/author&gt;&lt;/authors&gt;&lt;/contributors&gt;&lt;added-date format="utc"&gt;1464968457&lt;/added-date&gt;&lt;ref-type name="Journal Article"&gt;17&lt;/ref-type&gt;&lt;dates&gt;&lt;year&gt;1966&lt;/year&gt;&lt;/dates&gt;&lt;rec-number&gt;1279&lt;/rec-number&gt;&lt;last-updated-date format="utc"&gt;1464968515&lt;/last-updated-date&gt;&lt;volume&gt;12&lt;/volume&gt;&lt;/record&gt;&lt;/Cite&gt;&lt;/EndNote&gt;</w:instrText>
      </w:r>
      <w:r>
        <w:rPr>
          <w:rFonts w:ascii="Arial" w:hAnsi="Arial" w:cs="Arial"/>
        </w:rPr>
        <w:fldChar w:fldCharType="separate"/>
      </w:r>
      <w:r>
        <w:rPr>
          <w:rFonts w:ascii="Arial" w:hAnsi="Arial" w:cs="Arial"/>
          <w:noProof/>
        </w:rPr>
        <w:t>(Maroti, 1966)</w:t>
      </w:r>
      <w:r>
        <w:rPr>
          <w:rFonts w:ascii="Arial" w:hAnsi="Arial" w:cs="Arial"/>
        </w:rPr>
        <w:fldChar w:fldCharType="end"/>
      </w:r>
      <w:r>
        <w:rPr>
          <w:rFonts w:ascii="Arial" w:hAnsi="Arial" w:cs="Arial"/>
        </w:rPr>
        <w:t xml:space="preserve">. In the more latterly diverging seed plants, a further adaptation has arisen from asymmetric entry divisions that produces a meristemoid and a SLGC from a meristemoid mother cell (MMC) </w:t>
      </w:r>
      <w:r>
        <w:rPr>
          <w:rFonts w:ascii="Arial" w:hAnsi="Arial" w:cs="Arial"/>
        </w:rPr>
        <w:fldChar w:fldCharType="begin">
          <w:fldData xml:space="preserve">PEVuZE5vdGU+PENpdGU+PEF1dGhvcj5NYWNBbGlzdGVyPC9BdXRob3I+PFllYXI+MjAwNzwvWWVh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==
</w:fldData>
        </w:fldChar>
      </w:r>
      <w:r>
        <w:rPr>
          <w:rFonts w:ascii="Arial" w:hAnsi="Arial" w:cs="Arial"/>
        </w:rPr>
        <w:instrText xml:space="preserve"> ADDIN EN.CITE </w:instrText>
      </w:r>
      <w:r>
        <w:rPr>
          <w:rFonts w:ascii="Arial" w:hAnsi="Arial" w:cs="Arial"/>
        </w:rPr>
        <w:fldChar w:fldCharType="begin">
          <w:fldData xml:space="preserve">PEVuZE5vdGU+PENpdGU+PEF1dGhvcj5NYWNBbGlzdGVyPC9BdXRob3I+PFllYXI+MjAwNzwvWWVh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==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(MacAlister et al., 2007; Zhao and Sack, 1999)</w:t>
      </w:r>
      <w:r>
        <w:rPr>
          <w:rFonts w:ascii="Arial" w:hAnsi="Arial" w:cs="Arial"/>
        </w:rPr>
        <w:fldChar w:fldCharType="end"/>
      </w:r>
      <w:r>
        <w:rPr>
          <w:rFonts w:ascii="Arial" w:hAnsi="Arial" w:cs="Arial"/>
        </w:rPr>
        <w:t xml:space="preserve">. Meristemoids enable amplifying divisions to occur which results in regeneration of the meristemoid and the production additional SLGCs or epidermal cells. SLCG spacing divisions can occur at similar times to amplifying divisions in Arabidopsis (see arrow with dashed line). The diversification of function for both </w:t>
      </w:r>
      <w:r>
        <w:rPr>
          <w:rFonts w:ascii="Arial" w:hAnsi="Arial" w:cs="Arial"/>
          <w:i/>
        </w:rPr>
        <w:t xml:space="preserve">SMFs </w:t>
      </w:r>
      <w:r>
        <w:rPr>
          <w:rFonts w:ascii="Arial" w:hAnsi="Arial" w:cs="Arial"/>
        </w:rPr>
        <w:t xml:space="preserve">and </w:t>
      </w:r>
      <w:r>
        <w:rPr>
          <w:rFonts w:ascii="Arial" w:hAnsi="Arial" w:cs="Arial"/>
          <w:i/>
        </w:rPr>
        <w:t xml:space="preserve">EPFs </w:t>
      </w:r>
      <w:r>
        <w:rPr>
          <w:rFonts w:ascii="Arial" w:hAnsi="Arial" w:cs="Arial"/>
        </w:rPr>
        <w:fldChar w:fldCharType="begin"/>
      </w:r>
      <w:r>
        <w:rPr>
          <w:rFonts w:ascii="Arial" w:hAnsi="Arial" w:cs="Arial"/>
        </w:rPr>
        <w:instrText xml:space="preserve"> ADDIN EN.CITE &lt;EndNote&gt;&lt;Cite&gt;&lt;Author&gt;Torii&lt;/Author&gt;&lt;Year&gt;2012&lt;/Year&gt;&lt;IDText&gt;Mix-and-match: ligand–receptor pairs in stomatal development and beyond&lt;/IDText&gt;&lt;DisplayText&gt;(Simmons and Bergmann, 2016; Torii, 2012)&lt;/DisplayText&gt;&lt;record&gt;&lt;titles&gt;&lt;title&gt;Mix-and-match: ligand–receptor pairs in stomatal development and beyond&lt;/title&gt;&lt;/titles&gt;&lt;number&gt;12&lt;/number&gt;&lt;contributors&gt;&lt;authors&gt;&lt;author&gt;Torii, K.&lt;/author&gt;&lt;/authors&gt;&lt;/contributors&gt;&lt;added-date format="utc"&gt;1354682651&lt;/added-date&gt;&lt;ref-type name="Generic"&gt;13&lt;/ref-type&gt;&lt;dates&gt;&lt;year&gt;2012&lt;/year&gt;&lt;/dates&gt;&lt;rec-number&gt;92&lt;/rec-number&gt;&lt;publisher&gt;CELL&lt;/publisher&gt;&lt;last-updated-date format="utc"&gt;1354682715&lt;/last-updated-date&gt;&lt;volume&gt;17&lt;/volume&gt;&lt;/record&gt;&lt;/Cite&gt;&lt;Cite&gt;&lt;Author&gt;Simmons&lt;/Author&gt;&lt;Year&gt;2016&lt;/Year&gt;&lt;IDText&gt;Transcriptional control of cell fate in the stomatal lineage&lt;/IDText&gt;&lt;record&gt;&lt;dates&gt;&lt;pub-dates&gt;&lt;date&gt;2//&lt;/date&gt;&lt;/pub-dates&gt;&lt;year&gt;2016&lt;/year&gt;&lt;/dates&gt;&lt;urls&gt;&lt;related-urls&gt;&lt;url&gt;http://www.sciencedirect.com/science/article/pii/S136952661500148X&lt;/url&gt;&lt;/related-urls&gt;&lt;/urls&gt;&lt;isbn&gt;1369-5266&lt;/isbn&gt;&lt;titles&gt;&lt;title&gt;Transcriptional control of cell fate in the stomatal lineage&lt;/title&gt;&lt;secondary-title&gt;Current Opinion in Plant Biology&lt;/secondary-title&gt;&lt;/titles&gt;&lt;pages&gt;1-8&lt;/pages&gt;&lt;contributors&gt;&lt;authors&gt;&lt;author&gt;Simmons, Abigail R.&lt;/author&gt;&lt;author&gt;Bergmann, Dominique C.&lt;/author&gt;&lt;/authors&gt;&lt;/contributors&gt;&lt;added-date format="utc"&gt;1457767454&lt;/added-date&gt;&lt;ref-type name="Journal Article"&gt;17&lt;/ref-type&gt;&lt;rec-number&gt;1077&lt;/rec-number&gt;&lt;last-updated-date format="utc"&gt;1457767454&lt;/last-updated-date&gt;&lt;electronic-resource-num&gt;http://dx.doi.org/10.1016/j.pbi.2015.09.008&lt;/electronic-resource-num&gt;&lt;volume&gt;29&lt;/volume&gt;&lt;/record&gt;&lt;/Cite&gt;&lt;/EndNote&gt;</w:instrText>
      </w:r>
      <w:r>
        <w:rPr>
          <w:rFonts w:ascii="Arial" w:hAnsi="Arial" w:cs="Arial"/>
        </w:rPr>
        <w:fldChar w:fldCharType="separate"/>
      </w:r>
      <w:r>
        <w:rPr>
          <w:rFonts w:ascii="Arial" w:hAnsi="Arial" w:cs="Arial"/>
          <w:noProof/>
        </w:rPr>
        <w:t>(Simmons and Bergmann, 2016; Torii, 2012)</w:t>
      </w:r>
      <w:r>
        <w:rPr>
          <w:rFonts w:ascii="Arial" w:hAnsi="Arial" w:cs="Arial"/>
        </w:rPr>
        <w:fldChar w:fldCharType="end"/>
      </w:r>
      <w:r>
        <w:rPr>
          <w:rFonts w:ascii="Arial" w:hAnsi="Arial" w:cs="Arial"/>
        </w:rPr>
        <w:t xml:space="preserve"> can be clearly observed in Arabidopsis</w:t>
      </w:r>
      <w:r w:rsidR="00405CE5">
        <w:rPr>
          <w:rFonts w:ascii="Arial" w:hAnsi="Arial" w:cs="Arial"/>
        </w:rPr>
        <w:t xml:space="preserve"> stomatal developmental ontogeny</w:t>
      </w:r>
      <w:r>
        <w:rPr>
          <w:rFonts w:ascii="Arial" w:hAnsi="Arial" w:cs="Arial"/>
        </w:rPr>
        <w:t xml:space="preserve"> relative to </w:t>
      </w:r>
      <w:r>
        <w:rPr>
          <w:rFonts w:ascii="Arial" w:hAnsi="Arial" w:cs="Arial"/>
          <w:i/>
        </w:rPr>
        <w:t>P. patens</w:t>
      </w:r>
      <w:r>
        <w:rPr>
          <w:rFonts w:ascii="Arial" w:hAnsi="Arial" w:cs="Arial"/>
        </w:rPr>
        <w:t xml:space="preserve">. </w:t>
      </w:r>
      <w:r w:rsidRPr="00DB4286">
        <w:rPr>
          <w:rFonts w:ascii="Arial" w:hAnsi="Arial" w:cs="Arial"/>
        </w:rPr>
        <w:t>Genes</w:t>
      </w:r>
      <w:r>
        <w:rPr>
          <w:rFonts w:ascii="Arial" w:hAnsi="Arial" w:cs="Arial"/>
        </w:rPr>
        <w:t xml:space="preserve"> in dark blue act positively to regulate stomatal development, genes marked purple act negatively. Dotted lines require further study to confirm. </w:t>
      </w:r>
    </w:p>
    <w:p w14:paraId="5E455A15" w14:textId="492E3418" w:rsidR="006C37DC" w:rsidRDefault="006C37DC" w:rsidP="006C37DC">
      <w:pPr>
        <w:spacing w:line="360" w:lineRule="auto"/>
        <w:rPr>
          <w:rFonts w:ascii="Arial" w:hAnsi="Arial" w:cs="Arial"/>
        </w:rPr>
      </w:pPr>
      <w:r>
        <w:rPr>
          <w:rFonts w:ascii="Arial" w:hAnsi="Arial" w:cs="Arial"/>
        </w:rPr>
        <w:t xml:space="preserve">It seems that the </w:t>
      </w:r>
      <w:r w:rsidRPr="00F60BEE">
        <w:rPr>
          <w:rFonts w:ascii="Arial" w:hAnsi="Arial" w:cs="Arial"/>
        </w:rPr>
        <w:t>evolution of the ferns coincided with the evolution of the entry asymmetric division</w:t>
      </w:r>
      <w:r>
        <w:rPr>
          <w:rFonts w:ascii="Arial" w:hAnsi="Arial" w:cs="Arial"/>
        </w:rPr>
        <w:t xml:space="preserve"> prior to GMC formation, although, it has been argued that this evolved earlier in the lycophytes or even the mosses (</w:t>
      </w:r>
      <w:r>
        <w:rPr>
          <w:rFonts w:ascii="Arial" w:hAnsi="Arial" w:cs="Arial"/>
          <w:b/>
        </w:rPr>
        <w:t xml:space="preserve">Fig. 2) </w:t>
      </w:r>
      <w:r>
        <w:rPr>
          <w:rFonts w:ascii="Arial" w:hAnsi="Arial" w:cs="Arial"/>
        </w:rPr>
        <w:fldChar w:fldCharType="begin">
          <w:fldData xml:space="preserve">PEVuZE5vdGU+PENpdGU+PEF1dGhvcj5aZWlnZXI8L0F1dGhvcj48WWVhcj4xOTg3PC9ZZWFyPjxJ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</w:fldData>
        </w:fldChar>
      </w:r>
      <w:r>
        <w:rPr>
          <w:rFonts w:ascii="Arial" w:hAnsi="Arial" w:cs="Arial"/>
        </w:rPr>
        <w:instrText xml:space="preserve"> ADDIN EN.CITE </w:instrText>
      </w:r>
      <w:r>
        <w:rPr>
          <w:rFonts w:ascii="Arial" w:hAnsi="Arial" w:cs="Arial"/>
        </w:rPr>
        <w:fldChar w:fldCharType="begin">
          <w:fldData xml:space="preserve">PEVuZE5vdGU+PENpdGU+PEF1dGhvcj5aZWlnZXI8L0F1dGhvcj48WWVhcj4xOTg3PC9ZZWFyPjxJ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(Maroti, 1966; Payne, 1979; Rudall et al., 2013; Zeiger et al., 1987)</w:t>
      </w:r>
      <w:r>
        <w:rPr>
          <w:rFonts w:ascii="Arial" w:hAnsi="Arial" w:cs="Arial"/>
        </w:rPr>
        <w:fldChar w:fldCharType="end"/>
      </w:r>
      <w:r w:rsidRPr="00F60BEE">
        <w:rPr>
          <w:rFonts w:ascii="Arial" w:hAnsi="Arial" w:cs="Arial"/>
        </w:rPr>
        <w:t xml:space="preserve">. </w:t>
      </w:r>
      <w:r>
        <w:rPr>
          <w:rFonts w:ascii="Arial" w:hAnsi="Arial" w:cs="Arial"/>
        </w:rPr>
        <w:t>The observation that the entry asymmetric div</w:t>
      </w:r>
      <w:r w:rsidRPr="00F60BEE">
        <w:rPr>
          <w:rFonts w:ascii="Arial" w:hAnsi="Arial" w:cs="Arial"/>
        </w:rPr>
        <w:t>is</w:t>
      </w:r>
      <w:r>
        <w:rPr>
          <w:rFonts w:ascii="Arial" w:hAnsi="Arial" w:cs="Arial"/>
        </w:rPr>
        <w:t>ion arose in the ferns rather than the lycophytes is</w:t>
      </w:r>
      <w:r w:rsidRPr="00F60BEE">
        <w:rPr>
          <w:rFonts w:ascii="Arial" w:hAnsi="Arial" w:cs="Arial"/>
        </w:rPr>
        <w:t xml:space="preserve"> supported by </w:t>
      </w:r>
      <w:r>
        <w:rPr>
          <w:rFonts w:ascii="Arial" w:hAnsi="Arial" w:cs="Arial"/>
        </w:rPr>
        <w:t>phylogenetic analyses</w:t>
      </w:r>
      <w:r w:rsidRPr="00F60BEE">
        <w:rPr>
          <w:rFonts w:ascii="Arial" w:hAnsi="Arial" w:cs="Arial"/>
        </w:rPr>
        <w:t xml:space="preserve"> which suggests that SPCH</w:t>
      </w:r>
      <w:r>
        <w:rPr>
          <w:rFonts w:ascii="Arial" w:hAnsi="Arial" w:cs="Arial"/>
        </w:rPr>
        <w:t xml:space="preserve"> (and MUTE)</w:t>
      </w:r>
      <w:r w:rsidRPr="00F60BEE">
        <w:rPr>
          <w:rFonts w:ascii="Arial" w:hAnsi="Arial" w:cs="Arial"/>
        </w:rPr>
        <w:t xml:space="preserve"> orthologues arose after the lycophytes </w:t>
      </w:r>
      <w:r>
        <w:rPr>
          <w:rFonts w:ascii="Arial" w:hAnsi="Arial" w:cs="Arial"/>
        </w:rPr>
        <w:t xml:space="preserve">split from the ancestral land plant lineage (see Fig. 7, Chapter 3) </w:t>
      </w:r>
      <w:r>
        <w:rPr>
          <w:rFonts w:ascii="Arial" w:hAnsi="Arial" w:cs="Arial"/>
        </w:rPr>
        <w:fldChar w:fldCharType="begin">
          <w:fldData xml:space="preserve">PEVuZE5vdGU+PENpdGU+PEF1dGhvcj5SYW48L0F1dGhvcj48WWVhcj4yMDEzPC9ZZWFyPjxJRFRl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</w:fldData>
        </w:fldChar>
      </w:r>
      <w:r>
        <w:rPr>
          <w:rFonts w:ascii="Arial" w:hAnsi="Arial" w:cs="Arial"/>
        </w:rPr>
        <w:instrText xml:space="preserve"> ADDIN EN.CITE </w:instrText>
      </w:r>
      <w:r>
        <w:rPr>
          <w:rFonts w:ascii="Arial" w:hAnsi="Arial" w:cs="Arial"/>
        </w:rPr>
        <w:fldChar w:fldCharType="begin">
          <w:fldData xml:space="preserve">PEVuZE5vdGU+PENpdGU+PEF1dGhvcj5SYW48L0F1dGhvcj48WWVhcj4yMDEzPC9ZZWFyPjxJRFRl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(Chater et al., 2016; Ran et al., 2013)</w:t>
      </w:r>
      <w:r>
        <w:rPr>
          <w:rFonts w:ascii="Arial" w:hAnsi="Arial" w:cs="Arial"/>
        </w:rPr>
        <w:fldChar w:fldCharType="end"/>
      </w:r>
      <w:r>
        <w:rPr>
          <w:rFonts w:ascii="Arial" w:hAnsi="Arial" w:cs="Arial"/>
        </w:rPr>
        <w:t xml:space="preserve">. On this point however, </w:t>
      </w:r>
      <w:r>
        <w:rPr>
          <w:rFonts w:ascii="Arial" w:hAnsi="Arial" w:cs="Arial"/>
        </w:rPr>
        <w:lastRenderedPageBreak/>
        <w:t xml:space="preserve">there are up to 3 potentially functional FAMA-like orthologues in the genome of </w:t>
      </w:r>
      <w:r>
        <w:rPr>
          <w:rFonts w:ascii="Arial" w:hAnsi="Arial" w:cs="Arial"/>
          <w:i/>
        </w:rPr>
        <w:t xml:space="preserve">S. moellendorffii </w:t>
      </w:r>
      <w:r>
        <w:rPr>
          <w:rFonts w:ascii="Arial" w:hAnsi="Arial" w:cs="Arial"/>
        </w:rPr>
        <w:t>which suggests that diversificatio</w:t>
      </w:r>
      <w:r w:rsidR="00405CE5">
        <w:rPr>
          <w:rFonts w:ascii="Arial" w:hAnsi="Arial" w:cs="Arial"/>
        </w:rPr>
        <w:t>n of genes and stomatal ontogeny</w:t>
      </w:r>
      <w:r>
        <w:rPr>
          <w:rFonts w:ascii="Arial" w:hAnsi="Arial" w:cs="Arial"/>
        </w:rPr>
        <w:t xml:space="preserve"> could have already begun by the time the lycophytes split from the ancestral land plant lineage. More evidence to support this comes from observations relating the phylogenetic position of the </w:t>
      </w:r>
      <w:r w:rsidRPr="00EA22E8">
        <w:rPr>
          <w:rFonts w:ascii="Arial" w:hAnsi="Arial" w:cs="Arial"/>
          <w:i/>
        </w:rPr>
        <w:t>EPF</w:t>
      </w:r>
      <w:r>
        <w:rPr>
          <w:rFonts w:ascii="Arial" w:hAnsi="Arial" w:cs="Arial"/>
        </w:rPr>
        <w:t xml:space="preserve"> gene found in </w:t>
      </w:r>
      <w:r>
        <w:rPr>
          <w:rFonts w:ascii="Arial" w:hAnsi="Arial" w:cs="Arial"/>
          <w:i/>
        </w:rPr>
        <w:t xml:space="preserve">S. moellendorffii </w:t>
      </w:r>
      <w:r>
        <w:rPr>
          <w:rFonts w:ascii="Arial" w:hAnsi="Arial" w:cs="Arial"/>
        </w:rPr>
        <w:t xml:space="preserve">which appears to be more closely related to Arabidopsis </w:t>
      </w:r>
      <w:r w:rsidRPr="00EA22E8">
        <w:rPr>
          <w:rFonts w:ascii="Arial" w:hAnsi="Arial" w:cs="Arial"/>
          <w:i/>
        </w:rPr>
        <w:t>EPF1</w:t>
      </w:r>
      <w:r w:rsidRPr="00EA22E8">
        <w:rPr>
          <w:rFonts w:ascii="Arial" w:hAnsi="Arial" w:cs="Arial"/>
        </w:rPr>
        <w:t>/</w:t>
      </w:r>
      <w:r>
        <w:rPr>
          <w:rFonts w:ascii="Arial" w:hAnsi="Arial" w:cs="Arial"/>
          <w:i/>
        </w:rPr>
        <w:t xml:space="preserve">2 </w:t>
      </w:r>
      <w:r>
        <w:rPr>
          <w:rFonts w:ascii="Arial" w:hAnsi="Arial" w:cs="Arial"/>
        </w:rPr>
        <w:t xml:space="preserve">genes than to </w:t>
      </w:r>
      <w:r>
        <w:rPr>
          <w:rFonts w:ascii="Arial" w:hAnsi="Arial" w:cs="Arial"/>
          <w:i/>
        </w:rPr>
        <w:t xml:space="preserve">PpEPF1 </w:t>
      </w:r>
      <w:r>
        <w:rPr>
          <w:rFonts w:ascii="Arial" w:hAnsi="Arial" w:cs="Arial"/>
        </w:rPr>
        <w:t xml:space="preserve">in </w:t>
      </w:r>
      <w:r>
        <w:rPr>
          <w:rFonts w:ascii="Arial" w:hAnsi="Arial" w:cs="Arial"/>
          <w:i/>
        </w:rPr>
        <w:t>P. patens.</w:t>
      </w:r>
      <w:r>
        <w:rPr>
          <w:rFonts w:ascii="Arial" w:hAnsi="Arial" w:cs="Arial"/>
        </w:rPr>
        <w:t xml:space="preserve"> This could suggest the function of this peptide was beginning to evolve closer to that of seed plants (For phylogeny see Fig. 6, Chapter 4), where a duplication event occurred leading to distinct </w:t>
      </w:r>
      <w:r>
        <w:rPr>
          <w:rFonts w:ascii="Arial" w:hAnsi="Arial" w:cs="Arial"/>
          <w:i/>
        </w:rPr>
        <w:t xml:space="preserve">EPF1 </w:t>
      </w:r>
      <w:r>
        <w:rPr>
          <w:rFonts w:ascii="Arial" w:hAnsi="Arial" w:cs="Arial"/>
        </w:rPr>
        <w:t xml:space="preserve">and </w:t>
      </w:r>
      <w:r>
        <w:rPr>
          <w:rFonts w:ascii="Arial" w:hAnsi="Arial" w:cs="Arial"/>
          <w:i/>
        </w:rPr>
        <w:t xml:space="preserve">EPF2 </w:t>
      </w:r>
      <w:r>
        <w:rPr>
          <w:rFonts w:ascii="Arial" w:hAnsi="Arial" w:cs="Arial"/>
        </w:rPr>
        <w:t>genes that appears to have aided in increased stomatal development complexity (</w:t>
      </w:r>
      <w:r>
        <w:rPr>
          <w:rFonts w:ascii="Arial" w:hAnsi="Arial" w:cs="Arial"/>
          <w:b/>
        </w:rPr>
        <w:t>Fig. 2</w:t>
      </w:r>
      <w:r>
        <w:rPr>
          <w:rFonts w:ascii="Arial" w:hAnsi="Arial" w:cs="Arial"/>
        </w:rPr>
        <w:t xml:space="preserve">). Note. There are also two EPFs in </w:t>
      </w:r>
      <w:r>
        <w:rPr>
          <w:rFonts w:ascii="Arial" w:hAnsi="Arial" w:cs="Arial"/>
          <w:i/>
        </w:rPr>
        <w:t xml:space="preserve">S. moellendorffii </w:t>
      </w:r>
      <w:r>
        <w:rPr>
          <w:rFonts w:ascii="Arial" w:hAnsi="Arial" w:cs="Arial"/>
        </w:rPr>
        <w:t xml:space="preserve">on the phylogeny in Figure 6 of Chapter 4 but these are identical and so this probably due sequencing issues rather than a true duplication event. Further details regarding the complement and function of genes in multiple lycophyte and fern species are clearly required. </w:t>
      </w:r>
    </w:p>
    <w:p w14:paraId="259DC972" w14:textId="38941193" w:rsidR="006C37DC" w:rsidRPr="00E00599" w:rsidRDefault="006C37DC" w:rsidP="006C37DC">
      <w:pPr>
        <w:spacing w:line="360" w:lineRule="auto"/>
        <w:rPr>
          <w:rFonts w:ascii="Arial" w:hAnsi="Arial" w:cs="Arial"/>
        </w:rPr>
      </w:pPr>
      <w:r>
        <w:rPr>
          <w:rFonts w:ascii="Arial" w:hAnsi="Arial" w:cs="Arial"/>
        </w:rPr>
        <w:t xml:space="preserve">Assuming that distinct </w:t>
      </w:r>
      <w:r>
        <w:rPr>
          <w:rFonts w:ascii="Arial" w:hAnsi="Arial" w:cs="Arial"/>
          <w:i/>
        </w:rPr>
        <w:t xml:space="preserve">SPCH, MUTE and FAMA </w:t>
      </w:r>
      <w:r>
        <w:rPr>
          <w:rFonts w:ascii="Arial" w:hAnsi="Arial" w:cs="Arial"/>
        </w:rPr>
        <w:t xml:space="preserve">orthologues had evolved by the time the ferns diverged from the ancestral lineage, one scenario relating to the evolution of the entry asymmetric entry division is that such a mechanism was enabled by co-opting, modifying and then redeploying genes used by a common ancestor of </w:t>
      </w:r>
      <w:r>
        <w:rPr>
          <w:rFonts w:ascii="Arial" w:hAnsi="Arial" w:cs="Arial"/>
          <w:i/>
        </w:rPr>
        <w:t xml:space="preserve">P. patens </w:t>
      </w:r>
      <w:r>
        <w:rPr>
          <w:rFonts w:ascii="Arial" w:hAnsi="Arial" w:cs="Arial"/>
        </w:rPr>
        <w:t xml:space="preserve">to space early </w:t>
      </w:r>
      <w:r w:rsidRPr="00F60BEE">
        <w:rPr>
          <w:rFonts w:ascii="Arial" w:hAnsi="Arial" w:cs="Arial"/>
        </w:rPr>
        <w:t>GMC</w:t>
      </w:r>
      <w:r>
        <w:rPr>
          <w:rFonts w:ascii="Arial" w:hAnsi="Arial" w:cs="Arial"/>
        </w:rPr>
        <w:t xml:space="preserve"> cells. That is, ancient fern-like plants could have used the potentially newly evolved </w:t>
      </w:r>
      <w:r w:rsidRPr="009E2E9E">
        <w:rPr>
          <w:rFonts w:ascii="Arial" w:hAnsi="Arial" w:cs="Arial"/>
        </w:rPr>
        <w:t>SPCH</w:t>
      </w:r>
      <w:r>
        <w:rPr>
          <w:rFonts w:ascii="Arial" w:hAnsi="Arial" w:cs="Arial"/>
          <w:i/>
        </w:rPr>
        <w:t xml:space="preserve"> </w:t>
      </w:r>
      <w:r>
        <w:rPr>
          <w:rFonts w:ascii="Arial" w:hAnsi="Arial" w:cs="Arial"/>
        </w:rPr>
        <w:t xml:space="preserve">and </w:t>
      </w:r>
      <w:r w:rsidRPr="009E2E9E">
        <w:rPr>
          <w:rFonts w:ascii="Arial" w:hAnsi="Arial" w:cs="Arial"/>
        </w:rPr>
        <w:t>MUTE</w:t>
      </w:r>
      <w:r>
        <w:rPr>
          <w:rFonts w:ascii="Arial" w:hAnsi="Arial" w:cs="Arial"/>
        </w:rPr>
        <w:t xml:space="preserve"> (derived from an SMF ancestor), in combination with SCRM(s) to instigate an asymmetric entry divisions prior to the formation of GMC. Of course, there is still lots to understand relating to the GMC spacing divisions in </w:t>
      </w:r>
      <w:r>
        <w:rPr>
          <w:rFonts w:ascii="Arial" w:hAnsi="Arial" w:cs="Arial"/>
          <w:i/>
        </w:rPr>
        <w:t xml:space="preserve">P. patens </w:t>
      </w:r>
      <w:r>
        <w:rPr>
          <w:rFonts w:ascii="Arial" w:hAnsi="Arial" w:cs="Arial"/>
        </w:rPr>
        <w:t xml:space="preserve">and so this idea is only very tentatively broached. In ancient fern-like species, should such a mechanism have been adopted then the resulting cells could well have been a GMC and a SLGC, akin to as has been observed in some extant </w:t>
      </w:r>
      <w:r>
        <w:rPr>
          <w:rFonts w:ascii="Arial" w:hAnsi="Arial" w:cs="Arial"/>
          <w:i/>
        </w:rPr>
        <w:t xml:space="preserve">Ophioglossum </w:t>
      </w:r>
      <w:r>
        <w:rPr>
          <w:rFonts w:ascii="Arial" w:hAnsi="Arial" w:cs="Arial"/>
        </w:rPr>
        <w:t xml:space="preserve">fern species (see fern stomatal development in </w:t>
      </w:r>
      <w:r>
        <w:rPr>
          <w:rFonts w:ascii="Arial" w:hAnsi="Arial" w:cs="Arial"/>
          <w:b/>
        </w:rPr>
        <w:t>Fig. 2</w:t>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&lt;EndNote&gt;&lt;Cite&gt;&lt;Author&gt;Zeiger&lt;/Author&gt;&lt;Year&gt;1987&lt;/Year&gt;&lt;IDText&gt;Stomatal function&lt;/IDText&gt;&lt;DisplayText&gt;(Zeiger et al., 1987)&lt;/DisplayText&gt;&lt;record&gt;&lt;keywords&gt;&lt;keyword&gt;Stomata.&lt;/keyword&gt;&lt;/keywords&gt;&lt;isbn&gt;0804713472&lt;/isbn&gt;&lt;titles&gt;&lt;title&gt;Stomatal function&lt;/title&gt;&lt;/titles&gt;&lt;pages&gt;xiv, 503 p.&lt;/pages&gt;&lt;contributors&gt;&lt;authors&gt;&lt;author&gt;Zeiger, Eduardo&lt;/author&gt;&lt;author&gt;Farquhar, G. D.&lt;/author&gt;&lt;author&gt;Cowan, I. R.&lt;/author&gt;&lt;/authors&gt;&lt;/contributors&gt;&lt;added-date format="utc"&gt;1432565933&lt;/added-date&gt;&lt;pub-location&gt;Stanford, Calif.&lt;/pub-location&gt;&lt;ref-type name="Book"&gt;6&lt;/ref-type&gt;&lt;dates&gt;&lt;year&gt;1987&lt;/year&gt;&lt;/dates&gt;&lt;rec-number&gt;162&lt;/rec-number&gt;&lt;publisher&gt;Stanford University Press&lt;/publisher&gt;&lt;last-updated-date format="utc"&gt;1432565933&lt;/last-updated-date&gt;&lt;/record&gt;&lt;/Cite&gt;&lt;/EndNote&gt;</w:instrText>
      </w:r>
      <w:r>
        <w:rPr>
          <w:rFonts w:ascii="Arial" w:hAnsi="Arial" w:cs="Arial"/>
        </w:rPr>
        <w:fldChar w:fldCharType="separate"/>
      </w:r>
      <w:r>
        <w:rPr>
          <w:rFonts w:ascii="Arial" w:hAnsi="Arial" w:cs="Arial"/>
          <w:noProof/>
        </w:rPr>
        <w:t>(Zeiger et al., 1987)</w:t>
      </w:r>
      <w:r>
        <w:rPr>
          <w:rFonts w:ascii="Arial" w:hAnsi="Arial" w:cs="Arial"/>
        </w:rPr>
        <w:fldChar w:fldCharType="end"/>
      </w:r>
      <w:r>
        <w:rPr>
          <w:rFonts w:ascii="Arial" w:hAnsi="Arial" w:cs="Arial"/>
        </w:rPr>
        <w:t xml:space="preserve">. As with Arabidopsis SLGCs, the ancestral fern SLGCs may have maintained some level of stomatal lineage identity after the initial asymmetric division thereby enabling the </w:t>
      </w:r>
      <w:r w:rsidRPr="00F60BEE">
        <w:rPr>
          <w:rFonts w:ascii="Arial" w:hAnsi="Arial" w:cs="Arial"/>
        </w:rPr>
        <w:t xml:space="preserve">formation of satellite </w:t>
      </w:r>
      <w:r>
        <w:rPr>
          <w:rFonts w:ascii="Arial" w:hAnsi="Arial" w:cs="Arial"/>
        </w:rPr>
        <w:t>GMC via a SLGC spacing division,</w:t>
      </w:r>
      <w:r w:rsidRPr="00F60BEE">
        <w:rPr>
          <w:rFonts w:ascii="Arial" w:hAnsi="Arial" w:cs="Arial"/>
        </w:rPr>
        <w:t xml:space="preserve"> as has</w:t>
      </w:r>
      <w:r>
        <w:rPr>
          <w:rFonts w:ascii="Arial" w:hAnsi="Arial" w:cs="Arial"/>
        </w:rPr>
        <w:t xml:space="preserve"> also</w:t>
      </w:r>
      <w:r w:rsidRPr="00F60BEE">
        <w:rPr>
          <w:rFonts w:ascii="Arial" w:hAnsi="Arial" w:cs="Arial"/>
        </w:rPr>
        <w:t xml:space="preserve"> been</w:t>
      </w:r>
      <w:r>
        <w:rPr>
          <w:rFonts w:ascii="Arial" w:hAnsi="Arial" w:cs="Arial"/>
        </w:rPr>
        <w:t xml:space="preserve"> </w:t>
      </w:r>
      <w:r w:rsidRPr="00F60BEE">
        <w:rPr>
          <w:rFonts w:ascii="Arial" w:hAnsi="Arial" w:cs="Arial"/>
        </w:rPr>
        <w:t xml:space="preserve">shown to occur in </w:t>
      </w:r>
      <w:r>
        <w:rPr>
          <w:rFonts w:ascii="Arial" w:hAnsi="Arial" w:cs="Arial"/>
        </w:rPr>
        <w:t>some</w:t>
      </w:r>
      <w:r w:rsidRPr="00F60BEE">
        <w:rPr>
          <w:rFonts w:ascii="Arial" w:hAnsi="Arial" w:cs="Arial"/>
        </w:rPr>
        <w:t xml:space="preserve"> ferns </w:t>
      </w:r>
      <w:r w:rsidRPr="00F60BEE">
        <w:rPr>
          <w:rFonts w:ascii="Arial" w:hAnsi="Arial" w:cs="Arial"/>
        </w:rPr>
        <w:fldChar w:fldCharType="begin"/>
      </w:r>
      <w:r w:rsidRPr="00F60BEE">
        <w:rPr>
          <w:rFonts w:ascii="Arial" w:hAnsi="Arial" w:cs="Arial"/>
        </w:rPr>
        <w:instrText xml:space="preserve"> ADDIN EN.CITE &lt;EndNote&gt;&lt;Cite&gt;&lt;Author&gt;Maroti&lt;/Author&gt;&lt;Year&gt;1966&lt;/Year&gt;&lt;IDText&gt;Development of Tmesopsida and Pteropsida leaves and histogenesis of the epidermis.&lt;/IDText&gt;&lt;DisplayText&gt;(Maroti, 1966)&lt;/DisplayText&gt;&lt;record&gt;&lt;titles&gt;&lt;title&gt;Development of Tmesopsida and Pteropsida leaves and histogenesis of the epidermis.&lt;/title&gt;&lt;secondary-title&gt;Acta Biologica &lt;/secondary-title&gt;&lt;/titles&gt;&lt;pages&gt;37-60&lt;/pages&gt;&lt;contributors&gt;&lt;authors&gt;&lt;author&gt;Maroti, I&lt;/author&gt;&lt;/authors&gt;&lt;/contributors&gt;&lt;added-date format="utc"&gt;1464968457&lt;/added-date&gt;&lt;ref-type name="Journal Article"&gt;17&lt;/ref-type&gt;&lt;dates&gt;&lt;year&gt;1966&lt;/year&gt;&lt;/dates&gt;&lt;rec-number&gt;1279&lt;/rec-number&gt;&lt;last-updated-date format="utc"&gt;1464968515&lt;/last-updated-date&gt;&lt;volume&gt;12&lt;/volume&gt;&lt;/record&gt;&lt;/Cite&gt;&lt;/EndNote&gt;</w:instrText>
      </w:r>
      <w:r w:rsidRPr="00F60BEE">
        <w:rPr>
          <w:rFonts w:ascii="Arial" w:hAnsi="Arial" w:cs="Arial"/>
        </w:rPr>
        <w:fldChar w:fldCharType="separate"/>
      </w:r>
      <w:r w:rsidRPr="00F60BEE">
        <w:rPr>
          <w:rFonts w:ascii="Arial" w:hAnsi="Arial" w:cs="Arial"/>
          <w:noProof/>
        </w:rPr>
        <w:t>(Maroti, 1966)</w:t>
      </w:r>
      <w:r w:rsidRPr="00F60BEE">
        <w:rPr>
          <w:rFonts w:ascii="Arial" w:hAnsi="Arial" w:cs="Arial"/>
        </w:rPr>
        <w:fldChar w:fldCharType="end"/>
      </w:r>
      <w:r>
        <w:rPr>
          <w:rFonts w:ascii="Arial" w:hAnsi="Arial" w:cs="Arial"/>
        </w:rPr>
        <w:t xml:space="preserve"> (see fern stomatal development in </w:t>
      </w:r>
      <w:r>
        <w:rPr>
          <w:rFonts w:ascii="Arial" w:hAnsi="Arial" w:cs="Arial"/>
          <w:b/>
        </w:rPr>
        <w:t>Fig. 2</w:t>
      </w:r>
      <w:r>
        <w:rPr>
          <w:rFonts w:ascii="Arial" w:hAnsi="Arial" w:cs="Arial"/>
        </w:rPr>
        <w:t>)</w:t>
      </w:r>
      <w:r w:rsidRPr="00F60BEE">
        <w:rPr>
          <w:rFonts w:ascii="Arial" w:hAnsi="Arial" w:cs="Arial"/>
        </w:rPr>
        <w:t>.</w:t>
      </w:r>
      <w:r>
        <w:rPr>
          <w:rFonts w:ascii="Arial" w:hAnsi="Arial" w:cs="Arial"/>
        </w:rPr>
        <w:t xml:space="preserve"> </w:t>
      </w:r>
      <w:r w:rsidRPr="00F60BEE">
        <w:rPr>
          <w:rFonts w:ascii="Arial" w:hAnsi="Arial" w:cs="Arial"/>
        </w:rPr>
        <w:t xml:space="preserve">Evidence suggests that </w:t>
      </w:r>
      <w:r>
        <w:rPr>
          <w:rFonts w:ascii="Arial" w:hAnsi="Arial" w:cs="Arial"/>
        </w:rPr>
        <w:t xml:space="preserve">in Arabidopsis timely expression of </w:t>
      </w:r>
      <w:r w:rsidRPr="00F60BEE">
        <w:rPr>
          <w:rFonts w:ascii="Arial" w:hAnsi="Arial" w:cs="Arial"/>
        </w:rPr>
        <w:t xml:space="preserve">MUTE </w:t>
      </w:r>
      <w:r>
        <w:rPr>
          <w:rFonts w:ascii="Arial" w:hAnsi="Arial" w:cs="Arial"/>
        </w:rPr>
        <w:t xml:space="preserve">is required to </w:t>
      </w:r>
      <w:r w:rsidRPr="00F60BEE">
        <w:rPr>
          <w:rFonts w:ascii="Arial" w:hAnsi="Arial" w:cs="Arial"/>
        </w:rPr>
        <w:t xml:space="preserve">negatively regulating </w:t>
      </w:r>
      <w:r>
        <w:rPr>
          <w:rFonts w:ascii="Arial" w:hAnsi="Arial" w:cs="Arial"/>
        </w:rPr>
        <w:t xml:space="preserve">stomatal development in the </w:t>
      </w:r>
      <w:r w:rsidRPr="00F60BEE">
        <w:rPr>
          <w:rFonts w:ascii="Arial" w:hAnsi="Arial" w:cs="Arial"/>
        </w:rPr>
        <w:t>SLGC</w:t>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&lt;EndNote&gt;&lt;Cite&gt;&lt;Author&gt;Triviño&lt;/Author&gt;&lt;Year&gt;2013&lt;/Year&gt;&lt;IDText&gt;Timely expression of the Arabidopsis stoma-fate master regulator MUTE is required for specification of other epidermal cell types&lt;/IDText&gt;&lt;DisplayText&gt;(Triviño et al., 2013)&lt;/DisplayText&gt;&lt;record&gt;&lt;keywords&gt;&lt;keyword&gt;MUTE&lt;/keyword&gt;&lt;keyword&gt;stomata lineage ground cell&lt;/keyword&gt;&lt;keyword&gt;meristemoid&lt;/keyword&gt;&lt;keyword&gt;cell fate&lt;/keyword&gt;&lt;keyword&gt;epidermis development&lt;/keyword&gt;&lt;keyword&gt;Arabidopsis thaliana&lt;/keyword&gt;&lt;/keywords&gt;&lt;urls&gt;&lt;related-urls&gt;&lt;url&gt;http://dx.doi.org/10.1111/tpj.12244&lt;/url&gt;&lt;/related-urls&gt;&lt;/urls&gt;&lt;isbn&gt;1365-313X&lt;/isbn&gt;&lt;titles&gt;&lt;title&gt;Timely expression of the Arabidopsis stoma-fate master regulator MUTE is required for specification of other epidermal cell types&lt;/title&gt;&lt;secondary-title&gt;The Plant Journal&lt;/secondary-title&gt;&lt;/titles&gt;&lt;pages&gt;808-822&lt;/pages&gt;&lt;number&gt;5&lt;/number&gt;&lt;contributors&gt;&lt;authors&gt;&lt;author&gt;Triviño, Magdalena&lt;/author&gt;&lt;author&gt;Martín-Trillo, Mar&lt;/author&gt;&lt;author&gt;Ballesteros, Isabel&lt;/author&gt;&lt;author&gt;Delgado, Dolores&lt;/author&gt;&lt;author&gt;de Marcos, Alberto&lt;/author&gt;&lt;author&gt;Desvoyes, Bénédicte&lt;/author&gt;&lt;author&gt;Gutiérrez, Crisanto&lt;/author&gt;&lt;author&gt;Mena, Montaña&lt;/author&gt;&lt;author&gt;Fenoll, Carmen&lt;/author&gt;&lt;/authors&gt;&lt;/contributors&gt;&lt;added-date format="utc"&gt;1470839722&lt;/added-date&gt;&lt;ref-type name="Journal Article"&gt;17&lt;/ref-type&gt;&lt;dates&gt;&lt;year&gt;2013&lt;/year&gt;&lt;/dates&gt;&lt;rec-number&gt;1334&lt;/rec-number&gt;&lt;last-updated-date format="utc"&gt;1470839722&lt;/last-updated-date&gt;&lt;electronic-resource-num&gt;10.1111/tpj.12244&lt;/electronic-resource-num&gt;&lt;volume&gt;75&lt;/volume&gt;&lt;/record&gt;&lt;/Cite&gt;&lt;/EndNote&gt;</w:instrText>
      </w:r>
      <w:r>
        <w:rPr>
          <w:rFonts w:ascii="Arial" w:hAnsi="Arial" w:cs="Arial"/>
        </w:rPr>
        <w:fldChar w:fldCharType="separate"/>
      </w:r>
      <w:r>
        <w:rPr>
          <w:rFonts w:ascii="Arial" w:hAnsi="Arial" w:cs="Arial"/>
          <w:noProof/>
        </w:rPr>
        <w:t>(Triviño et al., 2013)</w:t>
      </w:r>
      <w:r>
        <w:rPr>
          <w:rFonts w:ascii="Arial" w:hAnsi="Arial" w:cs="Arial"/>
        </w:rPr>
        <w:fldChar w:fldCharType="end"/>
      </w:r>
      <w:r>
        <w:rPr>
          <w:rFonts w:ascii="Arial" w:hAnsi="Arial" w:cs="Arial"/>
        </w:rPr>
        <w:t xml:space="preserve">. It is </w:t>
      </w:r>
      <w:r w:rsidRPr="00F60BEE">
        <w:rPr>
          <w:rFonts w:ascii="Arial" w:hAnsi="Arial" w:cs="Arial"/>
        </w:rPr>
        <w:t xml:space="preserve">possible </w:t>
      </w:r>
      <w:r>
        <w:rPr>
          <w:rFonts w:ascii="Arial" w:hAnsi="Arial" w:cs="Arial"/>
        </w:rPr>
        <w:t xml:space="preserve">therefore, </w:t>
      </w:r>
      <w:r w:rsidRPr="00F60BEE">
        <w:rPr>
          <w:rFonts w:ascii="Arial" w:hAnsi="Arial" w:cs="Arial"/>
        </w:rPr>
        <w:t>that with evolution of</w:t>
      </w:r>
      <w:r>
        <w:rPr>
          <w:rFonts w:ascii="Arial" w:hAnsi="Arial" w:cs="Arial"/>
        </w:rPr>
        <w:t xml:space="preserve"> distinct</w:t>
      </w:r>
      <w:r w:rsidRPr="00F60BEE">
        <w:rPr>
          <w:rFonts w:ascii="Arial" w:hAnsi="Arial" w:cs="Arial"/>
        </w:rPr>
        <w:t xml:space="preserve"> SPCH and MUTE </w:t>
      </w:r>
      <w:r>
        <w:rPr>
          <w:rFonts w:ascii="Arial" w:hAnsi="Arial" w:cs="Arial"/>
        </w:rPr>
        <w:t xml:space="preserve">proteins also </w:t>
      </w:r>
      <w:r w:rsidRPr="00F60BEE">
        <w:rPr>
          <w:rFonts w:ascii="Arial" w:hAnsi="Arial" w:cs="Arial"/>
        </w:rPr>
        <w:t xml:space="preserve">came the ability to differentially regulate the </w:t>
      </w:r>
      <w:r>
        <w:rPr>
          <w:rFonts w:ascii="Arial" w:hAnsi="Arial" w:cs="Arial"/>
        </w:rPr>
        <w:t xml:space="preserve">identify of </w:t>
      </w:r>
      <w:r w:rsidRPr="00F60BEE">
        <w:rPr>
          <w:rFonts w:ascii="Arial" w:hAnsi="Arial" w:cs="Arial"/>
        </w:rPr>
        <w:t xml:space="preserve">daughter cells derived from asymmetric </w:t>
      </w:r>
      <w:r>
        <w:rPr>
          <w:rFonts w:ascii="Arial" w:hAnsi="Arial" w:cs="Arial"/>
        </w:rPr>
        <w:t xml:space="preserve">entry </w:t>
      </w:r>
      <w:r w:rsidRPr="00F60BEE">
        <w:rPr>
          <w:rFonts w:ascii="Arial" w:hAnsi="Arial" w:cs="Arial"/>
        </w:rPr>
        <w:t>division</w:t>
      </w:r>
      <w:r>
        <w:rPr>
          <w:rFonts w:ascii="Arial" w:hAnsi="Arial" w:cs="Arial"/>
        </w:rPr>
        <w:t>s whilst maintaining a FAMA-like gene for producing guard cells from the GMC</w:t>
      </w:r>
      <w:r w:rsidRPr="00F60BEE">
        <w:rPr>
          <w:rFonts w:ascii="Arial" w:hAnsi="Arial" w:cs="Arial"/>
        </w:rPr>
        <w:t>.</w:t>
      </w:r>
      <w:r w:rsidRPr="006770DB">
        <w:rPr>
          <w:rFonts w:ascii="Arial" w:hAnsi="Arial" w:cs="Arial"/>
        </w:rPr>
        <w:t xml:space="preserve"> </w:t>
      </w:r>
      <w:r>
        <w:rPr>
          <w:rFonts w:ascii="Arial" w:hAnsi="Arial" w:cs="Arial"/>
        </w:rPr>
        <w:t xml:space="preserve">By developing such a process, it is possible that ferns and subsequent land plant lineages gained a more refined mechanism for pattering stomata by enabling more checkpoints at which to regulate where, when and how stomata developed. Such a scenario for SMF bHLH evolution (not </w:t>
      </w:r>
      <w:r>
        <w:rPr>
          <w:rFonts w:ascii="Arial" w:hAnsi="Arial" w:cs="Arial"/>
        </w:rPr>
        <w:lastRenderedPageBreak/>
        <w:t xml:space="preserve">necessarily beginning with the ferns) has previously been set out by MacAlister and Bergman </w:t>
      </w:r>
      <w:r>
        <w:rPr>
          <w:rFonts w:ascii="Arial" w:hAnsi="Arial" w:cs="Arial"/>
        </w:rPr>
        <w:fldChar w:fldCharType="begin"/>
      </w:r>
      <w:r>
        <w:rPr>
          <w:rFonts w:ascii="Arial" w:hAnsi="Arial" w:cs="Arial"/>
        </w:rPr>
        <w:instrText xml:space="preserve"> ADDIN EN.CITE &lt;EndNote&gt;&lt;Cite ExcludeAuth="1"&gt;&lt;Author&gt;MacAlister&lt;/Author&gt;&lt;Year&gt;2011&lt;/Year&gt;&lt;IDText&gt;Sequence and function of basic helix-loop-helix proteins required for stomatal development in Arabidopsis are deeply conserved in land plants&lt;/IDText&gt;&lt;DisplayText&gt;(2011)&lt;/DisplayText&gt;&lt;record&gt;&lt;dates&gt;&lt;pub-dates&gt;&lt;date&gt;Mar-Apr&lt;/date&gt;&lt;/pub-dates&gt;&lt;year&gt;2011&lt;/year&gt;&lt;/dates&gt;&lt;keywords&gt;&lt;keyword&gt;TRANSCRIPTION FACTOR FAMILY&lt;/keyword&gt;&lt;keyword&gt;MONOCOT-DICOT DIVERGENCE&lt;/keyword&gt;&lt;keyword&gt;EVOLUTION&lt;/keyword&gt;&lt;keyword&gt;DIVERSITY&lt;/keyword&gt;&lt;keyword&gt;GENES&lt;/keyword&gt;&lt;keyword&gt;DIFFERENTIATION&lt;/keyword&gt;&lt;keyword&gt;THALIANA&lt;/keyword&gt;&lt;keyword&gt;MUTANTS&lt;/keyword&gt;&lt;keyword&gt;GENOMES&lt;/keyword&gt;&lt;keyword&gt;CASCADE&lt;/keyword&gt;&lt;/keywords&gt;&lt;urls&gt;&lt;related-urls&gt;&lt;url&gt;&amp;lt;Go to ISI&amp;gt;://WOS:000288502600007&lt;/url&gt;&lt;/related-urls&gt;&lt;/urls&gt;&lt;isbn&gt;1520-541X&lt;/isbn&gt;&lt;work-type&gt;Article&lt;/work-type&gt;&lt;titles&gt;&lt;title&gt;Sequence and function of basic helix-loop-helix proteins required for stomatal development in Arabidopsis are deeply conserved in land plants&lt;/title&gt;&lt;secondary-title&gt;Evolution &amp;amp; Development&lt;/secondary-title&gt;&lt;alt-title&gt;Evol. Dev.&lt;/alt-title&gt;&lt;/titles&gt;&lt;pages&gt;182-192&lt;/pages&gt;&lt;number&gt;2&lt;/number&gt;&lt;contributors&gt;&lt;authors&gt;&lt;author&gt;MacAlister, C. A.&lt;/author&gt;&lt;author&gt;Bergmann, D. C.&lt;/author&gt;&lt;/authors&gt;&lt;/contributors&gt;&lt;language&gt;English&lt;/language&gt;&lt;added-date format="utc"&gt;1354083840&lt;/added-date&gt;&lt;ref-type name="Journal Article"&gt;17&lt;/ref-type&gt;&lt;auth-address&gt;[MacAlister, Cora A.&amp;#xD;Bergmann, Dominique C.] Stanford Univ, Dept Biol, Stanford, CA 94305 USA.&amp;#xD;MacAlister, CA (reprint author), Cold Spring Harbor Lab, POB 100, Cold Spring Harbor, NY 11724 USA.&amp;#xD;cmacalis@cshl.edu&lt;/auth-address&gt;&lt;rec-number&gt;61&lt;/rec-number&gt;&lt;last-updated-date format="utc"&gt;1354083840&lt;/last-updated-date&gt;&lt;accession-num&gt;WOS:000288502600007&lt;/accession-num&gt;&lt;electronic-resource-num&gt;10.1111/j.1525-142X.2011.00468.x&lt;/electronic-resource-num&gt;&lt;volume&gt;13&lt;/volume&gt;&lt;/record&gt;&lt;/Cite&gt;&lt;/EndNote&gt;</w:instrText>
      </w:r>
      <w:r>
        <w:rPr>
          <w:rFonts w:ascii="Arial" w:hAnsi="Arial" w:cs="Arial"/>
        </w:rPr>
        <w:fldChar w:fldCharType="separate"/>
      </w:r>
      <w:r>
        <w:rPr>
          <w:rFonts w:ascii="Arial" w:hAnsi="Arial" w:cs="Arial"/>
          <w:noProof/>
        </w:rPr>
        <w:t>(2011)</w:t>
      </w:r>
      <w:r>
        <w:rPr>
          <w:rFonts w:ascii="Arial" w:hAnsi="Arial" w:cs="Arial"/>
        </w:rPr>
        <w:fldChar w:fldCharType="end"/>
      </w:r>
      <w:r>
        <w:rPr>
          <w:rFonts w:ascii="Arial" w:hAnsi="Arial" w:cs="Arial"/>
        </w:rPr>
        <w:t xml:space="preserve">. Combined studies looking at the diversification of </w:t>
      </w:r>
      <w:r>
        <w:rPr>
          <w:rFonts w:ascii="Arial" w:hAnsi="Arial" w:cs="Arial"/>
          <w:i/>
        </w:rPr>
        <w:t xml:space="preserve">EPIDERMAL PATTERNING FACTOR </w:t>
      </w:r>
      <w:r>
        <w:rPr>
          <w:rFonts w:ascii="Arial" w:hAnsi="Arial" w:cs="Arial"/>
        </w:rPr>
        <w:t>(</w:t>
      </w:r>
      <w:r w:rsidRPr="00015475">
        <w:rPr>
          <w:rFonts w:ascii="Arial" w:hAnsi="Arial" w:cs="Arial"/>
          <w:i/>
        </w:rPr>
        <w:t>EPF</w:t>
      </w:r>
      <w:r>
        <w:rPr>
          <w:rFonts w:ascii="Arial" w:hAnsi="Arial" w:cs="Arial"/>
        </w:rPr>
        <w:t xml:space="preserve">) genes in tandem with </w:t>
      </w:r>
      <w:r>
        <w:rPr>
          <w:rFonts w:ascii="Arial" w:hAnsi="Arial" w:cs="Arial"/>
          <w:i/>
        </w:rPr>
        <w:t xml:space="preserve">SMFs </w:t>
      </w:r>
      <w:r>
        <w:rPr>
          <w:rFonts w:ascii="Arial" w:hAnsi="Arial" w:cs="Arial"/>
        </w:rPr>
        <w:t>diversification</w:t>
      </w:r>
      <w:r>
        <w:rPr>
          <w:rFonts w:ascii="Arial" w:hAnsi="Arial" w:cs="Arial"/>
          <w:i/>
        </w:rPr>
        <w:t xml:space="preserve"> </w:t>
      </w:r>
      <w:r>
        <w:rPr>
          <w:rFonts w:ascii="Arial" w:hAnsi="Arial" w:cs="Arial"/>
        </w:rPr>
        <w:t>should enable a better understanding into how</w:t>
      </w:r>
      <w:r w:rsidR="00405CE5">
        <w:rPr>
          <w:rFonts w:ascii="Arial" w:hAnsi="Arial" w:cs="Arial"/>
        </w:rPr>
        <w:t xml:space="preserve"> stomatal developmental ontogeny</w:t>
      </w:r>
      <w:r>
        <w:rPr>
          <w:rFonts w:ascii="Arial" w:hAnsi="Arial" w:cs="Arial"/>
        </w:rPr>
        <w:t xml:space="preserve"> has evolved over time as these groups of genes clearly are involved in orchestrating a more complex stomatal developmental onto</w:t>
      </w:r>
      <w:r w:rsidR="00405CE5">
        <w:rPr>
          <w:rFonts w:ascii="Arial" w:hAnsi="Arial" w:cs="Arial"/>
        </w:rPr>
        <w:t>geny</w:t>
      </w:r>
      <w:r>
        <w:rPr>
          <w:rFonts w:ascii="Arial" w:hAnsi="Arial" w:cs="Arial"/>
        </w:rPr>
        <w:t xml:space="preserve">. </w:t>
      </w:r>
    </w:p>
    <w:p w14:paraId="3145F0E2" w14:textId="77777777" w:rsidR="006C37DC" w:rsidRPr="00F60BEE" w:rsidRDefault="006C37DC" w:rsidP="006C37DC">
      <w:pPr>
        <w:spacing w:line="360" w:lineRule="auto"/>
        <w:rPr>
          <w:rFonts w:ascii="Arial" w:hAnsi="Arial" w:cs="Arial"/>
        </w:rPr>
      </w:pPr>
      <w:r w:rsidRPr="00F60BEE">
        <w:rPr>
          <w:rFonts w:ascii="Arial" w:hAnsi="Arial" w:cs="Arial"/>
        </w:rPr>
        <w:t>With regard to the functional aspects of stomata derived from the dehiscence experiments in chapter 3</w:t>
      </w:r>
      <w:r>
        <w:rPr>
          <w:rFonts w:ascii="Arial" w:hAnsi="Arial" w:cs="Arial"/>
        </w:rPr>
        <w:t>,</w:t>
      </w:r>
      <w:r w:rsidRPr="00F60BEE">
        <w:rPr>
          <w:rFonts w:ascii="Arial" w:hAnsi="Arial" w:cs="Arial"/>
        </w:rPr>
        <w:t xml:space="preserve"> it seems that </w:t>
      </w:r>
      <w:r>
        <w:rPr>
          <w:rFonts w:ascii="Arial" w:hAnsi="Arial" w:cs="Arial"/>
        </w:rPr>
        <w:t>for</w:t>
      </w:r>
      <w:r w:rsidRPr="00F60BEE">
        <w:rPr>
          <w:rFonts w:ascii="Arial" w:hAnsi="Arial" w:cs="Arial"/>
        </w:rPr>
        <w:t xml:space="preserve"> </w:t>
      </w:r>
      <w:r>
        <w:rPr>
          <w:rFonts w:ascii="Arial" w:hAnsi="Arial" w:cs="Arial"/>
          <w:i/>
        </w:rPr>
        <w:t>P. patens,</w:t>
      </w:r>
      <w:r w:rsidRPr="00F60BEE">
        <w:rPr>
          <w:rFonts w:ascii="Arial" w:hAnsi="Arial" w:cs="Arial"/>
        </w:rPr>
        <w:t xml:space="preserve"> stomata are important in speeding up dehiscence ti</w:t>
      </w:r>
      <w:r>
        <w:rPr>
          <w:rFonts w:ascii="Arial" w:hAnsi="Arial" w:cs="Arial"/>
        </w:rPr>
        <w:t xml:space="preserve">mes. However, how stomata normally aid in assisting </w:t>
      </w:r>
      <w:r w:rsidRPr="00F60BEE">
        <w:rPr>
          <w:rFonts w:ascii="Arial" w:hAnsi="Arial" w:cs="Arial"/>
        </w:rPr>
        <w:t>capsule dehiscence is unclear as stomata could be permitting a number of process to occur during sporophyte development and maturation including transpiration, CO</w:t>
      </w:r>
      <w:r w:rsidRPr="00F60BEE">
        <w:rPr>
          <w:rFonts w:ascii="Arial" w:hAnsi="Arial" w:cs="Arial"/>
          <w:vertAlign w:val="subscript"/>
        </w:rPr>
        <w:t>2</w:t>
      </w:r>
      <w:r w:rsidRPr="00F60BEE">
        <w:rPr>
          <w:rFonts w:ascii="Arial" w:hAnsi="Arial" w:cs="Arial"/>
        </w:rPr>
        <w:t xml:space="preserve"> acquirement and or water release. Unpicking how stomata are functioning in the moss will lead to a better understanding of how </w:t>
      </w:r>
      <w:r w:rsidRPr="00F60BEE">
        <w:rPr>
          <w:rFonts w:ascii="Arial" w:hAnsi="Arial" w:cs="Arial"/>
          <w:i/>
        </w:rPr>
        <w:t xml:space="preserve">P. patens </w:t>
      </w:r>
      <w:r w:rsidRPr="00F60BEE">
        <w:rPr>
          <w:rFonts w:ascii="Arial" w:hAnsi="Arial" w:cs="Arial"/>
        </w:rPr>
        <w:t xml:space="preserve">stomata are functioning but such findings will not enable inferences to be made relating to the evolution of stomatal function in general owing to the reduced nature of this </w:t>
      </w:r>
      <w:r w:rsidRPr="00DC36F8">
        <w:rPr>
          <w:rFonts w:ascii="Arial" w:hAnsi="Arial" w:cs="Arial"/>
        </w:rPr>
        <w:t>Cleistocarpus moss</w:t>
      </w:r>
      <w:r w:rsidRPr="00F60BEE">
        <w:rPr>
          <w:rFonts w:ascii="Arial" w:hAnsi="Arial" w:cs="Arial"/>
        </w:rPr>
        <w:t xml:space="preserve">. Indeed, for </w:t>
      </w:r>
      <w:r>
        <w:rPr>
          <w:rFonts w:ascii="Arial" w:hAnsi="Arial" w:cs="Arial"/>
        </w:rPr>
        <w:t>a well-rounded evolutionary inference</w:t>
      </w:r>
      <w:r w:rsidRPr="00F60BEE">
        <w:rPr>
          <w:rFonts w:ascii="Arial" w:hAnsi="Arial" w:cs="Arial"/>
        </w:rPr>
        <w:t xml:space="preserve"> to be </w:t>
      </w:r>
      <w:r>
        <w:rPr>
          <w:rFonts w:ascii="Arial" w:hAnsi="Arial" w:cs="Arial"/>
        </w:rPr>
        <w:t>formulated regarding the evolution of stomatal function</w:t>
      </w:r>
      <w:r w:rsidRPr="00F60BEE">
        <w:rPr>
          <w:rFonts w:ascii="Arial" w:hAnsi="Arial" w:cs="Arial"/>
        </w:rPr>
        <w:t xml:space="preserve"> a whole range of non-vascular </w:t>
      </w:r>
      <w:r>
        <w:rPr>
          <w:rFonts w:ascii="Arial" w:hAnsi="Arial" w:cs="Arial"/>
        </w:rPr>
        <w:t xml:space="preserve">and vascular </w:t>
      </w:r>
      <w:r w:rsidRPr="00F60BEE">
        <w:rPr>
          <w:rFonts w:ascii="Arial" w:hAnsi="Arial" w:cs="Arial"/>
        </w:rPr>
        <w:t>stomatal bearing land plants species</w:t>
      </w:r>
      <w:r>
        <w:rPr>
          <w:rFonts w:ascii="Arial" w:hAnsi="Arial" w:cs="Arial"/>
        </w:rPr>
        <w:t xml:space="preserve"> </w:t>
      </w:r>
      <w:r w:rsidRPr="00F60BEE">
        <w:rPr>
          <w:rFonts w:ascii="Arial" w:hAnsi="Arial" w:cs="Arial"/>
        </w:rPr>
        <w:t>with and without stomata need to be studied during sporop</w:t>
      </w:r>
      <w:r>
        <w:rPr>
          <w:rFonts w:ascii="Arial" w:hAnsi="Arial" w:cs="Arial"/>
        </w:rPr>
        <w:t xml:space="preserve">hyte development and maturation. </w:t>
      </w:r>
    </w:p>
    <w:p w14:paraId="6336D91A" w14:textId="77777777" w:rsidR="006C37DC" w:rsidRPr="00405CE5" w:rsidRDefault="006C37DC" w:rsidP="006C37DC">
      <w:pPr>
        <w:spacing w:line="360" w:lineRule="auto"/>
        <w:rPr>
          <w:rFonts w:ascii="Arial" w:hAnsi="Arial" w:cs="Arial"/>
          <w:u w:val="single"/>
        </w:rPr>
      </w:pPr>
      <w:r w:rsidRPr="00405CE5">
        <w:rPr>
          <w:rFonts w:ascii="Arial" w:hAnsi="Arial" w:cs="Arial"/>
          <w:u w:val="single"/>
        </w:rPr>
        <w:t>6.3 Chapter 4 summary and further discussion</w:t>
      </w:r>
    </w:p>
    <w:p w14:paraId="4A33B3D4" w14:textId="3ED94A78" w:rsidR="006C37DC" w:rsidRPr="00F60BEE" w:rsidRDefault="006C37DC" w:rsidP="006C37DC">
      <w:pPr>
        <w:spacing w:line="360" w:lineRule="auto"/>
        <w:rPr>
          <w:rFonts w:ascii="Arial" w:hAnsi="Arial" w:cs="Arial"/>
        </w:rPr>
      </w:pPr>
      <w:r w:rsidRPr="00F60BEE">
        <w:rPr>
          <w:rFonts w:ascii="Arial" w:hAnsi="Arial" w:cs="Arial"/>
        </w:rPr>
        <w:t>The findings presented in chapter 4 clearly outline that the common ancestor of mosses and angiosperms had a stomatal patterning module of genes which consisted of at least one</w:t>
      </w:r>
      <w:r>
        <w:rPr>
          <w:rFonts w:ascii="Arial" w:hAnsi="Arial" w:cs="Arial"/>
        </w:rPr>
        <w:t xml:space="preserve"> gene similar to an</w:t>
      </w:r>
      <w:r w:rsidRPr="00F60BEE">
        <w:rPr>
          <w:rFonts w:ascii="Arial" w:hAnsi="Arial" w:cs="Arial"/>
        </w:rPr>
        <w:t xml:space="preserve"> </w:t>
      </w:r>
      <w:r w:rsidRPr="00F60BEE">
        <w:rPr>
          <w:rFonts w:ascii="Arial" w:hAnsi="Arial" w:cs="Arial"/>
          <w:i/>
        </w:rPr>
        <w:t>EPF</w:t>
      </w:r>
      <w:r w:rsidRPr="00F60BEE">
        <w:rPr>
          <w:rFonts w:ascii="Arial" w:hAnsi="Arial" w:cs="Arial"/>
        </w:rPr>
        <w:t xml:space="preserve"> gene, one </w:t>
      </w:r>
      <w:r>
        <w:rPr>
          <w:rFonts w:ascii="Arial" w:hAnsi="Arial" w:cs="Arial"/>
        </w:rPr>
        <w:t xml:space="preserve">equivalent to a </w:t>
      </w:r>
      <w:r w:rsidRPr="00F60BEE">
        <w:rPr>
          <w:rFonts w:ascii="Arial" w:hAnsi="Arial" w:cs="Arial"/>
          <w:i/>
        </w:rPr>
        <w:t xml:space="preserve">TOO MANY MOUTHS </w:t>
      </w:r>
      <w:r w:rsidRPr="00F60BEE">
        <w:rPr>
          <w:rFonts w:ascii="Arial" w:hAnsi="Arial" w:cs="Arial"/>
        </w:rPr>
        <w:t>(</w:t>
      </w:r>
      <w:r w:rsidRPr="00F60BEE">
        <w:rPr>
          <w:rFonts w:ascii="Arial" w:hAnsi="Arial" w:cs="Arial"/>
          <w:i/>
        </w:rPr>
        <w:t>TMM</w:t>
      </w:r>
      <w:r w:rsidRPr="00F60BEE">
        <w:rPr>
          <w:rFonts w:ascii="Arial" w:hAnsi="Arial" w:cs="Arial"/>
        </w:rPr>
        <w:t xml:space="preserve">) gene and </w:t>
      </w:r>
      <w:r>
        <w:rPr>
          <w:rFonts w:ascii="Arial" w:hAnsi="Arial" w:cs="Arial"/>
        </w:rPr>
        <w:t xml:space="preserve">at least </w:t>
      </w:r>
      <w:r w:rsidRPr="00F60BEE">
        <w:rPr>
          <w:rFonts w:ascii="Arial" w:hAnsi="Arial" w:cs="Arial"/>
        </w:rPr>
        <w:t xml:space="preserve">one </w:t>
      </w:r>
      <w:r w:rsidRPr="00F60BEE">
        <w:rPr>
          <w:rFonts w:ascii="Arial" w:hAnsi="Arial" w:cs="Arial"/>
          <w:i/>
        </w:rPr>
        <w:t xml:space="preserve">ERECTA </w:t>
      </w:r>
      <w:r>
        <w:rPr>
          <w:rFonts w:ascii="Arial" w:hAnsi="Arial" w:cs="Arial"/>
        </w:rPr>
        <w:t xml:space="preserve">family </w:t>
      </w:r>
      <w:r w:rsidRPr="00F60BEE">
        <w:rPr>
          <w:rFonts w:ascii="Arial" w:hAnsi="Arial" w:cs="Arial"/>
        </w:rPr>
        <w:t>gene</w:t>
      </w:r>
      <w:r>
        <w:rPr>
          <w:rFonts w:ascii="Arial" w:hAnsi="Arial" w:cs="Arial"/>
        </w:rPr>
        <w:t xml:space="preserve"> equivalent </w:t>
      </w:r>
      <w:r>
        <w:rPr>
          <w:rFonts w:ascii="Arial" w:hAnsi="Arial" w:cs="Arial"/>
        </w:rPr>
        <w:fldChar w:fldCharType="begin"/>
      </w:r>
      <w:r w:rsidR="00DA38AC">
        <w:rPr>
          <w:rFonts w:ascii="Arial" w:hAnsi="Arial" w:cs="Arial"/>
        </w:rPr>
        <w:instrText xml:space="preserve"> ADDIN EN.CITE &lt;EndNote&gt;&lt;Cite&gt;&lt;Author&gt;Caine&lt;/Author&gt;&lt;Year&gt;2016&lt;/Year&gt;&lt;IDText&gt;An ancestral stomatal patterning module revealed in the non-vascular land plant Physcomitrella patens&lt;/IDText&gt;&lt;DisplayText&gt;(Caine et al., 2016)&lt;/DisplayText&gt;&lt;record&gt;&lt;urls&gt;&lt;related-urls&gt;&lt;url&gt;http://dev.biologists.org/content/early/2016/06/09/dev.135038.abstract&lt;/url&gt;&lt;/related-urls&gt;&lt;/urls&gt;&lt;work-type&gt;10.1242/dev.135038&lt;/work-type&gt;&lt;titles&gt;&lt;title&gt;An ancestral stomatal patterning module revealed in the non-vascular land plant Physcomitrella patens&lt;/title&gt;&lt;secondary-title&gt;Development&lt;/secondary-title&gt;&lt;/titles&gt;&lt;contributors&gt;&lt;authors&gt;&lt;author&gt;Caine, Robert&lt;/author&gt;&lt;author&gt;Chater, Caspar C.&lt;/author&gt;&lt;author&gt;Kamisugi, Yasuko&lt;/author&gt;&lt;author&gt;Cuming, Andrew C.&lt;/author&gt;&lt;author&gt;Beerling, David J.&lt;/author&gt;&lt;author&gt;Gray, Julie E.&lt;/author&gt;&lt;author&gt;Fleming, Andrew J.&lt;/author&gt;&lt;/authors&gt;&lt;/contributors&gt;&lt;added-date format="utc"&gt;1468852925&lt;/added-date&gt;&lt;ref-type name="Journal Article"&gt;17&lt;/ref-type&gt;&lt;dates&gt;&lt;year&gt;2016&lt;/year&gt;&lt;/dates&gt;&lt;rec-number&gt;1317&lt;/rec-number&gt;&lt;last-updated-date format="utc"&gt;1468852925&lt;/last-updated-date&gt;&lt;/record&gt;&lt;/Cite&gt;&lt;/EndNote&gt;</w:instrText>
      </w:r>
      <w:r>
        <w:rPr>
          <w:rFonts w:ascii="Arial" w:hAnsi="Arial" w:cs="Arial"/>
        </w:rPr>
        <w:fldChar w:fldCharType="separate"/>
      </w:r>
      <w:r w:rsidR="00DA38AC">
        <w:rPr>
          <w:rFonts w:ascii="Arial" w:hAnsi="Arial" w:cs="Arial"/>
          <w:noProof/>
        </w:rPr>
        <w:t>(Caine et al., 2016)</w:t>
      </w:r>
      <w:r>
        <w:rPr>
          <w:rFonts w:ascii="Arial" w:hAnsi="Arial" w:cs="Arial"/>
        </w:rPr>
        <w:fldChar w:fldCharType="end"/>
      </w:r>
      <w:r w:rsidRPr="00F60BEE">
        <w:rPr>
          <w:rFonts w:ascii="Arial" w:hAnsi="Arial" w:cs="Arial"/>
        </w:rPr>
        <w:t xml:space="preserve">. In </w:t>
      </w:r>
      <w:r w:rsidRPr="00F60BEE">
        <w:rPr>
          <w:rFonts w:ascii="Arial" w:hAnsi="Arial" w:cs="Arial"/>
          <w:i/>
        </w:rPr>
        <w:t>P. patens</w:t>
      </w:r>
      <w:r w:rsidRPr="00F60BEE">
        <w:rPr>
          <w:rFonts w:ascii="Arial" w:hAnsi="Arial" w:cs="Arial"/>
        </w:rPr>
        <w:t>,</w:t>
      </w:r>
      <w:r w:rsidRPr="00F60BEE">
        <w:rPr>
          <w:rFonts w:ascii="Arial" w:hAnsi="Arial" w:cs="Arial"/>
          <w:i/>
        </w:rPr>
        <w:t xml:space="preserve"> </w:t>
      </w:r>
      <w:r w:rsidRPr="00F60BEE">
        <w:rPr>
          <w:rFonts w:ascii="Arial" w:hAnsi="Arial" w:cs="Arial"/>
        </w:rPr>
        <w:t>the signalling peptide PpEPF1</w:t>
      </w:r>
      <w:r w:rsidRPr="00F60BEE">
        <w:rPr>
          <w:rFonts w:ascii="Arial" w:hAnsi="Arial" w:cs="Arial"/>
          <w:i/>
        </w:rPr>
        <w:t xml:space="preserve"> </w:t>
      </w:r>
      <w:r w:rsidRPr="00F60BEE">
        <w:rPr>
          <w:rFonts w:ascii="Arial" w:hAnsi="Arial" w:cs="Arial"/>
        </w:rPr>
        <w:t>primarily</w:t>
      </w:r>
      <w:r w:rsidRPr="00F60BEE">
        <w:rPr>
          <w:rFonts w:ascii="Arial" w:hAnsi="Arial" w:cs="Arial"/>
          <w:i/>
        </w:rPr>
        <w:t xml:space="preserve"> </w:t>
      </w:r>
      <w:r>
        <w:rPr>
          <w:rFonts w:ascii="Arial" w:hAnsi="Arial" w:cs="Arial"/>
        </w:rPr>
        <w:t>functions</w:t>
      </w:r>
      <w:r w:rsidRPr="00F60BEE">
        <w:rPr>
          <w:rFonts w:ascii="Arial" w:hAnsi="Arial" w:cs="Arial"/>
        </w:rPr>
        <w:t xml:space="preserve"> to negatively regulate stomatal development by </w:t>
      </w:r>
      <w:r>
        <w:rPr>
          <w:rFonts w:ascii="Arial" w:hAnsi="Arial" w:cs="Arial"/>
        </w:rPr>
        <w:t>preventing GMCs from forming, often preventing clustering</w:t>
      </w:r>
      <w:r w:rsidRPr="00F60BEE">
        <w:rPr>
          <w:rFonts w:ascii="Arial" w:hAnsi="Arial" w:cs="Arial"/>
        </w:rPr>
        <w:t>.</w:t>
      </w:r>
      <w:r>
        <w:rPr>
          <w:rFonts w:ascii="Arial" w:hAnsi="Arial" w:cs="Arial"/>
        </w:rPr>
        <w:t xml:space="preserve"> </w:t>
      </w:r>
      <w:r w:rsidRPr="00F60BEE">
        <w:rPr>
          <w:rFonts w:ascii="Arial" w:hAnsi="Arial" w:cs="Arial"/>
        </w:rPr>
        <w:t xml:space="preserve">The membrane receptor-like protein </w:t>
      </w:r>
      <w:r w:rsidRPr="003E482A">
        <w:rPr>
          <w:rFonts w:ascii="Arial" w:hAnsi="Arial" w:cs="Arial"/>
        </w:rPr>
        <w:t>PpTMM</w:t>
      </w:r>
      <w:r w:rsidRPr="00F60BEE">
        <w:rPr>
          <w:rFonts w:ascii="Arial" w:hAnsi="Arial" w:cs="Arial"/>
        </w:rPr>
        <w:t xml:space="preserve"> </w:t>
      </w:r>
      <w:r>
        <w:rPr>
          <w:rFonts w:ascii="Arial" w:hAnsi="Arial" w:cs="Arial"/>
        </w:rPr>
        <w:t>is</w:t>
      </w:r>
      <w:r w:rsidRPr="00F60BEE">
        <w:rPr>
          <w:rFonts w:ascii="Arial" w:hAnsi="Arial" w:cs="Arial"/>
        </w:rPr>
        <w:t xml:space="preserve"> multifunctional</w:t>
      </w:r>
      <w:r>
        <w:rPr>
          <w:rFonts w:ascii="Arial" w:hAnsi="Arial" w:cs="Arial"/>
        </w:rPr>
        <w:t xml:space="preserve"> as it promotes</w:t>
      </w:r>
      <w:r w:rsidRPr="00F60BEE">
        <w:rPr>
          <w:rFonts w:ascii="Arial" w:hAnsi="Arial" w:cs="Arial"/>
        </w:rPr>
        <w:t xml:space="preserve"> the formation of singular early GMC</w:t>
      </w:r>
      <w:r>
        <w:rPr>
          <w:rFonts w:ascii="Arial" w:hAnsi="Arial" w:cs="Arial"/>
        </w:rPr>
        <w:t>s but at the same time prevents</w:t>
      </w:r>
      <w:r w:rsidRPr="00F60BEE">
        <w:rPr>
          <w:rFonts w:ascii="Arial" w:hAnsi="Arial" w:cs="Arial"/>
        </w:rPr>
        <w:t xml:space="preserve"> early GMC clustering. Double mutant </w:t>
      </w:r>
      <w:r w:rsidRPr="00F60BEE">
        <w:rPr>
          <w:rFonts w:ascii="Arial" w:hAnsi="Arial" w:cs="Arial"/>
          <w:i/>
        </w:rPr>
        <w:t xml:space="preserve">pptmm-epf1 </w:t>
      </w:r>
      <w:r w:rsidRPr="00F60BEE">
        <w:rPr>
          <w:rFonts w:ascii="Arial" w:hAnsi="Arial" w:cs="Arial"/>
        </w:rPr>
        <w:t xml:space="preserve">lines revealed similar phenotypes to the single </w:t>
      </w:r>
      <w:r w:rsidRPr="00F60BEE">
        <w:rPr>
          <w:rFonts w:ascii="Arial" w:hAnsi="Arial" w:cs="Arial"/>
          <w:i/>
        </w:rPr>
        <w:t xml:space="preserve">pptmm </w:t>
      </w:r>
      <w:r w:rsidRPr="00F60BEE">
        <w:rPr>
          <w:rFonts w:ascii="Arial" w:hAnsi="Arial" w:cs="Arial"/>
        </w:rPr>
        <w:t xml:space="preserve">mutant background therefore illustrating that </w:t>
      </w:r>
      <w:r w:rsidRPr="00F60BEE">
        <w:rPr>
          <w:rFonts w:ascii="Arial" w:hAnsi="Arial" w:cs="Arial"/>
          <w:i/>
        </w:rPr>
        <w:t xml:space="preserve">PpTMM </w:t>
      </w:r>
      <w:r w:rsidRPr="00F60BEE">
        <w:rPr>
          <w:rFonts w:ascii="Arial" w:hAnsi="Arial" w:cs="Arial"/>
        </w:rPr>
        <w:t xml:space="preserve">is epistatic to </w:t>
      </w:r>
      <w:r w:rsidRPr="00F60BEE">
        <w:rPr>
          <w:rFonts w:ascii="Arial" w:hAnsi="Arial" w:cs="Arial"/>
          <w:i/>
        </w:rPr>
        <w:t>PpEPF1</w:t>
      </w:r>
      <w:r w:rsidRPr="00F60BEE">
        <w:rPr>
          <w:rFonts w:ascii="Arial" w:hAnsi="Arial" w:cs="Arial"/>
        </w:rPr>
        <w:t>.</w:t>
      </w:r>
      <w:r w:rsidRPr="00F60BEE">
        <w:rPr>
          <w:rFonts w:ascii="Arial" w:hAnsi="Arial" w:cs="Arial"/>
          <w:i/>
        </w:rPr>
        <w:t xml:space="preserve"> </w:t>
      </w:r>
      <w:r w:rsidRPr="00F60BEE">
        <w:rPr>
          <w:rFonts w:ascii="Arial" w:hAnsi="Arial" w:cs="Arial"/>
        </w:rPr>
        <w:t xml:space="preserve">The membrane like-receptor </w:t>
      </w:r>
      <w:r w:rsidRPr="003E482A">
        <w:rPr>
          <w:rFonts w:ascii="Arial" w:hAnsi="Arial" w:cs="Arial"/>
        </w:rPr>
        <w:t>PpERECTA1</w:t>
      </w:r>
      <w:r w:rsidRPr="00F60BEE">
        <w:rPr>
          <w:rFonts w:ascii="Arial" w:hAnsi="Arial" w:cs="Arial"/>
          <w:i/>
        </w:rPr>
        <w:t xml:space="preserve"> </w:t>
      </w:r>
      <w:r>
        <w:rPr>
          <w:rFonts w:ascii="Arial" w:hAnsi="Arial" w:cs="Arial"/>
        </w:rPr>
        <w:t xml:space="preserve">has a </w:t>
      </w:r>
      <w:r w:rsidRPr="00F60BEE">
        <w:rPr>
          <w:rFonts w:ascii="Arial" w:hAnsi="Arial" w:cs="Arial"/>
        </w:rPr>
        <w:t xml:space="preserve">subtler effect on stomatal development by positively regulating stomatal formation which was particular evident in double mutant </w:t>
      </w:r>
      <w:r w:rsidRPr="00F60BEE">
        <w:rPr>
          <w:rFonts w:ascii="Arial" w:hAnsi="Arial" w:cs="Arial"/>
          <w:i/>
        </w:rPr>
        <w:t xml:space="preserve">pptmm-erecta1 </w:t>
      </w:r>
      <w:r w:rsidRPr="00F60BEE">
        <w:rPr>
          <w:rFonts w:ascii="Arial" w:hAnsi="Arial" w:cs="Arial"/>
        </w:rPr>
        <w:t xml:space="preserve">and </w:t>
      </w:r>
      <w:r w:rsidRPr="00F60BEE">
        <w:rPr>
          <w:rFonts w:ascii="Arial" w:hAnsi="Arial" w:cs="Arial"/>
          <w:i/>
        </w:rPr>
        <w:t xml:space="preserve">ppepf1-erecta1 </w:t>
      </w:r>
      <w:r w:rsidRPr="00F60BEE">
        <w:rPr>
          <w:rFonts w:ascii="Arial" w:hAnsi="Arial" w:cs="Arial"/>
        </w:rPr>
        <w:t xml:space="preserve">combinations. </w:t>
      </w:r>
    </w:p>
    <w:p w14:paraId="3C86AFBF" w14:textId="02216EC5" w:rsidR="006C37DC" w:rsidRPr="0063367D" w:rsidRDefault="006C37DC" w:rsidP="006C37DC">
      <w:pPr>
        <w:spacing w:line="360" w:lineRule="auto"/>
        <w:rPr>
          <w:rFonts w:ascii="Arial" w:hAnsi="Arial" w:cs="Arial"/>
        </w:rPr>
      </w:pPr>
      <w:r w:rsidRPr="00F60BEE">
        <w:rPr>
          <w:rFonts w:ascii="Arial" w:hAnsi="Arial" w:cs="Arial"/>
        </w:rPr>
        <w:t>How the</w:t>
      </w:r>
      <w:r>
        <w:rPr>
          <w:rFonts w:ascii="Arial" w:hAnsi="Arial" w:cs="Arial"/>
        </w:rPr>
        <w:t xml:space="preserve"> PpSMF1 and PpSCRM1</w:t>
      </w:r>
      <w:r w:rsidRPr="00F60BEE">
        <w:rPr>
          <w:rFonts w:ascii="Arial" w:hAnsi="Arial" w:cs="Arial"/>
        </w:rPr>
        <w:t xml:space="preserve"> bHLH transcription factors identified in chapter 3 are regulated during stomatal development remains unknown. In Arabidopsis it has been shown that EPF2 functions early during stomatal development to assist in the activation of an intercellular Mitogen activated protein kinases (MAPK), MAPK kinases (MKK) and MAPKK </w:t>
      </w:r>
      <w:r w:rsidRPr="00F60BEE">
        <w:rPr>
          <w:rFonts w:ascii="Arial" w:hAnsi="Arial" w:cs="Arial"/>
        </w:rPr>
        <w:lastRenderedPageBreak/>
        <w:t>kinases (MKKK) leading to SPCH being conformational altered and inactivated</w:t>
      </w:r>
      <w:r>
        <w:rPr>
          <w:rFonts w:ascii="Arial" w:hAnsi="Arial" w:cs="Arial"/>
        </w:rPr>
        <w:t xml:space="preserve"> thereby blocking asymmetric divisions </w:t>
      </w:r>
      <w:r>
        <w:rPr>
          <w:rFonts w:ascii="Arial" w:hAnsi="Arial" w:cs="Arial"/>
        </w:rPr>
        <w:fldChar w:fldCharType="begin">
          <w:fldData xml:space="preserve">PEVuZE5vdGU+PENpdGU+PEF1dGhvcj5IYW48L0F1dGhvcj48WWVhcj4yMDE2PC9ZZWFyPjxJRFRl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PEVuZE5vdGU+PENpdGU+PEF1dGhvcj5IYW48L0F1dGhvcj48WWVhcj4yMDE2PC9ZZWFyPjxJRFRl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(Han and Torii, 2016; Simmons and Bergmann, 2016)</w:t>
      </w:r>
      <w:r>
        <w:rPr>
          <w:rFonts w:ascii="Arial" w:hAnsi="Arial" w:cs="Arial"/>
        </w:rPr>
        <w:fldChar w:fldCharType="end"/>
      </w:r>
      <w:r w:rsidRPr="00F60BEE">
        <w:rPr>
          <w:rFonts w:ascii="Arial" w:hAnsi="Arial" w:cs="Arial"/>
        </w:rPr>
        <w:t xml:space="preserve">. It has also been shown that SPCH regulates </w:t>
      </w:r>
      <w:r w:rsidRPr="00F60BEE">
        <w:rPr>
          <w:rFonts w:ascii="Arial" w:hAnsi="Arial" w:cs="Arial"/>
          <w:i/>
        </w:rPr>
        <w:t>EPF2</w:t>
      </w:r>
      <w:r w:rsidRPr="00F60BEE">
        <w:rPr>
          <w:rFonts w:ascii="Arial" w:hAnsi="Arial" w:cs="Arial"/>
        </w:rPr>
        <w:t xml:space="preserve"> expression thereby causing itself to be inactivated in a negative feed-back loop</w:t>
      </w:r>
      <w:r>
        <w:rPr>
          <w:rFonts w:ascii="Arial" w:hAnsi="Arial" w:cs="Arial"/>
        </w:rPr>
        <w:t xml:space="preserve"> </w:t>
      </w:r>
      <w:r>
        <w:rPr>
          <w:rFonts w:ascii="Arial" w:hAnsi="Arial" w:cs="Arial"/>
        </w:rPr>
        <w:fldChar w:fldCharType="begin">
          <w:fldData xml:space="preserve">PEVuZE5vdGU+PENpdGU+PEF1dGhvcj5MYXU8L0F1dGhvcj48WWVhcj4yMDE0PC9ZZWFyPjxJRFRl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</w:fldData>
        </w:fldChar>
      </w:r>
      <w:r>
        <w:rPr>
          <w:rFonts w:ascii="Arial" w:hAnsi="Arial" w:cs="Arial"/>
        </w:rPr>
        <w:instrText xml:space="preserve"> ADDIN EN.CITE </w:instrText>
      </w:r>
      <w:r>
        <w:rPr>
          <w:rFonts w:ascii="Arial" w:hAnsi="Arial" w:cs="Arial"/>
        </w:rPr>
        <w:fldChar w:fldCharType="begin">
          <w:fldData xml:space="preserve">PEVuZE5vdGU+PENpdGU+PEF1dGhvcj5MYXU8L0F1dGhvcj48WWVhcj4yMDE0PC9ZZWFyPjxJRFRl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(Lau et al., 2014)</w:t>
      </w:r>
      <w:r>
        <w:rPr>
          <w:rFonts w:ascii="Arial" w:hAnsi="Arial" w:cs="Arial"/>
        </w:rPr>
        <w:fldChar w:fldCharType="end"/>
      </w:r>
      <w:r w:rsidRPr="00F60BEE">
        <w:rPr>
          <w:rFonts w:ascii="Arial" w:hAnsi="Arial" w:cs="Arial"/>
        </w:rPr>
        <w:t xml:space="preserve">. It is unknown as to whether similar mechanisms exist in </w:t>
      </w:r>
      <w:r w:rsidRPr="00F60BEE">
        <w:rPr>
          <w:rFonts w:ascii="Arial" w:hAnsi="Arial" w:cs="Arial"/>
          <w:i/>
        </w:rPr>
        <w:t xml:space="preserve">P. patens </w:t>
      </w:r>
      <w:r w:rsidRPr="00F60BEE">
        <w:rPr>
          <w:rFonts w:ascii="Arial" w:hAnsi="Arial" w:cs="Arial"/>
        </w:rPr>
        <w:t>where</w:t>
      </w:r>
      <w:r>
        <w:rPr>
          <w:rFonts w:ascii="Arial" w:hAnsi="Arial" w:cs="Arial"/>
        </w:rPr>
        <w:t>by</w:t>
      </w:r>
      <w:r w:rsidRPr="00F60BEE">
        <w:rPr>
          <w:rFonts w:ascii="Arial" w:hAnsi="Arial" w:cs="Arial"/>
        </w:rPr>
        <w:t xml:space="preserve"> </w:t>
      </w:r>
      <w:r w:rsidRPr="00F60BEE">
        <w:rPr>
          <w:rFonts w:ascii="Arial" w:hAnsi="Arial" w:cs="Arial"/>
          <w:i/>
        </w:rPr>
        <w:t xml:space="preserve">PpSMF1 </w:t>
      </w:r>
      <w:r w:rsidRPr="00F60BEE">
        <w:rPr>
          <w:rFonts w:ascii="Arial" w:hAnsi="Arial" w:cs="Arial"/>
        </w:rPr>
        <w:t xml:space="preserve">negatively regulates its own expression by upregulating </w:t>
      </w:r>
      <w:r w:rsidRPr="00F60BEE">
        <w:rPr>
          <w:rFonts w:ascii="Arial" w:hAnsi="Arial" w:cs="Arial"/>
          <w:i/>
        </w:rPr>
        <w:t>PpEPF1</w:t>
      </w:r>
      <w:r w:rsidRPr="00F60BEE">
        <w:rPr>
          <w:rFonts w:ascii="Arial" w:hAnsi="Arial" w:cs="Arial"/>
        </w:rPr>
        <w:t xml:space="preserve">. Some evidence to show that </w:t>
      </w:r>
      <w:r w:rsidRPr="00F60BEE">
        <w:rPr>
          <w:rFonts w:ascii="Arial" w:hAnsi="Arial" w:cs="Arial"/>
          <w:i/>
        </w:rPr>
        <w:t xml:space="preserve">PpEPF1 </w:t>
      </w:r>
      <w:r w:rsidRPr="00F60BEE">
        <w:rPr>
          <w:rFonts w:ascii="Arial" w:hAnsi="Arial" w:cs="Arial"/>
        </w:rPr>
        <w:t xml:space="preserve">has the potential to regulate </w:t>
      </w:r>
      <w:r w:rsidRPr="00F60BEE">
        <w:rPr>
          <w:rFonts w:ascii="Arial" w:hAnsi="Arial" w:cs="Arial"/>
          <w:i/>
        </w:rPr>
        <w:t xml:space="preserve">PpSMF1 </w:t>
      </w:r>
      <w:r w:rsidRPr="00F60BEE">
        <w:rPr>
          <w:rFonts w:ascii="Arial" w:hAnsi="Arial" w:cs="Arial"/>
        </w:rPr>
        <w:t xml:space="preserve">come from the observations that stomatal number is vastly reduced when </w:t>
      </w:r>
      <w:r w:rsidRPr="00F60BEE">
        <w:rPr>
          <w:rFonts w:ascii="Arial" w:hAnsi="Arial" w:cs="Arial"/>
          <w:i/>
        </w:rPr>
        <w:t xml:space="preserve">PpEPF1 </w:t>
      </w:r>
      <w:r w:rsidRPr="00F60BEE">
        <w:rPr>
          <w:rFonts w:ascii="Arial" w:hAnsi="Arial" w:cs="Arial"/>
        </w:rPr>
        <w:t xml:space="preserve">is over-expressed, however such data does not actually </w:t>
      </w:r>
      <w:r>
        <w:rPr>
          <w:rFonts w:ascii="Arial" w:hAnsi="Arial" w:cs="Arial"/>
        </w:rPr>
        <w:t xml:space="preserve">confirm a conformation change in </w:t>
      </w:r>
      <w:r w:rsidR="00755614">
        <w:rPr>
          <w:rFonts w:ascii="Arial" w:hAnsi="Arial" w:cs="Arial"/>
        </w:rPr>
        <w:t xml:space="preserve">the structure of </w:t>
      </w:r>
      <w:r w:rsidRPr="00755614">
        <w:rPr>
          <w:rFonts w:ascii="Arial" w:hAnsi="Arial" w:cs="Arial"/>
        </w:rPr>
        <w:t>PpSMF1</w:t>
      </w:r>
      <w:r w:rsidRPr="00F60BEE">
        <w:rPr>
          <w:rFonts w:ascii="Arial" w:hAnsi="Arial" w:cs="Arial"/>
        </w:rPr>
        <w:t xml:space="preserve">. Similarly, to </w:t>
      </w:r>
      <w:r w:rsidRPr="00755614">
        <w:rPr>
          <w:rFonts w:ascii="Arial" w:hAnsi="Arial" w:cs="Arial"/>
          <w:i/>
        </w:rPr>
        <w:t>EPF2</w:t>
      </w:r>
      <w:r w:rsidRPr="00F60BEE">
        <w:rPr>
          <w:rFonts w:ascii="Arial" w:hAnsi="Arial" w:cs="Arial"/>
        </w:rPr>
        <w:t xml:space="preserve">, the expression of </w:t>
      </w:r>
      <w:r w:rsidRPr="00F60BEE">
        <w:rPr>
          <w:rFonts w:ascii="Arial" w:hAnsi="Arial" w:cs="Arial"/>
          <w:i/>
        </w:rPr>
        <w:t xml:space="preserve">TMM </w:t>
      </w:r>
      <w:r w:rsidRPr="00F60BEE">
        <w:rPr>
          <w:rFonts w:ascii="Arial" w:hAnsi="Arial" w:cs="Arial"/>
        </w:rPr>
        <w:t xml:space="preserve">is also upregulated by SPCH in Arabidopsis. As with </w:t>
      </w:r>
      <w:r w:rsidRPr="00F60BEE">
        <w:rPr>
          <w:rFonts w:ascii="Arial" w:hAnsi="Arial" w:cs="Arial"/>
          <w:i/>
        </w:rPr>
        <w:t xml:space="preserve">PpEPF1 </w:t>
      </w:r>
      <w:r w:rsidRPr="00F60BEE">
        <w:rPr>
          <w:rFonts w:ascii="Arial" w:hAnsi="Arial" w:cs="Arial"/>
        </w:rPr>
        <w:t xml:space="preserve">regulation, it is unclear as to whether </w:t>
      </w:r>
      <w:r w:rsidRPr="00755614">
        <w:rPr>
          <w:rFonts w:ascii="Arial" w:hAnsi="Arial" w:cs="Arial"/>
        </w:rPr>
        <w:t>PpSMF1</w:t>
      </w:r>
      <w:r w:rsidRPr="00F60BEE">
        <w:rPr>
          <w:rFonts w:ascii="Arial" w:hAnsi="Arial" w:cs="Arial"/>
          <w:i/>
        </w:rPr>
        <w:t xml:space="preserve"> </w:t>
      </w:r>
      <w:r w:rsidRPr="00F60BEE">
        <w:rPr>
          <w:rFonts w:ascii="Arial" w:hAnsi="Arial" w:cs="Arial"/>
        </w:rPr>
        <w:t xml:space="preserve">upregulates </w:t>
      </w:r>
      <w:r w:rsidRPr="00F60BEE">
        <w:rPr>
          <w:rFonts w:ascii="Arial" w:hAnsi="Arial" w:cs="Arial"/>
          <w:i/>
        </w:rPr>
        <w:t xml:space="preserve">PpTMM </w:t>
      </w:r>
      <w:r w:rsidRPr="00F60BEE">
        <w:rPr>
          <w:rFonts w:ascii="Arial" w:hAnsi="Arial" w:cs="Arial"/>
        </w:rPr>
        <w:t>to regulate how stomata are patterned akin to the situation in Arabidopsis.</w:t>
      </w:r>
      <w:r>
        <w:rPr>
          <w:rFonts w:ascii="Arial" w:hAnsi="Arial" w:cs="Arial"/>
        </w:rPr>
        <w:t xml:space="preserve"> One exciting possibility is that </w:t>
      </w:r>
      <w:r w:rsidRPr="003E482A">
        <w:rPr>
          <w:rFonts w:ascii="Arial" w:hAnsi="Arial" w:cs="Arial"/>
        </w:rPr>
        <w:t>PpSMF1</w:t>
      </w:r>
      <w:r>
        <w:rPr>
          <w:rFonts w:ascii="Arial" w:hAnsi="Arial" w:cs="Arial"/>
          <w:i/>
        </w:rPr>
        <w:t xml:space="preserve"> </w:t>
      </w:r>
      <w:r>
        <w:rPr>
          <w:rFonts w:ascii="Arial" w:hAnsi="Arial" w:cs="Arial"/>
        </w:rPr>
        <w:t xml:space="preserve">together with </w:t>
      </w:r>
      <w:r w:rsidRPr="003E482A">
        <w:rPr>
          <w:rFonts w:ascii="Arial" w:hAnsi="Arial" w:cs="Arial"/>
        </w:rPr>
        <w:t>PpSCRM1</w:t>
      </w:r>
      <w:r>
        <w:rPr>
          <w:rFonts w:ascii="Arial" w:hAnsi="Arial" w:cs="Arial"/>
        </w:rPr>
        <w:t xml:space="preserve"> upregulate both </w:t>
      </w:r>
      <w:r w:rsidRPr="003E482A">
        <w:rPr>
          <w:rFonts w:ascii="Arial" w:hAnsi="Arial" w:cs="Arial"/>
          <w:i/>
        </w:rPr>
        <w:t>PpEPF1</w:t>
      </w:r>
      <w:r>
        <w:rPr>
          <w:rFonts w:ascii="Arial" w:hAnsi="Arial" w:cs="Arial"/>
        </w:rPr>
        <w:t xml:space="preserve"> and </w:t>
      </w:r>
      <w:r w:rsidRPr="003E482A">
        <w:rPr>
          <w:rFonts w:ascii="Arial" w:hAnsi="Arial" w:cs="Arial"/>
          <w:i/>
        </w:rPr>
        <w:t>PpTMM</w:t>
      </w:r>
      <w:r>
        <w:rPr>
          <w:rFonts w:ascii="Arial" w:hAnsi="Arial" w:cs="Arial"/>
          <w:i/>
        </w:rPr>
        <w:t xml:space="preserve"> </w:t>
      </w:r>
      <w:r>
        <w:rPr>
          <w:rFonts w:ascii="Arial" w:hAnsi="Arial" w:cs="Arial"/>
        </w:rPr>
        <w:t xml:space="preserve">in neighbouring early GMCs to regulate the orientation of asymmetric GMC spacing divisions when early GMCs form in close proximity. </w:t>
      </w:r>
      <w:r w:rsidRPr="00F60BEE">
        <w:rPr>
          <w:rFonts w:ascii="Arial" w:hAnsi="Arial" w:cs="Arial"/>
        </w:rPr>
        <w:t xml:space="preserve">Evidence for possible patterning regulation of </w:t>
      </w:r>
      <w:r w:rsidRPr="00755614">
        <w:rPr>
          <w:rFonts w:ascii="Arial" w:hAnsi="Arial" w:cs="Arial"/>
        </w:rPr>
        <w:t>PpSMF1</w:t>
      </w:r>
      <w:r w:rsidRPr="00F60BEE">
        <w:rPr>
          <w:rFonts w:ascii="Arial" w:hAnsi="Arial" w:cs="Arial"/>
          <w:i/>
        </w:rPr>
        <w:t xml:space="preserve"> </w:t>
      </w:r>
      <w:r w:rsidRPr="00F60BEE">
        <w:rPr>
          <w:rFonts w:ascii="Arial" w:hAnsi="Arial" w:cs="Arial"/>
        </w:rPr>
        <w:t xml:space="preserve">(or perhaps </w:t>
      </w:r>
      <w:r w:rsidRPr="00755614">
        <w:rPr>
          <w:rFonts w:ascii="Arial" w:hAnsi="Arial" w:cs="Arial"/>
        </w:rPr>
        <w:t>PpSCRM1</w:t>
      </w:r>
      <w:r w:rsidRPr="00F60BEE">
        <w:rPr>
          <w:rFonts w:ascii="Arial" w:hAnsi="Arial" w:cs="Arial"/>
        </w:rPr>
        <w:t xml:space="preserve">) </w:t>
      </w:r>
      <w:r>
        <w:rPr>
          <w:rFonts w:ascii="Arial" w:hAnsi="Arial" w:cs="Arial"/>
        </w:rPr>
        <w:t xml:space="preserve">by </w:t>
      </w:r>
      <w:r w:rsidRPr="00755614">
        <w:rPr>
          <w:rFonts w:ascii="Arial" w:hAnsi="Arial" w:cs="Arial"/>
        </w:rPr>
        <w:t>PpEPF1</w:t>
      </w:r>
      <w:r>
        <w:rPr>
          <w:rFonts w:ascii="Arial" w:hAnsi="Arial" w:cs="Arial"/>
          <w:i/>
        </w:rPr>
        <w:t xml:space="preserve"> </w:t>
      </w:r>
      <w:r>
        <w:rPr>
          <w:rFonts w:ascii="Arial" w:hAnsi="Arial" w:cs="Arial"/>
        </w:rPr>
        <w:t xml:space="preserve">via </w:t>
      </w:r>
      <w:r w:rsidRPr="00755614">
        <w:rPr>
          <w:rFonts w:ascii="Arial" w:hAnsi="Arial" w:cs="Arial"/>
        </w:rPr>
        <w:t>PpTMM</w:t>
      </w:r>
      <w:r>
        <w:rPr>
          <w:rFonts w:ascii="Arial" w:hAnsi="Arial" w:cs="Arial"/>
          <w:i/>
        </w:rPr>
        <w:t xml:space="preserve"> </w:t>
      </w:r>
      <w:r w:rsidRPr="00F60BEE">
        <w:rPr>
          <w:rFonts w:ascii="Arial" w:hAnsi="Arial" w:cs="Arial"/>
        </w:rPr>
        <w:t xml:space="preserve">comes from the observations that intercellular acting MAPKs, MKKs and MKKKs are conserved within the </w:t>
      </w:r>
      <w:r w:rsidRPr="00F60BEE">
        <w:rPr>
          <w:rFonts w:ascii="Arial" w:hAnsi="Arial" w:cs="Arial"/>
          <w:i/>
        </w:rPr>
        <w:t xml:space="preserve">P. patens </w:t>
      </w:r>
      <w:r w:rsidRPr="00F60BEE">
        <w:rPr>
          <w:rFonts w:ascii="Arial" w:hAnsi="Arial" w:cs="Arial"/>
        </w:rPr>
        <w:t>genome (see table 1 of chapter 1)</w:t>
      </w:r>
      <w:r>
        <w:rPr>
          <w:rFonts w:ascii="Arial" w:hAnsi="Arial" w:cs="Arial"/>
        </w:rPr>
        <w:t xml:space="preserve">. Future studies using ChIP-seq, </w:t>
      </w:r>
      <w:r w:rsidRPr="00F60BEE">
        <w:rPr>
          <w:rFonts w:ascii="Arial" w:hAnsi="Arial" w:cs="Arial"/>
        </w:rPr>
        <w:t>over-expression</w:t>
      </w:r>
      <w:r>
        <w:rPr>
          <w:rFonts w:ascii="Arial" w:hAnsi="Arial" w:cs="Arial"/>
        </w:rPr>
        <w:t xml:space="preserve"> analysis</w:t>
      </w:r>
      <w:r w:rsidRPr="00F60BEE">
        <w:rPr>
          <w:rFonts w:ascii="Arial" w:hAnsi="Arial" w:cs="Arial"/>
        </w:rPr>
        <w:t xml:space="preserve"> </w:t>
      </w:r>
      <w:r>
        <w:rPr>
          <w:rFonts w:ascii="Arial" w:hAnsi="Arial" w:cs="Arial"/>
        </w:rPr>
        <w:t xml:space="preserve">and fluorescent tagging of </w:t>
      </w:r>
      <w:r w:rsidRPr="00F60BEE">
        <w:rPr>
          <w:rFonts w:ascii="Arial" w:hAnsi="Arial" w:cs="Arial"/>
          <w:i/>
        </w:rPr>
        <w:t xml:space="preserve">PpSMF1 </w:t>
      </w:r>
      <w:r w:rsidRPr="00F60BEE">
        <w:rPr>
          <w:rFonts w:ascii="Arial" w:hAnsi="Arial" w:cs="Arial"/>
        </w:rPr>
        <w:t xml:space="preserve">and or </w:t>
      </w:r>
      <w:r w:rsidRPr="00F60BEE">
        <w:rPr>
          <w:rFonts w:ascii="Arial" w:hAnsi="Arial" w:cs="Arial"/>
          <w:i/>
        </w:rPr>
        <w:t xml:space="preserve">PpSCRM1 </w:t>
      </w:r>
      <w:r w:rsidRPr="00F60BEE">
        <w:rPr>
          <w:rFonts w:ascii="Arial" w:hAnsi="Arial" w:cs="Arial"/>
        </w:rPr>
        <w:t xml:space="preserve">will enable a better understanding as to how stomatal development and patterning unfolds in </w:t>
      </w:r>
      <w:r w:rsidRPr="00F60BEE">
        <w:rPr>
          <w:rFonts w:ascii="Arial" w:hAnsi="Arial" w:cs="Arial"/>
          <w:i/>
        </w:rPr>
        <w:t xml:space="preserve">P. patens </w:t>
      </w:r>
      <w:r w:rsidRPr="00F60BEE">
        <w:rPr>
          <w:rFonts w:ascii="Arial" w:hAnsi="Arial" w:cs="Arial"/>
        </w:rPr>
        <w:t>and may also illustrate evolutionary conserved mechanisms for how stomatal development is regulated.</w:t>
      </w:r>
      <w:r>
        <w:rPr>
          <w:rFonts w:ascii="Arial" w:hAnsi="Arial" w:cs="Arial"/>
        </w:rPr>
        <w:t xml:space="preserve"> It would also be intriguing to follow the expression profiles and localisation of </w:t>
      </w:r>
      <w:r>
        <w:rPr>
          <w:rFonts w:ascii="Arial" w:hAnsi="Arial" w:cs="Arial"/>
          <w:i/>
        </w:rPr>
        <w:t xml:space="preserve">PpEPF1 </w:t>
      </w:r>
      <w:r>
        <w:rPr>
          <w:rFonts w:ascii="Arial" w:hAnsi="Arial" w:cs="Arial"/>
        </w:rPr>
        <w:t xml:space="preserve">and </w:t>
      </w:r>
      <w:r>
        <w:rPr>
          <w:rFonts w:ascii="Arial" w:hAnsi="Arial" w:cs="Arial"/>
          <w:i/>
        </w:rPr>
        <w:t xml:space="preserve">PpTMM </w:t>
      </w:r>
      <w:r>
        <w:rPr>
          <w:rFonts w:ascii="Arial" w:hAnsi="Arial" w:cs="Arial"/>
        </w:rPr>
        <w:t>during stomatal development in nascent sporophytes.</w:t>
      </w:r>
    </w:p>
    <w:p w14:paraId="1611032A" w14:textId="77777777" w:rsidR="006C37DC" w:rsidRPr="00405CE5" w:rsidRDefault="006C37DC" w:rsidP="006C37DC">
      <w:pPr>
        <w:spacing w:line="360" w:lineRule="auto"/>
        <w:rPr>
          <w:rFonts w:ascii="Arial" w:hAnsi="Arial" w:cs="Arial"/>
          <w:u w:val="single"/>
        </w:rPr>
      </w:pPr>
      <w:r w:rsidRPr="00405CE5">
        <w:rPr>
          <w:rFonts w:ascii="Arial" w:hAnsi="Arial" w:cs="Arial"/>
          <w:u w:val="single"/>
        </w:rPr>
        <w:t>6.4 Chapter 5 summary and further discussion</w:t>
      </w:r>
    </w:p>
    <w:p w14:paraId="25B30E64" w14:textId="77777777" w:rsidR="006C37DC" w:rsidRDefault="006C37DC" w:rsidP="006C37DC">
      <w:pPr>
        <w:spacing w:line="360" w:lineRule="auto"/>
        <w:rPr>
          <w:rFonts w:ascii="Arial" w:hAnsi="Arial" w:cs="Arial"/>
        </w:rPr>
      </w:pPr>
      <w:r w:rsidRPr="00F60BEE">
        <w:rPr>
          <w:rFonts w:ascii="Arial" w:hAnsi="Arial" w:cs="Arial"/>
        </w:rPr>
        <w:t>The data presented within chapter 5 illustrates that the study of stomatal size (S) and density (D) in non-vascular land plants grown at sub-ambient, ambient and elevated CO</w:t>
      </w:r>
      <w:r w:rsidRPr="00F60BEE">
        <w:rPr>
          <w:rFonts w:ascii="Arial" w:hAnsi="Arial" w:cs="Arial"/>
          <w:vertAlign w:val="subscript"/>
        </w:rPr>
        <w:t>2</w:t>
      </w:r>
      <w:r w:rsidRPr="00F60BEE">
        <w:rPr>
          <w:rFonts w:ascii="Arial" w:hAnsi="Arial" w:cs="Arial"/>
        </w:rPr>
        <w:t xml:space="preserve"> involves the consideration of many factors. In many </w:t>
      </w:r>
      <w:r>
        <w:rPr>
          <w:rFonts w:ascii="Arial" w:hAnsi="Arial" w:cs="Arial"/>
        </w:rPr>
        <w:t>land plant species</w:t>
      </w:r>
      <w:r w:rsidRPr="00F60BEE">
        <w:rPr>
          <w:rFonts w:ascii="Arial" w:hAnsi="Arial" w:cs="Arial"/>
        </w:rPr>
        <w:t>, it has been shown that plants reduce S and increase D when grown under sub-ambient CO</w:t>
      </w:r>
      <w:r w:rsidRPr="00F60BEE">
        <w:rPr>
          <w:rFonts w:ascii="Arial" w:hAnsi="Arial" w:cs="Arial"/>
          <w:vertAlign w:val="subscript"/>
        </w:rPr>
        <w:t>2</w:t>
      </w:r>
      <w:r>
        <w:rPr>
          <w:rFonts w:ascii="Arial" w:hAnsi="Arial" w:cs="Arial"/>
          <w:vertAlign w:val="subscript"/>
        </w:rPr>
        <w:t xml:space="preserve"> </w:t>
      </w:r>
      <w:r w:rsidRPr="00DF110F">
        <w:rPr>
          <w:rFonts w:ascii="Arial" w:hAnsi="Arial" w:cs="Arial"/>
        </w:rPr>
        <w:fldChar w:fldCharType="begin">
          <w:fldData xml:space="preserve">PEVuZE5vdGU+PENpdGU+PEF1dGhvcj5GcmFua3M8L0F1dGhvcj48WWVhcj4yMDA5PC9ZZWFyPjxJ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</w:fldData>
        </w:fldChar>
      </w:r>
      <w:r>
        <w:rPr>
          <w:rFonts w:ascii="Arial" w:hAnsi="Arial" w:cs="Arial"/>
        </w:rPr>
        <w:instrText xml:space="preserve"> ADDIN EN.CITE </w:instrText>
      </w:r>
      <w:r>
        <w:rPr>
          <w:rFonts w:ascii="Arial" w:hAnsi="Arial" w:cs="Arial"/>
        </w:rPr>
        <w:fldChar w:fldCharType="begin">
          <w:fldData xml:space="preserve">PEVuZE5vdGU+PENpdGU+PEF1dGhvcj5GcmFua3M8L0F1dGhvcj48WWVhcj4yMDA5PC9ZZWFyPjxJ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sidRPr="00DF110F">
        <w:rPr>
          <w:rFonts w:ascii="Arial" w:hAnsi="Arial" w:cs="Arial"/>
        </w:rPr>
      </w:r>
      <w:r w:rsidRPr="00DF110F">
        <w:rPr>
          <w:rFonts w:ascii="Arial" w:hAnsi="Arial" w:cs="Arial"/>
        </w:rPr>
        <w:fldChar w:fldCharType="separate"/>
      </w:r>
      <w:r>
        <w:rPr>
          <w:rFonts w:ascii="Arial" w:hAnsi="Arial" w:cs="Arial"/>
          <w:noProof/>
        </w:rPr>
        <w:t>(Franks and Beerling, 2009; Franks et al., 2012)</w:t>
      </w:r>
      <w:r w:rsidRPr="00DF110F">
        <w:rPr>
          <w:rFonts w:ascii="Arial" w:hAnsi="Arial" w:cs="Arial"/>
        </w:rPr>
        <w:fldChar w:fldCharType="end"/>
      </w:r>
      <w:r w:rsidRPr="00F60BEE">
        <w:rPr>
          <w:rFonts w:ascii="Arial" w:hAnsi="Arial" w:cs="Arial"/>
        </w:rPr>
        <w:t>. Conversely at elevated CO</w:t>
      </w:r>
      <w:r w:rsidRPr="00F60BEE">
        <w:rPr>
          <w:rFonts w:ascii="Arial" w:hAnsi="Arial" w:cs="Arial"/>
          <w:vertAlign w:val="subscript"/>
        </w:rPr>
        <w:t>2</w:t>
      </w:r>
      <w:r w:rsidRPr="00F60BEE">
        <w:rPr>
          <w:rFonts w:ascii="Arial" w:hAnsi="Arial" w:cs="Arial"/>
        </w:rPr>
        <w:t xml:space="preserve"> it has been found that the opposite occurs </w:t>
      </w:r>
      <w:r>
        <w:rPr>
          <w:rFonts w:ascii="Arial" w:hAnsi="Arial" w:cs="Arial"/>
        </w:rPr>
        <w:t xml:space="preserve">in such species </w:t>
      </w:r>
      <w:r w:rsidRPr="00F60BEE">
        <w:rPr>
          <w:rFonts w:ascii="Arial" w:hAnsi="Arial" w:cs="Arial"/>
        </w:rPr>
        <w:t>with inc</w:t>
      </w:r>
      <w:r>
        <w:rPr>
          <w:rFonts w:ascii="Arial" w:hAnsi="Arial" w:cs="Arial"/>
        </w:rPr>
        <w:t>reases in S and reductions in D. Whilst this response seems to occur in many species it appears that it is not universal however as many exceptions have been highlighted which do not alter S and D in response to CO</w:t>
      </w:r>
      <w:r>
        <w:rPr>
          <w:rFonts w:ascii="Arial" w:hAnsi="Arial" w:cs="Arial"/>
          <w:vertAlign w:val="subscript"/>
        </w:rPr>
        <w:t>2</w:t>
      </w:r>
      <w:r>
        <w:rPr>
          <w:rFonts w:ascii="Arial" w:hAnsi="Arial" w:cs="Arial"/>
        </w:rPr>
        <w:t xml:space="preserve"> </w:t>
      </w:r>
      <w:r w:rsidRPr="00DF110F">
        <w:rPr>
          <w:rFonts w:ascii="Arial" w:hAnsi="Arial" w:cs="Arial"/>
        </w:rPr>
        <w:fldChar w:fldCharType="begin"/>
      </w:r>
      <w:r w:rsidRPr="00DF110F">
        <w:rPr>
          <w:rFonts w:ascii="Arial" w:hAnsi="Arial" w:cs="Arial"/>
        </w:rPr>
        <w:instrText xml:space="preserve"> ADDIN EN.CITE &lt;EndNote&gt;&lt;Cite&gt;&lt;Author&gt;Haworth&lt;/Author&gt;&lt;Year&gt;2013&lt;/Year&gt;&lt;IDText&gt;Co-ordination of physiological and morphological responses of stomata to elevated [CO2] in vascular plants&lt;/IDText&gt;&lt;DisplayText&gt;(Haworth et al., 2013)&lt;/DisplayText&gt;&lt;record&gt;&lt;dates&gt;&lt;pub-dates&gt;&lt;date&gt;2013//&lt;/date&gt;&lt;/pub-dates&gt;&lt;year&gt;2013&lt;/year&gt;&lt;/dates&gt;&lt;urls&gt;&lt;related-urls&gt;&lt;url&gt;http://dx.doi.org/10.1007/s00442-012-2406-9&lt;/url&gt;&lt;/related-urls&gt;&lt;/urls&gt;&lt;isbn&gt;1432-1939&lt;/isbn&gt;&lt;titles&gt;&lt;title&gt;Co-ordination of physiological and morphological responses of stomata to elevated [CO2] in vascular plants&lt;/title&gt;&lt;secondary-title&gt;Oecologia&lt;/secondary-title&gt;&lt;/titles&gt;&lt;pages&gt;71-82&lt;/pages&gt;&lt;number&gt;1&lt;/number&gt;&lt;contributors&gt;&lt;authors&gt;&lt;author&gt;Haworth, Matthew&lt;/author&gt;&lt;author&gt;Elliott-Kingston, Caroline&lt;/author&gt;&lt;author&gt;McElwain, Jennifer C.&lt;/author&gt;&lt;/authors&gt;&lt;/contributors&gt;&lt;added-date format="utc"&gt;1465913356&lt;/added-date&gt;&lt;ref-type name="Journal Article"&gt;17&lt;/ref-type&gt;&lt;rec-number&gt;1308&lt;/rec-number&gt;&lt;last-updated-date format="utc"&gt;1465913356&lt;/last-updated-date&gt;&lt;electronic-resource-num&gt;10.1007/s00442-012-2406-9&lt;/electronic-resource-num&gt;&lt;volume&gt;171&lt;/volume&gt;&lt;/record&gt;&lt;/Cite&gt;&lt;/EndNote&gt;</w:instrText>
      </w:r>
      <w:r w:rsidRPr="00DF110F">
        <w:rPr>
          <w:rFonts w:ascii="Arial" w:hAnsi="Arial" w:cs="Arial"/>
        </w:rPr>
        <w:fldChar w:fldCharType="separate"/>
      </w:r>
      <w:r w:rsidRPr="00DF110F">
        <w:rPr>
          <w:rFonts w:ascii="Arial" w:hAnsi="Arial" w:cs="Arial"/>
        </w:rPr>
        <w:t>(Haworth et al., 2013)</w:t>
      </w:r>
      <w:r w:rsidRPr="00DF110F">
        <w:rPr>
          <w:rFonts w:ascii="Arial" w:hAnsi="Arial" w:cs="Arial"/>
        </w:rPr>
        <w:fldChar w:fldCharType="end"/>
      </w:r>
      <w:r>
        <w:rPr>
          <w:rFonts w:ascii="Arial" w:hAnsi="Arial" w:cs="Arial"/>
        </w:rPr>
        <w:t xml:space="preserve">. Interestingly, in such cases in some instances rather than altering S and D it has been shown that plants alter stomatal function </w:t>
      </w:r>
      <w:r>
        <w:rPr>
          <w:rFonts w:ascii="Arial" w:hAnsi="Arial" w:cs="Arial"/>
        </w:rPr>
        <w:fldChar w:fldCharType="begin"/>
      </w:r>
      <w:r>
        <w:rPr>
          <w:rFonts w:ascii="Arial" w:hAnsi="Arial" w:cs="Arial"/>
        </w:rPr>
        <w:instrText xml:space="preserve"> ADDIN EN.CITE &lt;EndNote&gt;&lt;Cite&gt;&lt;Author&gt;Haworth&lt;/Author&gt;&lt;Year&gt;2013&lt;/Year&gt;&lt;IDText&gt;Co-ordination of physiological and morphological responses of stomata to elevated [CO2] in vascular plants&lt;/IDText&gt;&lt;DisplayText&gt;(Haworth et al., 2013)&lt;/DisplayText&gt;&lt;record&gt;&lt;dates&gt;&lt;pub-dates&gt;&lt;date&gt;2013//&lt;/date&gt;&lt;/pub-dates&gt;&lt;year&gt;2013&lt;/year&gt;&lt;/dates&gt;&lt;urls&gt;&lt;related-urls&gt;&lt;url&gt;http://dx.doi.org/10.1007/s00442-012-2406-9&lt;/url&gt;&lt;/related-urls&gt;&lt;/urls&gt;&lt;isbn&gt;1432-1939&lt;/isbn&gt;&lt;titles&gt;&lt;title&gt;Co-ordination of physiological and morphological responses of stomata to elevated [CO2] in vascular plants&lt;/title&gt;&lt;secondary-title&gt;Oecologia&lt;/secondary-title&gt;&lt;/titles&gt;&lt;pages&gt;71-82&lt;/pages&gt;&lt;number&gt;1&lt;/number&gt;&lt;contributors&gt;&lt;authors&gt;&lt;author&gt;Haworth, Matthew&lt;/author&gt;&lt;author&gt;Elliott-Kingston, Caroline&lt;/author&gt;&lt;author&gt;McElwain, Jennifer C.&lt;/author&gt;&lt;/authors&gt;&lt;/contributors&gt;&lt;added-date format="utc"&gt;1465913356&lt;/added-date&gt;&lt;ref-type name="Journal Article"&gt;17&lt;/ref-type&gt;&lt;rec-number&gt;1308&lt;/rec-number&gt;&lt;last-updated-date format="utc"&gt;1465913356&lt;/last-updated-date&gt;&lt;electronic-resource-num&gt;10.1007/s00442-012-2406-9&lt;/electronic-resource-num&gt;&lt;volume&gt;171&lt;/volume&gt;&lt;/record&gt;&lt;/Cite&gt;&lt;/EndNote&gt;</w:instrText>
      </w:r>
      <w:r>
        <w:rPr>
          <w:rFonts w:ascii="Arial" w:hAnsi="Arial" w:cs="Arial"/>
        </w:rPr>
        <w:fldChar w:fldCharType="separate"/>
      </w:r>
      <w:r>
        <w:rPr>
          <w:rFonts w:ascii="Arial" w:hAnsi="Arial" w:cs="Arial"/>
          <w:noProof/>
        </w:rPr>
        <w:t>(Haworth et al., 2013)</w:t>
      </w:r>
      <w:r>
        <w:rPr>
          <w:rFonts w:ascii="Arial" w:hAnsi="Arial" w:cs="Arial"/>
        </w:rPr>
        <w:fldChar w:fldCharType="end"/>
      </w:r>
      <w:r>
        <w:rPr>
          <w:rFonts w:ascii="Arial" w:hAnsi="Arial" w:cs="Arial"/>
        </w:rPr>
        <w:t>.</w:t>
      </w:r>
      <w:r w:rsidRPr="00F60BEE">
        <w:rPr>
          <w:rFonts w:ascii="Arial" w:hAnsi="Arial" w:cs="Arial"/>
        </w:rPr>
        <w:t xml:space="preserve"> </w:t>
      </w:r>
    </w:p>
    <w:p w14:paraId="613BEBA4" w14:textId="44C43422" w:rsidR="006C37DC" w:rsidRPr="00BD2854" w:rsidRDefault="006C37DC" w:rsidP="006C37DC">
      <w:pPr>
        <w:spacing w:line="360" w:lineRule="auto"/>
        <w:rPr>
          <w:rFonts w:ascii="Arial" w:hAnsi="Arial" w:cs="Arial"/>
        </w:rPr>
      </w:pPr>
      <w:r>
        <w:rPr>
          <w:rFonts w:ascii="Arial" w:hAnsi="Arial" w:cs="Arial"/>
        </w:rPr>
        <w:t>With regard to the experiments present in chapter 5 i</w:t>
      </w:r>
      <w:r w:rsidRPr="00F60BEE">
        <w:rPr>
          <w:rFonts w:ascii="Arial" w:hAnsi="Arial" w:cs="Arial"/>
        </w:rPr>
        <w:t xml:space="preserve">t was found for the moss </w:t>
      </w:r>
      <w:r w:rsidRPr="00F60BEE">
        <w:rPr>
          <w:rFonts w:ascii="Arial" w:hAnsi="Arial" w:cs="Arial"/>
          <w:i/>
        </w:rPr>
        <w:t>F</w:t>
      </w:r>
      <w:r>
        <w:rPr>
          <w:rFonts w:ascii="Arial" w:hAnsi="Arial" w:cs="Arial"/>
          <w:i/>
        </w:rPr>
        <w:t xml:space="preserve">. </w:t>
      </w:r>
      <w:r w:rsidRPr="00F60BEE">
        <w:rPr>
          <w:rFonts w:ascii="Arial" w:hAnsi="Arial" w:cs="Arial"/>
          <w:i/>
        </w:rPr>
        <w:t xml:space="preserve">hygrometrica </w:t>
      </w:r>
      <w:r w:rsidRPr="00F60BEE">
        <w:rPr>
          <w:rFonts w:ascii="Arial" w:hAnsi="Arial" w:cs="Arial"/>
        </w:rPr>
        <w:t>that growth at increasingly high CO</w:t>
      </w:r>
      <w:r w:rsidRPr="00F60BEE">
        <w:rPr>
          <w:rFonts w:ascii="Arial" w:hAnsi="Arial" w:cs="Arial"/>
          <w:vertAlign w:val="subscript"/>
        </w:rPr>
        <w:t>2</w:t>
      </w:r>
      <w:r w:rsidRPr="00F60BEE">
        <w:rPr>
          <w:rFonts w:ascii="Arial" w:hAnsi="Arial" w:cs="Arial"/>
        </w:rPr>
        <w:t xml:space="preserve"> concentrations lead to larger sporophytes </w:t>
      </w:r>
      <w:r w:rsidRPr="00F60BEE">
        <w:rPr>
          <w:rFonts w:ascii="Arial" w:hAnsi="Arial" w:cs="Arial"/>
        </w:rPr>
        <w:lastRenderedPageBreak/>
        <w:t>with increased S and reduced D thereby following the same responses as many other land plant lineages</w:t>
      </w:r>
      <w:r>
        <w:rPr>
          <w:rFonts w:ascii="Arial" w:hAnsi="Arial" w:cs="Arial"/>
        </w:rPr>
        <w:t xml:space="preserve"> </w:t>
      </w:r>
      <w:r>
        <w:rPr>
          <w:rFonts w:ascii="Arial" w:hAnsi="Arial" w:cs="Arial"/>
        </w:rPr>
        <w:fldChar w:fldCharType="begin">
          <w:fldData xml:space="preserve">PEVuZE5vdGU+PENpdGU+PEF1dGhvcj5Eb2hlbnktQWRhbXM8L0F1dGhvcj48WWVhcj4yMDEyPC9Z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PEVuZE5vdGU+PENpdGU+PEF1dGhvcj5Eb2hlbnktQWRhbXM8L0F1dGhvcj48WWVhcj4yMDEyPC9Z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(Doheny-Adams et al., 2012; Franks et al., 2012)</w:t>
      </w:r>
      <w:r>
        <w:rPr>
          <w:rFonts w:ascii="Arial" w:hAnsi="Arial" w:cs="Arial"/>
        </w:rPr>
        <w:fldChar w:fldCharType="end"/>
      </w:r>
      <w:r w:rsidRPr="00F60BEE">
        <w:rPr>
          <w:rFonts w:ascii="Arial" w:hAnsi="Arial" w:cs="Arial"/>
        </w:rPr>
        <w:t>.</w:t>
      </w:r>
      <w:r>
        <w:rPr>
          <w:rFonts w:ascii="Arial" w:hAnsi="Arial" w:cs="Arial"/>
        </w:rPr>
        <w:t xml:space="preserve"> Interestingly however, the results presented are contrasting to those of Field and colleagues </w:t>
      </w:r>
      <w:r>
        <w:rPr>
          <w:rFonts w:ascii="Arial" w:hAnsi="Arial" w:cs="Arial"/>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PEVuZE5vdGU+PENpdGUgRXhjbHVkZUF1dGg9IjEiPjxBdXRob3I+RmllbGQ8L0F1dGhvcj48WWVh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(2015)</w:t>
      </w:r>
      <w:r>
        <w:rPr>
          <w:rFonts w:ascii="Arial" w:hAnsi="Arial" w:cs="Arial"/>
        </w:rPr>
        <w:fldChar w:fldCharType="end"/>
      </w:r>
      <w:r>
        <w:rPr>
          <w:rFonts w:ascii="Arial" w:hAnsi="Arial" w:cs="Arial"/>
        </w:rPr>
        <w:t xml:space="preserve"> who showed no S and D response in </w:t>
      </w:r>
      <w:r>
        <w:rPr>
          <w:rFonts w:ascii="Arial" w:hAnsi="Arial" w:cs="Arial"/>
          <w:i/>
        </w:rPr>
        <w:t>F. hygrometrica</w:t>
      </w:r>
      <w:r>
        <w:rPr>
          <w:rFonts w:ascii="Arial" w:hAnsi="Arial" w:cs="Arial"/>
        </w:rPr>
        <w:t xml:space="preserve">. For further discussion </w:t>
      </w:r>
      <w:r w:rsidR="00755614">
        <w:rPr>
          <w:rFonts w:ascii="Arial" w:hAnsi="Arial" w:cs="Arial"/>
        </w:rPr>
        <w:t>see section 5.1</w:t>
      </w:r>
      <w:r>
        <w:rPr>
          <w:rFonts w:ascii="Arial" w:hAnsi="Arial" w:cs="Arial"/>
        </w:rPr>
        <w:t>.</w:t>
      </w:r>
      <w:r w:rsidRPr="00F60BEE">
        <w:rPr>
          <w:rFonts w:ascii="Arial" w:hAnsi="Arial" w:cs="Arial"/>
        </w:rPr>
        <w:t xml:space="preserve"> For the reduced sporophyte of </w:t>
      </w:r>
      <w:r>
        <w:rPr>
          <w:rFonts w:ascii="Arial" w:hAnsi="Arial" w:cs="Arial"/>
          <w:i/>
        </w:rPr>
        <w:t xml:space="preserve">P. </w:t>
      </w:r>
      <w:r w:rsidRPr="00307F0B">
        <w:rPr>
          <w:rFonts w:ascii="Arial" w:hAnsi="Arial" w:cs="Arial"/>
          <w:i/>
        </w:rPr>
        <w:t>patens</w:t>
      </w:r>
      <w:r>
        <w:rPr>
          <w:rFonts w:ascii="Arial" w:hAnsi="Arial" w:cs="Arial"/>
        </w:rPr>
        <w:t xml:space="preserve">, </w:t>
      </w:r>
      <w:r w:rsidRPr="00307F0B">
        <w:rPr>
          <w:rFonts w:ascii="Arial" w:hAnsi="Arial" w:cs="Arial"/>
        </w:rPr>
        <w:t>increased</w:t>
      </w:r>
      <w:r w:rsidRPr="00F60BEE">
        <w:rPr>
          <w:rFonts w:ascii="Arial" w:hAnsi="Arial" w:cs="Arial"/>
        </w:rPr>
        <w:t xml:space="preserve"> CO</w:t>
      </w:r>
      <w:r w:rsidRPr="00F60BEE">
        <w:rPr>
          <w:rFonts w:ascii="Arial" w:hAnsi="Arial" w:cs="Arial"/>
          <w:vertAlign w:val="subscript"/>
        </w:rPr>
        <w:t>2</w:t>
      </w:r>
      <w:r w:rsidRPr="00F60BEE">
        <w:rPr>
          <w:rFonts w:ascii="Arial" w:hAnsi="Arial" w:cs="Arial"/>
        </w:rPr>
        <w:t xml:space="preserve"> concentrat</w:t>
      </w:r>
      <w:r>
        <w:rPr>
          <w:rFonts w:ascii="Arial" w:hAnsi="Arial" w:cs="Arial"/>
        </w:rPr>
        <w:t xml:space="preserve">ion also seemed to increase </w:t>
      </w:r>
      <w:r w:rsidRPr="00F60BEE">
        <w:rPr>
          <w:rFonts w:ascii="Arial" w:hAnsi="Arial" w:cs="Arial"/>
        </w:rPr>
        <w:t xml:space="preserve">S and reduce D of stomata. </w:t>
      </w:r>
      <w:r>
        <w:rPr>
          <w:rFonts w:ascii="Arial" w:hAnsi="Arial" w:cs="Arial"/>
        </w:rPr>
        <w:t>Interestingly, the stomatal number (N) went up in plants grown under increasingly high concentrations of CO</w:t>
      </w:r>
      <w:r>
        <w:rPr>
          <w:rFonts w:ascii="Arial" w:hAnsi="Arial" w:cs="Arial"/>
          <w:vertAlign w:val="subscript"/>
        </w:rPr>
        <w:t>2</w:t>
      </w:r>
      <w:r>
        <w:rPr>
          <w:rFonts w:ascii="Arial" w:hAnsi="Arial" w:cs="Arial"/>
        </w:rPr>
        <w:t xml:space="preserve"> which could imply the opposite effect on D if stomata per capsule was considered as the unit of measurement (although this was not significant). </w:t>
      </w:r>
      <w:r w:rsidRPr="00F60BEE">
        <w:rPr>
          <w:rFonts w:ascii="Arial" w:hAnsi="Arial" w:cs="Arial"/>
        </w:rPr>
        <w:t xml:space="preserve">However, when capsule sizes were standardised between treatments it was found that </w:t>
      </w:r>
      <w:r>
        <w:rPr>
          <w:rFonts w:ascii="Arial" w:hAnsi="Arial" w:cs="Arial"/>
        </w:rPr>
        <w:t xml:space="preserve">S, </w:t>
      </w:r>
      <w:r w:rsidRPr="00F60BEE">
        <w:rPr>
          <w:rFonts w:ascii="Arial" w:hAnsi="Arial" w:cs="Arial"/>
        </w:rPr>
        <w:t xml:space="preserve">D </w:t>
      </w:r>
      <w:r>
        <w:rPr>
          <w:rFonts w:ascii="Arial" w:hAnsi="Arial" w:cs="Arial"/>
        </w:rPr>
        <w:t xml:space="preserve">and N </w:t>
      </w:r>
      <w:r w:rsidRPr="00F60BEE">
        <w:rPr>
          <w:rFonts w:ascii="Arial" w:hAnsi="Arial" w:cs="Arial"/>
        </w:rPr>
        <w:t>did not exhibit such responses to elevated CO</w:t>
      </w:r>
      <w:r w:rsidRPr="00F60BEE">
        <w:rPr>
          <w:rFonts w:ascii="Arial" w:hAnsi="Arial" w:cs="Arial"/>
          <w:vertAlign w:val="subscript"/>
        </w:rPr>
        <w:t>2</w:t>
      </w:r>
      <w:r w:rsidRPr="00F60BEE">
        <w:rPr>
          <w:rFonts w:ascii="Arial" w:hAnsi="Arial" w:cs="Arial"/>
        </w:rPr>
        <w:t xml:space="preserve"> indicating that for </w:t>
      </w:r>
      <w:r w:rsidRPr="00F60BEE">
        <w:rPr>
          <w:rFonts w:ascii="Arial" w:hAnsi="Arial" w:cs="Arial"/>
          <w:i/>
        </w:rPr>
        <w:t xml:space="preserve">P. </w:t>
      </w:r>
      <w:r>
        <w:rPr>
          <w:rFonts w:ascii="Arial" w:hAnsi="Arial" w:cs="Arial"/>
          <w:i/>
        </w:rPr>
        <w:t>p</w:t>
      </w:r>
      <w:r w:rsidRPr="00F60BEE">
        <w:rPr>
          <w:rFonts w:ascii="Arial" w:hAnsi="Arial" w:cs="Arial"/>
          <w:i/>
        </w:rPr>
        <w:t>atens</w:t>
      </w:r>
      <w:r w:rsidRPr="00F60BEE">
        <w:rPr>
          <w:rFonts w:ascii="Arial" w:hAnsi="Arial" w:cs="Arial"/>
        </w:rPr>
        <w:t>,</w:t>
      </w:r>
      <w:r w:rsidRPr="00F60BEE">
        <w:rPr>
          <w:rFonts w:ascii="Arial" w:hAnsi="Arial" w:cs="Arial"/>
          <w:i/>
        </w:rPr>
        <w:t xml:space="preserve"> </w:t>
      </w:r>
      <w:r>
        <w:rPr>
          <w:rFonts w:ascii="Arial" w:hAnsi="Arial" w:cs="Arial"/>
        </w:rPr>
        <w:t xml:space="preserve">S, </w:t>
      </w:r>
      <w:r w:rsidRPr="00F60BEE">
        <w:rPr>
          <w:rFonts w:ascii="Arial" w:hAnsi="Arial" w:cs="Arial"/>
        </w:rPr>
        <w:t xml:space="preserve">D </w:t>
      </w:r>
      <w:r>
        <w:rPr>
          <w:rFonts w:ascii="Arial" w:hAnsi="Arial" w:cs="Arial"/>
        </w:rPr>
        <w:t xml:space="preserve">and N </w:t>
      </w:r>
      <w:r w:rsidRPr="00F60BEE">
        <w:rPr>
          <w:rFonts w:ascii="Arial" w:hAnsi="Arial" w:cs="Arial"/>
        </w:rPr>
        <w:t>response</w:t>
      </w:r>
      <w:r>
        <w:rPr>
          <w:rFonts w:ascii="Arial" w:hAnsi="Arial" w:cs="Arial"/>
        </w:rPr>
        <w:t>s</w:t>
      </w:r>
      <w:r w:rsidRPr="00F60BEE">
        <w:rPr>
          <w:rFonts w:ascii="Arial" w:hAnsi="Arial" w:cs="Arial"/>
        </w:rPr>
        <w:t xml:space="preserve"> primarily </w:t>
      </w:r>
      <w:r>
        <w:rPr>
          <w:rFonts w:ascii="Arial" w:hAnsi="Arial" w:cs="Arial"/>
        </w:rPr>
        <w:t xml:space="preserve">resulted due </w:t>
      </w:r>
      <w:r w:rsidRPr="00F60BEE">
        <w:rPr>
          <w:rFonts w:ascii="Arial" w:hAnsi="Arial" w:cs="Arial"/>
        </w:rPr>
        <w:t>to larger capsules forming at higher CO</w:t>
      </w:r>
      <w:r w:rsidRPr="00F60BEE">
        <w:rPr>
          <w:rFonts w:ascii="Arial" w:hAnsi="Arial" w:cs="Arial"/>
          <w:vertAlign w:val="subscript"/>
        </w:rPr>
        <w:t>2</w:t>
      </w:r>
      <w:r w:rsidRPr="00F60BEE">
        <w:rPr>
          <w:rFonts w:ascii="Arial" w:hAnsi="Arial" w:cs="Arial"/>
        </w:rPr>
        <w:t xml:space="preserve"> concentrations. </w:t>
      </w:r>
      <w:r>
        <w:rPr>
          <w:rFonts w:ascii="Arial" w:hAnsi="Arial" w:cs="Arial"/>
        </w:rPr>
        <w:t xml:space="preserve">It seems that increases in </w:t>
      </w:r>
      <w:r w:rsidRPr="00F60BEE">
        <w:rPr>
          <w:rFonts w:ascii="Arial" w:hAnsi="Arial" w:cs="Arial"/>
        </w:rPr>
        <w:t>S and</w:t>
      </w:r>
      <w:r>
        <w:rPr>
          <w:rFonts w:ascii="Arial" w:hAnsi="Arial" w:cs="Arial"/>
        </w:rPr>
        <w:t xml:space="preserve"> decreases in</w:t>
      </w:r>
      <w:r w:rsidRPr="00F60BEE">
        <w:rPr>
          <w:rFonts w:ascii="Arial" w:hAnsi="Arial" w:cs="Arial"/>
        </w:rPr>
        <w:t xml:space="preserve"> D </w:t>
      </w:r>
      <w:r>
        <w:rPr>
          <w:rFonts w:ascii="Arial" w:hAnsi="Arial" w:cs="Arial"/>
        </w:rPr>
        <w:t xml:space="preserve">on larger capsules also </w:t>
      </w:r>
      <w:r w:rsidRPr="00F60BEE">
        <w:rPr>
          <w:rFonts w:ascii="Arial" w:hAnsi="Arial" w:cs="Arial"/>
        </w:rPr>
        <w:t xml:space="preserve">appeared to be linked to light levels as such responses were only detectable </w:t>
      </w:r>
      <w:r>
        <w:rPr>
          <w:rFonts w:ascii="Arial" w:hAnsi="Arial" w:cs="Arial"/>
        </w:rPr>
        <w:t xml:space="preserve">under </w:t>
      </w:r>
      <w:r w:rsidRPr="00F60BEE">
        <w:rPr>
          <w:rFonts w:ascii="Arial" w:hAnsi="Arial" w:cs="Arial"/>
        </w:rPr>
        <w:t>high light (HL</w:t>
      </w:r>
      <w:r>
        <w:rPr>
          <w:rFonts w:ascii="Arial" w:hAnsi="Arial" w:cs="Arial"/>
        </w:rPr>
        <w:t>, 170</w:t>
      </w:r>
      <w:r w:rsidRPr="002A605B">
        <w:rPr>
          <w:rFonts w:ascii="Arial" w:eastAsia="Times New Roman" w:hAnsi="Arial" w:cs="Arial"/>
          <w:color w:val="000000"/>
        </w:rPr>
        <w:t>µmol m</w:t>
      </w:r>
      <w:r w:rsidRPr="002A605B">
        <w:rPr>
          <w:rFonts w:ascii="Arial" w:eastAsia="Times New Roman" w:hAnsi="Arial" w:cs="Arial"/>
          <w:color w:val="000000"/>
          <w:vertAlign w:val="superscript"/>
        </w:rPr>
        <w:t>−2</w:t>
      </w:r>
      <w:r w:rsidRPr="002A605B">
        <w:rPr>
          <w:rFonts w:ascii="Arial" w:eastAsia="Times New Roman" w:hAnsi="Arial" w:cs="Arial"/>
          <w:color w:val="000000"/>
        </w:rPr>
        <w:t>s</w:t>
      </w:r>
      <w:r w:rsidRPr="002A605B">
        <w:rPr>
          <w:rFonts w:ascii="Arial" w:eastAsia="Times New Roman" w:hAnsi="Arial" w:cs="Arial"/>
          <w:color w:val="000000"/>
          <w:vertAlign w:val="superscript"/>
        </w:rPr>
        <w:t>−1</w:t>
      </w:r>
      <w:r>
        <w:rPr>
          <w:rFonts w:ascii="Arial" w:hAnsi="Arial" w:cs="Arial"/>
        </w:rPr>
        <w:t>) grown capsules and not on low light (LL, 70</w:t>
      </w:r>
      <w:r w:rsidRPr="002A605B">
        <w:rPr>
          <w:rFonts w:ascii="Arial" w:eastAsia="Times New Roman" w:hAnsi="Arial" w:cs="Arial"/>
          <w:color w:val="000000"/>
        </w:rPr>
        <w:t>µmol m</w:t>
      </w:r>
      <w:r w:rsidRPr="002A605B">
        <w:rPr>
          <w:rFonts w:ascii="Arial" w:eastAsia="Times New Roman" w:hAnsi="Arial" w:cs="Arial"/>
          <w:color w:val="000000"/>
          <w:vertAlign w:val="superscript"/>
        </w:rPr>
        <w:t>−2</w:t>
      </w:r>
      <w:r w:rsidRPr="002A605B">
        <w:rPr>
          <w:rFonts w:ascii="Arial" w:eastAsia="Times New Roman" w:hAnsi="Arial" w:cs="Arial"/>
          <w:color w:val="000000"/>
        </w:rPr>
        <w:t>s</w:t>
      </w:r>
      <w:r w:rsidRPr="002A605B">
        <w:rPr>
          <w:rFonts w:ascii="Arial" w:eastAsia="Times New Roman" w:hAnsi="Arial" w:cs="Arial"/>
          <w:color w:val="000000"/>
          <w:vertAlign w:val="superscript"/>
        </w:rPr>
        <w:t>−1</w:t>
      </w:r>
      <w:r>
        <w:rPr>
          <w:rFonts w:ascii="Arial" w:hAnsi="Arial" w:cs="Arial"/>
        </w:rPr>
        <w:t>) grown capsules</w:t>
      </w:r>
      <w:r w:rsidRPr="00F60BEE">
        <w:rPr>
          <w:rFonts w:ascii="Arial" w:hAnsi="Arial" w:cs="Arial"/>
        </w:rPr>
        <w:t>.</w:t>
      </w:r>
      <w:r>
        <w:rPr>
          <w:rFonts w:ascii="Arial" w:hAnsi="Arial" w:cs="Arial"/>
        </w:rPr>
        <w:t xml:space="preserve"> Interesting</w:t>
      </w:r>
      <w:r w:rsidR="00755614">
        <w:rPr>
          <w:rFonts w:ascii="Arial" w:hAnsi="Arial" w:cs="Arial"/>
        </w:rPr>
        <w:t>ly</w:t>
      </w:r>
      <w:r>
        <w:rPr>
          <w:rFonts w:ascii="Arial" w:hAnsi="Arial" w:cs="Arial"/>
        </w:rPr>
        <w:t xml:space="preserve"> when same size capsules grown at different light intensities at 450ppm CO</w:t>
      </w:r>
      <w:r>
        <w:rPr>
          <w:rFonts w:ascii="Arial" w:hAnsi="Arial" w:cs="Arial"/>
          <w:vertAlign w:val="subscript"/>
        </w:rPr>
        <w:t>2</w:t>
      </w:r>
      <w:r>
        <w:rPr>
          <w:rFonts w:ascii="Arial" w:hAnsi="Arial" w:cs="Arial"/>
        </w:rPr>
        <w:t xml:space="preserve"> were compared, the HL treatment lead to a </w:t>
      </w:r>
      <w:r w:rsidR="00755614">
        <w:rPr>
          <w:rFonts w:ascii="Arial" w:hAnsi="Arial" w:cs="Arial"/>
        </w:rPr>
        <w:t>significant increase in D and a</w:t>
      </w:r>
      <w:r>
        <w:rPr>
          <w:rFonts w:ascii="Arial" w:hAnsi="Arial" w:cs="Arial"/>
        </w:rPr>
        <w:t xml:space="preserve"> smaller </w:t>
      </w:r>
      <w:r w:rsidR="00755614">
        <w:rPr>
          <w:rFonts w:ascii="Arial" w:hAnsi="Arial" w:cs="Arial"/>
        </w:rPr>
        <w:t xml:space="preserve">(but not significant) </w:t>
      </w:r>
      <w:r>
        <w:rPr>
          <w:rFonts w:ascii="Arial" w:hAnsi="Arial" w:cs="Arial"/>
        </w:rPr>
        <w:t>increase in N. This is the first evidence that increased light levels positively regulates stomatal development in a non-vascular land plant. The results presented in chapter 5 taken together suggest that S and D responses to CO</w:t>
      </w:r>
      <w:r>
        <w:rPr>
          <w:rFonts w:ascii="Arial" w:hAnsi="Arial" w:cs="Arial"/>
          <w:vertAlign w:val="subscript"/>
        </w:rPr>
        <w:t>2</w:t>
      </w:r>
      <w:r>
        <w:rPr>
          <w:rFonts w:ascii="Arial" w:hAnsi="Arial" w:cs="Arial"/>
        </w:rPr>
        <w:t xml:space="preserve"> do occur in non-vascular land plants but for </w:t>
      </w:r>
      <w:r>
        <w:rPr>
          <w:rFonts w:ascii="Arial" w:hAnsi="Arial" w:cs="Arial"/>
          <w:i/>
        </w:rPr>
        <w:t xml:space="preserve">P. patens </w:t>
      </w:r>
      <w:r>
        <w:rPr>
          <w:rFonts w:ascii="Arial" w:hAnsi="Arial" w:cs="Arial"/>
        </w:rPr>
        <w:t>at least are dependent on both how and what samples are analysed and under what conditions plants are grown (see also chapter 5).</w:t>
      </w:r>
    </w:p>
    <w:p w14:paraId="52CBE033" w14:textId="12390448" w:rsidR="006C37DC" w:rsidRDefault="006C37DC" w:rsidP="006C37DC">
      <w:pPr>
        <w:spacing w:line="360" w:lineRule="auto"/>
      </w:pPr>
      <w:r w:rsidRPr="00F60BEE">
        <w:rPr>
          <w:rFonts w:ascii="Arial" w:hAnsi="Arial" w:cs="Arial"/>
        </w:rPr>
        <w:t xml:space="preserve">To understand whether </w:t>
      </w:r>
      <w:r w:rsidRPr="00F60BEE">
        <w:rPr>
          <w:rFonts w:ascii="Arial" w:hAnsi="Arial" w:cs="Arial"/>
          <w:i/>
        </w:rPr>
        <w:t xml:space="preserve">P. patens </w:t>
      </w:r>
      <w:r w:rsidRPr="00F60BEE">
        <w:rPr>
          <w:rFonts w:ascii="Arial" w:hAnsi="Arial" w:cs="Arial"/>
        </w:rPr>
        <w:t>utilised similar genetic mechanisms to the vascular land plant Arabidopsis to alter D in response to CO</w:t>
      </w:r>
      <w:r w:rsidRPr="00F60BEE">
        <w:rPr>
          <w:rFonts w:ascii="Arial" w:hAnsi="Arial" w:cs="Arial"/>
          <w:vertAlign w:val="subscript"/>
        </w:rPr>
        <w:t>2</w:t>
      </w:r>
      <w:r>
        <w:rPr>
          <w:rFonts w:ascii="Arial" w:hAnsi="Arial" w:cs="Arial"/>
        </w:rPr>
        <w:t xml:space="preserve"> </w:t>
      </w:r>
      <w:r>
        <w:rPr>
          <w:rFonts w:ascii="Arial" w:hAnsi="Arial" w:cs="Arial"/>
        </w:rPr>
        <w:fldChar w:fldCharType="begin">
          <w:fldData xml:space="preserve">PEVuZE5vdGU+PENpdGU+PEF1dGhvcj5FbmdpbmVlcjwvQXV0aG9yPjxZZWFyPjIwMTQ8L1llYXI+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</w:fldData>
        </w:fldChar>
      </w:r>
      <w:r>
        <w:rPr>
          <w:rFonts w:ascii="Arial" w:hAnsi="Arial" w:cs="Arial"/>
        </w:rPr>
        <w:instrText xml:space="preserve"> ADDIN EN.CITE </w:instrText>
      </w:r>
      <w:r>
        <w:rPr>
          <w:rFonts w:ascii="Arial" w:hAnsi="Arial" w:cs="Arial"/>
        </w:rPr>
        <w:fldChar w:fldCharType="begin">
          <w:fldData xml:space="preserve">PEVuZE5vdGU+PENpdGU+PEF1dGhvcj5FbmdpbmVlcjwvQXV0aG9yPjxZZWFyPjIwMTQ8L1llYXI+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(Engineer et al., 2014)</w:t>
      </w:r>
      <w:r>
        <w:rPr>
          <w:rFonts w:ascii="Arial" w:hAnsi="Arial" w:cs="Arial"/>
        </w:rPr>
        <w:fldChar w:fldCharType="end"/>
      </w:r>
      <w:r w:rsidRPr="00F60BEE">
        <w:rPr>
          <w:rFonts w:ascii="Arial" w:hAnsi="Arial" w:cs="Arial"/>
        </w:rPr>
        <w:t xml:space="preserve">, the functioning of the Arabidopsis </w:t>
      </w:r>
      <w:r w:rsidRPr="00975E86">
        <w:rPr>
          <w:rFonts w:ascii="Arial" w:hAnsi="Arial" w:cs="Arial"/>
          <w:i/>
        </w:rPr>
        <w:t>EPF2</w:t>
      </w:r>
      <w:r w:rsidRPr="00F60BEE">
        <w:rPr>
          <w:rFonts w:ascii="Arial" w:hAnsi="Arial" w:cs="Arial"/>
        </w:rPr>
        <w:t xml:space="preserve"> orthologue </w:t>
      </w:r>
      <w:r w:rsidRPr="00755614">
        <w:rPr>
          <w:rFonts w:ascii="Arial" w:hAnsi="Arial" w:cs="Arial"/>
        </w:rPr>
        <w:t>PpEPF1</w:t>
      </w:r>
      <w:r w:rsidRPr="00F60BEE">
        <w:rPr>
          <w:rFonts w:ascii="Arial" w:hAnsi="Arial" w:cs="Arial"/>
          <w:i/>
        </w:rPr>
        <w:t xml:space="preserve"> </w:t>
      </w:r>
      <w:r w:rsidRPr="00F60BEE">
        <w:rPr>
          <w:rFonts w:ascii="Arial" w:hAnsi="Arial" w:cs="Arial"/>
        </w:rPr>
        <w:t>was studied at ambient and elevated CO</w:t>
      </w:r>
      <w:r w:rsidRPr="00F60BEE">
        <w:rPr>
          <w:rFonts w:ascii="Arial" w:hAnsi="Arial" w:cs="Arial"/>
          <w:vertAlign w:val="subscript"/>
        </w:rPr>
        <w:t>2</w:t>
      </w:r>
      <w:r w:rsidRPr="00F60BEE">
        <w:rPr>
          <w:rFonts w:ascii="Arial" w:hAnsi="Arial" w:cs="Arial"/>
        </w:rPr>
        <w:t xml:space="preserve">. This was achieved by growing mutant </w:t>
      </w:r>
      <w:r w:rsidRPr="00F60BEE">
        <w:rPr>
          <w:rFonts w:ascii="Arial" w:hAnsi="Arial" w:cs="Arial"/>
          <w:i/>
        </w:rPr>
        <w:t xml:space="preserve">ppepf1 </w:t>
      </w:r>
      <w:r w:rsidRPr="00F60BEE">
        <w:rPr>
          <w:rFonts w:ascii="Arial" w:hAnsi="Arial" w:cs="Arial"/>
        </w:rPr>
        <w:t>plants at ambient and elevated CO</w:t>
      </w:r>
      <w:r w:rsidRPr="00F60BEE">
        <w:rPr>
          <w:rFonts w:ascii="Arial" w:hAnsi="Arial" w:cs="Arial"/>
          <w:vertAlign w:val="subscript"/>
        </w:rPr>
        <w:t>2</w:t>
      </w:r>
      <w:r>
        <w:rPr>
          <w:rFonts w:ascii="Arial" w:hAnsi="Arial" w:cs="Arial"/>
        </w:rPr>
        <w:t>,</w:t>
      </w:r>
      <w:r w:rsidRPr="00F60BEE">
        <w:rPr>
          <w:rFonts w:ascii="Arial" w:hAnsi="Arial" w:cs="Arial"/>
        </w:rPr>
        <w:t xml:space="preserve"> under </w:t>
      </w:r>
      <w:r>
        <w:rPr>
          <w:rFonts w:ascii="Arial" w:hAnsi="Arial" w:cs="Arial"/>
        </w:rPr>
        <w:t>H</w:t>
      </w:r>
      <w:r w:rsidRPr="00F60BEE">
        <w:rPr>
          <w:rFonts w:ascii="Arial" w:hAnsi="Arial" w:cs="Arial"/>
        </w:rPr>
        <w:t>L and</w:t>
      </w:r>
      <w:r>
        <w:rPr>
          <w:rFonts w:ascii="Arial" w:hAnsi="Arial" w:cs="Arial"/>
        </w:rPr>
        <w:t xml:space="preserve"> LL</w:t>
      </w:r>
      <w:r w:rsidRPr="00F60BEE">
        <w:rPr>
          <w:rFonts w:ascii="Arial" w:hAnsi="Arial" w:cs="Arial"/>
        </w:rPr>
        <w:t xml:space="preserve"> and subsequently comparing the results to wild-type responses. </w:t>
      </w:r>
      <w:r>
        <w:rPr>
          <w:rFonts w:ascii="Arial" w:hAnsi="Arial" w:cs="Arial"/>
        </w:rPr>
        <w:t>Under HL conditions where D was shown to reduce at elevated CO</w:t>
      </w:r>
      <w:r>
        <w:rPr>
          <w:rFonts w:ascii="Arial" w:hAnsi="Arial" w:cs="Arial"/>
          <w:vertAlign w:val="subscript"/>
        </w:rPr>
        <w:t>2</w:t>
      </w:r>
      <w:r w:rsidRPr="00F60BEE">
        <w:rPr>
          <w:rFonts w:ascii="Arial" w:hAnsi="Arial" w:cs="Arial"/>
        </w:rPr>
        <w:t xml:space="preserve"> </w:t>
      </w:r>
      <w:r>
        <w:rPr>
          <w:rFonts w:ascii="Arial" w:hAnsi="Arial" w:cs="Arial"/>
        </w:rPr>
        <w:t xml:space="preserve">in the wild-type, </w:t>
      </w:r>
      <w:r w:rsidRPr="00F60BEE">
        <w:rPr>
          <w:rFonts w:ascii="Arial" w:hAnsi="Arial" w:cs="Arial"/>
        </w:rPr>
        <w:t xml:space="preserve">it was found that no reversal of D </w:t>
      </w:r>
      <w:r>
        <w:rPr>
          <w:rFonts w:ascii="Arial" w:hAnsi="Arial" w:cs="Arial"/>
        </w:rPr>
        <w:t>occurred</w:t>
      </w:r>
      <w:r w:rsidRPr="00F60BEE">
        <w:rPr>
          <w:rFonts w:ascii="Arial" w:hAnsi="Arial" w:cs="Arial"/>
        </w:rPr>
        <w:t xml:space="preserve"> in </w:t>
      </w:r>
      <w:r w:rsidRPr="00F60BEE">
        <w:rPr>
          <w:rFonts w:ascii="Arial" w:hAnsi="Arial" w:cs="Arial"/>
          <w:i/>
        </w:rPr>
        <w:t xml:space="preserve">ppepf1 </w:t>
      </w:r>
      <w:r w:rsidRPr="00F60BEE">
        <w:rPr>
          <w:rFonts w:ascii="Arial" w:hAnsi="Arial" w:cs="Arial"/>
        </w:rPr>
        <w:t>mutant plants</w:t>
      </w:r>
      <w:r>
        <w:rPr>
          <w:rFonts w:ascii="Arial" w:hAnsi="Arial" w:cs="Arial"/>
        </w:rPr>
        <w:t xml:space="preserve"> akin to the response in Arabidopsis </w:t>
      </w:r>
      <w:r>
        <w:rPr>
          <w:rFonts w:ascii="Arial" w:hAnsi="Arial" w:cs="Arial"/>
          <w:i/>
        </w:rPr>
        <w:t xml:space="preserve">epf2 </w:t>
      </w:r>
      <w:r>
        <w:rPr>
          <w:rFonts w:ascii="Arial" w:hAnsi="Arial" w:cs="Arial"/>
        </w:rPr>
        <w:t>plants</w:t>
      </w:r>
      <w:r w:rsidRPr="00F60BEE">
        <w:rPr>
          <w:rFonts w:ascii="Arial" w:hAnsi="Arial" w:cs="Arial"/>
        </w:rPr>
        <w:t>. Given the discussed differences in</w:t>
      </w:r>
      <w:r w:rsidR="00405CE5">
        <w:rPr>
          <w:rFonts w:ascii="Arial" w:hAnsi="Arial" w:cs="Arial"/>
        </w:rPr>
        <w:t xml:space="preserve"> stomatal developmental ontogeny</w:t>
      </w:r>
      <w:r w:rsidRPr="00F60BEE">
        <w:rPr>
          <w:rFonts w:ascii="Arial" w:hAnsi="Arial" w:cs="Arial"/>
        </w:rPr>
        <w:t xml:space="preserve"> between </w:t>
      </w:r>
      <w:r w:rsidRPr="00F60BEE">
        <w:rPr>
          <w:rFonts w:ascii="Arial" w:hAnsi="Arial" w:cs="Arial"/>
          <w:i/>
        </w:rPr>
        <w:t xml:space="preserve">P. patens </w:t>
      </w:r>
      <w:r w:rsidRPr="00F60BEE">
        <w:rPr>
          <w:rFonts w:ascii="Arial" w:hAnsi="Arial" w:cs="Arial"/>
        </w:rPr>
        <w:t xml:space="preserve">and Arabidopsis it is unsurprising that </w:t>
      </w:r>
      <w:r w:rsidRPr="00F60BEE">
        <w:rPr>
          <w:rFonts w:ascii="Arial" w:hAnsi="Arial" w:cs="Arial"/>
          <w:i/>
        </w:rPr>
        <w:t xml:space="preserve">PpEPF1 </w:t>
      </w:r>
      <w:r>
        <w:rPr>
          <w:rFonts w:ascii="Arial" w:hAnsi="Arial" w:cs="Arial"/>
        </w:rPr>
        <w:t xml:space="preserve">cannot regulate </w:t>
      </w:r>
      <w:r w:rsidRPr="00F60BEE">
        <w:rPr>
          <w:rFonts w:ascii="Arial" w:hAnsi="Arial" w:cs="Arial"/>
        </w:rPr>
        <w:t xml:space="preserve">D </w:t>
      </w:r>
      <w:r>
        <w:rPr>
          <w:rFonts w:ascii="Arial" w:hAnsi="Arial" w:cs="Arial"/>
        </w:rPr>
        <w:t xml:space="preserve">response </w:t>
      </w:r>
      <w:r w:rsidRPr="00F60BEE">
        <w:rPr>
          <w:rFonts w:ascii="Arial" w:hAnsi="Arial" w:cs="Arial"/>
        </w:rPr>
        <w:t xml:space="preserve">as in Arabidopsis because the point of regulation in Arabidopsis (the asymmetric </w:t>
      </w:r>
      <w:r>
        <w:rPr>
          <w:rFonts w:ascii="Arial" w:hAnsi="Arial" w:cs="Arial"/>
        </w:rPr>
        <w:t xml:space="preserve">entry </w:t>
      </w:r>
      <w:r w:rsidRPr="00F60BEE">
        <w:rPr>
          <w:rFonts w:ascii="Arial" w:hAnsi="Arial" w:cs="Arial"/>
        </w:rPr>
        <w:t>division</w:t>
      </w:r>
      <w:r>
        <w:rPr>
          <w:rFonts w:ascii="Arial" w:hAnsi="Arial" w:cs="Arial"/>
        </w:rPr>
        <w:t xml:space="preserve"> prior to meristemoid formation</w:t>
      </w:r>
      <w:r w:rsidRPr="00F60BEE">
        <w:rPr>
          <w:rFonts w:ascii="Arial" w:hAnsi="Arial" w:cs="Arial"/>
        </w:rPr>
        <w:t xml:space="preserve">) </w:t>
      </w:r>
      <w:r>
        <w:rPr>
          <w:rFonts w:ascii="Arial" w:hAnsi="Arial" w:cs="Arial"/>
        </w:rPr>
        <w:t>probably does</w:t>
      </w:r>
      <w:r w:rsidRPr="00F60BEE">
        <w:rPr>
          <w:rFonts w:ascii="Arial" w:hAnsi="Arial" w:cs="Arial"/>
        </w:rPr>
        <w:t xml:space="preserve"> not exist in </w:t>
      </w:r>
      <w:r w:rsidRPr="00F60BEE">
        <w:rPr>
          <w:rFonts w:ascii="Arial" w:hAnsi="Arial" w:cs="Arial"/>
          <w:i/>
        </w:rPr>
        <w:t>P. patens</w:t>
      </w:r>
      <w:r w:rsidRPr="00F60BEE">
        <w:rPr>
          <w:rFonts w:ascii="Arial" w:hAnsi="Arial" w:cs="Arial"/>
        </w:rPr>
        <w:t xml:space="preserve">. Furthermore, complementation experiments in chapter 4 showed only very weak complementation of </w:t>
      </w:r>
      <w:r w:rsidRPr="00F60BEE">
        <w:rPr>
          <w:rFonts w:ascii="Arial" w:hAnsi="Arial" w:cs="Arial"/>
          <w:i/>
        </w:rPr>
        <w:t xml:space="preserve">epf2 </w:t>
      </w:r>
      <w:r w:rsidRPr="00F60BEE">
        <w:rPr>
          <w:rFonts w:ascii="Arial" w:hAnsi="Arial" w:cs="Arial"/>
        </w:rPr>
        <w:t xml:space="preserve">by </w:t>
      </w:r>
      <w:r w:rsidRPr="00F60BEE">
        <w:rPr>
          <w:rFonts w:ascii="Arial" w:hAnsi="Arial" w:cs="Arial"/>
          <w:i/>
        </w:rPr>
        <w:t xml:space="preserve">PpEPF1 </w:t>
      </w:r>
      <w:r>
        <w:rPr>
          <w:rFonts w:ascii="Arial" w:hAnsi="Arial" w:cs="Arial"/>
        </w:rPr>
        <w:t xml:space="preserve">and only </w:t>
      </w:r>
      <w:r w:rsidRPr="00F60BEE">
        <w:rPr>
          <w:rFonts w:ascii="Arial" w:hAnsi="Arial" w:cs="Arial"/>
        </w:rPr>
        <w:t>when over-expressed</w:t>
      </w:r>
      <w:r>
        <w:rPr>
          <w:rFonts w:ascii="Arial" w:hAnsi="Arial" w:cs="Arial"/>
        </w:rPr>
        <w:t xml:space="preserve"> thus suggesting that Arabidopsis </w:t>
      </w:r>
      <w:r w:rsidRPr="00F22635">
        <w:rPr>
          <w:rFonts w:ascii="Arial" w:hAnsi="Arial" w:cs="Arial"/>
        </w:rPr>
        <w:t>EPF2</w:t>
      </w:r>
      <w:r>
        <w:rPr>
          <w:rFonts w:ascii="Arial" w:hAnsi="Arial" w:cs="Arial"/>
          <w:i/>
        </w:rPr>
        <w:t xml:space="preserve"> </w:t>
      </w:r>
      <w:r>
        <w:rPr>
          <w:rFonts w:ascii="Arial" w:hAnsi="Arial" w:cs="Arial"/>
        </w:rPr>
        <w:t xml:space="preserve">and </w:t>
      </w:r>
      <w:r w:rsidRPr="00F22635">
        <w:rPr>
          <w:rFonts w:ascii="Arial" w:hAnsi="Arial" w:cs="Arial"/>
        </w:rPr>
        <w:t>PpEPF1</w:t>
      </w:r>
      <w:r>
        <w:rPr>
          <w:rFonts w:ascii="Arial" w:hAnsi="Arial" w:cs="Arial"/>
        </w:rPr>
        <w:t xml:space="preserve"> share only very limited functionality</w:t>
      </w:r>
      <w:r w:rsidRPr="00F60BEE">
        <w:rPr>
          <w:rFonts w:ascii="Arial" w:hAnsi="Arial" w:cs="Arial"/>
        </w:rPr>
        <w:t>.</w:t>
      </w:r>
      <w:r>
        <w:rPr>
          <w:rFonts w:ascii="Arial" w:hAnsi="Arial" w:cs="Arial"/>
        </w:rPr>
        <w:t xml:space="preserve"> Taking all the data</w:t>
      </w:r>
      <w:r w:rsidRPr="00F60BEE">
        <w:rPr>
          <w:rFonts w:ascii="Arial" w:hAnsi="Arial" w:cs="Arial"/>
        </w:rPr>
        <w:t xml:space="preserve"> together it would seem that </w:t>
      </w:r>
      <w:r>
        <w:rPr>
          <w:rFonts w:ascii="Arial" w:hAnsi="Arial" w:cs="Arial"/>
        </w:rPr>
        <w:t xml:space="preserve">the EPF2 </w:t>
      </w:r>
      <w:r w:rsidRPr="00F60BEE">
        <w:rPr>
          <w:rFonts w:ascii="Arial" w:hAnsi="Arial" w:cs="Arial"/>
        </w:rPr>
        <w:t>point of regulation</w:t>
      </w:r>
      <w:r>
        <w:rPr>
          <w:rFonts w:ascii="Arial" w:hAnsi="Arial" w:cs="Arial"/>
        </w:rPr>
        <w:t xml:space="preserve"> for CO</w:t>
      </w:r>
      <w:r>
        <w:rPr>
          <w:rFonts w:ascii="Arial" w:hAnsi="Arial" w:cs="Arial"/>
          <w:vertAlign w:val="subscript"/>
        </w:rPr>
        <w:t>2</w:t>
      </w:r>
      <w:r w:rsidRPr="00F60BEE">
        <w:rPr>
          <w:rFonts w:ascii="Arial" w:hAnsi="Arial" w:cs="Arial"/>
        </w:rPr>
        <w:t xml:space="preserve"> may have evolved after the evolution of the asymmetric division sometime </w:t>
      </w:r>
      <w:r w:rsidRPr="00F60BEE">
        <w:rPr>
          <w:rFonts w:ascii="Arial" w:hAnsi="Arial" w:cs="Arial"/>
        </w:rPr>
        <w:lastRenderedPageBreak/>
        <w:t>after the mosses had already dive</w:t>
      </w:r>
      <w:r>
        <w:rPr>
          <w:rFonts w:ascii="Arial" w:hAnsi="Arial" w:cs="Arial"/>
        </w:rPr>
        <w:t xml:space="preserve">rged from the ancestral lineage. It is probable therefore that the </w:t>
      </w:r>
      <w:r w:rsidRPr="00F60BEE">
        <w:rPr>
          <w:rFonts w:ascii="Arial" w:hAnsi="Arial" w:cs="Arial"/>
        </w:rPr>
        <w:t>ancestral function</w:t>
      </w:r>
      <w:r>
        <w:rPr>
          <w:rFonts w:ascii="Arial" w:hAnsi="Arial" w:cs="Arial"/>
        </w:rPr>
        <w:t xml:space="preserve"> </w:t>
      </w:r>
      <w:r w:rsidRPr="00F60BEE">
        <w:rPr>
          <w:rFonts w:ascii="Arial" w:hAnsi="Arial" w:cs="Arial"/>
        </w:rPr>
        <w:t xml:space="preserve">of an </w:t>
      </w:r>
      <w:r w:rsidRPr="00F60BEE">
        <w:rPr>
          <w:rFonts w:ascii="Arial" w:hAnsi="Arial" w:cs="Arial"/>
          <w:i/>
        </w:rPr>
        <w:t xml:space="preserve">EPF </w:t>
      </w:r>
      <w:r w:rsidRPr="00F60BEE">
        <w:rPr>
          <w:rFonts w:ascii="Arial" w:hAnsi="Arial" w:cs="Arial"/>
        </w:rPr>
        <w:t xml:space="preserve">in the ancestor </w:t>
      </w:r>
      <w:r>
        <w:rPr>
          <w:rFonts w:ascii="Arial" w:hAnsi="Arial" w:cs="Arial"/>
        </w:rPr>
        <w:t xml:space="preserve">of </w:t>
      </w:r>
      <w:r w:rsidRPr="00F60BEE">
        <w:rPr>
          <w:rFonts w:ascii="Arial" w:hAnsi="Arial" w:cs="Arial"/>
        </w:rPr>
        <w:t xml:space="preserve">mosses and vascular land plants would have been to regulate </w:t>
      </w:r>
      <w:r>
        <w:rPr>
          <w:rFonts w:ascii="Arial" w:hAnsi="Arial" w:cs="Arial"/>
        </w:rPr>
        <w:t>the placement of guard cell pre-cursors thereby preventing clustering</w:t>
      </w:r>
      <w:r w:rsidRPr="00F60BEE">
        <w:rPr>
          <w:rFonts w:ascii="Arial" w:hAnsi="Arial" w:cs="Arial"/>
        </w:rPr>
        <w:t xml:space="preserve"> rather than specifically </w:t>
      </w:r>
      <w:r>
        <w:rPr>
          <w:rFonts w:ascii="Arial" w:hAnsi="Arial" w:cs="Arial"/>
        </w:rPr>
        <w:t>functioning to alter D when CO</w:t>
      </w:r>
      <w:r>
        <w:rPr>
          <w:rFonts w:ascii="Arial" w:hAnsi="Arial" w:cs="Arial"/>
          <w:vertAlign w:val="subscript"/>
        </w:rPr>
        <w:t>2</w:t>
      </w:r>
      <w:r>
        <w:rPr>
          <w:rFonts w:ascii="Arial" w:hAnsi="Arial" w:cs="Arial"/>
        </w:rPr>
        <w:t xml:space="preserve"> varied in the atmosphere</w:t>
      </w:r>
      <w:r w:rsidRPr="00F60BEE">
        <w:rPr>
          <w:rFonts w:ascii="Arial" w:hAnsi="Arial" w:cs="Arial"/>
        </w:rPr>
        <w:t xml:space="preserve">. </w:t>
      </w:r>
      <w:r>
        <w:rPr>
          <w:rFonts w:ascii="Arial" w:hAnsi="Arial" w:cs="Arial"/>
        </w:rPr>
        <w:t>T</w:t>
      </w:r>
      <w:r w:rsidRPr="00F60BEE">
        <w:rPr>
          <w:rFonts w:ascii="Arial" w:hAnsi="Arial" w:cs="Arial"/>
        </w:rPr>
        <w:t xml:space="preserve">his </w:t>
      </w:r>
      <w:r>
        <w:rPr>
          <w:rFonts w:ascii="Arial" w:hAnsi="Arial" w:cs="Arial"/>
        </w:rPr>
        <w:t xml:space="preserve">final </w:t>
      </w:r>
      <w:r w:rsidRPr="00F60BEE">
        <w:rPr>
          <w:rFonts w:ascii="Arial" w:hAnsi="Arial" w:cs="Arial"/>
        </w:rPr>
        <w:t xml:space="preserve">point could be further verified if the complement </w:t>
      </w:r>
      <w:r>
        <w:rPr>
          <w:rFonts w:ascii="Arial" w:hAnsi="Arial" w:cs="Arial"/>
        </w:rPr>
        <w:t xml:space="preserve">of </w:t>
      </w:r>
      <w:r>
        <w:rPr>
          <w:rFonts w:ascii="Arial" w:hAnsi="Arial" w:cs="Arial"/>
          <w:i/>
        </w:rPr>
        <w:t xml:space="preserve">EPF/s </w:t>
      </w:r>
      <w:r>
        <w:rPr>
          <w:rFonts w:ascii="Arial" w:hAnsi="Arial" w:cs="Arial"/>
        </w:rPr>
        <w:t xml:space="preserve">present </w:t>
      </w:r>
      <w:r w:rsidRPr="00F60BEE">
        <w:rPr>
          <w:rFonts w:ascii="Arial" w:hAnsi="Arial" w:cs="Arial"/>
        </w:rPr>
        <w:t xml:space="preserve">and </w:t>
      </w:r>
      <w:r>
        <w:rPr>
          <w:rFonts w:ascii="Arial" w:hAnsi="Arial" w:cs="Arial"/>
        </w:rPr>
        <w:t>their functioning</w:t>
      </w:r>
      <w:r w:rsidRPr="00F60BEE">
        <w:rPr>
          <w:rFonts w:ascii="Arial" w:hAnsi="Arial" w:cs="Arial"/>
          <w:i/>
        </w:rPr>
        <w:t xml:space="preserve"> </w:t>
      </w:r>
      <w:r w:rsidRPr="00F60BEE">
        <w:rPr>
          <w:rFonts w:ascii="Arial" w:hAnsi="Arial" w:cs="Arial"/>
        </w:rPr>
        <w:t xml:space="preserve">in other non-vascular land plants </w:t>
      </w:r>
      <w:r>
        <w:rPr>
          <w:rFonts w:ascii="Arial" w:hAnsi="Arial" w:cs="Arial"/>
        </w:rPr>
        <w:t>could be ascertained and studied</w:t>
      </w:r>
      <w:r w:rsidRPr="00F60BEE">
        <w:rPr>
          <w:rFonts w:ascii="Arial" w:hAnsi="Arial" w:cs="Arial"/>
        </w:rPr>
        <w:t>.</w:t>
      </w:r>
      <w:r>
        <w:t xml:space="preserve"> </w:t>
      </w:r>
    </w:p>
    <w:p w14:paraId="7264D466" w14:textId="77777777" w:rsidR="006C37DC" w:rsidRDefault="006C37DC" w:rsidP="006C37DC">
      <w:pPr>
        <w:spacing w:line="360" w:lineRule="auto"/>
        <w:rPr>
          <w:rFonts w:ascii="Arial" w:hAnsi="Arial" w:cs="Arial"/>
        </w:rPr>
      </w:pPr>
      <w:r>
        <w:rPr>
          <w:rFonts w:ascii="Arial" w:hAnsi="Arial" w:cs="Arial"/>
        </w:rPr>
        <w:t xml:space="preserve">In addition to </w:t>
      </w:r>
      <w:r w:rsidRPr="00F60BEE">
        <w:rPr>
          <w:rFonts w:ascii="Arial" w:hAnsi="Arial" w:cs="Arial"/>
        </w:rPr>
        <w:t>EPF2</w:t>
      </w:r>
      <w:r>
        <w:rPr>
          <w:rFonts w:ascii="Arial" w:hAnsi="Arial" w:cs="Arial"/>
          <w:i/>
        </w:rPr>
        <w:t xml:space="preserve"> </w:t>
      </w:r>
      <w:r>
        <w:rPr>
          <w:rFonts w:ascii="Arial" w:hAnsi="Arial" w:cs="Arial"/>
        </w:rPr>
        <w:t xml:space="preserve">in Arabidopsis it has been shown that two β-carbonic anhydrases and the subtilisin-like serine protease (SLSP): </w:t>
      </w:r>
      <w:r w:rsidRPr="008C162E">
        <w:rPr>
          <w:rFonts w:ascii="Arial" w:hAnsi="Arial" w:cs="Arial"/>
        </w:rPr>
        <w:t>CO2 RESPONSE SECRETED PROTEASE (CRSP</w:t>
      </w:r>
      <w:r>
        <w:rPr>
          <w:rFonts w:ascii="Arial" w:hAnsi="Arial" w:cs="Arial"/>
        </w:rPr>
        <w:t xml:space="preserve">) are also involved in D responses by regulating EPF2 </w:t>
      </w:r>
      <w:r>
        <w:rPr>
          <w:rFonts w:ascii="Arial" w:hAnsi="Arial" w:cs="Arial"/>
        </w:rPr>
        <w:fldChar w:fldCharType="begin">
          <w:fldData xml:space="preserve">PEVuZE5vdGU+PENpdGU+PEF1dGhvcj5FbmdpbmVlcjwvQXV0aG9yPjxZZWFyPjIwMTQ8L1llYXI+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</w:fldData>
        </w:fldChar>
      </w:r>
      <w:r>
        <w:rPr>
          <w:rFonts w:ascii="Arial" w:hAnsi="Arial" w:cs="Arial"/>
        </w:rPr>
        <w:instrText xml:space="preserve"> ADDIN EN.CITE </w:instrText>
      </w:r>
      <w:r>
        <w:rPr>
          <w:rFonts w:ascii="Arial" w:hAnsi="Arial" w:cs="Arial"/>
        </w:rPr>
        <w:fldChar w:fldCharType="begin">
          <w:fldData xml:space="preserve">PEVuZE5vdGU+PENpdGU+PEF1dGhvcj5FbmdpbmVlcjwvQXV0aG9yPjxZZWFyPjIwMTQ8L1llYXI+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(Engineer et al., 2014)</w:t>
      </w:r>
      <w:r>
        <w:rPr>
          <w:rFonts w:ascii="Arial" w:hAnsi="Arial" w:cs="Arial"/>
        </w:rPr>
        <w:fldChar w:fldCharType="end"/>
      </w:r>
      <w:r>
        <w:rPr>
          <w:rFonts w:ascii="Arial" w:hAnsi="Arial" w:cs="Arial"/>
        </w:rPr>
        <w:t xml:space="preserve">. Phylogenetic analysis illustrated in figure 13 of chapter 5 revealed that five homologues of Arabidopsis </w:t>
      </w:r>
      <w:r>
        <w:rPr>
          <w:rFonts w:ascii="Arial" w:hAnsi="Arial" w:cs="Arial"/>
          <w:i/>
        </w:rPr>
        <w:t xml:space="preserve">CRSP </w:t>
      </w:r>
      <w:r>
        <w:rPr>
          <w:rFonts w:ascii="Arial" w:hAnsi="Arial" w:cs="Arial"/>
        </w:rPr>
        <w:t xml:space="preserve">potentially exist within the genome of </w:t>
      </w:r>
      <w:r>
        <w:rPr>
          <w:rFonts w:ascii="Arial" w:hAnsi="Arial" w:cs="Arial"/>
          <w:i/>
        </w:rPr>
        <w:t>P. patens</w:t>
      </w:r>
      <w:r>
        <w:rPr>
          <w:rFonts w:ascii="Arial" w:hAnsi="Arial" w:cs="Arial"/>
        </w:rPr>
        <w:t xml:space="preserve">. From these five genes, two genes; </w:t>
      </w:r>
      <w:r>
        <w:rPr>
          <w:rFonts w:ascii="Arial" w:hAnsi="Arial" w:cs="Arial"/>
          <w:i/>
        </w:rPr>
        <w:t xml:space="preserve">PpSLSP1 </w:t>
      </w:r>
      <w:r>
        <w:rPr>
          <w:rFonts w:ascii="Arial" w:hAnsi="Arial" w:cs="Arial"/>
        </w:rPr>
        <w:t xml:space="preserve">and </w:t>
      </w:r>
      <w:r>
        <w:rPr>
          <w:rFonts w:ascii="Arial" w:hAnsi="Arial" w:cs="Arial"/>
          <w:i/>
        </w:rPr>
        <w:t xml:space="preserve">PpSLSP2 </w:t>
      </w:r>
      <w:r>
        <w:rPr>
          <w:rFonts w:ascii="Arial" w:hAnsi="Arial" w:cs="Arial"/>
        </w:rPr>
        <w:t>were identified as being upregulated based on microarray data. To ascertain whether such genes functioned during stomatal development to regulate D responses at elevated CO</w:t>
      </w:r>
      <w:r>
        <w:rPr>
          <w:rFonts w:ascii="Arial" w:hAnsi="Arial" w:cs="Arial"/>
          <w:vertAlign w:val="subscript"/>
        </w:rPr>
        <w:t>2</w:t>
      </w:r>
      <w:r>
        <w:rPr>
          <w:rFonts w:ascii="Arial" w:hAnsi="Arial" w:cs="Arial"/>
        </w:rPr>
        <w:t xml:space="preserve"> mutants were created and grown at ambient and elevated CO</w:t>
      </w:r>
      <w:r>
        <w:rPr>
          <w:rFonts w:ascii="Arial" w:hAnsi="Arial" w:cs="Arial"/>
          <w:vertAlign w:val="subscript"/>
        </w:rPr>
        <w:t>2</w:t>
      </w:r>
      <w:r>
        <w:rPr>
          <w:rFonts w:ascii="Arial" w:hAnsi="Arial" w:cs="Arial"/>
        </w:rPr>
        <w:t xml:space="preserve">. Same size capsules of two </w:t>
      </w:r>
      <w:r>
        <w:rPr>
          <w:rFonts w:ascii="Arial" w:hAnsi="Arial" w:cs="Arial"/>
          <w:i/>
        </w:rPr>
        <w:t>ppslsp1</w:t>
      </w:r>
      <w:r>
        <w:rPr>
          <w:rFonts w:ascii="Arial" w:hAnsi="Arial" w:cs="Arial"/>
        </w:rPr>
        <w:t xml:space="preserve"> line</w:t>
      </w:r>
      <w:r w:rsidRPr="00B04E41">
        <w:rPr>
          <w:rFonts w:ascii="Arial" w:hAnsi="Arial" w:cs="Arial"/>
        </w:rPr>
        <w:t>,</w:t>
      </w:r>
      <w:r>
        <w:rPr>
          <w:rFonts w:ascii="Arial" w:hAnsi="Arial" w:cs="Arial"/>
        </w:rPr>
        <w:t xml:space="preserve"> two</w:t>
      </w:r>
      <w:r>
        <w:rPr>
          <w:rFonts w:ascii="Arial" w:hAnsi="Arial" w:cs="Arial"/>
          <w:i/>
        </w:rPr>
        <w:t xml:space="preserve"> ppslsp2 </w:t>
      </w:r>
      <w:r>
        <w:rPr>
          <w:rFonts w:ascii="Arial" w:hAnsi="Arial" w:cs="Arial"/>
        </w:rPr>
        <w:t>lines and the wild-type grown at HL (200</w:t>
      </w:r>
      <w:r w:rsidRPr="002A605B">
        <w:rPr>
          <w:rFonts w:ascii="Arial" w:eastAsia="Times New Roman" w:hAnsi="Arial" w:cs="Arial"/>
          <w:color w:val="000000"/>
        </w:rPr>
        <w:t>µmol m</w:t>
      </w:r>
      <w:r w:rsidRPr="002A605B">
        <w:rPr>
          <w:rFonts w:ascii="Arial" w:eastAsia="Times New Roman" w:hAnsi="Arial" w:cs="Arial"/>
          <w:color w:val="000000"/>
          <w:vertAlign w:val="superscript"/>
        </w:rPr>
        <w:t>−2</w:t>
      </w:r>
      <w:r w:rsidRPr="002A605B">
        <w:rPr>
          <w:rFonts w:ascii="Arial" w:eastAsia="Times New Roman" w:hAnsi="Arial" w:cs="Arial"/>
          <w:color w:val="000000"/>
        </w:rPr>
        <w:t>s</w:t>
      </w:r>
      <w:r w:rsidRPr="002A605B">
        <w:rPr>
          <w:rFonts w:ascii="Arial" w:eastAsia="Times New Roman" w:hAnsi="Arial" w:cs="Arial"/>
          <w:color w:val="000000"/>
          <w:vertAlign w:val="superscript"/>
        </w:rPr>
        <w:t>−1</w:t>
      </w:r>
      <w:r>
        <w:rPr>
          <w:rFonts w:ascii="Arial" w:hAnsi="Arial" w:cs="Arial"/>
        </w:rPr>
        <w:t xml:space="preserve">) were compared. Whilst no significant differences were detected between the treatments for D in any of the lines, for both lines of </w:t>
      </w:r>
      <w:r>
        <w:rPr>
          <w:rFonts w:ascii="Arial" w:hAnsi="Arial" w:cs="Arial"/>
          <w:i/>
        </w:rPr>
        <w:t xml:space="preserve">ppslsp1 </w:t>
      </w:r>
      <w:r>
        <w:rPr>
          <w:rFonts w:ascii="Arial" w:hAnsi="Arial" w:cs="Arial"/>
        </w:rPr>
        <w:t xml:space="preserve">and </w:t>
      </w:r>
      <w:r>
        <w:rPr>
          <w:rFonts w:ascii="Arial" w:hAnsi="Arial" w:cs="Arial"/>
          <w:i/>
        </w:rPr>
        <w:t xml:space="preserve">ppslsp2 </w:t>
      </w:r>
      <w:r>
        <w:rPr>
          <w:rFonts w:ascii="Arial" w:hAnsi="Arial" w:cs="Arial"/>
        </w:rPr>
        <w:t>a slight increase in D was detected at elevated CO</w:t>
      </w:r>
      <w:r>
        <w:rPr>
          <w:rFonts w:ascii="Arial" w:hAnsi="Arial" w:cs="Arial"/>
          <w:vertAlign w:val="subscript"/>
        </w:rPr>
        <w:t>2</w:t>
      </w:r>
      <w:r>
        <w:rPr>
          <w:rFonts w:ascii="Arial" w:hAnsi="Arial" w:cs="Arial"/>
        </w:rPr>
        <w:t xml:space="preserve"> as opposed to a slight decrease in the wild-type. As these differences were very small (and not significant) based on the current data it cannot be definitively claimed that such genes are performing Arabidopsis CRSP-like functioning and so currently these genes have been named </w:t>
      </w:r>
      <w:r>
        <w:rPr>
          <w:rFonts w:ascii="Arial" w:hAnsi="Arial" w:cs="Arial"/>
          <w:i/>
        </w:rPr>
        <w:t xml:space="preserve">PpSLSP1 </w:t>
      </w:r>
      <w:r>
        <w:rPr>
          <w:rFonts w:ascii="Arial" w:hAnsi="Arial" w:cs="Arial"/>
        </w:rPr>
        <w:t xml:space="preserve">and </w:t>
      </w:r>
      <w:r>
        <w:rPr>
          <w:rFonts w:ascii="Arial" w:hAnsi="Arial" w:cs="Arial"/>
          <w:i/>
        </w:rPr>
        <w:t xml:space="preserve">PpSLSP2. </w:t>
      </w:r>
      <w:r>
        <w:rPr>
          <w:rFonts w:ascii="Arial" w:hAnsi="Arial" w:cs="Arial"/>
        </w:rPr>
        <w:t xml:space="preserve">Whether such gens have a greater effect when large capsules from both treatments are compared remains to be tested. Similarly, whether these genes and other </w:t>
      </w:r>
      <w:r>
        <w:rPr>
          <w:rFonts w:ascii="Arial" w:hAnsi="Arial" w:cs="Arial"/>
          <w:i/>
        </w:rPr>
        <w:t xml:space="preserve">PpSLSP </w:t>
      </w:r>
      <w:r>
        <w:rPr>
          <w:rFonts w:ascii="Arial" w:hAnsi="Arial" w:cs="Arial"/>
        </w:rPr>
        <w:t>genes function redundantly to control D responses to CO</w:t>
      </w:r>
      <w:r>
        <w:rPr>
          <w:rFonts w:ascii="Arial" w:hAnsi="Arial" w:cs="Arial"/>
          <w:vertAlign w:val="subscript"/>
        </w:rPr>
        <w:t>2</w:t>
      </w:r>
      <w:r>
        <w:rPr>
          <w:rFonts w:ascii="Arial" w:hAnsi="Arial" w:cs="Arial"/>
        </w:rPr>
        <w:t xml:space="preserve"> in </w:t>
      </w:r>
      <w:r>
        <w:rPr>
          <w:rFonts w:ascii="Arial" w:hAnsi="Arial" w:cs="Arial"/>
          <w:i/>
        </w:rPr>
        <w:t xml:space="preserve">P. patens </w:t>
      </w:r>
      <w:r>
        <w:rPr>
          <w:rFonts w:ascii="Arial" w:hAnsi="Arial" w:cs="Arial"/>
        </w:rPr>
        <w:t xml:space="preserve">awaits further study. If such genes do in-fact function to initiate D responses to </w:t>
      </w:r>
      <w:r w:rsidRPr="009B0222">
        <w:rPr>
          <w:rFonts w:ascii="Arial" w:hAnsi="Arial" w:cs="Arial"/>
        </w:rPr>
        <w:t>CO</w:t>
      </w:r>
      <w:r>
        <w:rPr>
          <w:rFonts w:ascii="Arial" w:hAnsi="Arial" w:cs="Arial"/>
          <w:vertAlign w:val="subscript"/>
        </w:rPr>
        <w:t>2</w:t>
      </w:r>
      <w:r>
        <w:rPr>
          <w:rFonts w:ascii="Arial" w:hAnsi="Arial" w:cs="Arial"/>
        </w:rPr>
        <w:t xml:space="preserve"> </w:t>
      </w:r>
      <w:r w:rsidRPr="009B0222">
        <w:rPr>
          <w:rFonts w:ascii="Arial" w:hAnsi="Arial" w:cs="Arial"/>
        </w:rPr>
        <w:t>in</w:t>
      </w:r>
      <w:r>
        <w:rPr>
          <w:rFonts w:ascii="Arial" w:hAnsi="Arial" w:cs="Arial"/>
        </w:rPr>
        <w:t xml:space="preserve"> non-vascular land plants, then it seems that they do so via a mechanism other than </w:t>
      </w:r>
      <w:r>
        <w:rPr>
          <w:rFonts w:ascii="Arial" w:hAnsi="Arial" w:cs="Arial"/>
          <w:i/>
        </w:rPr>
        <w:t>PpEPF1</w:t>
      </w:r>
      <w:r>
        <w:rPr>
          <w:rFonts w:ascii="Arial" w:hAnsi="Arial" w:cs="Arial"/>
        </w:rPr>
        <w:t xml:space="preserve">. </w:t>
      </w:r>
    </w:p>
    <w:p w14:paraId="21353F06" w14:textId="77777777" w:rsidR="006C37DC" w:rsidRPr="00405CE5" w:rsidRDefault="006C37DC" w:rsidP="006C37DC">
      <w:pPr>
        <w:spacing w:line="360" w:lineRule="auto"/>
        <w:rPr>
          <w:rFonts w:ascii="Arial" w:hAnsi="Arial" w:cs="Arial"/>
          <w:u w:val="single"/>
        </w:rPr>
      </w:pPr>
      <w:r w:rsidRPr="00405CE5">
        <w:rPr>
          <w:rFonts w:ascii="Arial" w:hAnsi="Arial" w:cs="Arial"/>
          <w:u w:val="single"/>
        </w:rPr>
        <w:t xml:space="preserve">6.5 Deep homology or a single origin of stomata? </w:t>
      </w:r>
    </w:p>
    <w:p w14:paraId="12BF874C" w14:textId="77777777" w:rsidR="006C37DC" w:rsidRDefault="006C37DC" w:rsidP="006C37DC">
      <w:pPr>
        <w:spacing w:line="360" w:lineRule="auto"/>
        <w:rPr>
          <w:rFonts w:ascii="Arial" w:hAnsi="Arial" w:cs="Arial"/>
        </w:rPr>
      </w:pPr>
      <w:r w:rsidRPr="006600A3">
        <w:rPr>
          <w:rFonts w:ascii="Arial" w:hAnsi="Arial" w:cs="Arial"/>
        </w:rPr>
        <w:t xml:space="preserve">Whilst there is </w:t>
      </w:r>
      <w:r>
        <w:rPr>
          <w:rFonts w:ascii="Arial" w:hAnsi="Arial" w:cs="Arial"/>
        </w:rPr>
        <w:t xml:space="preserve">strong </w:t>
      </w:r>
      <w:r w:rsidRPr="006600A3">
        <w:rPr>
          <w:rFonts w:ascii="Arial" w:hAnsi="Arial" w:cs="Arial"/>
        </w:rPr>
        <w:t xml:space="preserve">evidence that points to sporophytic land plants sharing genes that develop and pattern stomata, caution must be </w:t>
      </w:r>
      <w:r>
        <w:rPr>
          <w:rFonts w:ascii="Arial" w:hAnsi="Arial" w:cs="Arial"/>
        </w:rPr>
        <w:t xml:space="preserve">taken </w:t>
      </w:r>
      <w:r w:rsidRPr="006600A3">
        <w:rPr>
          <w:rFonts w:ascii="Arial" w:hAnsi="Arial" w:cs="Arial"/>
        </w:rPr>
        <w:t xml:space="preserve">when making inferences relating to a monophyletic origin of stomata in all land plants. Studies </w:t>
      </w:r>
      <w:r>
        <w:rPr>
          <w:rFonts w:ascii="Arial" w:hAnsi="Arial" w:cs="Arial"/>
        </w:rPr>
        <w:t>relating to genes</w:t>
      </w:r>
      <w:r w:rsidRPr="006600A3">
        <w:rPr>
          <w:rFonts w:ascii="Arial" w:hAnsi="Arial" w:cs="Arial"/>
        </w:rPr>
        <w:t xml:space="preserve"> underpinning the evolution of other adaptions such as</w:t>
      </w:r>
      <w:r>
        <w:rPr>
          <w:rFonts w:ascii="Arial" w:hAnsi="Arial" w:cs="Arial"/>
        </w:rPr>
        <w:t xml:space="preserve"> root hairs and rhizoids,</w:t>
      </w:r>
      <w:r w:rsidRPr="006600A3">
        <w:rPr>
          <w:rFonts w:ascii="Arial" w:hAnsi="Arial" w:cs="Arial"/>
        </w:rPr>
        <w:t xml:space="preserve"> meristems, leaves </w:t>
      </w:r>
      <w:r>
        <w:rPr>
          <w:rFonts w:ascii="Arial" w:hAnsi="Arial" w:cs="Arial"/>
        </w:rPr>
        <w:t xml:space="preserve">and flowers </w:t>
      </w:r>
      <w:r w:rsidRPr="006600A3">
        <w:rPr>
          <w:rFonts w:ascii="Arial" w:hAnsi="Arial" w:cs="Arial"/>
        </w:rPr>
        <w:t>have shown that</w:t>
      </w:r>
      <w:r>
        <w:rPr>
          <w:rFonts w:ascii="Arial" w:hAnsi="Arial" w:cs="Arial"/>
        </w:rPr>
        <w:t xml:space="preserve">, like with stomata, </w:t>
      </w:r>
      <w:r w:rsidRPr="006600A3">
        <w:rPr>
          <w:rFonts w:ascii="Arial" w:hAnsi="Arial" w:cs="Arial"/>
        </w:rPr>
        <w:t xml:space="preserve">certain key genes </w:t>
      </w:r>
      <w:r>
        <w:rPr>
          <w:rFonts w:ascii="Arial" w:hAnsi="Arial" w:cs="Arial"/>
        </w:rPr>
        <w:t>are</w:t>
      </w:r>
      <w:r w:rsidRPr="006600A3">
        <w:rPr>
          <w:rFonts w:ascii="Arial" w:hAnsi="Arial" w:cs="Arial"/>
        </w:rPr>
        <w:t xml:space="preserve"> conserved</w:t>
      </w:r>
      <w:r>
        <w:rPr>
          <w:rFonts w:ascii="Arial" w:hAnsi="Arial" w:cs="Arial"/>
        </w:rPr>
        <w:t xml:space="preserve"> between different plant lineages that govern other aspects of development </w:t>
      </w:r>
      <w:r>
        <w:rPr>
          <w:rFonts w:ascii="Arial" w:hAnsi="Arial" w:cs="Arial"/>
        </w:rPr>
        <w:fldChar w:fldCharType="begin">
          <w:fldData xml:space="preserve">PEVuZE5vdGU+PENpdGU+PEF1dGhvcj5NZW5hbmQ8L0F1dGhvcj48WWVhcj4yMDA3PC9ZZWFyPjxJ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PEVuZE5vdGU+PENpdGU+PEF1dGhvcj5NZW5hbmQ8L0F1dGhvcj48WWVhcj4yMDA3PC9ZZWFyPjxJ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(Menand et al., 2007; Scotland, 2010)</w:t>
      </w:r>
      <w:r>
        <w:rPr>
          <w:rFonts w:ascii="Arial" w:hAnsi="Arial" w:cs="Arial"/>
        </w:rPr>
        <w:fldChar w:fldCharType="end"/>
      </w:r>
      <w:r>
        <w:rPr>
          <w:rFonts w:ascii="Arial" w:hAnsi="Arial" w:cs="Arial"/>
        </w:rPr>
        <w:t>.</w:t>
      </w:r>
      <w:r w:rsidRPr="006600A3">
        <w:rPr>
          <w:rFonts w:ascii="Arial" w:hAnsi="Arial" w:cs="Arial"/>
        </w:rPr>
        <w:t xml:space="preserve"> </w:t>
      </w:r>
      <w:r>
        <w:rPr>
          <w:rFonts w:ascii="Arial" w:hAnsi="Arial" w:cs="Arial"/>
        </w:rPr>
        <w:t xml:space="preserve">However, it seems that with the aforementioned adaptations that rather than evolving just once, </w:t>
      </w:r>
      <w:r w:rsidRPr="006600A3">
        <w:rPr>
          <w:rFonts w:ascii="Arial" w:hAnsi="Arial" w:cs="Arial"/>
        </w:rPr>
        <w:t xml:space="preserve">multiple </w:t>
      </w:r>
      <w:r>
        <w:rPr>
          <w:rFonts w:ascii="Arial" w:hAnsi="Arial" w:cs="Arial"/>
        </w:rPr>
        <w:t xml:space="preserve">independent evolutionary events have occurred to produce such structures </w:t>
      </w:r>
      <w:r>
        <w:rPr>
          <w:rFonts w:ascii="Arial" w:hAnsi="Arial" w:cs="Arial"/>
        </w:rPr>
        <w:lastRenderedPageBreak/>
        <w:fldChar w:fldCharType="begin">
          <w:fldData xml:space="preserve">PEVuZE5vdGU+PENpdGU+PEF1dGhvcj5TY290bGFuZDwvQXV0aG9yPjxZZWFyPjIwMTA8L1llYXI+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</w:fldData>
        </w:fldChar>
      </w:r>
      <w:r>
        <w:rPr>
          <w:rFonts w:ascii="Arial" w:hAnsi="Arial" w:cs="Arial"/>
        </w:rPr>
        <w:instrText xml:space="preserve"> ADDIN EN.CITE </w:instrText>
      </w:r>
      <w:r>
        <w:rPr>
          <w:rFonts w:ascii="Arial" w:hAnsi="Arial" w:cs="Arial"/>
        </w:rPr>
        <w:fldChar w:fldCharType="begin">
          <w:fldData xml:space="preserve">PEVuZE5vdGU+PENpdGU+PEF1dGhvcj5TY290bGFuZDwvQXV0aG9yPjxZZWFyPjIwMTA8L1llYXI+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(Harrison, 2017; Pires et al., 2013; Scotland, 2010)</w:t>
      </w:r>
      <w:r>
        <w:rPr>
          <w:rFonts w:ascii="Arial" w:hAnsi="Arial" w:cs="Arial"/>
        </w:rPr>
        <w:fldChar w:fldCharType="end"/>
      </w:r>
      <w:r w:rsidRPr="006600A3">
        <w:rPr>
          <w:rFonts w:ascii="Arial" w:hAnsi="Arial" w:cs="Arial"/>
        </w:rPr>
        <w:t xml:space="preserve">. By </w:t>
      </w:r>
      <w:r>
        <w:rPr>
          <w:rFonts w:ascii="Arial" w:hAnsi="Arial" w:cs="Arial"/>
        </w:rPr>
        <w:t>co-opting</w:t>
      </w:r>
      <w:r w:rsidRPr="006600A3">
        <w:rPr>
          <w:rFonts w:ascii="Arial" w:hAnsi="Arial" w:cs="Arial"/>
        </w:rPr>
        <w:t xml:space="preserve"> </w:t>
      </w:r>
      <w:r>
        <w:rPr>
          <w:rFonts w:ascii="Arial" w:hAnsi="Arial" w:cs="Arial"/>
        </w:rPr>
        <w:t xml:space="preserve">key development genes, </w:t>
      </w:r>
      <w:r w:rsidRPr="006600A3">
        <w:rPr>
          <w:rFonts w:ascii="Arial" w:hAnsi="Arial" w:cs="Arial"/>
        </w:rPr>
        <w:t xml:space="preserve">land plants have been able to </w:t>
      </w:r>
      <w:r>
        <w:rPr>
          <w:rFonts w:ascii="Arial" w:hAnsi="Arial" w:cs="Arial"/>
        </w:rPr>
        <w:t xml:space="preserve">develop new (often morphologically similar) </w:t>
      </w:r>
      <w:r w:rsidRPr="006600A3">
        <w:rPr>
          <w:rFonts w:ascii="Arial" w:hAnsi="Arial" w:cs="Arial"/>
        </w:rPr>
        <w:t>structures</w:t>
      </w:r>
      <w:r>
        <w:rPr>
          <w:rFonts w:ascii="Arial" w:hAnsi="Arial" w:cs="Arial"/>
        </w:rPr>
        <w:t xml:space="preserve"> that have aided their diversification</w:t>
      </w:r>
      <w:r w:rsidRPr="006600A3">
        <w:rPr>
          <w:rFonts w:ascii="Arial" w:hAnsi="Arial" w:cs="Arial"/>
        </w:rPr>
        <w:t xml:space="preserve">. This phenomenon, </w:t>
      </w:r>
      <w:r>
        <w:rPr>
          <w:rFonts w:ascii="Arial" w:hAnsi="Arial" w:cs="Arial"/>
        </w:rPr>
        <w:t xml:space="preserve">which is considered part of the theory of </w:t>
      </w:r>
      <w:r w:rsidRPr="006600A3">
        <w:rPr>
          <w:rFonts w:ascii="Arial" w:hAnsi="Arial" w:cs="Arial"/>
        </w:rPr>
        <w:t>deep homology, is a recurring theme in land plant evolution</w:t>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&lt;EndNote&gt;&lt;Cite&gt;&lt;Author&gt;Scotland&lt;/Author&gt;&lt;Year&gt;2010&lt;/Year&gt;&lt;IDText&gt;Deep homology: a view from systematics&lt;/IDText&gt;&lt;DisplayText&gt;(Scotland, 2010)&lt;/DisplayText&gt;&lt;record&gt;&lt;dates&gt;&lt;pub-dates&gt;&lt;date&gt;May&lt;/date&gt;&lt;/pub-dates&gt;&lt;year&gt;2010&lt;/year&gt;&lt;/dates&gt;&lt;keywords&gt;&lt;keyword&gt;Animals&lt;/keyword&gt;&lt;keyword&gt;Biodiversity&lt;/keyword&gt;&lt;keyword&gt;*Biological Evolution&lt;/keyword&gt;&lt;keyword&gt;*Developmental Biology&lt;/keyword&gt;&lt;keyword&gt;Models, Biological&lt;/keyword&gt;&lt;keyword&gt;Phylogeny&lt;/keyword&gt;&lt;/keywords&gt;&lt;isbn&gt;0265-9247&lt;/isbn&gt;&lt;titles&gt;&lt;title&gt;Deep homology: a view from systematics&lt;/title&gt;&lt;secondary-title&gt;Bioessays&lt;/secondary-title&gt;&lt;alt-title&gt;BioEssays : news and reviews in molecular, cellular and developmental biology&lt;/alt-title&gt;&lt;/titles&gt;&lt;pages&gt;438-49&lt;/pages&gt;&lt;number&gt;5&lt;/number&gt;&lt;contributors&gt;&lt;authors&gt;&lt;author&gt;Scotland, R. W.&lt;/author&gt;&lt;/authors&gt;&lt;/contributors&gt;&lt;edition&gt;2010/04/16&lt;/edition&gt;&lt;language&gt;eng&lt;/language&gt;&lt;added-date format="utc"&gt;1485344456&lt;/added-date&gt;&lt;ref-type name="Journal Article"&gt;17&lt;/ref-type&gt;&lt;auth-address&gt;Department of Plant Sciences, University of Oxford, Oxford, UK. robert.scotland@plants.ox.ac.uk&lt;/auth-address&gt;&lt;remote-database-provider&gt;NLM&lt;/remote-database-provider&gt;&lt;rec-number&gt;1351&lt;/rec-number&gt;&lt;last-updated-date format="utc"&gt;1485344456&lt;/last-updated-date&gt;&lt;accession-num&gt;20394064&lt;/accession-num&gt;&lt;electronic-resource-num&gt;10.1002/bies.200900175&lt;/electronic-resource-num&gt;&lt;volume&gt;32&lt;/volume&gt;&lt;/record&gt;&lt;/Cite&gt;&lt;/EndNote&gt;</w:instrText>
      </w:r>
      <w:r>
        <w:rPr>
          <w:rFonts w:ascii="Arial" w:hAnsi="Arial" w:cs="Arial"/>
        </w:rPr>
        <w:fldChar w:fldCharType="separate"/>
      </w:r>
      <w:r>
        <w:rPr>
          <w:rFonts w:ascii="Arial" w:hAnsi="Arial" w:cs="Arial"/>
          <w:noProof/>
        </w:rPr>
        <w:t>(Scotland, 2010)</w:t>
      </w:r>
      <w:r>
        <w:rPr>
          <w:rFonts w:ascii="Arial" w:hAnsi="Arial" w:cs="Arial"/>
        </w:rPr>
        <w:fldChar w:fldCharType="end"/>
      </w:r>
      <w:r w:rsidRPr="006600A3">
        <w:rPr>
          <w:rFonts w:ascii="Arial" w:hAnsi="Arial" w:cs="Arial"/>
        </w:rPr>
        <w:t xml:space="preserve">. </w:t>
      </w:r>
    </w:p>
    <w:p w14:paraId="58B63856" w14:textId="77777777" w:rsidR="006C37DC" w:rsidRDefault="006C37DC" w:rsidP="006C37DC">
      <w:pPr>
        <w:spacing w:line="360" w:lineRule="auto"/>
        <w:rPr>
          <w:rFonts w:ascii="Arial" w:hAnsi="Arial" w:cs="Arial"/>
        </w:rPr>
      </w:pPr>
      <w:r>
        <w:rPr>
          <w:rFonts w:ascii="Arial" w:hAnsi="Arial" w:cs="Arial"/>
        </w:rPr>
        <w:t xml:space="preserve">One such example of co-option and subsequent diversification is the evolution of rhizoids and root hairs. It has been shown in the rhizoid-forming gametophytes of </w:t>
      </w:r>
      <w:r>
        <w:rPr>
          <w:rFonts w:ascii="Arial" w:hAnsi="Arial" w:cs="Arial"/>
          <w:i/>
        </w:rPr>
        <w:t xml:space="preserve">P. patens </w:t>
      </w:r>
      <w:r>
        <w:rPr>
          <w:rFonts w:ascii="Arial" w:hAnsi="Arial" w:cs="Arial"/>
        </w:rPr>
        <w:t xml:space="preserve">and the root-hair forming sporophytes of Arabidopsis that orthologous </w:t>
      </w:r>
      <w:r w:rsidRPr="006600A3">
        <w:rPr>
          <w:rFonts w:ascii="Arial" w:hAnsi="Arial" w:cs="Arial"/>
        </w:rPr>
        <w:t>genes</w:t>
      </w:r>
      <w:r>
        <w:rPr>
          <w:rFonts w:ascii="Arial" w:hAnsi="Arial" w:cs="Arial"/>
        </w:rPr>
        <w:t xml:space="preserve"> are required in both instances for the corresponding structures to develop </w:t>
      </w:r>
      <w:r>
        <w:rPr>
          <w:rFonts w:ascii="Arial" w:hAnsi="Arial" w:cs="Arial"/>
        </w:rPr>
        <w:fldChar w:fldCharType="begin">
          <w:fldData xml:space="preserve">PEVuZE5vdGU+PENpdGU+PEF1dGhvcj5NZW5hbmQ8L0F1dGhvcj48WWVhcj4yMDA3PC9ZZWFyPjxJ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==
</w:fldData>
        </w:fldChar>
      </w:r>
      <w:r>
        <w:rPr>
          <w:rFonts w:ascii="Arial" w:hAnsi="Arial" w:cs="Arial"/>
        </w:rPr>
        <w:instrText xml:space="preserve"> ADDIN EN.CITE </w:instrText>
      </w:r>
      <w:r>
        <w:rPr>
          <w:rFonts w:ascii="Arial" w:hAnsi="Arial" w:cs="Arial"/>
        </w:rPr>
        <w:fldChar w:fldCharType="begin">
          <w:fldData xml:space="preserve">PEVuZE5vdGU+PENpdGU+PEF1dGhvcj5NZW5hbmQ8L0F1dGhvcj48WWVhcj4yMDA3PC9ZZWFyPjxJ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==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(Jang et al., 2011; Menand et al., 2007)</w:t>
      </w:r>
      <w:r>
        <w:rPr>
          <w:rFonts w:ascii="Arial" w:hAnsi="Arial" w:cs="Arial"/>
        </w:rPr>
        <w:fldChar w:fldCharType="end"/>
      </w:r>
      <w:r>
        <w:rPr>
          <w:rFonts w:ascii="Arial" w:hAnsi="Arial" w:cs="Arial"/>
        </w:rPr>
        <w:t xml:space="preserve">. Moreover, when the </w:t>
      </w:r>
      <w:r>
        <w:rPr>
          <w:rFonts w:ascii="Arial" w:hAnsi="Arial" w:cs="Arial"/>
          <w:i/>
        </w:rPr>
        <w:t xml:space="preserve">P. patens PpRSL1 </w:t>
      </w:r>
      <w:r>
        <w:rPr>
          <w:rFonts w:ascii="Arial" w:hAnsi="Arial" w:cs="Arial"/>
        </w:rPr>
        <w:t xml:space="preserve">gene is over-expressed in Arabidopsis plants containing a mutant </w:t>
      </w:r>
      <w:r>
        <w:rPr>
          <w:rFonts w:ascii="Arial" w:hAnsi="Arial" w:cs="Arial"/>
          <w:i/>
        </w:rPr>
        <w:t xml:space="preserve">atrdh6 </w:t>
      </w:r>
      <w:r>
        <w:rPr>
          <w:rFonts w:ascii="Arial" w:hAnsi="Arial" w:cs="Arial"/>
        </w:rPr>
        <w:t>gene</w:t>
      </w:r>
      <w:r>
        <w:rPr>
          <w:rFonts w:ascii="Arial" w:hAnsi="Arial" w:cs="Arial"/>
          <w:i/>
        </w:rPr>
        <w:t xml:space="preserve"> </w:t>
      </w:r>
      <w:r>
        <w:rPr>
          <w:rFonts w:ascii="Arial" w:hAnsi="Arial" w:cs="Arial"/>
        </w:rPr>
        <w:t xml:space="preserve">(orthologous to </w:t>
      </w:r>
      <w:r w:rsidRPr="00B257E9">
        <w:rPr>
          <w:rFonts w:ascii="Arial" w:hAnsi="Arial" w:cs="Arial"/>
          <w:i/>
        </w:rPr>
        <w:t>PpRSL1</w:t>
      </w:r>
      <w:r>
        <w:rPr>
          <w:rFonts w:ascii="Arial" w:hAnsi="Arial" w:cs="Arial"/>
        </w:rPr>
        <w:t xml:space="preserve">), root hair formation is restored on roots thereby illustrating conservation of protein function between the conserved genes </w:t>
      </w:r>
      <w:r>
        <w:rPr>
          <w:rFonts w:ascii="Arial" w:hAnsi="Arial" w:cs="Arial"/>
        </w:rPr>
        <w:fldChar w:fldCharType="begin"/>
      </w:r>
      <w:r>
        <w:rPr>
          <w:rFonts w:ascii="Arial" w:hAnsi="Arial" w:cs="Arial"/>
        </w:rPr>
        <w:instrText xml:space="preserve"> ADDIN EN.CITE &lt;EndNote&gt;&lt;Cite&gt;&lt;Author&gt;Menand&lt;/Author&gt;&lt;Year&gt;2007&lt;/Year&gt;&lt;IDText&gt;An ancient mechanism controls the development of cells with a rooting function in land plants&lt;/IDText&gt;&lt;DisplayText&gt;(Menand et al., 2007)&lt;/DisplayText&gt;&lt;record&gt;&lt;dates&gt;&lt;pub-dates&gt;&lt;date&gt;Jun&lt;/date&gt;&lt;/pub-dates&gt;&lt;year&gt;2007&lt;/year&gt;&lt;/dates&gt;&lt;urls&gt;&lt;related-urls&gt;&lt;url&gt;&amp;lt;Go to ISI&amp;gt;://WOS:000247066400043&lt;/url&gt;&lt;/related-urls&gt;&lt;/urls&gt;&lt;isbn&gt;0036-8075&lt;/isbn&gt;&lt;titles&gt;&lt;title&gt;An ancient mechanism controls the development of cells with a rooting function in land plants&lt;/title&gt;&lt;secondary-title&gt;Science&lt;/secondary-title&gt;&lt;/titles&gt;&lt;pages&gt;1477-1480&lt;/pages&gt;&lt;number&gt;5830&lt;/number&gt;&lt;contributors&gt;&lt;authors&gt;&lt;author&gt;Menand, B.&lt;/author&gt;&lt;author&gt;Yi, K. K.&lt;/author&gt;&lt;author&gt;Jouannic, S.&lt;/author&gt;&lt;author&gt;Hoffmann, L.&lt;/author&gt;&lt;author&gt;Ryan, E.&lt;/author&gt;&lt;author&gt;Linstead, P.&lt;/author&gt;&lt;author&gt;Schaefer, D. G.&lt;/author&gt;&lt;author&gt;Dolan, L.&lt;/author&gt;&lt;/authors&gt;&lt;/contributors&gt;&lt;added-date format="utc"&gt;1380115491&lt;/added-date&gt;&lt;ref-type name="Journal Article"&gt;17&lt;/ref-type&gt;&lt;rec-number&gt;110&lt;/rec-number&gt;&lt;last-updated-date format="utc"&gt;1380115491&lt;/last-updated-date&gt;&lt;accession-num&gt;WOS:000247066400043&lt;/accession-num&gt;&lt;electronic-resource-num&gt;10.1126/science.1142618&lt;/electronic-resource-num&gt;&lt;volume&gt;316&lt;/volume&gt;&lt;/record&gt;&lt;/Cite&gt;&lt;/EndNote&gt;</w:instrText>
      </w:r>
      <w:r>
        <w:rPr>
          <w:rFonts w:ascii="Arial" w:hAnsi="Arial" w:cs="Arial"/>
        </w:rPr>
        <w:fldChar w:fldCharType="separate"/>
      </w:r>
      <w:r>
        <w:rPr>
          <w:rFonts w:ascii="Arial" w:hAnsi="Arial" w:cs="Arial"/>
          <w:noProof/>
        </w:rPr>
        <w:t>(Menand et al., 2007)</w:t>
      </w:r>
      <w:r>
        <w:rPr>
          <w:rFonts w:ascii="Arial" w:hAnsi="Arial" w:cs="Arial"/>
        </w:rPr>
        <w:fldChar w:fldCharType="end"/>
      </w:r>
      <w:r>
        <w:rPr>
          <w:rFonts w:ascii="Arial" w:hAnsi="Arial" w:cs="Arial"/>
        </w:rPr>
        <w:t xml:space="preserve">. However, when the evolution of rhizoids in gametophytes and root hairs in sporophytes are considered from a fossil and morphological perspective it is clear that these structures evolved at different times, with rhizoid origins predating root hairs </w:t>
      </w:r>
      <w:r>
        <w:rPr>
          <w:rFonts w:ascii="Arial" w:hAnsi="Arial" w:cs="Arial"/>
        </w:rPr>
        <w:fldChar w:fldCharType="begin"/>
      </w:r>
      <w:r>
        <w:rPr>
          <w:rFonts w:ascii="Arial" w:hAnsi="Arial" w:cs="Arial"/>
        </w:rPr>
        <w:instrText xml:space="preserve"> ADDIN EN.CITE &lt;EndNote&gt;&lt;Cite&gt;&lt;Author&gt;Jones&lt;/Author&gt;&lt;Year&gt;2012&lt;/Year&gt;&lt;IDText&gt;The evolution of root hairs and rhizoids&lt;/IDText&gt;&lt;DisplayText&gt;(Jones and Dolan, 2012)&lt;/DisplayText&gt;&lt;record&gt;&lt;dates&gt;&lt;pub-dates&gt;&lt;date&gt;Jul&lt;/date&gt;&lt;/pub-dates&gt;&lt;year&gt;2012&lt;/year&gt;&lt;/dates&gt;&lt;urls&gt;&lt;related-urls&gt;&lt;url&gt;&amp;lt;Go to ISI&amp;gt;://WOS:000306407800002&lt;/url&gt;&lt;/related-urls&gt;&lt;/urls&gt;&lt;isbn&gt;0305-7364&lt;/isbn&gt;&lt;titles&gt;&lt;title&gt;The evolution of root hairs and rhizoids&lt;/title&gt;&lt;secondary-title&gt;Annals of Botany&lt;/secondary-title&gt;&lt;/titles&gt;&lt;pages&gt;205-212&lt;/pages&gt;&lt;number&gt;2&lt;/number&gt;&lt;contributors&gt;&lt;authors&gt;&lt;author&gt;Jones, V. A. S.&lt;/author&gt;&lt;author&gt;Dolan, L.&lt;/author&gt;&lt;/authors&gt;&lt;/contributors&gt;&lt;added-date format="utc"&gt;1380177692&lt;/added-date&gt;&lt;ref-type name="Journal Article"&gt;17&lt;/ref-type&gt;&lt;rec-number&gt;111&lt;/rec-number&gt;&lt;last-updated-date format="utc"&gt;1380177692&lt;/last-updated-date&gt;&lt;accession-num&gt;WOS:000306407800002&lt;/accession-num&gt;&lt;electronic-resource-num&gt;10.1093/aob/mcs136&lt;/electronic-resource-num&gt;&lt;volume&gt;110&lt;/volume&gt;&lt;/record&gt;&lt;/Cite&gt;&lt;/EndNote&gt;</w:instrText>
      </w:r>
      <w:r>
        <w:rPr>
          <w:rFonts w:ascii="Arial" w:hAnsi="Arial" w:cs="Arial"/>
        </w:rPr>
        <w:fldChar w:fldCharType="separate"/>
      </w:r>
      <w:r>
        <w:rPr>
          <w:rFonts w:ascii="Arial" w:hAnsi="Arial" w:cs="Arial"/>
          <w:noProof/>
        </w:rPr>
        <w:t>(Jones and Dolan, 2012)</w:t>
      </w:r>
      <w:r>
        <w:rPr>
          <w:rFonts w:ascii="Arial" w:hAnsi="Arial" w:cs="Arial"/>
        </w:rPr>
        <w:fldChar w:fldCharType="end"/>
      </w:r>
      <w:r>
        <w:rPr>
          <w:rFonts w:ascii="Arial" w:hAnsi="Arial" w:cs="Arial"/>
        </w:rPr>
        <w:t xml:space="preserve">. It seems initially that from an ancestral gametophyte origin, rhizoids were subsequently co-opted to the sporophyte life cycle, although, no extant plants still retain rhizoids on their sporophytes. Instead, in extant sporophytes root hairs dominate </w:t>
      </w:r>
      <w:r>
        <w:rPr>
          <w:rFonts w:ascii="Arial" w:hAnsi="Arial" w:cs="Arial"/>
        </w:rPr>
        <w:fldChar w:fldCharType="begin"/>
      </w:r>
      <w:r>
        <w:rPr>
          <w:rFonts w:ascii="Arial" w:hAnsi="Arial" w:cs="Arial"/>
        </w:rPr>
        <w:instrText xml:space="preserve"> ADDIN EN.CITE &lt;EndNote&gt;&lt;Cite&gt;&lt;Author&gt;Jones&lt;/Author&gt;&lt;Year&gt;2012&lt;/Year&gt;&lt;IDText&gt;The evolution of root hairs and rhizoids&lt;/IDText&gt;&lt;DisplayText&gt;(Jones and Dolan, 2012)&lt;/DisplayText&gt;&lt;record&gt;&lt;dates&gt;&lt;pub-dates&gt;&lt;date&gt;Jul&lt;/date&gt;&lt;/pub-dates&gt;&lt;year&gt;2012&lt;/year&gt;&lt;/dates&gt;&lt;urls&gt;&lt;related-urls&gt;&lt;url&gt;&amp;lt;Go to ISI&amp;gt;://WOS:000306407800002&lt;/url&gt;&lt;/related-urls&gt;&lt;/urls&gt;&lt;isbn&gt;0305-7364&lt;/isbn&gt;&lt;titles&gt;&lt;title&gt;The evolution of root hairs and rhizoids&lt;/title&gt;&lt;secondary-title&gt;Annals of Botany&lt;/secondary-title&gt;&lt;/titles&gt;&lt;pages&gt;205-212&lt;/pages&gt;&lt;number&gt;2&lt;/number&gt;&lt;contributors&gt;&lt;authors&gt;&lt;author&gt;Jones, V. A. S.&lt;/author&gt;&lt;author&gt;Dolan, L.&lt;/author&gt;&lt;/authors&gt;&lt;/contributors&gt;&lt;added-date format="utc"&gt;1380177692&lt;/added-date&gt;&lt;ref-type name="Journal Article"&gt;17&lt;/ref-type&gt;&lt;rec-number&gt;111&lt;/rec-number&gt;&lt;last-updated-date format="utc"&gt;1380177692&lt;/last-updated-date&gt;&lt;accession-num&gt;WOS:000306407800002&lt;/accession-num&gt;&lt;electronic-resource-num&gt;10.1093/aob/mcs136&lt;/electronic-resource-num&gt;&lt;volume&gt;110&lt;/volume&gt;&lt;/record&gt;&lt;/Cite&gt;&lt;/EndNote&gt;</w:instrText>
      </w:r>
      <w:r>
        <w:rPr>
          <w:rFonts w:ascii="Arial" w:hAnsi="Arial" w:cs="Arial"/>
        </w:rPr>
        <w:fldChar w:fldCharType="separate"/>
      </w:r>
      <w:r>
        <w:rPr>
          <w:rFonts w:ascii="Arial" w:hAnsi="Arial" w:cs="Arial"/>
          <w:noProof/>
        </w:rPr>
        <w:t>(Jones and Dolan, 2012)</w:t>
      </w:r>
      <w:r>
        <w:rPr>
          <w:rFonts w:ascii="Arial" w:hAnsi="Arial" w:cs="Arial"/>
        </w:rPr>
        <w:fldChar w:fldCharType="end"/>
      </w:r>
      <w:r>
        <w:rPr>
          <w:rFonts w:ascii="Arial" w:hAnsi="Arial" w:cs="Arial"/>
        </w:rPr>
        <w:t>. As roots have evolved at least twice during vascular land plant evolution this implies that co-option of genes from rhizoid-forming gametophyte must have occurred a number of times.</w:t>
      </w:r>
    </w:p>
    <w:p w14:paraId="619C3141" w14:textId="77777777" w:rsidR="006C37DC" w:rsidRDefault="006C37DC" w:rsidP="006C37DC">
      <w:pPr>
        <w:spacing w:line="360" w:lineRule="auto"/>
        <w:rPr>
          <w:rFonts w:ascii="Arial" w:hAnsi="Arial" w:cs="Arial"/>
        </w:rPr>
      </w:pPr>
      <w:r>
        <w:rPr>
          <w:rFonts w:ascii="Arial" w:hAnsi="Arial" w:cs="Arial"/>
        </w:rPr>
        <w:t xml:space="preserve">The example of gene co-option set out in the preceding paragraph in combination with the other instances mentioned means it must not be ruled out that stomata in different land plant lineages evolved from multiple independent events. That is, one or more of the different lineages that have (or had) stomata may have co-opted stomatal genes to build stomata rather than directly inheriting a functional working stomatal development program from a direct ancestor. Ultimately, whether genes have been retained or whether they have been co-opted during stomatal developmental evolution will be very difficult to conclusively answer but the evidence presented in this thesis based on the conservation of a network of genes suggests a monophyletic origin of stomata. </w:t>
      </w:r>
    </w:p>
    <w:p w14:paraId="401A67AD" w14:textId="77777777" w:rsidR="006C37DC" w:rsidRPr="00405CE5" w:rsidRDefault="006C37DC" w:rsidP="006C37DC">
      <w:pPr>
        <w:spacing w:line="360" w:lineRule="auto"/>
        <w:rPr>
          <w:rFonts w:ascii="Arial" w:hAnsi="Arial" w:cs="Arial"/>
          <w:u w:val="single"/>
        </w:rPr>
      </w:pPr>
      <w:r w:rsidRPr="00405CE5">
        <w:rPr>
          <w:rFonts w:ascii="Arial" w:hAnsi="Arial" w:cs="Arial"/>
          <w:u w:val="single"/>
        </w:rPr>
        <w:t>6.6 The genetic origins of stomata</w:t>
      </w:r>
    </w:p>
    <w:p w14:paraId="50082240" w14:textId="77777777" w:rsidR="006C37DC" w:rsidRDefault="006C37DC" w:rsidP="006C37DC">
      <w:pPr>
        <w:spacing w:line="360" w:lineRule="auto"/>
        <w:rPr>
          <w:rFonts w:ascii="Arial" w:hAnsi="Arial" w:cs="Arial"/>
        </w:rPr>
      </w:pPr>
      <w:r>
        <w:rPr>
          <w:rFonts w:ascii="Arial" w:hAnsi="Arial" w:cs="Arial"/>
        </w:rPr>
        <w:t xml:space="preserve">Having ascertained through the course of this thesis that </w:t>
      </w:r>
      <w:r>
        <w:rPr>
          <w:rFonts w:ascii="Arial" w:hAnsi="Arial" w:cs="Arial"/>
          <w:i/>
        </w:rPr>
        <w:t xml:space="preserve">P. patens </w:t>
      </w:r>
      <w:r>
        <w:rPr>
          <w:rFonts w:ascii="Arial" w:hAnsi="Arial" w:cs="Arial"/>
        </w:rPr>
        <w:t xml:space="preserve">has functioning genes orthologous to Arabidopsis </w:t>
      </w:r>
      <w:r>
        <w:rPr>
          <w:rFonts w:ascii="Arial" w:hAnsi="Arial" w:cs="Arial"/>
          <w:i/>
        </w:rPr>
        <w:t>SPCH</w:t>
      </w:r>
      <w:r>
        <w:rPr>
          <w:rFonts w:ascii="Arial" w:hAnsi="Arial" w:cs="Arial"/>
        </w:rPr>
        <w:t xml:space="preserve">, </w:t>
      </w:r>
      <w:r>
        <w:rPr>
          <w:rFonts w:ascii="Arial" w:hAnsi="Arial" w:cs="Arial"/>
          <w:i/>
        </w:rPr>
        <w:t>MUTE</w:t>
      </w:r>
      <w:r>
        <w:rPr>
          <w:rFonts w:ascii="Arial" w:hAnsi="Arial" w:cs="Arial"/>
        </w:rPr>
        <w:t xml:space="preserve"> and </w:t>
      </w:r>
      <w:r>
        <w:rPr>
          <w:rFonts w:ascii="Arial" w:hAnsi="Arial" w:cs="Arial"/>
          <w:i/>
        </w:rPr>
        <w:t>FAMA</w:t>
      </w:r>
      <w:r>
        <w:rPr>
          <w:rFonts w:ascii="Arial" w:hAnsi="Arial" w:cs="Arial"/>
        </w:rPr>
        <w:t xml:space="preserve">, </w:t>
      </w:r>
      <w:r w:rsidRPr="006D69E2">
        <w:rPr>
          <w:rFonts w:ascii="Arial" w:hAnsi="Arial" w:cs="Arial"/>
          <w:i/>
        </w:rPr>
        <w:t>ICE1/SCRM</w:t>
      </w:r>
      <w:r>
        <w:rPr>
          <w:rFonts w:ascii="Arial" w:hAnsi="Arial" w:cs="Arial"/>
        </w:rPr>
        <w:t xml:space="preserve"> and </w:t>
      </w:r>
      <w:r w:rsidRPr="006D69E2">
        <w:rPr>
          <w:rFonts w:ascii="Arial" w:hAnsi="Arial" w:cs="Arial"/>
          <w:i/>
        </w:rPr>
        <w:t>ICE2/SCRM2</w:t>
      </w:r>
      <w:r>
        <w:rPr>
          <w:rFonts w:ascii="Arial" w:hAnsi="Arial" w:cs="Arial"/>
        </w:rPr>
        <w:t xml:space="preserve">, </w:t>
      </w:r>
      <w:r w:rsidRPr="006D69E2">
        <w:rPr>
          <w:rFonts w:ascii="Arial" w:hAnsi="Arial" w:cs="Arial"/>
          <w:i/>
        </w:rPr>
        <w:t>EPF1</w:t>
      </w:r>
      <w:r>
        <w:rPr>
          <w:rFonts w:ascii="Arial" w:hAnsi="Arial" w:cs="Arial"/>
        </w:rPr>
        <w:t xml:space="preserve"> and </w:t>
      </w:r>
      <w:r w:rsidRPr="006D69E2">
        <w:rPr>
          <w:rFonts w:ascii="Arial" w:hAnsi="Arial" w:cs="Arial"/>
          <w:i/>
        </w:rPr>
        <w:t>EPF2</w:t>
      </w:r>
      <w:r>
        <w:rPr>
          <w:rFonts w:ascii="Arial" w:hAnsi="Arial" w:cs="Arial"/>
        </w:rPr>
        <w:t xml:space="preserve">, </w:t>
      </w:r>
      <w:r w:rsidRPr="006D69E2">
        <w:rPr>
          <w:rFonts w:ascii="Arial" w:hAnsi="Arial" w:cs="Arial"/>
          <w:i/>
        </w:rPr>
        <w:t>TMM</w:t>
      </w:r>
      <w:r>
        <w:rPr>
          <w:rFonts w:ascii="Arial" w:hAnsi="Arial" w:cs="Arial"/>
        </w:rPr>
        <w:t xml:space="preserve"> and </w:t>
      </w:r>
      <w:r w:rsidRPr="006D69E2">
        <w:rPr>
          <w:rFonts w:ascii="Arial" w:hAnsi="Arial" w:cs="Arial"/>
          <w:i/>
        </w:rPr>
        <w:t>ERECTA</w:t>
      </w:r>
      <w:r>
        <w:rPr>
          <w:rFonts w:ascii="Arial" w:hAnsi="Arial" w:cs="Arial"/>
        </w:rPr>
        <w:t xml:space="preserve"> family members, a more consolidated view of the genetics underpinning stomatal developmental evolution is now beginning to emerge. With many genome sequences now available that relate to representative species from across the plant </w:t>
      </w:r>
      <w:r>
        <w:rPr>
          <w:rFonts w:ascii="Arial" w:hAnsi="Arial" w:cs="Arial"/>
        </w:rPr>
        <w:lastRenderedPageBreak/>
        <w:t>kingdom, it is now possible to ask: How far back do the origins of stomatal developmental genes go? To try to answer this question, additional blast searches were undertaken and phylogenies constructed using amino acid sequences to look for the presence of genes similar to those involved with stomatal development in Charophycean algae that diverged prior to the evolution of land plants and in liverworts, which diverged after the first stomatal-bearing land plants evolved. By combining the newly obtained data with the previously identified sequences obtained from the phylogenetic analyses presented in chapters 3 and 4 it is now possible so start to identify the evolutionary trajectory of genes that now oversee stomatal development (</w:t>
      </w:r>
      <w:r>
        <w:rPr>
          <w:rFonts w:ascii="Arial" w:hAnsi="Arial" w:cs="Arial"/>
          <w:b/>
        </w:rPr>
        <w:t>Fig. 3</w:t>
      </w:r>
      <w:r>
        <w:rPr>
          <w:rFonts w:ascii="Arial" w:hAnsi="Arial" w:cs="Arial"/>
        </w:rPr>
        <w:t>). From these new data, it can be inferred whether the aforementioned lineages have closely related genes to some or all of the genes involved in stomatal development. Moreover, it can also be inferred whether similar sister genes or more distantly related genes are present. Furthermore, if no homologous genes are present in a lineage then this can also be identified. Of course, all of the analyses rely on a single species representative within a lineage and so caution should be taken when interpreting the results as variation within lineages may well exist.</w:t>
      </w:r>
    </w:p>
    <w:p w14:paraId="6316D940" w14:textId="77777777" w:rsidR="006C37DC" w:rsidRDefault="006C37DC" w:rsidP="006C37DC">
      <w:pPr>
        <w:spacing w:line="360" w:lineRule="auto"/>
        <w:rPr>
          <w:rFonts w:ascii="Arial" w:hAnsi="Arial" w:cs="Arial"/>
        </w:rPr>
      </w:pPr>
      <w:r>
        <w:rPr>
          <w:rFonts w:ascii="Arial" w:hAnsi="Arial" w:cs="Arial"/>
        </w:rPr>
        <w:t xml:space="preserve">The results from </w:t>
      </w:r>
      <w:r>
        <w:rPr>
          <w:rFonts w:ascii="Arial" w:hAnsi="Arial" w:cs="Arial"/>
          <w:b/>
        </w:rPr>
        <w:t xml:space="preserve">Figure 3 </w:t>
      </w:r>
      <w:r w:rsidRPr="005E11CD">
        <w:rPr>
          <w:rFonts w:ascii="Arial" w:hAnsi="Arial" w:cs="Arial"/>
        </w:rPr>
        <w:t>illustrate that</w:t>
      </w:r>
      <w:r>
        <w:rPr>
          <w:rFonts w:ascii="Arial" w:hAnsi="Arial" w:cs="Arial"/>
        </w:rPr>
        <w:t xml:space="preserve"> nearly all lineages of plants that have stomata have amino acid sequences encoding for genes which cluster with the stomatal developmental genes being analysed. In the Hornwort </w:t>
      </w:r>
      <w:r>
        <w:rPr>
          <w:rFonts w:ascii="Arial" w:hAnsi="Arial" w:cs="Arial"/>
          <w:i/>
        </w:rPr>
        <w:t>A. punctatos</w:t>
      </w:r>
      <w:r>
        <w:rPr>
          <w:rFonts w:ascii="Arial" w:hAnsi="Arial" w:cs="Arial"/>
        </w:rPr>
        <w:t xml:space="preserve"> however, only a sister </w:t>
      </w:r>
      <w:r>
        <w:rPr>
          <w:rFonts w:ascii="Arial" w:hAnsi="Arial" w:cs="Arial"/>
          <w:i/>
        </w:rPr>
        <w:t xml:space="preserve">TMM </w:t>
      </w:r>
      <w:r>
        <w:rPr>
          <w:rFonts w:ascii="Arial" w:hAnsi="Arial" w:cs="Arial"/>
        </w:rPr>
        <w:t xml:space="preserve">sequence was detected, and it was not possible to test </w:t>
      </w:r>
      <w:r>
        <w:rPr>
          <w:rFonts w:ascii="Arial" w:hAnsi="Arial" w:cs="Arial"/>
          <w:i/>
        </w:rPr>
        <w:t xml:space="preserve">ERECTA </w:t>
      </w:r>
      <w:r>
        <w:rPr>
          <w:rFonts w:ascii="Arial" w:hAnsi="Arial" w:cs="Arial"/>
        </w:rPr>
        <w:t xml:space="preserve">sequences, as these were not easily accessible. It should be noted that the </w:t>
      </w:r>
      <w:r w:rsidRPr="00735B6E">
        <w:rPr>
          <w:rFonts w:ascii="Arial" w:hAnsi="Arial" w:cs="Arial"/>
        </w:rPr>
        <w:t>TMM</w:t>
      </w:r>
      <w:r>
        <w:rPr>
          <w:rFonts w:ascii="Arial" w:hAnsi="Arial" w:cs="Arial"/>
          <w:i/>
        </w:rPr>
        <w:t xml:space="preserve"> </w:t>
      </w:r>
      <w:r>
        <w:rPr>
          <w:rFonts w:ascii="Arial" w:hAnsi="Arial" w:cs="Arial"/>
        </w:rPr>
        <w:t xml:space="preserve">amino sequence used was only very fragmentary and so further analyses are required to verify the phylogenetic position of </w:t>
      </w:r>
      <w:r>
        <w:rPr>
          <w:rFonts w:ascii="Arial" w:hAnsi="Arial" w:cs="Arial"/>
          <w:i/>
        </w:rPr>
        <w:t>TMM</w:t>
      </w:r>
      <w:r>
        <w:rPr>
          <w:rFonts w:ascii="Arial" w:hAnsi="Arial" w:cs="Arial"/>
        </w:rPr>
        <w:t xml:space="preserve">-like gene(s) in hornworts (see appendix 1 for amino acid sequences relating to the closest </w:t>
      </w:r>
      <w:r w:rsidRPr="0039651D">
        <w:rPr>
          <w:rFonts w:ascii="Arial" w:hAnsi="Arial" w:cs="Arial"/>
        </w:rPr>
        <w:t>TMM-</w:t>
      </w:r>
      <w:r>
        <w:rPr>
          <w:rFonts w:ascii="Arial" w:hAnsi="Arial" w:cs="Arial"/>
        </w:rPr>
        <w:t>like</w:t>
      </w:r>
      <w:r>
        <w:rPr>
          <w:rFonts w:ascii="Arial" w:hAnsi="Arial" w:cs="Arial"/>
          <w:i/>
        </w:rPr>
        <w:t xml:space="preserve"> </w:t>
      </w:r>
      <w:r>
        <w:rPr>
          <w:rFonts w:ascii="Arial" w:hAnsi="Arial" w:cs="Arial"/>
        </w:rPr>
        <w:t xml:space="preserve">and </w:t>
      </w:r>
      <w:r w:rsidRPr="0039651D">
        <w:rPr>
          <w:rFonts w:ascii="Arial" w:hAnsi="Arial" w:cs="Arial"/>
        </w:rPr>
        <w:t>SCRM1</w:t>
      </w:r>
      <w:r>
        <w:rPr>
          <w:rFonts w:ascii="Arial" w:hAnsi="Arial" w:cs="Arial"/>
        </w:rPr>
        <w:t xml:space="preserve">-like </w:t>
      </w:r>
      <w:r>
        <w:rPr>
          <w:rFonts w:ascii="Arial" w:hAnsi="Arial" w:cs="Arial"/>
          <w:i/>
        </w:rPr>
        <w:t xml:space="preserve">A. punctatos </w:t>
      </w:r>
      <w:r>
        <w:rPr>
          <w:rFonts w:ascii="Arial" w:hAnsi="Arial" w:cs="Arial"/>
        </w:rPr>
        <w:t xml:space="preserve">sequences). With regard to the ferns, as stated previously there is no complete sequenced genome and so questions relating to presence of stomatal developmental genes remain unanswered in this lineage. </w:t>
      </w:r>
    </w:p>
    <w:p w14:paraId="7E994A95" w14:textId="77777777" w:rsidR="006C37DC" w:rsidRDefault="006C37DC" w:rsidP="006C37DC">
      <w:pPr>
        <w:spacing w:after="0" w:line="360" w:lineRule="auto"/>
        <w:rPr>
          <w:rFonts w:ascii="Arial" w:hAnsi="Arial" w:cs="Arial"/>
        </w:rPr>
      </w:pPr>
      <w:r>
        <w:rPr>
          <w:rFonts w:ascii="Arial" w:hAnsi="Arial" w:cs="Arial"/>
        </w:rPr>
        <w:t xml:space="preserve">In the astomate </w:t>
      </w:r>
      <w:r>
        <w:rPr>
          <w:rFonts w:ascii="Arial" w:hAnsi="Arial" w:cs="Arial"/>
          <w:i/>
        </w:rPr>
        <w:t xml:space="preserve">M. polymorpha </w:t>
      </w:r>
      <w:r>
        <w:rPr>
          <w:rFonts w:ascii="Arial" w:hAnsi="Arial" w:cs="Arial"/>
        </w:rPr>
        <w:t xml:space="preserve">there is some clear evidence of genes closely related to those that function in stomatal development. This is especially true of genes related </w:t>
      </w:r>
      <w:r>
        <w:rPr>
          <w:rFonts w:ascii="Arial" w:hAnsi="Arial" w:cs="Arial"/>
          <w:i/>
        </w:rPr>
        <w:t>SCRM ERECTA</w:t>
      </w:r>
      <w:r>
        <w:rPr>
          <w:rFonts w:ascii="Arial" w:hAnsi="Arial" w:cs="Arial"/>
        </w:rPr>
        <w:t xml:space="preserve">, which is perhaps unsurprising given the pleiotropic effects associated with </w:t>
      </w:r>
      <w:r w:rsidRPr="00735B6E">
        <w:rPr>
          <w:rFonts w:ascii="Arial" w:hAnsi="Arial" w:cs="Arial"/>
          <w:i/>
        </w:rPr>
        <w:t>ERECTAs</w:t>
      </w:r>
      <w:r>
        <w:rPr>
          <w:rFonts w:ascii="Arial" w:hAnsi="Arial" w:cs="Arial"/>
        </w:rPr>
        <w:t xml:space="preserve"> in vascular land plants </w:t>
      </w:r>
      <w:r>
        <w:rPr>
          <w:rFonts w:ascii="Arial" w:hAnsi="Arial" w:cs="Arial"/>
        </w:rPr>
        <w:fldChar w:fldCharType="begin">
          <w:fldData xml:space="preserve">PEVuZE5vdGU+PENpdGU+PEF1dGhvcj5Ub3JpaTwvQXV0aG9yPjxZZWFyPjE5OTY8L1llYXI+PElE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</w:fldData>
        </w:fldChar>
      </w:r>
      <w:r>
        <w:rPr>
          <w:rFonts w:ascii="Arial" w:hAnsi="Arial" w:cs="Arial"/>
        </w:rPr>
        <w:instrText xml:space="preserve"> ADDIN EN.CITE </w:instrText>
      </w:r>
      <w:r>
        <w:rPr>
          <w:rFonts w:ascii="Arial" w:hAnsi="Arial" w:cs="Arial"/>
        </w:rPr>
        <w:fldChar w:fldCharType="begin">
          <w:fldData xml:space="preserve">PEVuZE5vdGU+PENpdGU+PEF1dGhvcj5Ub3JpaTwvQXV0aG9yPjxZZWFyPjE5OTY8L1llYXI+PElE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(Chinnusamy et al., 2003; Liang and Yang, 2015; Shpak, 2013; Torii et al., 1996)</w:t>
      </w:r>
      <w:r>
        <w:rPr>
          <w:rFonts w:ascii="Arial" w:hAnsi="Arial" w:cs="Arial"/>
        </w:rPr>
        <w:fldChar w:fldCharType="end"/>
      </w:r>
      <w:r>
        <w:rPr>
          <w:rFonts w:ascii="Arial" w:hAnsi="Arial" w:cs="Arial"/>
        </w:rPr>
        <w:t xml:space="preserve">. When the amino acid sequence of genes related to </w:t>
      </w:r>
      <w:r>
        <w:rPr>
          <w:rFonts w:ascii="Arial" w:hAnsi="Arial" w:cs="Arial"/>
          <w:i/>
        </w:rPr>
        <w:t>SMF, EPF</w:t>
      </w:r>
      <w:r>
        <w:rPr>
          <w:rFonts w:ascii="Arial" w:hAnsi="Arial" w:cs="Arial"/>
        </w:rPr>
        <w:t xml:space="preserve"> and </w:t>
      </w:r>
      <w:r>
        <w:rPr>
          <w:rFonts w:ascii="Arial" w:hAnsi="Arial" w:cs="Arial"/>
          <w:i/>
        </w:rPr>
        <w:t xml:space="preserve">TMM </w:t>
      </w:r>
      <w:r>
        <w:rPr>
          <w:rFonts w:ascii="Arial" w:hAnsi="Arial" w:cs="Arial"/>
        </w:rPr>
        <w:t xml:space="preserve">were analysed, homologous genes were also detected but these were less similar to stomatal development genes than in the case of </w:t>
      </w:r>
      <w:r>
        <w:rPr>
          <w:rFonts w:ascii="Arial" w:hAnsi="Arial" w:cs="Arial"/>
          <w:i/>
        </w:rPr>
        <w:t xml:space="preserve">SCRM </w:t>
      </w:r>
      <w:r>
        <w:rPr>
          <w:rFonts w:ascii="Arial" w:hAnsi="Arial" w:cs="Arial"/>
        </w:rPr>
        <w:t xml:space="preserve">and </w:t>
      </w:r>
      <w:r>
        <w:rPr>
          <w:rFonts w:ascii="Arial" w:hAnsi="Arial" w:cs="Arial"/>
          <w:i/>
        </w:rPr>
        <w:t xml:space="preserve">ERECTA </w:t>
      </w:r>
      <w:r>
        <w:rPr>
          <w:rFonts w:ascii="Arial" w:hAnsi="Arial" w:cs="Arial"/>
        </w:rPr>
        <w:t xml:space="preserve">genes. Taken together these findings can be interpreted a number of ways. Firstly, it could be that the ancestor of liverworts had stomata and that the genes that were once involved with stomatal development became co-opted to perform other functions. These could have included regulating pore formation, but of course, this requires experimentation to test. Alternatively, if </w:t>
      </w:r>
      <w:r>
        <w:rPr>
          <w:rFonts w:ascii="Arial" w:hAnsi="Arial" w:cs="Arial"/>
        </w:rPr>
        <w:lastRenderedPageBreak/>
        <w:t xml:space="preserve">liverworts are the most ancient land plant lineage, as has been previously proposed </w:t>
      </w:r>
      <w:r>
        <w:rPr>
          <w:rFonts w:ascii="Arial" w:hAnsi="Arial" w:cs="Arial"/>
        </w:rPr>
        <w:fldChar w:fldCharType="begin">
          <w:fldData xml:space="preserve">PEVuZE5vdGU+PENpdGU+PEF1dGhvcj5RaXU8L0F1dGhvcj48WWVhcj4yMDA2PC9ZZWFyPjxJRFRl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PEVuZE5vdGU+PENpdGU+PEF1dGhvcj5RaXU8L0F1dGhvcj48WWVhcj4yMDA2PC9ZZWFyPjxJRFRl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(Qiu et al., 2006)</w:t>
      </w:r>
      <w:r>
        <w:rPr>
          <w:rFonts w:ascii="Arial" w:hAnsi="Arial" w:cs="Arial"/>
        </w:rPr>
        <w:fldChar w:fldCharType="end"/>
      </w:r>
      <w:r>
        <w:rPr>
          <w:rFonts w:ascii="Arial" w:hAnsi="Arial" w:cs="Arial"/>
        </w:rPr>
        <w:t xml:space="preserve">, it could be that their ancestors were on the way to developing stomata but diverged from the ancestral lineage prior to stomata evolving (stomata could also have been lost under this scenario). If indeed liverworts never had stomata, it could also be that rather than being co-opted the identified genes originally functioned to aid liverwort pore development. There are of-course vast differences in the mechanisms of development between pores and stomata and there is published evidence of other genes which function in permitting pore formation in liverworts, and so, it remains unclear as to whether the identified genes assist in pore formation </w:t>
      </w:r>
      <w:r>
        <w:rPr>
          <w:rFonts w:ascii="Arial" w:hAnsi="Arial" w:cs="Arial"/>
        </w:rPr>
        <w:fldChar w:fldCharType="begin">
          <w:fldData xml:space="preserve">PEVuZE5vdGU+PENpdGU+PEF1dGhvcj5QcmVzc2VsPC9BdXRob3I+PFllYXI+MjAxNDwvWWVhcj48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PEVuZE5vdGU+PENpdGU+PEF1dGhvcj5QcmVzc2VsPC9BdXRob3I+PFllYXI+MjAxNDwvWWVhcj48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(Apostolakos et al., 1982; Ishizaki et al., 2013; Pressel et al., 2014)</w:t>
      </w:r>
      <w:r>
        <w:rPr>
          <w:rFonts w:ascii="Arial" w:hAnsi="Arial" w:cs="Arial"/>
        </w:rPr>
        <w:fldChar w:fldCharType="end"/>
      </w:r>
      <w:r>
        <w:rPr>
          <w:rFonts w:ascii="Arial" w:hAnsi="Arial" w:cs="Arial"/>
        </w:rPr>
        <w:t>.</w:t>
      </w:r>
    </w:p>
    <w:p w14:paraId="59CF2A44" w14:textId="77777777" w:rsidR="006C37DC" w:rsidRPr="00735B6E" w:rsidRDefault="006C37DC" w:rsidP="006C37DC">
      <w:pPr>
        <w:spacing w:after="0" w:line="360" w:lineRule="auto"/>
        <w:rPr>
          <w:rFonts w:ascii="Arial" w:hAnsi="Arial" w:cs="Arial"/>
        </w:rPr>
      </w:pPr>
      <w:r>
        <w:rPr>
          <w:rFonts w:ascii="Arial" w:hAnsi="Arial" w:cs="Arial"/>
        </w:rPr>
        <w:t xml:space="preserve"> </w:t>
      </w:r>
    </w:p>
    <w:p w14:paraId="7B956185" w14:textId="77777777" w:rsidR="006C37DC" w:rsidRPr="00735B6E" w:rsidRDefault="006C37DC" w:rsidP="006C37DC">
      <w:pPr>
        <w:spacing w:line="360" w:lineRule="auto"/>
        <w:rPr>
          <w:rFonts w:ascii="Arial" w:hAnsi="Arial" w:cs="Arial"/>
        </w:rPr>
      </w:pPr>
      <w:r>
        <w:rPr>
          <w:rFonts w:ascii="Arial" w:hAnsi="Arial" w:cs="Arial"/>
          <w:noProof/>
          <w:lang w:eastAsia="ja-JP"/>
        </w:rPr>
        <w:drawing>
          <wp:inline distT="0" distB="0" distL="0" distR="0" wp14:anchorId="76818615" wp14:editId="6201D5DA">
            <wp:extent cx="5731510" cy="3927475"/>
            <wp:effectExtent l="0" t="0" r="254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3 gene conservation THESIS moddeded 270116 mk3 mod.tif"/>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31510" cy="3927475"/>
                    </a:xfrm>
                    <a:prstGeom prst="rect">
                      <a:avLst/>
                    </a:prstGeom>
                  </pic:spPr>
                </pic:pic>
              </a:graphicData>
            </a:graphic>
          </wp:inline>
        </w:drawing>
      </w:r>
    </w:p>
    <w:p w14:paraId="2CCB1DF5" w14:textId="77777777" w:rsidR="006C37DC" w:rsidRDefault="006C37DC" w:rsidP="006C37DC">
      <w:pPr>
        <w:spacing w:line="360" w:lineRule="auto"/>
        <w:rPr>
          <w:rFonts w:ascii="Arial" w:hAnsi="Arial" w:cs="Arial"/>
        </w:rPr>
      </w:pPr>
      <w:r>
        <w:rPr>
          <w:rFonts w:ascii="Arial" w:hAnsi="Arial" w:cs="Arial"/>
          <w:b/>
        </w:rPr>
        <w:t xml:space="preserve">Figure 3. The evolutionary trajectory of genes involved with stomatal development in early diverging plant lineages. </w:t>
      </w:r>
      <w:r>
        <w:rPr>
          <w:rFonts w:ascii="Arial" w:hAnsi="Arial" w:cs="Arial"/>
        </w:rPr>
        <w:t xml:space="preserve">Blast and subsequent phylogenetic analysis was conducted on amino acid sequences coding for genes related to </w:t>
      </w:r>
      <w:r>
        <w:rPr>
          <w:rFonts w:ascii="Arial" w:hAnsi="Arial" w:cs="Arial"/>
          <w:i/>
        </w:rPr>
        <w:t>PpSMF1, Pp</w:t>
      </w:r>
      <w:r w:rsidRPr="00A77B10">
        <w:rPr>
          <w:rFonts w:ascii="Arial" w:hAnsi="Arial" w:cs="Arial"/>
          <w:i/>
        </w:rPr>
        <w:t>SCRM</w:t>
      </w:r>
      <w:r>
        <w:rPr>
          <w:rFonts w:ascii="Arial" w:hAnsi="Arial" w:cs="Arial"/>
          <w:i/>
        </w:rPr>
        <w:t xml:space="preserve">1, PpEPF1, PpTMM </w:t>
      </w:r>
      <w:r>
        <w:rPr>
          <w:rFonts w:ascii="Arial" w:hAnsi="Arial" w:cs="Arial"/>
        </w:rPr>
        <w:t xml:space="preserve">and </w:t>
      </w:r>
      <w:r>
        <w:rPr>
          <w:rFonts w:ascii="Arial" w:hAnsi="Arial" w:cs="Arial"/>
          <w:i/>
        </w:rPr>
        <w:t xml:space="preserve">PpERECTA1 </w:t>
      </w:r>
      <w:r>
        <w:rPr>
          <w:rFonts w:ascii="Arial" w:hAnsi="Arial" w:cs="Arial"/>
        </w:rPr>
        <w:t xml:space="preserve">in the following species; the chlorophyte algae, </w:t>
      </w:r>
      <w:r>
        <w:rPr>
          <w:rFonts w:ascii="Arial" w:hAnsi="Arial" w:cs="Arial"/>
          <w:i/>
        </w:rPr>
        <w:t>C</w:t>
      </w:r>
      <w:r w:rsidRPr="00A77B10">
        <w:rPr>
          <w:rFonts w:ascii="Arial" w:hAnsi="Arial" w:cs="Arial"/>
          <w:i/>
        </w:rPr>
        <w:t xml:space="preserve">hlamydomonas </w:t>
      </w:r>
      <w:r>
        <w:rPr>
          <w:rFonts w:ascii="Arial" w:hAnsi="Arial" w:cs="Arial"/>
          <w:i/>
        </w:rPr>
        <w:t>reinhardtii</w:t>
      </w:r>
      <w:r>
        <w:rPr>
          <w:rFonts w:ascii="Arial" w:hAnsi="Arial" w:cs="Arial"/>
        </w:rPr>
        <w:t xml:space="preserve">; the Charophyte algae, </w:t>
      </w:r>
      <w:r>
        <w:rPr>
          <w:rFonts w:ascii="Arial" w:hAnsi="Arial" w:cs="Arial"/>
          <w:i/>
        </w:rPr>
        <w:t>K</w:t>
      </w:r>
      <w:r w:rsidRPr="00A77B10">
        <w:rPr>
          <w:rFonts w:ascii="Arial" w:hAnsi="Arial" w:cs="Arial"/>
          <w:i/>
        </w:rPr>
        <w:t>lebsormidium flaccidum</w:t>
      </w:r>
      <w:r>
        <w:rPr>
          <w:rFonts w:ascii="Arial" w:hAnsi="Arial" w:cs="Arial"/>
          <w:i/>
        </w:rPr>
        <w:t xml:space="preserve">; </w:t>
      </w:r>
      <w:r>
        <w:rPr>
          <w:rFonts w:ascii="Arial" w:hAnsi="Arial" w:cs="Arial"/>
        </w:rPr>
        <w:t xml:space="preserve">the hornwort, </w:t>
      </w:r>
      <w:r>
        <w:rPr>
          <w:rFonts w:ascii="Arial" w:hAnsi="Arial" w:cs="Arial"/>
          <w:i/>
        </w:rPr>
        <w:t>Anthoceros punctatos</w:t>
      </w:r>
      <w:r>
        <w:rPr>
          <w:rFonts w:ascii="Arial" w:hAnsi="Arial" w:cs="Arial"/>
        </w:rPr>
        <w:t xml:space="preserve">; the moss, </w:t>
      </w:r>
      <w:r>
        <w:rPr>
          <w:rFonts w:ascii="Arial" w:hAnsi="Arial" w:cs="Arial"/>
          <w:i/>
        </w:rPr>
        <w:t>Physcomitrella patens</w:t>
      </w:r>
      <w:r>
        <w:rPr>
          <w:rFonts w:ascii="Arial" w:hAnsi="Arial" w:cs="Arial"/>
        </w:rPr>
        <w:t xml:space="preserve">; the liverwort, </w:t>
      </w:r>
      <w:r>
        <w:rPr>
          <w:rFonts w:ascii="Arial" w:hAnsi="Arial" w:cs="Arial"/>
          <w:i/>
        </w:rPr>
        <w:t>Marchantia polymorpha</w:t>
      </w:r>
      <w:r>
        <w:rPr>
          <w:rFonts w:ascii="Arial" w:hAnsi="Arial" w:cs="Arial"/>
        </w:rPr>
        <w:t xml:space="preserve">; the lycophyte, </w:t>
      </w:r>
      <w:r>
        <w:rPr>
          <w:rFonts w:ascii="Arial" w:hAnsi="Arial" w:cs="Arial"/>
          <w:i/>
        </w:rPr>
        <w:t>Selaginella moellendorffii</w:t>
      </w:r>
      <w:r>
        <w:rPr>
          <w:rFonts w:ascii="Arial" w:hAnsi="Arial" w:cs="Arial"/>
        </w:rPr>
        <w:t xml:space="preserve"> and the seed plant </w:t>
      </w:r>
      <w:r>
        <w:rPr>
          <w:rFonts w:ascii="Arial" w:hAnsi="Arial" w:cs="Arial"/>
          <w:i/>
        </w:rPr>
        <w:t>Arabidopsis thaliana</w:t>
      </w:r>
      <w:r>
        <w:rPr>
          <w:rFonts w:ascii="Arial" w:hAnsi="Arial" w:cs="Arial"/>
        </w:rPr>
        <w:t xml:space="preserve">. No fern species currently have a fully sequenced genome and so genes are not included. Blast </w:t>
      </w:r>
      <w:r>
        <w:rPr>
          <w:rFonts w:ascii="Arial" w:hAnsi="Arial" w:cs="Arial"/>
        </w:rPr>
        <w:lastRenderedPageBreak/>
        <w:t xml:space="preserve">searches of </w:t>
      </w:r>
      <w:r>
        <w:rPr>
          <w:rFonts w:ascii="Arial" w:hAnsi="Arial" w:cs="Arial"/>
          <w:i/>
        </w:rPr>
        <w:t xml:space="preserve">M. polymorpha </w:t>
      </w:r>
      <w:r>
        <w:rPr>
          <w:rFonts w:ascii="Arial" w:hAnsi="Arial" w:cs="Arial"/>
        </w:rPr>
        <w:t xml:space="preserve">were conducted using Phytozome V12 </w:t>
      </w:r>
      <w:r>
        <w:rPr>
          <w:rFonts w:ascii="Arial" w:hAnsi="Arial" w:cs="Arial"/>
        </w:rPr>
        <w:fldChar w:fldCharType="begin"/>
      </w:r>
      <w:r>
        <w:rPr>
          <w:rFonts w:ascii="Arial" w:hAnsi="Arial" w:cs="Arial"/>
        </w:rPr>
        <w:instrText xml:space="preserve"> ADDIN EN.CITE &lt;EndNote&gt;&lt;Cite&gt;&lt;Author&gt;Goodstein&lt;/Author&gt;&lt;Year&gt;2012&lt;/Year&gt;&lt;IDText&gt;Phytozome: a comparative platform for green plant genomics&lt;/IDText&gt;&lt;DisplayText&gt;(Goodstein et al., 2012)&lt;/DisplayText&gt;&lt;record&gt;&lt;dates&gt;&lt;pub-dates&gt;&lt;date&gt;2012//&lt;/date&gt;&lt;/pub-dates&gt;&lt;year&gt;2012&lt;/year&gt;&lt;/dates&gt;&lt;urls&gt;&lt;related-urls&gt;&lt;url&gt;http://dx.doi.org/10.1093/nar/gkr944&lt;/url&gt;&lt;/related-urls&gt;&lt;/urls&gt;&lt;titles&gt;&lt;title&gt;Phytozome: a comparative platform for green plant genomics&lt;/title&gt;&lt;secondary-title&gt;Nucleic Acids Res&lt;/secondary-title&gt;&lt;/titles&gt;&lt;contributors&gt;&lt;authors&gt;&lt;author&gt;Goodstein, D. M.&lt;/author&gt;&lt;author&gt;Shu, S.&lt;/author&gt;&lt;author&gt;Howson, R.&lt;/author&gt;&lt;author&gt;Neupane, R.&lt;/author&gt;&lt;author&gt;Hayes, R. D.&lt;/author&gt;&lt;author&gt;Fazo, J.&lt;/author&gt;&lt;author&gt;Mitros, T.&lt;/author&gt;&lt;author&gt;Dirks, W.&lt;/author&gt;&lt;author&gt;Hellsten, U.&lt;/author&gt;&lt;author&gt;Putnam, N.&lt;/author&gt;&lt;author&gt;Rokhsar, D. S.&lt;/author&gt;&lt;/authors&gt;&lt;/contributors&gt;&lt;added-date format="utc"&gt;1454072695&lt;/added-date&gt;&lt;ref-type name="Journal Article"&gt;17&lt;/ref-type&gt;&lt;rec-number&gt;496&lt;/rec-number&gt;&lt;last-updated-date format="utc"&gt;1454072695&lt;/last-updated-date&gt;&lt;electronic-resource-num&gt;10.1093/nar/gkr944&lt;/electronic-resource-num&gt;&lt;volume&gt;40&lt;/volume&gt;&lt;/record&gt;&lt;/Cite&gt;&lt;/EndNote&gt;</w:instrText>
      </w:r>
      <w:r>
        <w:rPr>
          <w:rFonts w:ascii="Arial" w:hAnsi="Arial" w:cs="Arial"/>
        </w:rPr>
        <w:fldChar w:fldCharType="separate"/>
      </w:r>
      <w:r>
        <w:rPr>
          <w:rFonts w:ascii="Arial" w:hAnsi="Arial" w:cs="Arial"/>
          <w:noProof/>
        </w:rPr>
        <w:t>(Goodstein et al., 2012)</w:t>
      </w:r>
      <w:r>
        <w:rPr>
          <w:rFonts w:ascii="Arial" w:hAnsi="Arial" w:cs="Arial"/>
        </w:rPr>
        <w:fldChar w:fldCharType="end"/>
      </w:r>
      <w:r>
        <w:rPr>
          <w:rFonts w:ascii="Arial" w:hAnsi="Arial" w:cs="Arial"/>
        </w:rPr>
        <w:t xml:space="preserve">. Blast searches of </w:t>
      </w:r>
      <w:r>
        <w:rPr>
          <w:rFonts w:ascii="Arial" w:hAnsi="Arial" w:cs="Arial"/>
          <w:i/>
        </w:rPr>
        <w:t xml:space="preserve">K. flaccidum </w:t>
      </w:r>
      <w:r>
        <w:rPr>
          <w:rFonts w:ascii="Arial" w:hAnsi="Arial" w:cs="Arial"/>
        </w:rPr>
        <w:t xml:space="preserve">were conducted using the </w:t>
      </w:r>
      <w:r w:rsidRPr="00A77B10">
        <w:rPr>
          <w:rFonts w:ascii="Arial" w:hAnsi="Arial" w:cs="Arial"/>
          <w:i/>
        </w:rPr>
        <w:t>Klebsormidium flaccidum</w:t>
      </w:r>
      <w:r>
        <w:rPr>
          <w:rFonts w:ascii="Arial" w:hAnsi="Arial" w:cs="Arial"/>
        </w:rPr>
        <w:t xml:space="preserve"> genome project website: </w:t>
      </w:r>
      <w:hyperlink r:id="rId94" w:history="1">
        <w:r w:rsidRPr="003358F9">
          <w:rPr>
            <w:rStyle w:val="Hyperlink"/>
            <w:rFonts w:ascii="Arial" w:hAnsi="Arial" w:cs="Arial"/>
          </w:rPr>
          <w:t>http://www.plantmorphogenesis.bio.titech.ac.jp/~algae_genome_project/klebsormidium/klebsormidium_blast.html</w:t>
        </w:r>
      </w:hyperlink>
      <w:r>
        <w:rPr>
          <w:rFonts w:ascii="Arial" w:hAnsi="Arial" w:cs="Arial"/>
        </w:rPr>
        <w:t>. Amino acid alignments and the plotting of phylogenetic trees was performed using MEGA6 using similar methodologies to those detailed in the phylogenies presented in chapters 3 and 4.</w:t>
      </w:r>
      <w:r w:rsidRPr="002D7BD0">
        <w:rPr>
          <w:rFonts w:ascii="Arial" w:hAnsi="Arial" w:cs="Arial"/>
        </w:rPr>
        <w:t xml:space="preserve"> </w:t>
      </w:r>
      <w:r w:rsidRPr="00CB5A55">
        <w:rPr>
          <w:rFonts w:ascii="Arial" w:hAnsi="Arial" w:cs="Arial"/>
        </w:rPr>
        <w:t xml:space="preserve">If a gene encoded by the identified amino acid sequence was present within a </w:t>
      </w:r>
      <w:r>
        <w:rPr>
          <w:rFonts w:ascii="Arial" w:hAnsi="Arial" w:cs="Arial"/>
        </w:rPr>
        <w:t xml:space="preserve">cluster of </w:t>
      </w:r>
      <w:r w:rsidRPr="00CB5A55">
        <w:rPr>
          <w:rFonts w:ascii="Arial" w:hAnsi="Arial" w:cs="Arial"/>
        </w:rPr>
        <w:t xml:space="preserve">other stomatal lineage </w:t>
      </w:r>
      <w:r>
        <w:rPr>
          <w:rFonts w:ascii="Arial" w:hAnsi="Arial" w:cs="Arial"/>
        </w:rPr>
        <w:t xml:space="preserve">genes </w:t>
      </w:r>
      <w:r w:rsidRPr="00CB5A55">
        <w:rPr>
          <w:rFonts w:ascii="Arial" w:hAnsi="Arial" w:cs="Arial"/>
        </w:rPr>
        <w:t xml:space="preserve">then the corresponding </w:t>
      </w:r>
      <w:r>
        <w:rPr>
          <w:rFonts w:ascii="Arial" w:hAnsi="Arial" w:cs="Arial"/>
        </w:rPr>
        <w:t xml:space="preserve">entry is marked by a </w:t>
      </w:r>
      <w:r w:rsidRPr="00CB5A55">
        <w:rPr>
          <w:rFonts w:ascii="Arial" w:hAnsi="Arial" w:cs="Arial"/>
        </w:rPr>
        <w:t>green</w:t>
      </w:r>
      <w:r>
        <w:rPr>
          <w:rFonts w:ascii="Arial" w:hAnsi="Arial" w:cs="Arial"/>
        </w:rPr>
        <w:t xml:space="preserve"> YES</w:t>
      </w:r>
      <w:r w:rsidRPr="00CB5A55">
        <w:rPr>
          <w:rFonts w:ascii="Arial" w:hAnsi="Arial" w:cs="Arial"/>
        </w:rPr>
        <w:t xml:space="preserve">. If the closest related </w:t>
      </w:r>
      <w:r>
        <w:rPr>
          <w:rFonts w:ascii="Arial" w:hAnsi="Arial" w:cs="Arial"/>
        </w:rPr>
        <w:t xml:space="preserve">gene encoded by a </w:t>
      </w:r>
      <w:r w:rsidRPr="00CB5A55">
        <w:rPr>
          <w:rFonts w:ascii="Arial" w:hAnsi="Arial" w:cs="Arial"/>
        </w:rPr>
        <w:t>protein sequence was sister to a cluster of</w:t>
      </w:r>
      <w:r>
        <w:rPr>
          <w:rFonts w:ascii="Arial" w:hAnsi="Arial" w:cs="Arial"/>
        </w:rPr>
        <w:t xml:space="preserve"> stomatal lineage genes</w:t>
      </w:r>
      <w:r w:rsidRPr="00CB5A55">
        <w:rPr>
          <w:rFonts w:ascii="Arial" w:hAnsi="Arial" w:cs="Arial"/>
        </w:rPr>
        <w:t xml:space="preserve"> then the corresponding </w:t>
      </w:r>
      <w:r>
        <w:rPr>
          <w:rFonts w:ascii="Arial" w:hAnsi="Arial" w:cs="Arial"/>
        </w:rPr>
        <w:t>entry is marked with an orange SISTER</w:t>
      </w:r>
      <w:r w:rsidRPr="00CB5A55">
        <w:rPr>
          <w:rFonts w:ascii="Arial" w:hAnsi="Arial" w:cs="Arial"/>
        </w:rPr>
        <w:t xml:space="preserve">. If the closest related </w:t>
      </w:r>
      <w:r>
        <w:rPr>
          <w:rFonts w:ascii="Arial" w:hAnsi="Arial" w:cs="Arial"/>
        </w:rPr>
        <w:t xml:space="preserve">gene encoded by a </w:t>
      </w:r>
      <w:r w:rsidRPr="00CB5A55">
        <w:rPr>
          <w:rFonts w:ascii="Arial" w:hAnsi="Arial" w:cs="Arial"/>
        </w:rPr>
        <w:t>protein sequence was only distantly</w:t>
      </w:r>
      <w:r>
        <w:rPr>
          <w:rFonts w:ascii="Arial" w:hAnsi="Arial" w:cs="Arial"/>
        </w:rPr>
        <w:t xml:space="preserve"> </w:t>
      </w:r>
      <w:r w:rsidRPr="00CB5A55">
        <w:rPr>
          <w:rFonts w:ascii="Arial" w:hAnsi="Arial" w:cs="Arial"/>
        </w:rPr>
        <w:t xml:space="preserve">related to the stomatal lineage gene being compared then the corresponding </w:t>
      </w:r>
      <w:r>
        <w:rPr>
          <w:rFonts w:ascii="Arial" w:hAnsi="Arial" w:cs="Arial"/>
        </w:rPr>
        <w:t>entry was</w:t>
      </w:r>
      <w:r w:rsidRPr="002D7BD0">
        <w:rPr>
          <w:rFonts w:ascii="Arial" w:hAnsi="Arial" w:cs="Arial"/>
        </w:rPr>
        <w:t xml:space="preserve"> </w:t>
      </w:r>
      <w:r>
        <w:rPr>
          <w:rFonts w:ascii="Arial" w:hAnsi="Arial" w:cs="Arial"/>
        </w:rPr>
        <w:t>marked with a red DISTANT</w:t>
      </w:r>
      <w:r w:rsidRPr="00CB5A55">
        <w:rPr>
          <w:rFonts w:ascii="Arial" w:hAnsi="Arial" w:cs="Arial"/>
        </w:rPr>
        <w:t>. If no genes were detected a NO is listed.</w:t>
      </w:r>
      <w:r>
        <w:rPr>
          <w:rFonts w:ascii="Arial" w:eastAsia="Times New Roman" w:hAnsi="Arial" w:cs="Arial"/>
          <w:bCs/>
          <w:color w:val="000000"/>
        </w:rPr>
        <w:t xml:space="preserve"> </w:t>
      </w:r>
      <w:r>
        <w:rPr>
          <w:rFonts w:ascii="Arial" w:hAnsi="Arial" w:cs="Arial"/>
        </w:rPr>
        <w:t>Question marks imply currently unknown. Starred entry requires more complete sequence to confirm.</w:t>
      </w:r>
      <w:r w:rsidRPr="00D02EE6">
        <w:rPr>
          <w:rFonts w:ascii="Arial" w:hAnsi="Arial" w:cs="Arial"/>
        </w:rPr>
        <w:t xml:space="preserve"> </w:t>
      </w:r>
      <w:r>
        <w:rPr>
          <w:rFonts w:ascii="Arial" w:hAnsi="Arial" w:cs="Arial"/>
        </w:rPr>
        <w:t xml:space="preserve">The amino acid sequence most similar to </w:t>
      </w:r>
      <w:r>
        <w:rPr>
          <w:rFonts w:ascii="Arial" w:hAnsi="Arial" w:cs="Arial"/>
          <w:i/>
        </w:rPr>
        <w:t xml:space="preserve">TMM </w:t>
      </w:r>
      <w:r w:rsidRPr="00ED5522">
        <w:rPr>
          <w:rFonts w:ascii="Arial" w:hAnsi="Arial" w:cs="Arial"/>
        </w:rPr>
        <w:t>and</w:t>
      </w:r>
      <w:r>
        <w:rPr>
          <w:rFonts w:ascii="Arial" w:hAnsi="Arial" w:cs="Arial"/>
          <w:i/>
        </w:rPr>
        <w:t xml:space="preserve"> SCRM </w:t>
      </w:r>
      <w:r>
        <w:rPr>
          <w:rFonts w:ascii="Arial" w:hAnsi="Arial" w:cs="Arial"/>
        </w:rPr>
        <w:t xml:space="preserve">sequences in </w:t>
      </w:r>
      <w:r>
        <w:rPr>
          <w:rFonts w:ascii="Arial" w:hAnsi="Arial" w:cs="Arial"/>
          <w:i/>
        </w:rPr>
        <w:t xml:space="preserve">A. punctatos </w:t>
      </w:r>
      <w:r>
        <w:rPr>
          <w:rFonts w:ascii="Arial" w:hAnsi="Arial" w:cs="Arial"/>
        </w:rPr>
        <w:t xml:space="preserve">are included in appendix 1. For </w:t>
      </w:r>
      <w:r>
        <w:rPr>
          <w:rFonts w:ascii="Arial" w:hAnsi="Arial" w:cs="Arial"/>
          <w:i/>
        </w:rPr>
        <w:t>C. reinhardtii</w:t>
      </w:r>
      <w:r>
        <w:rPr>
          <w:rFonts w:ascii="Arial" w:hAnsi="Arial" w:cs="Arial"/>
        </w:rPr>
        <w:t xml:space="preserve">, </w:t>
      </w:r>
      <w:r w:rsidRPr="00ED5522">
        <w:rPr>
          <w:rFonts w:ascii="Arial" w:hAnsi="Arial" w:cs="Arial"/>
        </w:rPr>
        <w:t>K</w:t>
      </w:r>
      <w:r>
        <w:rPr>
          <w:rFonts w:ascii="Arial" w:hAnsi="Arial" w:cs="Arial"/>
          <w:i/>
        </w:rPr>
        <w:t xml:space="preserve">. flaccidum </w:t>
      </w:r>
      <w:r>
        <w:rPr>
          <w:rFonts w:ascii="Arial" w:hAnsi="Arial" w:cs="Arial"/>
        </w:rPr>
        <w:t xml:space="preserve">and </w:t>
      </w:r>
      <w:r>
        <w:rPr>
          <w:rFonts w:ascii="Arial" w:hAnsi="Arial" w:cs="Arial"/>
          <w:i/>
        </w:rPr>
        <w:t>M. polymorpha</w:t>
      </w:r>
      <w:r>
        <w:rPr>
          <w:rFonts w:ascii="Arial" w:hAnsi="Arial" w:cs="Arial"/>
        </w:rPr>
        <w:t>,</w:t>
      </w:r>
      <w:r>
        <w:rPr>
          <w:rFonts w:ascii="Arial" w:hAnsi="Arial" w:cs="Arial"/>
          <w:i/>
        </w:rPr>
        <w:t xml:space="preserve"> </w:t>
      </w:r>
      <w:r>
        <w:rPr>
          <w:rFonts w:ascii="Arial" w:hAnsi="Arial" w:cs="Arial"/>
        </w:rPr>
        <w:t>the amino acid identifiers for the closest gene(s) to the stomatal lineage genes analysed are listed in appendix 2.</w:t>
      </w:r>
    </w:p>
    <w:p w14:paraId="0749168D" w14:textId="77777777" w:rsidR="006C37DC" w:rsidRPr="00A82647" w:rsidRDefault="006C37DC" w:rsidP="006C37DC">
      <w:pPr>
        <w:spacing w:line="360" w:lineRule="auto"/>
        <w:rPr>
          <w:rFonts w:ascii="Arial" w:hAnsi="Arial" w:cs="Arial"/>
        </w:rPr>
      </w:pPr>
      <w:r>
        <w:rPr>
          <w:rFonts w:ascii="Arial" w:hAnsi="Arial" w:cs="Arial"/>
        </w:rPr>
        <w:t>Analyses of genes involved with stomatal development genes in the more anciently diverging algal lineages reveals that in some cases homologues also appear be present but only distantly (</w:t>
      </w:r>
      <w:r>
        <w:rPr>
          <w:rFonts w:ascii="Arial" w:hAnsi="Arial" w:cs="Arial"/>
          <w:b/>
        </w:rPr>
        <w:t>Fig. 3</w:t>
      </w:r>
      <w:r>
        <w:rPr>
          <w:rFonts w:ascii="Arial" w:hAnsi="Arial" w:cs="Arial"/>
        </w:rPr>
        <w:t xml:space="preserve">). For the Charophyte algae representative </w:t>
      </w:r>
      <w:r>
        <w:rPr>
          <w:rFonts w:ascii="Arial" w:hAnsi="Arial" w:cs="Arial"/>
          <w:i/>
        </w:rPr>
        <w:t>K</w:t>
      </w:r>
      <w:r w:rsidRPr="00171777">
        <w:rPr>
          <w:rFonts w:ascii="Arial" w:hAnsi="Arial" w:cs="Arial"/>
          <w:i/>
        </w:rPr>
        <w:t>lebsormidium flaccidum</w:t>
      </w:r>
      <w:r>
        <w:rPr>
          <w:rFonts w:ascii="Arial" w:hAnsi="Arial" w:cs="Arial"/>
        </w:rPr>
        <w:t xml:space="preserve"> homologous genes related to </w:t>
      </w:r>
      <w:r>
        <w:rPr>
          <w:rFonts w:ascii="Arial" w:hAnsi="Arial" w:cs="Arial"/>
          <w:i/>
        </w:rPr>
        <w:t xml:space="preserve">SMF, SCRM, TMM </w:t>
      </w:r>
      <w:r>
        <w:rPr>
          <w:rFonts w:ascii="Arial" w:hAnsi="Arial" w:cs="Arial"/>
        </w:rPr>
        <w:t xml:space="preserve">and </w:t>
      </w:r>
      <w:r>
        <w:rPr>
          <w:rFonts w:ascii="Arial" w:hAnsi="Arial" w:cs="Arial"/>
          <w:i/>
        </w:rPr>
        <w:t xml:space="preserve">ERECTA </w:t>
      </w:r>
      <w:r>
        <w:rPr>
          <w:rFonts w:ascii="Arial" w:hAnsi="Arial" w:cs="Arial"/>
        </w:rPr>
        <w:t xml:space="preserve">were detected. For the more anciently diverging Chlorophyte algae </w:t>
      </w:r>
      <w:r>
        <w:rPr>
          <w:rFonts w:ascii="Arial" w:hAnsi="Arial" w:cs="Arial"/>
          <w:i/>
        </w:rPr>
        <w:t xml:space="preserve">C. reinhardtti </w:t>
      </w:r>
      <w:r>
        <w:rPr>
          <w:rFonts w:ascii="Arial" w:hAnsi="Arial" w:cs="Arial"/>
        </w:rPr>
        <w:t xml:space="preserve">only distantly related </w:t>
      </w:r>
      <w:r w:rsidRPr="00811F47">
        <w:rPr>
          <w:rFonts w:ascii="Arial" w:hAnsi="Arial" w:cs="Arial"/>
          <w:i/>
        </w:rPr>
        <w:t>SCRM</w:t>
      </w:r>
      <w:r>
        <w:rPr>
          <w:rFonts w:ascii="Arial" w:hAnsi="Arial" w:cs="Arial"/>
          <w:i/>
        </w:rPr>
        <w:t xml:space="preserve"> </w:t>
      </w:r>
      <w:r>
        <w:rPr>
          <w:rFonts w:ascii="Arial" w:hAnsi="Arial" w:cs="Arial"/>
        </w:rPr>
        <w:t xml:space="preserve">and </w:t>
      </w:r>
      <w:r>
        <w:rPr>
          <w:rFonts w:ascii="Arial" w:hAnsi="Arial" w:cs="Arial"/>
          <w:i/>
        </w:rPr>
        <w:t xml:space="preserve">ERECTA </w:t>
      </w:r>
      <w:r>
        <w:rPr>
          <w:rFonts w:ascii="Arial" w:hAnsi="Arial" w:cs="Arial"/>
        </w:rPr>
        <w:t xml:space="preserve">genes appear to be present (See appendix. 2 for amino acid identifiers that were identified). It is interesting that a gene related to </w:t>
      </w:r>
      <w:r>
        <w:rPr>
          <w:rFonts w:ascii="Arial" w:hAnsi="Arial" w:cs="Arial"/>
          <w:i/>
        </w:rPr>
        <w:t xml:space="preserve">SMF </w:t>
      </w:r>
      <w:r>
        <w:rPr>
          <w:rFonts w:ascii="Arial" w:hAnsi="Arial" w:cs="Arial"/>
        </w:rPr>
        <w:t xml:space="preserve">genes was detected in </w:t>
      </w:r>
      <w:r>
        <w:rPr>
          <w:rFonts w:ascii="Arial" w:hAnsi="Arial" w:cs="Arial"/>
          <w:i/>
        </w:rPr>
        <w:t xml:space="preserve">K. flaccidum </w:t>
      </w:r>
      <w:r>
        <w:rPr>
          <w:rFonts w:ascii="Arial" w:hAnsi="Arial" w:cs="Arial"/>
        </w:rPr>
        <w:t xml:space="preserve">(and </w:t>
      </w:r>
      <w:r>
        <w:rPr>
          <w:rFonts w:ascii="Arial" w:hAnsi="Arial" w:cs="Arial"/>
          <w:i/>
        </w:rPr>
        <w:t>M. polymorpha</w:t>
      </w:r>
      <w:r>
        <w:rPr>
          <w:rFonts w:ascii="Arial" w:hAnsi="Arial" w:cs="Arial"/>
        </w:rPr>
        <w:t>)</w:t>
      </w:r>
      <w:r>
        <w:rPr>
          <w:rFonts w:ascii="Arial" w:hAnsi="Arial" w:cs="Arial"/>
          <w:i/>
        </w:rPr>
        <w:t xml:space="preserve"> </w:t>
      </w:r>
      <w:r>
        <w:rPr>
          <w:rFonts w:ascii="Arial" w:hAnsi="Arial" w:cs="Arial"/>
        </w:rPr>
        <w:t xml:space="preserve">but not </w:t>
      </w:r>
      <w:r>
        <w:rPr>
          <w:rFonts w:ascii="Arial" w:hAnsi="Arial" w:cs="Arial"/>
          <w:i/>
        </w:rPr>
        <w:t>C. reinhardtti</w:t>
      </w:r>
      <w:r>
        <w:rPr>
          <w:rFonts w:ascii="Arial" w:hAnsi="Arial" w:cs="Arial"/>
        </w:rPr>
        <w:t xml:space="preserve">. Understanding the function of this gene in both K. </w:t>
      </w:r>
      <w:r w:rsidRPr="00FB182B">
        <w:rPr>
          <w:rFonts w:ascii="Arial" w:hAnsi="Arial" w:cs="Arial"/>
          <w:i/>
        </w:rPr>
        <w:t>flaccidum</w:t>
      </w:r>
      <w:r>
        <w:rPr>
          <w:rFonts w:ascii="Arial" w:hAnsi="Arial" w:cs="Arial"/>
        </w:rPr>
        <w:t xml:space="preserve"> and M</w:t>
      </w:r>
      <w:r>
        <w:rPr>
          <w:rFonts w:ascii="Arial" w:hAnsi="Arial" w:cs="Arial"/>
          <w:i/>
        </w:rPr>
        <w:t xml:space="preserve">. polymorpha </w:t>
      </w:r>
      <w:r>
        <w:rPr>
          <w:rFonts w:ascii="Arial" w:hAnsi="Arial" w:cs="Arial"/>
        </w:rPr>
        <w:t xml:space="preserve">may well be a good first step in trying to understand the origin of genes involved with stomatal development.  </w:t>
      </w:r>
    </w:p>
    <w:p w14:paraId="19F2CAD5" w14:textId="030C3411" w:rsidR="006C37DC" w:rsidRPr="00405CE5" w:rsidRDefault="006C37DC" w:rsidP="006C37DC">
      <w:pPr>
        <w:spacing w:line="360" w:lineRule="auto"/>
        <w:rPr>
          <w:rFonts w:ascii="Arial" w:hAnsi="Arial" w:cs="Arial"/>
          <w:u w:val="single"/>
        </w:rPr>
      </w:pPr>
      <w:r w:rsidRPr="00405CE5">
        <w:rPr>
          <w:rFonts w:ascii="Arial" w:hAnsi="Arial" w:cs="Arial"/>
          <w:u w:val="single"/>
        </w:rPr>
        <w:t xml:space="preserve">6.7 Was the primary reason for the evolution of stomata to aid in gaseous exchange? </w:t>
      </w:r>
    </w:p>
    <w:p w14:paraId="125C1C48" w14:textId="77777777" w:rsidR="006C37DC" w:rsidRPr="00E71591" w:rsidRDefault="006C37DC" w:rsidP="006C37DC">
      <w:pPr>
        <w:spacing w:line="360" w:lineRule="auto"/>
        <w:rPr>
          <w:rFonts w:ascii="Arial" w:hAnsi="Arial" w:cs="Arial"/>
        </w:rPr>
      </w:pPr>
      <w:r>
        <w:rPr>
          <w:rFonts w:ascii="Arial" w:hAnsi="Arial" w:cs="Arial"/>
        </w:rPr>
        <w:t xml:space="preserve">The findings presented within this thesis illustrate that for </w:t>
      </w:r>
      <w:r>
        <w:rPr>
          <w:rFonts w:ascii="Arial" w:hAnsi="Arial" w:cs="Arial"/>
          <w:i/>
        </w:rPr>
        <w:t>P. patens</w:t>
      </w:r>
      <w:r>
        <w:rPr>
          <w:rFonts w:ascii="Arial" w:hAnsi="Arial" w:cs="Arial"/>
        </w:rPr>
        <w:t xml:space="preserve">, stomata are not absolutely essential for sporophyte development as stomata-less capsules of </w:t>
      </w:r>
      <w:r>
        <w:rPr>
          <w:rFonts w:ascii="Arial" w:hAnsi="Arial" w:cs="Arial"/>
          <w:i/>
        </w:rPr>
        <w:t xml:space="preserve">PpSMF1 </w:t>
      </w:r>
      <w:r>
        <w:rPr>
          <w:rFonts w:ascii="Arial" w:hAnsi="Arial" w:cs="Arial"/>
        </w:rPr>
        <w:t xml:space="preserve">and </w:t>
      </w:r>
      <w:r>
        <w:rPr>
          <w:rFonts w:ascii="Arial" w:hAnsi="Arial" w:cs="Arial"/>
          <w:i/>
        </w:rPr>
        <w:t xml:space="preserve">PpSCRM1 </w:t>
      </w:r>
      <w:r>
        <w:rPr>
          <w:rFonts w:ascii="Arial" w:hAnsi="Arial" w:cs="Arial"/>
        </w:rPr>
        <w:t xml:space="preserve">can still reproduce leading to many healthy offspring (chapter 3). This suggest that for this species at least that carbon acquisition via stomata is not essential for development to ensue. However, it cannot be ruled out that carbon acquisition via stomata contributes to the speed of capsule maturation and dehiscence, because in the absence of </w:t>
      </w:r>
      <w:r>
        <w:rPr>
          <w:rFonts w:ascii="Arial" w:hAnsi="Arial" w:cs="Arial"/>
        </w:rPr>
        <w:lastRenderedPageBreak/>
        <w:t xml:space="preserve">stomata capsule maturation is slowed under dry conditions (fig. 11, chapter 3). Given the results and observations of others </w:t>
      </w:r>
      <w:r>
        <w:rPr>
          <w:rFonts w:ascii="Arial" w:hAnsi="Arial" w:cs="Arial"/>
        </w:rPr>
        <w:fldChar w:fldCharType="begin">
          <w:fldData xml:space="preserve">PEVuZE5vdGU+PENpdGU+PEF1dGhvcj5EdWNrZXR0PC9BdXRob3I+PFllYXI+MjAwOTwvWWVhcj48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</w:fldData>
        </w:fldChar>
      </w:r>
      <w:r>
        <w:rPr>
          <w:rFonts w:ascii="Arial" w:hAnsi="Arial" w:cs="Arial"/>
        </w:rPr>
        <w:instrText xml:space="preserve"> ADDIN EN.CITE </w:instrText>
      </w:r>
      <w:r>
        <w:rPr>
          <w:rFonts w:ascii="Arial" w:hAnsi="Arial" w:cs="Arial"/>
        </w:rPr>
        <w:fldChar w:fldCharType="begin">
          <w:fldData xml:space="preserve">PEVuZE5vdGU+PENpdGU+PEF1dGhvcj5EdWNrZXR0PC9BdXRob3I+PFllYXI+MjAwOTwvWWVhcj48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(Duckett et al., 2009; Pressel et al., 2014)</w:t>
      </w:r>
      <w:r>
        <w:rPr>
          <w:rFonts w:ascii="Arial" w:hAnsi="Arial" w:cs="Arial"/>
        </w:rPr>
        <w:fldChar w:fldCharType="end"/>
      </w:r>
      <w:r>
        <w:rPr>
          <w:rFonts w:ascii="Arial" w:hAnsi="Arial" w:cs="Arial"/>
        </w:rPr>
        <w:t xml:space="preserve"> in combination with my own personal observations it would seem more plausible that in extant mosses the primary function of moss stomata is to enable drying to occur under dry conditions or become plugged under wet conditions, but of course this requires further study to confirm. Ultimately as the sporophytes of </w:t>
      </w:r>
      <w:r>
        <w:rPr>
          <w:rFonts w:ascii="Arial" w:hAnsi="Arial" w:cs="Arial"/>
          <w:i/>
        </w:rPr>
        <w:t xml:space="preserve">P. patens </w:t>
      </w:r>
      <w:r>
        <w:rPr>
          <w:rFonts w:ascii="Arial" w:hAnsi="Arial" w:cs="Arial"/>
        </w:rPr>
        <w:t>are reduced and this species is quite derived it is not possible to infer on a broader evolutionary scale as to what was the original function of stomata in land plants.</w:t>
      </w:r>
    </w:p>
    <w:p w14:paraId="72B5B3E5" w14:textId="2D507425" w:rsidR="006C37DC" w:rsidRPr="006C37DC" w:rsidRDefault="006C37DC" w:rsidP="006C37DC">
      <w:pPr>
        <w:spacing w:line="360" w:lineRule="auto"/>
        <w:rPr>
          <w:rFonts w:ascii="Arial" w:hAnsi="Arial" w:cs="Arial"/>
          <w:b/>
          <w:u w:val="single"/>
        </w:rPr>
      </w:pPr>
      <w:r w:rsidRPr="006C37DC">
        <w:rPr>
          <w:rFonts w:ascii="Arial" w:hAnsi="Arial" w:cs="Arial"/>
          <w:b/>
          <w:u w:val="single"/>
        </w:rPr>
        <w:t>6.8 Conclusions</w:t>
      </w:r>
    </w:p>
    <w:p w14:paraId="3FC34BCE" w14:textId="75A14597" w:rsidR="006C37DC" w:rsidRDefault="006C37DC" w:rsidP="006C37DC">
      <w:pPr>
        <w:spacing w:line="360" w:lineRule="auto"/>
        <w:rPr>
          <w:rFonts w:ascii="Arial" w:hAnsi="Arial" w:cs="Arial"/>
        </w:rPr>
      </w:pPr>
      <w:r>
        <w:rPr>
          <w:rFonts w:ascii="Arial" w:hAnsi="Arial" w:cs="Arial"/>
        </w:rPr>
        <w:t xml:space="preserve">The model organism and moss </w:t>
      </w:r>
      <w:r>
        <w:rPr>
          <w:rFonts w:ascii="Arial" w:hAnsi="Arial" w:cs="Arial"/>
          <w:i/>
        </w:rPr>
        <w:t xml:space="preserve">P. patens </w:t>
      </w:r>
      <w:r>
        <w:rPr>
          <w:rFonts w:ascii="Arial" w:hAnsi="Arial" w:cs="Arial"/>
        </w:rPr>
        <w:t xml:space="preserve">represents a key species in relation to the understanding of stomatal evolution given its standing in land plant phylogeny. In relation to the stomatal function in </w:t>
      </w:r>
      <w:r>
        <w:rPr>
          <w:rFonts w:ascii="Arial" w:hAnsi="Arial" w:cs="Arial"/>
          <w:i/>
        </w:rPr>
        <w:t>P. patens</w:t>
      </w:r>
      <w:r>
        <w:rPr>
          <w:rFonts w:ascii="Arial" w:hAnsi="Arial" w:cs="Arial"/>
        </w:rPr>
        <w:t>,</w:t>
      </w:r>
      <w:r>
        <w:rPr>
          <w:rFonts w:ascii="Arial" w:hAnsi="Arial" w:cs="Arial"/>
          <w:i/>
        </w:rPr>
        <w:t xml:space="preserve"> </w:t>
      </w:r>
      <w:r>
        <w:rPr>
          <w:rFonts w:ascii="Arial" w:hAnsi="Arial" w:cs="Arial"/>
        </w:rPr>
        <w:t>it seems stomata aid in capsule dehiscence</w:t>
      </w:r>
      <w:r w:rsidR="00131D8B">
        <w:rPr>
          <w:rFonts w:ascii="Arial" w:hAnsi="Arial" w:cs="Arial"/>
        </w:rPr>
        <w:t>,</w:t>
      </w:r>
      <w:r>
        <w:rPr>
          <w:rFonts w:ascii="Arial" w:hAnsi="Arial" w:cs="Arial"/>
        </w:rPr>
        <w:t xml:space="preserve"> but how this is achieved </w:t>
      </w:r>
      <w:r w:rsidR="00DA38AC">
        <w:rPr>
          <w:rFonts w:ascii="Arial" w:hAnsi="Arial" w:cs="Arial"/>
        </w:rPr>
        <w:t>requires further study</w:t>
      </w:r>
      <w:r>
        <w:rPr>
          <w:rFonts w:ascii="Arial" w:hAnsi="Arial" w:cs="Arial"/>
        </w:rPr>
        <w:t xml:space="preserve">. Whether </w:t>
      </w:r>
      <w:r w:rsidR="00975E86">
        <w:rPr>
          <w:rFonts w:ascii="Arial" w:hAnsi="Arial" w:cs="Arial"/>
        </w:rPr>
        <w:t xml:space="preserve">some of the </w:t>
      </w:r>
      <w:r>
        <w:rPr>
          <w:rFonts w:ascii="Arial" w:hAnsi="Arial" w:cs="Arial"/>
        </w:rPr>
        <w:t>genes involved with stomatal S and D responses to CO</w:t>
      </w:r>
      <w:r>
        <w:rPr>
          <w:rFonts w:ascii="Arial" w:hAnsi="Arial" w:cs="Arial"/>
          <w:vertAlign w:val="subscript"/>
        </w:rPr>
        <w:t>2</w:t>
      </w:r>
      <w:r>
        <w:rPr>
          <w:rFonts w:ascii="Arial" w:hAnsi="Arial" w:cs="Arial"/>
        </w:rPr>
        <w:t xml:space="preserve"> are conserved</w:t>
      </w:r>
      <w:r w:rsidR="00131D8B">
        <w:rPr>
          <w:rFonts w:ascii="Arial" w:hAnsi="Arial" w:cs="Arial"/>
        </w:rPr>
        <w:t xml:space="preserve"> between different lineages</w:t>
      </w:r>
      <w:r>
        <w:rPr>
          <w:rFonts w:ascii="Arial" w:hAnsi="Arial" w:cs="Arial"/>
        </w:rPr>
        <w:t xml:space="preserve"> remains unclear but it can be confirmed the genetic mechanisms utilised by </w:t>
      </w:r>
      <w:r>
        <w:rPr>
          <w:rFonts w:ascii="Arial" w:hAnsi="Arial" w:cs="Arial"/>
          <w:i/>
        </w:rPr>
        <w:t xml:space="preserve">P. patens </w:t>
      </w:r>
      <w:r>
        <w:rPr>
          <w:rFonts w:ascii="Arial" w:hAnsi="Arial" w:cs="Arial"/>
        </w:rPr>
        <w:t xml:space="preserve">and Arabidopsis </w:t>
      </w:r>
      <w:r w:rsidR="00DA38AC">
        <w:rPr>
          <w:rFonts w:ascii="Arial" w:hAnsi="Arial" w:cs="Arial"/>
        </w:rPr>
        <w:t>to respond to CO</w:t>
      </w:r>
      <w:r w:rsidR="00DA38AC">
        <w:rPr>
          <w:rFonts w:ascii="Arial" w:hAnsi="Arial" w:cs="Arial"/>
          <w:vertAlign w:val="subscript"/>
        </w:rPr>
        <w:t>2</w:t>
      </w:r>
      <w:r w:rsidR="00DA38AC">
        <w:rPr>
          <w:rFonts w:ascii="Arial" w:hAnsi="Arial" w:cs="Arial"/>
        </w:rPr>
        <w:t xml:space="preserve"> </w:t>
      </w:r>
      <w:r>
        <w:rPr>
          <w:rFonts w:ascii="Arial" w:hAnsi="Arial" w:cs="Arial"/>
        </w:rPr>
        <w:t xml:space="preserve">are different. From a </w:t>
      </w:r>
      <w:r w:rsidR="00DA38AC">
        <w:rPr>
          <w:rFonts w:ascii="Arial" w:hAnsi="Arial" w:cs="Arial"/>
        </w:rPr>
        <w:t>purely stomatal</w:t>
      </w:r>
      <w:r>
        <w:rPr>
          <w:rFonts w:ascii="Arial" w:hAnsi="Arial" w:cs="Arial"/>
        </w:rPr>
        <w:t xml:space="preserve"> developmental perspective it has been shown that </w:t>
      </w:r>
      <w:r>
        <w:rPr>
          <w:rFonts w:ascii="Arial" w:hAnsi="Arial" w:cs="Arial"/>
          <w:i/>
        </w:rPr>
        <w:t xml:space="preserve">P. patens </w:t>
      </w:r>
      <w:r w:rsidR="00DA38AC">
        <w:rPr>
          <w:rFonts w:ascii="Arial" w:hAnsi="Arial" w:cs="Arial"/>
        </w:rPr>
        <w:t xml:space="preserve">and Arabidopsis share a similar </w:t>
      </w:r>
      <w:r>
        <w:rPr>
          <w:rFonts w:ascii="Arial" w:hAnsi="Arial" w:cs="Arial"/>
        </w:rPr>
        <w:t>toolkit of genes to develop and pattern stomata which are directly</w:t>
      </w:r>
      <w:r w:rsidR="00DA38AC">
        <w:rPr>
          <w:rFonts w:ascii="Arial" w:hAnsi="Arial" w:cs="Arial"/>
        </w:rPr>
        <w:t xml:space="preserve"> derived</w:t>
      </w:r>
      <w:r>
        <w:rPr>
          <w:rFonts w:ascii="Arial" w:hAnsi="Arial" w:cs="Arial"/>
        </w:rPr>
        <w:t xml:space="preserve"> from genes used </w:t>
      </w:r>
      <w:r w:rsidR="00DA38AC">
        <w:rPr>
          <w:rFonts w:ascii="Arial" w:hAnsi="Arial" w:cs="Arial"/>
        </w:rPr>
        <w:t>by ancestral plants</w:t>
      </w:r>
      <w:r w:rsidR="00131D8B">
        <w:rPr>
          <w:rFonts w:ascii="Arial" w:hAnsi="Arial" w:cs="Arial"/>
        </w:rPr>
        <w:t>,</w:t>
      </w:r>
      <w:r w:rsidR="00DA38AC">
        <w:rPr>
          <w:rFonts w:ascii="Arial" w:hAnsi="Arial" w:cs="Arial"/>
        </w:rPr>
        <w:t xml:space="preserve"> possibly as far back as </w:t>
      </w:r>
      <w:r w:rsidR="00975E86">
        <w:rPr>
          <w:rFonts w:ascii="Arial" w:hAnsi="Arial" w:cs="Arial"/>
        </w:rPr>
        <w:t xml:space="preserve">450 million years </w:t>
      </w:r>
      <w:r w:rsidR="00DA38AC">
        <w:rPr>
          <w:rFonts w:ascii="Arial" w:hAnsi="Arial" w:cs="Arial"/>
        </w:rPr>
        <w:t xml:space="preserve">ago </w:t>
      </w:r>
      <w:r>
        <w:rPr>
          <w:rFonts w:ascii="Arial" w:hAnsi="Arial" w:cs="Arial"/>
        </w:rPr>
        <w:fldChar w:fldCharType="begin">
          <w:fldData xml:space="preserve">PEVuZE5vdGU+PENpdGU+PEF1dGhvcj5DaGF0ZXI8L0F1dGhvcj48WWVhcj4yMDEzPC9ZZWFyPjxJ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</w:fldData>
        </w:fldChar>
      </w:r>
      <w:r w:rsidR="00DA38AC">
        <w:rPr>
          <w:rFonts w:ascii="Arial" w:hAnsi="Arial" w:cs="Arial"/>
        </w:rPr>
        <w:instrText xml:space="preserve"> ADDIN EN.CITE </w:instrText>
      </w:r>
      <w:r w:rsidR="00DA38AC">
        <w:rPr>
          <w:rFonts w:ascii="Arial" w:hAnsi="Arial" w:cs="Arial"/>
        </w:rPr>
        <w:fldChar w:fldCharType="begin">
          <w:fldData xml:space="preserve">PEVuZE5vdGU+PENpdGU+PEF1dGhvcj5DaGF0ZXI8L0F1dGhvcj48WWVhcj4yMDEzPC9ZZWFyPjxJ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</w:fldData>
        </w:fldChar>
      </w:r>
      <w:r w:rsidR="00DA38AC">
        <w:rPr>
          <w:rFonts w:ascii="Arial" w:hAnsi="Arial" w:cs="Arial"/>
        </w:rPr>
        <w:instrText xml:space="preserve"> ADDIN EN.CITE.DATA </w:instrText>
      </w:r>
      <w:r w:rsidR="00DA38AC">
        <w:rPr>
          <w:rFonts w:ascii="Arial" w:hAnsi="Arial" w:cs="Arial"/>
        </w:rPr>
      </w:r>
      <w:r w:rsidR="00DA38AC">
        <w:rPr>
          <w:rFonts w:ascii="Arial" w:hAnsi="Arial" w:cs="Arial"/>
        </w:rPr>
        <w:fldChar w:fldCharType="end"/>
      </w:r>
      <w:r>
        <w:rPr>
          <w:rFonts w:ascii="Arial" w:hAnsi="Arial" w:cs="Arial"/>
        </w:rPr>
      </w:r>
      <w:r>
        <w:rPr>
          <w:rFonts w:ascii="Arial" w:hAnsi="Arial" w:cs="Arial"/>
        </w:rPr>
        <w:fldChar w:fldCharType="separate"/>
      </w:r>
      <w:r w:rsidR="00DA38AC">
        <w:rPr>
          <w:rFonts w:ascii="Arial" w:hAnsi="Arial" w:cs="Arial"/>
          <w:noProof/>
        </w:rPr>
        <w:t>(Caine et al., 2016; Chater et al., 2013; Chater et al., 2016)</w:t>
      </w:r>
      <w:r>
        <w:rPr>
          <w:rFonts w:ascii="Arial" w:hAnsi="Arial" w:cs="Arial"/>
        </w:rPr>
        <w:fldChar w:fldCharType="end"/>
      </w:r>
      <w:r>
        <w:rPr>
          <w:rFonts w:ascii="Arial" w:hAnsi="Arial" w:cs="Arial"/>
        </w:rPr>
        <w:t xml:space="preserve">. </w:t>
      </w:r>
      <w:r w:rsidR="00975E86">
        <w:rPr>
          <w:rFonts w:ascii="Arial" w:hAnsi="Arial" w:cs="Arial"/>
        </w:rPr>
        <w:t>It would seem that over evolutionary time, a</w:t>
      </w:r>
      <w:r w:rsidR="00131D8B">
        <w:rPr>
          <w:rFonts w:ascii="Arial" w:hAnsi="Arial" w:cs="Arial"/>
        </w:rPr>
        <w:t xml:space="preserve"> core set of stomatal genes arose, which have been </w:t>
      </w:r>
      <w:r w:rsidR="00975E86">
        <w:rPr>
          <w:rFonts w:ascii="Arial" w:hAnsi="Arial" w:cs="Arial"/>
        </w:rPr>
        <w:t xml:space="preserve">duplicated and modified </w:t>
      </w:r>
      <w:r w:rsidR="00131D8B">
        <w:rPr>
          <w:rFonts w:ascii="Arial" w:hAnsi="Arial" w:cs="Arial"/>
        </w:rPr>
        <w:t xml:space="preserve">culminating in the diverse </w:t>
      </w:r>
      <w:r w:rsidR="00405CE5">
        <w:rPr>
          <w:rFonts w:ascii="Arial" w:hAnsi="Arial" w:cs="Arial"/>
        </w:rPr>
        <w:t>stomatal developmental ontogeny</w:t>
      </w:r>
      <w:r>
        <w:rPr>
          <w:rFonts w:ascii="Arial" w:hAnsi="Arial" w:cs="Arial"/>
        </w:rPr>
        <w:t xml:space="preserve"> </w:t>
      </w:r>
      <w:r w:rsidR="00131D8B">
        <w:rPr>
          <w:rFonts w:ascii="Arial" w:hAnsi="Arial" w:cs="Arial"/>
        </w:rPr>
        <w:t xml:space="preserve">we observe on the on the plants of today </w:t>
      </w:r>
      <w:r>
        <w:rPr>
          <w:rFonts w:ascii="Arial" w:hAnsi="Arial" w:cs="Arial"/>
        </w:rPr>
        <w:fldChar w:fldCharType="begin">
          <w:fldData xml:space="preserve">PEVuZE5vdGU+PENpdGU+PEF1dGhvcj5EYXZpZXM8L0F1dGhvcj48WWVhcj4yMDE0PC9ZZWFyPjxJ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</w:fldData>
        </w:fldChar>
      </w:r>
      <w:r w:rsidR="00DA38AC">
        <w:rPr>
          <w:rFonts w:ascii="Arial" w:hAnsi="Arial" w:cs="Arial"/>
        </w:rPr>
        <w:instrText xml:space="preserve"> ADDIN EN.CITE </w:instrText>
      </w:r>
      <w:r w:rsidR="00DA38AC">
        <w:rPr>
          <w:rFonts w:ascii="Arial" w:hAnsi="Arial" w:cs="Arial"/>
        </w:rPr>
        <w:fldChar w:fldCharType="begin">
          <w:fldData xml:space="preserve">PEVuZE5vdGU+PENpdGU+PEF1dGhvcj5EYXZpZXM8L0F1dGhvcj48WWVhcj4yMDE0PC9ZZWFyPjxJ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</w:fldData>
        </w:fldChar>
      </w:r>
      <w:r w:rsidR="00DA38AC">
        <w:rPr>
          <w:rFonts w:ascii="Arial" w:hAnsi="Arial" w:cs="Arial"/>
        </w:rPr>
        <w:instrText xml:space="preserve"> ADDIN EN.CITE.DATA </w:instrText>
      </w:r>
      <w:r w:rsidR="00DA38AC">
        <w:rPr>
          <w:rFonts w:ascii="Arial" w:hAnsi="Arial" w:cs="Arial"/>
        </w:rPr>
      </w:r>
      <w:r w:rsidR="00DA38AC">
        <w:rPr>
          <w:rFonts w:ascii="Arial" w:hAnsi="Arial" w:cs="Arial"/>
        </w:rPr>
        <w:fldChar w:fldCharType="end"/>
      </w:r>
      <w:r>
        <w:rPr>
          <w:rFonts w:ascii="Arial" w:hAnsi="Arial" w:cs="Arial"/>
        </w:rPr>
      </w:r>
      <w:r>
        <w:rPr>
          <w:rFonts w:ascii="Arial" w:hAnsi="Arial" w:cs="Arial"/>
        </w:rPr>
        <w:fldChar w:fldCharType="separate"/>
      </w:r>
      <w:r w:rsidR="00DA38AC">
        <w:rPr>
          <w:rFonts w:ascii="Arial" w:hAnsi="Arial" w:cs="Arial"/>
          <w:noProof/>
        </w:rPr>
        <w:t>(Caine et al., 2016; Chater et al., 2016; Davies and Bergmann, 2014; MacAlister and Bergmann, 2011)</w:t>
      </w:r>
      <w:r>
        <w:rPr>
          <w:rFonts w:ascii="Arial" w:hAnsi="Arial" w:cs="Arial"/>
        </w:rPr>
        <w:fldChar w:fldCharType="end"/>
      </w:r>
      <w:r>
        <w:rPr>
          <w:rFonts w:ascii="Arial" w:hAnsi="Arial" w:cs="Arial"/>
        </w:rPr>
        <w:t>.</w:t>
      </w:r>
    </w:p>
    <w:p w14:paraId="4240022A" w14:textId="398F093C" w:rsidR="006C37DC" w:rsidRPr="006C04E2" w:rsidRDefault="006C37DC" w:rsidP="006C37DC">
      <w:pPr>
        <w:spacing w:after="0" w:line="360" w:lineRule="auto"/>
        <w:rPr>
          <w:rFonts w:ascii="Arial" w:hAnsi="Arial" w:cs="Arial"/>
          <w:b/>
          <w:u w:val="single"/>
        </w:rPr>
      </w:pPr>
      <w:r>
        <w:rPr>
          <w:rFonts w:ascii="Arial" w:hAnsi="Arial" w:cs="Arial"/>
          <w:b/>
          <w:u w:val="single"/>
        </w:rPr>
        <w:t xml:space="preserve">Closest </w:t>
      </w:r>
      <w:r w:rsidR="00405CE5">
        <w:rPr>
          <w:rFonts w:ascii="Arial" w:hAnsi="Arial" w:cs="Arial"/>
          <w:b/>
          <w:u w:val="single"/>
        </w:rPr>
        <w:t xml:space="preserve">predicted </w:t>
      </w:r>
      <w:r>
        <w:rPr>
          <w:rFonts w:ascii="Arial" w:hAnsi="Arial" w:cs="Arial"/>
          <w:b/>
          <w:u w:val="single"/>
        </w:rPr>
        <w:t>p</w:t>
      </w:r>
      <w:r w:rsidRPr="006C04E2">
        <w:rPr>
          <w:rFonts w:ascii="Arial" w:hAnsi="Arial" w:cs="Arial"/>
          <w:b/>
          <w:u w:val="single"/>
        </w:rPr>
        <w:t xml:space="preserve">artial ApTMM amino acid sequence </w:t>
      </w:r>
    </w:p>
    <w:p w14:paraId="2C9FE76A" w14:textId="77777777" w:rsidR="006C37DC" w:rsidRPr="006C04E2" w:rsidRDefault="006C37DC" w:rsidP="006C37DC">
      <w:pPr>
        <w:spacing w:line="360" w:lineRule="auto"/>
        <w:rPr>
          <w:rFonts w:ascii="Arial" w:eastAsia="Times New Roman" w:hAnsi="Arial" w:cs="Arial"/>
          <w:b/>
          <w:bCs/>
        </w:rPr>
      </w:pPr>
      <w:r w:rsidRPr="006C04E2">
        <w:rPr>
          <w:rFonts w:ascii="Arial" w:eastAsia="Times New Roman" w:hAnsi="Arial" w:cs="Arial"/>
          <w:b/>
          <w:bCs/>
        </w:rPr>
        <w:t>GPIPSSVGRLRRLALLDLSGNTLTGGIPDAVCGLISLQALLLGDNKFRAPLPNCIGDLASLQVLLLSNSELTGQAPRSLGRLSGLKALHLDGNQLTGVIPGELEGLRSLSELDMRNNMLTGPVPFSRSFLQQLGPRLLLQDNANLC</w:t>
      </w:r>
    </w:p>
    <w:p w14:paraId="0D7DA567" w14:textId="39FE6FF9" w:rsidR="006C37DC" w:rsidRPr="006C04E2" w:rsidRDefault="006C37DC" w:rsidP="006C37DC">
      <w:pPr>
        <w:spacing w:after="0" w:line="360" w:lineRule="auto"/>
        <w:rPr>
          <w:rFonts w:ascii="Arial" w:eastAsia="Times New Roman" w:hAnsi="Arial" w:cs="Arial"/>
          <w:b/>
          <w:bCs/>
          <w:u w:val="single"/>
        </w:rPr>
      </w:pPr>
      <w:r>
        <w:rPr>
          <w:rFonts w:ascii="Arial" w:eastAsia="Times New Roman" w:hAnsi="Arial" w:cs="Arial"/>
          <w:b/>
          <w:bCs/>
          <w:u w:val="single"/>
        </w:rPr>
        <w:t xml:space="preserve">Closest </w:t>
      </w:r>
      <w:r w:rsidR="00405CE5">
        <w:rPr>
          <w:rFonts w:ascii="Arial" w:eastAsia="Times New Roman" w:hAnsi="Arial" w:cs="Arial"/>
          <w:b/>
          <w:bCs/>
          <w:u w:val="single"/>
        </w:rPr>
        <w:t xml:space="preserve">predicted </w:t>
      </w:r>
      <w:r>
        <w:rPr>
          <w:rFonts w:ascii="Arial" w:eastAsia="Times New Roman" w:hAnsi="Arial" w:cs="Arial"/>
          <w:b/>
          <w:bCs/>
          <w:u w:val="single"/>
        </w:rPr>
        <w:t>p</w:t>
      </w:r>
      <w:r w:rsidRPr="006C04E2">
        <w:rPr>
          <w:rFonts w:ascii="Arial" w:eastAsia="Times New Roman" w:hAnsi="Arial" w:cs="Arial"/>
          <w:b/>
          <w:bCs/>
          <w:u w:val="single"/>
        </w:rPr>
        <w:t>artial ApSCRM1 amino acid sequence</w:t>
      </w:r>
    </w:p>
    <w:p w14:paraId="283F165E" w14:textId="77777777" w:rsidR="006C37DC" w:rsidRPr="006C04E2" w:rsidRDefault="006C37DC" w:rsidP="006C37DC">
      <w:pPr>
        <w:spacing w:line="360" w:lineRule="auto"/>
        <w:rPr>
          <w:rFonts w:ascii="Arial" w:eastAsia="Times New Roman" w:hAnsi="Arial" w:cs="Arial"/>
          <w:b/>
          <w:bCs/>
        </w:rPr>
      </w:pPr>
      <w:r w:rsidRPr="006C04E2">
        <w:rPr>
          <w:rFonts w:ascii="Arial" w:eastAsia="Times New Roman" w:hAnsi="Arial" w:cs="Arial"/>
          <w:b/>
          <w:bCs/>
        </w:rPr>
        <w:t>GGEKGKGKKGPPAKNLMAERRRRKKLNERLYTLRAVVPKITKMDRASILGDAIEHLRSLLQQIRDLHQEQVQVVIREGRTLNIHMFCARRPGLLLSTMRALDGLGLDVQQAVISCFNGFALDVFRAE</w:t>
      </w:r>
    </w:p>
    <w:p w14:paraId="1749E599" w14:textId="77777777" w:rsidR="006C37DC" w:rsidRDefault="006C37DC" w:rsidP="006C37DC">
      <w:pPr>
        <w:spacing w:line="360" w:lineRule="auto"/>
        <w:rPr>
          <w:rFonts w:ascii="Arial" w:eastAsia="Times New Roman" w:hAnsi="Arial" w:cs="Arial"/>
          <w:bCs/>
          <w:color w:val="000000"/>
        </w:rPr>
      </w:pPr>
      <w:r w:rsidRPr="002A605B">
        <w:rPr>
          <w:rFonts w:ascii="Arial" w:eastAsia="Times New Roman" w:hAnsi="Arial" w:cs="Arial"/>
          <w:b/>
          <w:bCs/>
          <w:color w:val="000000"/>
        </w:rPr>
        <w:t xml:space="preserve">Appendix 1. </w:t>
      </w:r>
      <w:r>
        <w:rPr>
          <w:rFonts w:ascii="Arial" w:eastAsia="Times New Roman" w:hAnsi="Arial" w:cs="Arial"/>
          <w:b/>
          <w:bCs/>
          <w:color w:val="000000"/>
        </w:rPr>
        <w:t xml:space="preserve">Partial amino acid sequences relating to the most </w:t>
      </w:r>
      <w:r w:rsidRPr="00CB5A55">
        <w:rPr>
          <w:rFonts w:ascii="Arial" w:eastAsia="Times New Roman" w:hAnsi="Arial" w:cs="Arial"/>
          <w:b/>
          <w:bCs/>
          <w:i/>
          <w:color w:val="000000"/>
        </w:rPr>
        <w:t>TMM</w:t>
      </w:r>
      <w:r>
        <w:rPr>
          <w:rFonts w:ascii="Arial" w:eastAsia="Times New Roman" w:hAnsi="Arial" w:cs="Arial"/>
          <w:b/>
          <w:bCs/>
          <w:color w:val="000000"/>
        </w:rPr>
        <w:t xml:space="preserve"> and </w:t>
      </w:r>
      <w:r w:rsidRPr="00ED5522">
        <w:rPr>
          <w:rFonts w:ascii="Arial" w:eastAsia="Times New Roman" w:hAnsi="Arial" w:cs="Arial"/>
          <w:b/>
          <w:bCs/>
          <w:i/>
          <w:color w:val="000000"/>
        </w:rPr>
        <w:t>SCRM</w:t>
      </w:r>
      <w:r>
        <w:rPr>
          <w:rFonts w:ascii="Arial" w:eastAsia="Times New Roman" w:hAnsi="Arial" w:cs="Arial"/>
          <w:b/>
          <w:bCs/>
          <w:color w:val="000000"/>
        </w:rPr>
        <w:t xml:space="preserve">-like genes in </w:t>
      </w:r>
      <w:r>
        <w:rPr>
          <w:rFonts w:ascii="Arial" w:eastAsia="Times New Roman" w:hAnsi="Arial" w:cs="Arial"/>
          <w:b/>
          <w:bCs/>
          <w:i/>
          <w:color w:val="000000"/>
        </w:rPr>
        <w:t>A. punctatos</w:t>
      </w:r>
      <w:r>
        <w:rPr>
          <w:rFonts w:ascii="Arial" w:eastAsia="Times New Roman" w:hAnsi="Arial" w:cs="Arial"/>
          <w:b/>
          <w:bCs/>
          <w:color w:val="000000"/>
        </w:rPr>
        <w:t xml:space="preserve"> highlighted in Figure 3. </w:t>
      </w:r>
      <w:r>
        <w:rPr>
          <w:rFonts w:ascii="Arial" w:eastAsia="Times New Roman" w:hAnsi="Arial" w:cs="Arial"/>
          <w:bCs/>
          <w:color w:val="000000"/>
        </w:rPr>
        <w:t xml:space="preserve">For </w:t>
      </w:r>
      <w:r>
        <w:rPr>
          <w:rFonts w:ascii="Arial" w:eastAsia="Times New Roman" w:hAnsi="Arial" w:cs="Arial"/>
          <w:bCs/>
          <w:i/>
          <w:color w:val="000000"/>
        </w:rPr>
        <w:t xml:space="preserve">ApSMF1 </w:t>
      </w:r>
      <w:r>
        <w:rPr>
          <w:rFonts w:ascii="Arial" w:eastAsia="Times New Roman" w:hAnsi="Arial" w:cs="Arial"/>
          <w:bCs/>
          <w:color w:val="000000"/>
        </w:rPr>
        <w:t xml:space="preserve">and </w:t>
      </w:r>
      <w:r>
        <w:rPr>
          <w:rFonts w:ascii="Arial" w:eastAsia="Times New Roman" w:hAnsi="Arial" w:cs="Arial"/>
          <w:bCs/>
          <w:i/>
          <w:color w:val="000000"/>
        </w:rPr>
        <w:t xml:space="preserve">ApEPF1 </w:t>
      </w:r>
      <w:r>
        <w:rPr>
          <w:rFonts w:ascii="Arial" w:eastAsia="Times New Roman" w:hAnsi="Arial" w:cs="Arial"/>
          <w:bCs/>
          <w:color w:val="000000"/>
        </w:rPr>
        <w:t>see chapters 3 and 4.</w:t>
      </w:r>
    </w:p>
    <w:p w14:paraId="08F9E312" w14:textId="77777777" w:rsidR="006C37DC" w:rsidRDefault="006C37DC" w:rsidP="006C37DC">
      <w:pPr>
        <w:spacing w:line="360" w:lineRule="auto"/>
        <w:rPr>
          <w:rFonts w:ascii="Arial" w:eastAsia="Times New Roman" w:hAnsi="Arial" w:cs="Arial"/>
          <w:bCs/>
          <w:color w:val="000000"/>
        </w:rPr>
      </w:pPr>
    </w:p>
    <w:p w14:paraId="7588DDC3" w14:textId="77777777" w:rsidR="006C37DC" w:rsidRDefault="006C37DC" w:rsidP="006C37DC">
      <w:pPr>
        <w:spacing w:line="360" w:lineRule="auto"/>
        <w:rPr>
          <w:rFonts w:ascii="Arial" w:eastAsia="Times New Roman" w:hAnsi="Arial" w:cs="Arial"/>
          <w:bCs/>
          <w:color w:val="000000"/>
        </w:rPr>
      </w:pPr>
    </w:p>
    <w:tbl>
      <w:tblPr>
        <w:tblW w:w="9260" w:type="dxa"/>
        <w:tblLook w:val="04A0" w:firstRow="1" w:lastRow="0" w:firstColumn="1" w:lastColumn="0" w:noHBand="0" w:noVBand="1"/>
      </w:tblPr>
      <w:tblGrid>
        <w:gridCol w:w="1580"/>
        <w:gridCol w:w="2180"/>
        <w:gridCol w:w="2500"/>
        <w:gridCol w:w="3000"/>
      </w:tblGrid>
      <w:tr w:rsidR="006C37DC" w:rsidRPr="006C04E2" w14:paraId="401BDE84" w14:textId="77777777" w:rsidTr="006C37DC">
        <w:trPr>
          <w:trHeight w:val="315"/>
        </w:trPr>
        <w:tc>
          <w:tcPr>
            <w:tcW w:w="1580" w:type="dxa"/>
            <w:tcBorders>
              <w:top w:val="nil"/>
              <w:left w:val="nil"/>
              <w:bottom w:val="nil"/>
              <w:right w:val="nil"/>
            </w:tcBorders>
            <w:shd w:val="clear" w:color="auto" w:fill="auto"/>
            <w:noWrap/>
            <w:vAlign w:val="bottom"/>
            <w:hideMark/>
          </w:tcPr>
          <w:p w14:paraId="1EB072D6" w14:textId="77777777" w:rsidR="006C37DC" w:rsidRPr="006C04E2" w:rsidRDefault="006C37DC" w:rsidP="006C37DC">
            <w:pPr>
              <w:spacing w:after="0" w:line="240" w:lineRule="auto"/>
              <w:rPr>
                <w:rFonts w:ascii="Times New Roman" w:eastAsia="Times New Roman" w:hAnsi="Times New Roman" w:cs="Times New Roman"/>
                <w:sz w:val="24"/>
                <w:szCs w:val="24"/>
              </w:rPr>
            </w:pPr>
          </w:p>
        </w:tc>
        <w:tc>
          <w:tcPr>
            <w:tcW w:w="2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322BEB" w14:textId="77777777" w:rsidR="006C37DC" w:rsidRPr="006C04E2" w:rsidRDefault="006C37DC" w:rsidP="006C37DC">
            <w:pPr>
              <w:spacing w:after="0" w:line="240" w:lineRule="auto"/>
              <w:jc w:val="center"/>
              <w:rPr>
                <w:rFonts w:ascii="Calibri" w:eastAsia="Times New Roman" w:hAnsi="Calibri" w:cs="Times New Roman"/>
                <w:b/>
                <w:bCs/>
                <w:color w:val="009900"/>
                <w:sz w:val="24"/>
                <w:szCs w:val="24"/>
              </w:rPr>
            </w:pPr>
            <w:r w:rsidRPr="006C04E2">
              <w:rPr>
                <w:rFonts w:ascii="Calibri" w:eastAsia="Times New Roman" w:hAnsi="Calibri" w:cs="Times New Roman"/>
                <w:b/>
                <w:bCs/>
                <w:color w:val="009900"/>
                <w:sz w:val="24"/>
                <w:szCs w:val="24"/>
              </w:rPr>
              <w:t>Chlorophyte</w:t>
            </w:r>
          </w:p>
        </w:tc>
        <w:tc>
          <w:tcPr>
            <w:tcW w:w="2500" w:type="dxa"/>
            <w:tcBorders>
              <w:top w:val="single" w:sz="4" w:space="0" w:color="auto"/>
              <w:left w:val="nil"/>
              <w:bottom w:val="single" w:sz="4" w:space="0" w:color="auto"/>
              <w:right w:val="single" w:sz="4" w:space="0" w:color="auto"/>
            </w:tcBorders>
            <w:shd w:val="clear" w:color="auto" w:fill="auto"/>
            <w:noWrap/>
            <w:vAlign w:val="center"/>
            <w:hideMark/>
          </w:tcPr>
          <w:p w14:paraId="09CBCEB6" w14:textId="77777777" w:rsidR="006C37DC" w:rsidRPr="006C04E2" w:rsidRDefault="006C37DC" w:rsidP="006C37DC">
            <w:pPr>
              <w:spacing w:after="0" w:line="240" w:lineRule="auto"/>
              <w:jc w:val="center"/>
              <w:rPr>
                <w:rFonts w:ascii="Calibri" w:eastAsia="Times New Roman" w:hAnsi="Calibri" w:cs="Times New Roman"/>
                <w:b/>
                <w:bCs/>
                <w:color w:val="009900"/>
                <w:sz w:val="24"/>
                <w:szCs w:val="24"/>
              </w:rPr>
            </w:pPr>
            <w:r w:rsidRPr="006C04E2">
              <w:rPr>
                <w:rFonts w:ascii="Calibri" w:eastAsia="Times New Roman" w:hAnsi="Calibri" w:cs="Times New Roman"/>
                <w:b/>
                <w:bCs/>
                <w:color w:val="009900"/>
                <w:sz w:val="24"/>
                <w:szCs w:val="24"/>
              </w:rPr>
              <w:t>Charophyte</w:t>
            </w:r>
          </w:p>
        </w:tc>
        <w:tc>
          <w:tcPr>
            <w:tcW w:w="3000" w:type="dxa"/>
            <w:tcBorders>
              <w:top w:val="single" w:sz="4" w:space="0" w:color="auto"/>
              <w:left w:val="nil"/>
              <w:bottom w:val="single" w:sz="4" w:space="0" w:color="auto"/>
              <w:right w:val="single" w:sz="4" w:space="0" w:color="auto"/>
            </w:tcBorders>
            <w:shd w:val="clear" w:color="auto" w:fill="auto"/>
            <w:noWrap/>
            <w:vAlign w:val="center"/>
            <w:hideMark/>
          </w:tcPr>
          <w:p w14:paraId="6AC5C4CD" w14:textId="77777777" w:rsidR="006C37DC" w:rsidRPr="006C04E2" w:rsidRDefault="006C37DC" w:rsidP="006C37DC">
            <w:pPr>
              <w:spacing w:after="0" w:line="240" w:lineRule="auto"/>
              <w:jc w:val="center"/>
              <w:rPr>
                <w:rFonts w:ascii="Calibri" w:eastAsia="Times New Roman" w:hAnsi="Calibri" w:cs="Times New Roman"/>
                <w:b/>
                <w:bCs/>
                <w:color w:val="339966"/>
                <w:sz w:val="24"/>
                <w:szCs w:val="24"/>
              </w:rPr>
            </w:pPr>
            <w:r w:rsidRPr="006C04E2">
              <w:rPr>
                <w:rFonts w:ascii="Calibri" w:eastAsia="Times New Roman" w:hAnsi="Calibri" w:cs="Times New Roman"/>
                <w:b/>
                <w:bCs/>
                <w:color w:val="339966"/>
                <w:sz w:val="24"/>
                <w:szCs w:val="24"/>
              </w:rPr>
              <w:t>Liverworts</w:t>
            </w:r>
          </w:p>
        </w:tc>
      </w:tr>
      <w:tr w:rsidR="006C37DC" w:rsidRPr="006C04E2" w14:paraId="1D5D6697" w14:textId="77777777" w:rsidTr="006C37DC">
        <w:trPr>
          <w:trHeight w:val="315"/>
        </w:trPr>
        <w:tc>
          <w:tcPr>
            <w:tcW w:w="1580" w:type="dxa"/>
            <w:tcBorders>
              <w:top w:val="nil"/>
              <w:left w:val="nil"/>
              <w:bottom w:val="nil"/>
              <w:right w:val="nil"/>
            </w:tcBorders>
            <w:shd w:val="clear" w:color="auto" w:fill="auto"/>
            <w:noWrap/>
            <w:vAlign w:val="bottom"/>
            <w:hideMark/>
          </w:tcPr>
          <w:p w14:paraId="0834331E" w14:textId="77777777" w:rsidR="006C37DC" w:rsidRPr="006C04E2" w:rsidRDefault="006C37DC" w:rsidP="006C37DC">
            <w:pPr>
              <w:spacing w:after="0" w:line="240" w:lineRule="auto"/>
              <w:jc w:val="center"/>
              <w:rPr>
                <w:rFonts w:ascii="Calibri" w:eastAsia="Times New Roman" w:hAnsi="Calibri" w:cs="Times New Roman"/>
                <w:b/>
                <w:bCs/>
                <w:color w:val="339966"/>
                <w:sz w:val="24"/>
                <w:szCs w:val="24"/>
              </w:rPr>
            </w:pPr>
          </w:p>
        </w:tc>
        <w:tc>
          <w:tcPr>
            <w:tcW w:w="2180" w:type="dxa"/>
            <w:tcBorders>
              <w:top w:val="nil"/>
              <w:left w:val="single" w:sz="4" w:space="0" w:color="auto"/>
              <w:bottom w:val="single" w:sz="4" w:space="0" w:color="auto"/>
              <w:right w:val="single" w:sz="4" w:space="0" w:color="auto"/>
            </w:tcBorders>
            <w:shd w:val="clear" w:color="auto" w:fill="auto"/>
            <w:noWrap/>
            <w:vAlign w:val="center"/>
            <w:hideMark/>
          </w:tcPr>
          <w:p w14:paraId="5599AC1C" w14:textId="77777777" w:rsidR="006C37DC" w:rsidRPr="006C04E2" w:rsidRDefault="006C37DC" w:rsidP="006C37DC">
            <w:pPr>
              <w:spacing w:after="0" w:line="240" w:lineRule="auto"/>
              <w:jc w:val="center"/>
              <w:rPr>
                <w:rFonts w:ascii="Calibri" w:eastAsia="Times New Roman" w:hAnsi="Calibri" w:cs="Times New Roman"/>
                <w:i/>
                <w:iCs/>
                <w:color w:val="009900"/>
                <w:sz w:val="24"/>
                <w:szCs w:val="24"/>
              </w:rPr>
            </w:pPr>
            <w:r w:rsidRPr="006C04E2">
              <w:rPr>
                <w:rFonts w:ascii="Calibri" w:eastAsia="Times New Roman" w:hAnsi="Calibri" w:cs="Times New Roman"/>
                <w:i/>
                <w:iCs/>
                <w:color w:val="009900"/>
                <w:sz w:val="24"/>
                <w:szCs w:val="24"/>
              </w:rPr>
              <w:t xml:space="preserve">C. </w:t>
            </w:r>
            <w:r>
              <w:rPr>
                <w:rFonts w:ascii="Calibri" w:eastAsia="Times New Roman" w:hAnsi="Calibri" w:cs="Times New Roman"/>
                <w:i/>
                <w:iCs/>
                <w:color w:val="009900"/>
                <w:sz w:val="24"/>
                <w:szCs w:val="24"/>
              </w:rPr>
              <w:t>reinhardtii</w:t>
            </w:r>
          </w:p>
        </w:tc>
        <w:tc>
          <w:tcPr>
            <w:tcW w:w="2500" w:type="dxa"/>
            <w:tcBorders>
              <w:top w:val="nil"/>
              <w:left w:val="nil"/>
              <w:bottom w:val="single" w:sz="4" w:space="0" w:color="auto"/>
              <w:right w:val="single" w:sz="4" w:space="0" w:color="auto"/>
            </w:tcBorders>
            <w:shd w:val="clear" w:color="auto" w:fill="auto"/>
            <w:noWrap/>
            <w:vAlign w:val="center"/>
            <w:hideMark/>
          </w:tcPr>
          <w:p w14:paraId="036CA071" w14:textId="77777777" w:rsidR="006C37DC" w:rsidRPr="006C04E2" w:rsidRDefault="006C37DC" w:rsidP="006C37DC">
            <w:pPr>
              <w:spacing w:after="0" w:line="240" w:lineRule="auto"/>
              <w:jc w:val="center"/>
              <w:rPr>
                <w:rFonts w:ascii="Calibri" w:eastAsia="Times New Roman" w:hAnsi="Calibri" w:cs="Times New Roman"/>
                <w:i/>
                <w:iCs/>
                <w:color w:val="009900"/>
                <w:sz w:val="24"/>
                <w:szCs w:val="24"/>
              </w:rPr>
            </w:pPr>
            <w:r w:rsidRPr="006C04E2">
              <w:rPr>
                <w:rFonts w:ascii="Calibri" w:eastAsia="Times New Roman" w:hAnsi="Calibri" w:cs="Times New Roman"/>
                <w:i/>
                <w:iCs/>
                <w:color w:val="009900"/>
                <w:sz w:val="24"/>
                <w:szCs w:val="24"/>
              </w:rPr>
              <w:t xml:space="preserve">K. flaccidum </w:t>
            </w:r>
          </w:p>
        </w:tc>
        <w:tc>
          <w:tcPr>
            <w:tcW w:w="3000" w:type="dxa"/>
            <w:tcBorders>
              <w:top w:val="nil"/>
              <w:left w:val="nil"/>
              <w:bottom w:val="single" w:sz="4" w:space="0" w:color="auto"/>
              <w:right w:val="single" w:sz="4" w:space="0" w:color="auto"/>
            </w:tcBorders>
            <w:shd w:val="clear" w:color="auto" w:fill="auto"/>
            <w:noWrap/>
            <w:vAlign w:val="center"/>
            <w:hideMark/>
          </w:tcPr>
          <w:p w14:paraId="7953C299" w14:textId="77777777" w:rsidR="006C37DC" w:rsidRPr="006C04E2" w:rsidRDefault="006C37DC" w:rsidP="006C37DC">
            <w:pPr>
              <w:spacing w:after="0" w:line="240" w:lineRule="auto"/>
              <w:jc w:val="center"/>
              <w:rPr>
                <w:rFonts w:ascii="Calibri" w:eastAsia="Times New Roman" w:hAnsi="Calibri" w:cs="Times New Roman"/>
                <w:i/>
                <w:iCs/>
                <w:color w:val="339966"/>
                <w:sz w:val="24"/>
                <w:szCs w:val="24"/>
              </w:rPr>
            </w:pPr>
            <w:r w:rsidRPr="006C04E2">
              <w:rPr>
                <w:rFonts w:ascii="Calibri" w:eastAsia="Times New Roman" w:hAnsi="Calibri" w:cs="Times New Roman"/>
                <w:i/>
                <w:iCs/>
                <w:color w:val="339966"/>
                <w:sz w:val="24"/>
                <w:szCs w:val="24"/>
              </w:rPr>
              <w:t>M. polymorpha</w:t>
            </w:r>
          </w:p>
        </w:tc>
      </w:tr>
      <w:tr w:rsidR="006C37DC" w:rsidRPr="006C04E2" w14:paraId="38E74EF4" w14:textId="77777777" w:rsidTr="006C37DC">
        <w:trPr>
          <w:trHeight w:val="315"/>
        </w:trPr>
        <w:tc>
          <w:tcPr>
            <w:tcW w:w="15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55DD6" w14:textId="77777777" w:rsidR="006C37DC" w:rsidRPr="006C04E2" w:rsidRDefault="006C37DC" w:rsidP="006C37DC">
            <w:pPr>
              <w:spacing w:after="0" w:line="240" w:lineRule="auto"/>
              <w:jc w:val="center"/>
              <w:rPr>
                <w:rFonts w:ascii="Calibri" w:eastAsia="Times New Roman" w:hAnsi="Calibri" w:cs="Times New Roman"/>
                <w:b/>
                <w:bCs/>
                <w:i/>
                <w:iCs/>
                <w:color w:val="000000"/>
                <w:sz w:val="24"/>
                <w:szCs w:val="24"/>
              </w:rPr>
            </w:pPr>
            <w:r w:rsidRPr="006C04E2">
              <w:rPr>
                <w:rFonts w:ascii="Calibri" w:eastAsia="Times New Roman" w:hAnsi="Calibri" w:cs="Times New Roman"/>
                <w:b/>
                <w:bCs/>
                <w:i/>
                <w:iCs/>
                <w:color w:val="000000"/>
                <w:sz w:val="24"/>
                <w:szCs w:val="24"/>
              </w:rPr>
              <w:t>SMF</w:t>
            </w:r>
          </w:p>
        </w:tc>
        <w:tc>
          <w:tcPr>
            <w:tcW w:w="2180" w:type="dxa"/>
            <w:tcBorders>
              <w:top w:val="nil"/>
              <w:left w:val="nil"/>
              <w:bottom w:val="single" w:sz="4" w:space="0" w:color="auto"/>
              <w:right w:val="single" w:sz="4" w:space="0" w:color="auto"/>
            </w:tcBorders>
            <w:shd w:val="clear" w:color="auto" w:fill="auto"/>
            <w:vAlign w:val="center"/>
            <w:hideMark/>
          </w:tcPr>
          <w:p w14:paraId="515DB04F" w14:textId="77777777" w:rsidR="006C37DC" w:rsidRPr="006C04E2" w:rsidRDefault="006C37DC" w:rsidP="006C37DC">
            <w:pPr>
              <w:spacing w:after="0" w:line="240" w:lineRule="auto"/>
              <w:jc w:val="center"/>
              <w:rPr>
                <w:rFonts w:ascii="Calibri" w:eastAsia="Times New Roman" w:hAnsi="Calibri" w:cs="Times New Roman"/>
                <w:b/>
                <w:bCs/>
                <w:color w:val="000000"/>
                <w:sz w:val="24"/>
                <w:szCs w:val="24"/>
              </w:rPr>
            </w:pPr>
            <w:r w:rsidRPr="006C04E2">
              <w:rPr>
                <w:rFonts w:ascii="Calibri" w:eastAsia="Times New Roman" w:hAnsi="Calibri" w:cs="Times New Roman"/>
                <w:b/>
                <w:bCs/>
                <w:color w:val="000000"/>
                <w:sz w:val="24"/>
                <w:szCs w:val="24"/>
              </w:rPr>
              <w:t>NO</w:t>
            </w:r>
          </w:p>
        </w:tc>
        <w:tc>
          <w:tcPr>
            <w:tcW w:w="2500" w:type="dxa"/>
            <w:tcBorders>
              <w:top w:val="nil"/>
              <w:left w:val="nil"/>
              <w:bottom w:val="single" w:sz="4" w:space="0" w:color="auto"/>
              <w:right w:val="single" w:sz="4" w:space="0" w:color="auto"/>
            </w:tcBorders>
            <w:shd w:val="clear" w:color="auto" w:fill="auto"/>
            <w:vAlign w:val="center"/>
            <w:hideMark/>
          </w:tcPr>
          <w:p w14:paraId="1241B12D" w14:textId="77777777" w:rsidR="006C37DC" w:rsidRPr="006C04E2" w:rsidRDefault="006C37DC" w:rsidP="006C37DC">
            <w:pPr>
              <w:spacing w:after="0" w:line="240" w:lineRule="auto"/>
              <w:jc w:val="center"/>
              <w:rPr>
                <w:rFonts w:ascii="Calibri" w:eastAsia="Times New Roman" w:hAnsi="Calibri" w:cs="Times New Roman"/>
                <w:b/>
                <w:bCs/>
                <w:color w:val="FF0000"/>
                <w:sz w:val="24"/>
                <w:szCs w:val="24"/>
              </w:rPr>
            </w:pPr>
            <w:r w:rsidRPr="006C04E2">
              <w:rPr>
                <w:rFonts w:ascii="Calibri" w:eastAsia="Times New Roman" w:hAnsi="Calibri" w:cs="Times New Roman"/>
                <w:b/>
                <w:bCs/>
                <w:color w:val="FF0000"/>
                <w:sz w:val="24"/>
                <w:szCs w:val="24"/>
              </w:rPr>
              <w:t>kfl00066_0170_v1.1</w:t>
            </w:r>
          </w:p>
        </w:tc>
        <w:tc>
          <w:tcPr>
            <w:tcW w:w="3000" w:type="dxa"/>
            <w:tcBorders>
              <w:top w:val="nil"/>
              <w:left w:val="nil"/>
              <w:bottom w:val="single" w:sz="4" w:space="0" w:color="auto"/>
              <w:right w:val="single" w:sz="4" w:space="0" w:color="auto"/>
            </w:tcBorders>
            <w:shd w:val="clear" w:color="auto" w:fill="auto"/>
            <w:vAlign w:val="center"/>
            <w:hideMark/>
          </w:tcPr>
          <w:p w14:paraId="7D36C317" w14:textId="77777777" w:rsidR="006C37DC" w:rsidRPr="006C04E2" w:rsidRDefault="006C37DC" w:rsidP="006C37DC">
            <w:pPr>
              <w:spacing w:after="0" w:line="240" w:lineRule="auto"/>
              <w:jc w:val="center"/>
              <w:rPr>
                <w:rFonts w:ascii="Calibri" w:eastAsia="Times New Roman" w:hAnsi="Calibri" w:cs="Times New Roman"/>
                <w:b/>
                <w:bCs/>
                <w:color w:val="FF0000"/>
                <w:sz w:val="24"/>
                <w:szCs w:val="24"/>
              </w:rPr>
            </w:pPr>
            <w:r w:rsidRPr="006C04E2">
              <w:rPr>
                <w:rFonts w:ascii="Calibri" w:eastAsia="Times New Roman" w:hAnsi="Calibri" w:cs="Times New Roman"/>
                <w:b/>
                <w:bCs/>
                <w:color w:val="FF0000"/>
                <w:sz w:val="24"/>
                <w:szCs w:val="24"/>
              </w:rPr>
              <w:t>Mapoly0031s0072.1</w:t>
            </w:r>
          </w:p>
        </w:tc>
      </w:tr>
      <w:tr w:rsidR="006C37DC" w:rsidRPr="006C04E2" w14:paraId="17189AE6" w14:textId="77777777" w:rsidTr="006C37DC">
        <w:trPr>
          <w:trHeight w:val="630"/>
        </w:trPr>
        <w:tc>
          <w:tcPr>
            <w:tcW w:w="1580" w:type="dxa"/>
            <w:tcBorders>
              <w:top w:val="nil"/>
              <w:left w:val="single" w:sz="4" w:space="0" w:color="auto"/>
              <w:bottom w:val="single" w:sz="4" w:space="0" w:color="auto"/>
              <w:right w:val="single" w:sz="4" w:space="0" w:color="auto"/>
            </w:tcBorders>
            <w:shd w:val="clear" w:color="auto" w:fill="auto"/>
            <w:vAlign w:val="center"/>
            <w:hideMark/>
          </w:tcPr>
          <w:p w14:paraId="1CCCBB63" w14:textId="77777777" w:rsidR="006C37DC" w:rsidRPr="006C04E2" w:rsidRDefault="006C37DC" w:rsidP="006C37DC">
            <w:pPr>
              <w:spacing w:after="0" w:line="240" w:lineRule="auto"/>
              <w:jc w:val="center"/>
              <w:rPr>
                <w:rFonts w:ascii="Calibri" w:eastAsia="Times New Roman" w:hAnsi="Calibri" w:cs="Times New Roman"/>
                <w:b/>
                <w:bCs/>
                <w:i/>
                <w:iCs/>
                <w:color w:val="000000"/>
                <w:sz w:val="24"/>
                <w:szCs w:val="24"/>
              </w:rPr>
            </w:pPr>
            <w:r w:rsidRPr="006C04E2">
              <w:rPr>
                <w:rFonts w:ascii="Calibri" w:eastAsia="Times New Roman" w:hAnsi="Calibri" w:cs="Times New Roman"/>
                <w:b/>
                <w:bCs/>
                <w:i/>
                <w:iCs/>
                <w:color w:val="000000"/>
                <w:sz w:val="24"/>
                <w:szCs w:val="24"/>
              </w:rPr>
              <w:t>SCRM</w:t>
            </w:r>
          </w:p>
        </w:tc>
        <w:tc>
          <w:tcPr>
            <w:tcW w:w="2180" w:type="dxa"/>
            <w:tcBorders>
              <w:top w:val="nil"/>
              <w:left w:val="nil"/>
              <w:bottom w:val="single" w:sz="4" w:space="0" w:color="auto"/>
              <w:right w:val="single" w:sz="4" w:space="0" w:color="auto"/>
            </w:tcBorders>
            <w:shd w:val="clear" w:color="auto" w:fill="auto"/>
            <w:vAlign w:val="center"/>
            <w:hideMark/>
          </w:tcPr>
          <w:p w14:paraId="753D8926" w14:textId="77777777" w:rsidR="006C37DC" w:rsidRPr="006C04E2" w:rsidRDefault="006C37DC" w:rsidP="006C37DC">
            <w:pPr>
              <w:spacing w:after="0" w:line="240" w:lineRule="auto"/>
              <w:jc w:val="center"/>
              <w:rPr>
                <w:rFonts w:ascii="Calibri" w:eastAsia="Times New Roman" w:hAnsi="Calibri" w:cs="Times New Roman"/>
                <w:b/>
                <w:bCs/>
                <w:color w:val="FF0000"/>
                <w:sz w:val="24"/>
                <w:szCs w:val="24"/>
              </w:rPr>
            </w:pPr>
            <w:r w:rsidRPr="006C04E2">
              <w:rPr>
                <w:rFonts w:ascii="Calibri" w:eastAsia="Times New Roman" w:hAnsi="Calibri" w:cs="Times New Roman"/>
                <w:b/>
                <w:bCs/>
                <w:color w:val="FF0000"/>
                <w:sz w:val="24"/>
                <w:szCs w:val="24"/>
              </w:rPr>
              <w:t>cre14.g620850.t1.2</w:t>
            </w:r>
          </w:p>
        </w:tc>
        <w:tc>
          <w:tcPr>
            <w:tcW w:w="2500" w:type="dxa"/>
            <w:tcBorders>
              <w:top w:val="nil"/>
              <w:left w:val="nil"/>
              <w:bottom w:val="single" w:sz="4" w:space="0" w:color="auto"/>
              <w:right w:val="single" w:sz="4" w:space="0" w:color="auto"/>
            </w:tcBorders>
            <w:shd w:val="clear" w:color="auto" w:fill="auto"/>
            <w:vAlign w:val="center"/>
            <w:hideMark/>
          </w:tcPr>
          <w:p w14:paraId="54C35BE2" w14:textId="77777777" w:rsidR="006C37DC" w:rsidRPr="006C04E2" w:rsidRDefault="006C37DC" w:rsidP="006C37DC">
            <w:pPr>
              <w:spacing w:after="0" w:line="240" w:lineRule="auto"/>
              <w:jc w:val="center"/>
              <w:rPr>
                <w:rFonts w:ascii="Calibri" w:eastAsia="Times New Roman" w:hAnsi="Calibri" w:cs="Times New Roman"/>
                <w:b/>
                <w:bCs/>
                <w:color w:val="FF0000"/>
                <w:sz w:val="24"/>
                <w:szCs w:val="24"/>
              </w:rPr>
            </w:pPr>
            <w:r w:rsidRPr="006C04E2">
              <w:rPr>
                <w:rFonts w:ascii="Calibri" w:eastAsia="Times New Roman" w:hAnsi="Calibri" w:cs="Times New Roman"/>
                <w:b/>
                <w:bCs/>
                <w:color w:val="FF0000"/>
                <w:sz w:val="24"/>
                <w:szCs w:val="24"/>
              </w:rPr>
              <w:t>kfl00061_0230_v1.1 kfl00506_0040_v1.1</w:t>
            </w:r>
          </w:p>
        </w:tc>
        <w:tc>
          <w:tcPr>
            <w:tcW w:w="3000" w:type="dxa"/>
            <w:tcBorders>
              <w:top w:val="nil"/>
              <w:left w:val="nil"/>
              <w:bottom w:val="single" w:sz="4" w:space="0" w:color="auto"/>
              <w:right w:val="single" w:sz="4" w:space="0" w:color="auto"/>
            </w:tcBorders>
            <w:shd w:val="clear" w:color="auto" w:fill="auto"/>
            <w:vAlign w:val="center"/>
            <w:hideMark/>
          </w:tcPr>
          <w:p w14:paraId="65A8C84A" w14:textId="77777777" w:rsidR="006C37DC" w:rsidRPr="006C04E2" w:rsidRDefault="006C37DC" w:rsidP="006C37DC">
            <w:pPr>
              <w:spacing w:after="0" w:line="240" w:lineRule="auto"/>
              <w:jc w:val="center"/>
              <w:rPr>
                <w:rFonts w:ascii="Calibri" w:eastAsia="Times New Roman" w:hAnsi="Calibri" w:cs="Times New Roman"/>
                <w:b/>
                <w:bCs/>
                <w:color w:val="33CC33"/>
                <w:sz w:val="24"/>
                <w:szCs w:val="24"/>
              </w:rPr>
            </w:pPr>
            <w:r w:rsidRPr="006C04E2">
              <w:rPr>
                <w:rFonts w:ascii="Calibri" w:eastAsia="Times New Roman" w:hAnsi="Calibri" w:cs="Times New Roman"/>
                <w:b/>
                <w:bCs/>
                <w:color w:val="33CC33"/>
                <w:sz w:val="24"/>
                <w:szCs w:val="24"/>
              </w:rPr>
              <w:t>Mapoly0150s0015.1</w:t>
            </w:r>
          </w:p>
        </w:tc>
      </w:tr>
      <w:tr w:rsidR="006C37DC" w:rsidRPr="006C04E2" w14:paraId="499CC890" w14:textId="77777777" w:rsidTr="006C37DC">
        <w:trPr>
          <w:trHeight w:val="315"/>
        </w:trPr>
        <w:tc>
          <w:tcPr>
            <w:tcW w:w="1580" w:type="dxa"/>
            <w:tcBorders>
              <w:top w:val="nil"/>
              <w:left w:val="single" w:sz="4" w:space="0" w:color="auto"/>
              <w:bottom w:val="single" w:sz="4" w:space="0" w:color="auto"/>
              <w:right w:val="single" w:sz="4" w:space="0" w:color="auto"/>
            </w:tcBorders>
            <w:shd w:val="clear" w:color="auto" w:fill="auto"/>
            <w:vAlign w:val="center"/>
            <w:hideMark/>
          </w:tcPr>
          <w:p w14:paraId="25FB1F21" w14:textId="77777777" w:rsidR="006C37DC" w:rsidRPr="006C04E2" w:rsidRDefault="006C37DC" w:rsidP="006C37DC">
            <w:pPr>
              <w:spacing w:after="0" w:line="240" w:lineRule="auto"/>
              <w:jc w:val="center"/>
              <w:rPr>
                <w:rFonts w:ascii="Calibri" w:eastAsia="Times New Roman" w:hAnsi="Calibri" w:cs="Times New Roman"/>
                <w:b/>
                <w:bCs/>
                <w:i/>
                <w:iCs/>
                <w:color w:val="000000"/>
                <w:sz w:val="24"/>
                <w:szCs w:val="24"/>
              </w:rPr>
            </w:pPr>
            <w:r w:rsidRPr="006C04E2">
              <w:rPr>
                <w:rFonts w:ascii="Calibri" w:eastAsia="Times New Roman" w:hAnsi="Calibri" w:cs="Times New Roman"/>
                <w:b/>
                <w:bCs/>
                <w:i/>
                <w:iCs/>
                <w:color w:val="000000"/>
                <w:sz w:val="24"/>
                <w:szCs w:val="24"/>
              </w:rPr>
              <w:t>EPF</w:t>
            </w:r>
          </w:p>
        </w:tc>
        <w:tc>
          <w:tcPr>
            <w:tcW w:w="2180" w:type="dxa"/>
            <w:tcBorders>
              <w:top w:val="nil"/>
              <w:left w:val="nil"/>
              <w:bottom w:val="single" w:sz="4" w:space="0" w:color="auto"/>
              <w:right w:val="single" w:sz="4" w:space="0" w:color="auto"/>
            </w:tcBorders>
            <w:shd w:val="clear" w:color="auto" w:fill="auto"/>
            <w:vAlign w:val="center"/>
            <w:hideMark/>
          </w:tcPr>
          <w:p w14:paraId="2DE609F5" w14:textId="77777777" w:rsidR="006C37DC" w:rsidRPr="006C04E2" w:rsidRDefault="006C37DC" w:rsidP="006C37DC">
            <w:pPr>
              <w:spacing w:after="0" w:line="240" w:lineRule="auto"/>
              <w:jc w:val="center"/>
              <w:rPr>
                <w:rFonts w:ascii="Calibri" w:eastAsia="Times New Roman" w:hAnsi="Calibri" w:cs="Times New Roman"/>
                <w:b/>
                <w:bCs/>
                <w:color w:val="000000"/>
                <w:sz w:val="24"/>
                <w:szCs w:val="24"/>
              </w:rPr>
            </w:pPr>
            <w:r w:rsidRPr="006C04E2">
              <w:rPr>
                <w:rFonts w:ascii="Calibri" w:eastAsia="Times New Roman" w:hAnsi="Calibri" w:cs="Times New Roman"/>
                <w:b/>
                <w:bCs/>
                <w:color w:val="000000"/>
                <w:sz w:val="24"/>
                <w:szCs w:val="24"/>
              </w:rPr>
              <w:t>NO</w:t>
            </w:r>
          </w:p>
        </w:tc>
        <w:tc>
          <w:tcPr>
            <w:tcW w:w="2500" w:type="dxa"/>
            <w:tcBorders>
              <w:top w:val="nil"/>
              <w:left w:val="nil"/>
              <w:bottom w:val="single" w:sz="4" w:space="0" w:color="auto"/>
              <w:right w:val="single" w:sz="4" w:space="0" w:color="auto"/>
            </w:tcBorders>
            <w:shd w:val="clear" w:color="auto" w:fill="auto"/>
            <w:vAlign w:val="center"/>
            <w:hideMark/>
          </w:tcPr>
          <w:p w14:paraId="6D18D517" w14:textId="77777777" w:rsidR="006C37DC" w:rsidRPr="006C04E2" w:rsidRDefault="006C37DC" w:rsidP="006C37DC">
            <w:pPr>
              <w:spacing w:after="0" w:line="240" w:lineRule="auto"/>
              <w:jc w:val="center"/>
              <w:rPr>
                <w:rFonts w:ascii="Calibri" w:eastAsia="Times New Roman" w:hAnsi="Calibri" w:cs="Times New Roman"/>
                <w:b/>
                <w:bCs/>
                <w:color w:val="000000"/>
                <w:sz w:val="24"/>
                <w:szCs w:val="24"/>
              </w:rPr>
            </w:pPr>
            <w:r w:rsidRPr="006C04E2">
              <w:rPr>
                <w:rFonts w:ascii="Calibri" w:eastAsia="Times New Roman" w:hAnsi="Calibri" w:cs="Times New Roman"/>
                <w:b/>
                <w:bCs/>
                <w:color w:val="000000"/>
                <w:sz w:val="24"/>
                <w:szCs w:val="24"/>
              </w:rPr>
              <w:t>NO</w:t>
            </w:r>
          </w:p>
        </w:tc>
        <w:tc>
          <w:tcPr>
            <w:tcW w:w="3000" w:type="dxa"/>
            <w:tcBorders>
              <w:top w:val="nil"/>
              <w:left w:val="nil"/>
              <w:bottom w:val="single" w:sz="4" w:space="0" w:color="auto"/>
              <w:right w:val="single" w:sz="4" w:space="0" w:color="auto"/>
            </w:tcBorders>
            <w:shd w:val="clear" w:color="auto" w:fill="auto"/>
            <w:vAlign w:val="center"/>
            <w:hideMark/>
          </w:tcPr>
          <w:p w14:paraId="6CB3D26E" w14:textId="77777777" w:rsidR="006C37DC" w:rsidRPr="006C04E2" w:rsidRDefault="006C37DC" w:rsidP="006C37DC">
            <w:pPr>
              <w:spacing w:after="0" w:line="240" w:lineRule="auto"/>
              <w:jc w:val="center"/>
              <w:rPr>
                <w:rFonts w:ascii="Calibri" w:eastAsia="Times New Roman" w:hAnsi="Calibri" w:cs="Times New Roman"/>
                <w:b/>
                <w:bCs/>
                <w:color w:val="FF0000"/>
                <w:sz w:val="24"/>
                <w:szCs w:val="24"/>
              </w:rPr>
            </w:pPr>
            <w:r w:rsidRPr="006C04E2">
              <w:rPr>
                <w:rFonts w:ascii="Calibri" w:eastAsia="Times New Roman" w:hAnsi="Calibri" w:cs="Times New Roman"/>
                <w:b/>
                <w:bCs/>
                <w:color w:val="FF0000"/>
                <w:sz w:val="24"/>
                <w:szCs w:val="24"/>
              </w:rPr>
              <w:t>Mapoly0100s0042.1</w:t>
            </w:r>
          </w:p>
        </w:tc>
      </w:tr>
      <w:tr w:rsidR="006C37DC" w:rsidRPr="006C04E2" w14:paraId="12FB7644" w14:textId="77777777" w:rsidTr="006C37DC">
        <w:trPr>
          <w:trHeight w:val="1260"/>
        </w:trPr>
        <w:tc>
          <w:tcPr>
            <w:tcW w:w="1580" w:type="dxa"/>
            <w:tcBorders>
              <w:top w:val="nil"/>
              <w:left w:val="single" w:sz="4" w:space="0" w:color="auto"/>
              <w:bottom w:val="single" w:sz="4" w:space="0" w:color="auto"/>
              <w:right w:val="single" w:sz="4" w:space="0" w:color="auto"/>
            </w:tcBorders>
            <w:shd w:val="clear" w:color="auto" w:fill="auto"/>
            <w:vAlign w:val="center"/>
            <w:hideMark/>
          </w:tcPr>
          <w:p w14:paraId="1EC706DE" w14:textId="77777777" w:rsidR="006C37DC" w:rsidRPr="006C04E2" w:rsidRDefault="006C37DC" w:rsidP="006C37DC">
            <w:pPr>
              <w:spacing w:after="0" w:line="240" w:lineRule="auto"/>
              <w:jc w:val="center"/>
              <w:rPr>
                <w:rFonts w:ascii="Calibri" w:eastAsia="Times New Roman" w:hAnsi="Calibri" w:cs="Times New Roman"/>
                <w:b/>
                <w:bCs/>
                <w:i/>
                <w:iCs/>
                <w:color w:val="000000"/>
                <w:sz w:val="24"/>
                <w:szCs w:val="24"/>
              </w:rPr>
            </w:pPr>
            <w:r w:rsidRPr="006C04E2">
              <w:rPr>
                <w:rFonts w:ascii="Calibri" w:eastAsia="Times New Roman" w:hAnsi="Calibri" w:cs="Times New Roman"/>
                <w:b/>
                <w:bCs/>
                <w:i/>
                <w:iCs/>
                <w:color w:val="000000"/>
                <w:sz w:val="24"/>
                <w:szCs w:val="24"/>
              </w:rPr>
              <w:t>TMM</w:t>
            </w:r>
          </w:p>
        </w:tc>
        <w:tc>
          <w:tcPr>
            <w:tcW w:w="2180" w:type="dxa"/>
            <w:tcBorders>
              <w:top w:val="nil"/>
              <w:left w:val="nil"/>
              <w:bottom w:val="single" w:sz="4" w:space="0" w:color="auto"/>
              <w:right w:val="single" w:sz="4" w:space="0" w:color="auto"/>
            </w:tcBorders>
            <w:shd w:val="clear" w:color="auto" w:fill="auto"/>
            <w:vAlign w:val="center"/>
            <w:hideMark/>
          </w:tcPr>
          <w:p w14:paraId="545F4239" w14:textId="77777777" w:rsidR="006C37DC" w:rsidRPr="006C04E2" w:rsidRDefault="006C37DC" w:rsidP="006C37DC">
            <w:pPr>
              <w:spacing w:after="0" w:line="240" w:lineRule="auto"/>
              <w:jc w:val="center"/>
              <w:rPr>
                <w:rFonts w:ascii="Calibri" w:eastAsia="Times New Roman" w:hAnsi="Calibri" w:cs="Times New Roman"/>
                <w:b/>
                <w:bCs/>
                <w:color w:val="000000"/>
                <w:sz w:val="24"/>
                <w:szCs w:val="24"/>
              </w:rPr>
            </w:pPr>
            <w:r w:rsidRPr="006C04E2">
              <w:rPr>
                <w:rFonts w:ascii="Calibri" w:eastAsia="Times New Roman" w:hAnsi="Calibri" w:cs="Times New Roman"/>
                <w:b/>
                <w:bCs/>
                <w:color w:val="000000"/>
                <w:sz w:val="24"/>
                <w:szCs w:val="24"/>
              </w:rPr>
              <w:t>NO</w:t>
            </w:r>
          </w:p>
        </w:tc>
        <w:tc>
          <w:tcPr>
            <w:tcW w:w="2500" w:type="dxa"/>
            <w:tcBorders>
              <w:top w:val="nil"/>
              <w:left w:val="nil"/>
              <w:bottom w:val="single" w:sz="4" w:space="0" w:color="auto"/>
              <w:right w:val="single" w:sz="4" w:space="0" w:color="auto"/>
            </w:tcBorders>
            <w:shd w:val="clear" w:color="auto" w:fill="auto"/>
            <w:vAlign w:val="center"/>
            <w:hideMark/>
          </w:tcPr>
          <w:p w14:paraId="657C5ACC" w14:textId="77777777" w:rsidR="006C37DC" w:rsidRPr="006C04E2" w:rsidRDefault="006C37DC" w:rsidP="006C37DC">
            <w:pPr>
              <w:spacing w:after="0" w:line="240" w:lineRule="auto"/>
              <w:jc w:val="center"/>
              <w:rPr>
                <w:rFonts w:ascii="Calibri" w:eastAsia="Times New Roman" w:hAnsi="Calibri" w:cs="Times New Roman"/>
                <w:b/>
                <w:bCs/>
                <w:color w:val="FF0000"/>
                <w:sz w:val="24"/>
                <w:szCs w:val="24"/>
              </w:rPr>
            </w:pPr>
            <w:r w:rsidRPr="006C04E2">
              <w:rPr>
                <w:rFonts w:ascii="Calibri" w:eastAsia="Times New Roman" w:hAnsi="Calibri" w:cs="Times New Roman"/>
                <w:b/>
                <w:bCs/>
                <w:color w:val="FF0000"/>
                <w:sz w:val="24"/>
                <w:szCs w:val="24"/>
              </w:rPr>
              <w:t>kfl00007_0445_v1.1 kfl00652_0030_v1.1  kfl00304_0125_v1.1 kfl01060_0035_v1.1</w:t>
            </w:r>
          </w:p>
        </w:tc>
        <w:tc>
          <w:tcPr>
            <w:tcW w:w="3000" w:type="dxa"/>
            <w:tcBorders>
              <w:top w:val="nil"/>
              <w:left w:val="nil"/>
              <w:bottom w:val="single" w:sz="4" w:space="0" w:color="auto"/>
              <w:right w:val="single" w:sz="4" w:space="0" w:color="auto"/>
            </w:tcBorders>
            <w:shd w:val="clear" w:color="auto" w:fill="auto"/>
            <w:vAlign w:val="center"/>
            <w:hideMark/>
          </w:tcPr>
          <w:p w14:paraId="6EB438FF" w14:textId="77777777" w:rsidR="006C37DC" w:rsidRPr="006C04E2" w:rsidRDefault="006C37DC" w:rsidP="006C37DC">
            <w:pPr>
              <w:spacing w:after="0" w:line="240" w:lineRule="auto"/>
              <w:jc w:val="center"/>
              <w:rPr>
                <w:rFonts w:ascii="Calibri" w:eastAsia="Times New Roman" w:hAnsi="Calibri" w:cs="Times New Roman"/>
                <w:b/>
                <w:bCs/>
                <w:color w:val="FF0000"/>
                <w:sz w:val="24"/>
                <w:szCs w:val="24"/>
              </w:rPr>
            </w:pPr>
            <w:r w:rsidRPr="006C04E2">
              <w:rPr>
                <w:rFonts w:ascii="Calibri" w:eastAsia="Times New Roman" w:hAnsi="Calibri" w:cs="Times New Roman"/>
                <w:b/>
                <w:bCs/>
                <w:color w:val="FF0000"/>
                <w:sz w:val="24"/>
                <w:szCs w:val="24"/>
              </w:rPr>
              <w:t>Mapoly0066s0046.1</w:t>
            </w:r>
          </w:p>
        </w:tc>
      </w:tr>
      <w:tr w:rsidR="006C37DC" w:rsidRPr="006C04E2" w14:paraId="1DE513FA" w14:textId="77777777" w:rsidTr="006C37DC">
        <w:trPr>
          <w:trHeight w:val="630"/>
        </w:trPr>
        <w:tc>
          <w:tcPr>
            <w:tcW w:w="1580" w:type="dxa"/>
            <w:tcBorders>
              <w:top w:val="nil"/>
              <w:left w:val="single" w:sz="4" w:space="0" w:color="auto"/>
              <w:bottom w:val="single" w:sz="4" w:space="0" w:color="auto"/>
              <w:right w:val="single" w:sz="4" w:space="0" w:color="auto"/>
            </w:tcBorders>
            <w:shd w:val="clear" w:color="auto" w:fill="auto"/>
            <w:vAlign w:val="center"/>
            <w:hideMark/>
          </w:tcPr>
          <w:p w14:paraId="53F4CA45" w14:textId="77777777" w:rsidR="006C37DC" w:rsidRPr="006C04E2" w:rsidRDefault="006C37DC" w:rsidP="006C37DC">
            <w:pPr>
              <w:spacing w:after="0" w:line="240" w:lineRule="auto"/>
              <w:jc w:val="center"/>
              <w:rPr>
                <w:rFonts w:ascii="Calibri" w:eastAsia="Times New Roman" w:hAnsi="Calibri" w:cs="Times New Roman"/>
                <w:b/>
                <w:bCs/>
                <w:i/>
                <w:iCs/>
                <w:color w:val="000000"/>
                <w:sz w:val="24"/>
                <w:szCs w:val="24"/>
              </w:rPr>
            </w:pPr>
            <w:r w:rsidRPr="006C04E2">
              <w:rPr>
                <w:rFonts w:ascii="Calibri" w:eastAsia="Times New Roman" w:hAnsi="Calibri" w:cs="Times New Roman"/>
                <w:b/>
                <w:bCs/>
                <w:i/>
                <w:iCs/>
                <w:color w:val="000000"/>
                <w:sz w:val="24"/>
                <w:szCs w:val="24"/>
              </w:rPr>
              <w:t>ERECTA</w:t>
            </w:r>
          </w:p>
        </w:tc>
        <w:tc>
          <w:tcPr>
            <w:tcW w:w="2180" w:type="dxa"/>
            <w:tcBorders>
              <w:top w:val="nil"/>
              <w:left w:val="nil"/>
              <w:bottom w:val="single" w:sz="4" w:space="0" w:color="auto"/>
              <w:right w:val="single" w:sz="4" w:space="0" w:color="auto"/>
            </w:tcBorders>
            <w:shd w:val="clear" w:color="auto" w:fill="auto"/>
            <w:vAlign w:val="center"/>
            <w:hideMark/>
          </w:tcPr>
          <w:p w14:paraId="7100A26A" w14:textId="77777777" w:rsidR="006C37DC" w:rsidRPr="006C04E2" w:rsidRDefault="006C37DC" w:rsidP="006C37DC">
            <w:pPr>
              <w:spacing w:after="0" w:line="240" w:lineRule="auto"/>
              <w:jc w:val="center"/>
              <w:rPr>
                <w:rFonts w:ascii="Calibri" w:eastAsia="Times New Roman" w:hAnsi="Calibri" w:cs="Times New Roman"/>
                <w:b/>
                <w:bCs/>
                <w:color w:val="FF0000"/>
                <w:sz w:val="24"/>
                <w:szCs w:val="24"/>
              </w:rPr>
            </w:pPr>
            <w:r w:rsidRPr="006C04E2">
              <w:rPr>
                <w:rFonts w:ascii="Calibri" w:eastAsia="Times New Roman" w:hAnsi="Calibri" w:cs="Times New Roman"/>
                <w:b/>
                <w:bCs/>
                <w:color w:val="FF0000"/>
                <w:sz w:val="24"/>
                <w:szCs w:val="24"/>
              </w:rPr>
              <w:t>Cre03.g144324.t1.1 Cre12.g511950.t1.2</w:t>
            </w:r>
          </w:p>
        </w:tc>
        <w:tc>
          <w:tcPr>
            <w:tcW w:w="2500" w:type="dxa"/>
            <w:tcBorders>
              <w:top w:val="nil"/>
              <w:left w:val="nil"/>
              <w:bottom w:val="single" w:sz="4" w:space="0" w:color="auto"/>
              <w:right w:val="single" w:sz="4" w:space="0" w:color="auto"/>
            </w:tcBorders>
            <w:shd w:val="clear" w:color="auto" w:fill="auto"/>
            <w:vAlign w:val="center"/>
            <w:hideMark/>
          </w:tcPr>
          <w:p w14:paraId="4063A52F" w14:textId="77777777" w:rsidR="006C37DC" w:rsidRPr="006C04E2" w:rsidRDefault="006C37DC" w:rsidP="006C37DC">
            <w:pPr>
              <w:spacing w:after="0" w:line="240" w:lineRule="auto"/>
              <w:jc w:val="center"/>
              <w:rPr>
                <w:rFonts w:ascii="Calibri" w:eastAsia="Times New Roman" w:hAnsi="Calibri" w:cs="Times New Roman"/>
                <w:b/>
                <w:bCs/>
                <w:color w:val="FF0000"/>
                <w:sz w:val="24"/>
                <w:szCs w:val="24"/>
              </w:rPr>
            </w:pPr>
            <w:r w:rsidRPr="006C04E2">
              <w:rPr>
                <w:rFonts w:ascii="Calibri" w:eastAsia="Times New Roman" w:hAnsi="Calibri" w:cs="Times New Roman"/>
                <w:b/>
                <w:bCs/>
                <w:color w:val="FF0000"/>
                <w:sz w:val="24"/>
                <w:szCs w:val="24"/>
              </w:rPr>
              <w:t>kfl00538_0060 v1.1</w:t>
            </w:r>
          </w:p>
        </w:tc>
        <w:tc>
          <w:tcPr>
            <w:tcW w:w="3000" w:type="dxa"/>
            <w:tcBorders>
              <w:top w:val="nil"/>
              <w:left w:val="nil"/>
              <w:bottom w:val="single" w:sz="4" w:space="0" w:color="auto"/>
              <w:right w:val="single" w:sz="4" w:space="0" w:color="auto"/>
            </w:tcBorders>
            <w:shd w:val="clear" w:color="auto" w:fill="auto"/>
            <w:vAlign w:val="center"/>
            <w:hideMark/>
          </w:tcPr>
          <w:p w14:paraId="49C4CC79" w14:textId="77777777" w:rsidR="006C37DC" w:rsidRPr="006C04E2" w:rsidRDefault="006C37DC" w:rsidP="006C37DC">
            <w:pPr>
              <w:spacing w:after="0" w:line="240" w:lineRule="auto"/>
              <w:jc w:val="center"/>
              <w:rPr>
                <w:rFonts w:ascii="Calibri" w:eastAsia="Times New Roman" w:hAnsi="Calibri" w:cs="Times New Roman"/>
                <w:b/>
                <w:bCs/>
                <w:color w:val="33CC33"/>
                <w:sz w:val="24"/>
                <w:szCs w:val="24"/>
              </w:rPr>
            </w:pPr>
            <w:r w:rsidRPr="006C04E2">
              <w:rPr>
                <w:rFonts w:ascii="Calibri" w:eastAsia="Times New Roman" w:hAnsi="Calibri" w:cs="Times New Roman"/>
                <w:b/>
                <w:bCs/>
                <w:color w:val="33CC33"/>
                <w:sz w:val="24"/>
                <w:szCs w:val="24"/>
              </w:rPr>
              <w:t>Mapoly0070s0019.1</w:t>
            </w:r>
          </w:p>
        </w:tc>
      </w:tr>
    </w:tbl>
    <w:p w14:paraId="783C2560" w14:textId="77777777" w:rsidR="006C37DC" w:rsidRDefault="006C37DC" w:rsidP="006C37DC">
      <w:pPr>
        <w:spacing w:after="0" w:line="360" w:lineRule="auto"/>
        <w:rPr>
          <w:rFonts w:ascii="Arial" w:eastAsia="Times New Roman" w:hAnsi="Arial" w:cs="Arial"/>
          <w:b/>
          <w:bCs/>
          <w:color w:val="000000"/>
        </w:rPr>
      </w:pPr>
    </w:p>
    <w:p w14:paraId="3672BF9F" w14:textId="77777777" w:rsidR="006C37DC" w:rsidRPr="00CB5A55" w:rsidRDefault="006C37DC" w:rsidP="006C37DC">
      <w:pPr>
        <w:spacing w:after="0" w:line="360" w:lineRule="auto"/>
        <w:rPr>
          <w:rFonts w:ascii="Arial" w:hAnsi="Arial" w:cs="Arial"/>
        </w:rPr>
      </w:pPr>
      <w:r w:rsidRPr="00CB5A55">
        <w:rPr>
          <w:rFonts w:ascii="Arial" w:eastAsia="Times New Roman" w:hAnsi="Arial" w:cs="Arial"/>
          <w:b/>
          <w:bCs/>
          <w:color w:val="000000"/>
        </w:rPr>
        <w:t xml:space="preserve">Appendix 2. Accession identifiers for proteins in </w:t>
      </w:r>
      <w:r>
        <w:rPr>
          <w:rFonts w:ascii="Arial" w:eastAsia="Times New Roman" w:hAnsi="Arial" w:cs="Arial"/>
          <w:b/>
          <w:bCs/>
          <w:i/>
          <w:color w:val="000000"/>
        </w:rPr>
        <w:t>C. reinhardtii</w:t>
      </w:r>
      <w:r>
        <w:rPr>
          <w:rFonts w:ascii="Arial" w:eastAsia="Times New Roman" w:hAnsi="Arial" w:cs="Arial"/>
          <w:b/>
          <w:bCs/>
          <w:color w:val="000000"/>
        </w:rPr>
        <w:t xml:space="preserve">, </w:t>
      </w:r>
      <w:r w:rsidRPr="006C04E2">
        <w:rPr>
          <w:rFonts w:ascii="Arial" w:eastAsia="Times New Roman" w:hAnsi="Arial" w:cs="Arial"/>
          <w:b/>
          <w:bCs/>
          <w:i/>
          <w:color w:val="000000"/>
        </w:rPr>
        <w:t>K. flaccidum</w:t>
      </w:r>
      <w:r w:rsidRPr="00CB5A55">
        <w:rPr>
          <w:rFonts w:ascii="Arial" w:eastAsia="Times New Roman" w:hAnsi="Arial" w:cs="Arial"/>
          <w:b/>
          <w:bCs/>
          <w:i/>
          <w:color w:val="000000"/>
        </w:rPr>
        <w:t xml:space="preserve"> </w:t>
      </w:r>
      <w:r w:rsidRPr="00CB5A55">
        <w:rPr>
          <w:rFonts w:ascii="Arial" w:eastAsia="Times New Roman" w:hAnsi="Arial" w:cs="Arial"/>
          <w:b/>
          <w:bCs/>
          <w:color w:val="000000"/>
        </w:rPr>
        <w:t xml:space="preserve">and </w:t>
      </w:r>
      <w:r w:rsidRPr="00CB5A55">
        <w:rPr>
          <w:rFonts w:ascii="Arial" w:eastAsia="Times New Roman" w:hAnsi="Arial" w:cs="Arial"/>
          <w:b/>
          <w:bCs/>
          <w:i/>
          <w:color w:val="000000"/>
        </w:rPr>
        <w:t xml:space="preserve">M. polymorpha </w:t>
      </w:r>
      <w:r w:rsidRPr="00CB5A55">
        <w:rPr>
          <w:rFonts w:ascii="Arial" w:eastAsia="Times New Roman" w:hAnsi="Arial" w:cs="Arial"/>
          <w:b/>
          <w:bCs/>
          <w:color w:val="000000"/>
        </w:rPr>
        <w:t xml:space="preserve">that are the most similar to the protein coding sequences of </w:t>
      </w:r>
      <w:r w:rsidRPr="00CB5A55">
        <w:rPr>
          <w:rFonts w:ascii="Arial" w:eastAsia="Times New Roman" w:hAnsi="Arial" w:cs="Arial"/>
          <w:b/>
          <w:bCs/>
          <w:i/>
          <w:color w:val="000000"/>
        </w:rPr>
        <w:t xml:space="preserve">P. patens </w:t>
      </w:r>
      <w:r w:rsidRPr="00CB5A55">
        <w:rPr>
          <w:rFonts w:ascii="Arial" w:eastAsia="Times New Roman" w:hAnsi="Arial" w:cs="Arial"/>
          <w:b/>
          <w:bCs/>
          <w:color w:val="000000"/>
        </w:rPr>
        <w:t xml:space="preserve">genes involved with stomatal development. </w:t>
      </w:r>
      <w:r w:rsidRPr="00CB5A55">
        <w:rPr>
          <w:rFonts w:ascii="Arial" w:hAnsi="Arial" w:cs="Arial"/>
        </w:rPr>
        <w:t>If a gene encoded by the identified amino acid sequence was present within a given lineage that clusters with other stomatal lineage</w:t>
      </w:r>
      <w:r>
        <w:rPr>
          <w:rFonts w:ascii="Arial" w:hAnsi="Arial" w:cs="Arial"/>
        </w:rPr>
        <w:t xml:space="preserve"> genes</w:t>
      </w:r>
      <w:r w:rsidRPr="00CB5A55">
        <w:rPr>
          <w:rFonts w:ascii="Arial" w:hAnsi="Arial" w:cs="Arial"/>
        </w:rPr>
        <w:t xml:space="preserve"> then the corresponding protein ID is marked in green. If the closest related protein sequence that coded for a gene was only distantly(s) related to the stomatal lineage gene being compared then the corresponding protein ID is marked in red. If no genes were detected a NO is listed.</w:t>
      </w:r>
      <w:r w:rsidRPr="00CB5A55">
        <w:rPr>
          <w:rFonts w:ascii="Arial" w:eastAsia="Times New Roman" w:hAnsi="Arial" w:cs="Arial"/>
          <w:bCs/>
          <w:color w:val="000000"/>
        </w:rPr>
        <w:t xml:space="preserve">  </w:t>
      </w:r>
    </w:p>
    <w:p w14:paraId="57D83DCF" w14:textId="25C1548A" w:rsidR="003A48AB" w:rsidRDefault="003A48AB" w:rsidP="003A48AB">
      <w:pPr>
        <w:spacing w:line="360" w:lineRule="auto"/>
        <w:rPr>
          <w:rFonts w:ascii="Arial" w:hAnsi="Arial" w:cs="Arial"/>
        </w:rPr>
      </w:pPr>
    </w:p>
    <w:p w14:paraId="5020D140" w14:textId="77777777" w:rsidR="001D2DA0" w:rsidRDefault="001D2DA0">
      <w:pPr>
        <w:rPr>
          <w:rFonts w:ascii="Arial" w:hAnsi="Arial" w:cs="Arial"/>
          <w:b/>
          <w:u w:val="single"/>
        </w:rPr>
      </w:pPr>
      <w:r>
        <w:rPr>
          <w:rFonts w:ascii="Arial" w:hAnsi="Arial" w:cs="Arial"/>
          <w:b/>
          <w:u w:val="single"/>
        </w:rPr>
        <w:br w:type="page"/>
      </w:r>
    </w:p>
    <w:p w14:paraId="1DC811C8" w14:textId="6640699E" w:rsidR="008A2B4A" w:rsidRPr="008A2B4A" w:rsidRDefault="008A2B4A" w:rsidP="003A48AB">
      <w:pPr>
        <w:spacing w:line="360" w:lineRule="auto"/>
        <w:rPr>
          <w:rFonts w:ascii="Arial" w:hAnsi="Arial" w:cs="Arial"/>
          <w:b/>
          <w:u w:val="single"/>
        </w:rPr>
      </w:pPr>
      <w:r w:rsidRPr="008A2B4A">
        <w:rPr>
          <w:rFonts w:ascii="Arial" w:hAnsi="Arial" w:cs="Arial"/>
          <w:b/>
          <w:u w:val="single"/>
        </w:rPr>
        <w:lastRenderedPageBreak/>
        <w:t>References</w:t>
      </w:r>
    </w:p>
    <w:p w14:paraId="1A096120" w14:textId="77777777" w:rsidR="00476449" w:rsidRPr="00476449" w:rsidRDefault="003A48AB" w:rsidP="00476449">
      <w:pPr>
        <w:pStyle w:val="EndNoteBibliography"/>
        <w:ind w:left="720" w:hanging="720"/>
      </w:pPr>
      <w:r>
        <w:rPr>
          <w:rFonts w:ascii="Arial" w:hAnsi="Arial" w:cs="Arial"/>
          <w:u w:val="single"/>
        </w:rPr>
        <w:fldChar w:fldCharType="begin"/>
      </w:r>
      <w:r>
        <w:rPr>
          <w:rFonts w:ascii="Arial" w:hAnsi="Arial" w:cs="Arial"/>
          <w:u w:val="single"/>
        </w:rPr>
        <w:instrText xml:space="preserve"> ADDIN EN.REFLIST </w:instrText>
      </w:r>
      <w:r>
        <w:rPr>
          <w:rFonts w:ascii="Arial" w:hAnsi="Arial" w:cs="Arial"/>
          <w:u w:val="single"/>
        </w:rPr>
        <w:fldChar w:fldCharType="separate"/>
      </w:r>
      <w:r w:rsidR="00476449" w:rsidRPr="00476449">
        <w:rPr>
          <w:b/>
        </w:rPr>
        <w:t xml:space="preserve">Abrash, E. B. and Bergmann, D. C. </w:t>
      </w:r>
      <w:r w:rsidR="00476449" w:rsidRPr="00476449">
        <w:t xml:space="preserve">(2010). Regional specification of stomatal production by the putative ligand CHALLAH. </w:t>
      </w:r>
      <w:r w:rsidR="00476449" w:rsidRPr="00476449">
        <w:rPr>
          <w:i/>
        </w:rPr>
        <w:t>Development</w:t>
      </w:r>
      <w:r w:rsidR="00476449" w:rsidRPr="00476449">
        <w:t xml:space="preserve"> </w:t>
      </w:r>
      <w:r w:rsidR="00476449" w:rsidRPr="00476449">
        <w:rPr>
          <w:b/>
        </w:rPr>
        <w:t>137</w:t>
      </w:r>
      <w:r w:rsidR="00476449" w:rsidRPr="00476449">
        <w:t>, 447-455.</w:t>
      </w:r>
    </w:p>
    <w:p w14:paraId="3201910C" w14:textId="77777777" w:rsidR="00476449" w:rsidRPr="00476449" w:rsidRDefault="00476449" w:rsidP="00476449">
      <w:pPr>
        <w:pStyle w:val="EndNoteBibliography"/>
        <w:ind w:left="720" w:hanging="720"/>
      </w:pPr>
      <w:r w:rsidRPr="00476449">
        <w:rPr>
          <w:b/>
        </w:rPr>
        <w:t xml:space="preserve">Abrash, E. B., Davies, K. A. and Bergmann, D. C. </w:t>
      </w:r>
      <w:r w:rsidRPr="00476449">
        <w:t xml:space="preserve">(2011). Generation of Signaling Specificity in Arabidopsis by Spatially Restricted Buffering of Ligand-Receptor Interactions. </w:t>
      </w:r>
      <w:r w:rsidRPr="00476449">
        <w:rPr>
          <w:i/>
        </w:rPr>
        <w:t>Plant Cell</w:t>
      </w:r>
      <w:r w:rsidRPr="00476449">
        <w:t xml:space="preserve"> </w:t>
      </w:r>
      <w:r w:rsidRPr="00476449">
        <w:rPr>
          <w:b/>
        </w:rPr>
        <w:t>23</w:t>
      </w:r>
      <w:r w:rsidRPr="00476449">
        <w:t>, 2864-2879.</w:t>
      </w:r>
    </w:p>
    <w:p w14:paraId="150E320D" w14:textId="77777777" w:rsidR="00476449" w:rsidRPr="00476449" w:rsidRDefault="00476449" w:rsidP="00476449">
      <w:pPr>
        <w:pStyle w:val="EndNoteBibliography"/>
        <w:ind w:left="720" w:hanging="720"/>
      </w:pPr>
      <w:r w:rsidRPr="00476449">
        <w:rPr>
          <w:b/>
        </w:rPr>
        <w:t xml:space="preserve">Adrian, J., Chang, J., Ballenger, C. E., Bargmann, B. O., Alassimone, J., Davies, K. A., Lau, O. S., Matos, J. L., Hachez, C., Lanctot, A., et al. </w:t>
      </w:r>
      <w:r w:rsidRPr="00476449">
        <w:t xml:space="preserve">(2015). Transcriptome dynamics of the stomatal lineage: birth, amplification, and termination of a self-renewing population. </w:t>
      </w:r>
      <w:r w:rsidRPr="00476449">
        <w:rPr>
          <w:i/>
        </w:rPr>
        <w:t>Dev Cell</w:t>
      </w:r>
      <w:r w:rsidRPr="00476449">
        <w:t xml:space="preserve"> </w:t>
      </w:r>
      <w:r w:rsidRPr="00476449">
        <w:rPr>
          <w:b/>
        </w:rPr>
        <w:t>33</w:t>
      </w:r>
      <w:r w:rsidRPr="00476449">
        <w:t>, 107-118.</w:t>
      </w:r>
    </w:p>
    <w:p w14:paraId="00C9BCC0" w14:textId="77777777" w:rsidR="00476449" w:rsidRPr="00476449" w:rsidRDefault="00476449" w:rsidP="00476449">
      <w:pPr>
        <w:pStyle w:val="EndNoteBibliography"/>
        <w:ind w:left="720" w:hanging="720"/>
      </w:pPr>
      <w:r w:rsidRPr="00476449">
        <w:rPr>
          <w:b/>
        </w:rPr>
        <w:t xml:space="preserve">Andres, Z., Perez-Hormaeche, J., Leidi, E. O., Schlucking, K., Steinhorst, L., McLachlan, D. H., Schumacher, K., Hetherington, A. M., Kudla, J., Cubero, B., et al. </w:t>
      </w:r>
      <w:r w:rsidRPr="00476449">
        <w:t xml:space="preserve">(2014). Control of vacuolar dynamics and regulation of stomatal aperture by tonoplast potassium uptake. </w:t>
      </w:r>
      <w:r w:rsidRPr="00476449">
        <w:rPr>
          <w:i/>
        </w:rPr>
        <w:t>Proc Natl Acad Sci U S A</w:t>
      </w:r>
      <w:r w:rsidRPr="00476449">
        <w:t xml:space="preserve"> </w:t>
      </w:r>
      <w:r w:rsidRPr="00476449">
        <w:rPr>
          <w:b/>
        </w:rPr>
        <w:t>111</w:t>
      </w:r>
      <w:r w:rsidRPr="00476449">
        <w:t>, E1806-1814.</w:t>
      </w:r>
    </w:p>
    <w:p w14:paraId="68CA2441" w14:textId="77777777" w:rsidR="00476449" w:rsidRPr="00476449" w:rsidRDefault="00476449" w:rsidP="00476449">
      <w:pPr>
        <w:pStyle w:val="EndNoteBibliography"/>
        <w:ind w:left="720" w:hanging="720"/>
      </w:pPr>
      <w:r w:rsidRPr="00476449">
        <w:rPr>
          <w:b/>
        </w:rPr>
        <w:t xml:space="preserve">Apostolakos, P., Galatis, B. and Mitrakos, K. </w:t>
      </w:r>
      <w:r w:rsidRPr="00476449">
        <w:t xml:space="preserve">(1982). Studies on the development of the air pores and air chambers of </w:t>
      </w:r>
      <w:r w:rsidRPr="00476449">
        <w:rPr>
          <w:i/>
        </w:rPr>
        <w:t xml:space="preserve">Marchantia paleacea </w:t>
      </w:r>
      <w:r w:rsidRPr="00476449">
        <w:t xml:space="preserve">.1.Light-microscopy. </w:t>
      </w:r>
      <w:r w:rsidRPr="00476449">
        <w:rPr>
          <w:i/>
        </w:rPr>
        <w:t>Annals of Botany</w:t>
      </w:r>
      <w:r w:rsidRPr="00476449">
        <w:t xml:space="preserve"> </w:t>
      </w:r>
      <w:r w:rsidRPr="00476449">
        <w:rPr>
          <w:b/>
        </w:rPr>
        <w:t>49</w:t>
      </w:r>
      <w:r w:rsidRPr="00476449">
        <w:t>, 377-396.</w:t>
      </w:r>
    </w:p>
    <w:p w14:paraId="1187A049" w14:textId="77777777" w:rsidR="00476449" w:rsidRPr="00476449" w:rsidRDefault="00476449" w:rsidP="00476449">
      <w:pPr>
        <w:pStyle w:val="EndNoteBibliography"/>
        <w:ind w:left="720" w:hanging="720"/>
      </w:pPr>
      <w:r w:rsidRPr="00476449">
        <w:rPr>
          <w:b/>
        </w:rPr>
        <w:t xml:space="preserve">Baars, C. and Edwards, D. </w:t>
      </w:r>
      <w:r w:rsidRPr="00476449">
        <w:t xml:space="preserve">(2008). Effects of elevated atmospheric CO2 on spore capsules of the moss Leptobryum pyriforme. </w:t>
      </w:r>
      <w:r w:rsidRPr="00476449">
        <w:rPr>
          <w:i/>
        </w:rPr>
        <w:t>Journal of Bryology</w:t>
      </w:r>
      <w:r w:rsidRPr="00476449">
        <w:t xml:space="preserve"> </w:t>
      </w:r>
      <w:r w:rsidRPr="00476449">
        <w:rPr>
          <w:b/>
        </w:rPr>
        <w:t>30</w:t>
      </w:r>
      <w:r w:rsidRPr="00476449">
        <w:t>, 36-40.</w:t>
      </w:r>
    </w:p>
    <w:p w14:paraId="3CED98E6" w14:textId="77777777" w:rsidR="00476449" w:rsidRPr="00476449" w:rsidRDefault="00476449" w:rsidP="00476449">
      <w:pPr>
        <w:pStyle w:val="EndNoteBibliography"/>
        <w:ind w:left="720" w:hanging="720"/>
      </w:pPr>
      <w:r w:rsidRPr="00476449">
        <w:rPr>
          <w:b/>
        </w:rPr>
        <w:t xml:space="preserve">Banks, J. A., Nishiyama, T. and Hasebe, M. </w:t>
      </w:r>
      <w:r w:rsidRPr="00476449">
        <w:t xml:space="preserve">(2011). The Selaginella genome identifies genetic changes associated with the evolution of vascular plants. </w:t>
      </w:r>
      <w:r w:rsidRPr="00476449">
        <w:rPr>
          <w:i/>
        </w:rPr>
        <w:t>Science</w:t>
      </w:r>
      <w:r w:rsidRPr="00476449">
        <w:t xml:space="preserve"> </w:t>
      </w:r>
      <w:r w:rsidRPr="00476449">
        <w:rPr>
          <w:b/>
        </w:rPr>
        <w:t>332</w:t>
      </w:r>
      <w:r w:rsidRPr="00476449">
        <w:t>.</w:t>
      </w:r>
    </w:p>
    <w:p w14:paraId="6DA5C779" w14:textId="77777777" w:rsidR="00476449" w:rsidRPr="00476449" w:rsidRDefault="00476449" w:rsidP="00476449">
      <w:pPr>
        <w:pStyle w:val="EndNoteBibliography"/>
        <w:ind w:left="720" w:hanging="720"/>
      </w:pPr>
      <w:r w:rsidRPr="00476449">
        <w:rPr>
          <w:b/>
        </w:rPr>
        <w:t xml:space="preserve">Bargel, H., Koch, K., Cerman, Z. and Neinhuis, C. </w:t>
      </w:r>
      <w:r w:rsidRPr="00476449">
        <w:t xml:space="preserve">(2006). Structure-function relationships of the plant cuticle and cuticular waxes - a smart material? </w:t>
      </w:r>
      <w:r w:rsidRPr="00476449">
        <w:rPr>
          <w:i/>
        </w:rPr>
        <w:t>Functional Plant Biology</w:t>
      </w:r>
      <w:r w:rsidRPr="00476449">
        <w:t xml:space="preserve"> </w:t>
      </w:r>
      <w:r w:rsidRPr="00476449">
        <w:rPr>
          <w:b/>
        </w:rPr>
        <w:t>33</w:t>
      </w:r>
      <w:r w:rsidRPr="00476449">
        <w:t>, 893-910.</w:t>
      </w:r>
    </w:p>
    <w:p w14:paraId="06E1C279" w14:textId="77777777" w:rsidR="00476449" w:rsidRPr="00476449" w:rsidRDefault="00476449" w:rsidP="00476449">
      <w:pPr>
        <w:pStyle w:val="EndNoteBibliography"/>
        <w:ind w:left="720" w:hanging="720"/>
      </w:pPr>
      <w:r w:rsidRPr="00476449">
        <w:rPr>
          <w:b/>
        </w:rPr>
        <w:t xml:space="preserve">Beerling, D. J. </w:t>
      </w:r>
      <w:r w:rsidRPr="00476449">
        <w:t xml:space="preserve">(2007). </w:t>
      </w:r>
      <w:r w:rsidRPr="00476449">
        <w:rPr>
          <w:i/>
        </w:rPr>
        <w:t>The emerald planet : how plants changed Earth's history</w:t>
      </w:r>
      <w:r w:rsidRPr="00476449">
        <w:t>. Oxford: Oxford University Press.</w:t>
      </w:r>
    </w:p>
    <w:p w14:paraId="45399012" w14:textId="77777777" w:rsidR="00476449" w:rsidRPr="00476449" w:rsidRDefault="00476449" w:rsidP="00476449">
      <w:pPr>
        <w:pStyle w:val="EndNoteBibliography"/>
        <w:ind w:left="720" w:hanging="720"/>
      </w:pPr>
      <w:r w:rsidRPr="00476449">
        <w:rPr>
          <w:b/>
        </w:rPr>
        <w:t xml:space="preserve">Beerling, D. J. and Berner, R. A. </w:t>
      </w:r>
      <w:r w:rsidRPr="00476449">
        <w:t xml:space="preserve">(2005). Feedbacks and the coevolution of plants and atmospheric CO(2). </w:t>
      </w:r>
      <w:r w:rsidRPr="00476449">
        <w:rPr>
          <w:i/>
        </w:rPr>
        <w:t>Proceedings of the National Academy of Sciences of the United States of America</w:t>
      </w:r>
      <w:r w:rsidRPr="00476449">
        <w:t xml:space="preserve"> </w:t>
      </w:r>
      <w:r w:rsidRPr="00476449">
        <w:rPr>
          <w:b/>
        </w:rPr>
        <w:t>102</w:t>
      </w:r>
      <w:r w:rsidRPr="00476449">
        <w:t>, 1302-1305.</w:t>
      </w:r>
    </w:p>
    <w:p w14:paraId="4AFB573A" w14:textId="77777777" w:rsidR="00476449" w:rsidRPr="00476449" w:rsidRDefault="00476449" w:rsidP="00476449">
      <w:pPr>
        <w:pStyle w:val="EndNoteBibliography"/>
        <w:ind w:left="720" w:hanging="720"/>
      </w:pPr>
      <w:r w:rsidRPr="00476449">
        <w:rPr>
          <w:b/>
        </w:rPr>
        <w:t xml:space="preserve">Beerling, D. J. and Franks, P. J. </w:t>
      </w:r>
      <w:r w:rsidRPr="00476449">
        <w:t xml:space="preserve">(2009). Evolution of stomatal function in ‘lower’ land plants. </w:t>
      </w:r>
      <w:r w:rsidRPr="00476449">
        <w:rPr>
          <w:i/>
        </w:rPr>
        <w:t>New Phytologist</w:t>
      </w:r>
      <w:r w:rsidRPr="00476449">
        <w:t xml:space="preserve"> </w:t>
      </w:r>
      <w:r w:rsidRPr="00476449">
        <w:rPr>
          <w:b/>
        </w:rPr>
        <w:t>183</w:t>
      </w:r>
      <w:r w:rsidRPr="00476449">
        <w:t>, 921-925.</w:t>
      </w:r>
    </w:p>
    <w:p w14:paraId="7E3BF45A" w14:textId="77777777" w:rsidR="00476449" w:rsidRPr="00476449" w:rsidRDefault="00476449" w:rsidP="00476449">
      <w:pPr>
        <w:pStyle w:val="EndNoteBibliography"/>
        <w:ind w:left="720" w:hanging="720"/>
      </w:pPr>
      <w:r w:rsidRPr="00476449">
        <w:rPr>
          <w:b/>
        </w:rPr>
        <w:t xml:space="preserve">Beerling, D. J. and Royer, D. L. </w:t>
      </w:r>
      <w:r w:rsidRPr="00476449">
        <w:t xml:space="preserve">(2002). Reading a CO2 signal from fossil stomata. </w:t>
      </w:r>
      <w:r w:rsidRPr="00476449">
        <w:rPr>
          <w:i/>
        </w:rPr>
        <w:t>New Phytologist</w:t>
      </w:r>
      <w:r w:rsidRPr="00476449">
        <w:t xml:space="preserve"> </w:t>
      </w:r>
      <w:r w:rsidRPr="00476449">
        <w:rPr>
          <w:b/>
        </w:rPr>
        <w:t>153</w:t>
      </w:r>
      <w:r w:rsidRPr="00476449">
        <w:t>, 387-397.</w:t>
      </w:r>
    </w:p>
    <w:p w14:paraId="314A1EE1" w14:textId="77777777" w:rsidR="00476449" w:rsidRPr="00476449" w:rsidRDefault="00476449" w:rsidP="00476449">
      <w:pPr>
        <w:pStyle w:val="EndNoteBibliography"/>
        <w:ind w:left="720" w:hanging="720"/>
      </w:pPr>
      <w:r w:rsidRPr="00476449">
        <w:rPr>
          <w:b/>
        </w:rPr>
        <w:t xml:space="preserve">Bemis, S. M., Lee, J. S., Shpak, E. D. and Torii, K. U. </w:t>
      </w:r>
      <w:r w:rsidRPr="00476449">
        <w:t xml:space="preserve">(2013). Regulation of floral patterning and organ identity by Arabidopsis ERECTA-family receptor kinase genes. </w:t>
      </w:r>
      <w:r w:rsidRPr="00476449">
        <w:rPr>
          <w:i/>
        </w:rPr>
        <w:t>Journal of Experimental Botany</w:t>
      </w:r>
      <w:r w:rsidRPr="00476449">
        <w:t xml:space="preserve"> </w:t>
      </w:r>
      <w:r w:rsidRPr="00476449">
        <w:rPr>
          <w:b/>
        </w:rPr>
        <w:t>64</w:t>
      </w:r>
      <w:r w:rsidRPr="00476449">
        <w:t>, 5323-5333.</w:t>
      </w:r>
    </w:p>
    <w:p w14:paraId="1A9F3D6B" w14:textId="77777777" w:rsidR="00476449" w:rsidRPr="00476449" w:rsidRDefault="00476449" w:rsidP="00476449">
      <w:pPr>
        <w:pStyle w:val="EndNoteBibliography"/>
        <w:ind w:left="720" w:hanging="720"/>
      </w:pPr>
      <w:r w:rsidRPr="00476449">
        <w:rPr>
          <w:b/>
        </w:rPr>
        <w:t xml:space="preserve">Berger, D. and Altmann, T. </w:t>
      </w:r>
      <w:r w:rsidRPr="00476449">
        <w:t xml:space="preserve">(2000). A subtilisin-like serine protease involved in the regulation of stomatal density and distribution in Arabidopsis thaliana. </w:t>
      </w:r>
      <w:r w:rsidRPr="00476449">
        <w:rPr>
          <w:i/>
        </w:rPr>
        <w:t>Genes Dev</w:t>
      </w:r>
      <w:r w:rsidRPr="00476449">
        <w:t xml:space="preserve"> </w:t>
      </w:r>
      <w:r w:rsidRPr="00476449">
        <w:rPr>
          <w:b/>
        </w:rPr>
        <w:t>14</w:t>
      </w:r>
      <w:r w:rsidRPr="00476449">
        <w:t>, 1119-1131.</w:t>
      </w:r>
    </w:p>
    <w:p w14:paraId="356AD782" w14:textId="77777777" w:rsidR="00476449" w:rsidRPr="00476449" w:rsidRDefault="00476449" w:rsidP="00476449">
      <w:pPr>
        <w:pStyle w:val="EndNoteBibliography"/>
        <w:ind w:left="720" w:hanging="720"/>
      </w:pPr>
      <w:r w:rsidRPr="00476449">
        <w:rPr>
          <w:b/>
        </w:rPr>
        <w:t xml:space="preserve">Bergmann, D. C., Lukowitz, W. and Somerville, C. R. </w:t>
      </w:r>
      <w:r w:rsidRPr="00476449">
        <w:t xml:space="preserve">(2004). Stomatal development and pattern controlled by a MAPKK kinase. </w:t>
      </w:r>
      <w:r w:rsidRPr="00476449">
        <w:rPr>
          <w:i/>
        </w:rPr>
        <w:t>Science</w:t>
      </w:r>
      <w:r w:rsidRPr="00476449">
        <w:t xml:space="preserve"> </w:t>
      </w:r>
      <w:r w:rsidRPr="00476449">
        <w:rPr>
          <w:b/>
        </w:rPr>
        <w:t>304</w:t>
      </w:r>
      <w:r w:rsidRPr="00476449">
        <w:t>, 1494-1497.</w:t>
      </w:r>
    </w:p>
    <w:p w14:paraId="23233FEE" w14:textId="77777777" w:rsidR="00476449" w:rsidRPr="00476449" w:rsidRDefault="00476449" w:rsidP="00476449">
      <w:pPr>
        <w:pStyle w:val="EndNoteBibliography"/>
        <w:ind w:left="720" w:hanging="720"/>
      </w:pPr>
      <w:r w:rsidRPr="00476449">
        <w:rPr>
          <w:b/>
        </w:rPr>
        <w:t xml:space="preserve">Berry, J. A., Beerling, D. J. and Franks, P. J. </w:t>
      </w:r>
      <w:r w:rsidRPr="00476449">
        <w:t xml:space="preserve">(2010). Stomata: key players in the earth system, past and present. </w:t>
      </w:r>
      <w:r w:rsidRPr="00476449">
        <w:rPr>
          <w:i/>
        </w:rPr>
        <w:t>Current Opinion in Plant Biology</w:t>
      </w:r>
      <w:r w:rsidRPr="00476449">
        <w:t xml:space="preserve"> </w:t>
      </w:r>
      <w:r w:rsidRPr="00476449">
        <w:rPr>
          <w:b/>
        </w:rPr>
        <w:t>13</w:t>
      </w:r>
      <w:r w:rsidRPr="00476449">
        <w:t>, 233-240.</w:t>
      </w:r>
    </w:p>
    <w:p w14:paraId="7AF13B92" w14:textId="77777777" w:rsidR="00476449" w:rsidRPr="00476449" w:rsidRDefault="00476449" w:rsidP="00476449">
      <w:pPr>
        <w:pStyle w:val="EndNoteBibliography"/>
        <w:ind w:left="720" w:hanging="720"/>
      </w:pPr>
      <w:r w:rsidRPr="00476449">
        <w:rPr>
          <w:b/>
        </w:rPr>
        <w:t xml:space="preserve">Bhave, N. S., Veley, K. M., Nadeau, J. A., Lucas, J. R., Bhave, S. L. and Sack, F. D. </w:t>
      </w:r>
      <w:r w:rsidRPr="00476449">
        <w:t xml:space="preserve">(2009). TOO MANY MOUTHS promotes cell fate progression in stomatal development of Arabidopsis stems. </w:t>
      </w:r>
      <w:r w:rsidRPr="00476449">
        <w:rPr>
          <w:i/>
        </w:rPr>
        <w:t>Planta</w:t>
      </w:r>
      <w:r w:rsidRPr="00476449">
        <w:t xml:space="preserve"> </w:t>
      </w:r>
      <w:r w:rsidRPr="00476449">
        <w:rPr>
          <w:b/>
        </w:rPr>
        <w:t>229</w:t>
      </w:r>
      <w:r w:rsidRPr="00476449">
        <w:t>, 357-367.</w:t>
      </w:r>
    </w:p>
    <w:p w14:paraId="108769BF" w14:textId="77777777" w:rsidR="00476449" w:rsidRPr="00476449" w:rsidRDefault="00476449" w:rsidP="00476449">
      <w:pPr>
        <w:pStyle w:val="EndNoteBibliography"/>
        <w:ind w:left="720" w:hanging="720"/>
      </w:pPr>
      <w:r w:rsidRPr="00476449">
        <w:rPr>
          <w:b/>
        </w:rPr>
        <w:t xml:space="preserve">Bita, C. E. and Gerats, T. </w:t>
      </w:r>
      <w:r w:rsidRPr="00476449">
        <w:t xml:space="preserve">(2013). Plant tolerance to high temperature in a changing environment: scientific fundamentals and production of heat stress-tolerant crops. </w:t>
      </w:r>
      <w:r w:rsidRPr="00476449">
        <w:rPr>
          <w:i/>
        </w:rPr>
        <w:t>Frontiers in Plant Science</w:t>
      </w:r>
      <w:r w:rsidRPr="00476449">
        <w:t xml:space="preserve"> </w:t>
      </w:r>
      <w:r w:rsidRPr="00476449">
        <w:rPr>
          <w:b/>
        </w:rPr>
        <w:t>4</w:t>
      </w:r>
      <w:r w:rsidRPr="00476449">
        <w:t>, 273.</w:t>
      </w:r>
    </w:p>
    <w:p w14:paraId="67DF4C2D" w14:textId="77777777" w:rsidR="00476449" w:rsidRPr="00476449" w:rsidRDefault="00476449" w:rsidP="00476449">
      <w:pPr>
        <w:pStyle w:val="EndNoteBibliography"/>
        <w:ind w:left="720" w:hanging="720"/>
      </w:pPr>
      <w:r w:rsidRPr="00476449">
        <w:rPr>
          <w:b/>
        </w:rPr>
        <w:t xml:space="preserve">Blanke, M. M. and Cooke, D. T. </w:t>
      </w:r>
      <w:r w:rsidRPr="00476449">
        <w:t xml:space="preserve">(2004). Effects of flooding and drought on stomatal activity, transpiration, photosynthesis, water potential and water channel activity in strawberry stolons and leaves. </w:t>
      </w:r>
      <w:r w:rsidRPr="00476449">
        <w:rPr>
          <w:i/>
        </w:rPr>
        <w:t>Plant Growth Regulation</w:t>
      </w:r>
      <w:r w:rsidRPr="00476449">
        <w:t xml:space="preserve"> </w:t>
      </w:r>
      <w:r w:rsidRPr="00476449">
        <w:rPr>
          <w:b/>
        </w:rPr>
        <w:t>42</w:t>
      </w:r>
      <w:r w:rsidRPr="00476449">
        <w:t>, 153-160.</w:t>
      </w:r>
    </w:p>
    <w:p w14:paraId="35884F18" w14:textId="77777777" w:rsidR="00476449" w:rsidRPr="00476449" w:rsidRDefault="00476449" w:rsidP="00476449">
      <w:pPr>
        <w:pStyle w:val="EndNoteBibliography"/>
        <w:ind w:left="720" w:hanging="720"/>
      </w:pPr>
      <w:r w:rsidRPr="00476449">
        <w:rPr>
          <w:b/>
        </w:rPr>
        <w:lastRenderedPageBreak/>
        <w:t xml:space="preserve">Blanke, M. M., Prung, R. J. and Baker, E. A. </w:t>
      </w:r>
      <w:r w:rsidRPr="00476449">
        <w:t xml:space="preserve">(1999). Structure and Elemental Compositon of Grape Berry Stomata. </w:t>
      </w:r>
      <w:r w:rsidRPr="00476449">
        <w:rPr>
          <w:i/>
        </w:rPr>
        <w:t>Journal of Plant Physiology</w:t>
      </w:r>
      <w:r w:rsidRPr="00476449">
        <w:t xml:space="preserve"> </w:t>
      </w:r>
      <w:r w:rsidRPr="00476449">
        <w:rPr>
          <w:b/>
        </w:rPr>
        <w:t>154</w:t>
      </w:r>
      <w:r w:rsidRPr="00476449">
        <w:t>, 477-481.</w:t>
      </w:r>
    </w:p>
    <w:p w14:paraId="7D5DA53D" w14:textId="77777777" w:rsidR="00476449" w:rsidRPr="00476449" w:rsidRDefault="00476449" w:rsidP="00476449">
      <w:pPr>
        <w:pStyle w:val="EndNoteBibliography"/>
        <w:ind w:left="720" w:hanging="720"/>
      </w:pPr>
      <w:r w:rsidRPr="00476449">
        <w:rPr>
          <w:b/>
        </w:rPr>
        <w:t xml:space="preserve">Bowman, J. L. </w:t>
      </w:r>
      <w:r w:rsidRPr="00476449">
        <w:t xml:space="preserve">(2011). Stomata: Active Portals for Flourishing on Land. </w:t>
      </w:r>
      <w:r w:rsidRPr="00476449">
        <w:rPr>
          <w:i/>
        </w:rPr>
        <w:t>Current Biology</w:t>
      </w:r>
      <w:r w:rsidRPr="00476449">
        <w:t xml:space="preserve"> </w:t>
      </w:r>
      <w:r w:rsidRPr="00476449">
        <w:rPr>
          <w:b/>
        </w:rPr>
        <w:t>21</w:t>
      </w:r>
      <w:r w:rsidRPr="00476449">
        <w:t>, R540-R541.</w:t>
      </w:r>
    </w:p>
    <w:p w14:paraId="7ABB69C8" w14:textId="77777777" w:rsidR="00476449" w:rsidRPr="00476449" w:rsidRDefault="00476449" w:rsidP="00476449">
      <w:pPr>
        <w:pStyle w:val="EndNoteBibliography"/>
        <w:ind w:left="720" w:hanging="720"/>
      </w:pPr>
      <w:r w:rsidRPr="00476449">
        <w:rPr>
          <w:b/>
        </w:rPr>
        <w:t xml:space="preserve">---- </w:t>
      </w:r>
      <w:r w:rsidRPr="00476449">
        <w:t xml:space="preserve">(2013). Walkabout on the long branches of plant evolution. </w:t>
      </w:r>
      <w:r w:rsidRPr="00476449">
        <w:rPr>
          <w:i/>
        </w:rPr>
        <w:t>Current Opinion in Plant Biology</w:t>
      </w:r>
      <w:r w:rsidRPr="00476449">
        <w:t xml:space="preserve"> </w:t>
      </w:r>
      <w:r w:rsidRPr="00476449">
        <w:rPr>
          <w:b/>
        </w:rPr>
        <w:t>16</w:t>
      </w:r>
      <w:r w:rsidRPr="00476449">
        <w:t>, 70-77.</w:t>
      </w:r>
    </w:p>
    <w:p w14:paraId="6CCB4114" w14:textId="77777777" w:rsidR="00476449" w:rsidRPr="00476449" w:rsidRDefault="00476449" w:rsidP="00476449">
      <w:pPr>
        <w:pStyle w:val="EndNoteBibliography"/>
        <w:ind w:left="720" w:hanging="720"/>
      </w:pPr>
      <w:r w:rsidRPr="00476449">
        <w:rPr>
          <w:b/>
        </w:rPr>
        <w:t xml:space="preserve">Brodribb, T. J. and McAdam, S. A. </w:t>
      </w:r>
      <w:r w:rsidRPr="00476449">
        <w:t xml:space="preserve">(2013). Abscisic acid mediates a divergence in the drought response of two conifers. </w:t>
      </w:r>
      <w:r w:rsidRPr="00476449">
        <w:rPr>
          <w:i/>
        </w:rPr>
        <w:t>Plant Physiol</w:t>
      </w:r>
      <w:r w:rsidRPr="00476449">
        <w:t xml:space="preserve"> </w:t>
      </w:r>
      <w:r w:rsidRPr="00476449">
        <w:rPr>
          <w:b/>
        </w:rPr>
        <w:t>162</w:t>
      </w:r>
      <w:r w:rsidRPr="00476449">
        <w:t>, 1370-1377.</w:t>
      </w:r>
    </w:p>
    <w:p w14:paraId="6CDA45DC" w14:textId="77777777" w:rsidR="00476449" w:rsidRPr="00476449" w:rsidRDefault="00476449" w:rsidP="00476449">
      <w:pPr>
        <w:pStyle w:val="EndNoteBibliography"/>
        <w:ind w:left="720" w:hanging="720"/>
      </w:pPr>
      <w:r w:rsidRPr="00476449">
        <w:rPr>
          <w:b/>
        </w:rPr>
        <w:t xml:space="preserve">Brodribb, T. J., McAdam, S. A. M., Jordan, G. J. and Feild, T. S. </w:t>
      </w:r>
      <w:r w:rsidRPr="00476449">
        <w:t xml:space="preserve">(2009). Evolution of stomatal responsiveness to CO2 and optimization of water-use efficiency among land plants. </w:t>
      </w:r>
      <w:r w:rsidRPr="00476449">
        <w:rPr>
          <w:i/>
        </w:rPr>
        <w:t>New Phytologist</w:t>
      </w:r>
      <w:r w:rsidRPr="00476449">
        <w:t xml:space="preserve"> </w:t>
      </w:r>
      <w:r w:rsidRPr="00476449">
        <w:rPr>
          <w:b/>
        </w:rPr>
        <w:t>183</w:t>
      </w:r>
      <w:r w:rsidRPr="00476449">
        <w:t>, 839-847.</w:t>
      </w:r>
    </w:p>
    <w:p w14:paraId="27A61FAC" w14:textId="77777777" w:rsidR="00476449" w:rsidRPr="00476449" w:rsidRDefault="00476449" w:rsidP="00476449">
      <w:pPr>
        <w:pStyle w:val="EndNoteBibliography"/>
        <w:ind w:left="720" w:hanging="720"/>
      </w:pPr>
      <w:r w:rsidRPr="00476449">
        <w:rPr>
          <w:b/>
        </w:rPr>
        <w:t xml:space="preserve">Brown, R. C. and Lemmon, B. E. </w:t>
      </w:r>
      <w:r w:rsidRPr="00476449">
        <w:t xml:space="preserve">(1985). Development of Stomata in Selaginella: Division Polarity and Plastid Movements. </w:t>
      </w:r>
      <w:r w:rsidRPr="00476449">
        <w:rPr>
          <w:i/>
        </w:rPr>
        <w:t>American Journal of Botany</w:t>
      </w:r>
      <w:r w:rsidRPr="00476449">
        <w:t xml:space="preserve"> </w:t>
      </w:r>
      <w:r w:rsidRPr="00476449">
        <w:rPr>
          <w:b/>
        </w:rPr>
        <w:t>72</w:t>
      </w:r>
      <w:r w:rsidRPr="00476449">
        <w:t>, 1914-1925.</w:t>
      </w:r>
    </w:p>
    <w:p w14:paraId="100D5712" w14:textId="77777777" w:rsidR="00476449" w:rsidRPr="00476449" w:rsidRDefault="00476449" w:rsidP="00476449">
      <w:pPr>
        <w:pStyle w:val="EndNoteBibliography"/>
        <w:ind w:left="720" w:hanging="720"/>
      </w:pPr>
      <w:r w:rsidRPr="00476449">
        <w:rPr>
          <w:b/>
        </w:rPr>
        <w:t xml:space="preserve">Budke, J. M., Goffinet, B. and Jones, C. S. </w:t>
      </w:r>
      <w:r w:rsidRPr="00476449">
        <w:t xml:space="preserve">(2012). The cuticle on the gametophyte calyptra matures before the sporophyte cuticle in the moss </w:t>
      </w:r>
      <w:r w:rsidRPr="00476449">
        <w:rPr>
          <w:i/>
        </w:rPr>
        <w:t xml:space="preserve">Funaria hygrometrica </w:t>
      </w:r>
      <w:r w:rsidRPr="00476449">
        <w:t xml:space="preserve">Funariaceae. </w:t>
      </w:r>
      <w:r w:rsidRPr="00476449">
        <w:rPr>
          <w:i/>
        </w:rPr>
        <w:t>American Journal of Botany</w:t>
      </w:r>
      <w:r w:rsidRPr="00476449">
        <w:t xml:space="preserve"> </w:t>
      </w:r>
      <w:r w:rsidRPr="00476449">
        <w:rPr>
          <w:b/>
        </w:rPr>
        <w:t>99</w:t>
      </w:r>
      <w:r w:rsidRPr="00476449">
        <w:t>, 14-22.</w:t>
      </w:r>
    </w:p>
    <w:p w14:paraId="272CE333" w14:textId="77777777" w:rsidR="00476449" w:rsidRPr="00476449" w:rsidRDefault="00476449" w:rsidP="00476449">
      <w:pPr>
        <w:pStyle w:val="EndNoteBibliography"/>
        <w:ind w:left="720" w:hanging="720"/>
      </w:pPr>
      <w:r w:rsidRPr="00476449">
        <w:rPr>
          <w:b/>
        </w:rPr>
        <w:t xml:space="preserve">Caine, R., Chater, C. C., Kamisugi, Y., Cuming, A. C., Beerling, D. J., Gray, J. E. and Fleming, A. J. </w:t>
      </w:r>
      <w:r w:rsidRPr="00476449">
        <w:t xml:space="preserve">(2016). An ancestral stomatal patterning module revealed in the non-vascular land plant Physcomitrella patens. </w:t>
      </w:r>
      <w:r w:rsidRPr="00476449">
        <w:rPr>
          <w:i/>
        </w:rPr>
        <w:t>Development</w:t>
      </w:r>
      <w:r w:rsidRPr="00476449">
        <w:t>.</w:t>
      </w:r>
    </w:p>
    <w:p w14:paraId="6A23E301" w14:textId="77777777" w:rsidR="00476449" w:rsidRPr="00476449" w:rsidRDefault="00476449" w:rsidP="00476449">
      <w:pPr>
        <w:pStyle w:val="EndNoteBibliography"/>
        <w:ind w:left="720" w:hanging="720"/>
      </w:pPr>
      <w:r w:rsidRPr="00476449">
        <w:rPr>
          <w:b/>
        </w:rPr>
        <w:t xml:space="preserve">Cardona-Correa, C., Piotrowski, M. J., Knack, J. J., Kodner, R. E., Geary, D. H. and Graham, L. E. </w:t>
      </w:r>
      <w:r w:rsidRPr="00476449">
        <w:t xml:space="preserve">(2016). Peat Moss–Like Vegetative Remains from Ordovician Carbonates. </w:t>
      </w:r>
      <w:r w:rsidRPr="00476449">
        <w:rPr>
          <w:i/>
        </w:rPr>
        <w:t>International Journal of Plant Sciences</w:t>
      </w:r>
      <w:r w:rsidRPr="00476449">
        <w:t xml:space="preserve"> </w:t>
      </w:r>
      <w:r w:rsidRPr="00476449">
        <w:rPr>
          <w:b/>
        </w:rPr>
        <w:t>177</w:t>
      </w:r>
      <w:r w:rsidRPr="00476449">
        <w:t>, 523-538.</w:t>
      </w:r>
    </w:p>
    <w:p w14:paraId="10DC3D2F" w14:textId="77777777" w:rsidR="00476449" w:rsidRPr="00476449" w:rsidRDefault="00476449" w:rsidP="00476449">
      <w:pPr>
        <w:pStyle w:val="EndNoteBibliography"/>
        <w:ind w:left="720" w:hanging="720"/>
      </w:pPr>
      <w:r w:rsidRPr="00476449">
        <w:rPr>
          <w:b/>
        </w:rPr>
        <w:t xml:space="preserve">Casson, S. A., Franklin, K. A., Gray, J. E., Grierson, C. S., Whitelam, G. C. and Hetherington, A. M. </w:t>
      </w:r>
      <w:r w:rsidRPr="00476449">
        <w:t xml:space="preserve">(2009). phytochrome B and PIF4 Regulate Stomatal Development in Response to Light Quantity. </w:t>
      </w:r>
      <w:r w:rsidRPr="00476449">
        <w:rPr>
          <w:i/>
        </w:rPr>
        <w:t>Current Biology</w:t>
      </w:r>
      <w:r w:rsidRPr="00476449">
        <w:t xml:space="preserve"> </w:t>
      </w:r>
      <w:r w:rsidRPr="00476449">
        <w:rPr>
          <w:b/>
        </w:rPr>
        <w:t>19</w:t>
      </w:r>
      <w:r w:rsidRPr="00476449">
        <w:t>, 229-234.</w:t>
      </w:r>
    </w:p>
    <w:p w14:paraId="7E2BFF5B" w14:textId="77777777" w:rsidR="00476449" w:rsidRPr="00476449" w:rsidRDefault="00476449" w:rsidP="00476449">
      <w:pPr>
        <w:pStyle w:val="EndNoteBibliography"/>
        <w:ind w:left="720" w:hanging="720"/>
      </w:pPr>
      <w:r w:rsidRPr="00476449">
        <w:rPr>
          <w:b/>
        </w:rPr>
        <w:t xml:space="preserve">Casson, S. A. and Hetherington, A. M. </w:t>
      </w:r>
      <w:r w:rsidRPr="00476449">
        <w:t xml:space="preserve">(2014). phytochrome B Is required for light-mediated systemic control of stomatal development. </w:t>
      </w:r>
      <w:r w:rsidRPr="00476449">
        <w:rPr>
          <w:i/>
        </w:rPr>
        <w:t>Curr Biol</w:t>
      </w:r>
      <w:r w:rsidRPr="00476449">
        <w:t xml:space="preserve"> </w:t>
      </w:r>
      <w:r w:rsidRPr="00476449">
        <w:rPr>
          <w:b/>
        </w:rPr>
        <w:t>24</w:t>
      </w:r>
      <w:r w:rsidRPr="00476449">
        <w:t>, 1216-1221.</w:t>
      </w:r>
    </w:p>
    <w:p w14:paraId="5E13B305" w14:textId="77777777" w:rsidR="00476449" w:rsidRPr="00476449" w:rsidRDefault="00476449" w:rsidP="00476449">
      <w:pPr>
        <w:pStyle w:val="EndNoteBibliography"/>
        <w:ind w:left="720" w:hanging="720"/>
      </w:pPr>
      <w:r w:rsidRPr="00476449">
        <w:rPr>
          <w:b/>
        </w:rPr>
        <w:t xml:space="preserve">Chater, C., Gray, J. E. and Beerling, D. J. </w:t>
      </w:r>
      <w:r w:rsidRPr="00476449">
        <w:t xml:space="preserve">(2013). Early evolutionary acquisition of stomatal control and development gene signalling networks. </w:t>
      </w:r>
      <w:r w:rsidRPr="00476449">
        <w:rPr>
          <w:i/>
        </w:rPr>
        <w:t>Current Opinion in Plant Biology</w:t>
      </w:r>
      <w:r w:rsidRPr="00476449">
        <w:t xml:space="preserve"> </w:t>
      </w:r>
      <w:r w:rsidRPr="00476449">
        <w:rPr>
          <w:b/>
        </w:rPr>
        <w:t>16</w:t>
      </w:r>
      <w:r w:rsidRPr="00476449">
        <w:t>, 638-646.</w:t>
      </w:r>
    </w:p>
    <w:p w14:paraId="243EC344" w14:textId="77777777" w:rsidR="00476449" w:rsidRPr="00476449" w:rsidRDefault="00476449" w:rsidP="00476449">
      <w:pPr>
        <w:pStyle w:val="EndNoteBibliography"/>
        <w:ind w:left="720" w:hanging="720"/>
      </w:pPr>
      <w:r w:rsidRPr="00476449">
        <w:rPr>
          <w:b/>
        </w:rPr>
        <w:t xml:space="preserve">Chater, C., Kamisugi, Y., Movahedi, M., Fleming, A., Cuming, A. C., Gray, J. E. and Beerling, D. J. </w:t>
      </w:r>
      <w:r w:rsidRPr="00476449">
        <w:t xml:space="preserve">(2011). Regulatory Mechanism Controlling Stomatal Behavior Conserved across 400 Million Years of Land Plant Evolution. </w:t>
      </w:r>
      <w:r w:rsidRPr="00476449">
        <w:rPr>
          <w:i/>
        </w:rPr>
        <w:t>Current Biology</w:t>
      </w:r>
      <w:r w:rsidRPr="00476449">
        <w:t xml:space="preserve"> </w:t>
      </w:r>
      <w:r w:rsidRPr="00476449">
        <w:rPr>
          <w:b/>
        </w:rPr>
        <w:t>21</w:t>
      </w:r>
      <w:r w:rsidRPr="00476449">
        <w:t>, 1025-1029.</w:t>
      </w:r>
    </w:p>
    <w:p w14:paraId="15F65960" w14:textId="77777777" w:rsidR="00476449" w:rsidRPr="00476449" w:rsidRDefault="00476449" w:rsidP="00476449">
      <w:pPr>
        <w:pStyle w:val="EndNoteBibliography"/>
        <w:ind w:left="720" w:hanging="720"/>
      </w:pPr>
      <w:r w:rsidRPr="00476449">
        <w:rPr>
          <w:b/>
        </w:rPr>
        <w:t xml:space="preserve">Chater, C., Peng, K., Movahedi, M., Dunn, J. A., Walker, H. J., Liang, Y. K., McLachlan, D. H., Casson, S., Isner, J. C., Wilson, I., et al. </w:t>
      </w:r>
      <w:r w:rsidRPr="00476449">
        <w:t xml:space="preserve">(2015). Elevated CO2-Induced Responses in Stomata Require ABA and ABA Signaling. </w:t>
      </w:r>
      <w:r w:rsidRPr="00476449">
        <w:rPr>
          <w:i/>
        </w:rPr>
        <w:t>Current Biology</w:t>
      </w:r>
      <w:r w:rsidRPr="00476449">
        <w:t xml:space="preserve"> </w:t>
      </w:r>
      <w:r w:rsidRPr="00476449">
        <w:rPr>
          <w:b/>
        </w:rPr>
        <w:t>25</w:t>
      </w:r>
      <w:r w:rsidRPr="00476449">
        <w:t>, 2709-2716.</w:t>
      </w:r>
    </w:p>
    <w:p w14:paraId="5AABC05E" w14:textId="5E1C9E51" w:rsidR="00476449" w:rsidRPr="00476449" w:rsidRDefault="00476449" w:rsidP="00476449">
      <w:pPr>
        <w:pStyle w:val="EndNoteBibliography"/>
        <w:ind w:left="720" w:hanging="720"/>
      </w:pPr>
      <w:r w:rsidRPr="00476449">
        <w:rPr>
          <w:b/>
        </w:rPr>
        <w:t xml:space="preserve">Chater, C. C., Caine, R. S., Tomek, M., Wallace, S., Kamisugi, Y., Cuming, A. C., Lang, D., MacAlister, C. A., Casson, S., Bergmann, D. C., et al. </w:t>
      </w:r>
      <w:r w:rsidRPr="00476449">
        <w:t xml:space="preserve">(2016). Origin and function of stomata in the moss Physcomitrella patens. </w:t>
      </w:r>
      <w:r w:rsidRPr="00476449">
        <w:rPr>
          <w:i/>
        </w:rPr>
        <w:t>Nature plants</w:t>
      </w:r>
      <w:r w:rsidRPr="00476449">
        <w:t xml:space="preserve"> </w:t>
      </w:r>
      <w:r w:rsidRPr="00476449">
        <w:rPr>
          <w:b/>
        </w:rPr>
        <w:t>2</w:t>
      </w:r>
      <w:r w:rsidR="00BD0A55">
        <w:t xml:space="preserve">, </w:t>
      </w:r>
      <w:r w:rsidRPr="00476449">
        <w:t>16179.</w:t>
      </w:r>
    </w:p>
    <w:p w14:paraId="3490263C" w14:textId="77777777" w:rsidR="00476449" w:rsidRPr="00476449" w:rsidRDefault="00476449" w:rsidP="00476449">
      <w:pPr>
        <w:pStyle w:val="EndNoteBibliography"/>
        <w:ind w:left="720" w:hanging="720"/>
      </w:pPr>
      <w:r w:rsidRPr="00476449">
        <w:rPr>
          <w:b/>
        </w:rPr>
        <w:t xml:space="preserve">Chen, M. K. and Shpak, E. D. </w:t>
      </w:r>
      <w:r w:rsidRPr="00476449">
        <w:t xml:space="preserve">(2014). ERECTA family genes regulate development of cotyledons during embryogenesis. </w:t>
      </w:r>
      <w:r w:rsidRPr="00476449">
        <w:rPr>
          <w:i/>
        </w:rPr>
        <w:t>Febs Letters</w:t>
      </w:r>
      <w:r w:rsidRPr="00476449">
        <w:t xml:space="preserve"> </w:t>
      </w:r>
      <w:r w:rsidRPr="00476449">
        <w:rPr>
          <w:b/>
        </w:rPr>
        <w:t>588</w:t>
      </w:r>
      <w:r w:rsidRPr="00476449">
        <w:t>, 3912-3917.</w:t>
      </w:r>
    </w:p>
    <w:p w14:paraId="7408425F" w14:textId="77777777" w:rsidR="00476449" w:rsidRPr="00476449" w:rsidRDefault="00476449" w:rsidP="00476449">
      <w:pPr>
        <w:pStyle w:val="EndNoteBibliography"/>
        <w:ind w:left="720" w:hanging="720"/>
      </w:pPr>
      <w:r w:rsidRPr="00476449">
        <w:rPr>
          <w:b/>
        </w:rPr>
        <w:t xml:space="preserve">Chinnusamy, V., Ohta, M., Kanrar, S., Lee, B. H., Hong, X. H., Agarwal, M. and Zhu, J. K. </w:t>
      </w:r>
      <w:r w:rsidRPr="00476449">
        <w:t xml:space="preserve">(2003). ICE1: a regulator of cold-induced transcriptome and freezing tolerance in Arabidopsis. </w:t>
      </w:r>
      <w:r w:rsidRPr="00476449">
        <w:rPr>
          <w:i/>
        </w:rPr>
        <w:t>Genes &amp; Development</w:t>
      </w:r>
      <w:r w:rsidRPr="00476449">
        <w:t xml:space="preserve"> </w:t>
      </w:r>
      <w:r w:rsidRPr="00476449">
        <w:rPr>
          <w:b/>
        </w:rPr>
        <w:t>17</w:t>
      </w:r>
      <w:r w:rsidRPr="00476449">
        <w:t>, 1043-1054.</w:t>
      </w:r>
    </w:p>
    <w:p w14:paraId="11D92FFD" w14:textId="77777777" w:rsidR="00476449" w:rsidRPr="00476449" w:rsidRDefault="00476449" w:rsidP="00476449">
      <w:pPr>
        <w:pStyle w:val="EndNoteBibliography"/>
        <w:ind w:left="720" w:hanging="720"/>
      </w:pPr>
      <w:r w:rsidRPr="00476449">
        <w:rPr>
          <w:b/>
        </w:rPr>
        <w:t xml:space="preserve">Clark, S. E., Running, M. P. and Meyerowitz, E. M. </w:t>
      </w:r>
      <w:r w:rsidRPr="00476449">
        <w:t xml:space="preserve">(1993). CLAVATA1, a regulator of meristem and flower development in Arabidopsis. </w:t>
      </w:r>
      <w:r w:rsidRPr="00476449">
        <w:rPr>
          <w:i/>
        </w:rPr>
        <w:t>Development</w:t>
      </w:r>
      <w:r w:rsidRPr="00476449">
        <w:t xml:space="preserve"> </w:t>
      </w:r>
      <w:r w:rsidRPr="00476449">
        <w:rPr>
          <w:b/>
        </w:rPr>
        <w:t>119</w:t>
      </w:r>
      <w:r w:rsidRPr="00476449">
        <w:t>, 397-418.</w:t>
      </w:r>
    </w:p>
    <w:p w14:paraId="6BD799B4" w14:textId="77777777" w:rsidR="00476449" w:rsidRPr="00476449" w:rsidRDefault="00476449" w:rsidP="00476449">
      <w:pPr>
        <w:pStyle w:val="EndNoteBibliography"/>
        <w:ind w:left="720" w:hanging="720"/>
      </w:pPr>
      <w:r w:rsidRPr="00476449">
        <w:rPr>
          <w:b/>
        </w:rPr>
        <w:t xml:space="preserve">Clough, S. J. and Bent, A. F. </w:t>
      </w:r>
      <w:r w:rsidRPr="00476449">
        <w:t xml:space="preserve">(1998). Floral dip: a simplified method for Agrobacterium-mediated transformation of Arabidopsis thaliana. </w:t>
      </w:r>
      <w:r w:rsidRPr="00476449">
        <w:rPr>
          <w:i/>
        </w:rPr>
        <w:t>Plant Journal</w:t>
      </w:r>
      <w:r w:rsidRPr="00476449">
        <w:t xml:space="preserve"> </w:t>
      </w:r>
      <w:r w:rsidRPr="00476449">
        <w:rPr>
          <w:b/>
        </w:rPr>
        <w:t>16</w:t>
      </w:r>
      <w:r w:rsidRPr="00476449">
        <w:t>, 735-743.</w:t>
      </w:r>
    </w:p>
    <w:p w14:paraId="64638E7D" w14:textId="77777777" w:rsidR="00476449" w:rsidRPr="00476449" w:rsidRDefault="00476449" w:rsidP="00476449">
      <w:pPr>
        <w:pStyle w:val="EndNoteBibliography"/>
        <w:ind w:left="720" w:hanging="720"/>
      </w:pPr>
      <w:r w:rsidRPr="00476449">
        <w:rPr>
          <w:b/>
        </w:rPr>
        <w:t xml:space="preserve">Cove, D. </w:t>
      </w:r>
      <w:r w:rsidRPr="00476449">
        <w:t xml:space="preserve">(2000). The moss, Physcomitrella patens. </w:t>
      </w:r>
      <w:r w:rsidRPr="00476449">
        <w:rPr>
          <w:i/>
        </w:rPr>
        <w:t>Journal of Plant Growth Regulation</w:t>
      </w:r>
      <w:r w:rsidRPr="00476449">
        <w:t xml:space="preserve"> </w:t>
      </w:r>
      <w:r w:rsidRPr="00476449">
        <w:rPr>
          <w:b/>
        </w:rPr>
        <w:t>19</w:t>
      </w:r>
      <w:r w:rsidRPr="00476449">
        <w:t>, 275-283.</w:t>
      </w:r>
    </w:p>
    <w:p w14:paraId="660D3B20" w14:textId="77777777" w:rsidR="00476449" w:rsidRPr="00476449" w:rsidRDefault="00476449" w:rsidP="00476449">
      <w:pPr>
        <w:pStyle w:val="EndNoteBibliography"/>
        <w:ind w:left="720" w:hanging="720"/>
      </w:pPr>
      <w:r w:rsidRPr="00476449">
        <w:rPr>
          <w:b/>
        </w:rPr>
        <w:t xml:space="preserve">Cox, C. J., Goffinet, B., Shaw, A. J. and Boles, S. B. </w:t>
      </w:r>
      <w:r w:rsidRPr="00476449">
        <w:t xml:space="preserve">(2004). Phylogenetic Relationships among the Mosses Based on Heterogeneous Bayesian Analysis of Multiple Genes from Multiple Genomic Compartments. </w:t>
      </w:r>
      <w:r w:rsidRPr="00476449">
        <w:rPr>
          <w:i/>
        </w:rPr>
        <w:t>Systematic Botany</w:t>
      </w:r>
      <w:r w:rsidRPr="00476449">
        <w:t xml:space="preserve"> </w:t>
      </w:r>
      <w:r w:rsidRPr="00476449">
        <w:rPr>
          <w:b/>
        </w:rPr>
        <w:t>29</w:t>
      </w:r>
      <w:r w:rsidRPr="00476449">
        <w:t>, 234-250.</w:t>
      </w:r>
    </w:p>
    <w:p w14:paraId="6D5DB944" w14:textId="77777777" w:rsidR="00476449" w:rsidRPr="00476449" w:rsidRDefault="00476449" w:rsidP="00476449">
      <w:pPr>
        <w:pStyle w:val="EndNoteBibliography"/>
        <w:ind w:left="720" w:hanging="720"/>
      </w:pPr>
      <w:r w:rsidRPr="00476449">
        <w:rPr>
          <w:b/>
        </w:rPr>
        <w:lastRenderedPageBreak/>
        <w:t xml:space="preserve">Cox, C. J., Li, B., Foster, P. G., Embley, T. M. and Civáň, P. </w:t>
      </w:r>
      <w:r w:rsidRPr="00476449">
        <w:t xml:space="preserve">(2014). Conflicting Phylogenies for Early Land Plants are Caused by Composition Biases among Synonymous Substitutions. </w:t>
      </w:r>
      <w:r w:rsidRPr="00476449">
        <w:rPr>
          <w:i/>
        </w:rPr>
        <w:t>Systematic Biology</w:t>
      </w:r>
      <w:r w:rsidRPr="00476449">
        <w:t xml:space="preserve"> </w:t>
      </w:r>
      <w:r w:rsidRPr="00476449">
        <w:rPr>
          <w:b/>
        </w:rPr>
        <w:t>63</w:t>
      </w:r>
      <w:r w:rsidRPr="00476449">
        <w:t>, 272-279.</w:t>
      </w:r>
    </w:p>
    <w:p w14:paraId="76F3748C" w14:textId="77777777" w:rsidR="00476449" w:rsidRPr="00476449" w:rsidRDefault="00476449" w:rsidP="00476449">
      <w:pPr>
        <w:pStyle w:val="EndNoteBibliography"/>
        <w:ind w:left="720" w:hanging="720"/>
      </w:pPr>
      <w:r w:rsidRPr="00476449">
        <w:rPr>
          <w:b/>
        </w:rPr>
        <w:t xml:space="preserve">Cui, H., Kong, D., Wei, P., Hao, Y., Torii, K. U., Lee, J. S. and Li, J. </w:t>
      </w:r>
      <w:r w:rsidRPr="00476449">
        <w:t xml:space="preserve">(2014). SPINDLY, ERECTA, and its ligand STOMAGEN have a role in redox-mediated cortex proliferation in the Arabidopsis root. </w:t>
      </w:r>
      <w:r w:rsidRPr="00476449">
        <w:rPr>
          <w:i/>
        </w:rPr>
        <w:t>Mol Plant</w:t>
      </w:r>
      <w:r w:rsidRPr="00476449">
        <w:t xml:space="preserve"> </w:t>
      </w:r>
      <w:r w:rsidRPr="00476449">
        <w:rPr>
          <w:b/>
        </w:rPr>
        <w:t>7</w:t>
      </w:r>
      <w:r w:rsidRPr="00476449">
        <w:t>, 1727-1739.</w:t>
      </w:r>
    </w:p>
    <w:p w14:paraId="1BBAC73D" w14:textId="77777777" w:rsidR="00476449" w:rsidRPr="00476449" w:rsidRDefault="00476449" w:rsidP="00476449">
      <w:pPr>
        <w:pStyle w:val="EndNoteBibliography"/>
        <w:ind w:left="720" w:hanging="720"/>
      </w:pPr>
      <w:r w:rsidRPr="00476449">
        <w:rPr>
          <w:b/>
        </w:rPr>
        <w:t xml:space="preserve">Curtis, M. D. and Grossniklaus, U. </w:t>
      </w:r>
      <w:r w:rsidRPr="00476449">
        <w:t xml:space="preserve">(2003). A Gateway Cloning Vector Set for High-Throughput Functional Analysis of Genes in Planta. </w:t>
      </w:r>
      <w:r w:rsidRPr="00476449">
        <w:rPr>
          <w:i/>
        </w:rPr>
        <w:t>Plant Physiology</w:t>
      </w:r>
      <w:r w:rsidRPr="00476449">
        <w:t xml:space="preserve"> </w:t>
      </w:r>
      <w:r w:rsidRPr="00476449">
        <w:rPr>
          <w:b/>
        </w:rPr>
        <w:t>133</w:t>
      </w:r>
      <w:r w:rsidRPr="00476449">
        <w:t>, 462-469.</w:t>
      </w:r>
    </w:p>
    <w:p w14:paraId="5A0D1B99" w14:textId="77777777" w:rsidR="00476449" w:rsidRPr="00476449" w:rsidRDefault="00476449" w:rsidP="00476449">
      <w:pPr>
        <w:pStyle w:val="EndNoteBibliography"/>
        <w:ind w:left="720" w:hanging="720"/>
      </w:pPr>
      <w:r w:rsidRPr="00476449">
        <w:rPr>
          <w:b/>
        </w:rPr>
        <w:t xml:space="preserve">Daszkowska-Golec, A. and Szarejko, I. </w:t>
      </w:r>
      <w:r w:rsidRPr="00476449">
        <w:t xml:space="preserve">(2013). Open or close the gate - stomata action under the control of phytohormones in drought stress conditions. </w:t>
      </w:r>
      <w:r w:rsidRPr="00476449">
        <w:rPr>
          <w:i/>
        </w:rPr>
        <w:t>Front Plant Sci</w:t>
      </w:r>
      <w:r w:rsidRPr="00476449">
        <w:t xml:space="preserve"> </w:t>
      </w:r>
      <w:r w:rsidRPr="00476449">
        <w:rPr>
          <w:b/>
        </w:rPr>
        <w:t>4</w:t>
      </w:r>
      <w:r w:rsidRPr="00476449">
        <w:t>, 138.</w:t>
      </w:r>
    </w:p>
    <w:p w14:paraId="367ED34F" w14:textId="77777777" w:rsidR="00476449" w:rsidRPr="00476449" w:rsidRDefault="00476449" w:rsidP="00476449">
      <w:pPr>
        <w:pStyle w:val="EndNoteBibliography"/>
        <w:ind w:left="720" w:hanging="720"/>
      </w:pPr>
      <w:r w:rsidRPr="00476449">
        <w:rPr>
          <w:b/>
        </w:rPr>
        <w:t xml:space="preserve">Davies, K. A. and Bergmann, D. C. </w:t>
      </w:r>
      <w:r w:rsidRPr="00476449">
        <w:t xml:space="preserve">(2014). Functional specialization of stomatal bHLHs through modification of DNA-binding and phosphoregulation potential. </w:t>
      </w:r>
      <w:r w:rsidRPr="00476449">
        <w:rPr>
          <w:i/>
        </w:rPr>
        <w:t>Proceedings of the National Academy of Sciences of the United States of America</w:t>
      </w:r>
      <w:r w:rsidRPr="00476449">
        <w:t xml:space="preserve"> </w:t>
      </w:r>
      <w:r w:rsidRPr="00476449">
        <w:rPr>
          <w:b/>
        </w:rPr>
        <w:t>111</w:t>
      </w:r>
      <w:r w:rsidRPr="00476449">
        <w:t>, 15585-15590.</w:t>
      </w:r>
    </w:p>
    <w:p w14:paraId="73359617" w14:textId="77777777" w:rsidR="00476449" w:rsidRPr="00476449" w:rsidRDefault="00476449" w:rsidP="00476449">
      <w:pPr>
        <w:pStyle w:val="EndNoteBibliography"/>
        <w:ind w:left="720" w:hanging="720"/>
      </w:pPr>
      <w:r w:rsidRPr="00476449">
        <w:rPr>
          <w:b/>
        </w:rPr>
        <w:t xml:space="preserve">de Marcos, A., Triviño, M., Fenoll, C. and Mena, M. </w:t>
      </w:r>
      <w:r w:rsidRPr="00476449">
        <w:t xml:space="preserve">(2016). Too many faces for TOO MANY MOUTHS? </w:t>
      </w:r>
      <w:r w:rsidRPr="00476449">
        <w:rPr>
          <w:i/>
        </w:rPr>
        <w:t>New Phytologist</w:t>
      </w:r>
      <w:r w:rsidRPr="00476449">
        <w:t>, n/a-n/a.</w:t>
      </w:r>
    </w:p>
    <w:p w14:paraId="7E95893E" w14:textId="77777777" w:rsidR="00476449" w:rsidRPr="00476449" w:rsidRDefault="00476449" w:rsidP="00476449">
      <w:pPr>
        <w:pStyle w:val="EndNoteBibliography"/>
        <w:ind w:left="720" w:hanging="720"/>
      </w:pPr>
      <w:r w:rsidRPr="00476449">
        <w:rPr>
          <w:b/>
        </w:rPr>
        <w:t xml:space="preserve">DeYoung, B. J., Bickle, K. L., Schrage, K. J., Muskett, P., Patel, K. and Clark, S. E. </w:t>
      </w:r>
      <w:r w:rsidRPr="00476449">
        <w:t xml:space="preserve">(2006). The CLAVATA1-related BAM1, BAM2 and BAM3 receptor kinase-like proteins are required for meristem function in Arabidopsis. </w:t>
      </w:r>
      <w:r w:rsidRPr="00476449">
        <w:rPr>
          <w:i/>
        </w:rPr>
        <w:t>Plant J</w:t>
      </w:r>
      <w:r w:rsidRPr="00476449">
        <w:t xml:space="preserve"> </w:t>
      </w:r>
      <w:r w:rsidRPr="00476449">
        <w:rPr>
          <w:b/>
        </w:rPr>
        <w:t>45</w:t>
      </w:r>
      <w:r w:rsidRPr="00476449">
        <w:t>, 1-16.</w:t>
      </w:r>
    </w:p>
    <w:p w14:paraId="6294F98F" w14:textId="77777777" w:rsidR="00476449" w:rsidRPr="00476449" w:rsidRDefault="00476449" w:rsidP="00476449">
      <w:pPr>
        <w:pStyle w:val="EndNoteBibliography"/>
        <w:ind w:left="720" w:hanging="720"/>
      </w:pPr>
      <w:r w:rsidRPr="00476449">
        <w:rPr>
          <w:b/>
        </w:rPr>
        <w:t xml:space="preserve">Deyoung, B. J. and Clark, S. E. </w:t>
      </w:r>
      <w:r w:rsidRPr="00476449">
        <w:t xml:space="preserve">(2008). BAM receptors regulate stem cell specification and organ development through complex interactions with CLAVATA signaling. </w:t>
      </w:r>
      <w:r w:rsidRPr="00476449">
        <w:rPr>
          <w:i/>
        </w:rPr>
        <w:t>Genetics</w:t>
      </w:r>
      <w:r w:rsidRPr="00476449">
        <w:t xml:space="preserve"> </w:t>
      </w:r>
      <w:r w:rsidRPr="00476449">
        <w:rPr>
          <w:b/>
        </w:rPr>
        <w:t>180</w:t>
      </w:r>
      <w:r w:rsidRPr="00476449">
        <w:t>, 895-904.</w:t>
      </w:r>
    </w:p>
    <w:p w14:paraId="4182055C" w14:textId="77777777" w:rsidR="00476449" w:rsidRPr="00476449" w:rsidRDefault="00476449" w:rsidP="00476449">
      <w:pPr>
        <w:pStyle w:val="EndNoteBibliography"/>
        <w:ind w:left="720" w:hanging="720"/>
      </w:pPr>
      <w:r w:rsidRPr="00476449">
        <w:rPr>
          <w:b/>
        </w:rPr>
        <w:t xml:space="preserve">Dissmeyer, N., Nowack, M. K., Pusch, S., Stals, H., Inzé, D., Grini, P. E. and Schnittger, A. </w:t>
      </w:r>
      <w:r w:rsidRPr="00476449">
        <w:t xml:space="preserve">(2007). T-Loop Phosphorylation of Arabidopsis CDKA;1 Is Required for Its Function and Can Be Partially Substituted by an Aspartate Residue. </w:t>
      </w:r>
      <w:r w:rsidRPr="00476449">
        <w:rPr>
          <w:i/>
        </w:rPr>
        <w:t>The Plant Cell</w:t>
      </w:r>
      <w:r w:rsidRPr="00476449">
        <w:t xml:space="preserve"> </w:t>
      </w:r>
      <w:r w:rsidRPr="00476449">
        <w:rPr>
          <w:b/>
        </w:rPr>
        <w:t>19</w:t>
      </w:r>
      <w:r w:rsidRPr="00476449">
        <w:t>, 972-985.</w:t>
      </w:r>
    </w:p>
    <w:p w14:paraId="4F792ACC" w14:textId="77777777" w:rsidR="00476449" w:rsidRPr="00476449" w:rsidRDefault="00476449" w:rsidP="00476449">
      <w:pPr>
        <w:pStyle w:val="EndNoteBibliography"/>
        <w:ind w:left="720" w:hanging="720"/>
      </w:pPr>
      <w:r w:rsidRPr="00476449">
        <w:rPr>
          <w:b/>
        </w:rPr>
        <w:t xml:space="preserve">Doheny-Adams, T., Hunt, L., Franks, P. J., Beerling, D. J. and Gray, J. E. </w:t>
      </w:r>
      <w:r w:rsidRPr="00476449">
        <w:t xml:space="preserve">(2012). Genetic manipulation of stomatal density influences stomatal size, plant growth and tolerance to restricted water supply across a growth carbon dioxide gradient. </w:t>
      </w:r>
      <w:r w:rsidRPr="00476449">
        <w:rPr>
          <w:i/>
        </w:rPr>
        <w:t>Philosophical Transactions of the Royal Society B-Biological Sciences</w:t>
      </w:r>
      <w:r w:rsidRPr="00476449">
        <w:t xml:space="preserve"> </w:t>
      </w:r>
      <w:r w:rsidRPr="00476449">
        <w:rPr>
          <w:b/>
        </w:rPr>
        <w:t>367</w:t>
      </w:r>
      <w:r w:rsidRPr="00476449">
        <w:t>, 547-555.</w:t>
      </w:r>
    </w:p>
    <w:p w14:paraId="62C11A43" w14:textId="77777777" w:rsidR="00476449" w:rsidRPr="00476449" w:rsidRDefault="00476449" w:rsidP="00476449">
      <w:pPr>
        <w:pStyle w:val="EndNoteBibliography"/>
        <w:ind w:left="720" w:hanging="720"/>
      </w:pPr>
      <w:r w:rsidRPr="00476449">
        <w:rPr>
          <w:b/>
        </w:rPr>
        <w:t xml:space="preserve">Dong, C.-H., Agarwal, M., Zhang, Y., Xie, Q. and Zhu, J.-K. </w:t>
      </w:r>
      <w:r w:rsidRPr="00476449">
        <w:t xml:space="preserve">(2006). The negative regulator of plant cold responses, HOS1, is a RING E3 ligase that mediates the ubiquitination and degradation of ICE1. </w:t>
      </w:r>
      <w:r w:rsidRPr="00476449">
        <w:rPr>
          <w:i/>
        </w:rPr>
        <w:t>Proceedings of the National Academy of Sciences of the United States of America</w:t>
      </w:r>
      <w:r w:rsidRPr="00476449">
        <w:t xml:space="preserve"> </w:t>
      </w:r>
      <w:r w:rsidRPr="00476449">
        <w:rPr>
          <w:b/>
        </w:rPr>
        <w:t>103</w:t>
      </w:r>
      <w:r w:rsidRPr="00476449">
        <w:t>, 8281-8286.</w:t>
      </w:r>
    </w:p>
    <w:p w14:paraId="534EECEC" w14:textId="77777777" w:rsidR="00476449" w:rsidRPr="00476449" w:rsidRDefault="00476449" w:rsidP="00476449">
      <w:pPr>
        <w:pStyle w:val="EndNoteBibliography"/>
        <w:ind w:left="720" w:hanging="720"/>
      </w:pPr>
      <w:r w:rsidRPr="00476449">
        <w:rPr>
          <w:b/>
        </w:rPr>
        <w:t xml:space="preserve">Dong, J., MacAlister, C. A. and Bergmann, D. C. </w:t>
      </w:r>
      <w:r w:rsidRPr="00476449">
        <w:t xml:space="preserve">(2009). BASL Controls Asymmetric Cell Division in Arabidopsis. </w:t>
      </w:r>
      <w:r w:rsidRPr="00476449">
        <w:rPr>
          <w:i/>
        </w:rPr>
        <w:t>Cell</w:t>
      </w:r>
      <w:r w:rsidRPr="00476449">
        <w:t xml:space="preserve"> </w:t>
      </w:r>
      <w:r w:rsidRPr="00476449">
        <w:rPr>
          <w:b/>
        </w:rPr>
        <w:t>137</w:t>
      </w:r>
      <w:r w:rsidRPr="00476449">
        <w:t>, 1320-1330.</w:t>
      </w:r>
    </w:p>
    <w:p w14:paraId="583864DC" w14:textId="77777777" w:rsidR="00476449" w:rsidRPr="00476449" w:rsidRDefault="00476449" w:rsidP="00476449">
      <w:pPr>
        <w:pStyle w:val="EndNoteBibliography"/>
        <w:ind w:left="720" w:hanging="720"/>
      </w:pPr>
      <w:r w:rsidRPr="00476449">
        <w:rPr>
          <w:b/>
        </w:rPr>
        <w:t xml:space="preserve">Duckett, J. G., Ligrone, R., Renzaglia, K. S. and Pressel, S. </w:t>
      </w:r>
      <w:r w:rsidRPr="00476449">
        <w:t xml:space="preserve">(2014). Pegged and smooth rhizoids in complex thalloid liverworts (Marchantiopsida): structure, function and evolution. </w:t>
      </w:r>
      <w:r w:rsidRPr="00476449">
        <w:rPr>
          <w:i/>
        </w:rPr>
        <w:t>Botanical Journal of the Linnean Society</w:t>
      </w:r>
      <w:r w:rsidRPr="00476449">
        <w:t xml:space="preserve"> </w:t>
      </w:r>
      <w:r w:rsidRPr="00476449">
        <w:rPr>
          <w:b/>
        </w:rPr>
        <w:t>174</w:t>
      </w:r>
      <w:r w:rsidRPr="00476449">
        <w:t>, 68-92.</w:t>
      </w:r>
    </w:p>
    <w:p w14:paraId="5779A1C1" w14:textId="77777777" w:rsidR="00476449" w:rsidRPr="00476449" w:rsidRDefault="00476449" w:rsidP="00476449">
      <w:pPr>
        <w:pStyle w:val="EndNoteBibliography"/>
        <w:ind w:left="720" w:hanging="720"/>
      </w:pPr>
      <w:r w:rsidRPr="00476449">
        <w:rPr>
          <w:b/>
        </w:rPr>
        <w:t xml:space="preserve">Duckett, J. G., Pressel, S., P'ng, K. M. Y. and Renzaglia, K. S. </w:t>
      </w:r>
      <w:r w:rsidRPr="00476449">
        <w:t xml:space="preserve">(2009). Exploding a myth: the capsule dehiscence mechanism and the function of pseudostomata in Sphagnum. </w:t>
      </w:r>
      <w:r w:rsidRPr="00476449">
        <w:rPr>
          <w:i/>
        </w:rPr>
        <w:t>New Phytologist</w:t>
      </w:r>
      <w:r w:rsidRPr="00476449">
        <w:t xml:space="preserve"> </w:t>
      </w:r>
      <w:r w:rsidRPr="00476449">
        <w:rPr>
          <w:b/>
        </w:rPr>
        <w:t>183</w:t>
      </w:r>
      <w:r w:rsidRPr="00476449">
        <w:t>, 1053-1063.</w:t>
      </w:r>
    </w:p>
    <w:p w14:paraId="4A4DEA64" w14:textId="77777777" w:rsidR="00476449" w:rsidRPr="00476449" w:rsidRDefault="00476449" w:rsidP="00476449">
      <w:pPr>
        <w:pStyle w:val="EndNoteBibliography"/>
        <w:ind w:left="720" w:hanging="720"/>
      </w:pPr>
      <w:r w:rsidRPr="00476449">
        <w:rPr>
          <w:b/>
        </w:rPr>
        <w:t xml:space="preserve">Edgar, R. C. </w:t>
      </w:r>
      <w:r w:rsidRPr="00476449">
        <w:t xml:space="preserve">(2004). MUSCLE: a multiple sequence alignment method with reduced time and space complexity. </w:t>
      </w:r>
      <w:r w:rsidRPr="00476449">
        <w:rPr>
          <w:i/>
        </w:rPr>
        <w:t>BMC Bioinformatics</w:t>
      </w:r>
      <w:r w:rsidRPr="00476449">
        <w:t xml:space="preserve"> </w:t>
      </w:r>
      <w:r w:rsidRPr="00476449">
        <w:rPr>
          <w:b/>
        </w:rPr>
        <w:t>5</w:t>
      </w:r>
      <w:r w:rsidRPr="00476449">
        <w:t>, 113.</w:t>
      </w:r>
    </w:p>
    <w:p w14:paraId="6EEEE055" w14:textId="77777777" w:rsidR="00476449" w:rsidRPr="00476449" w:rsidRDefault="00476449" w:rsidP="00476449">
      <w:pPr>
        <w:pStyle w:val="EndNoteBibliography"/>
        <w:ind w:left="720" w:hanging="720"/>
      </w:pPr>
      <w:r w:rsidRPr="00476449">
        <w:rPr>
          <w:b/>
        </w:rPr>
        <w:t xml:space="preserve">Edwards, D. </w:t>
      </w:r>
      <w:r w:rsidRPr="00476449">
        <w:t xml:space="preserve">(1996). New insights into early land ecosystems: a glimpse of a lilliputian world. </w:t>
      </w:r>
      <w:r w:rsidRPr="00476449">
        <w:rPr>
          <w:i/>
        </w:rPr>
        <w:t>Review of Palaeobotany and Palynology</w:t>
      </w:r>
      <w:r w:rsidRPr="00476449">
        <w:t xml:space="preserve"> </w:t>
      </w:r>
      <w:r w:rsidRPr="00476449">
        <w:rPr>
          <w:b/>
        </w:rPr>
        <w:t>90</w:t>
      </w:r>
      <w:r w:rsidRPr="00476449">
        <w:t>, 159-174.</w:t>
      </w:r>
    </w:p>
    <w:p w14:paraId="56748DB1" w14:textId="77777777" w:rsidR="00476449" w:rsidRPr="00476449" w:rsidRDefault="00476449" w:rsidP="00476449">
      <w:pPr>
        <w:pStyle w:val="EndNoteBibliography"/>
        <w:ind w:left="720" w:hanging="720"/>
      </w:pPr>
      <w:r w:rsidRPr="00476449">
        <w:rPr>
          <w:b/>
        </w:rPr>
        <w:t xml:space="preserve">Edwards, D., Davies, K. L. and Axe, L. </w:t>
      </w:r>
      <w:r w:rsidRPr="00476449">
        <w:t xml:space="preserve">(1992). A vascular conducting strand in the early land plant Cooksonia. </w:t>
      </w:r>
      <w:r w:rsidRPr="00476449">
        <w:rPr>
          <w:i/>
        </w:rPr>
        <w:t>Nature</w:t>
      </w:r>
      <w:r w:rsidRPr="00476449">
        <w:t xml:space="preserve"> </w:t>
      </w:r>
      <w:r w:rsidRPr="00476449">
        <w:rPr>
          <w:b/>
        </w:rPr>
        <w:t>357</w:t>
      </w:r>
      <w:r w:rsidRPr="00476449">
        <w:t>, 683-685.</w:t>
      </w:r>
    </w:p>
    <w:p w14:paraId="09A93554" w14:textId="77777777" w:rsidR="00476449" w:rsidRPr="00476449" w:rsidRDefault="00476449" w:rsidP="00476449">
      <w:pPr>
        <w:pStyle w:val="EndNoteBibliography"/>
        <w:ind w:left="720" w:hanging="720"/>
      </w:pPr>
      <w:r w:rsidRPr="00476449">
        <w:rPr>
          <w:b/>
        </w:rPr>
        <w:t xml:space="preserve">Edwards, D., Fanning, U. and Richardson, J. B. </w:t>
      </w:r>
      <w:r w:rsidRPr="00476449">
        <w:t xml:space="preserve">(1986). Stomata and sterome in early land plants. </w:t>
      </w:r>
      <w:r w:rsidRPr="00476449">
        <w:rPr>
          <w:i/>
        </w:rPr>
        <w:t>Nature</w:t>
      </w:r>
      <w:r w:rsidRPr="00476449">
        <w:t xml:space="preserve"> </w:t>
      </w:r>
      <w:r w:rsidRPr="00476449">
        <w:rPr>
          <w:b/>
        </w:rPr>
        <w:t>323</w:t>
      </w:r>
      <w:r w:rsidRPr="00476449">
        <w:t>, 438-440.</w:t>
      </w:r>
    </w:p>
    <w:p w14:paraId="42257915" w14:textId="77777777" w:rsidR="00476449" w:rsidRPr="00476449" w:rsidRDefault="00476449" w:rsidP="00476449">
      <w:pPr>
        <w:pStyle w:val="EndNoteBibliography"/>
        <w:ind w:left="720" w:hanging="720"/>
      </w:pPr>
      <w:r w:rsidRPr="00476449">
        <w:rPr>
          <w:b/>
        </w:rPr>
        <w:t xml:space="preserve">Edwards, D. and Feehan, J. </w:t>
      </w:r>
      <w:r w:rsidRPr="00476449">
        <w:t xml:space="preserve">(1980). Records of Cooksonia-type sporangia from late Wenlock strata in Ireland. </w:t>
      </w:r>
      <w:r w:rsidRPr="00476449">
        <w:rPr>
          <w:i/>
        </w:rPr>
        <w:t>Nature</w:t>
      </w:r>
      <w:r w:rsidRPr="00476449">
        <w:t xml:space="preserve"> </w:t>
      </w:r>
      <w:r w:rsidRPr="00476449">
        <w:rPr>
          <w:b/>
        </w:rPr>
        <w:t>287</w:t>
      </w:r>
      <w:r w:rsidRPr="00476449">
        <w:t>, 41-42.</w:t>
      </w:r>
    </w:p>
    <w:p w14:paraId="62D7A50F" w14:textId="77777777" w:rsidR="00476449" w:rsidRPr="00476449" w:rsidRDefault="00476449" w:rsidP="00476449">
      <w:pPr>
        <w:pStyle w:val="EndNoteBibliography"/>
        <w:ind w:left="720" w:hanging="720"/>
      </w:pPr>
      <w:r w:rsidRPr="00476449">
        <w:rPr>
          <w:b/>
        </w:rPr>
        <w:t xml:space="preserve">Edwards, D., Kerp, H. and Hass, H. </w:t>
      </w:r>
      <w:r w:rsidRPr="00476449">
        <w:t xml:space="preserve">(1998). Stomata in early land plants: an anatomical and ecophysiological approach. </w:t>
      </w:r>
      <w:r w:rsidRPr="00476449">
        <w:rPr>
          <w:i/>
        </w:rPr>
        <w:t>Journal of Experimental Botany</w:t>
      </w:r>
      <w:r w:rsidRPr="00476449">
        <w:t xml:space="preserve"> </w:t>
      </w:r>
      <w:r w:rsidRPr="00476449">
        <w:rPr>
          <w:b/>
        </w:rPr>
        <w:t>49</w:t>
      </w:r>
      <w:r w:rsidRPr="00476449">
        <w:t>, 255-278.</w:t>
      </w:r>
    </w:p>
    <w:p w14:paraId="1B6B0807" w14:textId="77777777" w:rsidR="00476449" w:rsidRPr="00476449" w:rsidRDefault="00476449" w:rsidP="00476449">
      <w:pPr>
        <w:pStyle w:val="EndNoteBibliography"/>
        <w:ind w:left="720" w:hanging="720"/>
      </w:pPr>
      <w:r w:rsidRPr="00476449">
        <w:rPr>
          <w:b/>
        </w:rPr>
        <w:lastRenderedPageBreak/>
        <w:t xml:space="preserve">Edwards, D., Morris, J. L., Richardson, J. B. and Kenrick, P. </w:t>
      </w:r>
      <w:r w:rsidRPr="00476449">
        <w:t xml:space="preserve">(2014). Cryptospores and cryptophytes reveal hidden diversity in early land floras. </w:t>
      </w:r>
      <w:r w:rsidRPr="00476449">
        <w:rPr>
          <w:i/>
        </w:rPr>
        <w:t>New Phytologist</w:t>
      </w:r>
      <w:r w:rsidRPr="00476449">
        <w:t xml:space="preserve"> </w:t>
      </w:r>
      <w:r w:rsidRPr="00476449">
        <w:rPr>
          <w:b/>
        </w:rPr>
        <w:t>202</w:t>
      </w:r>
      <w:r w:rsidRPr="00476449">
        <w:t>, 50-78.</w:t>
      </w:r>
    </w:p>
    <w:p w14:paraId="77A51AB5" w14:textId="77777777" w:rsidR="00476449" w:rsidRPr="00476449" w:rsidRDefault="00476449" w:rsidP="00476449">
      <w:pPr>
        <w:pStyle w:val="EndNoteBibliography"/>
        <w:ind w:left="720" w:hanging="720"/>
      </w:pPr>
      <w:r w:rsidRPr="00476449">
        <w:rPr>
          <w:b/>
        </w:rPr>
        <w:t xml:space="preserve">Edwards, D., Richardson, J. B., Axe, L. and Davies, K. L. </w:t>
      </w:r>
      <w:r w:rsidRPr="00476449">
        <w:t xml:space="preserve">(2012). A new group of Early Devonian plants with valvate sporangia containing sculptured permanent dyads. </w:t>
      </w:r>
      <w:r w:rsidRPr="00476449">
        <w:rPr>
          <w:i/>
        </w:rPr>
        <w:t>Botanical Journal of the Linnean Society</w:t>
      </w:r>
      <w:r w:rsidRPr="00476449">
        <w:t xml:space="preserve"> </w:t>
      </w:r>
      <w:r w:rsidRPr="00476449">
        <w:rPr>
          <w:b/>
        </w:rPr>
        <w:t>168</w:t>
      </w:r>
      <w:r w:rsidRPr="00476449">
        <w:t>, 229-257.</w:t>
      </w:r>
    </w:p>
    <w:p w14:paraId="6EC0CFE8" w14:textId="77777777" w:rsidR="00476449" w:rsidRPr="00476449" w:rsidRDefault="00476449" w:rsidP="00476449">
      <w:pPr>
        <w:pStyle w:val="EndNoteBibliography"/>
        <w:ind w:left="720" w:hanging="720"/>
      </w:pPr>
      <w:r w:rsidRPr="00476449">
        <w:rPr>
          <w:b/>
        </w:rPr>
        <w:t xml:space="preserve">Edwards, D. H. and Kenrick, P. </w:t>
      </w:r>
      <w:r w:rsidRPr="00476449">
        <w:t xml:space="preserve">(2015). The early evolution of land plants, from fossils to genomics: a commentary on Lang (1937) ‘On the plant-remains from the Downtonian of England and Wales'. </w:t>
      </w:r>
      <w:r w:rsidRPr="00476449">
        <w:rPr>
          <w:i/>
        </w:rPr>
        <w:t>Philosophical Transactions of the Royal Society B</w:t>
      </w:r>
      <w:r w:rsidRPr="00476449">
        <w:t xml:space="preserve"> </w:t>
      </w:r>
      <w:r w:rsidRPr="00476449">
        <w:rPr>
          <w:b/>
        </w:rPr>
        <w:t>370</w:t>
      </w:r>
      <w:r w:rsidRPr="00476449">
        <w:t>.</w:t>
      </w:r>
    </w:p>
    <w:p w14:paraId="6B8C5033" w14:textId="77777777" w:rsidR="00476449" w:rsidRPr="00476449" w:rsidRDefault="00476449" w:rsidP="00476449">
      <w:pPr>
        <w:pStyle w:val="EndNoteBibliography"/>
        <w:ind w:left="720" w:hanging="720"/>
      </w:pPr>
      <w:r w:rsidRPr="00476449">
        <w:rPr>
          <w:b/>
        </w:rPr>
        <w:t xml:space="preserve">Engineer, C. B., Ghassemian, M., Anderson, J. C., Peck, S. C., Hu, H. H. and Schroeder, J. I. </w:t>
      </w:r>
      <w:r w:rsidRPr="00476449">
        <w:t xml:space="preserve">(2014). Carbonic anhydrases, EPF2 and a novel protease mediate CO2 control of stomatal development. </w:t>
      </w:r>
      <w:r w:rsidRPr="00476449">
        <w:rPr>
          <w:i/>
        </w:rPr>
        <w:t>Nature</w:t>
      </w:r>
      <w:r w:rsidRPr="00476449">
        <w:t xml:space="preserve"> </w:t>
      </w:r>
      <w:r w:rsidRPr="00476449">
        <w:rPr>
          <w:b/>
        </w:rPr>
        <w:t>513</w:t>
      </w:r>
      <w:r w:rsidRPr="00476449">
        <w:t>, 246-+.</w:t>
      </w:r>
    </w:p>
    <w:p w14:paraId="7D97D0A6" w14:textId="77777777" w:rsidR="00476449" w:rsidRPr="00476449" w:rsidRDefault="00476449" w:rsidP="00476449">
      <w:pPr>
        <w:pStyle w:val="EndNoteBibliography"/>
        <w:ind w:left="720" w:hanging="720"/>
      </w:pPr>
      <w:r w:rsidRPr="00476449">
        <w:rPr>
          <w:b/>
        </w:rPr>
        <w:t xml:space="preserve">Felsenstein, J. </w:t>
      </w:r>
      <w:r w:rsidRPr="00476449">
        <w:t xml:space="preserve">(1985). Confidence Limits on Phylogenies: An Approach Using the Bootstrap. </w:t>
      </w:r>
      <w:r w:rsidRPr="00476449">
        <w:rPr>
          <w:i/>
        </w:rPr>
        <w:t>Evolution</w:t>
      </w:r>
      <w:r w:rsidRPr="00476449">
        <w:t xml:space="preserve"> </w:t>
      </w:r>
      <w:r w:rsidRPr="00476449">
        <w:rPr>
          <w:b/>
        </w:rPr>
        <w:t>39</w:t>
      </w:r>
      <w:r w:rsidRPr="00476449">
        <w:t>, 783-791.</w:t>
      </w:r>
    </w:p>
    <w:p w14:paraId="79F30561" w14:textId="77777777" w:rsidR="00476449" w:rsidRPr="00476449" w:rsidRDefault="00476449" w:rsidP="00476449">
      <w:pPr>
        <w:pStyle w:val="EndNoteBibliography"/>
        <w:ind w:left="720" w:hanging="720"/>
      </w:pPr>
      <w:r w:rsidRPr="00476449">
        <w:rPr>
          <w:b/>
        </w:rPr>
        <w:t xml:space="preserve">Ferre-D'Amare, A. R., Pognonec, P., Roeder, R. G. and Burley, S. K. </w:t>
      </w:r>
      <w:r w:rsidRPr="00476449">
        <w:t xml:space="preserve">(1994). Structure and function of the b/HLH/Z domain of USF. </w:t>
      </w:r>
      <w:r w:rsidRPr="00476449">
        <w:rPr>
          <w:i/>
        </w:rPr>
        <w:t>Embo j</w:t>
      </w:r>
      <w:r w:rsidRPr="00476449">
        <w:t xml:space="preserve"> </w:t>
      </w:r>
      <w:r w:rsidRPr="00476449">
        <w:rPr>
          <w:b/>
        </w:rPr>
        <w:t>13</w:t>
      </w:r>
      <w:r w:rsidRPr="00476449">
        <w:t>, 180-189.</w:t>
      </w:r>
    </w:p>
    <w:p w14:paraId="6EB8CB93" w14:textId="77777777" w:rsidR="00476449" w:rsidRPr="00476449" w:rsidRDefault="00476449" w:rsidP="00476449">
      <w:pPr>
        <w:pStyle w:val="EndNoteBibliography"/>
        <w:ind w:left="720" w:hanging="720"/>
      </w:pPr>
      <w:r w:rsidRPr="00476449">
        <w:rPr>
          <w:b/>
        </w:rPr>
        <w:t xml:space="preserve">Field, K. J., Duckett, J. G., Cameron, D. D. and Pressel, S. </w:t>
      </w:r>
      <w:r w:rsidRPr="00476449">
        <w:t xml:space="preserve">(2015). Stomatal density and aperture in non-vascular land plants are non-responsive to above-ambient atmospheric CO2 concentrations. </w:t>
      </w:r>
      <w:r w:rsidRPr="00476449">
        <w:rPr>
          <w:i/>
        </w:rPr>
        <w:t>Annals of Botany</w:t>
      </w:r>
      <w:r w:rsidRPr="00476449">
        <w:t xml:space="preserve"> </w:t>
      </w:r>
      <w:r w:rsidRPr="00476449">
        <w:rPr>
          <w:b/>
        </w:rPr>
        <w:t>115</w:t>
      </w:r>
      <w:r w:rsidRPr="00476449">
        <w:t>, 915-922.</w:t>
      </w:r>
    </w:p>
    <w:p w14:paraId="5882EC02" w14:textId="77777777" w:rsidR="00476449" w:rsidRPr="00476449" w:rsidRDefault="00476449" w:rsidP="00476449">
      <w:pPr>
        <w:pStyle w:val="EndNoteBibliography"/>
        <w:ind w:left="720" w:hanging="720"/>
      </w:pPr>
      <w:r w:rsidRPr="00476449">
        <w:rPr>
          <w:b/>
        </w:rPr>
        <w:t xml:space="preserve">Franks, P. J. and Beerling, D. J. </w:t>
      </w:r>
      <w:r w:rsidRPr="00476449">
        <w:t xml:space="preserve">(2009). Maximum leaf conductance driven by CO2 effects on stomatal size and density over geologic time. </w:t>
      </w:r>
      <w:r w:rsidRPr="00476449">
        <w:rPr>
          <w:i/>
        </w:rPr>
        <w:t>Proceedings of the National Academy of Sciences of the United States of America</w:t>
      </w:r>
      <w:r w:rsidRPr="00476449">
        <w:t xml:space="preserve"> </w:t>
      </w:r>
      <w:r w:rsidRPr="00476449">
        <w:rPr>
          <w:b/>
        </w:rPr>
        <w:t>106</w:t>
      </w:r>
      <w:r w:rsidRPr="00476449">
        <w:t>, 10343-10347.</w:t>
      </w:r>
    </w:p>
    <w:p w14:paraId="470D174A" w14:textId="77777777" w:rsidR="00476449" w:rsidRPr="00476449" w:rsidRDefault="00476449" w:rsidP="00476449">
      <w:pPr>
        <w:pStyle w:val="EndNoteBibliography"/>
        <w:ind w:left="720" w:hanging="720"/>
      </w:pPr>
      <w:r w:rsidRPr="00476449">
        <w:rPr>
          <w:b/>
        </w:rPr>
        <w:t xml:space="preserve">Franks, P. J. and Britton-Harper, Z. J. </w:t>
      </w:r>
      <w:r w:rsidRPr="00476449">
        <w:t xml:space="preserve">(2016). No evidence of general CO2 insensitivity in ferns: one stomatal control mechanism for all land plants? </w:t>
      </w:r>
      <w:r w:rsidRPr="00476449">
        <w:rPr>
          <w:i/>
        </w:rPr>
        <w:t>New Phytologist</w:t>
      </w:r>
      <w:r w:rsidRPr="00476449">
        <w:t xml:space="preserve"> </w:t>
      </w:r>
      <w:r w:rsidRPr="00476449">
        <w:rPr>
          <w:b/>
        </w:rPr>
        <w:t>211</w:t>
      </w:r>
      <w:r w:rsidRPr="00476449">
        <w:t>, 819-827.</w:t>
      </w:r>
    </w:p>
    <w:p w14:paraId="1CA8AAC9" w14:textId="77777777" w:rsidR="00476449" w:rsidRPr="00476449" w:rsidRDefault="00476449" w:rsidP="00476449">
      <w:pPr>
        <w:pStyle w:val="EndNoteBibliography"/>
        <w:ind w:left="720" w:hanging="720"/>
      </w:pPr>
      <w:r w:rsidRPr="00476449">
        <w:rPr>
          <w:b/>
        </w:rPr>
        <w:t xml:space="preserve">Franks, P. J. and Farquhar, G. D. </w:t>
      </w:r>
      <w:r w:rsidRPr="00476449">
        <w:t xml:space="preserve">(2007). The mechanical diversity of stomata and its significance in gas-exchange control. </w:t>
      </w:r>
      <w:r w:rsidRPr="00476449">
        <w:rPr>
          <w:i/>
        </w:rPr>
        <w:t>Plant Physiol</w:t>
      </w:r>
      <w:r w:rsidRPr="00476449">
        <w:t xml:space="preserve"> </w:t>
      </w:r>
      <w:r w:rsidRPr="00476449">
        <w:rPr>
          <w:b/>
        </w:rPr>
        <w:t>143</w:t>
      </w:r>
      <w:r w:rsidRPr="00476449">
        <w:t>, 78-87.</w:t>
      </w:r>
    </w:p>
    <w:p w14:paraId="03F6AC27" w14:textId="77777777" w:rsidR="00476449" w:rsidRPr="00476449" w:rsidRDefault="00476449" w:rsidP="00476449">
      <w:pPr>
        <w:pStyle w:val="EndNoteBibliography"/>
        <w:ind w:left="720" w:hanging="720"/>
      </w:pPr>
      <w:r w:rsidRPr="00476449">
        <w:rPr>
          <w:b/>
        </w:rPr>
        <w:t xml:space="preserve">Franks, P. J., Leitch, I. J., Ruszala, E. M., Hetherington, A. M. and Beerling, D. J. </w:t>
      </w:r>
      <w:r w:rsidRPr="00476449">
        <w:t xml:space="preserve">(2012). Physiological framework for adaptation of stomata to CO2 from glacial to future concentrations. </w:t>
      </w:r>
      <w:r w:rsidRPr="00476449">
        <w:rPr>
          <w:i/>
        </w:rPr>
        <w:t>Philosophical Transactions of the Royal Society B-Biological Sciences</w:t>
      </w:r>
      <w:r w:rsidRPr="00476449">
        <w:t xml:space="preserve"> </w:t>
      </w:r>
      <w:r w:rsidRPr="00476449">
        <w:rPr>
          <w:b/>
        </w:rPr>
        <w:t>367</w:t>
      </w:r>
      <w:r w:rsidRPr="00476449">
        <w:t>, 537-546.</w:t>
      </w:r>
    </w:p>
    <w:p w14:paraId="1FE5C01F" w14:textId="77777777" w:rsidR="00476449" w:rsidRPr="00476449" w:rsidRDefault="00476449" w:rsidP="00476449">
      <w:pPr>
        <w:pStyle w:val="EndNoteBibliography"/>
        <w:ind w:left="720" w:hanging="720"/>
      </w:pPr>
      <w:r w:rsidRPr="00476449">
        <w:rPr>
          <w:b/>
        </w:rPr>
        <w:t xml:space="preserve">Friedman, W. E., Moore, R. C. and Purugganan, M. D. </w:t>
      </w:r>
      <w:r w:rsidRPr="00476449">
        <w:t xml:space="preserve">(2004). The evolution of plant development. </w:t>
      </w:r>
      <w:r w:rsidRPr="00476449">
        <w:rPr>
          <w:i/>
        </w:rPr>
        <w:t>American Journal of Botany</w:t>
      </w:r>
      <w:r w:rsidRPr="00476449">
        <w:t xml:space="preserve"> </w:t>
      </w:r>
      <w:r w:rsidRPr="00476449">
        <w:rPr>
          <w:b/>
        </w:rPr>
        <w:t>91</w:t>
      </w:r>
      <w:r w:rsidRPr="00476449">
        <w:t>, 1726-1741.</w:t>
      </w:r>
    </w:p>
    <w:p w14:paraId="71A08EAD" w14:textId="77777777" w:rsidR="00476449" w:rsidRPr="00476449" w:rsidRDefault="00476449" w:rsidP="00476449">
      <w:pPr>
        <w:pStyle w:val="EndNoteBibliography"/>
        <w:ind w:left="720" w:hanging="720"/>
      </w:pPr>
      <w:r w:rsidRPr="00476449">
        <w:rPr>
          <w:b/>
        </w:rPr>
        <w:t xml:space="preserve">Garner, D. L. B. and Paolillo, D. J. </w:t>
      </w:r>
      <w:r w:rsidRPr="00476449">
        <w:t xml:space="preserve">(1973). On the functioning of stomates in </w:t>
      </w:r>
      <w:r w:rsidRPr="00476449">
        <w:rPr>
          <w:i/>
        </w:rPr>
        <w:t>Funaria</w:t>
      </w:r>
      <w:r w:rsidRPr="00476449">
        <w:t xml:space="preserve">. </w:t>
      </w:r>
      <w:r w:rsidRPr="00476449">
        <w:rPr>
          <w:i/>
        </w:rPr>
        <w:t>Bryologist</w:t>
      </w:r>
      <w:r w:rsidRPr="00476449">
        <w:t xml:space="preserve"> </w:t>
      </w:r>
      <w:r w:rsidRPr="00476449">
        <w:rPr>
          <w:b/>
        </w:rPr>
        <w:t>76</w:t>
      </w:r>
      <w:r w:rsidRPr="00476449">
        <w:t>, 423-427.</w:t>
      </w:r>
    </w:p>
    <w:p w14:paraId="46D344FF" w14:textId="77777777" w:rsidR="00476449" w:rsidRPr="00476449" w:rsidRDefault="00476449" w:rsidP="00476449">
      <w:pPr>
        <w:pStyle w:val="EndNoteBibliography"/>
        <w:ind w:left="720" w:hanging="720"/>
      </w:pPr>
      <w:r w:rsidRPr="00476449">
        <w:rPr>
          <w:b/>
        </w:rPr>
        <w:t xml:space="preserve">Gay, A. P. and Hurd, R. G. </w:t>
      </w:r>
      <w:r w:rsidRPr="00476449">
        <w:t>(1975). The influence of light on stomatal density in the Tomato. pp. 37-46: New Phytologist.</w:t>
      </w:r>
    </w:p>
    <w:p w14:paraId="24287C49" w14:textId="77777777" w:rsidR="00476449" w:rsidRPr="00476449" w:rsidRDefault="00476449" w:rsidP="00476449">
      <w:pPr>
        <w:pStyle w:val="EndNoteBibliography"/>
        <w:ind w:left="720" w:hanging="720"/>
      </w:pPr>
      <w:r w:rsidRPr="00476449">
        <w:rPr>
          <w:b/>
        </w:rPr>
        <w:t xml:space="preserve">Geisler, M., Nadeau, J. and Sack, F. D. </w:t>
      </w:r>
      <w:r w:rsidRPr="00476449">
        <w:t xml:space="preserve">(2000). Oriented asymmetric divisions that generate the stomatal spacing pattern in Arabidopsis are disrupted by the too many mouths mutation. </w:t>
      </w:r>
      <w:r w:rsidRPr="00476449">
        <w:rPr>
          <w:i/>
        </w:rPr>
        <w:t>Plant Cell</w:t>
      </w:r>
      <w:r w:rsidRPr="00476449">
        <w:t xml:space="preserve"> </w:t>
      </w:r>
      <w:r w:rsidRPr="00476449">
        <w:rPr>
          <w:b/>
        </w:rPr>
        <w:t>12</w:t>
      </w:r>
      <w:r w:rsidRPr="00476449">
        <w:t>, 2075-2086.</w:t>
      </w:r>
    </w:p>
    <w:p w14:paraId="4521C3D4" w14:textId="77777777" w:rsidR="00476449" w:rsidRPr="00476449" w:rsidRDefault="00476449" w:rsidP="00476449">
      <w:pPr>
        <w:pStyle w:val="EndNoteBibliography"/>
        <w:ind w:left="720" w:hanging="720"/>
      </w:pPr>
      <w:r w:rsidRPr="00476449">
        <w:rPr>
          <w:b/>
        </w:rPr>
        <w:t xml:space="preserve">Geisler, M., Yang, M. and Sack, F. D. </w:t>
      </w:r>
      <w:r w:rsidRPr="00476449">
        <w:t xml:space="preserve">(1998). Divergent regulation of stomatal initiation and patterning in organ and suborgan regions of the Arabidopsis mutants too many mouths and four lips. </w:t>
      </w:r>
      <w:r w:rsidRPr="00476449">
        <w:rPr>
          <w:i/>
        </w:rPr>
        <w:t>Planta</w:t>
      </w:r>
      <w:r w:rsidRPr="00476449">
        <w:t xml:space="preserve"> </w:t>
      </w:r>
      <w:r w:rsidRPr="00476449">
        <w:rPr>
          <w:b/>
        </w:rPr>
        <w:t>205</w:t>
      </w:r>
      <w:r w:rsidRPr="00476449">
        <w:t>, 522-530.</w:t>
      </w:r>
    </w:p>
    <w:p w14:paraId="4110802E" w14:textId="77777777" w:rsidR="00476449" w:rsidRPr="00476449" w:rsidRDefault="00476449" w:rsidP="00476449">
      <w:pPr>
        <w:pStyle w:val="EndNoteBibliography"/>
        <w:ind w:left="720" w:hanging="720"/>
      </w:pPr>
      <w:r w:rsidRPr="00476449">
        <w:rPr>
          <w:b/>
        </w:rPr>
        <w:t xml:space="preserve">Gibling, M. R. and Davies, N. S. </w:t>
      </w:r>
      <w:r w:rsidRPr="00476449">
        <w:t xml:space="preserve">(2012). Palaeozoic landscapes shaped by plant evolution. </w:t>
      </w:r>
      <w:r w:rsidRPr="00476449">
        <w:rPr>
          <w:i/>
        </w:rPr>
        <w:t>Nature Geosci</w:t>
      </w:r>
      <w:r w:rsidRPr="00476449">
        <w:t xml:space="preserve"> </w:t>
      </w:r>
      <w:r w:rsidRPr="00476449">
        <w:rPr>
          <w:b/>
        </w:rPr>
        <w:t>5</w:t>
      </w:r>
      <w:r w:rsidRPr="00476449">
        <w:t>, 99-105.</w:t>
      </w:r>
    </w:p>
    <w:p w14:paraId="00571657" w14:textId="77777777" w:rsidR="00476449" w:rsidRPr="00476449" w:rsidRDefault="00476449" w:rsidP="00476449">
      <w:pPr>
        <w:pStyle w:val="EndNoteBibliography"/>
        <w:ind w:left="720" w:hanging="720"/>
      </w:pPr>
      <w:r w:rsidRPr="00476449">
        <w:rPr>
          <w:b/>
        </w:rPr>
        <w:t xml:space="preserve">Gilmour, S. J., Sebolt, A. M., Salazar, M. P., Everard, J. D. and Thomashow, M. F. </w:t>
      </w:r>
      <w:r w:rsidRPr="00476449">
        <w:t xml:space="preserve">(2000). Overexpression of the Arabidopsis CBF3 transcriptional activator mimics multiple biochemical changes associated with cold acclimation. </w:t>
      </w:r>
      <w:r w:rsidRPr="00476449">
        <w:rPr>
          <w:i/>
        </w:rPr>
        <w:t>Plant Physiol</w:t>
      </w:r>
      <w:r w:rsidRPr="00476449">
        <w:t xml:space="preserve"> </w:t>
      </w:r>
      <w:r w:rsidRPr="00476449">
        <w:rPr>
          <w:b/>
        </w:rPr>
        <w:t>124</w:t>
      </w:r>
      <w:r w:rsidRPr="00476449">
        <w:t>, 1854-1865.</w:t>
      </w:r>
    </w:p>
    <w:p w14:paraId="2EC2BD73" w14:textId="77777777" w:rsidR="00476449" w:rsidRPr="00476449" w:rsidRDefault="00476449" w:rsidP="00476449">
      <w:pPr>
        <w:pStyle w:val="EndNoteBibliography"/>
        <w:ind w:left="720" w:hanging="720"/>
      </w:pPr>
      <w:r w:rsidRPr="00476449">
        <w:rPr>
          <w:b/>
        </w:rPr>
        <w:t xml:space="preserve">Gilmour, S. J., Zarka, D. G., Stockinger, E. J., Salazar, M. P., Houghton, J. M. and Thomashow, M. F. </w:t>
      </w:r>
      <w:r w:rsidRPr="00476449">
        <w:t xml:space="preserve">(1998). Low temperature regulation of the Arabidopsis CBF family of AP2 transcriptional activators as an early step in cold-induced COR gene expression. </w:t>
      </w:r>
      <w:r w:rsidRPr="00476449">
        <w:rPr>
          <w:i/>
        </w:rPr>
        <w:t>Plant J</w:t>
      </w:r>
      <w:r w:rsidRPr="00476449">
        <w:t xml:space="preserve"> </w:t>
      </w:r>
      <w:r w:rsidRPr="00476449">
        <w:rPr>
          <w:b/>
        </w:rPr>
        <w:t>16</w:t>
      </w:r>
      <w:r w:rsidRPr="00476449">
        <w:t>, 433-442.</w:t>
      </w:r>
    </w:p>
    <w:p w14:paraId="2330C364" w14:textId="77777777" w:rsidR="00476449" w:rsidRPr="00476449" w:rsidRDefault="00476449" w:rsidP="00476449">
      <w:pPr>
        <w:pStyle w:val="EndNoteBibliography"/>
        <w:ind w:left="720" w:hanging="720"/>
      </w:pPr>
      <w:r w:rsidRPr="00476449">
        <w:rPr>
          <w:b/>
        </w:rPr>
        <w:t xml:space="preserve">Goodstein, D. M., Shu, S., Howson, R., Neupane, R., Hayes, R. D., Fazo, J., Mitros, T., Dirks, W., Hellsten, U., Putnam, N., et al. </w:t>
      </w:r>
      <w:r w:rsidRPr="00476449">
        <w:t xml:space="preserve">(2012). Phytozome: a comparative platform for green plant genomics. </w:t>
      </w:r>
      <w:r w:rsidRPr="00476449">
        <w:rPr>
          <w:i/>
        </w:rPr>
        <w:t>Nucleic Acids Res</w:t>
      </w:r>
      <w:r w:rsidRPr="00476449">
        <w:t xml:space="preserve"> </w:t>
      </w:r>
      <w:r w:rsidRPr="00476449">
        <w:rPr>
          <w:b/>
        </w:rPr>
        <w:t>40</w:t>
      </w:r>
      <w:r w:rsidRPr="00476449">
        <w:t>.</w:t>
      </w:r>
    </w:p>
    <w:p w14:paraId="6A6335EB" w14:textId="77777777" w:rsidR="00476449" w:rsidRPr="00476449" w:rsidRDefault="00476449" w:rsidP="00476449">
      <w:pPr>
        <w:pStyle w:val="EndNoteBibliography"/>
        <w:ind w:left="720" w:hanging="720"/>
      </w:pPr>
      <w:r w:rsidRPr="00476449">
        <w:rPr>
          <w:b/>
        </w:rPr>
        <w:lastRenderedPageBreak/>
        <w:t xml:space="preserve">Gudesblat, G. E., Schneider-Pizon, J., Betti, C., Mayerhofer, J., Vanhoutte, I., van Dongen, W., Boeren, S., Zhiponova, M., de Vries, S., Jonak, C., et al. </w:t>
      </w:r>
      <w:r w:rsidRPr="00476449">
        <w:t xml:space="preserve">(2012). SPEECHLESS integrates brassinosteroid and stomata signalling pathways. </w:t>
      </w:r>
      <w:r w:rsidRPr="00476449">
        <w:rPr>
          <w:i/>
        </w:rPr>
        <w:t>Nature Cell Biology</w:t>
      </w:r>
      <w:r w:rsidRPr="00476449">
        <w:t xml:space="preserve"> </w:t>
      </w:r>
      <w:r w:rsidRPr="00476449">
        <w:rPr>
          <w:b/>
        </w:rPr>
        <w:t>14</w:t>
      </w:r>
      <w:r w:rsidRPr="00476449">
        <w:t>, 548-U214.</w:t>
      </w:r>
    </w:p>
    <w:p w14:paraId="71331AF9" w14:textId="77777777" w:rsidR="00476449" w:rsidRPr="00476449" w:rsidRDefault="00476449" w:rsidP="00476449">
      <w:pPr>
        <w:pStyle w:val="EndNoteBibliography"/>
        <w:ind w:left="720" w:hanging="720"/>
      </w:pPr>
      <w:r w:rsidRPr="00476449">
        <w:rPr>
          <w:b/>
        </w:rPr>
        <w:t xml:space="preserve">Haig, D. </w:t>
      </w:r>
      <w:r w:rsidRPr="00476449">
        <w:t xml:space="preserve">(2013). Filial mistletoes: the functional morphology of moss sporophytes. </w:t>
      </w:r>
      <w:r w:rsidRPr="00476449">
        <w:rPr>
          <w:i/>
        </w:rPr>
        <w:t>Annals of Botany</w:t>
      </w:r>
      <w:r w:rsidRPr="00476449">
        <w:t xml:space="preserve"> </w:t>
      </w:r>
      <w:r w:rsidRPr="00476449">
        <w:rPr>
          <w:b/>
        </w:rPr>
        <w:t>111</w:t>
      </w:r>
      <w:r w:rsidRPr="00476449">
        <w:t>, 337-345.</w:t>
      </w:r>
    </w:p>
    <w:p w14:paraId="14B103CF" w14:textId="77777777" w:rsidR="00476449" w:rsidRPr="00476449" w:rsidRDefault="00476449" w:rsidP="00476449">
      <w:pPr>
        <w:pStyle w:val="EndNoteBibliography"/>
        <w:ind w:left="720" w:hanging="720"/>
      </w:pPr>
      <w:r w:rsidRPr="00476449">
        <w:rPr>
          <w:b/>
        </w:rPr>
        <w:t xml:space="preserve">Han, S.-K. and Torii, K. U. </w:t>
      </w:r>
      <w:r w:rsidRPr="00476449">
        <w:t xml:space="preserve">(2016). Lineage-specific stem cells, signals and asymmetries during stomatal development. </w:t>
      </w:r>
      <w:r w:rsidRPr="00476449">
        <w:rPr>
          <w:i/>
        </w:rPr>
        <w:t>Development (Cambridge, England)</w:t>
      </w:r>
      <w:r w:rsidRPr="00476449">
        <w:t xml:space="preserve"> </w:t>
      </w:r>
      <w:r w:rsidRPr="00476449">
        <w:rPr>
          <w:b/>
        </w:rPr>
        <w:t>143</w:t>
      </w:r>
      <w:r w:rsidRPr="00476449">
        <w:t>, 1259-1270.</w:t>
      </w:r>
    </w:p>
    <w:p w14:paraId="48CAC458" w14:textId="77777777" w:rsidR="00476449" w:rsidRPr="00476449" w:rsidRDefault="00476449" w:rsidP="00476449">
      <w:pPr>
        <w:pStyle w:val="EndNoteBibliography"/>
        <w:ind w:left="720" w:hanging="720"/>
      </w:pPr>
      <w:r w:rsidRPr="00476449">
        <w:rPr>
          <w:b/>
        </w:rPr>
        <w:t xml:space="preserve">Hara, K., Kajita, R., Torii, K. U., Bergmann, D. C. and Kakimoto, T. </w:t>
      </w:r>
      <w:r w:rsidRPr="00476449">
        <w:t xml:space="preserve">(2007). The secretory peptide gene EPF1 enforces the stomatal one-cell-spacing rule. </w:t>
      </w:r>
      <w:r w:rsidRPr="00476449">
        <w:rPr>
          <w:i/>
        </w:rPr>
        <w:t>Genes &amp; Development</w:t>
      </w:r>
      <w:r w:rsidRPr="00476449">
        <w:t xml:space="preserve"> </w:t>
      </w:r>
      <w:r w:rsidRPr="00476449">
        <w:rPr>
          <w:b/>
        </w:rPr>
        <w:t>21</w:t>
      </w:r>
      <w:r w:rsidRPr="00476449">
        <w:t>, 1720-1725.</w:t>
      </w:r>
    </w:p>
    <w:p w14:paraId="3001A079" w14:textId="77777777" w:rsidR="00476449" w:rsidRPr="00476449" w:rsidRDefault="00476449" w:rsidP="00476449">
      <w:pPr>
        <w:pStyle w:val="EndNoteBibliography"/>
        <w:ind w:left="720" w:hanging="720"/>
      </w:pPr>
      <w:r w:rsidRPr="00476449">
        <w:rPr>
          <w:b/>
        </w:rPr>
        <w:t xml:space="preserve">Hara, K., Yokoo, T., Kajita, R., Onishi, T., Yahata, S., Peterson, K. M., Torii, K. U. and Kakimoto, T. </w:t>
      </w:r>
      <w:r w:rsidRPr="00476449">
        <w:t xml:space="preserve">(2009). Epidermal Cell Density is Autoregulated via a Secretory Peptide, EPIDERMAL PATTERNING FACTOR 2 in Arabidopsis Leaves. </w:t>
      </w:r>
      <w:r w:rsidRPr="00476449">
        <w:rPr>
          <w:i/>
        </w:rPr>
        <w:t>Plant and Cell Physiology</w:t>
      </w:r>
      <w:r w:rsidRPr="00476449">
        <w:t xml:space="preserve"> </w:t>
      </w:r>
      <w:r w:rsidRPr="00476449">
        <w:rPr>
          <w:b/>
        </w:rPr>
        <w:t>50</w:t>
      </w:r>
      <w:r w:rsidRPr="00476449">
        <w:t>, 1019-1031.</w:t>
      </w:r>
    </w:p>
    <w:p w14:paraId="50FE8AD6" w14:textId="77777777" w:rsidR="00476449" w:rsidRPr="00476449" w:rsidRDefault="00476449" w:rsidP="00476449">
      <w:pPr>
        <w:pStyle w:val="EndNoteBibliography"/>
        <w:ind w:left="720" w:hanging="720"/>
      </w:pPr>
      <w:r w:rsidRPr="00476449">
        <w:rPr>
          <w:b/>
        </w:rPr>
        <w:t xml:space="preserve">Harrison, C. J. </w:t>
      </w:r>
      <w:r w:rsidRPr="00476449">
        <w:t xml:space="preserve">(2017). Development and genetics in the evolution of land plant body plans. </w:t>
      </w:r>
      <w:r w:rsidRPr="00476449">
        <w:rPr>
          <w:i/>
        </w:rPr>
        <w:t>Philosophical Transactions of the Royal Society B-Biological Sciences</w:t>
      </w:r>
      <w:r w:rsidRPr="00476449">
        <w:t xml:space="preserve"> </w:t>
      </w:r>
      <w:r w:rsidRPr="00476449">
        <w:rPr>
          <w:b/>
        </w:rPr>
        <w:t>372</w:t>
      </w:r>
      <w:r w:rsidRPr="00476449">
        <w:t>, 12.</w:t>
      </w:r>
    </w:p>
    <w:p w14:paraId="4D93999C" w14:textId="77777777" w:rsidR="00476449" w:rsidRPr="00476449" w:rsidRDefault="00476449" w:rsidP="00476449">
      <w:pPr>
        <w:pStyle w:val="EndNoteBibliography"/>
        <w:ind w:left="720" w:hanging="720"/>
      </w:pPr>
      <w:r w:rsidRPr="00476449">
        <w:rPr>
          <w:b/>
        </w:rPr>
        <w:t xml:space="preserve">Hartung, W., Weiler, E. W. and Volk, O. H. </w:t>
      </w:r>
      <w:r w:rsidRPr="00476449">
        <w:t xml:space="preserve">(1987). Immunochemical Evidence That Abscisic Acid Is Produced by Several Species of Anthocerotae and Marchantiales. </w:t>
      </w:r>
      <w:r w:rsidRPr="00476449">
        <w:rPr>
          <w:i/>
        </w:rPr>
        <w:t>The Bryologist</w:t>
      </w:r>
      <w:r w:rsidRPr="00476449">
        <w:t xml:space="preserve"> </w:t>
      </w:r>
      <w:r w:rsidRPr="00476449">
        <w:rPr>
          <w:b/>
        </w:rPr>
        <w:t>90</w:t>
      </w:r>
      <w:r w:rsidRPr="00476449">
        <w:t>, 393-400.</w:t>
      </w:r>
    </w:p>
    <w:p w14:paraId="5BD0C571" w14:textId="77777777" w:rsidR="00476449" w:rsidRPr="00476449" w:rsidRDefault="00476449" w:rsidP="00476449">
      <w:pPr>
        <w:pStyle w:val="EndNoteBibliography"/>
        <w:ind w:left="720" w:hanging="720"/>
      </w:pPr>
      <w:r w:rsidRPr="00476449">
        <w:rPr>
          <w:b/>
        </w:rPr>
        <w:t xml:space="preserve">Haworth, M., Elliott-Kingston, C. and McElwain, J. C. </w:t>
      </w:r>
      <w:r w:rsidRPr="00476449">
        <w:t xml:space="preserve">(2013). Co-ordination of physiological and morphological responses of stomata to elevated [CO2] in vascular plants. </w:t>
      </w:r>
      <w:r w:rsidRPr="00476449">
        <w:rPr>
          <w:i/>
        </w:rPr>
        <w:t>Oecologia</w:t>
      </w:r>
      <w:r w:rsidRPr="00476449">
        <w:t xml:space="preserve"> </w:t>
      </w:r>
      <w:r w:rsidRPr="00476449">
        <w:rPr>
          <w:b/>
        </w:rPr>
        <w:t>171</w:t>
      </w:r>
      <w:r w:rsidRPr="00476449">
        <w:t>, 71-82.</w:t>
      </w:r>
    </w:p>
    <w:p w14:paraId="165C76DD" w14:textId="77777777" w:rsidR="00476449" w:rsidRPr="00476449" w:rsidRDefault="00476449" w:rsidP="00476449">
      <w:pPr>
        <w:pStyle w:val="EndNoteBibliography"/>
        <w:ind w:left="720" w:hanging="720"/>
      </w:pPr>
      <w:r w:rsidRPr="00476449">
        <w:rPr>
          <w:b/>
        </w:rPr>
        <w:t xml:space="preserve">Hedrich, R. </w:t>
      </w:r>
      <w:r w:rsidRPr="00476449">
        <w:t xml:space="preserve">(2012). Ion Channels in Plants. </w:t>
      </w:r>
      <w:r w:rsidRPr="00476449">
        <w:rPr>
          <w:i/>
        </w:rPr>
        <w:t>Physiological Reviews</w:t>
      </w:r>
      <w:r w:rsidRPr="00476449">
        <w:t xml:space="preserve"> </w:t>
      </w:r>
      <w:r w:rsidRPr="00476449">
        <w:rPr>
          <w:b/>
        </w:rPr>
        <w:t>92</w:t>
      </w:r>
      <w:r w:rsidRPr="00476449">
        <w:t>, 1777-1811.</w:t>
      </w:r>
    </w:p>
    <w:p w14:paraId="3A58BC01" w14:textId="77777777" w:rsidR="00476449" w:rsidRPr="00476449" w:rsidRDefault="00476449" w:rsidP="00476449">
      <w:pPr>
        <w:pStyle w:val="EndNoteBibliography"/>
        <w:ind w:left="720" w:hanging="720"/>
      </w:pPr>
      <w:r w:rsidRPr="00476449">
        <w:rPr>
          <w:b/>
        </w:rPr>
        <w:t xml:space="preserve">Henikoff, S. and Henikoff, J. G. </w:t>
      </w:r>
      <w:r w:rsidRPr="00476449">
        <w:t xml:space="preserve">(1992). Amino acid substitution matrices from protein blocks. </w:t>
      </w:r>
      <w:r w:rsidRPr="00476449">
        <w:rPr>
          <w:i/>
        </w:rPr>
        <w:t>Proc Natl Acad Sci U S A</w:t>
      </w:r>
      <w:r w:rsidRPr="00476449">
        <w:t xml:space="preserve"> </w:t>
      </w:r>
      <w:r w:rsidRPr="00476449">
        <w:rPr>
          <w:b/>
        </w:rPr>
        <w:t>89</w:t>
      </w:r>
      <w:r w:rsidRPr="00476449">
        <w:t>, 10915-10919.</w:t>
      </w:r>
    </w:p>
    <w:p w14:paraId="0919AFC1" w14:textId="77777777" w:rsidR="00476449" w:rsidRPr="00476449" w:rsidRDefault="00476449" w:rsidP="00476449">
      <w:pPr>
        <w:pStyle w:val="EndNoteBibliography"/>
        <w:ind w:left="720" w:hanging="720"/>
      </w:pPr>
      <w:r w:rsidRPr="00476449">
        <w:rPr>
          <w:b/>
        </w:rPr>
        <w:t xml:space="preserve">Hepworth, C., Doheny-Adams, T., Hunt, L., Cameron, D. D. and Gray, J. E. </w:t>
      </w:r>
      <w:r w:rsidRPr="00476449">
        <w:t xml:space="preserve">(2015). Manipulating stomatal density enhances drought tolerance without deleterious effect on nutrient uptake. </w:t>
      </w:r>
      <w:r w:rsidRPr="00476449">
        <w:rPr>
          <w:i/>
        </w:rPr>
        <w:t>The New phytologist</w:t>
      </w:r>
      <w:r w:rsidRPr="00476449">
        <w:t xml:space="preserve"> </w:t>
      </w:r>
      <w:r w:rsidRPr="00476449">
        <w:rPr>
          <w:b/>
        </w:rPr>
        <w:t>208</w:t>
      </w:r>
      <w:r w:rsidRPr="00476449">
        <w:t>, 336-341.</w:t>
      </w:r>
    </w:p>
    <w:p w14:paraId="5150F283" w14:textId="77777777" w:rsidR="00476449" w:rsidRPr="00476449" w:rsidRDefault="00476449" w:rsidP="00476449">
      <w:pPr>
        <w:pStyle w:val="EndNoteBibliography"/>
        <w:ind w:left="720" w:hanging="720"/>
      </w:pPr>
      <w:r w:rsidRPr="00476449">
        <w:rPr>
          <w:b/>
        </w:rPr>
        <w:t xml:space="preserve">Hetherington, A. M. and Woodward, F. I. </w:t>
      </w:r>
      <w:r w:rsidRPr="00476449">
        <w:t xml:space="preserve">(2003). The role of stomata in sensing and driving environmental change. </w:t>
      </w:r>
      <w:r w:rsidRPr="00476449">
        <w:rPr>
          <w:i/>
        </w:rPr>
        <w:t>Nature</w:t>
      </w:r>
      <w:r w:rsidRPr="00476449">
        <w:t xml:space="preserve"> </w:t>
      </w:r>
      <w:r w:rsidRPr="00476449">
        <w:rPr>
          <w:b/>
        </w:rPr>
        <w:t>424</w:t>
      </w:r>
      <w:r w:rsidRPr="00476449">
        <w:t>, 901-908.</w:t>
      </w:r>
    </w:p>
    <w:p w14:paraId="4761583F" w14:textId="77777777" w:rsidR="00476449" w:rsidRPr="00476449" w:rsidRDefault="00476449" w:rsidP="00476449">
      <w:pPr>
        <w:pStyle w:val="EndNoteBibliography"/>
        <w:ind w:left="720" w:hanging="720"/>
      </w:pPr>
      <w:r w:rsidRPr="00476449">
        <w:rPr>
          <w:b/>
        </w:rPr>
        <w:t xml:space="preserve">Horst, N. A., Katz, A., Pereman, I., Decker, E. L., Ohad, N. and Reski, R. </w:t>
      </w:r>
      <w:r w:rsidRPr="00476449">
        <w:t xml:space="preserve">(2016). A single homeobox gene triggers phase transition, embryogenesis and asexual reproduction. </w:t>
      </w:r>
      <w:r w:rsidRPr="00476449">
        <w:rPr>
          <w:i/>
        </w:rPr>
        <w:t>Nature Plants</w:t>
      </w:r>
      <w:r w:rsidRPr="00476449">
        <w:t xml:space="preserve"> </w:t>
      </w:r>
      <w:r w:rsidRPr="00476449">
        <w:rPr>
          <w:b/>
        </w:rPr>
        <w:t>2</w:t>
      </w:r>
      <w:r w:rsidRPr="00476449">
        <w:t>, 15209.</w:t>
      </w:r>
    </w:p>
    <w:p w14:paraId="38C681C2" w14:textId="77777777" w:rsidR="00476449" w:rsidRPr="00476449" w:rsidRDefault="00476449" w:rsidP="00476449">
      <w:pPr>
        <w:pStyle w:val="EndNoteBibliography"/>
        <w:ind w:left="720" w:hanging="720"/>
      </w:pPr>
      <w:r w:rsidRPr="00476449">
        <w:rPr>
          <w:b/>
        </w:rPr>
        <w:t xml:space="preserve">Horst, R. J., Fujita, H., Lee, J. S., Rychel, A. L., Garrick, J. M., Kawaguchi, M., Peterson, K. M. and Torii, K. U. </w:t>
      </w:r>
      <w:r w:rsidRPr="00476449">
        <w:t xml:space="preserve">(2015). Molecular Framework of a Regulatory Circuit Initiating Two-Dimensional Spatial Patterning of Stomatal Lineage. </w:t>
      </w:r>
      <w:r w:rsidRPr="00476449">
        <w:rPr>
          <w:i/>
        </w:rPr>
        <w:t>PLoS Genetics</w:t>
      </w:r>
      <w:r w:rsidRPr="00476449">
        <w:t xml:space="preserve"> </w:t>
      </w:r>
      <w:r w:rsidRPr="00476449">
        <w:rPr>
          <w:b/>
        </w:rPr>
        <w:t>11</w:t>
      </w:r>
      <w:r w:rsidRPr="00476449">
        <w:t>, e1005374.</w:t>
      </w:r>
    </w:p>
    <w:p w14:paraId="41EA87A2" w14:textId="77777777" w:rsidR="00476449" w:rsidRPr="00476449" w:rsidRDefault="00476449" w:rsidP="00476449">
      <w:pPr>
        <w:pStyle w:val="EndNoteBibliography"/>
        <w:ind w:left="720" w:hanging="720"/>
      </w:pPr>
      <w:r w:rsidRPr="00476449">
        <w:rPr>
          <w:b/>
        </w:rPr>
        <w:t xml:space="preserve">Horstmann, V., Huether, C. M., Jost, W., Reski, R. and Decker, E. L. </w:t>
      </w:r>
      <w:r w:rsidRPr="00476449">
        <w:t xml:space="preserve">(2004). Quantitative promoter analysis in Physcomitrella patens: a set of plant vectors activating gene expression within three orders of magnitude. </w:t>
      </w:r>
      <w:r w:rsidRPr="00476449">
        <w:rPr>
          <w:i/>
        </w:rPr>
        <w:t>BMC Biotechnology</w:t>
      </w:r>
      <w:r w:rsidRPr="00476449">
        <w:t xml:space="preserve"> </w:t>
      </w:r>
      <w:r w:rsidRPr="00476449">
        <w:rPr>
          <w:b/>
        </w:rPr>
        <w:t>4</w:t>
      </w:r>
      <w:r w:rsidRPr="00476449">
        <w:t>, 13-13.</w:t>
      </w:r>
    </w:p>
    <w:p w14:paraId="3C1F54A8" w14:textId="77777777" w:rsidR="00476449" w:rsidRPr="00476449" w:rsidRDefault="00476449" w:rsidP="00476449">
      <w:pPr>
        <w:pStyle w:val="EndNoteBibliography"/>
        <w:ind w:left="720" w:hanging="720"/>
      </w:pPr>
      <w:r w:rsidRPr="00476449">
        <w:rPr>
          <w:b/>
        </w:rPr>
        <w:t xml:space="preserve">Hunt, L., Bailey, K. J. and Gray, J. E. </w:t>
      </w:r>
      <w:r w:rsidRPr="00476449">
        <w:t xml:space="preserve">(2010). The signalling peptide EPFL9 is a positive regulator of stomatal development. </w:t>
      </w:r>
      <w:r w:rsidRPr="00476449">
        <w:rPr>
          <w:i/>
        </w:rPr>
        <w:t>New Phytologist</w:t>
      </w:r>
      <w:r w:rsidRPr="00476449">
        <w:t xml:space="preserve"> </w:t>
      </w:r>
      <w:r w:rsidRPr="00476449">
        <w:rPr>
          <w:b/>
        </w:rPr>
        <w:t>186</w:t>
      </w:r>
      <w:r w:rsidRPr="00476449">
        <w:t>, 609-614.</w:t>
      </w:r>
    </w:p>
    <w:p w14:paraId="20092CF8" w14:textId="77777777" w:rsidR="00476449" w:rsidRPr="00476449" w:rsidRDefault="00476449" w:rsidP="00476449">
      <w:pPr>
        <w:pStyle w:val="EndNoteBibliography"/>
        <w:ind w:left="720" w:hanging="720"/>
      </w:pPr>
      <w:r w:rsidRPr="00476449">
        <w:rPr>
          <w:b/>
        </w:rPr>
        <w:t xml:space="preserve">Hunt, L. and Gray, J. E. </w:t>
      </w:r>
      <w:r w:rsidRPr="00476449">
        <w:t xml:space="preserve">(2009). The Signaling Peptide EPF2 Controls Asymmetric Cell Divisions during Stomatal Development. </w:t>
      </w:r>
      <w:r w:rsidRPr="00476449">
        <w:rPr>
          <w:i/>
        </w:rPr>
        <w:t>Current Biology</w:t>
      </w:r>
      <w:r w:rsidRPr="00476449">
        <w:t xml:space="preserve"> </w:t>
      </w:r>
      <w:r w:rsidRPr="00476449">
        <w:rPr>
          <w:b/>
        </w:rPr>
        <w:t>19</w:t>
      </w:r>
      <w:r w:rsidRPr="00476449">
        <w:t>, 864-869.</w:t>
      </w:r>
    </w:p>
    <w:p w14:paraId="1947A950" w14:textId="77777777" w:rsidR="00476449" w:rsidRPr="00476449" w:rsidRDefault="00476449" w:rsidP="00476449">
      <w:pPr>
        <w:pStyle w:val="EndNoteBibliography"/>
        <w:ind w:left="720" w:hanging="720"/>
      </w:pPr>
      <w:r w:rsidRPr="00476449">
        <w:rPr>
          <w:b/>
        </w:rPr>
        <w:t xml:space="preserve">---- </w:t>
      </w:r>
      <w:r w:rsidRPr="00476449">
        <w:t xml:space="preserve">(2010). BASL and EPF2 act independently to regulate asymmetric divisions during stomatal development. </w:t>
      </w:r>
      <w:r w:rsidRPr="00476449">
        <w:rPr>
          <w:i/>
        </w:rPr>
        <w:t>Plant Signaling &amp; Behavior</w:t>
      </w:r>
      <w:r w:rsidRPr="00476449">
        <w:t xml:space="preserve"> </w:t>
      </w:r>
      <w:r w:rsidRPr="00476449">
        <w:rPr>
          <w:b/>
        </w:rPr>
        <w:t>5</w:t>
      </w:r>
      <w:r w:rsidRPr="00476449">
        <w:t>, 278-280.</w:t>
      </w:r>
    </w:p>
    <w:p w14:paraId="14A4ED51" w14:textId="77777777" w:rsidR="00476449" w:rsidRPr="00476449" w:rsidRDefault="00476449" w:rsidP="00476449">
      <w:pPr>
        <w:pStyle w:val="EndNoteBibliography"/>
        <w:ind w:left="720" w:hanging="720"/>
      </w:pPr>
      <w:r w:rsidRPr="00476449">
        <w:rPr>
          <w:b/>
        </w:rPr>
        <w:t xml:space="preserve">Ishizaki, K., Mizutani, M., Shimamura, M., Masuda, A., Nishihama, R. and Kohchi, T. </w:t>
      </w:r>
      <w:r w:rsidRPr="00476449">
        <w:t xml:space="preserve">(2013). Essential Role of the E3 Ubiquitin Ligase NOPPERABO1 in Schizogenous Intercellular Space Formation in the Liverwort Marchantia polymorpha. </w:t>
      </w:r>
      <w:r w:rsidRPr="00476449">
        <w:rPr>
          <w:i/>
        </w:rPr>
        <w:t>The Plant Cell</w:t>
      </w:r>
      <w:r w:rsidRPr="00476449">
        <w:t xml:space="preserve"> </w:t>
      </w:r>
      <w:r w:rsidRPr="00476449">
        <w:rPr>
          <w:b/>
        </w:rPr>
        <w:t>25</w:t>
      </w:r>
      <w:r w:rsidRPr="00476449">
        <w:t>, 4075-4084.</w:t>
      </w:r>
    </w:p>
    <w:p w14:paraId="7B069970" w14:textId="77777777" w:rsidR="00476449" w:rsidRPr="00476449" w:rsidRDefault="00476449" w:rsidP="00476449">
      <w:pPr>
        <w:pStyle w:val="EndNoteBibliography"/>
        <w:ind w:left="720" w:hanging="720"/>
      </w:pPr>
      <w:r w:rsidRPr="00476449">
        <w:rPr>
          <w:b/>
        </w:rPr>
        <w:t xml:space="preserve">Ito, T., Chiba, T., Ozawa, R., Yoshida, M., Hattori, M. and Sakaki, Y. </w:t>
      </w:r>
      <w:r w:rsidRPr="00476449">
        <w:t xml:space="preserve">(2001). A comprehensive two-hybrid analysis to explore the yeast protein interactome. </w:t>
      </w:r>
      <w:r w:rsidRPr="00476449">
        <w:rPr>
          <w:i/>
        </w:rPr>
        <w:t>Proc Natl Acad Sci U S A</w:t>
      </w:r>
      <w:r w:rsidRPr="00476449">
        <w:t xml:space="preserve"> </w:t>
      </w:r>
      <w:r w:rsidRPr="00476449">
        <w:rPr>
          <w:b/>
        </w:rPr>
        <w:t>98</w:t>
      </w:r>
      <w:r w:rsidRPr="00476449">
        <w:t>, 4569-4574.</w:t>
      </w:r>
    </w:p>
    <w:p w14:paraId="7B41AEB2" w14:textId="77777777" w:rsidR="00476449" w:rsidRPr="00476449" w:rsidRDefault="00476449" w:rsidP="00476449">
      <w:pPr>
        <w:pStyle w:val="EndNoteBibliography"/>
        <w:ind w:left="720" w:hanging="720"/>
      </w:pPr>
      <w:r w:rsidRPr="00476449">
        <w:rPr>
          <w:b/>
        </w:rPr>
        <w:t xml:space="preserve">Jang, G., Yi, K., Pires, N. D., Menand, B. and Dolan, L. </w:t>
      </w:r>
      <w:r w:rsidRPr="00476449">
        <w:t xml:space="preserve">(2011). RSL genes are sufficient for rhizoid system development in early diverging land plants. </w:t>
      </w:r>
      <w:r w:rsidRPr="00476449">
        <w:rPr>
          <w:i/>
        </w:rPr>
        <w:t>Development</w:t>
      </w:r>
      <w:r w:rsidRPr="00476449">
        <w:t xml:space="preserve"> </w:t>
      </w:r>
      <w:r w:rsidRPr="00476449">
        <w:rPr>
          <w:b/>
        </w:rPr>
        <w:t>138</w:t>
      </w:r>
      <w:r w:rsidRPr="00476449">
        <w:t>, 2273-2281.</w:t>
      </w:r>
    </w:p>
    <w:p w14:paraId="30F17AB4" w14:textId="77777777" w:rsidR="00476449" w:rsidRPr="00476449" w:rsidRDefault="00476449" w:rsidP="00476449">
      <w:pPr>
        <w:pStyle w:val="EndNoteBibliography"/>
        <w:ind w:left="720" w:hanging="720"/>
      </w:pPr>
      <w:r w:rsidRPr="00476449">
        <w:rPr>
          <w:b/>
        </w:rPr>
        <w:lastRenderedPageBreak/>
        <w:t xml:space="preserve">Jewaria, P. K., Hara, T., Tanaka, H., Kondo, T., Betsuyaku, S., Sawa, S., Sakagami, Y., Aimoto, S. and Kakimoto, T. </w:t>
      </w:r>
      <w:r w:rsidRPr="00476449">
        <w:t xml:space="preserve">(2013). Differential Effects of the Peptides Stomagen, EPF1 and EPF2 on Activation of MAP Kinase MPK6 and the SPCH Protein Level. </w:t>
      </w:r>
      <w:r w:rsidRPr="00476449">
        <w:rPr>
          <w:i/>
        </w:rPr>
        <w:t>Plant and Cell Physiology</w:t>
      </w:r>
      <w:r w:rsidRPr="00476449">
        <w:t xml:space="preserve"> </w:t>
      </w:r>
      <w:r w:rsidRPr="00476449">
        <w:rPr>
          <w:b/>
        </w:rPr>
        <w:t>54</w:t>
      </w:r>
      <w:r w:rsidRPr="00476449">
        <w:t>, 1253-1262.</w:t>
      </w:r>
    </w:p>
    <w:p w14:paraId="75C7037F" w14:textId="77777777" w:rsidR="00476449" w:rsidRPr="00476449" w:rsidRDefault="00476449" w:rsidP="00476449">
      <w:pPr>
        <w:pStyle w:val="EndNoteBibliography"/>
        <w:ind w:left="720" w:hanging="720"/>
      </w:pPr>
      <w:r w:rsidRPr="00476449">
        <w:rPr>
          <w:b/>
        </w:rPr>
        <w:t xml:space="preserve">Jones, V. A. S. and Dolan, L. </w:t>
      </w:r>
      <w:r w:rsidRPr="00476449">
        <w:t xml:space="preserve">(2012). The evolution of root hairs and rhizoids. </w:t>
      </w:r>
      <w:r w:rsidRPr="00476449">
        <w:rPr>
          <w:i/>
        </w:rPr>
        <w:t>Annals of Botany</w:t>
      </w:r>
      <w:r w:rsidRPr="00476449">
        <w:t xml:space="preserve"> </w:t>
      </w:r>
      <w:r w:rsidRPr="00476449">
        <w:rPr>
          <w:b/>
        </w:rPr>
        <w:t>110</w:t>
      </w:r>
      <w:r w:rsidRPr="00476449">
        <w:t>, 205-212.</w:t>
      </w:r>
    </w:p>
    <w:p w14:paraId="4589FBC3" w14:textId="77777777" w:rsidR="00476449" w:rsidRPr="00476449" w:rsidRDefault="00476449" w:rsidP="00476449">
      <w:pPr>
        <w:pStyle w:val="EndNoteBibliography"/>
        <w:ind w:left="720" w:hanging="720"/>
      </w:pPr>
      <w:r w:rsidRPr="00476449">
        <w:rPr>
          <w:b/>
        </w:rPr>
        <w:t xml:space="preserve">Kamisugi, Y., Cuming, A. C. and Cove, D. J. </w:t>
      </w:r>
      <w:r w:rsidRPr="00476449">
        <w:t xml:space="preserve">(2005). Parameters determining the efficiency of gene targeting in the moss Physcomitrella patens. </w:t>
      </w:r>
      <w:r w:rsidRPr="00476449">
        <w:rPr>
          <w:i/>
        </w:rPr>
        <w:t>Nucleic Acids Research</w:t>
      </w:r>
      <w:r w:rsidRPr="00476449">
        <w:t xml:space="preserve"> </w:t>
      </w:r>
      <w:r w:rsidRPr="00476449">
        <w:rPr>
          <w:b/>
        </w:rPr>
        <w:t>33</w:t>
      </w:r>
      <w:r w:rsidRPr="00476449">
        <w:t>, 10.</w:t>
      </w:r>
    </w:p>
    <w:p w14:paraId="1FFE41DB" w14:textId="77777777" w:rsidR="00476449" w:rsidRPr="00476449" w:rsidRDefault="00476449" w:rsidP="00476449">
      <w:pPr>
        <w:pStyle w:val="EndNoteBibliography"/>
        <w:ind w:left="720" w:hanging="720"/>
      </w:pPr>
      <w:r w:rsidRPr="00476449">
        <w:rPr>
          <w:b/>
        </w:rPr>
        <w:t xml:space="preserve">Kamisugi, Y., Schlink, K., Rensing, S. A., Schween, G., von Stackelberg, M., Cuming, A. C., Reski, R. and Cove, D. J. </w:t>
      </w:r>
      <w:r w:rsidRPr="00476449">
        <w:t xml:space="preserve">(2006). The mechanism of gene targeting in Physcomitrella patens: homologous recombination, concatenation and multiple integration. </w:t>
      </w:r>
      <w:r w:rsidRPr="00476449">
        <w:rPr>
          <w:i/>
        </w:rPr>
        <w:t>Nucleic Acids Research</w:t>
      </w:r>
      <w:r w:rsidRPr="00476449">
        <w:t xml:space="preserve"> </w:t>
      </w:r>
      <w:r w:rsidRPr="00476449">
        <w:rPr>
          <w:b/>
        </w:rPr>
        <w:t>34</w:t>
      </w:r>
      <w:r w:rsidRPr="00476449">
        <w:t>, 6205-6214.</w:t>
      </w:r>
    </w:p>
    <w:p w14:paraId="6E4330D9" w14:textId="77777777" w:rsidR="00476449" w:rsidRPr="00476449" w:rsidRDefault="00476449" w:rsidP="00476449">
      <w:pPr>
        <w:pStyle w:val="EndNoteBibliography"/>
        <w:ind w:left="720" w:hanging="720"/>
      </w:pPr>
      <w:r w:rsidRPr="00476449">
        <w:rPr>
          <w:b/>
        </w:rPr>
        <w:t xml:space="preserve">Kanaoka, M. M., Pillitteri, L. J., Fujii, H., Yoshida, Y., Bogenschutz, N. L., Takabayashi, J., Zhu, J. K. and Torii, K. U. </w:t>
      </w:r>
      <w:r w:rsidRPr="00476449">
        <w:t xml:space="preserve">(2008). SCREAM/ICE1 and SCREAM2 specify three cell-state transitional steps leading to Arabidopsis stomatal differentiation. </w:t>
      </w:r>
      <w:r w:rsidRPr="00476449">
        <w:rPr>
          <w:i/>
        </w:rPr>
        <w:t>Plant Cell</w:t>
      </w:r>
      <w:r w:rsidRPr="00476449">
        <w:t xml:space="preserve"> </w:t>
      </w:r>
      <w:r w:rsidRPr="00476449">
        <w:rPr>
          <w:b/>
        </w:rPr>
        <w:t>20</w:t>
      </w:r>
      <w:r w:rsidRPr="00476449">
        <w:t>, 1775-1785.</w:t>
      </w:r>
    </w:p>
    <w:p w14:paraId="09722D08" w14:textId="77777777" w:rsidR="00476449" w:rsidRPr="00476449" w:rsidRDefault="00476449" w:rsidP="00476449">
      <w:pPr>
        <w:pStyle w:val="EndNoteBibliography"/>
        <w:ind w:left="720" w:hanging="720"/>
      </w:pPr>
      <w:r w:rsidRPr="00476449">
        <w:rPr>
          <w:b/>
        </w:rPr>
        <w:t xml:space="preserve">Kang, C. Y., Lian, H. L., Wang, F. F., Huang, J. R. and Yang, H. Q. </w:t>
      </w:r>
      <w:r w:rsidRPr="00476449">
        <w:t xml:space="preserve">(2009). Cryptochromes, phytochromes, and COP1 regulate light-controlled stomatal development in Arabidopsis. </w:t>
      </w:r>
      <w:r w:rsidRPr="00476449">
        <w:rPr>
          <w:i/>
        </w:rPr>
        <w:t>Plant Cell</w:t>
      </w:r>
      <w:r w:rsidRPr="00476449">
        <w:t xml:space="preserve"> </w:t>
      </w:r>
      <w:r w:rsidRPr="00476449">
        <w:rPr>
          <w:b/>
        </w:rPr>
        <w:t>21</w:t>
      </w:r>
      <w:r w:rsidRPr="00476449">
        <w:t>, 2624-2641.</w:t>
      </w:r>
    </w:p>
    <w:p w14:paraId="4B1002E8" w14:textId="77777777" w:rsidR="00476449" w:rsidRPr="00476449" w:rsidRDefault="00476449" w:rsidP="00476449">
      <w:pPr>
        <w:pStyle w:val="EndNoteBibliography"/>
        <w:ind w:left="720" w:hanging="720"/>
      </w:pPr>
      <w:r w:rsidRPr="00476449">
        <w:rPr>
          <w:b/>
        </w:rPr>
        <w:t xml:space="preserve">Karimi, M., Inze, D. and Depicker, A. </w:t>
      </w:r>
      <w:r w:rsidRPr="00476449">
        <w:t xml:space="preserve">(2002). GATEWAY vectors for Agrobacterium-mediated plant transformation. </w:t>
      </w:r>
      <w:r w:rsidRPr="00476449">
        <w:rPr>
          <w:i/>
        </w:rPr>
        <w:t>Trends Plant Sci</w:t>
      </w:r>
      <w:r w:rsidRPr="00476449">
        <w:t xml:space="preserve"> </w:t>
      </w:r>
      <w:r w:rsidRPr="00476449">
        <w:rPr>
          <w:b/>
        </w:rPr>
        <w:t>7</w:t>
      </w:r>
      <w:r w:rsidRPr="00476449">
        <w:t>, 193-195.</w:t>
      </w:r>
    </w:p>
    <w:p w14:paraId="577788E8" w14:textId="77777777" w:rsidR="00476449" w:rsidRPr="00476449" w:rsidRDefault="00476449" w:rsidP="00476449">
      <w:pPr>
        <w:pStyle w:val="EndNoteBibliography"/>
        <w:ind w:left="720" w:hanging="720"/>
      </w:pPr>
      <w:r w:rsidRPr="00476449">
        <w:rPr>
          <w:b/>
        </w:rPr>
        <w:t xml:space="preserve">Karol, K. G., McCourt, R. M., Cimino, M. T. and Delwiche, C. F. </w:t>
      </w:r>
      <w:r w:rsidRPr="00476449">
        <w:t xml:space="preserve">(2001). The closest living relatives of land plants. </w:t>
      </w:r>
      <w:r w:rsidRPr="00476449">
        <w:rPr>
          <w:i/>
        </w:rPr>
        <w:t>Science</w:t>
      </w:r>
      <w:r w:rsidRPr="00476449">
        <w:t xml:space="preserve"> </w:t>
      </w:r>
      <w:r w:rsidRPr="00476449">
        <w:rPr>
          <w:b/>
        </w:rPr>
        <w:t>294</w:t>
      </w:r>
      <w:r w:rsidRPr="00476449">
        <w:t>, 2351-2353.</w:t>
      </w:r>
    </w:p>
    <w:p w14:paraId="717280AA" w14:textId="77777777" w:rsidR="00476449" w:rsidRPr="00476449" w:rsidRDefault="00476449" w:rsidP="00476449">
      <w:pPr>
        <w:pStyle w:val="EndNoteBibliography"/>
        <w:ind w:left="720" w:hanging="720"/>
      </w:pPr>
      <w:r w:rsidRPr="00476449">
        <w:rPr>
          <w:b/>
        </w:rPr>
        <w:t xml:space="preserve">Karve, R., Liu, W., Willet, S. G., Torii, K. U. and Shpak, E. D. </w:t>
      </w:r>
      <w:r w:rsidRPr="00476449">
        <w:t xml:space="preserve">(2011). The presence of multiple introns is essential for ERECTA expression in Arabidopsis. </w:t>
      </w:r>
      <w:r w:rsidRPr="00476449">
        <w:rPr>
          <w:i/>
        </w:rPr>
        <w:t>Rna</w:t>
      </w:r>
      <w:r w:rsidRPr="00476449">
        <w:t xml:space="preserve"> </w:t>
      </w:r>
      <w:r w:rsidRPr="00476449">
        <w:rPr>
          <w:b/>
        </w:rPr>
        <w:t>17</w:t>
      </w:r>
      <w:r w:rsidRPr="00476449">
        <w:t>, 1907-1921.</w:t>
      </w:r>
    </w:p>
    <w:p w14:paraId="427D49ED" w14:textId="77777777" w:rsidR="00476449" w:rsidRPr="00476449" w:rsidRDefault="00476449" w:rsidP="00476449">
      <w:pPr>
        <w:pStyle w:val="EndNoteBibliography"/>
        <w:ind w:left="720" w:hanging="720"/>
      </w:pPr>
      <w:r w:rsidRPr="00476449">
        <w:rPr>
          <w:b/>
        </w:rPr>
        <w:t xml:space="preserve">Katayama, H., Iwamoto, K., Kariya, Y., Asakawa, T., Kan, T., Fukuda, H. and Ohashi-Ito, K. </w:t>
      </w:r>
      <w:r w:rsidRPr="00476449">
        <w:t xml:space="preserve">(2015). A Negative Feedback Loop Controlling bHLH Complexes Is Involved in Vascular Cell Division and Differentiation in the Root Apical Meristem. </w:t>
      </w:r>
      <w:r w:rsidRPr="00476449">
        <w:rPr>
          <w:i/>
        </w:rPr>
        <w:t>Current Biology</w:t>
      </w:r>
      <w:r w:rsidRPr="00476449">
        <w:t xml:space="preserve"> </w:t>
      </w:r>
      <w:r w:rsidRPr="00476449">
        <w:rPr>
          <w:b/>
        </w:rPr>
        <w:t>25</w:t>
      </w:r>
      <w:r w:rsidRPr="00476449">
        <w:t>, 3144-3150.</w:t>
      </w:r>
    </w:p>
    <w:p w14:paraId="2C573827" w14:textId="77777777" w:rsidR="00476449" w:rsidRPr="00476449" w:rsidRDefault="00476449" w:rsidP="00476449">
      <w:pPr>
        <w:pStyle w:val="EndNoteBibliography"/>
        <w:ind w:left="720" w:hanging="720"/>
      </w:pPr>
      <w:r w:rsidRPr="00476449">
        <w:rPr>
          <w:b/>
        </w:rPr>
        <w:t xml:space="preserve">Keijzer, C. J. </w:t>
      </w:r>
      <w:r w:rsidRPr="00476449">
        <w:t xml:space="preserve">(1987). The Processes of Anther Dehiscence and Pollen Dispersal. I. The Opening Mechanism of Longitudinally Dehiscing Anthers. </w:t>
      </w:r>
      <w:r w:rsidRPr="00476449">
        <w:rPr>
          <w:i/>
        </w:rPr>
        <w:t>The New Phytologist</w:t>
      </w:r>
      <w:r w:rsidRPr="00476449">
        <w:t xml:space="preserve"> </w:t>
      </w:r>
      <w:r w:rsidRPr="00476449">
        <w:rPr>
          <w:b/>
        </w:rPr>
        <w:t>105</w:t>
      </w:r>
      <w:r w:rsidRPr="00476449">
        <w:t>, 487-498.</w:t>
      </w:r>
    </w:p>
    <w:p w14:paraId="2F7395D0" w14:textId="77777777" w:rsidR="00476449" w:rsidRPr="00476449" w:rsidRDefault="00476449" w:rsidP="00476449">
      <w:pPr>
        <w:pStyle w:val="EndNoteBibliography"/>
        <w:ind w:left="720" w:hanging="720"/>
      </w:pPr>
      <w:r w:rsidRPr="00476449">
        <w:rPr>
          <w:b/>
        </w:rPr>
        <w:t xml:space="preserve">Kenrick, P. and Crane, P. R. </w:t>
      </w:r>
      <w:r w:rsidRPr="00476449">
        <w:t xml:space="preserve">(1997). The origin and early evolution of plants on land. </w:t>
      </w:r>
      <w:r w:rsidRPr="00476449">
        <w:rPr>
          <w:i/>
        </w:rPr>
        <w:t>Nature</w:t>
      </w:r>
      <w:r w:rsidRPr="00476449">
        <w:t xml:space="preserve"> </w:t>
      </w:r>
      <w:r w:rsidRPr="00476449">
        <w:rPr>
          <w:b/>
        </w:rPr>
        <w:t>389</w:t>
      </w:r>
      <w:r w:rsidRPr="00476449">
        <w:t>, 33-39.</w:t>
      </w:r>
    </w:p>
    <w:p w14:paraId="29D9D4F0" w14:textId="77777777" w:rsidR="00476449" w:rsidRPr="00476449" w:rsidRDefault="00476449" w:rsidP="00476449">
      <w:pPr>
        <w:pStyle w:val="EndNoteBibliography"/>
        <w:ind w:left="720" w:hanging="720"/>
      </w:pPr>
      <w:r w:rsidRPr="00476449">
        <w:rPr>
          <w:b/>
        </w:rPr>
        <w:t xml:space="preserve">Kim, T. W., Michniewicz, M., Bergmann, D. C. and Wang, Z. Y. </w:t>
      </w:r>
      <w:r w:rsidRPr="00476449">
        <w:t xml:space="preserve">(2012). Brassinosteroid regulates stomatal development by GSK3-mediated inhibition of a MAPK pathway. </w:t>
      </w:r>
      <w:r w:rsidRPr="00476449">
        <w:rPr>
          <w:i/>
        </w:rPr>
        <w:t>Nature</w:t>
      </w:r>
      <w:r w:rsidRPr="00476449">
        <w:t xml:space="preserve"> </w:t>
      </w:r>
      <w:r w:rsidRPr="00476449">
        <w:rPr>
          <w:b/>
        </w:rPr>
        <w:t>482</w:t>
      </w:r>
      <w:r w:rsidRPr="00476449">
        <w:t>, 419-U1526.</w:t>
      </w:r>
    </w:p>
    <w:p w14:paraId="39070F56" w14:textId="77777777" w:rsidR="00476449" w:rsidRPr="00476449" w:rsidRDefault="00476449" w:rsidP="00476449">
      <w:pPr>
        <w:pStyle w:val="EndNoteBibliography"/>
        <w:ind w:left="720" w:hanging="720"/>
      </w:pPr>
      <w:r w:rsidRPr="00476449">
        <w:rPr>
          <w:b/>
        </w:rPr>
        <w:t xml:space="preserve">Kim, Y. S., Lee, M., Lee, J. H., Lee, H. J. and Park, C. M. </w:t>
      </w:r>
      <w:r w:rsidRPr="00476449">
        <w:t xml:space="preserve">(2015). The unified ICE-CBF pathway provides a transcriptional feedback control of freezing tolerance during cold acclimation in Arabidopsis. </w:t>
      </w:r>
      <w:r w:rsidRPr="00476449">
        <w:rPr>
          <w:i/>
        </w:rPr>
        <w:t>Plant Mol Biol</w:t>
      </w:r>
      <w:r w:rsidRPr="00476449">
        <w:t xml:space="preserve"> </w:t>
      </w:r>
      <w:r w:rsidRPr="00476449">
        <w:rPr>
          <w:b/>
        </w:rPr>
        <w:t>89</w:t>
      </w:r>
      <w:r w:rsidRPr="00476449">
        <w:t>, 187-201.</w:t>
      </w:r>
    </w:p>
    <w:p w14:paraId="4294E228" w14:textId="77777777" w:rsidR="00476449" w:rsidRPr="00476449" w:rsidRDefault="00476449" w:rsidP="00476449">
      <w:pPr>
        <w:pStyle w:val="EndNoteBibliography"/>
        <w:ind w:left="720" w:hanging="720"/>
      </w:pPr>
      <w:r w:rsidRPr="00476449">
        <w:rPr>
          <w:b/>
        </w:rPr>
        <w:t xml:space="preserve">Knight, C. D., Cove, D. J., Cuming, A. C. and S., Q. R. </w:t>
      </w:r>
      <w:r w:rsidRPr="00476449">
        <w:t xml:space="preserve">(2002). </w:t>
      </w:r>
      <w:r w:rsidRPr="00476449">
        <w:rPr>
          <w:i/>
        </w:rPr>
        <w:t>Molecular plant biology : a practical approach</w:t>
      </w:r>
      <w:r w:rsidRPr="00476449">
        <w:t>. Oxford: Oxford University Press.</w:t>
      </w:r>
    </w:p>
    <w:p w14:paraId="0DCB6C4A" w14:textId="77777777" w:rsidR="00476449" w:rsidRPr="00476449" w:rsidRDefault="00476449" w:rsidP="00476449">
      <w:pPr>
        <w:pStyle w:val="EndNoteBibliography"/>
        <w:ind w:left="720" w:hanging="720"/>
      </w:pPr>
      <w:r w:rsidRPr="00476449">
        <w:rPr>
          <w:b/>
        </w:rPr>
        <w:t xml:space="preserve">Knoblich, J. A. </w:t>
      </w:r>
      <w:r w:rsidRPr="00476449">
        <w:t xml:space="preserve">(2008). Mechanisms of Asymmetric Stem Cell Division. </w:t>
      </w:r>
      <w:r w:rsidRPr="00476449">
        <w:rPr>
          <w:i/>
        </w:rPr>
        <w:t>Cell</w:t>
      </w:r>
      <w:r w:rsidRPr="00476449">
        <w:t xml:space="preserve"> </w:t>
      </w:r>
      <w:r w:rsidRPr="00476449">
        <w:rPr>
          <w:b/>
        </w:rPr>
        <w:t>132</w:t>
      </w:r>
      <w:r w:rsidRPr="00476449">
        <w:t>, 583-597.</w:t>
      </w:r>
    </w:p>
    <w:p w14:paraId="6ABFCD34" w14:textId="77777777" w:rsidR="00476449" w:rsidRPr="00476449" w:rsidRDefault="00476449" w:rsidP="00476449">
      <w:pPr>
        <w:pStyle w:val="EndNoteBibliography"/>
        <w:ind w:left="720" w:hanging="720"/>
      </w:pPr>
      <w:r w:rsidRPr="00476449">
        <w:rPr>
          <w:b/>
        </w:rPr>
        <w:t xml:space="preserve">Kondo, T., Kajita, R., Miyazaki, A., Hokoyama, M., Nakamura-Miura, T., Mizuno, S., Masuda, Y., Irie, K., Tanaka, Y., Takada, S., et al. </w:t>
      </w:r>
      <w:r w:rsidRPr="00476449">
        <w:t xml:space="preserve">(2010). Stomatal Density is Controlled by a Mesophyll-Derived Signaling Molecule. </w:t>
      </w:r>
      <w:r w:rsidRPr="00476449">
        <w:rPr>
          <w:i/>
        </w:rPr>
        <w:t>Plant and Cell Physiology</w:t>
      </w:r>
      <w:r w:rsidRPr="00476449">
        <w:t xml:space="preserve"> </w:t>
      </w:r>
      <w:r w:rsidRPr="00476449">
        <w:rPr>
          <w:b/>
        </w:rPr>
        <w:t>51</w:t>
      </w:r>
      <w:r w:rsidRPr="00476449">
        <w:t>, 1-8.</w:t>
      </w:r>
    </w:p>
    <w:p w14:paraId="53B58520" w14:textId="77777777" w:rsidR="00476449" w:rsidRPr="00476449" w:rsidRDefault="00476449" w:rsidP="00476449">
      <w:pPr>
        <w:pStyle w:val="EndNoteBibliography"/>
        <w:ind w:left="720" w:hanging="720"/>
      </w:pPr>
      <w:r w:rsidRPr="00476449">
        <w:rPr>
          <w:b/>
        </w:rPr>
        <w:t xml:space="preserve">Konopka, A., Herendeen, P. and Crane, P. </w:t>
      </w:r>
      <w:r w:rsidRPr="00476449">
        <w:t xml:space="preserve">(1998). Sporophytes and gametophytes of Dicranaceae from the Santonian (Late Cretaceous) of Georgia, USA. </w:t>
      </w:r>
      <w:r w:rsidRPr="00476449">
        <w:rPr>
          <w:i/>
        </w:rPr>
        <w:t>Am J Bot</w:t>
      </w:r>
      <w:r w:rsidRPr="00476449">
        <w:t xml:space="preserve"> </w:t>
      </w:r>
      <w:r w:rsidRPr="00476449">
        <w:rPr>
          <w:b/>
        </w:rPr>
        <w:t>85</w:t>
      </w:r>
      <w:r w:rsidRPr="00476449">
        <w:t>, 714.</w:t>
      </w:r>
    </w:p>
    <w:p w14:paraId="05B390CE" w14:textId="77777777" w:rsidR="00476449" w:rsidRPr="00476449" w:rsidRDefault="00476449" w:rsidP="00476449">
      <w:pPr>
        <w:pStyle w:val="EndNoteBibliography"/>
        <w:ind w:left="720" w:hanging="720"/>
      </w:pPr>
      <w:r w:rsidRPr="00476449">
        <w:rPr>
          <w:b/>
        </w:rPr>
        <w:t xml:space="preserve">Kumari, A., Jewaria, P. K., Bergmann, D. C. and Kakimoto, T. </w:t>
      </w:r>
      <w:r w:rsidRPr="00476449">
        <w:t xml:space="preserve">(2014). Arabidopsis reduces growth under osmotic stress by decreasing SPEECHLESS protein. </w:t>
      </w:r>
      <w:r w:rsidRPr="00476449">
        <w:rPr>
          <w:i/>
        </w:rPr>
        <w:t>Plant Cell Physiol</w:t>
      </w:r>
      <w:r w:rsidRPr="00476449">
        <w:t xml:space="preserve"> </w:t>
      </w:r>
      <w:r w:rsidRPr="00476449">
        <w:rPr>
          <w:b/>
        </w:rPr>
        <w:t>55</w:t>
      </w:r>
      <w:r w:rsidRPr="00476449">
        <w:t>, 2037-2046.</w:t>
      </w:r>
    </w:p>
    <w:p w14:paraId="1326D4B0" w14:textId="77777777" w:rsidR="00476449" w:rsidRPr="00476449" w:rsidRDefault="00476449" w:rsidP="00476449">
      <w:pPr>
        <w:pStyle w:val="EndNoteBibliography"/>
        <w:ind w:left="720" w:hanging="720"/>
      </w:pPr>
      <w:r w:rsidRPr="00476449">
        <w:rPr>
          <w:b/>
        </w:rPr>
        <w:t xml:space="preserve">Kurbidaeva, A., Ezhova, T. and Novokreshchenova, M. </w:t>
      </w:r>
      <w:r w:rsidRPr="00476449">
        <w:t xml:space="preserve">(2014). Arabidopsis thaliana ICE2 gene: Phylogeny, structural evolution and functional diversification from ICE1. </w:t>
      </w:r>
      <w:r w:rsidRPr="00476449">
        <w:rPr>
          <w:i/>
        </w:rPr>
        <w:t>Plant Science</w:t>
      </w:r>
      <w:r w:rsidRPr="00476449">
        <w:t xml:space="preserve"> </w:t>
      </w:r>
      <w:r w:rsidRPr="00476449">
        <w:rPr>
          <w:b/>
        </w:rPr>
        <w:t>229</w:t>
      </w:r>
      <w:r w:rsidRPr="00476449">
        <w:t>, 10-22.</w:t>
      </w:r>
    </w:p>
    <w:p w14:paraId="5EC3E8F2" w14:textId="77777777" w:rsidR="00476449" w:rsidRPr="00476449" w:rsidRDefault="00476449" w:rsidP="00476449">
      <w:pPr>
        <w:pStyle w:val="EndNoteBibliography"/>
        <w:ind w:left="720" w:hanging="720"/>
      </w:pPr>
      <w:r w:rsidRPr="00476449">
        <w:rPr>
          <w:b/>
        </w:rPr>
        <w:lastRenderedPageBreak/>
        <w:t xml:space="preserve">Lai, L. B., Nadeau, J. A., Lucas, J., Lee, E. K., Nakagawa, T., Zhao, L. M., Geisler, M. and Sack, F. D. </w:t>
      </w:r>
      <w:r w:rsidRPr="00476449">
        <w:t xml:space="preserve">(2005). The Arabidopsis R2R3 MYB proteins FOUR LIPS and MYB88 restrict divisions late in the stomatal cell lineage. </w:t>
      </w:r>
      <w:r w:rsidRPr="00476449">
        <w:rPr>
          <w:i/>
        </w:rPr>
        <w:t>Plant Cell</w:t>
      </w:r>
      <w:r w:rsidRPr="00476449">
        <w:t xml:space="preserve"> </w:t>
      </w:r>
      <w:r w:rsidRPr="00476449">
        <w:rPr>
          <w:b/>
        </w:rPr>
        <w:t>17</w:t>
      </w:r>
      <w:r w:rsidRPr="00476449">
        <w:t>, 2754-2767.</w:t>
      </w:r>
    </w:p>
    <w:p w14:paraId="1D0F6896" w14:textId="77777777" w:rsidR="00476449" w:rsidRPr="00476449" w:rsidRDefault="00476449" w:rsidP="00476449">
      <w:pPr>
        <w:pStyle w:val="EndNoteBibliography"/>
        <w:ind w:left="720" w:hanging="720"/>
      </w:pPr>
      <w:r w:rsidRPr="00476449">
        <w:rPr>
          <w:b/>
        </w:rPr>
        <w:t xml:space="preserve">Lake, J. A. and Woodward, F. I. </w:t>
      </w:r>
      <w:r w:rsidRPr="00476449">
        <w:t xml:space="preserve">(2008). Response of stomatal numbers to CO2 and humidity: control by transpiration rate and abscisic acid. </w:t>
      </w:r>
      <w:r w:rsidRPr="00476449">
        <w:rPr>
          <w:i/>
        </w:rPr>
        <w:t>New Phytologist</w:t>
      </w:r>
      <w:r w:rsidRPr="00476449">
        <w:t xml:space="preserve"> </w:t>
      </w:r>
      <w:r w:rsidRPr="00476449">
        <w:rPr>
          <w:b/>
        </w:rPr>
        <w:t>179</w:t>
      </w:r>
      <w:r w:rsidRPr="00476449">
        <w:t>, 397-404.</w:t>
      </w:r>
    </w:p>
    <w:p w14:paraId="31790A8F" w14:textId="77777777" w:rsidR="00476449" w:rsidRPr="00476449" w:rsidRDefault="00476449" w:rsidP="00476449">
      <w:pPr>
        <w:pStyle w:val="EndNoteBibliography"/>
        <w:ind w:left="720" w:hanging="720"/>
      </w:pPr>
      <w:r w:rsidRPr="00476449">
        <w:rPr>
          <w:b/>
        </w:rPr>
        <w:t xml:space="preserve">Lampard, G. R., Lukowitz, W., Ellis, B. E. and Bergmann, D. C. </w:t>
      </w:r>
      <w:r w:rsidRPr="00476449">
        <w:t xml:space="preserve">(2009). Novel and Expanded Roles for MAPK Signaling in Arabidopsis Stomatal Cell Fate Revealed by Cell Type-Specific Manipulations. </w:t>
      </w:r>
      <w:r w:rsidRPr="00476449">
        <w:rPr>
          <w:i/>
        </w:rPr>
        <w:t>Plant Cell</w:t>
      </w:r>
      <w:r w:rsidRPr="00476449">
        <w:t xml:space="preserve"> </w:t>
      </w:r>
      <w:r w:rsidRPr="00476449">
        <w:rPr>
          <w:b/>
        </w:rPr>
        <w:t>21</w:t>
      </w:r>
      <w:r w:rsidRPr="00476449">
        <w:t>, 3506-3517.</w:t>
      </w:r>
    </w:p>
    <w:p w14:paraId="334F6D33" w14:textId="77777777" w:rsidR="00476449" w:rsidRPr="00476449" w:rsidRDefault="00476449" w:rsidP="00476449">
      <w:pPr>
        <w:pStyle w:val="EndNoteBibliography"/>
        <w:ind w:left="720" w:hanging="720"/>
      </w:pPr>
      <w:r w:rsidRPr="00476449">
        <w:rPr>
          <w:b/>
        </w:rPr>
        <w:t xml:space="preserve">Lampard, G. R., Macalister, C. A. and Bergmann, D. C. </w:t>
      </w:r>
      <w:r w:rsidRPr="00476449">
        <w:t xml:space="preserve">(2008). Arabidopsis stomatal initiation is controlled by MAPK-mediated regulation of the bHLH SPEECHLESS. </w:t>
      </w:r>
      <w:r w:rsidRPr="00476449">
        <w:rPr>
          <w:i/>
        </w:rPr>
        <w:t>Science</w:t>
      </w:r>
      <w:r w:rsidRPr="00476449">
        <w:t xml:space="preserve"> </w:t>
      </w:r>
      <w:r w:rsidRPr="00476449">
        <w:rPr>
          <w:b/>
        </w:rPr>
        <w:t>322</w:t>
      </w:r>
      <w:r w:rsidRPr="00476449">
        <w:t>, 1113-1116.</w:t>
      </w:r>
    </w:p>
    <w:p w14:paraId="0619C266" w14:textId="77777777" w:rsidR="00476449" w:rsidRPr="00476449" w:rsidRDefault="00476449" w:rsidP="00476449">
      <w:pPr>
        <w:pStyle w:val="EndNoteBibliography"/>
        <w:ind w:left="720" w:hanging="720"/>
      </w:pPr>
      <w:r w:rsidRPr="00476449">
        <w:rPr>
          <w:b/>
        </w:rPr>
        <w:t xml:space="preserve">Lampard, G. R., Wengier, D. L. and Bergmann, D. C. </w:t>
      </w:r>
      <w:r w:rsidRPr="00476449">
        <w:t xml:space="preserve">(2014). Manipulation of mitogen-activated protein kinase kinase signaling in the Arabidopsis stomatal lineage reveals motifs that contribute to protein localization and signaling specificity. </w:t>
      </w:r>
      <w:r w:rsidRPr="00476449">
        <w:rPr>
          <w:i/>
        </w:rPr>
        <w:t>Plant Cell</w:t>
      </w:r>
      <w:r w:rsidRPr="00476449">
        <w:t xml:space="preserve"> </w:t>
      </w:r>
      <w:r w:rsidRPr="00476449">
        <w:rPr>
          <w:b/>
        </w:rPr>
        <w:t>26</w:t>
      </w:r>
      <w:r w:rsidRPr="00476449">
        <w:t>, 3358-3371.</w:t>
      </w:r>
    </w:p>
    <w:p w14:paraId="33320233" w14:textId="77777777" w:rsidR="00476449" w:rsidRPr="00476449" w:rsidRDefault="00476449" w:rsidP="00476449">
      <w:pPr>
        <w:pStyle w:val="EndNoteBibliography"/>
        <w:ind w:left="720" w:hanging="720"/>
      </w:pPr>
      <w:r w:rsidRPr="00476449">
        <w:rPr>
          <w:b/>
        </w:rPr>
        <w:t xml:space="preserve">Langdale, J. A. </w:t>
      </w:r>
      <w:r w:rsidRPr="00476449">
        <w:t xml:space="preserve">(2008). Evolution of developmental mechanisms in plants. </w:t>
      </w:r>
      <w:r w:rsidRPr="00476449">
        <w:rPr>
          <w:i/>
        </w:rPr>
        <w:t>Curr Opin Genet Dev</w:t>
      </w:r>
      <w:r w:rsidRPr="00476449">
        <w:t xml:space="preserve"> </w:t>
      </w:r>
      <w:r w:rsidRPr="00476449">
        <w:rPr>
          <w:b/>
        </w:rPr>
        <w:t>18</w:t>
      </w:r>
      <w:r w:rsidRPr="00476449">
        <w:t>, 368-373.</w:t>
      </w:r>
    </w:p>
    <w:p w14:paraId="632BCE5A" w14:textId="77777777" w:rsidR="00476449" w:rsidRPr="00476449" w:rsidRDefault="00476449" w:rsidP="00476449">
      <w:pPr>
        <w:pStyle w:val="EndNoteBibliography"/>
        <w:ind w:left="720" w:hanging="720"/>
      </w:pPr>
      <w:r w:rsidRPr="00476449">
        <w:rPr>
          <w:b/>
        </w:rPr>
        <w:t xml:space="preserve">Lau, O. S. and Bergmann, D. C. </w:t>
      </w:r>
      <w:r w:rsidRPr="00476449">
        <w:t xml:space="preserve">(2012). Stomatal development: a plant's perspective on cell polarity, cell fate transitions and intercellular communication. </w:t>
      </w:r>
      <w:r w:rsidRPr="00476449">
        <w:rPr>
          <w:i/>
        </w:rPr>
        <w:t>Development</w:t>
      </w:r>
      <w:r w:rsidRPr="00476449">
        <w:t xml:space="preserve"> </w:t>
      </w:r>
      <w:r w:rsidRPr="00476449">
        <w:rPr>
          <w:b/>
        </w:rPr>
        <w:t>139</w:t>
      </w:r>
      <w:r w:rsidRPr="00476449">
        <w:t>, 3683-3692.</w:t>
      </w:r>
    </w:p>
    <w:p w14:paraId="46E807CA" w14:textId="77777777" w:rsidR="00476449" w:rsidRPr="00476449" w:rsidRDefault="00476449" w:rsidP="00476449">
      <w:pPr>
        <w:pStyle w:val="EndNoteBibliography"/>
        <w:ind w:left="720" w:hanging="720"/>
      </w:pPr>
      <w:r w:rsidRPr="00476449">
        <w:rPr>
          <w:b/>
        </w:rPr>
        <w:t xml:space="preserve">Lau, O. S., Davies, K. A., Chang, J., Adrian, J., Rowe, M. H., Ballenger, C. E. and Bergmann, D. C. </w:t>
      </w:r>
      <w:r w:rsidRPr="00476449">
        <w:t xml:space="preserve">(2014). Direct roles of SPEECHLESS in the specification of stomatal self-renewing cells. </w:t>
      </w:r>
      <w:r w:rsidRPr="00476449">
        <w:rPr>
          <w:i/>
        </w:rPr>
        <w:t>Science</w:t>
      </w:r>
      <w:r w:rsidRPr="00476449">
        <w:t xml:space="preserve"> </w:t>
      </w:r>
      <w:r w:rsidRPr="00476449">
        <w:rPr>
          <w:b/>
        </w:rPr>
        <w:t>345</w:t>
      </w:r>
      <w:r w:rsidRPr="00476449">
        <w:t>, 1605-1609.</w:t>
      </w:r>
    </w:p>
    <w:p w14:paraId="69E4C2CC" w14:textId="77777777" w:rsidR="00476449" w:rsidRPr="00476449" w:rsidRDefault="00476449" w:rsidP="00476449">
      <w:pPr>
        <w:pStyle w:val="EndNoteBibliography"/>
        <w:ind w:left="720" w:hanging="720"/>
      </w:pPr>
      <w:r w:rsidRPr="00476449">
        <w:rPr>
          <w:b/>
        </w:rPr>
        <w:t xml:space="preserve">Le Bail, A., Scholz, S. and Kost, B. </w:t>
      </w:r>
      <w:r w:rsidRPr="00476449">
        <w:t xml:space="preserve">(2013). Evaluation of Reference Genes for RT qPCR Analyses of Structure-Specific and Hormone Regulated Gene Expression in Physcomitrella patens Gametophytes. </w:t>
      </w:r>
      <w:r w:rsidRPr="00476449">
        <w:rPr>
          <w:i/>
        </w:rPr>
        <w:t>Plos One</w:t>
      </w:r>
      <w:r w:rsidRPr="00476449">
        <w:t xml:space="preserve"> </w:t>
      </w:r>
      <w:r w:rsidRPr="00476449">
        <w:rPr>
          <w:b/>
        </w:rPr>
        <w:t>8</w:t>
      </w:r>
      <w:r w:rsidRPr="00476449">
        <w:t>.</w:t>
      </w:r>
    </w:p>
    <w:p w14:paraId="5C478D80" w14:textId="77777777" w:rsidR="00476449" w:rsidRPr="00476449" w:rsidRDefault="00476449" w:rsidP="00476449">
      <w:pPr>
        <w:pStyle w:val="EndNoteBibliography"/>
        <w:ind w:left="720" w:hanging="720"/>
      </w:pPr>
      <w:r w:rsidRPr="00476449">
        <w:rPr>
          <w:b/>
        </w:rPr>
        <w:t xml:space="preserve">Lee, E., Liu, X., Eglit, Y. and Sack, F. </w:t>
      </w:r>
      <w:r w:rsidRPr="00476449">
        <w:t xml:space="preserve">(2013). FOUR LIPS and MYB88 conditionally restrict the G1/S transition during stomatal formation. </w:t>
      </w:r>
      <w:r w:rsidRPr="00476449">
        <w:rPr>
          <w:i/>
        </w:rPr>
        <w:t>Journal of Experimental Botany</w:t>
      </w:r>
      <w:r w:rsidRPr="00476449">
        <w:t xml:space="preserve"> </w:t>
      </w:r>
      <w:r w:rsidRPr="00476449">
        <w:rPr>
          <w:b/>
        </w:rPr>
        <w:t>64</w:t>
      </w:r>
      <w:r w:rsidRPr="00476449">
        <w:t>, 5207-5219.</w:t>
      </w:r>
    </w:p>
    <w:p w14:paraId="6D795532" w14:textId="77777777" w:rsidR="00476449" w:rsidRPr="00476449" w:rsidRDefault="00476449" w:rsidP="00476449">
      <w:pPr>
        <w:pStyle w:val="EndNoteBibliography"/>
        <w:ind w:left="720" w:hanging="720"/>
      </w:pPr>
      <w:r w:rsidRPr="00476449">
        <w:rPr>
          <w:b/>
        </w:rPr>
        <w:t xml:space="preserve">Lee, E., Lucas, J. R., Goodrich, J. and Sack, F. D. </w:t>
      </w:r>
      <w:r w:rsidRPr="00476449">
        <w:t xml:space="preserve">(2014a). Arabidopsis guard cell integrity involves the epigenetic stabilization of the FLP and FAMA transcription factor genes. </w:t>
      </w:r>
      <w:r w:rsidRPr="00476449">
        <w:rPr>
          <w:i/>
        </w:rPr>
        <w:t>Plant J</w:t>
      </w:r>
      <w:r w:rsidRPr="00476449">
        <w:t xml:space="preserve"> </w:t>
      </w:r>
      <w:r w:rsidRPr="00476449">
        <w:rPr>
          <w:b/>
        </w:rPr>
        <w:t>78</w:t>
      </w:r>
      <w:r w:rsidRPr="00476449">
        <w:t>, 566-577.</w:t>
      </w:r>
    </w:p>
    <w:p w14:paraId="6A716281" w14:textId="77777777" w:rsidR="00476449" w:rsidRPr="00476449" w:rsidRDefault="00476449" w:rsidP="00476449">
      <w:pPr>
        <w:pStyle w:val="EndNoteBibliography"/>
        <w:ind w:left="720" w:hanging="720"/>
      </w:pPr>
      <w:r w:rsidRPr="00476449">
        <w:rPr>
          <w:b/>
        </w:rPr>
        <w:t xml:space="preserve">Lee, E., Lucas, J. R. and Sack, F. D. </w:t>
      </w:r>
      <w:r w:rsidRPr="00476449">
        <w:t xml:space="preserve">(2014b). Deep functional redundancy between FAMA and FOUR LIPS in stomatal development. </w:t>
      </w:r>
      <w:r w:rsidRPr="00476449">
        <w:rPr>
          <w:i/>
        </w:rPr>
        <w:t>The Plant Journal</w:t>
      </w:r>
      <w:r w:rsidRPr="00476449">
        <w:t xml:space="preserve"> </w:t>
      </w:r>
      <w:r w:rsidRPr="00476449">
        <w:rPr>
          <w:b/>
        </w:rPr>
        <w:t>78</w:t>
      </w:r>
      <w:r w:rsidRPr="00476449">
        <w:t>, 555-565.</w:t>
      </w:r>
    </w:p>
    <w:p w14:paraId="60898BF9" w14:textId="77777777" w:rsidR="00476449" w:rsidRPr="00476449" w:rsidRDefault="00476449" w:rsidP="00476449">
      <w:pPr>
        <w:pStyle w:val="EndNoteBibliography"/>
        <w:ind w:left="720" w:hanging="720"/>
      </w:pPr>
      <w:r w:rsidRPr="00476449">
        <w:rPr>
          <w:b/>
        </w:rPr>
        <w:t xml:space="preserve">Lee, J. H., Jung, J. H. and Park, C. M. </w:t>
      </w:r>
      <w:r w:rsidRPr="00476449">
        <w:t xml:space="preserve">(2015a). INDUCER OF CBF EXPRESSION1 integrates cold signals into FLOWERING LOCUS C-mediated flowering pathways in Arabidopsis. </w:t>
      </w:r>
      <w:r w:rsidRPr="00476449">
        <w:rPr>
          <w:i/>
        </w:rPr>
        <w:t>Plant Journal</w:t>
      </w:r>
      <w:r w:rsidRPr="00476449">
        <w:t xml:space="preserve"> </w:t>
      </w:r>
      <w:r w:rsidRPr="00476449">
        <w:rPr>
          <w:b/>
        </w:rPr>
        <w:t>84</w:t>
      </w:r>
      <w:r w:rsidRPr="00476449">
        <w:t>, 29-40.</w:t>
      </w:r>
    </w:p>
    <w:p w14:paraId="4F644D56" w14:textId="77777777" w:rsidR="00476449" w:rsidRPr="00476449" w:rsidRDefault="00476449" w:rsidP="00476449">
      <w:pPr>
        <w:pStyle w:val="EndNoteBibliography"/>
        <w:ind w:left="720" w:hanging="720"/>
      </w:pPr>
      <w:r w:rsidRPr="00476449">
        <w:rPr>
          <w:b/>
        </w:rPr>
        <w:t xml:space="preserve">Lee, J. S., Hnilova, M., Maes, M., Lin, Y. C. L., Putarjunan, A., Han, S. K., Avila, J. and Torii, K. U. </w:t>
      </w:r>
      <w:r w:rsidRPr="00476449">
        <w:t xml:space="preserve">(2015b). Competitive binding of antagonistic peptides fine-tunes stomatal patterning. </w:t>
      </w:r>
      <w:r w:rsidRPr="00476449">
        <w:rPr>
          <w:i/>
        </w:rPr>
        <w:t>Nature</w:t>
      </w:r>
      <w:r w:rsidRPr="00476449">
        <w:t xml:space="preserve"> </w:t>
      </w:r>
      <w:r w:rsidRPr="00476449">
        <w:rPr>
          <w:b/>
        </w:rPr>
        <w:t>522</w:t>
      </w:r>
      <w:r w:rsidRPr="00476449">
        <w:t>, 435-+.</w:t>
      </w:r>
    </w:p>
    <w:p w14:paraId="3839581E" w14:textId="77777777" w:rsidR="00476449" w:rsidRPr="00476449" w:rsidRDefault="00476449" w:rsidP="00476449">
      <w:pPr>
        <w:pStyle w:val="EndNoteBibliography"/>
        <w:ind w:left="720" w:hanging="720"/>
      </w:pPr>
      <w:r w:rsidRPr="00476449">
        <w:rPr>
          <w:b/>
        </w:rPr>
        <w:t xml:space="preserve">Lee, J. S., Kuroha, T., Hnilova, M., Khatayevich, D., Kanaoka, M. M., McAbee, J. M., Sarikaya, M., Tamerler, C. and Torii, K. U. </w:t>
      </w:r>
      <w:r w:rsidRPr="00476449">
        <w:t xml:space="preserve">(2012). Direct interaction of ligand-receptor pairs specifying stomatal patterning. </w:t>
      </w:r>
      <w:r w:rsidRPr="00476449">
        <w:rPr>
          <w:i/>
        </w:rPr>
        <w:t>Genes &amp; Development</w:t>
      </w:r>
      <w:r w:rsidRPr="00476449">
        <w:t xml:space="preserve"> </w:t>
      </w:r>
      <w:r w:rsidRPr="00476449">
        <w:rPr>
          <w:b/>
        </w:rPr>
        <w:t>26</w:t>
      </w:r>
      <w:r w:rsidRPr="00476449">
        <w:t>, 126-136.</w:t>
      </w:r>
    </w:p>
    <w:p w14:paraId="2550A22C" w14:textId="77777777" w:rsidR="00476449" w:rsidRPr="00476449" w:rsidRDefault="00476449" w:rsidP="00476449">
      <w:pPr>
        <w:pStyle w:val="EndNoteBibliography"/>
        <w:ind w:left="720" w:hanging="720"/>
      </w:pPr>
      <w:r w:rsidRPr="00476449">
        <w:rPr>
          <w:b/>
        </w:rPr>
        <w:t xml:space="preserve">Lenton, T. M., Crouch, M., Johnson, M., Pires, N. and Dolan, L. </w:t>
      </w:r>
      <w:r w:rsidRPr="00476449">
        <w:t xml:space="preserve">(2012). First plants cooled the Ordovician. </w:t>
      </w:r>
      <w:r w:rsidRPr="00476449">
        <w:rPr>
          <w:i/>
        </w:rPr>
        <w:t>Nature Geosci</w:t>
      </w:r>
      <w:r w:rsidRPr="00476449">
        <w:t xml:space="preserve"> </w:t>
      </w:r>
      <w:r w:rsidRPr="00476449">
        <w:rPr>
          <w:b/>
        </w:rPr>
        <w:t>5</w:t>
      </w:r>
      <w:r w:rsidRPr="00476449">
        <w:t>, 86-89.</w:t>
      </w:r>
    </w:p>
    <w:p w14:paraId="16CE3F85" w14:textId="77777777" w:rsidR="00476449" w:rsidRPr="00476449" w:rsidRDefault="00476449" w:rsidP="00476449">
      <w:pPr>
        <w:pStyle w:val="EndNoteBibliography"/>
        <w:ind w:left="720" w:hanging="720"/>
      </w:pPr>
      <w:r w:rsidRPr="00476449">
        <w:rPr>
          <w:b/>
        </w:rPr>
        <w:t xml:space="preserve">Liang, C. H. and Yang, C. C. </w:t>
      </w:r>
      <w:r w:rsidRPr="00476449">
        <w:t xml:space="preserve">(2015). Identification of ICE1 as a negative regulator of ABA-dependent pathways in seeds and seedlings of Arabidopsis. </w:t>
      </w:r>
      <w:r w:rsidRPr="00476449">
        <w:rPr>
          <w:i/>
        </w:rPr>
        <w:t>Plant Molecular Biology</w:t>
      </w:r>
      <w:r w:rsidRPr="00476449">
        <w:t xml:space="preserve"> </w:t>
      </w:r>
      <w:r w:rsidRPr="00476449">
        <w:rPr>
          <w:b/>
        </w:rPr>
        <w:t>88</w:t>
      </w:r>
      <w:r w:rsidRPr="00476449">
        <w:t>, 459-470.</w:t>
      </w:r>
    </w:p>
    <w:p w14:paraId="0A745170" w14:textId="77777777" w:rsidR="00476449" w:rsidRPr="00476449" w:rsidRDefault="00476449" w:rsidP="00476449">
      <w:pPr>
        <w:pStyle w:val="EndNoteBibliography"/>
        <w:ind w:left="720" w:hanging="720"/>
      </w:pPr>
      <w:r w:rsidRPr="00476449">
        <w:rPr>
          <w:b/>
        </w:rPr>
        <w:t xml:space="preserve">Ligrone, R., Duckett, J. G. and Renzaglia, K. S. </w:t>
      </w:r>
      <w:r w:rsidRPr="00476449">
        <w:t xml:space="preserve">(2000). Conducting tissues and phyletic relationships of bryophytes. </w:t>
      </w:r>
      <w:r w:rsidRPr="00476449">
        <w:rPr>
          <w:i/>
        </w:rPr>
        <w:t>Philosophical Transactions of the Royal Society of London Series B-Biological Sciences</w:t>
      </w:r>
      <w:r w:rsidRPr="00476449">
        <w:t xml:space="preserve"> </w:t>
      </w:r>
      <w:r w:rsidRPr="00476449">
        <w:rPr>
          <w:b/>
        </w:rPr>
        <w:t>355</w:t>
      </w:r>
      <w:r w:rsidRPr="00476449">
        <w:t>, 795-813.</w:t>
      </w:r>
    </w:p>
    <w:p w14:paraId="5C935C6C" w14:textId="77777777" w:rsidR="00476449" w:rsidRPr="00476449" w:rsidRDefault="00476449" w:rsidP="00476449">
      <w:pPr>
        <w:pStyle w:val="EndNoteBibliography"/>
        <w:ind w:left="720" w:hanging="720"/>
      </w:pPr>
      <w:r w:rsidRPr="00476449">
        <w:rPr>
          <w:b/>
        </w:rPr>
        <w:t xml:space="preserve">---- </w:t>
      </w:r>
      <w:r w:rsidRPr="00476449">
        <w:t xml:space="preserve">(2012). Major transitions in the evolution of early land plants: a bryological perspective. </w:t>
      </w:r>
      <w:r w:rsidRPr="00476449">
        <w:rPr>
          <w:i/>
        </w:rPr>
        <w:t>Annals of Botany</w:t>
      </w:r>
      <w:r w:rsidRPr="00476449">
        <w:t xml:space="preserve"> </w:t>
      </w:r>
      <w:r w:rsidRPr="00476449">
        <w:rPr>
          <w:b/>
        </w:rPr>
        <w:t>109</w:t>
      </w:r>
      <w:r w:rsidRPr="00476449">
        <w:t>, 851-871.</w:t>
      </w:r>
    </w:p>
    <w:p w14:paraId="4D6673C1" w14:textId="77777777" w:rsidR="00476449" w:rsidRPr="00476449" w:rsidRDefault="00476449" w:rsidP="00476449">
      <w:pPr>
        <w:pStyle w:val="EndNoteBibliography"/>
        <w:ind w:left="720" w:hanging="720"/>
      </w:pPr>
      <w:r w:rsidRPr="00476449">
        <w:rPr>
          <w:b/>
        </w:rPr>
        <w:t xml:space="preserve">Lind, C., Dreyer, I., Lopez-Sanjurjo, E. J., von Meyer, K., Ishizaki, K., Kohchi, T., Lang, D., Zhao, Y., Kreuzer, I., Al-Rasheid, K. A. S., et al. </w:t>
      </w:r>
      <w:r w:rsidRPr="00476449">
        <w:t xml:space="preserve">(2015). Stomatal Guard Cells Co-opted an Ancient ABA-Dependent Desiccation Survival System to Regulate Stomatal Closure. </w:t>
      </w:r>
      <w:r w:rsidRPr="00476449">
        <w:rPr>
          <w:i/>
        </w:rPr>
        <w:t>Current Biology</w:t>
      </w:r>
      <w:r w:rsidRPr="00476449">
        <w:t xml:space="preserve"> </w:t>
      </w:r>
      <w:r w:rsidRPr="00476449">
        <w:rPr>
          <w:b/>
        </w:rPr>
        <w:t>25</w:t>
      </w:r>
      <w:r w:rsidRPr="00476449">
        <w:t>, 928-935.</w:t>
      </w:r>
    </w:p>
    <w:p w14:paraId="63ED278D" w14:textId="77777777" w:rsidR="00476449" w:rsidRPr="00476449" w:rsidRDefault="00476449" w:rsidP="00476449">
      <w:pPr>
        <w:pStyle w:val="EndNoteBibliography"/>
        <w:ind w:left="720" w:hanging="720"/>
      </w:pPr>
      <w:r w:rsidRPr="00476449">
        <w:rPr>
          <w:b/>
        </w:rPr>
        <w:lastRenderedPageBreak/>
        <w:t xml:space="preserve">Liu, K. and Luan, S. </w:t>
      </w:r>
      <w:r w:rsidRPr="00476449">
        <w:t xml:space="preserve">(1998). Voltage-Dependent K+ Channels as Targets of Osmosensing in Guard Cells. </w:t>
      </w:r>
      <w:r w:rsidRPr="00476449">
        <w:rPr>
          <w:i/>
        </w:rPr>
        <w:t>The Plant Cell</w:t>
      </w:r>
      <w:r w:rsidRPr="00476449">
        <w:t xml:space="preserve"> </w:t>
      </w:r>
      <w:r w:rsidRPr="00476449">
        <w:rPr>
          <w:b/>
        </w:rPr>
        <w:t>10</w:t>
      </w:r>
      <w:r w:rsidRPr="00476449">
        <w:t>, 1957-1970.</w:t>
      </w:r>
    </w:p>
    <w:p w14:paraId="2E0172A0" w14:textId="77777777" w:rsidR="00476449" w:rsidRPr="00476449" w:rsidRDefault="00476449" w:rsidP="00476449">
      <w:pPr>
        <w:pStyle w:val="EndNoteBibliography"/>
        <w:ind w:left="720" w:hanging="720"/>
      </w:pPr>
      <w:r w:rsidRPr="00476449">
        <w:rPr>
          <w:b/>
        </w:rPr>
        <w:t xml:space="preserve">Liu, T., Ohashi-Ito, K. and Bergmann, D. C. </w:t>
      </w:r>
      <w:r w:rsidRPr="00476449">
        <w:t xml:space="preserve">(2009). Orthologs of Arabidopsis thaliana stomatal bHLH genes and regulation of stomatal development in grasses. </w:t>
      </w:r>
      <w:r w:rsidRPr="00476449">
        <w:rPr>
          <w:i/>
        </w:rPr>
        <w:t>Development</w:t>
      </w:r>
      <w:r w:rsidRPr="00476449">
        <w:t xml:space="preserve"> </w:t>
      </w:r>
      <w:r w:rsidRPr="00476449">
        <w:rPr>
          <w:b/>
        </w:rPr>
        <w:t>136</w:t>
      </w:r>
      <w:r w:rsidRPr="00476449">
        <w:t>, 2265-2276.</w:t>
      </w:r>
    </w:p>
    <w:p w14:paraId="4B7D71B3" w14:textId="77777777" w:rsidR="00476449" w:rsidRPr="00476449" w:rsidRDefault="00476449" w:rsidP="00476449">
      <w:pPr>
        <w:pStyle w:val="EndNoteBibliography"/>
        <w:ind w:left="720" w:hanging="720"/>
      </w:pPr>
      <w:r w:rsidRPr="00476449">
        <w:rPr>
          <w:b/>
        </w:rPr>
        <w:t xml:space="preserve">Llorente, F., Alonso-Blanco, C., Sanchez-Rodriguez, C., Jorda, L. and Molina, A. </w:t>
      </w:r>
      <w:r w:rsidRPr="00476449">
        <w:t xml:space="preserve">(2005). ERECTA receptor-like kinase and heterotrimeric G protein from Arabidopsis are required for resistance to the necrotrophic fungus Plectosphaerella cucumerina. </w:t>
      </w:r>
      <w:r w:rsidRPr="00476449">
        <w:rPr>
          <w:i/>
        </w:rPr>
        <w:t>Plant J</w:t>
      </w:r>
      <w:r w:rsidRPr="00476449">
        <w:t xml:space="preserve"> </w:t>
      </w:r>
      <w:r w:rsidRPr="00476449">
        <w:rPr>
          <w:b/>
        </w:rPr>
        <w:t>43</w:t>
      </w:r>
      <w:r w:rsidRPr="00476449">
        <w:t>, 165-180.</w:t>
      </w:r>
    </w:p>
    <w:p w14:paraId="19BAB398" w14:textId="77777777" w:rsidR="00476449" w:rsidRPr="00476449" w:rsidRDefault="00476449" w:rsidP="00476449">
      <w:pPr>
        <w:pStyle w:val="EndNoteBibliography"/>
        <w:ind w:left="720" w:hanging="720"/>
      </w:pPr>
      <w:r w:rsidRPr="00476449">
        <w:rPr>
          <w:b/>
        </w:rPr>
        <w:t xml:space="preserve">Lucas, W. J., Ding, B. and Vanderschoot, C. </w:t>
      </w:r>
      <w:r w:rsidRPr="00476449">
        <w:t xml:space="preserve">(1993). Tansley Review No. 58 Plasmodesmata and the supracellular nature of plants. </w:t>
      </w:r>
      <w:r w:rsidRPr="00476449">
        <w:rPr>
          <w:i/>
        </w:rPr>
        <w:t>New Phytologist</w:t>
      </w:r>
      <w:r w:rsidRPr="00476449">
        <w:t xml:space="preserve"> </w:t>
      </w:r>
      <w:r w:rsidRPr="00476449">
        <w:rPr>
          <w:b/>
        </w:rPr>
        <w:t>125</w:t>
      </w:r>
      <w:r w:rsidRPr="00476449">
        <w:t>, 435-476.</w:t>
      </w:r>
    </w:p>
    <w:p w14:paraId="14E67DA0" w14:textId="77777777" w:rsidR="00476449" w:rsidRPr="00476449" w:rsidRDefault="00476449" w:rsidP="00476449">
      <w:pPr>
        <w:pStyle w:val="EndNoteBibliography"/>
        <w:ind w:left="720" w:hanging="720"/>
      </w:pPr>
      <w:r w:rsidRPr="00476449">
        <w:rPr>
          <w:b/>
        </w:rPr>
        <w:t xml:space="preserve">Lucas, W. J., Groover, A., Lichtenberger, R., Furuta, K., Yadav, S. R., Helariutta, Y., He, X. Q., Fukuda, H., Kang, J., Brady, S. M., et al. </w:t>
      </w:r>
      <w:r w:rsidRPr="00476449">
        <w:t xml:space="preserve">(2013). The Plant Vascular System: Evolution, Development and Functions. </w:t>
      </w:r>
      <w:r w:rsidRPr="00476449">
        <w:rPr>
          <w:i/>
        </w:rPr>
        <w:t>Journal of Integrative Plant Biology</w:t>
      </w:r>
      <w:r w:rsidRPr="00476449">
        <w:t xml:space="preserve"> </w:t>
      </w:r>
      <w:r w:rsidRPr="00476449">
        <w:rPr>
          <w:b/>
        </w:rPr>
        <w:t>55</w:t>
      </w:r>
      <w:r w:rsidRPr="00476449">
        <w:t>, 294-388.</w:t>
      </w:r>
    </w:p>
    <w:p w14:paraId="171092AD" w14:textId="77777777" w:rsidR="00476449" w:rsidRPr="00476449" w:rsidRDefault="00476449" w:rsidP="00476449">
      <w:pPr>
        <w:pStyle w:val="EndNoteBibliography"/>
        <w:ind w:left="720" w:hanging="720"/>
      </w:pPr>
      <w:r w:rsidRPr="00476449">
        <w:rPr>
          <w:b/>
        </w:rPr>
        <w:t xml:space="preserve">Luna, E., van Hulten, M., Zhang, Y. H., Berkowitz, O., Lopez, A., Petriacq, P., Sellwood, M. A., Chen, B. N., Burrell, M., van de Meene, A., et al. </w:t>
      </w:r>
      <w:r w:rsidRPr="00476449">
        <w:t xml:space="preserve">(2014). Plant perception of beta-aminobutyric acid is mediated by an aspartyl-tRNA synthetase. </w:t>
      </w:r>
      <w:r w:rsidRPr="00476449">
        <w:rPr>
          <w:i/>
        </w:rPr>
        <w:t>Nature Chemical Biology</w:t>
      </w:r>
      <w:r w:rsidRPr="00476449">
        <w:t xml:space="preserve"> </w:t>
      </w:r>
      <w:r w:rsidRPr="00476449">
        <w:rPr>
          <w:b/>
        </w:rPr>
        <w:t>10</w:t>
      </w:r>
      <w:r w:rsidRPr="00476449">
        <w:t>, 450-456.</w:t>
      </w:r>
    </w:p>
    <w:p w14:paraId="7A5D5BEF" w14:textId="77777777" w:rsidR="00476449" w:rsidRPr="00476449" w:rsidRDefault="00476449" w:rsidP="00476449">
      <w:pPr>
        <w:pStyle w:val="EndNoteBibliography"/>
        <w:ind w:left="720" w:hanging="720"/>
      </w:pPr>
      <w:r w:rsidRPr="00476449">
        <w:rPr>
          <w:b/>
        </w:rPr>
        <w:t xml:space="preserve">Luo, L., Zhou, W. Q., Liu, P., Li, C. X. and Hou, S. W. </w:t>
      </w:r>
      <w:r w:rsidRPr="00476449">
        <w:t xml:space="preserve">(2012). The development of stomata and other epidermal cells on the rice leaves. </w:t>
      </w:r>
      <w:r w:rsidRPr="00476449">
        <w:rPr>
          <w:i/>
        </w:rPr>
        <w:t>Biologia Plantarum</w:t>
      </w:r>
      <w:r w:rsidRPr="00476449">
        <w:t xml:space="preserve"> </w:t>
      </w:r>
      <w:r w:rsidRPr="00476449">
        <w:rPr>
          <w:b/>
        </w:rPr>
        <w:t>56</w:t>
      </w:r>
      <w:r w:rsidRPr="00476449">
        <w:t>, 521-527.</w:t>
      </w:r>
    </w:p>
    <w:p w14:paraId="156A5CBC" w14:textId="77777777" w:rsidR="00476449" w:rsidRPr="00476449" w:rsidRDefault="00476449" w:rsidP="00476449">
      <w:pPr>
        <w:pStyle w:val="EndNoteBibliography"/>
        <w:ind w:left="720" w:hanging="720"/>
      </w:pPr>
      <w:r w:rsidRPr="00476449">
        <w:rPr>
          <w:b/>
        </w:rPr>
        <w:t xml:space="preserve">MacAlister, C. A. and Bergmann, D. C. </w:t>
      </w:r>
      <w:r w:rsidRPr="00476449">
        <w:t xml:space="preserve">(2011). Sequence and function of basic helix-loop-helix proteins required for stomatal development in Arabidopsis are deeply conserved in land plants. </w:t>
      </w:r>
      <w:r w:rsidRPr="00476449">
        <w:rPr>
          <w:i/>
        </w:rPr>
        <w:t>Evolution &amp; Development</w:t>
      </w:r>
      <w:r w:rsidRPr="00476449">
        <w:t xml:space="preserve"> </w:t>
      </w:r>
      <w:r w:rsidRPr="00476449">
        <w:rPr>
          <w:b/>
        </w:rPr>
        <w:t>13</w:t>
      </w:r>
      <w:r w:rsidRPr="00476449">
        <w:t>, 182-192.</w:t>
      </w:r>
    </w:p>
    <w:p w14:paraId="647411CC" w14:textId="77777777" w:rsidR="00476449" w:rsidRPr="00476449" w:rsidRDefault="00476449" w:rsidP="00476449">
      <w:pPr>
        <w:pStyle w:val="EndNoteBibliography"/>
        <w:ind w:left="720" w:hanging="720"/>
      </w:pPr>
      <w:r w:rsidRPr="00476449">
        <w:rPr>
          <w:b/>
        </w:rPr>
        <w:t xml:space="preserve">MacAlister, C. A., Ohashi-Ito, K. and Bergmann, D. C. </w:t>
      </w:r>
      <w:r w:rsidRPr="00476449">
        <w:t xml:space="preserve">(2007). Transcription factor control of asymmetric cell divisions that establish the stomatal lineage. </w:t>
      </w:r>
      <w:r w:rsidRPr="00476449">
        <w:rPr>
          <w:i/>
        </w:rPr>
        <w:t>Nature</w:t>
      </w:r>
      <w:r w:rsidRPr="00476449">
        <w:t xml:space="preserve"> </w:t>
      </w:r>
      <w:r w:rsidRPr="00476449">
        <w:rPr>
          <w:b/>
        </w:rPr>
        <w:t>445</w:t>
      </w:r>
      <w:r w:rsidRPr="00476449">
        <w:t>, 537-540.</w:t>
      </w:r>
    </w:p>
    <w:p w14:paraId="79283045" w14:textId="77777777" w:rsidR="00476449" w:rsidRPr="00476449" w:rsidRDefault="00476449" w:rsidP="00476449">
      <w:pPr>
        <w:pStyle w:val="EndNoteBibliography"/>
        <w:ind w:left="720" w:hanging="720"/>
      </w:pPr>
      <w:r w:rsidRPr="00476449">
        <w:rPr>
          <w:b/>
        </w:rPr>
        <w:t xml:space="preserve">Majore, I., Wilhelm, B. and Marten, I. </w:t>
      </w:r>
      <w:r w:rsidRPr="00476449">
        <w:t xml:space="preserve">(2002). Identification of K+ Channels in the Plasma Membrane of Maize Subsidiary Cells. </w:t>
      </w:r>
      <w:r w:rsidRPr="00476449">
        <w:rPr>
          <w:i/>
        </w:rPr>
        <w:t>Plant and Cell Physiology</w:t>
      </w:r>
      <w:r w:rsidRPr="00476449">
        <w:t xml:space="preserve"> </w:t>
      </w:r>
      <w:r w:rsidRPr="00476449">
        <w:rPr>
          <w:b/>
        </w:rPr>
        <w:t>43</w:t>
      </w:r>
      <w:r w:rsidRPr="00476449">
        <w:t>, 844-852.</w:t>
      </w:r>
    </w:p>
    <w:p w14:paraId="0365ABD1" w14:textId="77777777" w:rsidR="00476449" w:rsidRPr="00476449" w:rsidRDefault="00476449" w:rsidP="00476449">
      <w:pPr>
        <w:pStyle w:val="EndNoteBibliography"/>
        <w:ind w:left="720" w:hanging="720"/>
      </w:pPr>
      <w:r w:rsidRPr="00476449">
        <w:rPr>
          <w:b/>
        </w:rPr>
        <w:t xml:space="preserve">Malone, S. R., Mayeux, H. S., Johnson, H. B. and Polley, H. W. </w:t>
      </w:r>
      <w:r w:rsidRPr="00476449">
        <w:t xml:space="preserve">(1993). Stomatal Density and Aperture Length in Four Plant Species Grown Across a Subambient CO&lt;sub&gt;2&lt;/sub&gt; Gradient. </w:t>
      </w:r>
      <w:r w:rsidRPr="00476449">
        <w:rPr>
          <w:i/>
        </w:rPr>
        <w:t>American Journal of Botany</w:t>
      </w:r>
      <w:r w:rsidRPr="00476449">
        <w:t xml:space="preserve"> </w:t>
      </w:r>
      <w:r w:rsidRPr="00476449">
        <w:rPr>
          <w:b/>
        </w:rPr>
        <w:t>80</w:t>
      </w:r>
      <w:r w:rsidRPr="00476449">
        <w:t>, 1413-1418.</w:t>
      </w:r>
    </w:p>
    <w:p w14:paraId="2F70BE3F" w14:textId="77777777" w:rsidR="00476449" w:rsidRPr="00476449" w:rsidRDefault="00476449" w:rsidP="00476449">
      <w:pPr>
        <w:pStyle w:val="EndNoteBibliography"/>
        <w:ind w:left="720" w:hanging="720"/>
      </w:pPr>
      <w:r w:rsidRPr="00476449">
        <w:rPr>
          <w:b/>
        </w:rPr>
        <w:t xml:space="preserve">Mandel, T., Moreau, F., Kutsher, Y., Fletcher, J. C., Carles, C. C. and Eshed Williams, L. </w:t>
      </w:r>
      <w:r w:rsidRPr="00476449">
        <w:t xml:space="preserve">(2014). The ERECTA receptor kinase regulates Arabidopsis shoot apical meristem size, phyllotaxy and floral meristem identity. </w:t>
      </w:r>
      <w:r w:rsidRPr="00476449">
        <w:rPr>
          <w:i/>
        </w:rPr>
        <w:t>Development</w:t>
      </w:r>
      <w:r w:rsidRPr="00476449">
        <w:t xml:space="preserve"> </w:t>
      </w:r>
      <w:r w:rsidRPr="00476449">
        <w:rPr>
          <w:b/>
        </w:rPr>
        <w:t>141</w:t>
      </w:r>
      <w:r w:rsidRPr="00476449">
        <w:t>, 830-841.</w:t>
      </w:r>
    </w:p>
    <w:p w14:paraId="7C30AACD" w14:textId="77777777" w:rsidR="00476449" w:rsidRPr="00476449" w:rsidRDefault="00476449" w:rsidP="00476449">
      <w:pPr>
        <w:pStyle w:val="EndNoteBibliography"/>
        <w:ind w:left="720" w:hanging="720"/>
      </w:pPr>
      <w:r w:rsidRPr="00476449">
        <w:rPr>
          <w:b/>
        </w:rPr>
        <w:t xml:space="preserve">Maroti, I. </w:t>
      </w:r>
      <w:r w:rsidRPr="00476449">
        <w:t xml:space="preserve">(1966). Development of Tmesopsida and Pteropsida leaves and histogenesis of the epidermis. </w:t>
      </w:r>
      <w:r w:rsidRPr="00476449">
        <w:rPr>
          <w:i/>
        </w:rPr>
        <w:t>Acta Biologica </w:t>
      </w:r>
      <w:r w:rsidRPr="00476449">
        <w:rPr>
          <w:b/>
        </w:rPr>
        <w:t>12</w:t>
      </w:r>
      <w:r w:rsidRPr="00476449">
        <w:t>, 37-60.</w:t>
      </w:r>
    </w:p>
    <w:p w14:paraId="6BA43FD5" w14:textId="77777777" w:rsidR="00476449" w:rsidRPr="00476449" w:rsidRDefault="00476449" w:rsidP="00476449">
      <w:pPr>
        <w:pStyle w:val="EndNoteBibliography"/>
        <w:ind w:left="720" w:hanging="720"/>
      </w:pPr>
      <w:r w:rsidRPr="00476449">
        <w:rPr>
          <w:b/>
        </w:rPr>
        <w:t xml:space="preserve">Martinez, D. E., Borniego, M. L., Battchikova, N., Aro, E.-M., Tyystjärvi, E. and Guiamét, J. J. </w:t>
      </w:r>
      <w:r w:rsidRPr="00476449">
        <w:t xml:space="preserve">(2014). SASP, a Senescence-Associated Subtilisin Protease, is involved in reproductive development and determination of silique number in Arabidopsis. </w:t>
      </w:r>
      <w:r w:rsidRPr="00476449">
        <w:rPr>
          <w:i/>
        </w:rPr>
        <w:t>Journal of Experimental Botany</w:t>
      </w:r>
      <w:r w:rsidRPr="00476449">
        <w:t>.</w:t>
      </w:r>
    </w:p>
    <w:p w14:paraId="3EBFCC53" w14:textId="77777777" w:rsidR="00476449" w:rsidRPr="00476449" w:rsidRDefault="00476449" w:rsidP="00476449">
      <w:pPr>
        <w:pStyle w:val="EndNoteBibliography"/>
        <w:ind w:left="720" w:hanging="720"/>
      </w:pPr>
      <w:r w:rsidRPr="00476449">
        <w:rPr>
          <w:b/>
        </w:rPr>
        <w:t xml:space="preserve">Matos, J. L., Lau, O. S., Hachez, C., Cruz-Ramirez, A., Scheres, B. and Bergmann, D. C. </w:t>
      </w:r>
      <w:r w:rsidRPr="00476449">
        <w:t xml:space="preserve">(2014). Irreversible fate commitment in the Arabidopsis stomatal lineage requires a FAMA and RETINOBLASTOMA-RELATED module. </w:t>
      </w:r>
      <w:r w:rsidRPr="00476449">
        <w:rPr>
          <w:i/>
        </w:rPr>
        <w:t>eLife</w:t>
      </w:r>
      <w:r w:rsidRPr="00476449">
        <w:t xml:space="preserve"> </w:t>
      </w:r>
      <w:r w:rsidRPr="00476449">
        <w:rPr>
          <w:b/>
        </w:rPr>
        <w:t>3</w:t>
      </w:r>
      <w:r w:rsidRPr="00476449">
        <w:t>.</w:t>
      </w:r>
    </w:p>
    <w:p w14:paraId="47124B72" w14:textId="77777777" w:rsidR="00476449" w:rsidRPr="00476449" w:rsidRDefault="00476449" w:rsidP="00476449">
      <w:pPr>
        <w:pStyle w:val="EndNoteBibliography"/>
        <w:ind w:left="720" w:hanging="720"/>
      </w:pPr>
      <w:r w:rsidRPr="00476449">
        <w:rPr>
          <w:b/>
        </w:rPr>
        <w:t xml:space="preserve">McElroy, D., Zhang, W., Cao, J. and Wu, R. </w:t>
      </w:r>
      <w:r w:rsidRPr="00476449">
        <w:t xml:space="preserve">(1990). Isolation of an efficient actin promoter for use in rice transformation. </w:t>
      </w:r>
      <w:r w:rsidRPr="00476449">
        <w:rPr>
          <w:i/>
        </w:rPr>
        <w:t>The Plant Cell</w:t>
      </w:r>
      <w:r w:rsidRPr="00476449">
        <w:t xml:space="preserve"> </w:t>
      </w:r>
      <w:r w:rsidRPr="00476449">
        <w:rPr>
          <w:b/>
        </w:rPr>
        <w:t>2</w:t>
      </w:r>
      <w:r w:rsidRPr="00476449">
        <w:t>, 163-171.</w:t>
      </w:r>
    </w:p>
    <w:p w14:paraId="154F9078" w14:textId="77777777" w:rsidR="00476449" w:rsidRPr="00476449" w:rsidRDefault="00476449" w:rsidP="00476449">
      <w:pPr>
        <w:pStyle w:val="EndNoteBibliography"/>
        <w:ind w:left="720" w:hanging="720"/>
      </w:pPr>
      <w:r w:rsidRPr="00476449">
        <w:rPr>
          <w:b/>
        </w:rPr>
        <w:t xml:space="preserve">McElwain, J. C. and Chaloner, W. G. </w:t>
      </w:r>
      <w:r w:rsidRPr="00476449">
        <w:t xml:space="preserve">(1995). Stomatal Density and Index of Fossil Plants Track Atmospheric Carbon Dioxide in the Palaeozoic. </w:t>
      </w:r>
      <w:r w:rsidRPr="00476449">
        <w:rPr>
          <w:i/>
        </w:rPr>
        <w:t>Annals of Botany</w:t>
      </w:r>
      <w:r w:rsidRPr="00476449">
        <w:t xml:space="preserve"> </w:t>
      </w:r>
      <w:r w:rsidRPr="00476449">
        <w:rPr>
          <w:b/>
        </w:rPr>
        <w:t>76</w:t>
      </w:r>
      <w:r w:rsidRPr="00476449">
        <w:t>, 389-395.</w:t>
      </w:r>
    </w:p>
    <w:p w14:paraId="46251AC8" w14:textId="77777777" w:rsidR="00476449" w:rsidRPr="00476449" w:rsidRDefault="00476449" w:rsidP="00476449">
      <w:pPr>
        <w:pStyle w:val="EndNoteBibliography"/>
        <w:ind w:left="720" w:hanging="720"/>
      </w:pPr>
      <w:r w:rsidRPr="00476449">
        <w:rPr>
          <w:b/>
        </w:rPr>
        <w:t xml:space="preserve">Mehra, P. N. and Soni, S. L. </w:t>
      </w:r>
      <w:r w:rsidRPr="00476449">
        <w:t xml:space="preserve">(1983). Stomatal patterns in pteridophytes an evolutionary approach. </w:t>
      </w:r>
      <w:r w:rsidRPr="00476449">
        <w:rPr>
          <w:i/>
        </w:rPr>
        <w:t>Proceedings of the Indian National Science Academy Part B Biological Sciences</w:t>
      </w:r>
      <w:r w:rsidRPr="00476449">
        <w:t xml:space="preserve"> </w:t>
      </w:r>
      <w:r w:rsidRPr="00476449">
        <w:rPr>
          <w:b/>
        </w:rPr>
        <w:t>49</w:t>
      </w:r>
      <w:r w:rsidRPr="00476449">
        <w:t>, 155-203.</w:t>
      </w:r>
    </w:p>
    <w:p w14:paraId="635A3827" w14:textId="77777777" w:rsidR="00476449" w:rsidRPr="00476449" w:rsidRDefault="00476449" w:rsidP="00476449">
      <w:pPr>
        <w:pStyle w:val="EndNoteBibliography"/>
        <w:ind w:left="720" w:hanging="720"/>
      </w:pPr>
      <w:r w:rsidRPr="00476449">
        <w:rPr>
          <w:b/>
        </w:rPr>
        <w:t xml:space="preserve">Menand, B., Yi, K. K., Jouannic, S., Hoffmann, L., Ryan, E., Linstead, P., Schaefer, D. G. and Dolan, L. </w:t>
      </w:r>
      <w:r w:rsidRPr="00476449">
        <w:t xml:space="preserve">(2007). An ancient mechanism controls the development of cells with a rooting function in land plants. </w:t>
      </w:r>
      <w:r w:rsidRPr="00476449">
        <w:rPr>
          <w:i/>
        </w:rPr>
        <w:t>Science</w:t>
      </w:r>
      <w:r w:rsidRPr="00476449">
        <w:t xml:space="preserve"> </w:t>
      </w:r>
      <w:r w:rsidRPr="00476449">
        <w:rPr>
          <w:b/>
        </w:rPr>
        <w:t>316</w:t>
      </w:r>
      <w:r w:rsidRPr="00476449">
        <w:t>, 1477-1480.</w:t>
      </w:r>
    </w:p>
    <w:p w14:paraId="03D16839" w14:textId="77777777" w:rsidR="00476449" w:rsidRPr="00476449" w:rsidRDefault="00476449" w:rsidP="00476449">
      <w:pPr>
        <w:pStyle w:val="EndNoteBibliography"/>
        <w:ind w:left="720" w:hanging="720"/>
      </w:pPr>
      <w:r w:rsidRPr="00476449">
        <w:rPr>
          <w:b/>
        </w:rPr>
        <w:t xml:space="preserve">Meng, X. Z., Chen, X., Mang, H. G., Liu, C. L., Yu, X., Gao, X. Q., Torii, K. U., He, P. and Shan, L. B. </w:t>
      </w:r>
      <w:r w:rsidRPr="00476449">
        <w:t xml:space="preserve">(2015). Differential Function of Arabidopsis SERK Family Receptor-like Kinases in Stomatal Patterning. </w:t>
      </w:r>
      <w:r w:rsidRPr="00476449">
        <w:rPr>
          <w:i/>
        </w:rPr>
        <w:t>Current Biology</w:t>
      </w:r>
      <w:r w:rsidRPr="00476449">
        <w:t xml:space="preserve"> </w:t>
      </w:r>
      <w:r w:rsidRPr="00476449">
        <w:rPr>
          <w:b/>
        </w:rPr>
        <w:t>25</w:t>
      </w:r>
      <w:r w:rsidRPr="00476449">
        <w:t>, 2361-2372.</w:t>
      </w:r>
    </w:p>
    <w:p w14:paraId="4757EB98" w14:textId="77777777" w:rsidR="00476449" w:rsidRPr="00476449" w:rsidRDefault="00476449" w:rsidP="00476449">
      <w:pPr>
        <w:pStyle w:val="EndNoteBibliography"/>
        <w:ind w:left="720" w:hanging="720"/>
      </w:pPr>
      <w:r w:rsidRPr="00476449">
        <w:rPr>
          <w:b/>
        </w:rPr>
        <w:lastRenderedPageBreak/>
        <w:t xml:space="preserve">Merced, A. </w:t>
      </w:r>
      <w:r w:rsidRPr="00476449">
        <w:t xml:space="preserve">(2015). Novel insights on the structure and composition of psudeostomata of sphagnum. </w:t>
      </w:r>
      <w:r w:rsidRPr="00476449">
        <w:rPr>
          <w:i/>
        </w:rPr>
        <w:t>American Journal of Botany</w:t>
      </w:r>
      <w:r w:rsidRPr="00476449">
        <w:t xml:space="preserve"> </w:t>
      </w:r>
      <w:r w:rsidRPr="00476449">
        <w:rPr>
          <w:b/>
        </w:rPr>
        <w:t>102</w:t>
      </w:r>
      <w:r w:rsidRPr="00476449">
        <w:t>, 329-335.</w:t>
      </w:r>
    </w:p>
    <w:p w14:paraId="7BB89457" w14:textId="77777777" w:rsidR="00476449" w:rsidRPr="00476449" w:rsidRDefault="00476449" w:rsidP="00476449">
      <w:pPr>
        <w:pStyle w:val="EndNoteBibliography"/>
        <w:ind w:left="720" w:hanging="720"/>
      </w:pPr>
      <w:r w:rsidRPr="00476449">
        <w:rPr>
          <w:b/>
        </w:rPr>
        <w:t xml:space="preserve">Merced, A. and Renzaglia, K. </w:t>
      </w:r>
      <w:r w:rsidRPr="00476449">
        <w:t xml:space="preserve">(2014). Developmental changes in guard cell wall structure and pectin composition in the moss Funaria: implications for function and evolution of stomata. </w:t>
      </w:r>
      <w:r w:rsidRPr="00476449">
        <w:rPr>
          <w:i/>
        </w:rPr>
        <w:t>Annals of Botany</w:t>
      </w:r>
      <w:r w:rsidRPr="00476449">
        <w:t xml:space="preserve"> </w:t>
      </w:r>
      <w:r w:rsidRPr="00476449">
        <w:rPr>
          <w:b/>
        </w:rPr>
        <w:t>114</w:t>
      </w:r>
      <w:r w:rsidRPr="00476449">
        <w:t>, 1001-1010.</w:t>
      </w:r>
    </w:p>
    <w:p w14:paraId="04439DDF" w14:textId="77777777" w:rsidR="00476449" w:rsidRPr="00476449" w:rsidRDefault="00476449" w:rsidP="00476449">
      <w:pPr>
        <w:pStyle w:val="EndNoteBibliography"/>
        <w:ind w:left="720" w:hanging="720"/>
      </w:pPr>
      <w:r w:rsidRPr="00476449">
        <w:rPr>
          <w:b/>
        </w:rPr>
        <w:t xml:space="preserve">Merced, A. and Renzaglia, K. S. </w:t>
      </w:r>
      <w:r w:rsidRPr="00476449">
        <w:t>(2013). Moss stomata in highly elaborated Oedipodium (</w:t>
      </w:r>
      <w:r w:rsidRPr="00476449">
        <w:rPr>
          <w:i/>
        </w:rPr>
        <w:t>Oedipodiaceae</w:t>
      </w:r>
      <w:r w:rsidRPr="00476449">
        <w:t>) and highly reduced Ephemerum (</w:t>
      </w:r>
      <w:r w:rsidRPr="00476449">
        <w:rPr>
          <w:i/>
        </w:rPr>
        <w:t>Pottiaceae</w:t>
      </w:r>
      <w:r w:rsidRPr="00476449">
        <w:t xml:space="preserve">) sporophytes are remarkably similar. </w:t>
      </w:r>
      <w:r w:rsidRPr="00476449">
        <w:rPr>
          <w:i/>
        </w:rPr>
        <w:t>American Journal of Botany</w:t>
      </w:r>
      <w:r w:rsidRPr="00476449">
        <w:t xml:space="preserve"> </w:t>
      </w:r>
      <w:r w:rsidRPr="00476449">
        <w:rPr>
          <w:b/>
        </w:rPr>
        <w:t>100</w:t>
      </w:r>
      <w:r w:rsidRPr="00476449">
        <w:t>, 2318-2327.</w:t>
      </w:r>
    </w:p>
    <w:p w14:paraId="3B7BCAC3" w14:textId="77777777" w:rsidR="00476449" w:rsidRPr="00476449" w:rsidRDefault="00476449" w:rsidP="00476449">
      <w:pPr>
        <w:pStyle w:val="EndNoteBibliography"/>
        <w:ind w:left="720" w:hanging="720"/>
      </w:pPr>
      <w:r w:rsidRPr="00476449">
        <w:rPr>
          <w:b/>
        </w:rPr>
        <w:t xml:space="preserve">---- </w:t>
      </w:r>
      <w:r w:rsidRPr="00476449">
        <w:t xml:space="preserve">(2016). Patterning of stomata in the moss Funaria: a simple way to space guard cells. </w:t>
      </w:r>
      <w:r w:rsidRPr="00476449">
        <w:rPr>
          <w:i/>
        </w:rPr>
        <w:t>Annals of Botany</w:t>
      </w:r>
      <w:r w:rsidRPr="00476449">
        <w:t xml:space="preserve"> </w:t>
      </w:r>
      <w:r w:rsidRPr="00476449">
        <w:rPr>
          <w:b/>
        </w:rPr>
        <w:t>117</w:t>
      </w:r>
      <w:r w:rsidRPr="00476449">
        <w:t>, 985-994.</w:t>
      </w:r>
    </w:p>
    <w:p w14:paraId="67B73B17" w14:textId="77777777" w:rsidR="00476449" w:rsidRPr="00476449" w:rsidRDefault="00476449" w:rsidP="00476449">
      <w:pPr>
        <w:pStyle w:val="EndNoteBibliography"/>
        <w:ind w:left="720" w:hanging="720"/>
      </w:pPr>
      <w:r w:rsidRPr="00476449">
        <w:rPr>
          <w:b/>
        </w:rPr>
        <w:t xml:space="preserve">Miura, K., Jin, J. B., Lee, J., Yoo, C. Y., Stirm, V., Miura, T., Ashworth, E. N., Bressan, R. A., Yun, D.-J. and Hasegawa, P. M. </w:t>
      </w:r>
      <w:r w:rsidRPr="00476449">
        <w:t xml:space="preserve">(2007). SIZ1-Mediated Sumoylation of ICE1 Controls CBF3/DREB1A Expression and Freezing Tolerance in Arabidopsis. </w:t>
      </w:r>
      <w:r w:rsidRPr="00476449">
        <w:rPr>
          <w:i/>
        </w:rPr>
        <w:t>The Plant Cell</w:t>
      </w:r>
      <w:r w:rsidRPr="00476449">
        <w:t xml:space="preserve"> </w:t>
      </w:r>
      <w:r w:rsidRPr="00476449">
        <w:rPr>
          <w:b/>
        </w:rPr>
        <w:t>19</w:t>
      </w:r>
      <w:r w:rsidRPr="00476449">
        <w:t>, 1403-1414.</w:t>
      </w:r>
    </w:p>
    <w:p w14:paraId="16ED90BE" w14:textId="77777777" w:rsidR="00476449" w:rsidRPr="00476449" w:rsidRDefault="00476449" w:rsidP="00476449">
      <w:pPr>
        <w:pStyle w:val="EndNoteBibliography"/>
        <w:ind w:left="720" w:hanging="720"/>
      </w:pPr>
      <w:r w:rsidRPr="00476449">
        <w:rPr>
          <w:b/>
        </w:rPr>
        <w:t xml:space="preserve">Morrison, S. J. and Kimble, J. </w:t>
      </w:r>
      <w:r w:rsidRPr="00476449">
        <w:t xml:space="preserve">(2006). Asymmetric and symmetric stem-cell divisions in development and cancer. </w:t>
      </w:r>
      <w:r w:rsidRPr="00476449">
        <w:rPr>
          <w:i/>
        </w:rPr>
        <w:t>Nature</w:t>
      </w:r>
      <w:r w:rsidRPr="00476449">
        <w:t xml:space="preserve"> </w:t>
      </w:r>
      <w:r w:rsidRPr="00476449">
        <w:rPr>
          <w:b/>
        </w:rPr>
        <w:t>441</w:t>
      </w:r>
      <w:r w:rsidRPr="00476449">
        <w:t>, 1068-1074.</w:t>
      </w:r>
    </w:p>
    <w:p w14:paraId="05425DA2" w14:textId="77777777" w:rsidR="00476449" w:rsidRPr="00476449" w:rsidRDefault="00476449" w:rsidP="00476449">
      <w:pPr>
        <w:pStyle w:val="EndNoteBibliography"/>
        <w:ind w:left="720" w:hanging="720"/>
      </w:pPr>
      <w:r w:rsidRPr="00476449">
        <w:rPr>
          <w:b/>
        </w:rPr>
        <w:t xml:space="preserve">Murre, C., McCaw, P. S., Vaessin, H., Caudy, M., Jan, L. Y., Jan, Y. N., Cabrera, C. V., Buskin, J. N., Hauschka, S. D., Lassar, A. B., et al. </w:t>
      </w:r>
      <w:r w:rsidRPr="00476449">
        <w:t xml:space="preserve">(1989). Interactions between heterologous helix-loop-helix proteins generate complexes that bind specifically to a common DNA sequence. </w:t>
      </w:r>
      <w:r w:rsidRPr="00476449">
        <w:rPr>
          <w:i/>
        </w:rPr>
        <w:t>Cell</w:t>
      </w:r>
      <w:r w:rsidRPr="00476449">
        <w:t xml:space="preserve"> </w:t>
      </w:r>
      <w:r w:rsidRPr="00476449">
        <w:rPr>
          <w:b/>
        </w:rPr>
        <w:t>58</w:t>
      </w:r>
      <w:r w:rsidRPr="00476449">
        <w:t>, 537-544.</w:t>
      </w:r>
    </w:p>
    <w:p w14:paraId="382743EC" w14:textId="77777777" w:rsidR="00476449" w:rsidRPr="00476449" w:rsidRDefault="00476449" w:rsidP="00476449">
      <w:pPr>
        <w:pStyle w:val="EndNoteBibliography"/>
        <w:ind w:left="720" w:hanging="720"/>
      </w:pPr>
      <w:r w:rsidRPr="00476449">
        <w:rPr>
          <w:b/>
        </w:rPr>
        <w:t xml:space="preserve">Nadeau, J. A. and Sack, F. D. </w:t>
      </w:r>
      <w:r w:rsidRPr="00476449">
        <w:t xml:space="preserve">(2002a). Control of stomatal distribution on the Arabidopsis leaf surface. </w:t>
      </w:r>
      <w:r w:rsidRPr="00476449">
        <w:rPr>
          <w:i/>
        </w:rPr>
        <w:t>Science</w:t>
      </w:r>
      <w:r w:rsidRPr="00476449">
        <w:t xml:space="preserve"> </w:t>
      </w:r>
      <w:r w:rsidRPr="00476449">
        <w:rPr>
          <w:b/>
        </w:rPr>
        <w:t>296</w:t>
      </w:r>
      <w:r w:rsidRPr="00476449">
        <w:t>, 1697-1700.</w:t>
      </w:r>
    </w:p>
    <w:p w14:paraId="3568E013" w14:textId="77777777" w:rsidR="00476449" w:rsidRPr="00476449" w:rsidRDefault="00476449" w:rsidP="00476449">
      <w:pPr>
        <w:pStyle w:val="EndNoteBibliography"/>
        <w:ind w:left="720" w:hanging="720"/>
      </w:pPr>
      <w:r w:rsidRPr="00476449">
        <w:rPr>
          <w:b/>
        </w:rPr>
        <w:t xml:space="preserve">---- </w:t>
      </w:r>
      <w:r w:rsidRPr="00476449">
        <w:t xml:space="preserve">(2002b). Stomatal Development in Arabidopsis. </w:t>
      </w:r>
      <w:r w:rsidRPr="00476449">
        <w:rPr>
          <w:i/>
        </w:rPr>
        <w:t>The Arabidopsis Book / American Society of Plant Biologists</w:t>
      </w:r>
      <w:r w:rsidRPr="00476449">
        <w:t xml:space="preserve"> </w:t>
      </w:r>
      <w:r w:rsidRPr="00476449">
        <w:rPr>
          <w:b/>
        </w:rPr>
        <w:t>1</w:t>
      </w:r>
      <w:r w:rsidRPr="00476449">
        <w:t>, e0066.</w:t>
      </w:r>
    </w:p>
    <w:p w14:paraId="195C7084" w14:textId="77777777" w:rsidR="00476449" w:rsidRPr="00476449" w:rsidRDefault="00476449" w:rsidP="00476449">
      <w:pPr>
        <w:pStyle w:val="EndNoteBibliography"/>
        <w:ind w:left="720" w:hanging="720"/>
      </w:pPr>
      <w:r w:rsidRPr="00476449">
        <w:rPr>
          <w:b/>
        </w:rPr>
        <w:t xml:space="preserve">Nair, S. K. and Burley, S. K. </w:t>
      </w:r>
      <w:r w:rsidRPr="00476449">
        <w:t xml:space="preserve">(2000). Recognizing DNA in the library. </w:t>
      </w:r>
      <w:r w:rsidRPr="00476449">
        <w:rPr>
          <w:i/>
        </w:rPr>
        <w:t>Nature</w:t>
      </w:r>
      <w:r w:rsidRPr="00476449">
        <w:t xml:space="preserve"> </w:t>
      </w:r>
      <w:r w:rsidRPr="00476449">
        <w:rPr>
          <w:b/>
        </w:rPr>
        <w:t>404</w:t>
      </w:r>
      <w:r w:rsidRPr="00476449">
        <w:t>, 715, 717-718.</w:t>
      </w:r>
    </w:p>
    <w:p w14:paraId="09DE978C" w14:textId="77777777" w:rsidR="00476449" w:rsidRPr="00476449" w:rsidRDefault="00476449" w:rsidP="00476449">
      <w:pPr>
        <w:pStyle w:val="EndNoteBibliography"/>
        <w:ind w:left="720" w:hanging="720"/>
      </w:pPr>
      <w:r w:rsidRPr="00476449">
        <w:rPr>
          <w:b/>
        </w:rPr>
        <w:t xml:space="preserve">Nishiyama, T., Wolf, P. G., Kugita, M., Sinclair, R. B., Sugita, M., Sugiura, C., Wakasugi, T., Yamada, K., Yoshinaga, K. and Yamaguchi, K. </w:t>
      </w:r>
      <w:r w:rsidRPr="00476449">
        <w:t xml:space="preserve">(2004). Chloroplast phylogeny indicates that bryophytes are monophyletic. </w:t>
      </w:r>
      <w:r w:rsidRPr="00476449">
        <w:rPr>
          <w:i/>
        </w:rPr>
        <w:t>Mol Biol Evol</w:t>
      </w:r>
      <w:r w:rsidRPr="00476449">
        <w:t xml:space="preserve"> </w:t>
      </w:r>
      <w:r w:rsidRPr="00476449">
        <w:rPr>
          <w:b/>
        </w:rPr>
        <w:t>21</w:t>
      </w:r>
      <w:r w:rsidRPr="00476449">
        <w:t>.</w:t>
      </w:r>
    </w:p>
    <w:p w14:paraId="3685F898" w14:textId="77777777" w:rsidR="00476449" w:rsidRPr="00476449" w:rsidRDefault="00476449" w:rsidP="00476449">
      <w:pPr>
        <w:pStyle w:val="EndNoteBibliography"/>
        <w:ind w:left="720" w:hanging="720"/>
      </w:pPr>
      <w:r w:rsidRPr="00476449">
        <w:rPr>
          <w:b/>
        </w:rPr>
        <w:t xml:space="preserve">O'Donoghue, M. T., Chater, C., Wallace, S., Gray, J. E., Beerling, D. J. and Fleming, A. J. </w:t>
      </w:r>
      <w:r w:rsidRPr="00476449">
        <w:t xml:space="preserve">(2013). Genome-wide transcriptomic analysis of the sporophyte of the moss Physcomitrella patens. </w:t>
      </w:r>
      <w:r w:rsidRPr="00476449">
        <w:rPr>
          <w:i/>
        </w:rPr>
        <w:t>Journal of Experimental Botany</w:t>
      </w:r>
      <w:r w:rsidRPr="00476449">
        <w:t xml:space="preserve"> </w:t>
      </w:r>
      <w:r w:rsidRPr="00476449">
        <w:rPr>
          <w:b/>
        </w:rPr>
        <w:t>64</w:t>
      </w:r>
      <w:r w:rsidRPr="00476449">
        <w:t>, 3567-3581.</w:t>
      </w:r>
    </w:p>
    <w:p w14:paraId="6E8C6DCB" w14:textId="77777777" w:rsidR="00476449" w:rsidRPr="00476449" w:rsidRDefault="00476449" w:rsidP="00476449">
      <w:pPr>
        <w:pStyle w:val="EndNoteBibliography"/>
        <w:ind w:left="720" w:hanging="720"/>
      </w:pPr>
      <w:r w:rsidRPr="00476449">
        <w:rPr>
          <w:b/>
        </w:rPr>
        <w:t xml:space="preserve">Ogaya, R., Llorens, L. and Peñuelas, J. </w:t>
      </w:r>
      <w:r w:rsidRPr="00476449">
        <w:t xml:space="preserve">(2011). Density and length of stomatal and epidermal cells in "living fossil" trees grown under elevated CO2 and a polar light regime. </w:t>
      </w:r>
      <w:r w:rsidRPr="00476449">
        <w:rPr>
          <w:i/>
        </w:rPr>
        <w:t>Acta Oecologica</w:t>
      </w:r>
      <w:r w:rsidRPr="00476449">
        <w:t xml:space="preserve"> </w:t>
      </w:r>
      <w:r w:rsidRPr="00476449">
        <w:rPr>
          <w:b/>
        </w:rPr>
        <w:t>37</w:t>
      </w:r>
      <w:r w:rsidRPr="00476449">
        <w:t>, 381-385.</w:t>
      </w:r>
    </w:p>
    <w:p w14:paraId="5D7F0344" w14:textId="77777777" w:rsidR="00476449" w:rsidRPr="00476449" w:rsidRDefault="00476449" w:rsidP="00476449">
      <w:pPr>
        <w:pStyle w:val="EndNoteBibliography"/>
        <w:ind w:left="720" w:hanging="720"/>
      </w:pPr>
      <w:r w:rsidRPr="00476449">
        <w:rPr>
          <w:b/>
        </w:rPr>
        <w:t xml:space="preserve">Ohashi-Ito, K. and Bergmann, D. C. </w:t>
      </w:r>
      <w:r w:rsidRPr="00476449">
        <w:t xml:space="preserve">(2006). Arabidopsis FAMA controls the final proliferation/differentiation switch during stomatal development. </w:t>
      </w:r>
      <w:r w:rsidRPr="00476449">
        <w:rPr>
          <w:i/>
        </w:rPr>
        <w:t>Plant Cell</w:t>
      </w:r>
      <w:r w:rsidRPr="00476449">
        <w:t xml:space="preserve"> </w:t>
      </w:r>
      <w:r w:rsidRPr="00476449">
        <w:rPr>
          <w:b/>
        </w:rPr>
        <w:t>18</w:t>
      </w:r>
      <w:r w:rsidRPr="00476449">
        <w:t>, 2493-2505.</w:t>
      </w:r>
    </w:p>
    <w:p w14:paraId="69FFEAAD" w14:textId="77777777" w:rsidR="00476449" w:rsidRPr="00476449" w:rsidRDefault="00476449" w:rsidP="00476449">
      <w:pPr>
        <w:pStyle w:val="EndNoteBibliography"/>
        <w:ind w:left="720" w:hanging="720"/>
      </w:pPr>
      <w:r w:rsidRPr="00476449">
        <w:rPr>
          <w:b/>
        </w:rPr>
        <w:t xml:space="preserve">Ohki, S., Takeuchi, M. and Mori, M. </w:t>
      </w:r>
      <w:r w:rsidRPr="00476449">
        <w:t xml:space="preserve">(2011). The NMR structure of stomagen reveals the basis of stomatal density regulation by plant peptide hormones. </w:t>
      </w:r>
      <w:r w:rsidRPr="00476449">
        <w:rPr>
          <w:i/>
        </w:rPr>
        <w:t>Nature Communications</w:t>
      </w:r>
      <w:r w:rsidRPr="00476449">
        <w:t xml:space="preserve"> </w:t>
      </w:r>
      <w:r w:rsidRPr="00476449">
        <w:rPr>
          <w:b/>
        </w:rPr>
        <w:t>2</w:t>
      </w:r>
      <w:r w:rsidRPr="00476449">
        <w:t>, 7.</w:t>
      </w:r>
    </w:p>
    <w:p w14:paraId="699D6D4C" w14:textId="77777777" w:rsidR="00476449" w:rsidRPr="00476449" w:rsidRDefault="00476449" w:rsidP="00476449">
      <w:pPr>
        <w:pStyle w:val="EndNoteBibliography"/>
        <w:ind w:left="720" w:hanging="720"/>
      </w:pPr>
      <w:r w:rsidRPr="00476449">
        <w:rPr>
          <w:b/>
        </w:rPr>
        <w:t xml:space="preserve">Ortiz-Ramírez, C., Hernandez-Coronado, M., Thamm, A., Catarino, B., Wang, M., Dolan, L., Feijó, J. A. and Becker, J. D. </w:t>
      </w:r>
      <w:r w:rsidRPr="00476449">
        <w:t xml:space="preserve">(2015). A transcriptome atlas of </w:t>
      </w:r>
      <w:r w:rsidRPr="00476449">
        <w:rPr>
          <w:i/>
        </w:rPr>
        <w:t>Physcomitrella patens</w:t>
      </w:r>
      <w:r w:rsidRPr="00476449">
        <w:t xml:space="preserve"> provides insights into the evolution and development of land plants. </w:t>
      </w:r>
      <w:r w:rsidRPr="00476449">
        <w:rPr>
          <w:i/>
        </w:rPr>
        <w:t>Molecular Plant</w:t>
      </w:r>
      <w:r w:rsidRPr="00476449">
        <w:t>.</w:t>
      </w:r>
    </w:p>
    <w:p w14:paraId="074CB196" w14:textId="77777777" w:rsidR="00476449" w:rsidRPr="00476449" w:rsidRDefault="00476449" w:rsidP="00476449">
      <w:pPr>
        <w:pStyle w:val="EndNoteBibliography"/>
        <w:ind w:left="720" w:hanging="720"/>
      </w:pPr>
      <w:r w:rsidRPr="00476449">
        <w:rPr>
          <w:b/>
        </w:rPr>
        <w:t xml:space="preserve">Payne, W. W. </w:t>
      </w:r>
      <w:r w:rsidRPr="00476449">
        <w:t xml:space="preserve">(1979). Stomatal patterns in embyrophytes - Their evolution, ontogeny and interpretation. </w:t>
      </w:r>
      <w:r w:rsidRPr="00476449">
        <w:rPr>
          <w:i/>
        </w:rPr>
        <w:t>Taxon</w:t>
      </w:r>
      <w:r w:rsidRPr="00476449">
        <w:t xml:space="preserve"> </w:t>
      </w:r>
      <w:r w:rsidRPr="00476449">
        <w:rPr>
          <w:b/>
        </w:rPr>
        <w:t>28</w:t>
      </w:r>
      <w:r w:rsidRPr="00476449">
        <w:t>, 117-132.</w:t>
      </w:r>
    </w:p>
    <w:p w14:paraId="5629E962" w14:textId="77777777" w:rsidR="00476449" w:rsidRPr="00476449" w:rsidRDefault="00476449" w:rsidP="00476449">
      <w:pPr>
        <w:pStyle w:val="EndNoteBibliography"/>
        <w:ind w:left="720" w:hanging="720"/>
      </w:pPr>
      <w:r w:rsidRPr="00476449">
        <w:rPr>
          <w:b/>
        </w:rPr>
        <w:t xml:space="preserve">Pedley, K. F. and Martin, G. B. </w:t>
      </w:r>
      <w:r w:rsidRPr="00476449">
        <w:t xml:space="preserve">(2005). Role of mitogen-activated protein kinases in plant immunity. </w:t>
      </w:r>
      <w:r w:rsidRPr="00476449">
        <w:rPr>
          <w:i/>
        </w:rPr>
        <w:t>Current Opinion in Plant Biology</w:t>
      </w:r>
      <w:r w:rsidRPr="00476449">
        <w:t xml:space="preserve"> </w:t>
      </w:r>
      <w:r w:rsidRPr="00476449">
        <w:rPr>
          <w:b/>
        </w:rPr>
        <w:t>8</w:t>
      </w:r>
      <w:r w:rsidRPr="00476449">
        <w:t>, 541-547.</w:t>
      </w:r>
    </w:p>
    <w:p w14:paraId="7AA0885D" w14:textId="77777777" w:rsidR="00476449" w:rsidRPr="00476449" w:rsidRDefault="00476449" w:rsidP="00476449">
      <w:pPr>
        <w:pStyle w:val="EndNoteBibliography"/>
        <w:ind w:left="720" w:hanging="720"/>
      </w:pPr>
      <w:r w:rsidRPr="00476449">
        <w:rPr>
          <w:b/>
        </w:rPr>
        <w:t xml:space="preserve">Pennington, R. T. </w:t>
      </w:r>
      <w:r w:rsidRPr="00476449">
        <w:t xml:space="preserve">(2002). Willis, K.J., McElwain, J.C. The evolution of plants. </w:t>
      </w:r>
      <w:r w:rsidRPr="00476449">
        <w:rPr>
          <w:i/>
        </w:rPr>
        <w:t>Annals of Botany</w:t>
      </w:r>
      <w:r w:rsidRPr="00476449">
        <w:t xml:space="preserve"> </w:t>
      </w:r>
      <w:r w:rsidRPr="00476449">
        <w:rPr>
          <w:b/>
        </w:rPr>
        <w:t>90</w:t>
      </w:r>
      <w:r w:rsidRPr="00476449">
        <w:t>, 678-679.</w:t>
      </w:r>
    </w:p>
    <w:p w14:paraId="1E6211FD" w14:textId="77777777" w:rsidR="00476449" w:rsidRPr="00476449" w:rsidRDefault="00476449" w:rsidP="00476449">
      <w:pPr>
        <w:pStyle w:val="EndNoteBibliography"/>
        <w:ind w:left="720" w:hanging="720"/>
      </w:pPr>
      <w:r w:rsidRPr="00476449">
        <w:rPr>
          <w:b/>
        </w:rPr>
        <w:t xml:space="preserve">Peterson, K. M., Rychel, A. L. and Torii, K. U. </w:t>
      </w:r>
      <w:r w:rsidRPr="00476449">
        <w:t xml:space="preserve">(2010). Out of the Mouths of Plants: The Molecular Basis of the Evolution and Diversity of Stomatal Development. </w:t>
      </w:r>
      <w:r w:rsidRPr="00476449">
        <w:rPr>
          <w:i/>
        </w:rPr>
        <w:t>Plant Cell</w:t>
      </w:r>
      <w:r w:rsidRPr="00476449">
        <w:t xml:space="preserve"> </w:t>
      </w:r>
      <w:r w:rsidRPr="00476449">
        <w:rPr>
          <w:b/>
        </w:rPr>
        <w:t>22</w:t>
      </w:r>
      <w:r w:rsidRPr="00476449">
        <w:t>, 296-306.</w:t>
      </w:r>
    </w:p>
    <w:p w14:paraId="01282659" w14:textId="77777777" w:rsidR="00476449" w:rsidRPr="00476449" w:rsidRDefault="00476449" w:rsidP="00476449">
      <w:pPr>
        <w:pStyle w:val="EndNoteBibliography"/>
        <w:ind w:left="720" w:hanging="720"/>
      </w:pPr>
      <w:r w:rsidRPr="00476449">
        <w:rPr>
          <w:b/>
        </w:rPr>
        <w:t xml:space="preserve">Pillitteri, L. J., Bogenschutz, N. L. and Torii, K. U. </w:t>
      </w:r>
      <w:r w:rsidRPr="00476449">
        <w:t xml:space="preserve">(2008). The bHLH protein, MUTE, controls differentiation of stomata and the hydathode pore in Arabidopsis. </w:t>
      </w:r>
      <w:r w:rsidRPr="00476449">
        <w:rPr>
          <w:i/>
        </w:rPr>
        <w:t>Plant Cell Physiol</w:t>
      </w:r>
      <w:r w:rsidRPr="00476449">
        <w:t xml:space="preserve"> </w:t>
      </w:r>
      <w:r w:rsidRPr="00476449">
        <w:rPr>
          <w:b/>
        </w:rPr>
        <w:t>49</w:t>
      </w:r>
      <w:r w:rsidRPr="00476449">
        <w:t>, 934-943.</w:t>
      </w:r>
    </w:p>
    <w:p w14:paraId="35D60588" w14:textId="77777777" w:rsidR="00476449" w:rsidRPr="00476449" w:rsidRDefault="00476449" w:rsidP="00476449">
      <w:pPr>
        <w:pStyle w:val="EndNoteBibliography"/>
        <w:ind w:left="720" w:hanging="720"/>
      </w:pPr>
      <w:r w:rsidRPr="00476449">
        <w:rPr>
          <w:b/>
        </w:rPr>
        <w:lastRenderedPageBreak/>
        <w:t xml:space="preserve">Pillitteri, L. J. and Dong, J. </w:t>
      </w:r>
      <w:r w:rsidRPr="00476449">
        <w:t xml:space="preserve">(2013). Stomatal Development in Arabidopsis. </w:t>
      </w:r>
      <w:r w:rsidRPr="00476449">
        <w:rPr>
          <w:i/>
        </w:rPr>
        <w:t>The Arabidopsis Book / American Society of Plant Biologists</w:t>
      </w:r>
      <w:r w:rsidRPr="00476449">
        <w:t xml:space="preserve"> </w:t>
      </w:r>
      <w:r w:rsidRPr="00476449">
        <w:rPr>
          <w:b/>
        </w:rPr>
        <w:t>11</w:t>
      </w:r>
      <w:r w:rsidRPr="00476449">
        <w:t>, e0162.</w:t>
      </w:r>
    </w:p>
    <w:p w14:paraId="0CD79AEC" w14:textId="77777777" w:rsidR="00476449" w:rsidRPr="00476449" w:rsidRDefault="00476449" w:rsidP="00476449">
      <w:pPr>
        <w:pStyle w:val="EndNoteBibliography"/>
        <w:ind w:left="720" w:hanging="720"/>
      </w:pPr>
      <w:r w:rsidRPr="00476449">
        <w:rPr>
          <w:b/>
        </w:rPr>
        <w:t xml:space="preserve">Pillitteri, L. J., Peterson, K. M., Horst, R. J. and Torii, K. U. </w:t>
      </w:r>
      <w:r w:rsidRPr="00476449">
        <w:t xml:space="preserve">(2011). Molecular Profiling of Stomatal Meristemoids Reveals New Component of Asymmetric Cell Division and Commonalities among Stem Cell Populations in Arabidopsis. </w:t>
      </w:r>
      <w:r w:rsidRPr="00476449">
        <w:rPr>
          <w:i/>
        </w:rPr>
        <w:t>Plant Cell</w:t>
      </w:r>
      <w:r w:rsidRPr="00476449">
        <w:t xml:space="preserve"> </w:t>
      </w:r>
      <w:r w:rsidRPr="00476449">
        <w:rPr>
          <w:b/>
        </w:rPr>
        <w:t>23</w:t>
      </w:r>
      <w:r w:rsidRPr="00476449">
        <w:t>, 3260-3275.</w:t>
      </w:r>
    </w:p>
    <w:p w14:paraId="7DB7F612" w14:textId="77777777" w:rsidR="00476449" w:rsidRPr="00476449" w:rsidRDefault="00476449" w:rsidP="00476449">
      <w:pPr>
        <w:pStyle w:val="EndNoteBibliography"/>
        <w:ind w:left="720" w:hanging="720"/>
      </w:pPr>
      <w:r w:rsidRPr="00476449">
        <w:rPr>
          <w:b/>
        </w:rPr>
        <w:t xml:space="preserve">Pillitteri, L. J., Sloan, D. B., Bogenschutz, N. L. and Torii, K. U. </w:t>
      </w:r>
      <w:r w:rsidRPr="00476449">
        <w:t xml:space="preserve">(2007). Termination of asymmetric cell division and differentiation of stomata. </w:t>
      </w:r>
      <w:r w:rsidRPr="00476449">
        <w:rPr>
          <w:i/>
        </w:rPr>
        <w:t>Nature</w:t>
      </w:r>
      <w:r w:rsidRPr="00476449">
        <w:t xml:space="preserve"> </w:t>
      </w:r>
      <w:r w:rsidRPr="00476449">
        <w:rPr>
          <w:b/>
        </w:rPr>
        <w:t>445</w:t>
      </w:r>
      <w:r w:rsidRPr="00476449">
        <w:t>, 501-505.</w:t>
      </w:r>
    </w:p>
    <w:p w14:paraId="645A0FD9" w14:textId="77777777" w:rsidR="00476449" w:rsidRPr="00476449" w:rsidRDefault="00476449" w:rsidP="00476449">
      <w:pPr>
        <w:pStyle w:val="EndNoteBibliography"/>
        <w:ind w:left="720" w:hanging="720"/>
      </w:pPr>
      <w:r w:rsidRPr="00476449">
        <w:rPr>
          <w:b/>
        </w:rPr>
        <w:t xml:space="preserve">Pillitteri, L. J. and Torii, K. U. </w:t>
      </w:r>
      <w:r w:rsidRPr="00476449">
        <w:t xml:space="preserve">(2012). Mechanisms of Stomatal Development. In </w:t>
      </w:r>
      <w:r w:rsidRPr="00476449">
        <w:rPr>
          <w:i/>
        </w:rPr>
        <w:t>Annual Review of Plant Biology, Vol 63</w:t>
      </w:r>
      <w:r w:rsidRPr="00476449">
        <w:t xml:space="preserve"> (ed. S. S. Merchant), pp. 591-614. Palo Alto: Annual Reviews.</w:t>
      </w:r>
    </w:p>
    <w:p w14:paraId="339D1446" w14:textId="77777777" w:rsidR="00476449" w:rsidRPr="00476449" w:rsidRDefault="00476449" w:rsidP="00476449">
      <w:pPr>
        <w:pStyle w:val="EndNoteBibliography"/>
        <w:ind w:left="720" w:hanging="720"/>
      </w:pPr>
      <w:r w:rsidRPr="00476449">
        <w:rPr>
          <w:b/>
        </w:rPr>
        <w:t xml:space="preserve">Pires, N. and Dolan, L. </w:t>
      </w:r>
      <w:r w:rsidRPr="00476449">
        <w:t xml:space="preserve">(2010). Origin and Diversification of Basic-Helix-Loop-Helix Proteins in Plants. </w:t>
      </w:r>
      <w:r w:rsidRPr="00476449">
        <w:rPr>
          <w:i/>
        </w:rPr>
        <w:t>Molecular Biology and Evolution</w:t>
      </w:r>
      <w:r w:rsidRPr="00476449">
        <w:t xml:space="preserve"> </w:t>
      </w:r>
      <w:r w:rsidRPr="00476449">
        <w:rPr>
          <w:b/>
        </w:rPr>
        <w:t>27</w:t>
      </w:r>
      <w:r w:rsidRPr="00476449">
        <w:t>, 862-874.</w:t>
      </w:r>
    </w:p>
    <w:p w14:paraId="62D7B199" w14:textId="77777777" w:rsidR="00476449" w:rsidRPr="00476449" w:rsidRDefault="00476449" w:rsidP="00476449">
      <w:pPr>
        <w:pStyle w:val="EndNoteBibliography"/>
        <w:ind w:left="720" w:hanging="720"/>
      </w:pPr>
      <w:r w:rsidRPr="00476449">
        <w:rPr>
          <w:b/>
        </w:rPr>
        <w:t xml:space="preserve">Pires, N. D., Yi, K., Breuninger, H., Catarino, B., Menand, B. and Dolan, L. </w:t>
      </w:r>
      <w:r w:rsidRPr="00476449">
        <w:t xml:space="preserve">(2013). Recruitment and remodeling of an ancient gene regulatory network during land plant evolution. </w:t>
      </w:r>
      <w:r w:rsidRPr="00476449">
        <w:rPr>
          <w:i/>
        </w:rPr>
        <w:t>Proceedings of the National Academy of Sciences of the United States of America</w:t>
      </w:r>
      <w:r w:rsidRPr="00476449">
        <w:t xml:space="preserve"> </w:t>
      </w:r>
      <w:r w:rsidRPr="00476449">
        <w:rPr>
          <w:b/>
        </w:rPr>
        <w:t>110</w:t>
      </w:r>
      <w:r w:rsidRPr="00476449">
        <w:t>, 9571-9576.</w:t>
      </w:r>
    </w:p>
    <w:p w14:paraId="1C50C973" w14:textId="77777777" w:rsidR="00476449" w:rsidRPr="00476449" w:rsidRDefault="00476449" w:rsidP="00476449">
      <w:pPr>
        <w:pStyle w:val="EndNoteBibliography"/>
        <w:ind w:left="720" w:hanging="720"/>
      </w:pPr>
      <w:r w:rsidRPr="00476449">
        <w:rPr>
          <w:b/>
        </w:rPr>
        <w:t xml:space="preserve">Pittermann, J. </w:t>
      </w:r>
      <w:r w:rsidRPr="00476449">
        <w:t xml:space="preserve">(2010). The evolution of water transport in plants: an integrated approach. </w:t>
      </w:r>
      <w:r w:rsidRPr="00476449">
        <w:rPr>
          <w:i/>
        </w:rPr>
        <w:t>Geobiology</w:t>
      </w:r>
      <w:r w:rsidRPr="00476449">
        <w:t xml:space="preserve"> </w:t>
      </w:r>
      <w:r w:rsidRPr="00476449">
        <w:rPr>
          <w:b/>
        </w:rPr>
        <w:t>8</w:t>
      </w:r>
      <w:r w:rsidRPr="00476449">
        <w:t>, 112-139.</w:t>
      </w:r>
    </w:p>
    <w:p w14:paraId="4198C15E" w14:textId="77777777" w:rsidR="00476449" w:rsidRPr="00476449" w:rsidRDefault="00476449" w:rsidP="00476449">
      <w:pPr>
        <w:pStyle w:val="EndNoteBibliography"/>
        <w:ind w:left="720" w:hanging="720"/>
      </w:pPr>
      <w:r w:rsidRPr="00476449">
        <w:rPr>
          <w:b/>
        </w:rPr>
        <w:t xml:space="preserve">Pressel, S., Goral, T. and Duckett, J. G. </w:t>
      </w:r>
      <w:r w:rsidRPr="00476449">
        <w:t xml:space="preserve">(2014). Stomatal differentiation and abnormal stomata in hornworts. </w:t>
      </w:r>
      <w:r w:rsidRPr="00476449">
        <w:rPr>
          <w:i/>
        </w:rPr>
        <w:t>Journal of Bryology</w:t>
      </w:r>
      <w:r w:rsidRPr="00476449">
        <w:t xml:space="preserve"> </w:t>
      </w:r>
      <w:r w:rsidRPr="00476449">
        <w:rPr>
          <w:b/>
        </w:rPr>
        <w:t>36</w:t>
      </w:r>
      <w:r w:rsidRPr="00476449">
        <w:t>, 87-103.</w:t>
      </w:r>
    </w:p>
    <w:p w14:paraId="16929B33" w14:textId="77777777" w:rsidR="00476449" w:rsidRPr="00476449" w:rsidRDefault="00476449" w:rsidP="00476449">
      <w:pPr>
        <w:pStyle w:val="EndNoteBibliography"/>
        <w:ind w:left="720" w:hanging="720"/>
      </w:pPr>
      <w:r w:rsidRPr="00476449">
        <w:rPr>
          <w:b/>
        </w:rPr>
        <w:t xml:space="preserve">Proctor, M. C. F. and Tuba, Z. </w:t>
      </w:r>
      <w:r w:rsidRPr="00476449">
        <w:t xml:space="preserve">(2002). Poikilohydry and homoihydry: antithesis or spectrum of possibilities? </w:t>
      </w:r>
      <w:r w:rsidRPr="00476449">
        <w:rPr>
          <w:i/>
        </w:rPr>
        <w:t>New Phytologist</w:t>
      </w:r>
      <w:r w:rsidRPr="00476449">
        <w:t xml:space="preserve"> </w:t>
      </w:r>
      <w:r w:rsidRPr="00476449">
        <w:rPr>
          <w:b/>
        </w:rPr>
        <w:t>156</w:t>
      </w:r>
      <w:r w:rsidRPr="00476449">
        <w:t>, 327-349.</w:t>
      </w:r>
    </w:p>
    <w:p w14:paraId="60C3020E" w14:textId="77777777" w:rsidR="00476449" w:rsidRPr="00476449" w:rsidRDefault="00476449" w:rsidP="00476449">
      <w:pPr>
        <w:pStyle w:val="EndNoteBibliography"/>
        <w:ind w:left="720" w:hanging="720"/>
      </w:pPr>
      <w:r w:rsidRPr="00476449">
        <w:rPr>
          <w:b/>
        </w:rPr>
        <w:t xml:space="preserve">Qiu, Y. L., Li, L. B., Wang, B., Chen, Z. D., Knoop, V., Groth-Malonek, M., Dombrovska, O., Lee, J., Kent, L., Rest, J., et al. </w:t>
      </w:r>
      <w:r w:rsidRPr="00476449">
        <w:t xml:space="preserve">(2006). The deepest divergences in land plants inferred from phylogenomic evidence. </w:t>
      </w:r>
      <w:r w:rsidRPr="00476449">
        <w:rPr>
          <w:i/>
        </w:rPr>
        <w:t>Proceedings of the National Academy of Sciences of the United States of America</w:t>
      </w:r>
      <w:r w:rsidRPr="00476449">
        <w:t xml:space="preserve"> </w:t>
      </w:r>
      <w:r w:rsidRPr="00476449">
        <w:rPr>
          <w:b/>
        </w:rPr>
        <w:t>103</w:t>
      </w:r>
      <w:r w:rsidRPr="00476449">
        <w:t>, 15511-15516.</w:t>
      </w:r>
    </w:p>
    <w:p w14:paraId="531160DE" w14:textId="77777777" w:rsidR="00476449" w:rsidRPr="00476449" w:rsidRDefault="00476449" w:rsidP="00476449">
      <w:pPr>
        <w:pStyle w:val="EndNoteBibliography"/>
        <w:ind w:left="720" w:hanging="720"/>
      </w:pPr>
      <w:r w:rsidRPr="00476449">
        <w:rPr>
          <w:b/>
        </w:rPr>
        <w:t xml:space="preserve">Quirk, J., Leake, J. R., Johnson, D. A., Taylor, L. L., Saccone, L. and Beerling, D. J. </w:t>
      </w:r>
      <w:r w:rsidRPr="00476449">
        <w:t xml:space="preserve">(2015). Constraining the role of early land plants in Palaeozoic weathering and global cooling. </w:t>
      </w:r>
      <w:r w:rsidRPr="00476449">
        <w:rPr>
          <w:i/>
        </w:rPr>
        <w:t>Proceedings of the Royal Society of London B: Biological Sciences</w:t>
      </w:r>
      <w:r w:rsidRPr="00476449">
        <w:t xml:space="preserve"> </w:t>
      </w:r>
      <w:r w:rsidRPr="00476449">
        <w:rPr>
          <w:b/>
        </w:rPr>
        <w:t>282</w:t>
      </w:r>
      <w:r w:rsidRPr="00476449">
        <w:t>.</w:t>
      </w:r>
    </w:p>
    <w:p w14:paraId="247A2981" w14:textId="77777777" w:rsidR="00476449" w:rsidRPr="00476449" w:rsidRDefault="00476449" w:rsidP="00476449">
      <w:pPr>
        <w:pStyle w:val="EndNoteBibliography"/>
        <w:ind w:left="720" w:hanging="720"/>
      </w:pPr>
      <w:r w:rsidRPr="00476449">
        <w:rPr>
          <w:b/>
        </w:rPr>
        <w:t xml:space="preserve">Raissig, M. T., Abrash, E., Bettadapur, A., Vogel, J. P. and Bergmann, D. C. </w:t>
      </w:r>
      <w:r w:rsidRPr="00476449">
        <w:t xml:space="preserve">(2016). Grasses use an alternatively wired bHLH transcription factor network to establish stomatal identity. </w:t>
      </w:r>
      <w:r w:rsidRPr="00476449">
        <w:rPr>
          <w:i/>
        </w:rPr>
        <w:t>Proceedings of the National Academy of Sciences</w:t>
      </w:r>
      <w:r w:rsidRPr="00476449">
        <w:t xml:space="preserve"> </w:t>
      </w:r>
      <w:r w:rsidRPr="00476449">
        <w:rPr>
          <w:b/>
        </w:rPr>
        <w:t>113</w:t>
      </w:r>
      <w:r w:rsidRPr="00476449">
        <w:t>, 8326-8331.</w:t>
      </w:r>
    </w:p>
    <w:p w14:paraId="797244E4" w14:textId="77777777" w:rsidR="00476449" w:rsidRPr="00476449" w:rsidRDefault="00476449" w:rsidP="00476449">
      <w:pPr>
        <w:pStyle w:val="EndNoteBibliography"/>
        <w:ind w:left="720" w:hanging="720"/>
      </w:pPr>
      <w:r w:rsidRPr="00476449">
        <w:rPr>
          <w:b/>
        </w:rPr>
        <w:t xml:space="preserve">Ran, J. H., Shen, T. T., Liu, W. J. and Wang, X. Q. </w:t>
      </w:r>
      <w:r w:rsidRPr="00476449">
        <w:t xml:space="preserve">(2013). Evolution of the bHLH Genes Involved in Stomatal Development: Implications for the Expansion of Developmental Complexity of Stomata in Land Plants. </w:t>
      </w:r>
      <w:r w:rsidRPr="00476449">
        <w:rPr>
          <w:i/>
        </w:rPr>
        <w:t>Plos One</w:t>
      </w:r>
      <w:r w:rsidRPr="00476449">
        <w:t xml:space="preserve"> </w:t>
      </w:r>
      <w:r w:rsidRPr="00476449">
        <w:rPr>
          <w:b/>
        </w:rPr>
        <w:t>8</w:t>
      </w:r>
      <w:r w:rsidRPr="00476449">
        <w:t>, 11.</w:t>
      </w:r>
    </w:p>
    <w:p w14:paraId="5C4ED561" w14:textId="77777777" w:rsidR="00476449" w:rsidRPr="00476449" w:rsidRDefault="00476449" w:rsidP="00476449">
      <w:pPr>
        <w:pStyle w:val="EndNoteBibliography"/>
        <w:ind w:left="720" w:hanging="720"/>
      </w:pPr>
      <w:r w:rsidRPr="00476449">
        <w:rPr>
          <w:b/>
        </w:rPr>
        <w:t xml:space="preserve">Rautengarten, C., Usadel, B., Neumetzler, L., Hartmann, J., Bussis, D. and Altmann, T. </w:t>
      </w:r>
      <w:r w:rsidRPr="00476449">
        <w:t xml:space="preserve">(2008). A subtilisin-like serine protease essential for mucilage release from Arabidopsis seed coats. </w:t>
      </w:r>
      <w:r w:rsidRPr="00476449">
        <w:rPr>
          <w:i/>
        </w:rPr>
        <w:t>Plant J</w:t>
      </w:r>
      <w:r w:rsidRPr="00476449">
        <w:t xml:space="preserve"> </w:t>
      </w:r>
      <w:r w:rsidRPr="00476449">
        <w:rPr>
          <w:b/>
        </w:rPr>
        <w:t>54</w:t>
      </w:r>
      <w:r w:rsidRPr="00476449">
        <w:t>, 466-480.</w:t>
      </w:r>
    </w:p>
    <w:p w14:paraId="20F155DD" w14:textId="77777777" w:rsidR="00476449" w:rsidRPr="00476449" w:rsidRDefault="00476449" w:rsidP="00476449">
      <w:pPr>
        <w:pStyle w:val="EndNoteBibliography"/>
        <w:ind w:left="720" w:hanging="720"/>
      </w:pPr>
      <w:r w:rsidRPr="00476449">
        <w:rPr>
          <w:b/>
        </w:rPr>
        <w:t xml:space="preserve">Raven, J. A. </w:t>
      </w:r>
      <w:r w:rsidRPr="00476449">
        <w:t xml:space="preserve">(2002). Selection pressures on stomatal evolution. </w:t>
      </w:r>
      <w:r w:rsidRPr="00476449">
        <w:rPr>
          <w:i/>
        </w:rPr>
        <w:t>New Phytologist</w:t>
      </w:r>
      <w:r w:rsidRPr="00476449">
        <w:t xml:space="preserve"> </w:t>
      </w:r>
      <w:r w:rsidRPr="00476449">
        <w:rPr>
          <w:b/>
        </w:rPr>
        <w:t>153</w:t>
      </w:r>
      <w:r w:rsidRPr="00476449">
        <w:t>, 371-386.</w:t>
      </w:r>
    </w:p>
    <w:p w14:paraId="412AB9CC" w14:textId="77777777" w:rsidR="00476449" w:rsidRPr="00476449" w:rsidRDefault="00476449" w:rsidP="00476449">
      <w:pPr>
        <w:pStyle w:val="EndNoteBibliography"/>
        <w:ind w:left="720" w:hanging="720"/>
      </w:pPr>
      <w:r w:rsidRPr="00476449">
        <w:rPr>
          <w:b/>
        </w:rPr>
        <w:t xml:space="preserve">---- </w:t>
      </w:r>
      <w:r w:rsidRPr="00476449">
        <w:t xml:space="preserve">(2003). Long-distance transport in non-vascular plants. </w:t>
      </w:r>
      <w:r w:rsidRPr="00476449">
        <w:rPr>
          <w:i/>
        </w:rPr>
        <w:t>Plant Cell and Environment</w:t>
      </w:r>
      <w:r w:rsidRPr="00476449">
        <w:t xml:space="preserve"> </w:t>
      </w:r>
      <w:r w:rsidRPr="00476449">
        <w:rPr>
          <w:b/>
        </w:rPr>
        <w:t>26</w:t>
      </w:r>
      <w:r w:rsidRPr="00476449">
        <w:t>, 73-85.</w:t>
      </w:r>
    </w:p>
    <w:p w14:paraId="6317A66B" w14:textId="77777777" w:rsidR="00476449" w:rsidRPr="00476449" w:rsidRDefault="00476449" w:rsidP="00476449">
      <w:pPr>
        <w:pStyle w:val="EndNoteBibliography"/>
        <w:ind w:left="720" w:hanging="720"/>
      </w:pPr>
      <w:r w:rsidRPr="00476449">
        <w:rPr>
          <w:b/>
        </w:rPr>
        <w:t xml:space="preserve">Remy, W. and Hass, H. </w:t>
      </w:r>
      <w:r w:rsidRPr="00476449">
        <w:t xml:space="preserve">(1996). New information on gametophytes and sporophytes of Aglaophyton major and inferences about possible environmental adaptations. </w:t>
      </w:r>
      <w:r w:rsidRPr="00476449">
        <w:rPr>
          <w:i/>
        </w:rPr>
        <w:t>Review of Palaeobotany and Palynology</w:t>
      </w:r>
      <w:r w:rsidRPr="00476449">
        <w:t xml:space="preserve"> </w:t>
      </w:r>
      <w:r w:rsidRPr="00476449">
        <w:rPr>
          <w:b/>
        </w:rPr>
        <w:t>90</w:t>
      </w:r>
      <w:r w:rsidRPr="00476449">
        <w:t>, 175-193.</w:t>
      </w:r>
    </w:p>
    <w:p w14:paraId="5738AF7D" w14:textId="77777777" w:rsidR="00476449" w:rsidRPr="00476449" w:rsidRDefault="00476449" w:rsidP="00476449">
      <w:pPr>
        <w:pStyle w:val="EndNoteBibliography"/>
        <w:ind w:left="720" w:hanging="720"/>
      </w:pPr>
      <w:r w:rsidRPr="00476449">
        <w:rPr>
          <w:b/>
        </w:rPr>
        <w:t xml:space="preserve">Rensing, S. A., Ick, J., Fawcett, J. A., Lang, D., Zimmer, A., De Peer, Y. V. and Reski, R. </w:t>
      </w:r>
      <w:r w:rsidRPr="00476449">
        <w:t xml:space="preserve">(2007). An ancient genome duplication contributed to the abundance of metabolic genes in the moss Physcomitrella patens. </w:t>
      </w:r>
      <w:r w:rsidRPr="00476449">
        <w:rPr>
          <w:i/>
        </w:rPr>
        <w:t>Bmc Evolutionary Biology</w:t>
      </w:r>
      <w:r w:rsidRPr="00476449">
        <w:t xml:space="preserve"> </w:t>
      </w:r>
      <w:r w:rsidRPr="00476449">
        <w:rPr>
          <w:b/>
        </w:rPr>
        <w:t>7</w:t>
      </w:r>
      <w:r w:rsidRPr="00476449">
        <w:t>, 10.</w:t>
      </w:r>
    </w:p>
    <w:p w14:paraId="27428E9B" w14:textId="77777777" w:rsidR="00476449" w:rsidRPr="00476449" w:rsidRDefault="00476449" w:rsidP="00476449">
      <w:pPr>
        <w:pStyle w:val="EndNoteBibliography"/>
        <w:ind w:left="720" w:hanging="720"/>
      </w:pPr>
      <w:r w:rsidRPr="00476449">
        <w:rPr>
          <w:b/>
        </w:rPr>
        <w:t xml:space="preserve">Reski, R. and Abel, W. O. </w:t>
      </w:r>
      <w:r w:rsidRPr="00476449">
        <w:t>(1985). Induction of budding on choloronemata and caulonemata of the moss, P</w:t>
      </w:r>
      <w:r w:rsidRPr="00476449">
        <w:rPr>
          <w:i/>
        </w:rPr>
        <w:t>hyscomitrella patens,</w:t>
      </w:r>
      <w:r w:rsidRPr="00476449">
        <w:t xml:space="preserve"> using isopentenyladenine. </w:t>
      </w:r>
      <w:r w:rsidRPr="00476449">
        <w:rPr>
          <w:i/>
        </w:rPr>
        <w:t>Planta</w:t>
      </w:r>
      <w:r w:rsidRPr="00476449">
        <w:t xml:space="preserve"> </w:t>
      </w:r>
      <w:r w:rsidRPr="00476449">
        <w:rPr>
          <w:b/>
        </w:rPr>
        <w:t>165</w:t>
      </w:r>
      <w:r w:rsidRPr="00476449">
        <w:t>, 354-358.</w:t>
      </w:r>
    </w:p>
    <w:p w14:paraId="3A00E831" w14:textId="77777777" w:rsidR="00476449" w:rsidRPr="00476449" w:rsidRDefault="00476449" w:rsidP="00476449">
      <w:pPr>
        <w:pStyle w:val="EndNoteBibliography"/>
        <w:ind w:left="720" w:hanging="720"/>
      </w:pPr>
      <w:r w:rsidRPr="00476449">
        <w:rPr>
          <w:b/>
        </w:rPr>
        <w:t xml:space="preserve">Richardson, L. G. and Torii, K. U. </w:t>
      </w:r>
      <w:r w:rsidRPr="00476449">
        <w:t xml:space="preserve">(2013). Take a deep breath: peptide signalling in stomatal patterning and differentiation. </w:t>
      </w:r>
      <w:r w:rsidRPr="00476449">
        <w:rPr>
          <w:i/>
        </w:rPr>
        <w:t>J Exp Bot</w:t>
      </w:r>
      <w:r w:rsidRPr="00476449">
        <w:t xml:space="preserve"> </w:t>
      </w:r>
      <w:r w:rsidRPr="00476449">
        <w:rPr>
          <w:b/>
        </w:rPr>
        <w:t>64</w:t>
      </w:r>
      <w:r w:rsidRPr="00476449">
        <w:t>, 5243-5251.</w:t>
      </w:r>
    </w:p>
    <w:p w14:paraId="2657D6F9" w14:textId="77777777" w:rsidR="00476449" w:rsidRPr="00476449" w:rsidRDefault="00476449" w:rsidP="00476449">
      <w:pPr>
        <w:pStyle w:val="EndNoteBibliography"/>
        <w:ind w:left="720" w:hanging="720"/>
      </w:pPr>
      <w:r w:rsidRPr="00476449">
        <w:rPr>
          <w:b/>
        </w:rPr>
        <w:t xml:space="preserve">Rickards, R. B. </w:t>
      </w:r>
      <w:r w:rsidRPr="00476449">
        <w:t xml:space="preserve">(2000). The age of the earliest club mosses: the Silurian Baragwanathia flora in Victoria, Australia. </w:t>
      </w:r>
      <w:r w:rsidRPr="00476449">
        <w:rPr>
          <w:i/>
        </w:rPr>
        <w:t>Geological Magazine</w:t>
      </w:r>
      <w:r w:rsidRPr="00476449">
        <w:t xml:space="preserve"> </w:t>
      </w:r>
      <w:r w:rsidRPr="00476449">
        <w:rPr>
          <w:b/>
        </w:rPr>
        <w:t>137</w:t>
      </w:r>
      <w:r w:rsidRPr="00476449">
        <w:t>, 207-209.</w:t>
      </w:r>
    </w:p>
    <w:p w14:paraId="6D7FAD23" w14:textId="77777777" w:rsidR="00476449" w:rsidRPr="00476449" w:rsidRDefault="00476449" w:rsidP="00476449">
      <w:pPr>
        <w:pStyle w:val="EndNoteBibliography"/>
        <w:ind w:left="720" w:hanging="720"/>
      </w:pPr>
      <w:r w:rsidRPr="00476449">
        <w:rPr>
          <w:b/>
        </w:rPr>
        <w:lastRenderedPageBreak/>
        <w:t xml:space="preserve">Robinson, S., Barbier de Reuille, P., Chan, J., Bergmann, D., Prusinkiewicz, P. and Coen, E. </w:t>
      </w:r>
      <w:r w:rsidRPr="00476449">
        <w:t xml:space="preserve">(2011). Generation of Spatial Patterns Through Cell Polarity Switching. </w:t>
      </w:r>
      <w:r w:rsidRPr="00476449">
        <w:rPr>
          <w:i/>
        </w:rPr>
        <w:t>Science</w:t>
      </w:r>
      <w:r w:rsidRPr="00476449">
        <w:t xml:space="preserve"> </w:t>
      </w:r>
      <w:r w:rsidRPr="00476449">
        <w:rPr>
          <w:b/>
        </w:rPr>
        <w:t>333</w:t>
      </w:r>
      <w:r w:rsidRPr="00476449">
        <w:t>, 1436-1440.</w:t>
      </w:r>
    </w:p>
    <w:p w14:paraId="57379909" w14:textId="77777777" w:rsidR="00476449" w:rsidRPr="00476449" w:rsidRDefault="00476449" w:rsidP="00476449">
      <w:pPr>
        <w:pStyle w:val="EndNoteBibliography"/>
        <w:ind w:left="720" w:hanging="720"/>
      </w:pPr>
      <w:r w:rsidRPr="00476449">
        <w:rPr>
          <w:b/>
        </w:rPr>
        <w:t xml:space="preserve">Rohila, J. S., Chen, M., Cerny, R. and Fromm, M. E. </w:t>
      </w:r>
      <w:r w:rsidRPr="00476449">
        <w:t xml:space="preserve">(2004). Improved tandem affinity purification tag and methods for isolation of protein heterocomplexes from plants. </w:t>
      </w:r>
      <w:r w:rsidRPr="00476449">
        <w:rPr>
          <w:i/>
        </w:rPr>
        <w:t>Plant J</w:t>
      </w:r>
      <w:r w:rsidRPr="00476449">
        <w:t xml:space="preserve"> </w:t>
      </w:r>
      <w:r w:rsidRPr="00476449">
        <w:rPr>
          <w:b/>
        </w:rPr>
        <w:t>38</w:t>
      </w:r>
      <w:r w:rsidRPr="00476449">
        <w:t>, 172-181.</w:t>
      </w:r>
    </w:p>
    <w:p w14:paraId="37F4B104" w14:textId="77777777" w:rsidR="00476449" w:rsidRPr="00476449" w:rsidRDefault="00476449" w:rsidP="00476449">
      <w:pPr>
        <w:pStyle w:val="EndNoteBibliography"/>
        <w:ind w:left="720" w:hanging="720"/>
      </w:pPr>
      <w:r w:rsidRPr="00476449">
        <w:rPr>
          <w:b/>
        </w:rPr>
        <w:t xml:space="preserve">Rudall, P. J., Hilton, J. and Bateman, R. M. </w:t>
      </w:r>
      <w:r w:rsidRPr="00476449">
        <w:t xml:space="preserve">(2013). Several developmental and morphogenetic factors govern the evolution of stomatal patterning in land plants. </w:t>
      </w:r>
      <w:r w:rsidRPr="00476449">
        <w:rPr>
          <w:i/>
        </w:rPr>
        <w:t>New Phytologist</w:t>
      </w:r>
      <w:r w:rsidRPr="00476449">
        <w:t xml:space="preserve"> </w:t>
      </w:r>
      <w:r w:rsidRPr="00476449">
        <w:rPr>
          <w:b/>
        </w:rPr>
        <w:t>200</w:t>
      </w:r>
      <w:r w:rsidRPr="00476449">
        <w:t>, 598-614.</w:t>
      </w:r>
    </w:p>
    <w:p w14:paraId="06AF4ACD" w14:textId="77777777" w:rsidR="00476449" w:rsidRPr="00476449" w:rsidRDefault="00476449" w:rsidP="00476449">
      <w:pPr>
        <w:pStyle w:val="EndNoteBibliography"/>
        <w:ind w:left="720" w:hanging="720"/>
      </w:pPr>
      <w:r w:rsidRPr="00476449">
        <w:rPr>
          <w:b/>
        </w:rPr>
        <w:t xml:space="preserve">Rudall, P. J. and Knowles, E. V. W. </w:t>
      </w:r>
      <w:r w:rsidRPr="00476449">
        <w:t xml:space="preserve">(2013). Ultrastructure of stomatal development in early-divergent angiosperms reveals contrasting patterning and pre-patterning. </w:t>
      </w:r>
      <w:r w:rsidRPr="00476449">
        <w:rPr>
          <w:i/>
        </w:rPr>
        <w:t>Annals of Botany</w:t>
      </w:r>
      <w:r w:rsidRPr="00476449">
        <w:t xml:space="preserve"> </w:t>
      </w:r>
      <w:r w:rsidRPr="00476449">
        <w:rPr>
          <w:b/>
        </w:rPr>
        <w:t>112</w:t>
      </w:r>
      <w:r w:rsidRPr="00476449">
        <w:t>, 1031-1043.</w:t>
      </w:r>
    </w:p>
    <w:p w14:paraId="377C36C8" w14:textId="77777777" w:rsidR="00476449" w:rsidRPr="00476449" w:rsidRDefault="00476449" w:rsidP="00476449">
      <w:pPr>
        <w:pStyle w:val="EndNoteBibliography"/>
        <w:ind w:left="720" w:hanging="720"/>
      </w:pPr>
      <w:r w:rsidRPr="00476449">
        <w:rPr>
          <w:b/>
        </w:rPr>
        <w:t xml:space="preserve">Ruhfel, B. R., Gitzendanner, M. A., Soltis, P. S., Soltis, D. E. and Burleigh, J. G. </w:t>
      </w:r>
      <w:r w:rsidRPr="00476449">
        <w:t xml:space="preserve">(2014). From algae to angiosperms–inferring the phylogeny of green plants (Viridiplantae) from 360 plastid genomes. </w:t>
      </w:r>
      <w:r w:rsidRPr="00476449">
        <w:rPr>
          <w:i/>
        </w:rPr>
        <w:t>BMC Evolutionary Biology</w:t>
      </w:r>
      <w:r w:rsidRPr="00476449">
        <w:t xml:space="preserve"> </w:t>
      </w:r>
      <w:r w:rsidRPr="00476449">
        <w:rPr>
          <w:b/>
        </w:rPr>
        <w:t>14</w:t>
      </w:r>
      <w:r w:rsidRPr="00476449">
        <w:t>, 1-27.</w:t>
      </w:r>
    </w:p>
    <w:p w14:paraId="50680A13" w14:textId="77777777" w:rsidR="00476449" w:rsidRPr="00476449" w:rsidRDefault="00476449" w:rsidP="00476449">
      <w:pPr>
        <w:pStyle w:val="EndNoteBibliography"/>
        <w:ind w:left="720" w:hanging="720"/>
      </w:pPr>
      <w:r w:rsidRPr="00476449">
        <w:rPr>
          <w:b/>
        </w:rPr>
        <w:t xml:space="preserve">Ruszala, E. M., Beerling, D. J., Franks, P. J., Chater, C., Casson, S. A., Gray, J. E. and Hetherington, A. M. </w:t>
      </w:r>
      <w:r w:rsidRPr="00476449">
        <w:t xml:space="preserve">(2011). Land Plants Acquired Active Stomatal Control Early in Their Evolutionary History. </w:t>
      </w:r>
      <w:r w:rsidRPr="00476449">
        <w:rPr>
          <w:i/>
        </w:rPr>
        <w:t>Current Biology</w:t>
      </w:r>
      <w:r w:rsidRPr="00476449">
        <w:t xml:space="preserve"> </w:t>
      </w:r>
      <w:r w:rsidRPr="00476449">
        <w:rPr>
          <w:b/>
        </w:rPr>
        <w:t>21</w:t>
      </w:r>
      <w:r w:rsidRPr="00476449">
        <w:t>, 1030-1035.</w:t>
      </w:r>
    </w:p>
    <w:p w14:paraId="204D5F84" w14:textId="77777777" w:rsidR="00476449" w:rsidRPr="00476449" w:rsidRDefault="00476449" w:rsidP="00476449">
      <w:pPr>
        <w:pStyle w:val="EndNoteBibliography"/>
        <w:ind w:left="720" w:hanging="720"/>
      </w:pPr>
      <w:r w:rsidRPr="00476449">
        <w:rPr>
          <w:b/>
        </w:rPr>
        <w:t xml:space="preserve">Rychel, A. L., Peterson, K. M. and Torii, K. U. </w:t>
      </w:r>
      <w:r w:rsidRPr="00476449">
        <w:t xml:space="preserve">(2010). Plant twitter: ligands under 140 amino acids enforcing stomatal patterning. </w:t>
      </w:r>
      <w:r w:rsidRPr="00476449">
        <w:rPr>
          <w:i/>
        </w:rPr>
        <w:t>Journal of Plant Research</w:t>
      </w:r>
      <w:r w:rsidRPr="00476449">
        <w:t xml:space="preserve"> </w:t>
      </w:r>
      <w:r w:rsidRPr="00476449">
        <w:rPr>
          <w:b/>
        </w:rPr>
        <w:t>123</w:t>
      </w:r>
      <w:r w:rsidRPr="00476449">
        <w:t>, 275-280.</w:t>
      </w:r>
    </w:p>
    <w:p w14:paraId="2508D3E5" w14:textId="77777777" w:rsidR="00476449" w:rsidRPr="00476449" w:rsidRDefault="00476449" w:rsidP="00476449">
      <w:pPr>
        <w:pStyle w:val="EndNoteBibliography"/>
        <w:ind w:left="720" w:hanging="720"/>
      </w:pPr>
      <w:r w:rsidRPr="00476449">
        <w:rPr>
          <w:b/>
        </w:rPr>
        <w:t xml:space="preserve">Sack, F. D. and Paolillo, D. J. </w:t>
      </w:r>
      <w:r w:rsidRPr="00476449">
        <w:t xml:space="preserve">(1985). Incomplete cytokinesis in </w:t>
      </w:r>
      <w:r w:rsidRPr="00476449">
        <w:rPr>
          <w:i/>
        </w:rPr>
        <w:t>Funaria</w:t>
      </w:r>
      <w:r w:rsidRPr="00476449">
        <w:t xml:space="preserve"> stomata. </w:t>
      </w:r>
      <w:r w:rsidRPr="00476449">
        <w:rPr>
          <w:i/>
        </w:rPr>
        <w:t>American Journal of Botany</w:t>
      </w:r>
      <w:r w:rsidRPr="00476449">
        <w:t xml:space="preserve"> </w:t>
      </w:r>
      <w:r w:rsidRPr="00476449">
        <w:rPr>
          <w:b/>
        </w:rPr>
        <w:t>72</w:t>
      </w:r>
      <w:r w:rsidRPr="00476449">
        <w:t>, 1325-1333.</w:t>
      </w:r>
    </w:p>
    <w:p w14:paraId="0A6599C5" w14:textId="77777777" w:rsidR="00476449" w:rsidRPr="00476449" w:rsidRDefault="00476449" w:rsidP="00476449">
      <w:pPr>
        <w:pStyle w:val="EndNoteBibliography"/>
        <w:ind w:left="720" w:hanging="720"/>
      </w:pPr>
      <w:r w:rsidRPr="00476449">
        <w:rPr>
          <w:b/>
        </w:rPr>
        <w:t xml:space="preserve">Saitou, N. and Nei, M. </w:t>
      </w:r>
      <w:r w:rsidRPr="00476449">
        <w:t xml:space="preserve">(1987). The neighbor-joining method: a new method for reconstructing phylogenetic trees. </w:t>
      </w:r>
      <w:r w:rsidRPr="00476449">
        <w:rPr>
          <w:i/>
        </w:rPr>
        <w:t>Mol Biol Evol</w:t>
      </w:r>
      <w:r w:rsidRPr="00476449">
        <w:t xml:space="preserve"> </w:t>
      </w:r>
      <w:r w:rsidRPr="00476449">
        <w:rPr>
          <w:b/>
        </w:rPr>
        <w:t>4</w:t>
      </w:r>
      <w:r w:rsidRPr="00476449">
        <w:t>, 406-425.</w:t>
      </w:r>
    </w:p>
    <w:p w14:paraId="66A90E79" w14:textId="77777777" w:rsidR="00476449" w:rsidRPr="00476449" w:rsidRDefault="00476449" w:rsidP="00476449">
      <w:pPr>
        <w:pStyle w:val="EndNoteBibliography"/>
        <w:ind w:left="720" w:hanging="720"/>
      </w:pPr>
      <w:r w:rsidRPr="00476449">
        <w:rPr>
          <w:b/>
        </w:rPr>
        <w:t xml:space="preserve">Sakakibara, K., Nishiyama, T., Deguchi, H. and Hasebe, M. </w:t>
      </w:r>
      <w:r w:rsidRPr="00476449">
        <w:t xml:space="preserve">(2008). Class 1 KNOX genes are not involved in shoot development in the moss Physcomitrella patens but do function in sporophyte development. </w:t>
      </w:r>
      <w:r w:rsidRPr="00476449">
        <w:rPr>
          <w:i/>
        </w:rPr>
        <w:t>Evolution &amp; Development</w:t>
      </w:r>
      <w:r w:rsidRPr="00476449">
        <w:t xml:space="preserve"> </w:t>
      </w:r>
      <w:r w:rsidRPr="00476449">
        <w:rPr>
          <w:b/>
        </w:rPr>
        <w:t>10</w:t>
      </w:r>
      <w:r w:rsidRPr="00476449">
        <w:t>, 555-566.</w:t>
      </w:r>
    </w:p>
    <w:p w14:paraId="6C501ECD" w14:textId="77777777" w:rsidR="00476449" w:rsidRPr="00476449" w:rsidRDefault="00476449" w:rsidP="00476449">
      <w:pPr>
        <w:pStyle w:val="EndNoteBibliography"/>
        <w:ind w:left="720" w:hanging="720"/>
      </w:pPr>
      <w:r w:rsidRPr="00476449">
        <w:rPr>
          <w:b/>
        </w:rPr>
        <w:t xml:space="preserve">Schaefer, D., Zryd, J. P., Knight, C. D. and Cove, D. J. </w:t>
      </w:r>
      <w:r w:rsidRPr="00476449">
        <w:t xml:space="preserve">(1991). Stable transformation of the moss Physcomitrella patens. </w:t>
      </w:r>
      <w:r w:rsidRPr="00476449">
        <w:rPr>
          <w:i/>
        </w:rPr>
        <w:t>Mol Gen Genet</w:t>
      </w:r>
      <w:r w:rsidRPr="00476449">
        <w:t xml:space="preserve"> </w:t>
      </w:r>
      <w:r w:rsidRPr="00476449">
        <w:rPr>
          <w:b/>
        </w:rPr>
        <w:t>226</w:t>
      </w:r>
      <w:r w:rsidRPr="00476449">
        <w:t>, 418-424.</w:t>
      </w:r>
    </w:p>
    <w:p w14:paraId="77D7244B" w14:textId="77777777" w:rsidR="00476449" w:rsidRPr="00476449" w:rsidRDefault="00476449" w:rsidP="00476449">
      <w:pPr>
        <w:pStyle w:val="EndNoteBibliography"/>
        <w:ind w:left="720" w:hanging="720"/>
      </w:pPr>
      <w:r w:rsidRPr="00476449">
        <w:rPr>
          <w:b/>
        </w:rPr>
        <w:t xml:space="preserve">Schaefer, D. G. and Zryd, J. P. </w:t>
      </w:r>
      <w:r w:rsidRPr="00476449">
        <w:t xml:space="preserve">(2001). The moss Physcomitrella patens, now and then. </w:t>
      </w:r>
      <w:r w:rsidRPr="00476449">
        <w:rPr>
          <w:i/>
        </w:rPr>
        <w:t>Plant Physiol</w:t>
      </w:r>
      <w:r w:rsidRPr="00476449">
        <w:t xml:space="preserve"> </w:t>
      </w:r>
      <w:r w:rsidRPr="00476449">
        <w:rPr>
          <w:b/>
        </w:rPr>
        <w:t>127</w:t>
      </w:r>
      <w:r w:rsidRPr="00476449">
        <w:t>, 1430-1438.</w:t>
      </w:r>
    </w:p>
    <w:p w14:paraId="54CD0248" w14:textId="77777777" w:rsidR="00476449" w:rsidRPr="00476449" w:rsidRDefault="00476449" w:rsidP="00476449">
      <w:pPr>
        <w:pStyle w:val="EndNoteBibliography"/>
        <w:ind w:left="720" w:hanging="720"/>
      </w:pPr>
      <w:r w:rsidRPr="00476449">
        <w:rPr>
          <w:b/>
        </w:rPr>
        <w:t xml:space="preserve">Schneider, C. A., Rasband, W. S. and Eliceiri, K. W. </w:t>
      </w:r>
      <w:r w:rsidRPr="00476449">
        <w:t xml:space="preserve">(2012). NIH Image to ImageJ: 25 years of image analysis. </w:t>
      </w:r>
      <w:r w:rsidRPr="00476449">
        <w:rPr>
          <w:i/>
        </w:rPr>
        <w:t>Nat Methods</w:t>
      </w:r>
      <w:r w:rsidRPr="00476449">
        <w:t xml:space="preserve"> </w:t>
      </w:r>
      <w:r w:rsidRPr="00476449">
        <w:rPr>
          <w:b/>
        </w:rPr>
        <w:t>9</w:t>
      </w:r>
      <w:r w:rsidRPr="00476449">
        <w:t>, 671-675.</w:t>
      </w:r>
    </w:p>
    <w:p w14:paraId="0DEDE8A7" w14:textId="77777777" w:rsidR="00476449" w:rsidRPr="00476449" w:rsidRDefault="00476449" w:rsidP="00476449">
      <w:pPr>
        <w:pStyle w:val="EndNoteBibliography"/>
        <w:ind w:left="720" w:hanging="720"/>
      </w:pPr>
      <w:r w:rsidRPr="00476449">
        <w:rPr>
          <w:b/>
        </w:rPr>
        <w:t xml:space="preserve">Scholand, P. F., Hammel, H. T., Bradstre, E. D. and Hemmings, E. A. </w:t>
      </w:r>
      <w:r w:rsidRPr="00476449">
        <w:t xml:space="preserve">(1965). SAP PRESSURE IN VASCULAR PLANTS - NEGATIVE HYDROSTATIC PRESSURE CAN BE MEASURED IN PLANTS. </w:t>
      </w:r>
      <w:r w:rsidRPr="00476449">
        <w:rPr>
          <w:i/>
        </w:rPr>
        <w:t>Science</w:t>
      </w:r>
      <w:r w:rsidRPr="00476449">
        <w:t xml:space="preserve"> </w:t>
      </w:r>
      <w:r w:rsidRPr="00476449">
        <w:rPr>
          <w:b/>
        </w:rPr>
        <w:t>148</w:t>
      </w:r>
      <w:r w:rsidRPr="00476449">
        <w:t>, 339-&amp;.</w:t>
      </w:r>
    </w:p>
    <w:p w14:paraId="3C28A61E" w14:textId="77777777" w:rsidR="00476449" w:rsidRPr="00476449" w:rsidRDefault="00476449" w:rsidP="00476449">
      <w:pPr>
        <w:pStyle w:val="EndNoteBibliography"/>
        <w:ind w:left="720" w:hanging="720"/>
      </w:pPr>
      <w:r w:rsidRPr="00476449">
        <w:rPr>
          <w:b/>
        </w:rPr>
        <w:t xml:space="preserve">Scotland, R. W. </w:t>
      </w:r>
      <w:r w:rsidRPr="00476449">
        <w:t xml:space="preserve">(2010). Deep homology: a view from systematics. </w:t>
      </w:r>
      <w:r w:rsidRPr="00476449">
        <w:rPr>
          <w:i/>
        </w:rPr>
        <w:t>Bioessays</w:t>
      </w:r>
      <w:r w:rsidRPr="00476449">
        <w:t xml:space="preserve"> </w:t>
      </w:r>
      <w:r w:rsidRPr="00476449">
        <w:rPr>
          <w:b/>
        </w:rPr>
        <w:t>32</w:t>
      </w:r>
      <w:r w:rsidRPr="00476449">
        <w:t>, 438-449.</w:t>
      </w:r>
    </w:p>
    <w:p w14:paraId="6E712F08" w14:textId="77777777" w:rsidR="00476449" w:rsidRPr="00476449" w:rsidRDefault="00476449" w:rsidP="00476449">
      <w:pPr>
        <w:pStyle w:val="EndNoteBibliography"/>
        <w:ind w:left="720" w:hanging="720"/>
      </w:pPr>
      <w:r w:rsidRPr="00476449">
        <w:rPr>
          <w:b/>
        </w:rPr>
        <w:t xml:space="preserve">Sen, U. and De, B. </w:t>
      </w:r>
      <w:r w:rsidRPr="00476449">
        <w:t xml:space="preserve">(1992). Structure and ontogeny of stomata in ferns. </w:t>
      </w:r>
      <w:r w:rsidRPr="00476449">
        <w:rPr>
          <w:i/>
        </w:rPr>
        <w:t>Blumea - Biodiversity, Evolution and Biogeography of Plants</w:t>
      </w:r>
      <w:r w:rsidRPr="00476449">
        <w:t xml:space="preserve"> </w:t>
      </w:r>
      <w:r w:rsidRPr="00476449">
        <w:rPr>
          <w:b/>
        </w:rPr>
        <w:t>37</w:t>
      </w:r>
      <w:r w:rsidRPr="00476449">
        <w:t>, 239-261.</w:t>
      </w:r>
    </w:p>
    <w:p w14:paraId="72A95051" w14:textId="77777777" w:rsidR="00476449" w:rsidRPr="00476449" w:rsidRDefault="00476449" w:rsidP="00476449">
      <w:pPr>
        <w:pStyle w:val="EndNoteBibliography"/>
        <w:ind w:left="720" w:hanging="720"/>
      </w:pPr>
      <w:r w:rsidRPr="00476449">
        <w:rPr>
          <w:b/>
        </w:rPr>
        <w:t xml:space="preserve">Shen, H., Zhong, X., Zhao, F., Wang, Y., Yan, B., Li, Q., Chen, G., Mao, B., Wang, J., Li, Y., et al. </w:t>
      </w:r>
      <w:r w:rsidRPr="00476449">
        <w:t xml:space="preserve">(2015). Overexpression of receptor-like kinase ERECTA improves thermotolerance in rice and tomato. </w:t>
      </w:r>
      <w:r w:rsidRPr="00476449">
        <w:rPr>
          <w:i/>
        </w:rPr>
        <w:t>Nat Biotech</w:t>
      </w:r>
      <w:r w:rsidRPr="00476449">
        <w:t xml:space="preserve"> </w:t>
      </w:r>
      <w:r w:rsidRPr="00476449">
        <w:rPr>
          <w:b/>
        </w:rPr>
        <w:t>33</w:t>
      </w:r>
      <w:r w:rsidRPr="00476449">
        <w:t>, 996-1003.</w:t>
      </w:r>
    </w:p>
    <w:p w14:paraId="661F31BB" w14:textId="77777777" w:rsidR="00476449" w:rsidRPr="00476449" w:rsidRDefault="00476449" w:rsidP="00476449">
      <w:pPr>
        <w:pStyle w:val="EndNoteBibliography"/>
        <w:ind w:left="720" w:hanging="720"/>
      </w:pPr>
      <w:r w:rsidRPr="00476449">
        <w:rPr>
          <w:b/>
        </w:rPr>
        <w:t xml:space="preserve">Shpak, E. D. </w:t>
      </w:r>
      <w:r w:rsidRPr="00476449">
        <w:t xml:space="preserve">(2013). Diverse roles of ERECTA family genes in plant development. </w:t>
      </w:r>
      <w:r w:rsidRPr="00476449">
        <w:rPr>
          <w:i/>
        </w:rPr>
        <w:t>J Integr Plant Biol</w:t>
      </w:r>
      <w:r w:rsidRPr="00476449">
        <w:t xml:space="preserve"> </w:t>
      </w:r>
      <w:r w:rsidRPr="00476449">
        <w:rPr>
          <w:b/>
        </w:rPr>
        <w:t>55</w:t>
      </w:r>
      <w:r w:rsidRPr="00476449">
        <w:t>, 1238-1250.</w:t>
      </w:r>
    </w:p>
    <w:p w14:paraId="1B0C57BF" w14:textId="77777777" w:rsidR="00476449" w:rsidRPr="00476449" w:rsidRDefault="00476449" w:rsidP="00476449">
      <w:pPr>
        <w:pStyle w:val="EndNoteBibliography"/>
        <w:ind w:left="720" w:hanging="720"/>
      </w:pPr>
      <w:r w:rsidRPr="00476449">
        <w:rPr>
          <w:b/>
        </w:rPr>
        <w:t xml:space="preserve">Shpak, E. D., Berthiaume, C. T., Hill, E. J. and Torii, K. U. </w:t>
      </w:r>
      <w:r w:rsidRPr="00476449">
        <w:t xml:space="preserve">(2004). Synergistic interaction of three ERECTA-family receptor-like kinases controls Arabidopsis organ growth and flower development by promoting cell proliferation. </w:t>
      </w:r>
      <w:r w:rsidRPr="00476449">
        <w:rPr>
          <w:i/>
        </w:rPr>
        <w:t>Development</w:t>
      </w:r>
      <w:r w:rsidRPr="00476449">
        <w:t xml:space="preserve"> </w:t>
      </w:r>
      <w:r w:rsidRPr="00476449">
        <w:rPr>
          <w:b/>
        </w:rPr>
        <w:t>131</w:t>
      </w:r>
      <w:r w:rsidRPr="00476449">
        <w:t>, 1491-1501.</w:t>
      </w:r>
    </w:p>
    <w:p w14:paraId="331C064F" w14:textId="77777777" w:rsidR="00476449" w:rsidRPr="00476449" w:rsidRDefault="00476449" w:rsidP="00476449">
      <w:pPr>
        <w:pStyle w:val="EndNoteBibliography"/>
        <w:ind w:left="720" w:hanging="720"/>
      </w:pPr>
      <w:r w:rsidRPr="00476449">
        <w:rPr>
          <w:b/>
        </w:rPr>
        <w:t xml:space="preserve">Shpak, E. D., McAbee, J. M., Pillitteri, L. J. and Torii, K. U. </w:t>
      </w:r>
      <w:r w:rsidRPr="00476449">
        <w:t xml:space="preserve">(2005). Stomatal patterning and differentiation by synergistic interactions of receptor kinases. </w:t>
      </w:r>
      <w:r w:rsidRPr="00476449">
        <w:rPr>
          <w:i/>
        </w:rPr>
        <w:t>Science</w:t>
      </w:r>
      <w:r w:rsidRPr="00476449">
        <w:t xml:space="preserve"> </w:t>
      </w:r>
      <w:r w:rsidRPr="00476449">
        <w:rPr>
          <w:b/>
        </w:rPr>
        <w:t>309</w:t>
      </w:r>
      <w:r w:rsidRPr="00476449">
        <w:t>, 290-293.</w:t>
      </w:r>
    </w:p>
    <w:p w14:paraId="494341B4" w14:textId="77777777" w:rsidR="00476449" w:rsidRPr="00476449" w:rsidRDefault="00476449" w:rsidP="00476449">
      <w:pPr>
        <w:pStyle w:val="EndNoteBibliography"/>
        <w:ind w:left="720" w:hanging="720"/>
      </w:pPr>
      <w:r w:rsidRPr="00476449">
        <w:rPr>
          <w:b/>
        </w:rPr>
        <w:t xml:space="preserve">Sigrist, C. J., de Castro, E., Cerutti, L., Cuche, B. A., Hulo, N., Bridge, A., Bougueleret, L. and Xenarios, I. </w:t>
      </w:r>
      <w:r w:rsidRPr="00476449">
        <w:t xml:space="preserve">(2013). New and continuing developments at PROSITE. </w:t>
      </w:r>
      <w:r w:rsidRPr="00476449">
        <w:rPr>
          <w:i/>
        </w:rPr>
        <w:t>Nucleic Acids Res</w:t>
      </w:r>
      <w:r w:rsidRPr="00476449">
        <w:t xml:space="preserve"> </w:t>
      </w:r>
      <w:r w:rsidRPr="00476449">
        <w:rPr>
          <w:b/>
        </w:rPr>
        <w:t>41</w:t>
      </w:r>
      <w:r w:rsidRPr="00476449">
        <w:t>, D344-347.</w:t>
      </w:r>
    </w:p>
    <w:p w14:paraId="0DEF5601" w14:textId="77777777" w:rsidR="00476449" w:rsidRPr="00476449" w:rsidRDefault="00476449" w:rsidP="00476449">
      <w:pPr>
        <w:pStyle w:val="EndNoteBibliography"/>
        <w:ind w:left="720" w:hanging="720"/>
      </w:pPr>
      <w:r w:rsidRPr="00476449">
        <w:rPr>
          <w:b/>
        </w:rPr>
        <w:lastRenderedPageBreak/>
        <w:t xml:space="preserve">Simmons, A. R. and Bergmann, D. C. </w:t>
      </w:r>
      <w:r w:rsidRPr="00476449">
        <w:t xml:space="preserve">(2016). Transcriptional control of cell fate in the stomatal lineage. </w:t>
      </w:r>
      <w:r w:rsidRPr="00476449">
        <w:rPr>
          <w:i/>
        </w:rPr>
        <w:t>Current Opinion in Plant Biology</w:t>
      </w:r>
      <w:r w:rsidRPr="00476449">
        <w:t xml:space="preserve"> </w:t>
      </w:r>
      <w:r w:rsidRPr="00476449">
        <w:rPr>
          <w:b/>
        </w:rPr>
        <w:t>29</w:t>
      </w:r>
      <w:r w:rsidRPr="00476449">
        <w:t>, 1-8.</w:t>
      </w:r>
    </w:p>
    <w:p w14:paraId="62C7DCB8" w14:textId="77777777" w:rsidR="00476449" w:rsidRPr="00476449" w:rsidRDefault="00476449" w:rsidP="00476449">
      <w:pPr>
        <w:pStyle w:val="EndNoteBibliography"/>
        <w:ind w:left="720" w:hanging="720"/>
      </w:pPr>
      <w:r w:rsidRPr="00476449">
        <w:rPr>
          <w:b/>
        </w:rPr>
        <w:t xml:space="preserve">Solomon, S., Plattner, G. K., Knutti, R. and Friedlingstein, P. </w:t>
      </w:r>
      <w:r w:rsidRPr="00476449">
        <w:t xml:space="preserve">(2009). Irreversible climate change due to carbon dioxide emissions. </w:t>
      </w:r>
      <w:r w:rsidRPr="00476449">
        <w:rPr>
          <w:i/>
        </w:rPr>
        <w:t>Proc Natl Acad Sci U S A</w:t>
      </w:r>
      <w:r w:rsidRPr="00476449">
        <w:t xml:space="preserve"> </w:t>
      </w:r>
      <w:r w:rsidRPr="00476449">
        <w:rPr>
          <w:b/>
        </w:rPr>
        <w:t>106</w:t>
      </w:r>
      <w:r w:rsidRPr="00476449">
        <w:t>, 1704-1709.</w:t>
      </w:r>
    </w:p>
    <w:p w14:paraId="637FCD66" w14:textId="77777777" w:rsidR="00476449" w:rsidRPr="00476449" w:rsidRDefault="00476449" w:rsidP="00476449">
      <w:pPr>
        <w:pStyle w:val="EndNoteBibliography"/>
        <w:ind w:left="720" w:hanging="720"/>
      </w:pPr>
      <w:r w:rsidRPr="00476449">
        <w:rPr>
          <w:b/>
        </w:rPr>
        <w:t xml:space="preserve">Sorensson, C., Lenman, M., Veide-Vilg, J., Schopper, S., Ljungdahl, T., Grotli, M., Tamas, M. J., Peck, S. C. and Andreasson, E. </w:t>
      </w:r>
      <w:r w:rsidRPr="00476449">
        <w:t xml:space="preserve">(2012). Determination of primary sequence specificity of Arabidopsis MAPKs MPK3 and MPK6 leads to identification of new substrates. </w:t>
      </w:r>
      <w:r w:rsidRPr="00476449">
        <w:rPr>
          <w:i/>
        </w:rPr>
        <w:t>Biochemical Journal</w:t>
      </w:r>
      <w:r w:rsidRPr="00476449">
        <w:t xml:space="preserve"> </w:t>
      </w:r>
      <w:r w:rsidRPr="00476449">
        <w:rPr>
          <w:b/>
        </w:rPr>
        <w:t>446</w:t>
      </w:r>
      <w:r w:rsidRPr="00476449">
        <w:t>, 271-278.</w:t>
      </w:r>
    </w:p>
    <w:p w14:paraId="24CDAC2F" w14:textId="77777777" w:rsidR="00476449" w:rsidRPr="00476449" w:rsidRDefault="00476449" w:rsidP="00476449">
      <w:pPr>
        <w:pStyle w:val="EndNoteBibliography"/>
        <w:ind w:left="720" w:hanging="720"/>
      </w:pPr>
      <w:r w:rsidRPr="00476449">
        <w:rPr>
          <w:b/>
        </w:rPr>
        <w:t xml:space="preserve">Sperry, J. S. </w:t>
      </w:r>
      <w:r w:rsidRPr="00476449">
        <w:t xml:space="preserve">(2003). Evolution of water transport and xylem structure. </w:t>
      </w:r>
      <w:r w:rsidRPr="00476449">
        <w:rPr>
          <w:i/>
        </w:rPr>
        <w:t>International Journal of Plant Sciences</w:t>
      </w:r>
      <w:r w:rsidRPr="00476449">
        <w:t xml:space="preserve"> </w:t>
      </w:r>
      <w:r w:rsidRPr="00476449">
        <w:rPr>
          <w:b/>
        </w:rPr>
        <w:t>164</w:t>
      </w:r>
      <w:r w:rsidRPr="00476449">
        <w:t>, S115-S127.</w:t>
      </w:r>
    </w:p>
    <w:p w14:paraId="76102A4F" w14:textId="77777777" w:rsidR="00476449" w:rsidRPr="00476449" w:rsidRDefault="00476449" w:rsidP="00476449">
      <w:pPr>
        <w:pStyle w:val="EndNoteBibliography"/>
        <w:ind w:left="720" w:hanging="720"/>
      </w:pPr>
      <w:r w:rsidRPr="00476449">
        <w:rPr>
          <w:b/>
        </w:rPr>
        <w:t xml:space="preserve">Srivastava, R., Liu, J. X., Guo, H., Yin, Y. and Howell, S. H. </w:t>
      </w:r>
      <w:r w:rsidRPr="00476449">
        <w:t xml:space="preserve">(2009). Regulation and processing of a plant peptide hormone, AtRALF23, in Arabidopsis. </w:t>
      </w:r>
      <w:r w:rsidRPr="00476449">
        <w:rPr>
          <w:i/>
        </w:rPr>
        <w:t>Plant J</w:t>
      </w:r>
      <w:r w:rsidRPr="00476449">
        <w:t xml:space="preserve"> </w:t>
      </w:r>
      <w:r w:rsidRPr="00476449">
        <w:rPr>
          <w:b/>
        </w:rPr>
        <w:t>59</w:t>
      </w:r>
      <w:r w:rsidRPr="00476449">
        <w:t>, 930-939.</w:t>
      </w:r>
    </w:p>
    <w:p w14:paraId="3E4D9D0D" w14:textId="77777777" w:rsidR="00476449" w:rsidRPr="00476449" w:rsidRDefault="00476449" w:rsidP="00476449">
      <w:pPr>
        <w:pStyle w:val="EndNoteBibliography"/>
        <w:ind w:left="720" w:hanging="720"/>
      </w:pPr>
      <w:r w:rsidRPr="00476449">
        <w:rPr>
          <w:b/>
        </w:rPr>
        <w:t xml:space="preserve">Srivastava, R., Liu, J. X. and Howell, S. H. </w:t>
      </w:r>
      <w:r w:rsidRPr="00476449">
        <w:t xml:space="preserve">(2008). Proteolytic processing of a precursor protein for a growth-promoting peptide by a subtilisin serine protease in Arabidopsis. </w:t>
      </w:r>
      <w:r w:rsidRPr="00476449">
        <w:rPr>
          <w:i/>
        </w:rPr>
        <w:t>Plant J</w:t>
      </w:r>
      <w:r w:rsidRPr="00476449">
        <w:t xml:space="preserve"> </w:t>
      </w:r>
      <w:r w:rsidRPr="00476449">
        <w:rPr>
          <w:b/>
        </w:rPr>
        <w:t>56</w:t>
      </w:r>
      <w:r w:rsidRPr="00476449">
        <w:t>, 219-227.</w:t>
      </w:r>
    </w:p>
    <w:p w14:paraId="4FD40AF6" w14:textId="77777777" w:rsidR="00476449" w:rsidRPr="00476449" w:rsidRDefault="00476449" w:rsidP="00476449">
      <w:pPr>
        <w:pStyle w:val="EndNoteBibliography"/>
        <w:ind w:left="720" w:hanging="720"/>
      </w:pPr>
      <w:r w:rsidRPr="00476449">
        <w:rPr>
          <w:b/>
        </w:rPr>
        <w:t xml:space="preserve">Stone, J. M., Trotochaud, A. E., Walker, J. C. and Clark, S. E. </w:t>
      </w:r>
      <w:r w:rsidRPr="00476449">
        <w:t xml:space="preserve">(1998). Control of Meristem Development by CLAVATA1 Receptor Kinase and Kinase-Associated Protein Phosphatase Interactions. </w:t>
      </w:r>
      <w:r w:rsidRPr="00476449">
        <w:rPr>
          <w:i/>
        </w:rPr>
        <w:t>Plant Physiology</w:t>
      </w:r>
      <w:r w:rsidRPr="00476449">
        <w:t xml:space="preserve"> </w:t>
      </w:r>
      <w:r w:rsidRPr="00476449">
        <w:rPr>
          <w:b/>
        </w:rPr>
        <w:t>117</w:t>
      </w:r>
      <w:r w:rsidRPr="00476449">
        <w:t>, 1217-1225.</w:t>
      </w:r>
    </w:p>
    <w:p w14:paraId="0FC3EE8B" w14:textId="77777777" w:rsidR="00476449" w:rsidRPr="00476449" w:rsidRDefault="00476449" w:rsidP="00476449">
      <w:pPr>
        <w:pStyle w:val="EndNoteBibliography"/>
        <w:ind w:left="720" w:hanging="720"/>
      </w:pPr>
      <w:r w:rsidRPr="00476449">
        <w:rPr>
          <w:b/>
        </w:rPr>
        <w:t xml:space="preserve">Strother, P. K., Al-Hajri, S. and Traverse, A. </w:t>
      </w:r>
      <w:r w:rsidRPr="00476449">
        <w:t>(1996). New evidence for land plants from the lower Middle</w:t>
      </w:r>
    </w:p>
    <w:p w14:paraId="0D7CA286" w14:textId="77777777" w:rsidR="00476449" w:rsidRPr="00476449" w:rsidRDefault="00476449" w:rsidP="00476449">
      <w:pPr>
        <w:pStyle w:val="EndNoteBibliography"/>
      </w:pPr>
      <w:r w:rsidRPr="00476449">
        <w:t xml:space="preserve">Ordovician of Saudi Arabia. </w:t>
      </w:r>
      <w:r w:rsidRPr="00476449">
        <w:rPr>
          <w:i/>
        </w:rPr>
        <w:t>Geology</w:t>
      </w:r>
      <w:r w:rsidRPr="00476449">
        <w:t xml:space="preserve"> </w:t>
      </w:r>
      <w:r w:rsidRPr="00476449">
        <w:rPr>
          <w:b/>
        </w:rPr>
        <w:t>24</w:t>
      </w:r>
      <w:r w:rsidRPr="00476449">
        <w:t>, 55-58.</w:t>
      </w:r>
    </w:p>
    <w:p w14:paraId="787CFFD8" w14:textId="77777777" w:rsidR="00476449" w:rsidRPr="00476449" w:rsidRDefault="00476449" w:rsidP="00476449">
      <w:pPr>
        <w:pStyle w:val="EndNoteBibliography"/>
        <w:ind w:left="720" w:hanging="720"/>
      </w:pPr>
      <w:r w:rsidRPr="00476449">
        <w:rPr>
          <w:b/>
        </w:rPr>
        <w:t xml:space="preserve">Sugano, S. S., Shimada, T., Imai, Y., Okawa, K., Tamai, A., Mori, M. and Hara-Nishimura, I. </w:t>
      </w:r>
      <w:r w:rsidRPr="00476449">
        <w:t xml:space="preserve">(2010). Stomagen positively regulates stomatal density in Arabidopsis. </w:t>
      </w:r>
      <w:r w:rsidRPr="00476449">
        <w:rPr>
          <w:i/>
        </w:rPr>
        <w:t>Nature</w:t>
      </w:r>
      <w:r w:rsidRPr="00476449">
        <w:t xml:space="preserve"> </w:t>
      </w:r>
      <w:r w:rsidRPr="00476449">
        <w:rPr>
          <w:b/>
        </w:rPr>
        <w:t>463</w:t>
      </w:r>
      <w:r w:rsidRPr="00476449">
        <w:t>, 241-U130.</w:t>
      </w:r>
    </w:p>
    <w:p w14:paraId="3C811CE7" w14:textId="77777777" w:rsidR="00476449" w:rsidRPr="00476449" w:rsidRDefault="00476449" w:rsidP="00476449">
      <w:pPr>
        <w:pStyle w:val="EndNoteBibliography"/>
        <w:ind w:left="720" w:hanging="720"/>
      </w:pPr>
      <w:r w:rsidRPr="00476449">
        <w:rPr>
          <w:b/>
        </w:rPr>
        <w:t xml:space="preserve">Sundberg, S. </w:t>
      </w:r>
      <w:r w:rsidRPr="00476449">
        <w:t xml:space="preserve">(2010). Size matters for violent discharge height and settling speed of Sphagnum spores: important attributes for dispersal potential. </w:t>
      </w:r>
      <w:r w:rsidRPr="00476449">
        <w:rPr>
          <w:i/>
        </w:rPr>
        <w:t>Ann Bot</w:t>
      </w:r>
      <w:r w:rsidRPr="00476449">
        <w:t xml:space="preserve"> </w:t>
      </w:r>
      <w:r w:rsidRPr="00476449">
        <w:rPr>
          <w:b/>
        </w:rPr>
        <w:t>105</w:t>
      </w:r>
      <w:r w:rsidRPr="00476449">
        <w:t>, 291-300.</w:t>
      </w:r>
    </w:p>
    <w:p w14:paraId="7F6F2126" w14:textId="77777777" w:rsidR="00476449" w:rsidRPr="00476449" w:rsidRDefault="00476449" w:rsidP="00476449">
      <w:pPr>
        <w:pStyle w:val="EndNoteBibliography"/>
        <w:ind w:left="720" w:hanging="720"/>
      </w:pPr>
      <w:r w:rsidRPr="00476449">
        <w:rPr>
          <w:b/>
        </w:rPr>
        <w:t xml:space="preserve">Takata, N., Yokota, K., Ohki, S., Mori, M., Taniguchi, T. and Kurita, M. </w:t>
      </w:r>
      <w:r w:rsidRPr="00476449">
        <w:t xml:space="preserve">(2013). Evolutionary Relationship and Structural Characterization of the EPF/EPFL Gene Family. </w:t>
      </w:r>
      <w:r w:rsidRPr="00476449">
        <w:rPr>
          <w:i/>
        </w:rPr>
        <w:t>PLoS ONE</w:t>
      </w:r>
      <w:r w:rsidRPr="00476449">
        <w:t xml:space="preserve"> </w:t>
      </w:r>
      <w:r w:rsidRPr="00476449">
        <w:rPr>
          <w:b/>
        </w:rPr>
        <w:t>8</w:t>
      </w:r>
      <w:r w:rsidRPr="00476449">
        <w:t>, e65183.</w:t>
      </w:r>
    </w:p>
    <w:p w14:paraId="6E10066C" w14:textId="77777777" w:rsidR="00476449" w:rsidRPr="00476449" w:rsidRDefault="00476449" w:rsidP="00476449">
      <w:pPr>
        <w:pStyle w:val="EndNoteBibliography"/>
        <w:ind w:left="720" w:hanging="720"/>
      </w:pPr>
      <w:r w:rsidRPr="00476449">
        <w:rPr>
          <w:b/>
        </w:rPr>
        <w:t xml:space="preserve">Tamura, K., Stecher, G., Peterson, D., Filipski, A. and Kumar, S. </w:t>
      </w:r>
      <w:r w:rsidRPr="00476449">
        <w:t xml:space="preserve">(2013). MEGA6: Molecular Evolutionary Genetics Analysis version 6.0. </w:t>
      </w:r>
      <w:r w:rsidRPr="00476449">
        <w:rPr>
          <w:i/>
        </w:rPr>
        <w:t>Mol Biol Evol</w:t>
      </w:r>
      <w:r w:rsidRPr="00476449">
        <w:t xml:space="preserve"> </w:t>
      </w:r>
      <w:r w:rsidRPr="00476449">
        <w:rPr>
          <w:b/>
        </w:rPr>
        <w:t>30</w:t>
      </w:r>
      <w:r w:rsidRPr="00476449">
        <w:t>, 2725-2729.</w:t>
      </w:r>
    </w:p>
    <w:p w14:paraId="071803D6" w14:textId="77777777" w:rsidR="00476449" w:rsidRPr="00476449" w:rsidRDefault="00476449" w:rsidP="00476449">
      <w:pPr>
        <w:pStyle w:val="EndNoteBibliography"/>
        <w:ind w:left="720" w:hanging="720"/>
      </w:pPr>
      <w:r w:rsidRPr="00476449">
        <w:rPr>
          <w:b/>
        </w:rPr>
        <w:t xml:space="preserve">Thomashow, M. F. </w:t>
      </w:r>
      <w:r w:rsidRPr="00476449">
        <w:t xml:space="preserve">(1999). PLANT COLD ACCLIMATION: Freezing Tolerance Genes and Regulatory Mechanisms. </w:t>
      </w:r>
      <w:r w:rsidRPr="00476449">
        <w:rPr>
          <w:i/>
        </w:rPr>
        <w:t>Annu Rev Plant Physiol Plant Mol Biol</w:t>
      </w:r>
      <w:r w:rsidRPr="00476449">
        <w:t xml:space="preserve"> </w:t>
      </w:r>
      <w:r w:rsidRPr="00476449">
        <w:rPr>
          <w:b/>
        </w:rPr>
        <w:t>50</w:t>
      </w:r>
      <w:r w:rsidRPr="00476449">
        <w:t>, 571-599.</w:t>
      </w:r>
    </w:p>
    <w:p w14:paraId="2729E198" w14:textId="77777777" w:rsidR="00476449" w:rsidRPr="00476449" w:rsidRDefault="00476449" w:rsidP="00476449">
      <w:pPr>
        <w:pStyle w:val="EndNoteBibliography"/>
        <w:ind w:left="720" w:hanging="720"/>
      </w:pPr>
      <w:r w:rsidRPr="00476449">
        <w:rPr>
          <w:b/>
        </w:rPr>
        <w:t xml:space="preserve">Toledo-Ortiz, G., Huq, E. and Quail, P. H. </w:t>
      </w:r>
      <w:r w:rsidRPr="00476449">
        <w:t xml:space="preserve">(2003). The Arabidopsis basic/helix-loop-helix transcription factor family. </w:t>
      </w:r>
      <w:r w:rsidRPr="00476449">
        <w:rPr>
          <w:i/>
        </w:rPr>
        <w:t>Plant Cell</w:t>
      </w:r>
      <w:r w:rsidRPr="00476449">
        <w:t xml:space="preserve"> </w:t>
      </w:r>
      <w:r w:rsidRPr="00476449">
        <w:rPr>
          <w:b/>
        </w:rPr>
        <w:t>15</w:t>
      </w:r>
      <w:r w:rsidRPr="00476449">
        <w:t>, 1749-1770.</w:t>
      </w:r>
    </w:p>
    <w:p w14:paraId="2191F18A" w14:textId="77777777" w:rsidR="00476449" w:rsidRPr="00476449" w:rsidRDefault="00476449" w:rsidP="00476449">
      <w:pPr>
        <w:pStyle w:val="EndNoteBibliography"/>
        <w:ind w:left="720" w:hanging="720"/>
      </w:pPr>
      <w:r w:rsidRPr="00476449">
        <w:rPr>
          <w:b/>
        </w:rPr>
        <w:t xml:space="preserve">Torii, K. </w:t>
      </w:r>
      <w:r w:rsidRPr="00476449">
        <w:t>(2012). Mix-and-match: ligand–receptor pairs in stomatal development and beyond. CELL.</w:t>
      </w:r>
    </w:p>
    <w:p w14:paraId="56CE4A15" w14:textId="77777777" w:rsidR="00476449" w:rsidRPr="00476449" w:rsidRDefault="00476449" w:rsidP="00476449">
      <w:pPr>
        <w:pStyle w:val="EndNoteBibliography"/>
        <w:ind w:left="720" w:hanging="720"/>
      </w:pPr>
      <w:r w:rsidRPr="00476449">
        <w:rPr>
          <w:b/>
        </w:rPr>
        <w:t xml:space="preserve">Torii, K. U. </w:t>
      </w:r>
      <w:r w:rsidRPr="00476449">
        <w:t xml:space="preserve">(2015). Stomatal differentiation: the beginning and the end. </w:t>
      </w:r>
      <w:r w:rsidRPr="00476449">
        <w:rPr>
          <w:i/>
        </w:rPr>
        <w:t>Curr Opin Plant Biol</w:t>
      </w:r>
      <w:r w:rsidRPr="00476449">
        <w:t xml:space="preserve"> </w:t>
      </w:r>
      <w:r w:rsidRPr="00476449">
        <w:rPr>
          <w:b/>
        </w:rPr>
        <w:t>28</w:t>
      </w:r>
      <w:r w:rsidRPr="00476449">
        <w:t>, 16-22.</w:t>
      </w:r>
    </w:p>
    <w:p w14:paraId="7477BC66" w14:textId="77777777" w:rsidR="00476449" w:rsidRPr="00476449" w:rsidRDefault="00476449" w:rsidP="00476449">
      <w:pPr>
        <w:pStyle w:val="EndNoteBibliography"/>
        <w:ind w:left="720" w:hanging="720"/>
      </w:pPr>
      <w:r w:rsidRPr="00476449">
        <w:rPr>
          <w:b/>
        </w:rPr>
        <w:t xml:space="preserve">Torii, K. U., Mitsukawa, N., Oosumi, T., Matsuura, Y., Yokoyama, R., Whittier, R. F. and Komeda, Y. </w:t>
      </w:r>
      <w:r w:rsidRPr="00476449">
        <w:t xml:space="preserve">(1996). The Arabidopsis ERECTA gene encodes a putative receptor protein kinase with extracellular leucine-rich repeats. </w:t>
      </w:r>
      <w:r w:rsidRPr="00476449">
        <w:rPr>
          <w:i/>
        </w:rPr>
        <w:t>Plant Cell</w:t>
      </w:r>
      <w:r w:rsidRPr="00476449">
        <w:t xml:space="preserve"> </w:t>
      </w:r>
      <w:r w:rsidRPr="00476449">
        <w:rPr>
          <w:b/>
        </w:rPr>
        <w:t>8</w:t>
      </w:r>
      <w:r w:rsidRPr="00476449">
        <w:t>, 735-746.</w:t>
      </w:r>
    </w:p>
    <w:p w14:paraId="3E8A3DF8" w14:textId="77777777" w:rsidR="00476449" w:rsidRPr="00476449" w:rsidRDefault="00476449" w:rsidP="00476449">
      <w:pPr>
        <w:pStyle w:val="EndNoteBibliography"/>
        <w:ind w:left="720" w:hanging="720"/>
      </w:pPr>
      <w:r w:rsidRPr="00476449">
        <w:rPr>
          <w:b/>
        </w:rPr>
        <w:t xml:space="preserve">Tricker, P. J., Gibbings, J. G., Lopez, C. M. R., Hadley, P. and Wilkinson, M. J. </w:t>
      </w:r>
      <w:r w:rsidRPr="00476449">
        <w:t xml:space="preserve">(2012). Low relative humidity triggers RNA-directed de novo DNA methylation and suppression of genes controlling stomatal development. </w:t>
      </w:r>
      <w:r w:rsidRPr="00476449">
        <w:rPr>
          <w:i/>
        </w:rPr>
        <w:t>Journal of Experimental Botany</w:t>
      </w:r>
      <w:r w:rsidRPr="00476449">
        <w:t xml:space="preserve"> </w:t>
      </w:r>
      <w:r w:rsidRPr="00476449">
        <w:rPr>
          <w:b/>
        </w:rPr>
        <w:t>63</w:t>
      </w:r>
      <w:r w:rsidRPr="00476449">
        <w:t>, 3799-3813.</w:t>
      </w:r>
    </w:p>
    <w:p w14:paraId="6B7CB288" w14:textId="77777777" w:rsidR="00476449" w:rsidRPr="00476449" w:rsidRDefault="00476449" w:rsidP="00476449">
      <w:pPr>
        <w:pStyle w:val="EndNoteBibliography"/>
        <w:ind w:left="720" w:hanging="720"/>
      </w:pPr>
      <w:r w:rsidRPr="00476449">
        <w:rPr>
          <w:b/>
        </w:rPr>
        <w:t xml:space="preserve">Triviño, M., Martín-Trillo, M., Ballesteros, I., Delgado, D., de Marcos, A., Desvoyes, B., Gutiérrez, C., Mena, M. and Fenoll, C. </w:t>
      </w:r>
      <w:r w:rsidRPr="00476449">
        <w:t xml:space="preserve">(2013). Timely expression of the Arabidopsis stoma-fate master regulator MUTE is required for specification of other epidermal cell types. </w:t>
      </w:r>
      <w:r w:rsidRPr="00476449">
        <w:rPr>
          <w:i/>
        </w:rPr>
        <w:t>The Plant Journal</w:t>
      </w:r>
      <w:r w:rsidRPr="00476449">
        <w:t xml:space="preserve"> </w:t>
      </w:r>
      <w:r w:rsidRPr="00476449">
        <w:rPr>
          <w:b/>
        </w:rPr>
        <w:t>75</w:t>
      </w:r>
      <w:r w:rsidRPr="00476449">
        <w:t>, 808-822.</w:t>
      </w:r>
    </w:p>
    <w:p w14:paraId="0BC1404E" w14:textId="77777777" w:rsidR="00476449" w:rsidRPr="00476449" w:rsidRDefault="00476449" w:rsidP="00476449">
      <w:pPr>
        <w:pStyle w:val="EndNoteBibliography"/>
        <w:ind w:left="720" w:hanging="720"/>
      </w:pPr>
      <w:r w:rsidRPr="00476449">
        <w:rPr>
          <w:b/>
        </w:rPr>
        <w:t xml:space="preserve">Trotochaud, A. E., Hao, T., Wu, G., Yang, Z. and Clark, S. E. </w:t>
      </w:r>
      <w:r w:rsidRPr="00476449">
        <w:t xml:space="preserve">(1999). The CLAVATA1 Receptor-like Kinase Requires CLAVATA3 for Its Assembly into a Signaling Complex That Includes KAPP and a Rho-Related Protein. </w:t>
      </w:r>
      <w:r w:rsidRPr="00476449">
        <w:rPr>
          <w:i/>
        </w:rPr>
        <w:t>The Plant Cell</w:t>
      </w:r>
      <w:r w:rsidRPr="00476449">
        <w:t xml:space="preserve"> </w:t>
      </w:r>
      <w:r w:rsidRPr="00476449">
        <w:rPr>
          <w:b/>
        </w:rPr>
        <w:t>11</w:t>
      </w:r>
      <w:r w:rsidRPr="00476449">
        <w:t>, 393-405.</w:t>
      </w:r>
    </w:p>
    <w:p w14:paraId="78D888A7" w14:textId="77777777" w:rsidR="00476449" w:rsidRPr="00476449" w:rsidRDefault="00476449" w:rsidP="00476449">
      <w:pPr>
        <w:pStyle w:val="EndNoteBibliography"/>
        <w:ind w:left="720" w:hanging="720"/>
      </w:pPr>
      <w:r w:rsidRPr="00476449">
        <w:rPr>
          <w:b/>
        </w:rPr>
        <w:t xml:space="preserve">Uchida, N., Lee, J. S., Horst, R. J., Lai, H. H., Kajita, R., Kakimoto, T., Tasaka, M. and Torii, K. U. </w:t>
      </w:r>
      <w:r w:rsidRPr="00476449">
        <w:t xml:space="preserve">(2012). Regulation of inflorescence architecture by intertissue layer ligand-receptor </w:t>
      </w:r>
      <w:r w:rsidRPr="00476449">
        <w:lastRenderedPageBreak/>
        <w:t xml:space="preserve">communication between endodermis and phloem. </w:t>
      </w:r>
      <w:r w:rsidRPr="00476449">
        <w:rPr>
          <w:i/>
        </w:rPr>
        <w:t>Proceedings of the National Academy of Sciences of the United States of America</w:t>
      </w:r>
      <w:r w:rsidRPr="00476449">
        <w:t xml:space="preserve"> </w:t>
      </w:r>
      <w:r w:rsidRPr="00476449">
        <w:rPr>
          <w:b/>
        </w:rPr>
        <w:t>109</w:t>
      </w:r>
      <w:r w:rsidRPr="00476449">
        <w:t>, 6337-6342.</w:t>
      </w:r>
    </w:p>
    <w:p w14:paraId="4FBB1BE2" w14:textId="77777777" w:rsidR="00476449" w:rsidRPr="00476449" w:rsidRDefault="00476449" w:rsidP="00476449">
      <w:pPr>
        <w:pStyle w:val="EndNoteBibliography"/>
        <w:ind w:left="720" w:hanging="720"/>
      </w:pPr>
      <w:r w:rsidRPr="00476449">
        <w:rPr>
          <w:b/>
        </w:rPr>
        <w:t xml:space="preserve">Vaten, A. and Bergmann, D. C. </w:t>
      </w:r>
      <w:r w:rsidRPr="00476449">
        <w:t xml:space="preserve">(2012). Mechanisms of stomatal development: an evolutionary view. </w:t>
      </w:r>
      <w:r w:rsidRPr="00476449">
        <w:rPr>
          <w:i/>
        </w:rPr>
        <w:t>Evodevo</w:t>
      </w:r>
      <w:r w:rsidRPr="00476449">
        <w:t xml:space="preserve"> </w:t>
      </w:r>
      <w:r w:rsidRPr="00476449">
        <w:rPr>
          <w:b/>
        </w:rPr>
        <w:t>3</w:t>
      </w:r>
      <w:r w:rsidRPr="00476449">
        <w:t>, 9.</w:t>
      </w:r>
    </w:p>
    <w:p w14:paraId="665A549E" w14:textId="77777777" w:rsidR="00476449" w:rsidRPr="00476449" w:rsidRDefault="00476449" w:rsidP="00476449">
      <w:pPr>
        <w:pStyle w:val="EndNoteBibliography"/>
        <w:ind w:left="720" w:hanging="720"/>
      </w:pPr>
      <w:r w:rsidRPr="00476449">
        <w:rPr>
          <w:b/>
        </w:rPr>
        <w:t xml:space="preserve">Villagarcia, H., Morin, A.-C., Shpak, E. D. and Khodakovskaya, M. V. </w:t>
      </w:r>
      <w:r w:rsidRPr="00476449">
        <w:t xml:space="preserve">(2012). Modification of tomato growth by expression of truncated ERECTA protein from Arabidopsis thaliana. </w:t>
      </w:r>
      <w:r w:rsidRPr="00476449">
        <w:rPr>
          <w:i/>
        </w:rPr>
        <w:t>Journal of experimental botany</w:t>
      </w:r>
      <w:r w:rsidRPr="00476449">
        <w:t xml:space="preserve"> </w:t>
      </w:r>
      <w:r w:rsidRPr="00476449">
        <w:rPr>
          <w:b/>
        </w:rPr>
        <w:t>63</w:t>
      </w:r>
      <w:r w:rsidRPr="00476449">
        <w:t>, 6493-6504.</w:t>
      </w:r>
    </w:p>
    <w:p w14:paraId="2F37094F" w14:textId="77777777" w:rsidR="00476449" w:rsidRPr="00476449" w:rsidRDefault="00476449" w:rsidP="00476449">
      <w:pPr>
        <w:pStyle w:val="EndNoteBibliography"/>
        <w:ind w:left="720" w:hanging="720"/>
      </w:pPr>
      <w:r w:rsidRPr="00476449">
        <w:rPr>
          <w:b/>
        </w:rPr>
        <w:t xml:space="preserve">Wallace, S., Chater, C. C., Kamisugi, Y., Cuming, A. C., Wellman, C. H., Beerling, D. J. and Fleming, A. J. </w:t>
      </w:r>
      <w:r w:rsidRPr="00476449">
        <w:t xml:space="preserve">(2015). Conservation of Male Sterility 2 function during spore and pollen wall development supports an evolutionarily early recruitment of a core component in the sporopollenin biosynthetic pathway. </w:t>
      </w:r>
      <w:r w:rsidRPr="00476449">
        <w:rPr>
          <w:i/>
        </w:rPr>
        <w:t>New Phytologist</w:t>
      </w:r>
      <w:r w:rsidRPr="00476449">
        <w:t xml:space="preserve"> </w:t>
      </w:r>
      <w:r w:rsidRPr="00476449">
        <w:rPr>
          <w:b/>
        </w:rPr>
        <w:t>205</w:t>
      </w:r>
      <w:r w:rsidRPr="00476449">
        <w:t>, 390-401.</w:t>
      </w:r>
    </w:p>
    <w:p w14:paraId="1820ADE7" w14:textId="77777777" w:rsidR="00476449" w:rsidRPr="00476449" w:rsidRDefault="00476449" w:rsidP="00476449">
      <w:pPr>
        <w:pStyle w:val="EndNoteBibliography"/>
        <w:ind w:left="720" w:hanging="720"/>
      </w:pPr>
      <w:r w:rsidRPr="00476449">
        <w:rPr>
          <w:b/>
        </w:rPr>
        <w:t xml:space="preserve">Wang, C., Liu, S., Dong, Y., Zhao, Y., Geng, A., Xia, X. and Yin, W. </w:t>
      </w:r>
      <w:r w:rsidRPr="00476449">
        <w:t xml:space="preserve">(2016a). PdEPF1 regulates water-use efficiency and drought tolerance by modulating stomatal density in poplar. </w:t>
      </w:r>
      <w:r w:rsidRPr="00476449">
        <w:rPr>
          <w:i/>
        </w:rPr>
        <w:t>Plant Biotechnology Journal</w:t>
      </w:r>
      <w:r w:rsidRPr="00476449">
        <w:t xml:space="preserve"> </w:t>
      </w:r>
      <w:r w:rsidRPr="00476449">
        <w:rPr>
          <w:b/>
        </w:rPr>
        <w:t>14</w:t>
      </w:r>
      <w:r w:rsidRPr="00476449">
        <w:t>, 849-860.</w:t>
      </w:r>
    </w:p>
    <w:p w14:paraId="65336600" w14:textId="77777777" w:rsidR="00476449" w:rsidRPr="00476449" w:rsidRDefault="00476449" w:rsidP="00476449">
      <w:pPr>
        <w:pStyle w:val="EndNoteBibliography"/>
        <w:ind w:left="720" w:hanging="720"/>
      </w:pPr>
      <w:r w:rsidRPr="00476449">
        <w:rPr>
          <w:b/>
        </w:rPr>
        <w:t xml:space="preserve">Wang, C. L., Zhang, S. C., Qi, S. D., Zheng, C. C. and Wu, C. A. </w:t>
      </w:r>
      <w:r w:rsidRPr="00476449">
        <w:t xml:space="preserve">(2016b). Delayed germination of Arabidopsis seeds under chilling stress by overexpressing an abiotic stress inducible GhTPS11. </w:t>
      </w:r>
      <w:r w:rsidRPr="00476449">
        <w:rPr>
          <w:i/>
        </w:rPr>
        <w:t>Gene</w:t>
      </w:r>
      <w:r w:rsidRPr="00476449">
        <w:t xml:space="preserve"> </w:t>
      </w:r>
      <w:r w:rsidRPr="00476449">
        <w:rPr>
          <w:b/>
        </w:rPr>
        <w:t>575</w:t>
      </w:r>
      <w:r w:rsidRPr="00476449">
        <w:t>, 206-212.</w:t>
      </w:r>
    </w:p>
    <w:p w14:paraId="3BECF4CC" w14:textId="77777777" w:rsidR="00476449" w:rsidRPr="00476449" w:rsidRDefault="00476449" w:rsidP="00476449">
      <w:pPr>
        <w:pStyle w:val="EndNoteBibliography"/>
        <w:ind w:left="720" w:hanging="720"/>
      </w:pPr>
      <w:r w:rsidRPr="00476449">
        <w:rPr>
          <w:b/>
        </w:rPr>
        <w:t xml:space="preserve">Wang, H. C., Ngwenyama, N., Liu, Y. D., Walker, J. C. and Zhang, S. Q. </w:t>
      </w:r>
      <w:r w:rsidRPr="00476449">
        <w:t xml:space="preserve">(2007). Stomatal development and patterning are regulated by environmentally responsive mitogen-activated protein kinases in Arabidopsis. </w:t>
      </w:r>
      <w:r w:rsidRPr="00476449">
        <w:rPr>
          <w:i/>
        </w:rPr>
        <w:t>Plant Cell</w:t>
      </w:r>
      <w:r w:rsidRPr="00476449">
        <w:t xml:space="preserve"> </w:t>
      </w:r>
      <w:r w:rsidRPr="00476449">
        <w:rPr>
          <w:b/>
        </w:rPr>
        <w:t>19</w:t>
      </w:r>
      <w:r w:rsidRPr="00476449">
        <w:t>, 63-73.</w:t>
      </w:r>
    </w:p>
    <w:p w14:paraId="1AC9AE15" w14:textId="77777777" w:rsidR="00476449" w:rsidRPr="00476449" w:rsidRDefault="00476449" w:rsidP="00476449">
      <w:pPr>
        <w:pStyle w:val="EndNoteBibliography"/>
        <w:ind w:left="720" w:hanging="720"/>
      </w:pPr>
      <w:r w:rsidRPr="00476449">
        <w:rPr>
          <w:b/>
        </w:rPr>
        <w:t xml:space="preserve">Waterhouse, A. M., Procter, J. B., Martin, D. M., Clamp, M. and Barton, G. J. </w:t>
      </w:r>
      <w:r w:rsidRPr="00476449">
        <w:t xml:space="preserve">(2009). Jalview Version 2 - a multiple sequence alignment editor and analysis workbench. </w:t>
      </w:r>
      <w:r w:rsidRPr="00476449">
        <w:rPr>
          <w:i/>
        </w:rPr>
        <w:t>Bioinformatics</w:t>
      </w:r>
      <w:r w:rsidRPr="00476449">
        <w:t xml:space="preserve"> </w:t>
      </w:r>
      <w:r w:rsidRPr="00476449">
        <w:rPr>
          <w:b/>
        </w:rPr>
        <w:t>25</w:t>
      </w:r>
      <w:r w:rsidRPr="00476449">
        <w:t>, 1189-1191.</w:t>
      </w:r>
    </w:p>
    <w:p w14:paraId="0DD7A272" w14:textId="77777777" w:rsidR="00476449" w:rsidRPr="00476449" w:rsidRDefault="00476449" w:rsidP="00476449">
      <w:pPr>
        <w:pStyle w:val="EndNoteBibliography"/>
        <w:ind w:left="720" w:hanging="720"/>
      </w:pPr>
      <w:r w:rsidRPr="00476449">
        <w:rPr>
          <w:b/>
        </w:rPr>
        <w:t xml:space="preserve">Weinthal, D. and Tzfira, T. </w:t>
      </w:r>
      <w:r w:rsidRPr="00476449">
        <w:t xml:space="preserve">(2009). Imaging protein-protein interactions in plant cells by bimolecular fluorescence complementation assay. </w:t>
      </w:r>
      <w:r w:rsidRPr="00476449">
        <w:rPr>
          <w:i/>
        </w:rPr>
        <w:t>Trends in Plant Science</w:t>
      </w:r>
      <w:r w:rsidRPr="00476449">
        <w:t xml:space="preserve"> </w:t>
      </w:r>
      <w:r w:rsidRPr="00476449">
        <w:rPr>
          <w:b/>
        </w:rPr>
        <w:t>14</w:t>
      </w:r>
      <w:r w:rsidRPr="00476449">
        <w:t>, 59-63.</w:t>
      </w:r>
    </w:p>
    <w:p w14:paraId="35A8001B" w14:textId="77777777" w:rsidR="00476449" w:rsidRPr="00476449" w:rsidRDefault="00476449" w:rsidP="00476449">
      <w:pPr>
        <w:pStyle w:val="EndNoteBibliography"/>
        <w:ind w:left="720" w:hanging="720"/>
      </w:pPr>
      <w:r w:rsidRPr="00476449">
        <w:rPr>
          <w:b/>
        </w:rPr>
        <w:t xml:space="preserve">Wellman, C. H., Osterloff, P. L. and Mohiuddin, U. </w:t>
      </w:r>
      <w:r w:rsidRPr="00476449">
        <w:t xml:space="preserve">(2003). Fragments of the earliest land plants. </w:t>
      </w:r>
      <w:r w:rsidRPr="00476449">
        <w:rPr>
          <w:i/>
        </w:rPr>
        <w:t>Nature</w:t>
      </w:r>
      <w:r w:rsidRPr="00476449">
        <w:t xml:space="preserve"> </w:t>
      </w:r>
      <w:r w:rsidRPr="00476449">
        <w:rPr>
          <w:b/>
        </w:rPr>
        <w:t>425</w:t>
      </w:r>
      <w:r w:rsidRPr="00476449">
        <w:t>, 282-285.</w:t>
      </w:r>
    </w:p>
    <w:p w14:paraId="3A2F383F" w14:textId="77777777" w:rsidR="00476449" w:rsidRPr="00476449" w:rsidRDefault="00476449" w:rsidP="00476449">
      <w:pPr>
        <w:pStyle w:val="EndNoteBibliography"/>
        <w:ind w:left="720" w:hanging="720"/>
      </w:pPr>
      <w:r w:rsidRPr="00476449">
        <w:rPr>
          <w:b/>
        </w:rPr>
        <w:t xml:space="preserve">Wickett, N. J., Mirarab, S., Nguyen, N., Warnow, T., Carpenter, E., Matasci, N., Ayyampalayam, S., Barker, M. S., Burleigh, J. G., Gitzendanner, M. A., et al. </w:t>
      </w:r>
      <w:r w:rsidRPr="00476449">
        <w:t xml:space="preserve">(2014). Phylotranscriptomic analysis of the origin and early diversification of land plants. </w:t>
      </w:r>
      <w:r w:rsidRPr="00476449">
        <w:rPr>
          <w:i/>
        </w:rPr>
        <w:t>Proceedings of the National Academy of Sciences</w:t>
      </w:r>
      <w:r w:rsidRPr="00476449">
        <w:t xml:space="preserve"> </w:t>
      </w:r>
      <w:r w:rsidRPr="00476449">
        <w:rPr>
          <w:b/>
        </w:rPr>
        <w:t>111</w:t>
      </w:r>
      <w:r w:rsidRPr="00476449">
        <w:t>, E4859-E4868.</w:t>
      </w:r>
    </w:p>
    <w:p w14:paraId="71D7E418" w14:textId="77777777" w:rsidR="00476449" w:rsidRPr="00476449" w:rsidRDefault="00476449" w:rsidP="00476449">
      <w:pPr>
        <w:pStyle w:val="EndNoteBibliography"/>
        <w:ind w:left="720" w:hanging="720"/>
      </w:pPr>
      <w:r w:rsidRPr="00476449">
        <w:rPr>
          <w:b/>
        </w:rPr>
        <w:t xml:space="preserve">Winter, D., Vinegar, B., Nahal, H., Ammar, R., Wilson, G. V. and Provart, N. J. </w:t>
      </w:r>
      <w:r w:rsidRPr="00476449">
        <w:t xml:space="preserve">(2007). An "Electronic Fluorescent Pictograph" Browser for Exploring and Analyzing Large-Scale Biological Data Sets. </w:t>
      </w:r>
      <w:r w:rsidRPr="00476449">
        <w:rPr>
          <w:i/>
        </w:rPr>
        <w:t>Plos One</w:t>
      </w:r>
      <w:r w:rsidRPr="00476449">
        <w:t xml:space="preserve"> </w:t>
      </w:r>
      <w:r w:rsidRPr="00476449">
        <w:rPr>
          <w:b/>
        </w:rPr>
        <w:t>2</w:t>
      </w:r>
      <w:r w:rsidRPr="00476449">
        <w:t>, 12.</w:t>
      </w:r>
    </w:p>
    <w:p w14:paraId="36DA3F10" w14:textId="77777777" w:rsidR="00476449" w:rsidRPr="00476449" w:rsidRDefault="00476449" w:rsidP="00476449">
      <w:pPr>
        <w:pStyle w:val="EndNoteBibliography"/>
        <w:ind w:left="720" w:hanging="720"/>
      </w:pPr>
      <w:r w:rsidRPr="00476449">
        <w:rPr>
          <w:b/>
        </w:rPr>
        <w:t xml:space="preserve">Wolf, L., Rizzini, L., Stracke, R., Ulm, R. and Rensing, S. A. </w:t>
      </w:r>
      <w:r w:rsidRPr="00476449">
        <w:t xml:space="preserve">(2010). The Molecular and Physiological Responses of Physcomitrella patens to Ultraviolet-B Radiation. </w:t>
      </w:r>
      <w:r w:rsidRPr="00476449">
        <w:rPr>
          <w:i/>
        </w:rPr>
        <w:t>Plant Physiology</w:t>
      </w:r>
      <w:r w:rsidRPr="00476449">
        <w:t xml:space="preserve"> </w:t>
      </w:r>
      <w:r w:rsidRPr="00476449">
        <w:rPr>
          <w:b/>
        </w:rPr>
        <w:t>153</w:t>
      </w:r>
      <w:r w:rsidRPr="00476449">
        <w:t>, 1123-1134.</w:t>
      </w:r>
    </w:p>
    <w:p w14:paraId="6413A76B" w14:textId="77777777" w:rsidR="00476449" w:rsidRPr="00476449" w:rsidRDefault="00476449" w:rsidP="00476449">
      <w:pPr>
        <w:pStyle w:val="EndNoteBibliography"/>
        <w:ind w:left="720" w:hanging="720"/>
      </w:pPr>
      <w:r w:rsidRPr="00476449">
        <w:rPr>
          <w:b/>
        </w:rPr>
        <w:t xml:space="preserve">Woodward, F. I. </w:t>
      </w:r>
      <w:r w:rsidRPr="00476449">
        <w:t xml:space="preserve">(1987). Stomatal numbers are sensitive to increases in CO2 from pre-industrial levels. </w:t>
      </w:r>
      <w:r w:rsidRPr="00476449">
        <w:rPr>
          <w:i/>
        </w:rPr>
        <w:t>Nature</w:t>
      </w:r>
      <w:r w:rsidRPr="00476449">
        <w:t xml:space="preserve"> </w:t>
      </w:r>
      <w:r w:rsidRPr="00476449">
        <w:rPr>
          <w:b/>
        </w:rPr>
        <w:t>327</w:t>
      </w:r>
      <w:r w:rsidRPr="00476449">
        <w:t>, 617-618.</w:t>
      </w:r>
    </w:p>
    <w:p w14:paraId="60F112C8" w14:textId="77777777" w:rsidR="00476449" w:rsidRPr="00476449" w:rsidRDefault="00476449" w:rsidP="00476449">
      <w:pPr>
        <w:pStyle w:val="EndNoteBibliography"/>
        <w:ind w:left="720" w:hanging="720"/>
      </w:pPr>
      <w:r w:rsidRPr="00476449">
        <w:rPr>
          <w:b/>
        </w:rPr>
        <w:t xml:space="preserve">Xu, F., Liu, Z., Xie, H., Zhu, J., Zhang, J., Kraus, J., Blaschnig, T., Nehls, R. and Wang, H. </w:t>
      </w:r>
      <w:r w:rsidRPr="00476449">
        <w:t xml:space="preserve">(2014). Increased Drought Tolerance through the Suppression of ESKMO1 Gene and Overexpression of CBF-Related Genes in Arabidopsis. </w:t>
      </w:r>
      <w:r w:rsidRPr="00476449">
        <w:rPr>
          <w:i/>
        </w:rPr>
        <w:t>PLoS ONE</w:t>
      </w:r>
      <w:r w:rsidRPr="00476449">
        <w:t xml:space="preserve"> </w:t>
      </w:r>
      <w:r w:rsidRPr="00476449">
        <w:rPr>
          <w:b/>
        </w:rPr>
        <w:t>9</w:t>
      </w:r>
      <w:r w:rsidRPr="00476449">
        <w:t>, e106509.</w:t>
      </w:r>
    </w:p>
    <w:p w14:paraId="50702070" w14:textId="77777777" w:rsidR="00476449" w:rsidRPr="00476449" w:rsidRDefault="00476449" w:rsidP="00476449">
      <w:pPr>
        <w:pStyle w:val="EndNoteBibliography"/>
        <w:ind w:left="720" w:hanging="720"/>
      </w:pPr>
      <w:r w:rsidRPr="00476449">
        <w:rPr>
          <w:b/>
        </w:rPr>
        <w:t xml:space="preserve">Yan, L., Cheng, X., Jia, R., Qin, Q., Guan, L., Du, H. and Hou, S. </w:t>
      </w:r>
      <w:r w:rsidRPr="00476449">
        <w:t xml:space="preserve">(2014). New phenotypic characteristics of three tmm alleles in Arabidopsis thaliana. </w:t>
      </w:r>
      <w:r w:rsidRPr="00476449">
        <w:rPr>
          <w:i/>
        </w:rPr>
        <w:t>Plant Cell Rep</w:t>
      </w:r>
      <w:r w:rsidRPr="00476449">
        <w:t xml:space="preserve"> </w:t>
      </w:r>
      <w:r w:rsidRPr="00476449">
        <w:rPr>
          <w:b/>
        </w:rPr>
        <w:t>33</w:t>
      </w:r>
      <w:r w:rsidRPr="00476449">
        <w:t>, 719-731.</w:t>
      </w:r>
    </w:p>
    <w:p w14:paraId="50D1831C" w14:textId="77777777" w:rsidR="00476449" w:rsidRPr="00476449" w:rsidRDefault="00476449" w:rsidP="00476449">
      <w:pPr>
        <w:pStyle w:val="EndNoteBibliography"/>
        <w:ind w:left="720" w:hanging="720"/>
      </w:pPr>
      <w:r w:rsidRPr="00476449">
        <w:rPr>
          <w:b/>
        </w:rPr>
        <w:t xml:space="preserve">Yang, K., Jiang, M. and Le, J. </w:t>
      </w:r>
      <w:r w:rsidRPr="00476449">
        <w:t xml:space="preserve">(2014a). A new loss-of-function allele 28y reveals a role of ARGONAUTE1 in limiting asymmetric division of stomatal lineage ground cell. </w:t>
      </w:r>
      <w:r w:rsidRPr="00476449">
        <w:rPr>
          <w:i/>
        </w:rPr>
        <w:t>J Integr Plant Biol</w:t>
      </w:r>
      <w:r w:rsidRPr="00476449">
        <w:t xml:space="preserve"> </w:t>
      </w:r>
      <w:r w:rsidRPr="00476449">
        <w:rPr>
          <w:b/>
        </w:rPr>
        <w:t>56</w:t>
      </w:r>
      <w:r w:rsidRPr="00476449">
        <w:t>, 539-549.</w:t>
      </w:r>
    </w:p>
    <w:p w14:paraId="2B70F7E1" w14:textId="77777777" w:rsidR="00476449" w:rsidRPr="00476449" w:rsidRDefault="00476449" w:rsidP="00476449">
      <w:pPr>
        <w:pStyle w:val="EndNoteBibliography"/>
        <w:ind w:left="720" w:hanging="720"/>
      </w:pPr>
      <w:r w:rsidRPr="00476449">
        <w:rPr>
          <w:b/>
        </w:rPr>
        <w:t xml:space="preserve">Yang, K.-Z., Jiang, M., Wang, M., Xue, S., Zhu, L.-L., Wang, H.-Z., Zou, J.-J., Lee, E.-K., Sack, F. and Le, J. </w:t>
      </w:r>
      <w:r w:rsidRPr="00476449">
        <w:t xml:space="preserve">(2014b). Phosphorylation of Serine 186 of bHLH Transcription Factor SPEECHLESS Promotes Stomatal Development in &lt;em&gt;Arabidopsis&lt;/em&gt;. </w:t>
      </w:r>
      <w:r w:rsidRPr="00476449">
        <w:rPr>
          <w:i/>
        </w:rPr>
        <w:t>Molecular Plant</w:t>
      </w:r>
      <w:r w:rsidRPr="00476449">
        <w:t xml:space="preserve"> </w:t>
      </w:r>
      <w:r w:rsidRPr="00476449">
        <w:rPr>
          <w:b/>
        </w:rPr>
        <w:t>8</w:t>
      </w:r>
      <w:r w:rsidRPr="00476449">
        <w:t>, 783-795.</w:t>
      </w:r>
    </w:p>
    <w:p w14:paraId="2C538176" w14:textId="77777777" w:rsidR="00476449" w:rsidRPr="00476449" w:rsidRDefault="00476449" w:rsidP="00476449">
      <w:pPr>
        <w:pStyle w:val="EndNoteBibliography"/>
        <w:ind w:left="720" w:hanging="720"/>
      </w:pPr>
      <w:r w:rsidRPr="00476449">
        <w:rPr>
          <w:b/>
        </w:rPr>
        <w:lastRenderedPageBreak/>
        <w:t xml:space="preserve">Yang, M. and Sack, F. D. </w:t>
      </w:r>
      <w:r w:rsidRPr="00476449">
        <w:t xml:space="preserve">(1995). The too many mouths and four lips mutations affect stomatal production in arabidopsis. </w:t>
      </w:r>
      <w:r w:rsidRPr="00476449">
        <w:rPr>
          <w:i/>
        </w:rPr>
        <w:t>Plant Cell</w:t>
      </w:r>
      <w:r w:rsidRPr="00476449">
        <w:t xml:space="preserve"> </w:t>
      </w:r>
      <w:r w:rsidRPr="00476449">
        <w:rPr>
          <w:b/>
        </w:rPr>
        <w:t>7</w:t>
      </w:r>
      <w:r w:rsidRPr="00476449">
        <w:t>, 2227-2239.</w:t>
      </w:r>
    </w:p>
    <w:p w14:paraId="5CAD090A" w14:textId="77777777" w:rsidR="00476449" w:rsidRPr="00476449" w:rsidRDefault="00476449" w:rsidP="00476449">
      <w:pPr>
        <w:pStyle w:val="EndNoteBibliography"/>
        <w:ind w:left="720" w:hanging="720"/>
      </w:pPr>
      <w:r w:rsidRPr="00476449">
        <w:rPr>
          <w:b/>
        </w:rPr>
        <w:t xml:space="preserve">Yates, T. H. and Rose, J. K. C. </w:t>
      </w:r>
      <w:r w:rsidRPr="00476449">
        <w:t>(2013). The Formation and Function of Plant Cuticles. pp. 5-20: Plant Physiology.</w:t>
      </w:r>
    </w:p>
    <w:p w14:paraId="4E34154A" w14:textId="77777777" w:rsidR="00476449" w:rsidRPr="00476449" w:rsidRDefault="00476449" w:rsidP="00476449">
      <w:pPr>
        <w:pStyle w:val="EndNoteBibliography"/>
        <w:ind w:left="720" w:hanging="720"/>
      </w:pPr>
      <w:r w:rsidRPr="00476449">
        <w:rPr>
          <w:b/>
        </w:rPr>
        <w:t xml:space="preserve">Zeiger, E., Farquhar, G. D. and Cowan, I. R. </w:t>
      </w:r>
      <w:r w:rsidRPr="00476449">
        <w:t xml:space="preserve">(1987). </w:t>
      </w:r>
      <w:r w:rsidRPr="00476449">
        <w:rPr>
          <w:i/>
        </w:rPr>
        <w:t>Stomatal function</w:t>
      </w:r>
      <w:r w:rsidRPr="00476449">
        <w:t>. Stanford, Calif.: Stanford University Press.</w:t>
      </w:r>
    </w:p>
    <w:p w14:paraId="724B2F0F" w14:textId="77777777" w:rsidR="00476449" w:rsidRPr="00476449" w:rsidRDefault="00476449" w:rsidP="00476449">
      <w:pPr>
        <w:pStyle w:val="EndNoteBibliography"/>
        <w:ind w:left="720" w:hanging="720"/>
      </w:pPr>
      <w:r w:rsidRPr="00476449">
        <w:rPr>
          <w:b/>
        </w:rPr>
        <w:t xml:space="preserve">Zhang, Y., Wang, P. C., Shao, W. C., Zhu, J. K. and Dong, J. </w:t>
      </w:r>
      <w:r w:rsidRPr="00476449">
        <w:t xml:space="preserve">(2015). The BASL Polarity Protein Controls a MAPK Signaling Feedback Loop in Asymmetric Cell Division. </w:t>
      </w:r>
      <w:r w:rsidRPr="00476449">
        <w:rPr>
          <w:i/>
        </w:rPr>
        <w:t>Developmental Cell</w:t>
      </w:r>
      <w:r w:rsidRPr="00476449">
        <w:t xml:space="preserve"> </w:t>
      </w:r>
      <w:r w:rsidRPr="00476449">
        <w:rPr>
          <w:b/>
        </w:rPr>
        <w:t>33</w:t>
      </w:r>
      <w:r w:rsidRPr="00476449">
        <w:t>, 136-149.</w:t>
      </w:r>
    </w:p>
    <w:p w14:paraId="333F96A2" w14:textId="77777777" w:rsidR="00476449" w:rsidRPr="00476449" w:rsidRDefault="00476449" w:rsidP="00476449">
      <w:pPr>
        <w:pStyle w:val="EndNoteBibliography"/>
        <w:ind w:left="720" w:hanging="720"/>
      </w:pPr>
      <w:r w:rsidRPr="00476449">
        <w:rPr>
          <w:b/>
        </w:rPr>
        <w:t xml:space="preserve">Zhao, C., Nie, H., Shen, Q., Zhang, S., Lukowitz, W. and Tang, D. </w:t>
      </w:r>
      <w:r w:rsidRPr="00476449">
        <w:t xml:space="preserve">(2014). EDR1 Physically Interacts with MKK4/MKK5 and Negatively Regulates a MAP Kinase Cascade to Modulate Plant Innate Immunity. </w:t>
      </w:r>
      <w:r w:rsidRPr="00476449">
        <w:rPr>
          <w:i/>
        </w:rPr>
        <w:t>PLoS Genet</w:t>
      </w:r>
      <w:r w:rsidRPr="00476449">
        <w:t xml:space="preserve"> </w:t>
      </w:r>
      <w:r w:rsidRPr="00476449">
        <w:rPr>
          <w:b/>
        </w:rPr>
        <w:t>10</w:t>
      </w:r>
      <w:r w:rsidRPr="00476449">
        <w:t>, e1004389.</w:t>
      </w:r>
    </w:p>
    <w:p w14:paraId="0F09B7C7" w14:textId="77777777" w:rsidR="00476449" w:rsidRPr="00476449" w:rsidRDefault="00476449" w:rsidP="00476449">
      <w:pPr>
        <w:pStyle w:val="EndNoteBibliography"/>
        <w:ind w:left="720" w:hanging="720"/>
      </w:pPr>
      <w:r w:rsidRPr="00476449">
        <w:rPr>
          <w:b/>
        </w:rPr>
        <w:t xml:space="preserve">Zhao, L. M. and Sack, F. D. </w:t>
      </w:r>
      <w:r w:rsidRPr="00476449">
        <w:t xml:space="preserve">(1999). Ultrastructure of stomatal development in Arabidopsis (Brassicaceae) leaves. </w:t>
      </w:r>
      <w:r w:rsidRPr="00476449">
        <w:rPr>
          <w:i/>
        </w:rPr>
        <w:t>American Journal of Botany</w:t>
      </w:r>
      <w:r w:rsidRPr="00476449">
        <w:t xml:space="preserve"> </w:t>
      </w:r>
      <w:r w:rsidRPr="00476449">
        <w:rPr>
          <w:b/>
        </w:rPr>
        <w:t>86</w:t>
      </w:r>
      <w:r w:rsidRPr="00476449">
        <w:t>, 929-939.</w:t>
      </w:r>
    </w:p>
    <w:p w14:paraId="4DC5FD3A" w14:textId="77777777" w:rsidR="00476449" w:rsidRPr="00476449" w:rsidRDefault="00476449" w:rsidP="00476449">
      <w:pPr>
        <w:pStyle w:val="EndNoteBibliography"/>
        <w:ind w:left="720" w:hanging="720"/>
      </w:pPr>
      <w:r w:rsidRPr="00476449">
        <w:rPr>
          <w:b/>
        </w:rPr>
        <w:t xml:space="preserve">Zhao, X., Yang, Y., Shen, Z., Zhang, H., Wang, G. and Gan, Y. </w:t>
      </w:r>
      <w:r w:rsidRPr="00476449">
        <w:t xml:space="preserve">(2006). Stomatal clustering in Cinnamomum camphora. </w:t>
      </w:r>
      <w:r w:rsidRPr="00476449">
        <w:rPr>
          <w:i/>
        </w:rPr>
        <w:t>South African Journal of Botany</w:t>
      </w:r>
      <w:r w:rsidRPr="00476449">
        <w:t xml:space="preserve"> </w:t>
      </w:r>
      <w:r w:rsidRPr="00476449">
        <w:rPr>
          <w:b/>
        </w:rPr>
        <w:t>72</w:t>
      </w:r>
      <w:r w:rsidRPr="00476449">
        <w:t>, 565-569.</w:t>
      </w:r>
    </w:p>
    <w:p w14:paraId="1E72FDA7" w14:textId="77777777" w:rsidR="00476449" w:rsidRPr="00476449" w:rsidRDefault="00476449" w:rsidP="00476449">
      <w:pPr>
        <w:pStyle w:val="EndNoteBibliography"/>
        <w:ind w:left="720" w:hanging="720"/>
      </w:pPr>
      <w:r w:rsidRPr="00476449">
        <w:rPr>
          <w:b/>
        </w:rPr>
        <w:t xml:space="preserve">Zhu, E. G., You, C. J., Wang, S. S., Cui, J., Niu, B. X., Wang, Y. X., Qi, J., Ma, H. and Chang, F. </w:t>
      </w:r>
      <w:r w:rsidRPr="00476449">
        <w:t xml:space="preserve">(2015). The DYT1-interacting proteins bHLH010, bHLH089 and bHLH091 are redundantly required for Arabidopsis anther development and transcriptome. </w:t>
      </w:r>
      <w:r w:rsidRPr="00476449">
        <w:rPr>
          <w:i/>
        </w:rPr>
        <w:t>Plant Journal</w:t>
      </w:r>
      <w:r w:rsidRPr="00476449">
        <w:t xml:space="preserve"> </w:t>
      </w:r>
      <w:r w:rsidRPr="00476449">
        <w:rPr>
          <w:b/>
        </w:rPr>
        <w:t>83</w:t>
      </w:r>
      <w:r w:rsidRPr="00476449">
        <w:t>, 976-990.</w:t>
      </w:r>
    </w:p>
    <w:p w14:paraId="3CDC2209" w14:textId="77777777" w:rsidR="00476449" w:rsidRPr="00476449" w:rsidRDefault="00476449" w:rsidP="00476449">
      <w:pPr>
        <w:pStyle w:val="EndNoteBibliography"/>
        <w:ind w:left="720" w:hanging="720"/>
      </w:pPr>
      <w:r w:rsidRPr="00476449">
        <w:rPr>
          <w:b/>
        </w:rPr>
        <w:t xml:space="preserve">Zimmer, A. D., Lang, D., Buchta, K., Rombauts, S., Nishiyama, T., Hasebe, M., Van de Peer, Y., Rensing, S. A. and Reski, R. </w:t>
      </w:r>
      <w:r w:rsidRPr="00476449">
        <w:t xml:space="preserve">(2013). Reannotation and extended community resources for the genome of the non-seed plant Physcomitrella patens provide insights into the evolution of plant gene structures and functions. </w:t>
      </w:r>
      <w:r w:rsidRPr="00476449">
        <w:rPr>
          <w:i/>
        </w:rPr>
        <w:t>BMC Genomics</w:t>
      </w:r>
      <w:r w:rsidRPr="00476449">
        <w:t xml:space="preserve"> </w:t>
      </w:r>
      <w:r w:rsidRPr="00476449">
        <w:rPr>
          <w:b/>
        </w:rPr>
        <w:t>14</w:t>
      </w:r>
      <w:r w:rsidRPr="00476449">
        <w:t>, 1-20.</w:t>
      </w:r>
    </w:p>
    <w:p w14:paraId="54E3A347" w14:textId="77777777" w:rsidR="00476449" w:rsidRPr="00476449" w:rsidRDefault="00476449" w:rsidP="00476449">
      <w:pPr>
        <w:pStyle w:val="EndNoteBibliography"/>
        <w:ind w:left="720" w:hanging="720"/>
      </w:pPr>
      <w:r w:rsidRPr="00476449">
        <w:rPr>
          <w:b/>
        </w:rPr>
        <w:t xml:space="preserve">Zuckerkandl, E. and Pauling, L. </w:t>
      </w:r>
      <w:r w:rsidRPr="00476449">
        <w:t xml:space="preserve">(1965). Molecules as documents of evolutionary history. </w:t>
      </w:r>
      <w:r w:rsidRPr="00476449">
        <w:rPr>
          <w:i/>
        </w:rPr>
        <w:t>J Theor Biol</w:t>
      </w:r>
      <w:r w:rsidRPr="00476449">
        <w:t xml:space="preserve"> </w:t>
      </w:r>
      <w:r w:rsidRPr="00476449">
        <w:rPr>
          <w:b/>
        </w:rPr>
        <w:t>8</w:t>
      </w:r>
      <w:r w:rsidRPr="00476449">
        <w:t>, 357-366.</w:t>
      </w:r>
    </w:p>
    <w:p w14:paraId="51E8CAEF" w14:textId="3696DE87" w:rsidR="00D535FE" w:rsidRPr="003A48AB" w:rsidRDefault="003A48AB" w:rsidP="003A48AB">
      <w:pPr>
        <w:spacing w:line="360" w:lineRule="auto"/>
        <w:rPr>
          <w:rFonts w:ascii="Arial" w:hAnsi="Arial" w:cs="Arial"/>
          <w:u w:val="single"/>
        </w:rPr>
      </w:pPr>
      <w:r>
        <w:rPr>
          <w:rFonts w:ascii="Arial" w:hAnsi="Arial" w:cs="Arial"/>
          <w:u w:val="single"/>
        </w:rPr>
        <w:fldChar w:fldCharType="end"/>
      </w:r>
    </w:p>
    <w:sectPr w:rsidR="00D535FE" w:rsidRPr="003A48AB" w:rsidSect="008653D0">
      <w:pgSz w:w="11906" w:h="16838"/>
      <w:pgMar w:top="1440" w:right="1440" w:bottom="1440" w:left="1440"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Andrew Fleming" w:date="2016-08-28T18:27:00Z" w:initials="AF">
    <w:p w14:paraId="14588E9C" w14:textId="77777777" w:rsidR="003104C5" w:rsidRDefault="003104C5" w:rsidP="00311AE8">
      <w:pPr>
        <w:pStyle w:val="CommentText"/>
      </w:pPr>
      <w:r>
        <w:rPr>
          <w:rStyle w:val="CommentReference"/>
        </w:rPr>
        <w:annotationRef/>
      </w:r>
      <w:r>
        <w:t>Can you try to generally simplify sentences? Make them as short and as direct as possible.j</w:t>
      </w:r>
    </w:p>
  </w:comment>
  <w:comment w:id="2" w:author="Andrew Fleming" w:date="2016-08-28T18:44:00Z" w:initials="AF">
    <w:p w14:paraId="2BEF6392" w14:textId="77777777" w:rsidR="003104C5" w:rsidRDefault="003104C5" w:rsidP="00D431D5">
      <w:pPr>
        <w:pStyle w:val="CommentText"/>
      </w:pPr>
      <w:r>
        <w:rPr>
          <w:rStyle w:val="CommentReference"/>
        </w:rPr>
        <w:annotationRef/>
      </w:r>
      <w:r>
        <w:t>Sentence doesn’t make sense</w:t>
      </w:r>
    </w:p>
  </w:comment>
  <w:comment w:id="3" w:author="Andrew Fleming" w:date="2016-08-28T18:52:00Z" w:initials="AF">
    <w:p w14:paraId="19CB95EF" w14:textId="77777777" w:rsidR="003104C5" w:rsidRDefault="003104C5" w:rsidP="00D431D5">
      <w:pPr>
        <w:pStyle w:val="CommentText"/>
      </w:pPr>
      <w:r>
        <w:rPr>
          <w:rStyle w:val="CommentReference"/>
        </w:rPr>
        <w:annotationRef/>
      </w:r>
      <w:r>
        <w:t>Again, these are Results, not Introduction</w:t>
      </w:r>
    </w:p>
  </w:comment>
  <w:comment w:id="4" w:author="Andrew Fleming" w:date="2016-08-28T18:53:00Z" w:initials="AF">
    <w:p w14:paraId="3243A6A6" w14:textId="77777777" w:rsidR="003104C5" w:rsidRDefault="003104C5" w:rsidP="00D431D5">
      <w:pPr>
        <w:pStyle w:val="CommentText"/>
      </w:pPr>
      <w:r>
        <w:rPr>
          <w:rStyle w:val="CommentReference"/>
        </w:rPr>
        <w:annotationRef/>
      </w:r>
      <w:r>
        <w:t>These are all Results</w:t>
      </w:r>
    </w:p>
  </w:comment>
  <w:comment w:id="5" w:author="Andrew Fleming" w:date="2016-08-28T18:55:00Z" w:initials="AF">
    <w:p w14:paraId="685D0A51" w14:textId="77777777" w:rsidR="003104C5" w:rsidRDefault="003104C5" w:rsidP="00D431D5">
      <w:pPr>
        <w:pStyle w:val="CommentText"/>
      </w:pPr>
      <w:r>
        <w:rPr>
          <w:rStyle w:val="CommentReference"/>
        </w:rPr>
        <w:annotationRef/>
      </w:r>
      <w:r>
        <w:t>Again, these are really Results</w:t>
      </w:r>
    </w:p>
  </w:comment>
  <w:comment w:id="6" w:author="David Beerling" w:date="2016-08-16T10:26:00Z" w:initials="DJB">
    <w:p w14:paraId="46E8E99C" w14:textId="77777777" w:rsidR="003104C5" w:rsidRDefault="003104C5" w:rsidP="00D431D5">
      <w:pPr>
        <w:pStyle w:val="CommentText"/>
      </w:pPr>
      <w:r>
        <w:rPr>
          <w:rStyle w:val="CommentReference"/>
        </w:rPr>
        <w:annotationRef/>
      </w:r>
      <w:r>
        <w:t>And also Mercid/Renzaglia papers on hornwort function</w:t>
      </w:r>
    </w:p>
  </w:comment>
  <w:comment w:id="7" w:author="Bobby" w:date="2016-03-17T15:28:00Z" w:initials="B">
    <w:p w14:paraId="7056E6DA" w14:textId="77777777" w:rsidR="003104C5" w:rsidRDefault="003104C5" w:rsidP="006C37DC">
      <w:pPr>
        <w:pStyle w:val="CommentText"/>
      </w:pPr>
      <w:r>
        <w:rPr>
          <w:rStyle w:val="CommentReference"/>
        </w:rPr>
        <w:annotationRef/>
      </w:r>
      <w:r>
        <w:t>Two other lines were interrupted at just the 5’ end and these also had a wild-type phenotype with lots of PpERECTA1 expression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4588E9C" w15:done="0"/>
  <w15:commentEx w15:paraId="2BEF6392" w15:done="0"/>
  <w15:commentEx w15:paraId="19CB95EF" w15:done="0"/>
  <w15:commentEx w15:paraId="3243A6A6" w15:done="0"/>
  <w15:commentEx w15:paraId="685D0A51" w15:done="0"/>
  <w15:commentEx w15:paraId="46E8E99C" w15:done="0"/>
  <w15:commentEx w15:paraId="7056E6DA"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2F51A6" w14:textId="77777777" w:rsidR="008B3466" w:rsidRDefault="008B3466">
      <w:pPr>
        <w:spacing w:after="0" w:line="240" w:lineRule="auto"/>
      </w:pPr>
      <w:r>
        <w:separator/>
      </w:r>
    </w:p>
  </w:endnote>
  <w:endnote w:type="continuationSeparator" w:id="0">
    <w:p w14:paraId="0786E377" w14:textId="77777777" w:rsidR="008B3466" w:rsidRDefault="008B34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Yu Mincho">
    <w:altName w:val="游明朝"/>
    <w:panose1 w:val="00000000000000000000"/>
    <w:charset w:val="80"/>
    <w:family w:val="roman"/>
    <w:notTrueType/>
    <w:pitch w:val="default"/>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Droid Sans Fallback">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8626704"/>
      <w:docPartObj>
        <w:docPartGallery w:val="Page Numbers (Bottom of Page)"/>
        <w:docPartUnique/>
      </w:docPartObj>
    </w:sdtPr>
    <w:sdtEndPr>
      <w:rPr>
        <w:noProof/>
      </w:rPr>
    </w:sdtEndPr>
    <w:sdtContent>
      <w:p w14:paraId="01827491" w14:textId="76D323F3" w:rsidR="003104C5" w:rsidRDefault="003104C5">
        <w:pPr>
          <w:pStyle w:val="Footer"/>
          <w:jc w:val="center"/>
        </w:pPr>
        <w:r>
          <w:fldChar w:fldCharType="begin"/>
        </w:r>
        <w:r>
          <w:instrText xml:space="preserve"> PAGE   \* MERGEFORMAT </w:instrText>
        </w:r>
        <w:r>
          <w:fldChar w:fldCharType="separate"/>
        </w:r>
        <w:r w:rsidR="007F2A2A">
          <w:rPr>
            <w:noProof/>
          </w:rPr>
          <w:t>vi</w:t>
        </w:r>
        <w:r>
          <w:rPr>
            <w:noProof/>
          </w:rPr>
          <w:fldChar w:fldCharType="end"/>
        </w:r>
      </w:p>
    </w:sdtContent>
  </w:sdt>
  <w:p w14:paraId="04BE9F45" w14:textId="77777777" w:rsidR="003104C5" w:rsidRDefault="003104C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9825062"/>
      <w:docPartObj>
        <w:docPartGallery w:val="Page Numbers (Bottom of Page)"/>
        <w:docPartUnique/>
      </w:docPartObj>
    </w:sdtPr>
    <w:sdtEndPr>
      <w:rPr>
        <w:noProof/>
      </w:rPr>
    </w:sdtEndPr>
    <w:sdtContent>
      <w:p w14:paraId="11E73D9C" w14:textId="2FF91BAD" w:rsidR="003104C5" w:rsidRDefault="003104C5">
        <w:pPr>
          <w:pStyle w:val="Footer"/>
          <w:jc w:val="center"/>
        </w:pPr>
        <w:r>
          <w:fldChar w:fldCharType="begin"/>
        </w:r>
        <w:r>
          <w:instrText xml:space="preserve"> PAGE   \* MERGEFORMAT </w:instrText>
        </w:r>
        <w:r>
          <w:fldChar w:fldCharType="separate"/>
        </w:r>
        <w:r w:rsidR="00D707F4">
          <w:rPr>
            <w:noProof/>
          </w:rPr>
          <w:t>2</w:t>
        </w:r>
        <w:r>
          <w:rPr>
            <w:noProof/>
          </w:rPr>
          <w:fldChar w:fldCharType="end"/>
        </w:r>
      </w:p>
    </w:sdtContent>
  </w:sdt>
  <w:p w14:paraId="6F333F8B" w14:textId="77777777" w:rsidR="003104C5" w:rsidRDefault="003104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20FD62" w14:textId="77777777" w:rsidR="008B3466" w:rsidRDefault="008B3466">
      <w:pPr>
        <w:spacing w:after="0" w:line="240" w:lineRule="auto"/>
      </w:pPr>
      <w:r>
        <w:separator/>
      </w:r>
    </w:p>
  </w:footnote>
  <w:footnote w:type="continuationSeparator" w:id="0">
    <w:p w14:paraId="5B211F57" w14:textId="77777777" w:rsidR="008B3466" w:rsidRDefault="008B34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08AACD86"/>
    <w:lvl w:ilvl="0">
      <w:start w:val="1"/>
      <w:numFmt w:val="bullet"/>
      <w:pStyle w:val="ListBullet1"/>
      <w:lvlText w:val=""/>
      <w:lvlJc w:val="left"/>
      <w:pPr>
        <w:tabs>
          <w:tab w:val="num" w:pos="360"/>
        </w:tabs>
        <w:ind w:left="360" w:hanging="360"/>
      </w:pPr>
      <w:rPr>
        <w:rFonts w:ascii="Symbol" w:hAnsi="Symbol" w:hint="default"/>
      </w:rPr>
    </w:lvl>
  </w:abstractNum>
  <w:abstractNum w:abstractNumId="1" w15:restartNumberingAfterBreak="0">
    <w:nsid w:val="00057029"/>
    <w:multiLevelType w:val="hybridMultilevel"/>
    <w:tmpl w:val="E16C75BE"/>
    <w:lvl w:ilvl="0" w:tplc="08090003">
      <w:start w:val="1"/>
      <w:numFmt w:val="bullet"/>
      <w:lvlText w:val="o"/>
      <w:lvlJc w:val="left"/>
      <w:pPr>
        <w:ind w:left="1800" w:hanging="360"/>
      </w:pPr>
      <w:rPr>
        <w:rFonts w:ascii="Courier New" w:hAnsi="Courier New" w:cs="Courier New" w:hint="default"/>
      </w:rPr>
    </w:lvl>
    <w:lvl w:ilvl="1" w:tplc="08090005">
      <w:start w:val="1"/>
      <w:numFmt w:val="bullet"/>
      <w:lvlText w:val=""/>
      <w:lvlJc w:val="left"/>
      <w:pPr>
        <w:ind w:left="2520" w:hanging="360"/>
      </w:pPr>
      <w:rPr>
        <w:rFonts w:ascii="Wingdings" w:hAnsi="Wingdings" w:hint="default"/>
      </w:rPr>
    </w:lvl>
    <w:lvl w:ilvl="2" w:tplc="08090001">
      <w:start w:val="1"/>
      <w:numFmt w:val="bullet"/>
      <w:lvlText w:val=""/>
      <w:lvlJc w:val="left"/>
      <w:pPr>
        <w:ind w:left="3240" w:hanging="360"/>
      </w:pPr>
      <w:rPr>
        <w:rFonts w:ascii="Symbol" w:hAnsi="Symbol" w:hint="default"/>
      </w:rPr>
    </w:lvl>
    <w:lvl w:ilvl="3" w:tplc="0809000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 w15:restartNumberingAfterBreak="0">
    <w:nsid w:val="09605E83"/>
    <w:multiLevelType w:val="multilevel"/>
    <w:tmpl w:val="22A8C948"/>
    <w:lvl w:ilvl="0">
      <w:start w:val="3"/>
      <w:numFmt w:val="decimal"/>
      <w:lvlText w:val="%1"/>
      <w:lvlJc w:val="left"/>
      <w:pPr>
        <w:ind w:left="360" w:hanging="360"/>
      </w:pPr>
      <w:rPr>
        <w:rFonts w:eastAsiaTheme="minorEastAsia" w:hint="default"/>
      </w:rPr>
    </w:lvl>
    <w:lvl w:ilvl="1">
      <w:start w:val="1"/>
      <w:numFmt w:val="decimal"/>
      <w:lvlText w:val="%1.%2"/>
      <w:lvlJc w:val="left"/>
      <w:pPr>
        <w:ind w:left="1353" w:hanging="360"/>
      </w:pPr>
      <w:rPr>
        <w:rFonts w:eastAsiaTheme="minorEastAsia" w:hint="default"/>
      </w:rPr>
    </w:lvl>
    <w:lvl w:ilvl="2">
      <w:start w:val="1"/>
      <w:numFmt w:val="decimal"/>
      <w:lvlText w:val="%1.%2.%3"/>
      <w:lvlJc w:val="left"/>
      <w:pPr>
        <w:ind w:left="2706" w:hanging="720"/>
      </w:pPr>
      <w:rPr>
        <w:rFonts w:eastAsiaTheme="minorEastAsia" w:hint="default"/>
      </w:rPr>
    </w:lvl>
    <w:lvl w:ilvl="3">
      <w:start w:val="1"/>
      <w:numFmt w:val="decimal"/>
      <w:lvlText w:val="%1.%2.%3.%4"/>
      <w:lvlJc w:val="left"/>
      <w:pPr>
        <w:ind w:left="3699" w:hanging="720"/>
      </w:pPr>
      <w:rPr>
        <w:rFonts w:eastAsiaTheme="minorEastAsia" w:hint="default"/>
      </w:rPr>
    </w:lvl>
    <w:lvl w:ilvl="4">
      <w:start w:val="1"/>
      <w:numFmt w:val="decimal"/>
      <w:lvlText w:val="%1.%2.%3.%4.%5"/>
      <w:lvlJc w:val="left"/>
      <w:pPr>
        <w:ind w:left="5052" w:hanging="1080"/>
      </w:pPr>
      <w:rPr>
        <w:rFonts w:eastAsiaTheme="minorEastAsia" w:hint="default"/>
      </w:rPr>
    </w:lvl>
    <w:lvl w:ilvl="5">
      <w:start w:val="1"/>
      <w:numFmt w:val="decimal"/>
      <w:lvlText w:val="%1.%2.%3.%4.%5.%6"/>
      <w:lvlJc w:val="left"/>
      <w:pPr>
        <w:ind w:left="6045" w:hanging="1080"/>
      </w:pPr>
      <w:rPr>
        <w:rFonts w:eastAsiaTheme="minorEastAsia" w:hint="default"/>
      </w:rPr>
    </w:lvl>
    <w:lvl w:ilvl="6">
      <w:start w:val="1"/>
      <w:numFmt w:val="decimal"/>
      <w:lvlText w:val="%1.%2.%3.%4.%5.%6.%7"/>
      <w:lvlJc w:val="left"/>
      <w:pPr>
        <w:ind w:left="7398" w:hanging="1440"/>
      </w:pPr>
      <w:rPr>
        <w:rFonts w:eastAsiaTheme="minorEastAsia" w:hint="default"/>
      </w:rPr>
    </w:lvl>
    <w:lvl w:ilvl="7">
      <w:start w:val="1"/>
      <w:numFmt w:val="decimal"/>
      <w:lvlText w:val="%1.%2.%3.%4.%5.%6.%7.%8"/>
      <w:lvlJc w:val="left"/>
      <w:pPr>
        <w:ind w:left="8391" w:hanging="1440"/>
      </w:pPr>
      <w:rPr>
        <w:rFonts w:eastAsiaTheme="minorEastAsia" w:hint="default"/>
      </w:rPr>
    </w:lvl>
    <w:lvl w:ilvl="8">
      <w:start w:val="1"/>
      <w:numFmt w:val="decimal"/>
      <w:lvlText w:val="%1.%2.%3.%4.%5.%6.%7.%8.%9"/>
      <w:lvlJc w:val="left"/>
      <w:pPr>
        <w:ind w:left="9744" w:hanging="1800"/>
      </w:pPr>
      <w:rPr>
        <w:rFonts w:eastAsiaTheme="minorEastAsia" w:hint="default"/>
      </w:rPr>
    </w:lvl>
  </w:abstractNum>
  <w:abstractNum w:abstractNumId="3" w15:restartNumberingAfterBreak="0">
    <w:nsid w:val="0B1A04F3"/>
    <w:multiLevelType w:val="multilevel"/>
    <w:tmpl w:val="16C61E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0F23EAF"/>
    <w:multiLevelType w:val="multilevel"/>
    <w:tmpl w:val="684462F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b w:val="0"/>
      </w:rPr>
    </w:lvl>
    <w:lvl w:ilvl="2">
      <w:start w:val="1"/>
      <w:numFmt w:val="decimal"/>
      <w:lvlText w:val="%1.%2.%3"/>
      <w:lvlJc w:val="left"/>
      <w:pPr>
        <w:ind w:left="1440" w:hanging="720"/>
      </w:pPr>
      <w:rPr>
        <w:rFonts w:hint="default"/>
        <w:b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13F02431"/>
    <w:multiLevelType w:val="hybridMultilevel"/>
    <w:tmpl w:val="1C88E25C"/>
    <w:lvl w:ilvl="0" w:tplc="2018AB66">
      <w:start w:val="15"/>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B16106"/>
    <w:multiLevelType w:val="multilevel"/>
    <w:tmpl w:val="684462F4"/>
    <w:lvl w:ilvl="0">
      <w:start w:val="4"/>
      <w:numFmt w:val="decimal"/>
      <w:lvlText w:val="%1"/>
      <w:lvlJc w:val="left"/>
      <w:pPr>
        <w:ind w:left="360" w:hanging="360"/>
      </w:pPr>
      <w:rPr>
        <w:rFonts w:hint="default"/>
      </w:rPr>
    </w:lvl>
    <w:lvl w:ilvl="1">
      <w:start w:val="1"/>
      <w:numFmt w:val="decimal"/>
      <w:lvlText w:val="%1.%2"/>
      <w:lvlJc w:val="left"/>
      <w:pPr>
        <w:ind w:left="1069" w:hanging="360"/>
      </w:pPr>
      <w:rPr>
        <w:rFonts w:hint="default"/>
        <w:b w:val="0"/>
      </w:rPr>
    </w:lvl>
    <w:lvl w:ilvl="2">
      <w:start w:val="1"/>
      <w:numFmt w:val="decimal"/>
      <w:lvlText w:val="%1.%2.%3"/>
      <w:lvlJc w:val="left"/>
      <w:pPr>
        <w:ind w:left="1440" w:hanging="720"/>
      </w:pPr>
      <w:rPr>
        <w:rFonts w:hint="default"/>
        <w:b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1F401CB2"/>
    <w:multiLevelType w:val="multilevel"/>
    <w:tmpl w:val="12245DE4"/>
    <w:lvl w:ilvl="0">
      <w:start w:val="1"/>
      <w:numFmt w:val="decimal"/>
      <w:lvlText w:val="%1"/>
      <w:lvlJc w:val="left"/>
      <w:pPr>
        <w:ind w:left="360" w:hanging="360"/>
      </w:pPr>
      <w:rPr>
        <w:rFonts w:eastAsia="Yu Mincho" w:hint="default"/>
        <w:b w:val="0"/>
        <w:color w:val="auto"/>
      </w:rPr>
    </w:lvl>
    <w:lvl w:ilvl="1">
      <w:start w:val="5"/>
      <w:numFmt w:val="decimal"/>
      <w:lvlText w:val="%1.%2"/>
      <w:lvlJc w:val="left"/>
      <w:pPr>
        <w:ind w:left="720" w:hanging="360"/>
      </w:pPr>
      <w:rPr>
        <w:rFonts w:eastAsia="Yu Mincho" w:hint="default"/>
        <w:b w:val="0"/>
        <w:color w:val="auto"/>
      </w:rPr>
    </w:lvl>
    <w:lvl w:ilvl="2">
      <w:start w:val="1"/>
      <w:numFmt w:val="decimal"/>
      <w:lvlText w:val="%1.%2.%3"/>
      <w:lvlJc w:val="left"/>
      <w:pPr>
        <w:ind w:left="1440" w:hanging="720"/>
      </w:pPr>
      <w:rPr>
        <w:rFonts w:eastAsia="Yu Mincho" w:hint="default"/>
        <w:b w:val="0"/>
        <w:color w:val="auto"/>
      </w:rPr>
    </w:lvl>
    <w:lvl w:ilvl="3">
      <w:start w:val="1"/>
      <w:numFmt w:val="decimal"/>
      <w:lvlText w:val="%1.%2.%3.%4"/>
      <w:lvlJc w:val="left"/>
      <w:pPr>
        <w:ind w:left="1800" w:hanging="720"/>
      </w:pPr>
      <w:rPr>
        <w:rFonts w:eastAsia="Yu Mincho" w:hint="default"/>
        <w:b w:val="0"/>
        <w:color w:val="auto"/>
      </w:rPr>
    </w:lvl>
    <w:lvl w:ilvl="4">
      <w:start w:val="1"/>
      <w:numFmt w:val="decimal"/>
      <w:lvlText w:val="%1.%2.%3.%4.%5"/>
      <w:lvlJc w:val="left"/>
      <w:pPr>
        <w:ind w:left="2520" w:hanging="1080"/>
      </w:pPr>
      <w:rPr>
        <w:rFonts w:eastAsia="Yu Mincho" w:hint="default"/>
        <w:b w:val="0"/>
        <w:color w:val="auto"/>
      </w:rPr>
    </w:lvl>
    <w:lvl w:ilvl="5">
      <w:start w:val="1"/>
      <w:numFmt w:val="decimal"/>
      <w:lvlText w:val="%1.%2.%3.%4.%5.%6"/>
      <w:lvlJc w:val="left"/>
      <w:pPr>
        <w:ind w:left="2880" w:hanging="1080"/>
      </w:pPr>
      <w:rPr>
        <w:rFonts w:eastAsia="Yu Mincho" w:hint="default"/>
        <w:b w:val="0"/>
        <w:color w:val="auto"/>
      </w:rPr>
    </w:lvl>
    <w:lvl w:ilvl="6">
      <w:start w:val="1"/>
      <w:numFmt w:val="decimal"/>
      <w:lvlText w:val="%1.%2.%3.%4.%5.%6.%7"/>
      <w:lvlJc w:val="left"/>
      <w:pPr>
        <w:ind w:left="3600" w:hanging="1440"/>
      </w:pPr>
      <w:rPr>
        <w:rFonts w:eastAsia="Yu Mincho" w:hint="default"/>
        <w:b w:val="0"/>
        <w:color w:val="auto"/>
      </w:rPr>
    </w:lvl>
    <w:lvl w:ilvl="7">
      <w:start w:val="1"/>
      <w:numFmt w:val="decimal"/>
      <w:lvlText w:val="%1.%2.%3.%4.%5.%6.%7.%8"/>
      <w:lvlJc w:val="left"/>
      <w:pPr>
        <w:ind w:left="3960" w:hanging="1440"/>
      </w:pPr>
      <w:rPr>
        <w:rFonts w:eastAsia="Yu Mincho" w:hint="default"/>
        <w:b w:val="0"/>
        <w:color w:val="auto"/>
      </w:rPr>
    </w:lvl>
    <w:lvl w:ilvl="8">
      <w:start w:val="1"/>
      <w:numFmt w:val="decimal"/>
      <w:lvlText w:val="%1.%2.%3.%4.%5.%6.%7.%8.%9"/>
      <w:lvlJc w:val="left"/>
      <w:pPr>
        <w:ind w:left="4680" w:hanging="1800"/>
      </w:pPr>
      <w:rPr>
        <w:rFonts w:eastAsia="Yu Mincho" w:hint="default"/>
        <w:b w:val="0"/>
        <w:color w:val="auto"/>
      </w:rPr>
    </w:lvl>
  </w:abstractNum>
  <w:abstractNum w:abstractNumId="8" w15:restartNumberingAfterBreak="0">
    <w:nsid w:val="200F06D6"/>
    <w:multiLevelType w:val="multilevel"/>
    <w:tmpl w:val="07D82B4E"/>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20D00B00"/>
    <w:multiLevelType w:val="hybridMultilevel"/>
    <w:tmpl w:val="FD1A5448"/>
    <w:lvl w:ilvl="0" w:tplc="184094C6">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10" w15:restartNumberingAfterBreak="0">
    <w:nsid w:val="235E0C36"/>
    <w:multiLevelType w:val="multilevel"/>
    <w:tmpl w:val="684462F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b w:val="0"/>
      </w:rPr>
    </w:lvl>
    <w:lvl w:ilvl="2">
      <w:start w:val="1"/>
      <w:numFmt w:val="decimal"/>
      <w:lvlText w:val="%1.%2.%3"/>
      <w:lvlJc w:val="left"/>
      <w:pPr>
        <w:ind w:left="1440" w:hanging="720"/>
      </w:pPr>
      <w:rPr>
        <w:rFonts w:hint="default"/>
        <w:b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2423019A"/>
    <w:multiLevelType w:val="hybridMultilevel"/>
    <w:tmpl w:val="64988CAA"/>
    <w:lvl w:ilvl="0" w:tplc="E9841C34">
      <w:numFmt w:val="bullet"/>
      <w:lvlText w:val="-"/>
      <w:lvlJc w:val="left"/>
      <w:pPr>
        <w:ind w:left="1080" w:hanging="360"/>
      </w:pPr>
      <w:rPr>
        <w:rFonts w:ascii="Calibri" w:eastAsiaTheme="minorEastAsia" w:hAnsi="Calibri" w:cs="Calibri" w:hint="default"/>
        <w:i/>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25B53B9E"/>
    <w:multiLevelType w:val="hybridMultilevel"/>
    <w:tmpl w:val="A6F0E156"/>
    <w:lvl w:ilvl="0" w:tplc="08090003">
      <w:start w:val="1"/>
      <w:numFmt w:val="bullet"/>
      <w:lvlText w:val="o"/>
      <w:lvlJc w:val="left"/>
      <w:pPr>
        <w:ind w:left="1800" w:hanging="360"/>
      </w:pPr>
      <w:rPr>
        <w:rFonts w:ascii="Courier New" w:hAnsi="Courier New" w:cs="Courier New" w:hint="default"/>
      </w:rPr>
    </w:lvl>
    <w:lvl w:ilvl="1" w:tplc="08090001">
      <w:start w:val="1"/>
      <w:numFmt w:val="bullet"/>
      <w:lvlText w:val=""/>
      <w:lvlJc w:val="left"/>
      <w:pPr>
        <w:ind w:left="2520" w:hanging="360"/>
      </w:pPr>
      <w:rPr>
        <w:rFonts w:ascii="Symbol" w:hAnsi="Symbol" w:hint="default"/>
      </w:rPr>
    </w:lvl>
    <w:lvl w:ilvl="2" w:tplc="08090005" w:tentative="1">
      <w:start w:val="1"/>
      <w:numFmt w:val="bullet"/>
      <w:lvlText w:val=""/>
      <w:lvlJc w:val="left"/>
      <w:pPr>
        <w:ind w:left="3240" w:hanging="360"/>
      </w:pPr>
      <w:rPr>
        <w:rFonts w:ascii="Wingdings" w:hAnsi="Wingdings" w:hint="default"/>
      </w:rPr>
    </w:lvl>
    <w:lvl w:ilvl="3" w:tplc="0809000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3" w15:restartNumberingAfterBreak="0">
    <w:nsid w:val="2C945957"/>
    <w:multiLevelType w:val="hybridMultilevel"/>
    <w:tmpl w:val="8774D62A"/>
    <w:lvl w:ilvl="0" w:tplc="08090003">
      <w:start w:val="1"/>
      <w:numFmt w:val="bullet"/>
      <w:lvlText w:val="o"/>
      <w:lvlJc w:val="left"/>
      <w:pPr>
        <w:ind w:left="2160" w:hanging="360"/>
      </w:pPr>
      <w:rPr>
        <w:rFonts w:ascii="Courier New" w:hAnsi="Courier New" w:cs="Courier New"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4" w15:restartNumberingAfterBreak="0">
    <w:nsid w:val="2DF72511"/>
    <w:multiLevelType w:val="hybridMultilevel"/>
    <w:tmpl w:val="EEAA78E0"/>
    <w:lvl w:ilvl="0" w:tplc="9A34356A">
      <w:start w:val="1"/>
      <w:numFmt w:val="lowerLetter"/>
      <w:lvlText w:val="(%1)"/>
      <w:lvlJc w:val="left"/>
      <w:pPr>
        <w:ind w:left="720" w:hanging="360"/>
      </w:pPr>
      <w:rPr>
        <w:rFonts w:ascii="Arial" w:hAnsi="Arial" w:cs="Arial" w:hint="default"/>
        <w:b/>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ADD72B4"/>
    <w:multiLevelType w:val="multilevel"/>
    <w:tmpl w:val="7D84BE62"/>
    <w:lvl w:ilvl="0">
      <w:start w:val="2"/>
      <w:numFmt w:val="decimal"/>
      <w:lvlText w:val="%1"/>
      <w:lvlJc w:val="left"/>
      <w:pPr>
        <w:ind w:left="360" w:hanging="360"/>
      </w:pPr>
      <w:rPr>
        <w:rFonts w:hint="default"/>
        <w:b w:val="0"/>
      </w:rPr>
    </w:lvl>
    <w:lvl w:ilvl="1">
      <w:start w:val="1"/>
      <w:numFmt w:val="decimal"/>
      <w:lvlText w:val="%1.%2"/>
      <w:lvlJc w:val="left"/>
      <w:pPr>
        <w:ind w:left="720" w:hanging="360"/>
      </w:pPr>
      <w:rPr>
        <w:rFonts w:hint="default"/>
        <w:b w:val="0"/>
      </w:rPr>
    </w:lvl>
    <w:lvl w:ilvl="2">
      <w:start w:val="1"/>
      <w:numFmt w:val="decimal"/>
      <w:lvlText w:val="%1.%2.%3"/>
      <w:lvlJc w:val="left"/>
      <w:pPr>
        <w:ind w:left="1440" w:hanging="720"/>
      </w:pPr>
      <w:rPr>
        <w:rFonts w:hint="default"/>
        <w:b w:val="0"/>
      </w:rPr>
    </w:lvl>
    <w:lvl w:ilvl="3">
      <w:start w:val="1"/>
      <w:numFmt w:val="decimal"/>
      <w:lvlText w:val="%1.%2.%3.%4"/>
      <w:lvlJc w:val="left"/>
      <w:pPr>
        <w:ind w:left="1800" w:hanging="72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2880" w:hanging="108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3960" w:hanging="1440"/>
      </w:pPr>
      <w:rPr>
        <w:rFonts w:hint="default"/>
        <w:b w:val="0"/>
      </w:rPr>
    </w:lvl>
    <w:lvl w:ilvl="8">
      <w:start w:val="1"/>
      <w:numFmt w:val="decimal"/>
      <w:lvlText w:val="%1.%2.%3.%4.%5.%6.%7.%8.%9"/>
      <w:lvlJc w:val="left"/>
      <w:pPr>
        <w:ind w:left="4680" w:hanging="1800"/>
      </w:pPr>
      <w:rPr>
        <w:rFonts w:hint="default"/>
        <w:b w:val="0"/>
      </w:rPr>
    </w:lvl>
  </w:abstractNum>
  <w:abstractNum w:abstractNumId="16" w15:restartNumberingAfterBreak="0">
    <w:nsid w:val="40302E6B"/>
    <w:multiLevelType w:val="multilevel"/>
    <w:tmpl w:val="F68E3AF4"/>
    <w:lvl w:ilvl="0">
      <w:start w:val="1"/>
      <w:numFmt w:val="decimal"/>
      <w:lvlText w:val="%1"/>
      <w:lvlJc w:val="left"/>
      <w:pPr>
        <w:ind w:left="360" w:hanging="360"/>
      </w:pPr>
      <w:rPr>
        <w:rFonts w:eastAsiaTheme="minorEastAsia" w:hint="default"/>
        <w:b w:val="0"/>
        <w:color w:val="auto"/>
      </w:rPr>
    </w:lvl>
    <w:lvl w:ilvl="1">
      <w:start w:val="5"/>
      <w:numFmt w:val="decimal"/>
      <w:lvlText w:val="%1.%2"/>
      <w:lvlJc w:val="left"/>
      <w:pPr>
        <w:ind w:left="360" w:hanging="360"/>
      </w:pPr>
      <w:rPr>
        <w:rFonts w:eastAsiaTheme="minorEastAsia" w:hint="default"/>
        <w:b w:val="0"/>
        <w:color w:val="auto"/>
      </w:rPr>
    </w:lvl>
    <w:lvl w:ilvl="2">
      <w:start w:val="1"/>
      <w:numFmt w:val="decimal"/>
      <w:lvlText w:val="%1.%2.%3"/>
      <w:lvlJc w:val="left"/>
      <w:pPr>
        <w:ind w:left="720" w:hanging="720"/>
      </w:pPr>
      <w:rPr>
        <w:rFonts w:eastAsiaTheme="minorEastAsia" w:hint="default"/>
        <w:b w:val="0"/>
        <w:color w:val="auto"/>
      </w:rPr>
    </w:lvl>
    <w:lvl w:ilvl="3">
      <w:start w:val="1"/>
      <w:numFmt w:val="decimal"/>
      <w:lvlText w:val="%1.%2.%3.%4"/>
      <w:lvlJc w:val="left"/>
      <w:pPr>
        <w:ind w:left="720" w:hanging="720"/>
      </w:pPr>
      <w:rPr>
        <w:rFonts w:eastAsiaTheme="minorEastAsia" w:hint="default"/>
        <w:b w:val="0"/>
        <w:color w:val="auto"/>
      </w:rPr>
    </w:lvl>
    <w:lvl w:ilvl="4">
      <w:start w:val="1"/>
      <w:numFmt w:val="decimal"/>
      <w:lvlText w:val="%1.%2.%3.%4.%5"/>
      <w:lvlJc w:val="left"/>
      <w:pPr>
        <w:ind w:left="1080" w:hanging="1080"/>
      </w:pPr>
      <w:rPr>
        <w:rFonts w:eastAsiaTheme="minorEastAsia" w:hint="default"/>
        <w:b w:val="0"/>
        <w:color w:val="auto"/>
      </w:rPr>
    </w:lvl>
    <w:lvl w:ilvl="5">
      <w:start w:val="1"/>
      <w:numFmt w:val="decimal"/>
      <w:lvlText w:val="%1.%2.%3.%4.%5.%6"/>
      <w:lvlJc w:val="left"/>
      <w:pPr>
        <w:ind w:left="1080" w:hanging="1080"/>
      </w:pPr>
      <w:rPr>
        <w:rFonts w:eastAsiaTheme="minorEastAsia" w:hint="default"/>
        <w:b w:val="0"/>
        <w:color w:val="auto"/>
      </w:rPr>
    </w:lvl>
    <w:lvl w:ilvl="6">
      <w:start w:val="1"/>
      <w:numFmt w:val="decimal"/>
      <w:lvlText w:val="%1.%2.%3.%4.%5.%6.%7"/>
      <w:lvlJc w:val="left"/>
      <w:pPr>
        <w:ind w:left="1440" w:hanging="1440"/>
      </w:pPr>
      <w:rPr>
        <w:rFonts w:eastAsiaTheme="minorEastAsia" w:hint="default"/>
        <w:b w:val="0"/>
        <w:color w:val="auto"/>
      </w:rPr>
    </w:lvl>
    <w:lvl w:ilvl="7">
      <w:start w:val="1"/>
      <w:numFmt w:val="decimal"/>
      <w:lvlText w:val="%1.%2.%3.%4.%5.%6.%7.%8"/>
      <w:lvlJc w:val="left"/>
      <w:pPr>
        <w:ind w:left="1440" w:hanging="1440"/>
      </w:pPr>
      <w:rPr>
        <w:rFonts w:eastAsiaTheme="minorEastAsia" w:hint="default"/>
        <w:b w:val="0"/>
        <w:color w:val="auto"/>
      </w:rPr>
    </w:lvl>
    <w:lvl w:ilvl="8">
      <w:start w:val="1"/>
      <w:numFmt w:val="decimal"/>
      <w:lvlText w:val="%1.%2.%3.%4.%5.%6.%7.%8.%9"/>
      <w:lvlJc w:val="left"/>
      <w:pPr>
        <w:ind w:left="1800" w:hanging="1800"/>
      </w:pPr>
      <w:rPr>
        <w:rFonts w:eastAsiaTheme="minorEastAsia" w:hint="default"/>
        <w:b w:val="0"/>
        <w:color w:val="auto"/>
      </w:rPr>
    </w:lvl>
  </w:abstractNum>
  <w:abstractNum w:abstractNumId="17" w15:restartNumberingAfterBreak="0">
    <w:nsid w:val="410F1876"/>
    <w:multiLevelType w:val="multilevel"/>
    <w:tmpl w:val="F8465600"/>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49F32AB0"/>
    <w:multiLevelType w:val="hybridMultilevel"/>
    <w:tmpl w:val="484E6F10"/>
    <w:lvl w:ilvl="0" w:tplc="0E38CA7A">
      <w:start w:val="21"/>
      <w:numFmt w:val="decimal"/>
      <w:lvlText w:val="%1."/>
      <w:lvlJc w:val="left"/>
      <w:pPr>
        <w:ind w:left="720" w:hanging="360"/>
      </w:pPr>
      <w:rPr>
        <w:rFonts w:hint="default"/>
        <w:b w:val="0"/>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E9F633D"/>
    <w:multiLevelType w:val="hybridMultilevel"/>
    <w:tmpl w:val="CC709308"/>
    <w:lvl w:ilvl="0" w:tplc="3C9A32BC">
      <w:start w:val="1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2F6725B"/>
    <w:multiLevelType w:val="multilevel"/>
    <w:tmpl w:val="16C61E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54337A6F"/>
    <w:multiLevelType w:val="multilevel"/>
    <w:tmpl w:val="AC82ABA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54D66D25"/>
    <w:multiLevelType w:val="multilevel"/>
    <w:tmpl w:val="6B842F8C"/>
    <w:lvl w:ilvl="0">
      <w:start w:val="3"/>
      <w:numFmt w:val="decimal"/>
      <w:lvlText w:val="%1"/>
      <w:lvlJc w:val="left"/>
      <w:pPr>
        <w:ind w:left="360" w:hanging="360"/>
      </w:pPr>
      <w:rPr>
        <w:rFonts w:hint="default"/>
        <w:b w:val="0"/>
        <w:i/>
      </w:rPr>
    </w:lvl>
    <w:lvl w:ilvl="1">
      <w:start w:val="1"/>
      <w:numFmt w:val="decimal"/>
      <w:lvlText w:val="%1.%2"/>
      <w:lvlJc w:val="left"/>
      <w:pPr>
        <w:ind w:left="720" w:hanging="360"/>
      </w:pPr>
      <w:rPr>
        <w:rFonts w:hint="default"/>
        <w:b w:val="0"/>
        <w:i w:val="0"/>
      </w:rPr>
    </w:lvl>
    <w:lvl w:ilvl="2">
      <w:start w:val="1"/>
      <w:numFmt w:val="decimal"/>
      <w:lvlText w:val="%1.%2.%3"/>
      <w:lvlJc w:val="left"/>
      <w:pPr>
        <w:ind w:left="1440" w:hanging="720"/>
      </w:pPr>
      <w:rPr>
        <w:rFonts w:hint="default"/>
        <w:b w:val="0"/>
        <w:i/>
      </w:rPr>
    </w:lvl>
    <w:lvl w:ilvl="3">
      <w:start w:val="1"/>
      <w:numFmt w:val="decimal"/>
      <w:lvlText w:val="%1.%2.%3.%4"/>
      <w:lvlJc w:val="left"/>
      <w:pPr>
        <w:ind w:left="1800" w:hanging="720"/>
      </w:pPr>
      <w:rPr>
        <w:rFonts w:hint="default"/>
        <w:b w:val="0"/>
        <w:i/>
      </w:rPr>
    </w:lvl>
    <w:lvl w:ilvl="4">
      <w:start w:val="1"/>
      <w:numFmt w:val="decimal"/>
      <w:lvlText w:val="%1.%2.%3.%4.%5"/>
      <w:lvlJc w:val="left"/>
      <w:pPr>
        <w:ind w:left="2520" w:hanging="1080"/>
      </w:pPr>
      <w:rPr>
        <w:rFonts w:hint="default"/>
        <w:b w:val="0"/>
        <w:i/>
      </w:rPr>
    </w:lvl>
    <w:lvl w:ilvl="5">
      <w:start w:val="1"/>
      <w:numFmt w:val="decimal"/>
      <w:lvlText w:val="%1.%2.%3.%4.%5.%6"/>
      <w:lvlJc w:val="left"/>
      <w:pPr>
        <w:ind w:left="2880" w:hanging="1080"/>
      </w:pPr>
      <w:rPr>
        <w:rFonts w:hint="default"/>
        <w:b w:val="0"/>
        <w:i/>
      </w:rPr>
    </w:lvl>
    <w:lvl w:ilvl="6">
      <w:start w:val="1"/>
      <w:numFmt w:val="decimal"/>
      <w:lvlText w:val="%1.%2.%3.%4.%5.%6.%7"/>
      <w:lvlJc w:val="left"/>
      <w:pPr>
        <w:ind w:left="3600" w:hanging="1440"/>
      </w:pPr>
      <w:rPr>
        <w:rFonts w:hint="default"/>
        <w:b w:val="0"/>
        <w:i/>
      </w:rPr>
    </w:lvl>
    <w:lvl w:ilvl="7">
      <w:start w:val="1"/>
      <w:numFmt w:val="decimal"/>
      <w:lvlText w:val="%1.%2.%3.%4.%5.%6.%7.%8"/>
      <w:lvlJc w:val="left"/>
      <w:pPr>
        <w:ind w:left="3960" w:hanging="1440"/>
      </w:pPr>
      <w:rPr>
        <w:rFonts w:hint="default"/>
        <w:b w:val="0"/>
        <w:i/>
      </w:rPr>
    </w:lvl>
    <w:lvl w:ilvl="8">
      <w:start w:val="1"/>
      <w:numFmt w:val="decimal"/>
      <w:lvlText w:val="%1.%2.%3.%4.%5.%6.%7.%8.%9"/>
      <w:lvlJc w:val="left"/>
      <w:pPr>
        <w:ind w:left="4680" w:hanging="1800"/>
      </w:pPr>
      <w:rPr>
        <w:rFonts w:hint="default"/>
        <w:b w:val="0"/>
        <w:i/>
      </w:rPr>
    </w:lvl>
  </w:abstractNum>
  <w:abstractNum w:abstractNumId="23" w15:restartNumberingAfterBreak="0">
    <w:nsid w:val="593928CD"/>
    <w:multiLevelType w:val="multilevel"/>
    <w:tmpl w:val="DD32891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B6738DD"/>
    <w:multiLevelType w:val="multilevel"/>
    <w:tmpl w:val="16C61E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D9E36A2"/>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E897129"/>
    <w:multiLevelType w:val="multilevel"/>
    <w:tmpl w:val="7D84BE62"/>
    <w:lvl w:ilvl="0">
      <w:start w:val="2"/>
      <w:numFmt w:val="decimal"/>
      <w:lvlText w:val="%1"/>
      <w:lvlJc w:val="left"/>
      <w:pPr>
        <w:ind w:left="360" w:hanging="360"/>
      </w:pPr>
      <w:rPr>
        <w:rFonts w:hint="default"/>
        <w:b w:val="0"/>
      </w:rPr>
    </w:lvl>
    <w:lvl w:ilvl="1">
      <w:start w:val="1"/>
      <w:numFmt w:val="decimal"/>
      <w:lvlText w:val="%1.%2"/>
      <w:lvlJc w:val="left"/>
      <w:pPr>
        <w:ind w:left="720" w:hanging="360"/>
      </w:pPr>
      <w:rPr>
        <w:rFonts w:hint="default"/>
        <w:b w:val="0"/>
      </w:rPr>
    </w:lvl>
    <w:lvl w:ilvl="2">
      <w:start w:val="1"/>
      <w:numFmt w:val="decimal"/>
      <w:lvlText w:val="%1.%2.%3"/>
      <w:lvlJc w:val="left"/>
      <w:pPr>
        <w:ind w:left="1440" w:hanging="720"/>
      </w:pPr>
      <w:rPr>
        <w:rFonts w:hint="default"/>
        <w:b w:val="0"/>
      </w:rPr>
    </w:lvl>
    <w:lvl w:ilvl="3">
      <w:start w:val="1"/>
      <w:numFmt w:val="decimal"/>
      <w:lvlText w:val="%1.%2.%3.%4"/>
      <w:lvlJc w:val="left"/>
      <w:pPr>
        <w:ind w:left="1800" w:hanging="72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2880" w:hanging="108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3960" w:hanging="1440"/>
      </w:pPr>
      <w:rPr>
        <w:rFonts w:hint="default"/>
        <w:b w:val="0"/>
      </w:rPr>
    </w:lvl>
    <w:lvl w:ilvl="8">
      <w:start w:val="1"/>
      <w:numFmt w:val="decimal"/>
      <w:lvlText w:val="%1.%2.%3.%4.%5.%6.%7.%8.%9"/>
      <w:lvlJc w:val="left"/>
      <w:pPr>
        <w:ind w:left="4680" w:hanging="1800"/>
      </w:pPr>
      <w:rPr>
        <w:rFonts w:hint="default"/>
        <w:b w:val="0"/>
      </w:rPr>
    </w:lvl>
  </w:abstractNum>
  <w:abstractNum w:abstractNumId="27" w15:restartNumberingAfterBreak="0">
    <w:nsid w:val="663961A1"/>
    <w:multiLevelType w:val="multilevel"/>
    <w:tmpl w:val="3986148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670F0842"/>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98B42E3"/>
    <w:multiLevelType w:val="multilevel"/>
    <w:tmpl w:val="F8465600"/>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6BC65F4F"/>
    <w:multiLevelType w:val="multilevel"/>
    <w:tmpl w:val="F2880B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71B57D5F"/>
    <w:multiLevelType w:val="multilevel"/>
    <w:tmpl w:val="F0A82548"/>
    <w:lvl w:ilvl="0">
      <w:start w:val="1"/>
      <w:numFmt w:val="decimal"/>
      <w:lvlText w:val="%1"/>
      <w:lvlJc w:val="left"/>
      <w:pPr>
        <w:ind w:left="360" w:hanging="360"/>
      </w:pPr>
      <w:rPr>
        <w:rFonts w:eastAsiaTheme="minorEastAsia" w:hint="default"/>
        <w:b w:val="0"/>
        <w:color w:val="auto"/>
      </w:rPr>
    </w:lvl>
    <w:lvl w:ilvl="1">
      <w:start w:val="5"/>
      <w:numFmt w:val="decimal"/>
      <w:lvlText w:val="%1.%2"/>
      <w:lvlJc w:val="left"/>
      <w:pPr>
        <w:ind w:left="1211" w:hanging="360"/>
      </w:pPr>
      <w:rPr>
        <w:rFonts w:eastAsiaTheme="minorEastAsia" w:hint="default"/>
        <w:b w:val="0"/>
        <w:color w:val="auto"/>
      </w:rPr>
    </w:lvl>
    <w:lvl w:ilvl="2">
      <w:start w:val="1"/>
      <w:numFmt w:val="decimal"/>
      <w:lvlText w:val="%1.%2.%3"/>
      <w:lvlJc w:val="left"/>
      <w:pPr>
        <w:ind w:left="2160" w:hanging="720"/>
      </w:pPr>
      <w:rPr>
        <w:rFonts w:eastAsiaTheme="minorEastAsia" w:hint="default"/>
        <w:b w:val="0"/>
        <w:color w:val="auto"/>
      </w:rPr>
    </w:lvl>
    <w:lvl w:ilvl="3">
      <w:start w:val="1"/>
      <w:numFmt w:val="decimal"/>
      <w:lvlText w:val="%1.%2.%3.%4"/>
      <w:lvlJc w:val="left"/>
      <w:pPr>
        <w:ind w:left="2880" w:hanging="720"/>
      </w:pPr>
      <w:rPr>
        <w:rFonts w:eastAsiaTheme="minorEastAsia" w:hint="default"/>
        <w:b w:val="0"/>
        <w:color w:val="auto"/>
      </w:rPr>
    </w:lvl>
    <w:lvl w:ilvl="4">
      <w:start w:val="1"/>
      <w:numFmt w:val="decimal"/>
      <w:lvlText w:val="%1.%2.%3.%4.%5"/>
      <w:lvlJc w:val="left"/>
      <w:pPr>
        <w:ind w:left="3960" w:hanging="1080"/>
      </w:pPr>
      <w:rPr>
        <w:rFonts w:eastAsiaTheme="minorEastAsia" w:hint="default"/>
        <w:b w:val="0"/>
        <w:color w:val="auto"/>
      </w:rPr>
    </w:lvl>
    <w:lvl w:ilvl="5">
      <w:start w:val="1"/>
      <w:numFmt w:val="decimal"/>
      <w:lvlText w:val="%1.%2.%3.%4.%5.%6"/>
      <w:lvlJc w:val="left"/>
      <w:pPr>
        <w:ind w:left="4680" w:hanging="1080"/>
      </w:pPr>
      <w:rPr>
        <w:rFonts w:eastAsiaTheme="minorEastAsia" w:hint="default"/>
        <w:b w:val="0"/>
        <w:color w:val="auto"/>
      </w:rPr>
    </w:lvl>
    <w:lvl w:ilvl="6">
      <w:start w:val="1"/>
      <w:numFmt w:val="decimal"/>
      <w:lvlText w:val="%1.%2.%3.%4.%5.%6.%7"/>
      <w:lvlJc w:val="left"/>
      <w:pPr>
        <w:ind w:left="5760" w:hanging="1440"/>
      </w:pPr>
      <w:rPr>
        <w:rFonts w:eastAsiaTheme="minorEastAsia" w:hint="default"/>
        <w:b w:val="0"/>
        <w:color w:val="auto"/>
      </w:rPr>
    </w:lvl>
    <w:lvl w:ilvl="7">
      <w:start w:val="1"/>
      <w:numFmt w:val="decimal"/>
      <w:lvlText w:val="%1.%2.%3.%4.%5.%6.%7.%8"/>
      <w:lvlJc w:val="left"/>
      <w:pPr>
        <w:ind w:left="6480" w:hanging="1440"/>
      </w:pPr>
      <w:rPr>
        <w:rFonts w:eastAsiaTheme="minorEastAsia" w:hint="default"/>
        <w:b w:val="0"/>
        <w:color w:val="auto"/>
      </w:rPr>
    </w:lvl>
    <w:lvl w:ilvl="8">
      <w:start w:val="1"/>
      <w:numFmt w:val="decimal"/>
      <w:lvlText w:val="%1.%2.%3.%4.%5.%6.%7.%8.%9"/>
      <w:lvlJc w:val="left"/>
      <w:pPr>
        <w:ind w:left="7560" w:hanging="1800"/>
      </w:pPr>
      <w:rPr>
        <w:rFonts w:eastAsiaTheme="minorEastAsia" w:hint="default"/>
        <w:b w:val="0"/>
        <w:color w:val="auto"/>
      </w:rPr>
    </w:lvl>
  </w:abstractNum>
  <w:abstractNum w:abstractNumId="32" w15:restartNumberingAfterBreak="0">
    <w:nsid w:val="71D42BA5"/>
    <w:multiLevelType w:val="multilevel"/>
    <w:tmpl w:val="421A46B6"/>
    <w:lvl w:ilvl="0">
      <w:start w:val="3"/>
      <w:numFmt w:val="decimal"/>
      <w:lvlText w:val="%1"/>
      <w:lvlJc w:val="left"/>
      <w:pPr>
        <w:ind w:left="360" w:hanging="360"/>
      </w:pPr>
      <w:rPr>
        <w:rFonts w:eastAsiaTheme="minorEastAsia" w:hint="default"/>
      </w:rPr>
    </w:lvl>
    <w:lvl w:ilvl="1">
      <w:start w:val="1"/>
      <w:numFmt w:val="decimal"/>
      <w:lvlText w:val="%1.%2"/>
      <w:lvlJc w:val="left"/>
      <w:pPr>
        <w:ind w:left="720" w:hanging="360"/>
      </w:pPr>
      <w:rPr>
        <w:rFonts w:eastAsiaTheme="minorEastAsia" w:hint="default"/>
      </w:rPr>
    </w:lvl>
    <w:lvl w:ilvl="2">
      <w:start w:val="1"/>
      <w:numFmt w:val="decimal"/>
      <w:lvlText w:val="%1.%2.%3"/>
      <w:lvlJc w:val="left"/>
      <w:pPr>
        <w:ind w:left="1440" w:hanging="720"/>
      </w:pPr>
      <w:rPr>
        <w:rFonts w:eastAsiaTheme="minorEastAsia" w:hint="default"/>
      </w:rPr>
    </w:lvl>
    <w:lvl w:ilvl="3">
      <w:start w:val="1"/>
      <w:numFmt w:val="decimal"/>
      <w:lvlText w:val="%1.%2.%3.%4"/>
      <w:lvlJc w:val="left"/>
      <w:pPr>
        <w:ind w:left="1800" w:hanging="720"/>
      </w:pPr>
      <w:rPr>
        <w:rFonts w:eastAsiaTheme="minorEastAsia" w:hint="default"/>
      </w:rPr>
    </w:lvl>
    <w:lvl w:ilvl="4">
      <w:start w:val="1"/>
      <w:numFmt w:val="decimal"/>
      <w:lvlText w:val="%1.%2.%3.%4.%5"/>
      <w:lvlJc w:val="left"/>
      <w:pPr>
        <w:ind w:left="2520" w:hanging="1080"/>
      </w:pPr>
      <w:rPr>
        <w:rFonts w:eastAsiaTheme="minorEastAsia" w:hint="default"/>
      </w:rPr>
    </w:lvl>
    <w:lvl w:ilvl="5">
      <w:start w:val="1"/>
      <w:numFmt w:val="decimal"/>
      <w:lvlText w:val="%1.%2.%3.%4.%5.%6"/>
      <w:lvlJc w:val="left"/>
      <w:pPr>
        <w:ind w:left="2880" w:hanging="1080"/>
      </w:pPr>
      <w:rPr>
        <w:rFonts w:eastAsiaTheme="minorEastAsia" w:hint="default"/>
      </w:rPr>
    </w:lvl>
    <w:lvl w:ilvl="6">
      <w:start w:val="1"/>
      <w:numFmt w:val="decimal"/>
      <w:lvlText w:val="%1.%2.%3.%4.%5.%6.%7"/>
      <w:lvlJc w:val="left"/>
      <w:pPr>
        <w:ind w:left="3600" w:hanging="1440"/>
      </w:pPr>
      <w:rPr>
        <w:rFonts w:eastAsiaTheme="minorEastAsia" w:hint="default"/>
      </w:rPr>
    </w:lvl>
    <w:lvl w:ilvl="7">
      <w:start w:val="1"/>
      <w:numFmt w:val="decimal"/>
      <w:lvlText w:val="%1.%2.%3.%4.%5.%6.%7.%8"/>
      <w:lvlJc w:val="left"/>
      <w:pPr>
        <w:ind w:left="3960" w:hanging="1440"/>
      </w:pPr>
      <w:rPr>
        <w:rFonts w:eastAsiaTheme="minorEastAsia" w:hint="default"/>
      </w:rPr>
    </w:lvl>
    <w:lvl w:ilvl="8">
      <w:start w:val="1"/>
      <w:numFmt w:val="decimal"/>
      <w:lvlText w:val="%1.%2.%3.%4.%5.%6.%7.%8.%9"/>
      <w:lvlJc w:val="left"/>
      <w:pPr>
        <w:ind w:left="4680" w:hanging="1800"/>
      </w:pPr>
      <w:rPr>
        <w:rFonts w:eastAsiaTheme="minorEastAsia" w:hint="default"/>
      </w:rPr>
    </w:lvl>
  </w:abstractNum>
  <w:abstractNum w:abstractNumId="33" w15:restartNumberingAfterBreak="0">
    <w:nsid w:val="72F56510"/>
    <w:multiLevelType w:val="hybridMultilevel"/>
    <w:tmpl w:val="A95218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4A36C0A"/>
    <w:multiLevelType w:val="multilevel"/>
    <w:tmpl w:val="684462F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b w:val="0"/>
      </w:rPr>
    </w:lvl>
    <w:lvl w:ilvl="2">
      <w:start w:val="1"/>
      <w:numFmt w:val="decimal"/>
      <w:lvlText w:val="%1.%2.%3"/>
      <w:lvlJc w:val="left"/>
      <w:pPr>
        <w:ind w:left="1440" w:hanging="720"/>
      </w:pPr>
      <w:rPr>
        <w:rFonts w:hint="default"/>
        <w:b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5" w15:restartNumberingAfterBreak="0">
    <w:nsid w:val="76F86A32"/>
    <w:multiLevelType w:val="hybridMultilevel"/>
    <w:tmpl w:val="E36C33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8826793"/>
    <w:multiLevelType w:val="hybridMultilevel"/>
    <w:tmpl w:val="68E6AADE"/>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7" w15:restartNumberingAfterBreak="0">
    <w:nsid w:val="7D295CBA"/>
    <w:multiLevelType w:val="multilevel"/>
    <w:tmpl w:val="1F94F1C4"/>
    <w:lvl w:ilvl="0">
      <w:start w:val="3"/>
      <w:numFmt w:val="decimal"/>
      <w:lvlText w:val="%1"/>
      <w:lvlJc w:val="left"/>
      <w:pPr>
        <w:ind w:left="360" w:hanging="360"/>
      </w:pPr>
      <w:rPr>
        <w:rFonts w:hint="default"/>
        <w:b w:val="0"/>
        <w:i/>
      </w:rPr>
    </w:lvl>
    <w:lvl w:ilvl="1">
      <w:start w:val="1"/>
      <w:numFmt w:val="decimal"/>
      <w:lvlText w:val="%1.%2"/>
      <w:lvlJc w:val="left"/>
      <w:pPr>
        <w:ind w:left="720" w:hanging="360"/>
      </w:pPr>
      <w:rPr>
        <w:rFonts w:hint="default"/>
        <w:b w:val="0"/>
        <w:i w:val="0"/>
      </w:rPr>
    </w:lvl>
    <w:lvl w:ilvl="2">
      <w:start w:val="1"/>
      <w:numFmt w:val="decimal"/>
      <w:lvlText w:val="%1.%2.%3"/>
      <w:lvlJc w:val="left"/>
      <w:pPr>
        <w:ind w:left="1440" w:hanging="720"/>
      </w:pPr>
      <w:rPr>
        <w:rFonts w:hint="default"/>
        <w:b w:val="0"/>
        <w:i w:val="0"/>
      </w:rPr>
    </w:lvl>
    <w:lvl w:ilvl="3">
      <w:start w:val="1"/>
      <w:numFmt w:val="decimal"/>
      <w:lvlText w:val="%1.%2.%3.%4"/>
      <w:lvlJc w:val="left"/>
      <w:pPr>
        <w:ind w:left="1800" w:hanging="720"/>
      </w:pPr>
      <w:rPr>
        <w:rFonts w:hint="default"/>
        <w:b w:val="0"/>
        <w:i/>
      </w:rPr>
    </w:lvl>
    <w:lvl w:ilvl="4">
      <w:start w:val="1"/>
      <w:numFmt w:val="decimal"/>
      <w:lvlText w:val="%1.%2.%3.%4.%5"/>
      <w:lvlJc w:val="left"/>
      <w:pPr>
        <w:ind w:left="2520" w:hanging="1080"/>
      </w:pPr>
      <w:rPr>
        <w:rFonts w:hint="default"/>
        <w:b w:val="0"/>
        <w:i/>
      </w:rPr>
    </w:lvl>
    <w:lvl w:ilvl="5">
      <w:start w:val="1"/>
      <w:numFmt w:val="decimal"/>
      <w:lvlText w:val="%1.%2.%3.%4.%5.%6"/>
      <w:lvlJc w:val="left"/>
      <w:pPr>
        <w:ind w:left="2880" w:hanging="1080"/>
      </w:pPr>
      <w:rPr>
        <w:rFonts w:hint="default"/>
        <w:b w:val="0"/>
        <w:i/>
      </w:rPr>
    </w:lvl>
    <w:lvl w:ilvl="6">
      <w:start w:val="1"/>
      <w:numFmt w:val="decimal"/>
      <w:lvlText w:val="%1.%2.%3.%4.%5.%6.%7"/>
      <w:lvlJc w:val="left"/>
      <w:pPr>
        <w:ind w:left="3600" w:hanging="1440"/>
      </w:pPr>
      <w:rPr>
        <w:rFonts w:hint="default"/>
        <w:b w:val="0"/>
        <w:i/>
      </w:rPr>
    </w:lvl>
    <w:lvl w:ilvl="7">
      <w:start w:val="1"/>
      <w:numFmt w:val="decimal"/>
      <w:lvlText w:val="%1.%2.%3.%4.%5.%6.%7.%8"/>
      <w:lvlJc w:val="left"/>
      <w:pPr>
        <w:ind w:left="3960" w:hanging="1440"/>
      </w:pPr>
      <w:rPr>
        <w:rFonts w:hint="default"/>
        <w:b w:val="0"/>
        <w:i/>
      </w:rPr>
    </w:lvl>
    <w:lvl w:ilvl="8">
      <w:start w:val="1"/>
      <w:numFmt w:val="decimal"/>
      <w:lvlText w:val="%1.%2.%3.%4.%5.%6.%7.%8.%9"/>
      <w:lvlJc w:val="left"/>
      <w:pPr>
        <w:ind w:left="4680" w:hanging="1800"/>
      </w:pPr>
      <w:rPr>
        <w:rFonts w:hint="default"/>
        <w:b w:val="0"/>
        <w:i/>
      </w:rPr>
    </w:lvl>
  </w:abstractNum>
  <w:abstractNum w:abstractNumId="38" w15:restartNumberingAfterBreak="0">
    <w:nsid w:val="7E1E0790"/>
    <w:multiLevelType w:val="hybridMultilevel"/>
    <w:tmpl w:val="A6B6FE20"/>
    <w:lvl w:ilvl="0" w:tplc="688A07DA">
      <w:start w:val="1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FBC29FC"/>
    <w:multiLevelType w:val="multilevel"/>
    <w:tmpl w:val="16C61E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1"/>
  </w:num>
  <w:num w:numId="2">
    <w:abstractNumId w:val="13"/>
  </w:num>
  <w:num w:numId="3">
    <w:abstractNumId w:val="12"/>
  </w:num>
  <w:num w:numId="4">
    <w:abstractNumId w:val="1"/>
  </w:num>
  <w:num w:numId="5">
    <w:abstractNumId w:val="36"/>
  </w:num>
  <w:num w:numId="6">
    <w:abstractNumId w:val="35"/>
  </w:num>
  <w:num w:numId="7">
    <w:abstractNumId w:val="27"/>
  </w:num>
  <w:num w:numId="8">
    <w:abstractNumId w:val="3"/>
  </w:num>
  <w:num w:numId="9">
    <w:abstractNumId w:val="24"/>
  </w:num>
  <w:num w:numId="10">
    <w:abstractNumId w:val="39"/>
  </w:num>
  <w:num w:numId="11">
    <w:abstractNumId w:val="20"/>
  </w:num>
  <w:num w:numId="12">
    <w:abstractNumId w:val="28"/>
  </w:num>
  <w:num w:numId="13">
    <w:abstractNumId w:val="15"/>
  </w:num>
  <w:num w:numId="14">
    <w:abstractNumId w:val="30"/>
  </w:num>
  <w:num w:numId="15">
    <w:abstractNumId w:val="18"/>
  </w:num>
  <w:num w:numId="16">
    <w:abstractNumId w:val="25"/>
  </w:num>
  <w:num w:numId="17">
    <w:abstractNumId w:val="16"/>
  </w:num>
  <w:num w:numId="18">
    <w:abstractNumId w:val="31"/>
  </w:num>
  <w:num w:numId="19">
    <w:abstractNumId w:val="2"/>
  </w:num>
  <w:num w:numId="20">
    <w:abstractNumId w:val="32"/>
  </w:num>
  <w:num w:numId="21">
    <w:abstractNumId w:val="26"/>
  </w:num>
  <w:num w:numId="22">
    <w:abstractNumId w:val="37"/>
  </w:num>
  <w:num w:numId="23">
    <w:abstractNumId w:val="22"/>
  </w:num>
  <w:num w:numId="24">
    <w:abstractNumId w:val="6"/>
  </w:num>
  <w:num w:numId="25">
    <w:abstractNumId w:val="34"/>
  </w:num>
  <w:num w:numId="26">
    <w:abstractNumId w:val="4"/>
  </w:num>
  <w:num w:numId="27">
    <w:abstractNumId w:val="10"/>
  </w:num>
  <w:num w:numId="28">
    <w:abstractNumId w:val="23"/>
  </w:num>
  <w:num w:numId="29">
    <w:abstractNumId w:val="17"/>
  </w:num>
  <w:num w:numId="30">
    <w:abstractNumId w:val="29"/>
  </w:num>
  <w:num w:numId="31">
    <w:abstractNumId w:val="8"/>
  </w:num>
  <w:num w:numId="32">
    <w:abstractNumId w:val="0"/>
  </w:num>
  <w:num w:numId="33">
    <w:abstractNumId w:val="33"/>
  </w:num>
  <w:num w:numId="34">
    <w:abstractNumId w:val="14"/>
  </w:num>
  <w:num w:numId="35">
    <w:abstractNumId w:val="5"/>
  </w:num>
  <w:num w:numId="36">
    <w:abstractNumId w:val="19"/>
  </w:num>
  <w:num w:numId="37">
    <w:abstractNumId w:val="38"/>
  </w:num>
  <w:num w:numId="38">
    <w:abstractNumId w:val="9"/>
  </w:num>
  <w:num w:numId="3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
  </w:num>
  <w:num w:numId="41">
    <w:abstractNumId w:val="21"/>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avid Beerling">
    <w15:presenceInfo w15:providerId="None" w15:userId="David Beerling"/>
  </w15:person>
  <w15:person w15:author="Bobby">
    <w15:presenceInfo w15:providerId="None" w15:userId="Bobby"/>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2"/>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Development (Company of Biologist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D535FE"/>
    <w:rsid w:val="000123BB"/>
    <w:rsid w:val="00016EFD"/>
    <w:rsid w:val="000513F9"/>
    <w:rsid w:val="00077EE6"/>
    <w:rsid w:val="0009368F"/>
    <w:rsid w:val="000C0B7D"/>
    <w:rsid w:val="000D1D7A"/>
    <w:rsid w:val="001032C0"/>
    <w:rsid w:val="0011321F"/>
    <w:rsid w:val="00126147"/>
    <w:rsid w:val="00131D8B"/>
    <w:rsid w:val="00177AB6"/>
    <w:rsid w:val="00185388"/>
    <w:rsid w:val="001A4047"/>
    <w:rsid w:val="001D0234"/>
    <w:rsid w:val="001D2DA0"/>
    <w:rsid w:val="001D36B7"/>
    <w:rsid w:val="001D3BF3"/>
    <w:rsid w:val="001E7C75"/>
    <w:rsid w:val="001F36AE"/>
    <w:rsid w:val="00214DEB"/>
    <w:rsid w:val="00286B61"/>
    <w:rsid w:val="002B2DC1"/>
    <w:rsid w:val="00301185"/>
    <w:rsid w:val="003104C5"/>
    <w:rsid w:val="00311AE8"/>
    <w:rsid w:val="00330B05"/>
    <w:rsid w:val="003428DA"/>
    <w:rsid w:val="00344ABD"/>
    <w:rsid w:val="003614AE"/>
    <w:rsid w:val="003A48AB"/>
    <w:rsid w:val="003C6D79"/>
    <w:rsid w:val="003C7D86"/>
    <w:rsid w:val="003E4222"/>
    <w:rsid w:val="0040019F"/>
    <w:rsid w:val="00405CE5"/>
    <w:rsid w:val="00417B1E"/>
    <w:rsid w:val="00461150"/>
    <w:rsid w:val="00476449"/>
    <w:rsid w:val="004913FC"/>
    <w:rsid w:val="004E7161"/>
    <w:rsid w:val="00501CFA"/>
    <w:rsid w:val="00503F28"/>
    <w:rsid w:val="00506DA2"/>
    <w:rsid w:val="00512CCB"/>
    <w:rsid w:val="00515B07"/>
    <w:rsid w:val="00515F73"/>
    <w:rsid w:val="00530CCE"/>
    <w:rsid w:val="005432CC"/>
    <w:rsid w:val="00572FEB"/>
    <w:rsid w:val="005769CD"/>
    <w:rsid w:val="005B2645"/>
    <w:rsid w:val="005C08BF"/>
    <w:rsid w:val="005E2DD2"/>
    <w:rsid w:val="005F1424"/>
    <w:rsid w:val="006029DA"/>
    <w:rsid w:val="00605A36"/>
    <w:rsid w:val="0066139F"/>
    <w:rsid w:val="00683CB4"/>
    <w:rsid w:val="006B073E"/>
    <w:rsid w:val="006B37C8"/>
    <w:rsid w:val="006C37DC"/>
    <w:rsid w:val="006C76ED"/>
    <w:rsid w:val="006F33A7"/>
    <w:rsid w:val="006F71DD"/>
    <w:rsid w:val="0070574B"/>
    <w:rsid w:val="00755614"/>
    <w:rsid w:val="00771B3D"/>
    <w:rsid w:val="007779D3"/>
    <w:rsid w:val="0078461F"/>
    <w:rsid w:val="007A73AD"/>
    <w:rsid w:val="007B21B3"/>
    <w:rsid w:val="007F2A2A"/>
    <w:rsid w:val="00824D02"/>
    <w:rsid w:val="0084608E"/>
    <w:rsid w:val="00847DDD"/>
    <w:rsid w:val="008653D0"/>
    <w:rsid w:val="008A2B4A"/>
    <w:rsid w:val="008B3466"/>
    <w:rsid w:val="008D258A"/>
    <w:rsid w:val="008E0F5B"/>
    <w:rsid w:val="0091388F"/>
    <w:rsid w:val="009267CB"/>
    <w:rsid w:val="00936939"/>
    <w:rsid w:val="00945127"/>
    <w:rsid w:val="0095129E"/>
    <w:rsid w:val="00975E86"/>
    <w:rsid w:val="009925A8"/>
    <w:rsid w:val="009B784F"/>
    <w:rsid w:val="009C6C48"/>
    <w:rsid w:val="009F0A54"/>
    <w:rsid w:val="009F64E9"/>
    <w:rsid w:val="009F68F8"/>
    <w:rsid w:val="00A10813"/>
    <w:rsid w:val="00A201E6"/>
    <w:rsid w:val="00A24F79"/>
    <w:rsid w:val="00A657CA"/>
    <w:rsid w:val="00B35746"/>
    <w:rsid w:val="00B37648"/>
    <w:rsid w:val="00B55FD0"/>
    <w:rsid w:val="00B57FED"/>
    <w:rsid w:val="00B855B8"/>
    <w:rsid w:val="00BD0A55"/>
    <w:rsid w:val="00C01CFF"/>
    <w:rsid w:val="00C40509"/>
    <w:rsid w:val="00C66A65"/>
    <w:rsid w:val="00C7050F"/>
    <w:rsid w:val="00C911CE"/>
    <w:rsid w:val="00CE522F"/>
    <w:rsid w:val="00D10C08"/>
    <w:rsid w:val="00D431D5"/>
    <w:rsid w:val="00D535FE"/>
    <w:rsid w:val="00D57BED"/>
    <w:rsid w:val="00D62A8D"/>
    <w:rsid w:val="00D707F4"/>
    <w:rsid w:val="00D81745"/>
    <w:rsid w:val="00D85950"/>
    <w:rsid w:val="00D87252"/>
    <w:rsid w:val="00D939E5"/>
    <w:rsid w:val="00DA38AC"/>
    <w:rsid w:val="00DA5216"/>
    <w:rsid w:val="00DD4E40"/>
    <w:rsid w:val="00DE2DFA"/>
    <w:rsid w:val="00DF79C2"/>
    <w:rsid w:val="00E552D9"/>
    <w:rsid w:val="00E556A1"/>
    <w:rsid w:val="00E561C9"/>
    <w:rsid w:val="00EA3E7F"/>
    <w:rsid w:val="00EB5127"/>
    <w:rsid w:val="00EC52FA"/>
    <w:rsid w:val="00ED6F16"/>
    <w:rsid w:val="00EE0DEA"/>
    <w:rsid w:val="00F43840"/>
    <w:rsid w:val="00F62576"/>
    <w:rsid w:val="00F65466"/>
    <w:rsid w:val="00F71E9F"/>
    <w:rsid w:val="00FA2FE3"/>
    <w:rsid w:val="00FB352E"/>
    <w:rsid w:val="00FE72C3"/>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1063D5"/>
  <w15:docId w15:val="{FB679B2B-ECDE-418D-8906-41F6C8AE52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0A55"/>
  </w:style>
  <w:style w:type="paragraph" w:styleId="Heading1">
    <w:name w:val="heading 1"/>
    <w:basedOn w:val="Normal"/>
    <w:next w:val="Normal"/>
    <w:link w:val="Heading1Char"/>
    <w:qFormat/>
    <w:rsid w:val="003A48AB"/>
    <w:pPr>
      <w:spacing w:before="480" w:after="0" w:line="240" w:lineRule="auto"/>
      <w:contextualSpacing/>
      <w:outlineLvl w:val="0"/>
    </w:pPr>
    <w:rPr>
      <w:rFonts w:asciiTheme="majorHAnsi" w:eastAsiaTheme="majorEastAsia" w:hAnsiTheme="majorHAnsi" w:cstheme="majorBidi"/>
      <w:b/>
      <w:bCs/>
      <w:sz w:val="28"/>
      <w:szCs w:val="28"/>
      <w:lang w:eastAsia="en-US" w:bidi="en-US"/>
    </w:rPr>
  </w:style>
  <w:style w:type="paragraph" w:styleId="Heading2">
    <w:name w:val="heading 2"/>
    <w:basedOn w:val="Normal"/>
    <w:next w:val="Normal"/>
    <w:link w:val="Heading2Char"/>
    <w:uiPriority w:val="99"/>
    <w:unhideWhenUsed/>
    <w:qFormat/>
    <w:rsid w:val="003A48AB"/>
    <w:pPr>
      <w:spacing w:before="200" w:after="0" w:line="240" w:lineRule="auto"/>
      <w:outlineLvl w:val="1"/>
    </w:pPr>
    <w:rPr>
      <w:rFonts w:asciiTheme="majorHAnsi" w:eastAsiaTheme="majorEastAsia" w:hAnsiTheme="majorHAnsi" w:cstheme="majorBidi"/>
      <w:b/>
      <w:bCs/>
      <w:sz w:val="26"/>
      <w:szCs w:val="26"/>
      <w:lang w:eastAsia="en-US" w:bidi="en-US"/>
    </w:rPr>
  </w:style>
  <w:style w:type="paragraph" w:styleId="Heading3">
    <w:name w:val="heading 3"/>
    <w:basedOn w:val="Normal"/>
    <w:next w:val="Normal"/>
    <w:link w:val="Heading3Char"/>
    <w:uiPriority w:val="99"/>
    <w:unhideWhenUsed/>
    <w:qFormat/>
    <w:rsid w:val="003A48AB"/>
    <w:pPr>
      <w:spacing w:before="200" w:after="0" w:line="271" w:lineRule="auto"/>
      <w:outlineLvl w:val="2"/>
    </w:pPr>
    <w:rPr>
      <w:rFonts w:asciiTheme="majorHAnsi" w:eastAsiaTheme="majorEastAsia" w:hAnsiTheme="majorHAnsi" w:cstheme="majorBidi"/>
      <w:b/>
      <w:bCs/>
      <w:lang w:eastAsia="en-US" w:bidi="en-US"/>
    </w:rPr>
  </w:style>
  <w:style w:type="paragraph" w:styleId="Heading4">
    <w:name w:val="heading 4"/>
    <w:basedOn w:val="Normal"/>
    <w:next w:val="Normal"/>
    <w:link w:val="Heading4Char"/>
    <w:uiPriority w:val="9"/>
    <w:unhideWhenUsed/>
    <w:qFormat/>
    <w:rsid w:val="003A48AB"/>
    <w:pPr>
      <w:spacing w:before="200" w:after="0" w:line="240" w:lineRule="auto"/>
      <w:outlineLvl w:val="3"/>
    </w:pPr>
    <w:rPr>
      <w:rFonts w:asciiTheme="majorHAnsi" w:eastAsiaTheme="majorEastAsia" w:hAnsiTheme="majorHAnsi" w:cstheme="majorBidi"/>
      <w:b/>
      <w:bCs/>
      <w:i/>
      <w:iCs/>
      <w:lang w:eastAsia="en-US" w:bidi="en-US"/>
    </w:rPr>
  </w:style>
  <w:style w:type="paragraph" w:styleId="Heading5">
    <w:name w:val="heading 5"/>
    <w:basedOn w:val="Normal"/>
    <w:next w:val="Normal"/>
    <w:link w:val="Heading5Char"/>
    <w:uiPriority w:val="99"/>
    <w:unhideWhenUsed/>
    <w:qFormat/>
    <w:rsid w:val="003A48AB"/>
    <w:pPr>
      <w:spacing w:before="200" w:after="0" w:line="240" w:lineRule="auto"/>
      <w:outlineLvl w:val="4"/>
    </w:pPr>
    <w:rPr>
      <w:rFonts w:asciiTheme="majorHAnsi" w:eastAsiaTheme="majorEastAsia" w:hAnsiTheme="majorHAnsi" w:cstheme="majorBidi"/>
      <w:b/>
      <w:bCs/>
      <w:color w:val="7F7F7F" w:themeColor="text1" w:themeTint="80"/>
      <w:lang w:eastAsia="en-US" w:bidi="en-US"/>
    </w:rPr>
  </w:style>
  <w:style w:type="paragraph" w:styleId="Heading6">
    <w:name w:val="heading 6"/>
    <w:basedOn w:val="Normal"/>
    <w:next w:val="Normal"/>
    <w:link w:val="Heading6Char"/>
    <w:uiPriority w:val="99"/>
    <w:unhideWhenUsed/>
    <w:qFormat/>
    <w:rsid w:val="003A48AB"/>
    <w:pPr>
      <w:spacing w:after="0" w:line="271" w:lineRule="auto"/>
      <w:outlineLvl w:val="5"/>
    </w:pPr>
    <w:rPr>
      <w:rFonts w:asciiTheme="majorHAnsi" w:eastAsiaTheme="majorEastAsia" w:hAnsiTheme="majorHAnsi" w:cstheme="majorBidi"/>
      <w:b/>
      <w:bCs/>
      <w:i/>
      <w:iCs/>
      <w:color w:val="7F7F7F" w:themeColor="text1" w:themeTint="80"/>
      <w:lang w:eastAsia="en-US" w:bidi="en-US"/>
    </w:rPr>
  </w:style>
  <w:style w:type="paragraph" w:styleId="Heading7">
    <w:name w:val="heading 7"/>
    <w:basedOn w:val="Normal"/>
    <w:next w:val="Normal"/>
    <w:link w:val="Heading7Char"/>
    <w:uiPriority w:val="99"/>
    <w:unhideWhenUsed/>
    <w:qFormat/>
    <w:rsid w:val="003A48AB"/>
    <w:pPr>
      <w:spacing w:after="0" w:line="240" w:lineRule="auto"/>
      <w:outlineLvl w:val="6"/>
    </w:pPr>
    <w:rPr>
      <w:rFonts w:asciiTheme="majorHAnsi" w:eastAsiaTheme="majorEastAsia" w:hAnsiTheme="majorHAnsi" w:cstheme="majorBidi"/>
      <w:i/>
      <w:iCs/>
      <w:lang w:eastAsia="en-US" w:bidi="en-US"/>
    </w:rPr>
  </w:style>
  <w:style w:type="paragraph" w:styleId="Heading8">
    <w:name w:val="heading 8"/>
    <w:basedOn w:val="Normal"/>
    <w:next w:val="Normal"/>
    <w:link w:val="Heading8Char"/>
    <w:uiPriority w:val="99"/>
    <w:unhideWhenUsed/>
    <w:qFormat/>
    <w:rsid w:val="003A48AB"/>
    <w:pPr>
      <w:spacing w:after="0" w:line="240" w:lineRule="auto"/>
      <w:outlineLvl w:val="7"/>
    </w:pPr>
    <w:rPr>
      <w:rFonts w:asciiTheme="majorHAnsi" w:eastAsiaTheme="majorEastAsia" w:hAnsiTheme="majorHAnsi" w:cstheme="majorBidi"/>
      <w:sz w:val="20"/>
      <w:szCs w:val="20"/>
      <w:lang w:eastAsia="en-US" w:bidi="en-US"/>
    </w:rPr>
  </w:style>
  <w:style w:type="paragraph" w:styleId="Heading9">
    <w:name w:val="heading 9"/>
    <w:basedOn w:val="Normal"/>
    <w:next w:val="Normal"/>
    <w:link w:val="Heading9Char"/>
    <w:uiPriority w:val="99"/>
    <w:unhideWhenUsed/>
    <w:qFormat/>
    <w:rsid w:val="003A48AB"/>
    <w:pPr>
      <w:spacing w:after="0" w:line="240" w:lineRule="auto"/>
      <w:outlineLvl w:val="8"/>
    </w:pPr>
    <w:rPr>
      <w:rFonts w:asciiTheme="majorHAnsi" w:eastAsiaTheme="majorEastAsia" w:hAnsiTheme="majorHAnsi" w:cstheme="majorBidi"/>
      <w:i/>
      <w:iCs/>
      <w:spacing w:val="5"/>
      <w:sz w:val="20"/>
      <w:szCs w:val="20"/>
      <w:lang w:eastAsia="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35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35FE"/>
    <w:rPr>
      <w:rFonts w:ascii="Tahoma" w:hAnsi="Tahoma" w:cs="Tahoma"/>
      <w:sz w:val="16"/>
      <w:szCs w:val="16"/>
    </w:rPr>
  </w:style>
  <w:style w:type="character" w:customStyle="1" w:styleId="Heading1Char">
    <w:name w:val="Heading 1 Char"/>
    <w:basedOn w:val="DefaultParagraphFont"/>
    <w:link w:val="Heading1"/>
    <w:rsid w:val="003A48AB"/>
    <w:rPr>
      <w:rFonts w:asciiTheme="majorHAnsi" w:eastAsiaTheme="majorEastAsia" w:hAnsiTheme="majorHAnsi" w:cstheme="majorBidi"/>
      <w:b/>
      <w:bCs/>
      <w:sz w:val="28"/>
      <w:szCs w:val="28"/>
      <w:lang w:eastAsia="en-US" w:bidi="en-US"/>
    </w:rPr>
  </w:style>
  <w:style w:type="character" w:customStyle="1" w:styleId="Heading2Char">
    <w:name w:val="Heading 2 Char"/>
    <w:basedOn w:val="DefaultParagraphFont"/>
    <w:link w:val="Heading2"/>
    <w:uiPriority w:val="99"/>
    <w:rsid w:val="003A48AB"/>
    <w:rPr>
      <w:rFonts w:asciiTheme="majorHAnsi" w:eastAsiaTheme="majorEastAsia" w:hAnsiTheme="majorHAnsi" w:cstheme="majorBidi"/>
      <w:b/>
      <w:bCs/>
      <w:sz w:val="26"/>
      <w:szCs w:val="26"/>
      <w:lang w:eastAsia="en-US" w:bidi="en-US"/>
    </w:rPr>
  </w:style>
  <w:style w:type="character" w:customStyle="1" w:styleId="Heading3Char">
    <w:name w:val="Heading 3 Char"/>
    <w:basedOn w:val="DefaultParagraphFont"/>
    <w:link w:val="Heading3"/>
    <w:uiPriority w:val="99"/>
    <w:rsid w:val="003A48AB"/>
    <w:rPr>
      <w:rFonts w:asciiTheme="majorHAnsi" w:eastAsiaTheme="majorEastAsia" w:hAnsiTheme="majorHAnsi" w:cstheme="majorBidi"/>
      <w:b/>
      <w:bCs/>
      <w:lang w:eastAsia="en-US" w:bidi="en-US"/>
    </w:rPr>
  </w:style>
  <w:style w:type="character" w:customStyle="1" w:styleId="Heading4Char">
    <w:name w:val="Heading 4 Char"/>
    <w:basedOn w:val="DefaultParagraphFont"/>
    <w:link w:val="Heading4"/>
    <w:uiPriority w:val="9"/>
    <w:rsid w:val="003A48AB"/>
    <w:rPr>
      <w:rFonts w:asciiTheme="majorHAnsi" w:eastAsiaTheme="majorEastAsia" w:hAnsiTheme="majorHAnsi" w:cstheme="majorBidi"/>
      <w:b/>
      <w:bCs/>
      <w:i/>
      <w:iCs/>
      <w:lang w:eastAsia="en-US" w:bidi="en-US"/>
    </w:rPr>
  </w:style>
  <w:style w:type="character" w:customStyle="1" w:styleId="Heading5Char">
    <w:name w:val="Heading 5 Char"/>
    <w:basedOn w:val="DefaultParagraphFont"/>
    <w:link w:val="Heading5"/>
    <w:uiPriority w:val="99"/>
    <w:rsid w:val="003A48AB"/>
    <w:rPr>
      <w:rFonts w:asciiTheme="majorHAnsi" w:eastAsiaTheme="majorEastAsia" w:hAnsiTheme="majorHAnsi" w:cstheme="majorBidi"/>
      <w:b/>
      <w:bCs/>
      <w:color w:val="7F7F7F" w:themeColor="text1" w:themeTint="80"/>
      <w:lang w:eastAsia="en-US" w:bidi="en-US"/>
    </w:rPr>
  </w:style>
  <w:style w:type="character" w:customStyle="1" w:styleId="Heading6Char">
    <w:name w:val="Heading 6 Char"/>
    <w:basedOn w:val="DefaultParagraphFont"/>
    <w:link w:val="Heading6"/>
    <w:uiPriority w:val="99"/>
    <w:rsid w:val="003A48AB"/>
    <w:rPr>
      <w:rFonts w:asciiTheme="majorHAnsi" w:eastAsiaTheme="majorEastAsia" w:hAnsiTheme="majorHAnsi" w:cstheme="majorBidi"/>
      <w:b/>
      <w:bCs/>
      <w:i/>
      <w:iCs/>
      <w:color w:val="7F7F7F" w:themeColor="text1" w:themeTint="80"/>
      <w:lang w:eastAsia="en-US" w:bidi="en-US"/>
    </w:rPr>
  </w:style>
  <w:style w:type="character" w:customStyle="1" w:styleId="Heading7Char">
    <w:name w:val="Heading 7 Char"/>
    <w:basedOn w:val="DefaultParagraphFont"/>
    <w:link w:val="Heading7"/>
    <w:uiPriority w:val="99"/>
    <w:rsid w:val="003A48AB"/>
    <w:rPr>
      <w:rFonts w:asciiTheme="majorHAnsi" w:eastAsiaTheme="majorEastAsia" w:hAnsiTheme="majorHAnsi" w:cstheme="majorBidi"/>
      <w:i/>
      <w:iCs/>
      <w:lang w:eastAsia="en-US" w:bidi="en-US"/>
    </w:rPr>
  </w:style>
  <w:style w:type="character" w:customStyle="1" w:styleId="Heading8Char">
    <w:name w:val="Heading 8 Char"/>
    <w:basedOn w:val="DefaultParagraphFont"/>
    <w:link w:val="Heading8"/>
    <w:uiPriority w:val="99"/>
    <w:rsid w:val="003A48AB"/>
    <w:rPr>
      <w:rFonts w:asciiTheme="majorHAnsi" w:eastAsiaTheme="majorEastAsia" w:hAnsiTheme="majorHAnsi" w:cstheme="majorBidi"/>
      <w:sz w:val="20"/>
      <w:szCs w:val="20"/>
      <w:lang w:eastAsia="en-US" w:bidi="en-US"/>
    </w:rPr>
  </w:style>
  <w:style w:type="character" w:customStyle="1" w:styleId="Heading9Char">
    <w:name w:val="Heading 9 Char"/>
    <w:basedOn w:val="DefaultParagraphFont"/>
    <w:link w:val="Heading9"/>
    <w:uiPriority w:val="99"/>
    <w:rsid w:val="003A48AB"/>
    <w:rPr>
      <w:rFonts w:asciiTheme="majorHAnsi" w:eastAsiaTheme="majorEastAsia" w:hAnsiTheme="majorHAnsi" w:cstheme="majorBidi"/>
      <w:i/>
      <w:iCs/>
      <w:spacing w:val="5"/>
      <w:sz w:val="20"/>
      <w:szCs w:val="20"/>
      <w:lang w:eastAsia="en-US" w:bidi="en-US"/>
    </w:rPr>
  </w:style>
  <w:style w:type="paragraph" w:styleId="Title">
    <w:name w:val="Title"/>
    <w:basedOn w:val="Normal"/>
    <w:next w:val="Normal"/>
    <w:link w:val="TitleChar"/>
    <w:uiPriority w:val="99"/>
    <w:qFormat/>
    <w:rsid w:val="003A48AB"/>
    <w:pPr>
      <w:pBdr>
        <w:bottom w:val="single" w:sz="4" w:space="1" w:color="auto"/>
      </w:pBdr>
      <w:spacing w:after="0" w:line="240" w:lineRule="auto"/>
      <w:contextualSpacing/>
    </w:pPr>
    <w:rPr>
      <w:rFonts w:asciiTheme="majorHAnsi" w:eastAsiaTheme="majorEastAsia" w:hAnsiTheme="majorHAnsi" w:cstheme="majorBidi"/>
      <w:spacing w:val="5"/>
      <w:sz w:val="52"/>
      <w:szCs w:val="52"/>
      <w:lang w:eastAsia="en-US" w:bidi="en-US"/>
    </w:rPr>
  </w:style>
  <w:style w:type="character" w:customStyle="1" w:styleId="TitleChar">
    <w:name w:val="Title Char"/>
    <w:basedOn w:val="DefaultParagraphFont"/>
    <w:link w:val="Title"/>
    <w:uiPriority w:val="99"/>
    <w:rsid w:val="003A48AB"/>
    <w:rPr>
      <w:rFonts w:asciiTheme="majorHAnsi" w:eastAsiaTheme="majorEastAsia" w:hAnsiTheme="majorHAnsi" w:cstheme="majorBidi"/>
      <w:spacing w:val="5"/>
      <w:sz w:val="52"/>
      <w:szCs w:val="52"/>
      <w:lang w:eastAsia="en-US" w:bidi="en-US"/>
    </w:rPr>
  </w:style>
  <w:style w:type="paragraph" w:styleId="Subtitle">
    <w:name w:val="Subtitle"/>
    <w:basedOn w:val="Normal"/>
    <w:next w:val="Normal"/>
    <w:link w:val="SubtitleChar"/>
    <w:uiPriority w:val="99"/>
    <w:qFormat/>
    <w:rsid w:val="003A48AB"/>
    <w:pPr>
      <w:spacing w:after="600" w:line="240" w:lineRule="auto"/>
    </w:pPr>
    <w:rPr>
      <w:rFonts w:asciiTheme="majorHAnsi" w:eastAsiaTheme="majorEastAsia" w:hAnsiTheme="majorHAnsi" w:cstheme="majorBidi"/>
      <w:i/>
      <w:iCs/>
      <w:spacing w:val="13"/>
      <w:sz w:val="24"/>
      <w:szCs w:val="24"/>
      <w:lang w:eastAsia="en-US" w:bidi="en-US"/>
    </w:rPr>
  </w:style>
  <w:style w:type="character" w:customStyle="1" w:styleId="SubtitleChar">
    <w:name w:val="Subtitle Char"/>
    <w:basedOn w:val="DefaultParagraphFont"/>
    <w:link w:val="Subtitle"/>
    <w:uiPriority w:val="99"/>
    <w:rsid w:val="003A48AB"/>
    <w:rPr>
      <w:rFonts w:asciiTheme="majorHAnsi" w:eastAsiaTheme="majorEastAsia" w:hAnsiTheme="majorHAnsi" w:cstheme="majorBidi"/>
      <w:i/>
      <w:iCs/>
      <w:spacing w:val="13"/>
      <w:sz w:val="24"/>
      <w:szCs w:val="24"/>
      <w:lang w:eastAsia="en-US" w:bidi="en-US"/>
    </w:rPr>
  </w:style>
  <w:style w:type="character" w:styleId="Strong">
    <w:name w:val="Strong"/>
    <w:uiPriority w:val="99"/>
    <w:qFormat/>
    <w:rsid w:val="003A48AB"/>
    <w:rPr>
      <w:b/>
      <w:bCs/>
    </w:rPr>
  </w:style>
  <w:style w:type="character" w:styleId="Emphasis">
    <w:name w:val="Emphasis"/>
    <w:uiPriority w:val="20"/>
    <w:qFormat/>
    <w:rsid w:val="003A48AB"/>
    <w:rPr>
      <w:b/>
      <w:bCs/>
      <w:i/>
      <w:iCs/>
      <w:spacing w:val="10"/>
      <w:bdr w:val="none" w:sz="0" w:space="0" w:color="auto"/>
      <w:shd w:val="clear" w:color="auto" w:fill="auto"/>
    </w:rPr>
  </w:style>
  <w:style w:type="paragraph" w:styleId="NoSpacing">
    <w:name w:val="No Spacing"/>
    <w:basedOn w:val="Normal"/>
    <w:uiPriority w:val="99"/>
    <w:qFormat/>
    <w:rsid w:val="003A48AB"/>
    <w:pPr>
      <w:spacing w:after="0" w:line="240" w:lineRule="auto"/>
    </w:pPr>
    <w:rPr>
      <w:lang w:eastAsia="en-US" w:bidi="en-US"/>
    </w:rPr>
  </w:style>
  <w:style w:type="paragraph" w:styleId="ListParagraph">
    <w:name w:val="List Paragraph"/>
    <w:basedOn w:val="Normal"/>
    <w:uiPriority w:val="34"/>
    <w:qFormat/>
    <w:rsid w:val="003A48AB"/>
    <w:pPr>
      <w:spacing w:after="0" w:line="240" w:lineRule="auto"/>
      <w:ind w:left="720"/>
      <w:contextualSpacing/>
    </w:pPr>
    <w:rPr>
      <w:lang w:eastAsia="en-US" w:bidi="en-US"/>
    </w:rPr>
  </w:style>
  <w:style w:type="paragraph" w:styleId="Quote">
    <w:name w:val="Quote"/>
    <w:basedOn w:val="Normal"/>
    <w:next w:val="Normal"/>
    <w:link w:val="QuoteChar"/>
    <w:uiPriority w:val="99"/>
    <w:qFormat/>
    <w:rsid w:val="003A48AB"/>
    <w:pPr>
      <w:spacing w:before="200" w:after="0" w:line="240" w:lineRule="auto"/>
      <w:ind w:left="360" w:right="360"/>
    </w:pPr>
    <w:rPr>
      <w:i/>
      <w:iCs/>
      <w:lang w:eastAsia="en-US" w:bidi="en-US"/>
    </w:rPr>
  </w:style>
  <w:style w:type="character" w:customStyle="1" w:styleId="QuoteChar">
    <w:name w:val="Quote Char"/>
    <w:basedOn w:val="DefaultParagraphFont"/>
    <w:link w:val="Quote"/>
    <w:uiPriority w:val="99"/>
    <w:rsid w:val="003A48AB"/>
    <w:rPr>
      <w:i/>
      <w:iCs/>
      <w:lang w:eastAsia="en-US" w:bidi="en-US"/>
    </w:rPr>
  </w:style>
  <w:style w:type="paragraph" w:styleId="IntenseQuote">
    <w:name w:val="Intense Quote"/>
    <w:basedOn w:val="Normal"/>
    <w:next w:val="Normal"/>
    <w:link w:val="IntenseQuoteChar"/>
    <w:uiPriority w:val="99"/>
    <w:qFormat/>
    <w:rsid w:val="003A48AB"/>
    <w:pPr>
      <w:pBdr>
        <w:bottom w:val="single" w:sz="4" w:space="1" w:color="auto"/>
      </w:pBdr>
      <w:spacing w:before="200" w:after="280" w:line="240" w:lineRule="auto"/>
      <w:ind w:left="1008" w:right="1152"/>
      <w:jc w:val="both"/>
    </w:pPr>
    <w:rPr>
      <w:b/>
      <w:bCs/>
      <w:i/>
      <w:iCs/>
      <w:lang w:eastAsia="en-US" w:bidi="en-US"/>
    </w:rPr>
  </w:style>
  <w:style w:type="character" w:customStyle="1" w:styleId="IntenseQuoteChar">
    <w:name w:val="Intense Quote Char"/>
    <w:basedOn w:val="DefaultParagraphFont"/>
    <w:link w:val="IntenseQuote"/>
    <w:uiPriority w:val="99"/>
    <w:rsid w:val="003A48AB"/>
    <w:rPr>
      <w:b/>
      <w:bCs/>
      <w:i/>
      <w:iCs/>
      <w:lang w:eastAsia="en-US" w:bidi="en-US"/>
    </w:rPr>
  </w:style>
  <w:style w:type="character" w:styleId="SubtleEmphasis">
    <w:name w:val="Subtle Emphasis"/>
    <w:uiPriority w:val="99"/>
    <w:qFormat/>
    <w:rsid w:val="003A48AB"/>
    <w:rPr>
      <w:i/>
      <w:iCs/>
    </w:rPr>
  </w:style>
  <w:style w:type="character" w:styleId="IntenseEmphasis">
    <w:name w:val="Intense Emphasis"/>
    <w:uiPriority w:val="99"/>
    <w:qFormat/>
    <w:rsid w:val="003A48AB"/>
    <w:rPr>
      <w:b/>
      <w:bCs/>
    </w:rPr>
  </w:style>
  <w:style w:type="character" w:styleId="SubtleReference">
    <w:name w:val="Subtle Reference"/>
    <w:uiPriority w:val="99"/>
    <w:qFormat/>
    <w:rsid w:val="003A48AB"/>
    <w:rPr>
      <w:smallCaps/>
    </w:rPr>
  </w:style>
  <w:style w:type="character" w:styleId="IntenseReference">
    <w:name w:val="Intense Reference"/>
    <w:uiPriority w:val="99"/>
    <w:qFormat/>
    <w:rsid w:val="003A48AB"/>
    <w:rPr>
      <w:smallCaps/>
      <w:spacing w:val="5"/>
      <w:u w:val="single"/>
    </w:rPr>
  </w:style>
  <w:style w:type="character" w:styleId="BookTitle">
    <w:name w:val="Book Title"/>
    <w:uiPriority w:val="99"/>
    <w:qFormat/>
    <w:rsid w:val="003A48AB"/>
    <w:rPr>
      <w:i/>
      <w:iCs/>
      <w:smallCaps/>
      <w:spacing w:val="5"/>
    </w:rPr>
  </w:style>
  <w:style w:type="paragraph" w:styleId="TOCHeading">
    <w:name w:val="TOC Heading"/>
    <w:basedOn w:val="Heading1"/>
    <w:next w:val="Normal"/>
    <w:uiPriority w:val="99"/>
    <w:unhideWhenUsed/>
    <w:qFormat/>
    <w:rsid w:val="003A48AB"/>
    <w:pPr>
      <w:outlineLvl w:val="9"/>
    </w:pPr>
  </w:style>
  <w:style w:type="paragraph" w:customStyle="1" w:styleId="EndNoteBibliographyTitle">
    <w:name w:val="EndNote Bibliography Title"/>
    <w:basedOn w:val="Normal"/>
    <w:link w:val="EndNoteBibliographyTitleChar"/>
    <w:rsid w:val="003A48AB"/>
    <w:pPr>
      <w:spacing w:after="0" w:line="240" w:lineRule="auto"/>
      <w:jc w:val="center"/>
    </w:pPr>
    <w:rPr>
      <w:rFonts w:ascii="Calibri" w:hAnsi="Calibri"/>
      <w:noProof/>
      <w:lang w:val="en-US" w:eastAsia="en-US" w:bidi="en-US"/>
    </w:rPr>
  </w:style>
  <w:style w:type="character" w:customStyle="1" w:styleId="EndNoteBibliographyTitleChar">
    <w:name w:val="EndNote Bibliography Title Char"/>
    <w:basedOn w:val="DefaultParagraphFont"/>
    <w:link w:val="EndNoteBibliographyTitle"/>
    <w:rsid w:val="003A48AB"/>
    <w:rPr>
      <w:rFonts w:ascii="Calibri" w:hAnsi="Calibri"/>
      <w:noProof/>
      <w:lang w:val="en-US" w:eastAsia="en-US" w:bidi="en-US"/>
    </w:rPr>
  </w:style>
  <w:style w:type="paragraph" w:customStyle="1" w:styleId="EndNoteBibliography">
    <w:name w:val="EndNote Bibliography"/>
    <w:basedOn w:val="Normal"/>
    <w:link w:val="EndNoteBibliographyChar"/>
    <w:rsid w:val="003A48AB"/>
    <w:pPr>
      <w:spacing w:after="0" w:line="240" w:lineRule="auto"/>
    </w:pPr>
    <w:rPr>
      <w:rFonts w:ascii="Calibri" w:hAnsi="Calibri"/>
      <w:noProof/>
      <w:lang w:val="en-US" w:eastAsia="en-US" w:bidi="en-US"/>
    </w:rPr>
  </w:style>
  <w:style w:type="character" w:customStyle="1" w:styleId="EndNoteBibliographyChar">
    <w:name w:val="EndNote Bibliography Char"/>
    <w:basedOn w:val="DefaultParagraphFont"/>
    <w:link w:val="EndNoteBibliography"/>
    <w:rsid w:val="003A48AB"/>
    <w:rPr>
      <w:rFonts w:ascii="Calibri" w:hAnsi="Calibri"/>
      <w:noProof/>
      <w:lang w:val="en-US" w:eastAsia="en-US" w:bidi="en-US"/>
    </w:rPr>
  </w:style>
  <w:style w:type="character" w:customStyle="1" w:styleId="EndnoteTextChar">
    <w:name w:val="Endnote Text Char"/>
    <w:basedOn w:val="DefaultParagraphFont"/>
    <w:link w:val="EndnoteText"/>
    <w:uiPriority w:val="99"/>
    <w:semiHidden/>
    <w:rsid w:val="003A48AB"/>
    <w:rPr>
      <w:rFonts w:ascii="Calibri" w:eastAsia="MS Mincho" w:hAnsi="Calibri" w:cs="Times New Roman"/>
      <w:sz w:val="20"/>
      <w:szCs w:val="20"/>
    </w:rPr>
  </w:style>
  <w:style w:type="paragraph" w:styleId="EndnoteText">
    <w:name w:val="endnote text"/>
    <w:basedOn w:val="Normal"/>
    <w:link w:val="EndnoteTextChar"/>
    <w:uiPriority w:val="99"/>
    <w:semiHidden/>
    <w:rsid w:val="003A48AB"/>
    <w:pPr>
      <w:spacing w:after="0" w:line="240" w:lineRule="auto"/>
    </w:pPr>
    <w:rPr>
      <w:rFonts w:ascii="Calibri" w:eastAsia="MS Mincho" w:hAnsi="Calibri" w:cs="Times New Roman"/>
      <w:sz w:val="20"/>
      <w:szCs w:val="20"/>
    </w:rPr>
  </w:style>
  <w:style w:type="character" w:customStyle="1" w:styleId="EndnoteTextChar1">
    <w:name w:val="Endnote Text Char1"/>
    <w:basedOn w:val="DefaultParagraphFont"/>
    <w:uiPriority w:val="99"/>
    <w:semiHidden/>
    <w:rsid w:val="003A48AB"/>
    <w:rPr>
      <w:sz w:val="20"/>
      <w:szCs w:val="20"/>
    </w:rPr>
  </w:style>
  <w:style w:type="character" w:styleId="Hyperlink">
    <w:name w:val="Hyperlink"/>
    <w:basedOn w:val="DefaultParagraphFont"/>
    <w:uiPriority w:val="99"/>
    <w:rsid w:val="003A48AB"/>
    <w:rPr>
      <w:rFonts w:cs="Times New Roman"/>
      <w:color w:val="0000FF"/>
      <w:u w:val="single"/>
    </w:rPr>
  </w:style>
  <w:style w:type="character" w:customStyle="1" w:styleId="HeaderChar">
    <w:name w:val="Header Char"/>
    <w:basedOn w:val="DefaultParagraphFont"/>
    <w:link w:val="Header"/>
    <w:uiPriority w:val="99"/>
    <w:rsid w:val="003A48AB"/>
    <w:rPr>
      <w:rFonts w:ascii="Calibri" w:eastAsia="MS Mincho" w:hAnsi="Calibri" w:cs="Times New Roman"/>
    </w:rPr>
  </w:style>
  <w:style w:type="paragraph" w:styleId="Header">
    <w:name w:val="header"/>
    <w:basedOn w:val="Normal"/>
    <w:link w:val="HeaderChar"/>
    <w:uiPriority w:val="99"/>
    <w:rsid w:val="003A48AB"/>
    <w:pPr>
      <w:tabs>
        <w:tab w:val="center" w:pos="4513"/>
        <w:tab w:val="right" w:pos="9026"/>
      </w:tabs>
      <w:spacing w:after="0" w:line="240" w:lineRule="auto"/>
    </w:pPr>
    <w:rPr>
      <w:rFonts w:ascii="Calibri" w:eastAsia="MS Mincho" w:hAnsi="Calibri" w:cs="Times New Roman"/>
    </w:rPr>
  </w:style>
  <w:style w:type="character" w:customStyle="1" w:styleId="HeaderChar1">
    <w:name w:val="Header Char1"/>
    <w:basedOn w:val="DefaultParagraphFont"/>
    <w:uiPriority w:val="99"/>
    <w:semiHidden/>
    <w:rsid w:val="003A48AB"/>
  </w:style>
  <w:style w:type="character" w:customStyle="1" w:styleId="FooterChar">
    <w:name w:val="Footer Char"/>
    <w:basedOn w:val="DefaultParagraphFont"/>
    <w:link w:val="Footer"/>
    <w:uiPriority w:val="99"/>
    <w:rsid w:val="003A48AB"/>
    <w:rPr>
      <w:rFonts w:ascii="Calibri" w:eastAsia="MS Mincho" w:hAnsi="Calibri" w:cs="Times New Roman"/>
    </w:rPr>
  </w:style>
  <w:style w:type="paragraph" w:styleId="Footer">
    <w:name w:val="footer"/>
    <w:basedOn w:val="Normal"/>
    <w:link w:val="FooterChar"/>
    <w:uiPriority w:val="99"/>
    <w:rsid w:val="003A48AB"/>
    <w:pPr>
      <w:tabs>
        <w:tab w:val="center" w:pos="4513"/>
        <w:tab w:val="right" w:pos="9026"/>
      </w:tabs>
      <w:spacing w:after="0" w:line="240" w:lineRule="auto"/>
    </w:pPr>
    <w:rPr>
      <w:rFonts w:ascii="Calibri" w:eastAsia="MS Mincho" w:hAnsi="Calibri" w:cs="Times New Roman"/>
    </w:rPr>
  </w:style>
  <w:style w:type="character" w:customStyle="1" w:styleId="FooterChar1">
    <w:name w:val="Footer Char1"/>
    <w:basedOn w:val="DefaultParagraphFont"/>
    <w:uiPriority w:val="99"/>
    <w:semiHidden/>
    <w:rsid w:val="003A48AB"/>
  </w:style>
  <w:style w:type="paragraph" w:styleId="CommentText">
    <w:name w:val="annotation text"/>
    <w:basedOn w:val="Normal"/>
    <w:link w:val="CommentTextChar"/>
    <w:uiPriority w:val="99"/>
    <w:unhideWhenUsed/>
    <w:rsid w:val="003A48AB"/>
    <w:pPr>
      <w:spacing w:after="0" w:line="240" w:lineRule="auto"/>
    </w:pPr>
    <w:rPr>
      <w:sz w:val="20"/>
      <w:szCs w:val="20"/>
      <w:lang w:eastAsia="en-US" w:bidi="en-US"/>
    </w:rPr>
  </w:style>
  <w:style w:type="character" w:customStyle="1" w:styleId="CommentTextChar">
    <w:name w:val="Comment Text Char"/>
    <w:basedOn w:val="DefaultParagraphFont"/>
    <w:link w:val="CommentText"/>
    <w:uiPriority w:val="99"/>
    <w:rsid w:val="003A48AB"/>
    <w:rPr>
      <w:sz w:val="20"/>
      <w:szCs w:val="20"/>
      <w:lang w:eastAsia="en-US" w:bidi="en-US"/>
    </w:rPr>
  </w:style>
  <w:style w:type="character" w:styleId="CommentReference">
    <w:name w:val="annotation reference"/>
    <w:basedOn w:val="DefaultParagraphFont"/>
    <w:uiPriority w:val="99"/>
    <w:unhideWhenUsed/>
    <w:rsid w:val="003A48AB"/>
    <w:rPr>
      <w:sz w:val="16"/>
      <w:szCs w:val="16"/>
    </w:rPr>
  </w:style>
  <w:style w:type="character" w:styleId="EndnoteReference">
    <w:name w:val="endnote reference"/>
    <w:basedOn w:val="DefaultParagraphFont"/>
    <w:uiPriority w:val="99"/>
    <w:semiHidden/>
    <w:unhideWhenUsed/>
    <w:rsid w:val="003A48AB"/>
    <w:rPr>
      <w:vertAlign w:val="superscript"/>
    </w:rPr>
  </w:style>
  <w:style w:type="table" w:styleId="TableGrid">
    <w:name w:val="Table Grid"/>
    <w:basedOn w:val="TableNormal"/>
    <w:uiPriority w:val="39"/>
    <w:rsid w:val="003A48AB"/>
    <w:pPr>
      <w:spacing w:after="0" w:line="240" w:lineRule="auto"/>
    </w:pPr>
    <w:rPr>
      <w:lang w:val="en-US"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3A48AB"/>
    <w:rPr>
      <w:b/>
      <w:bCs/>
    </w:rPr>
  </w:style>
  <w:style w:type="character" w:customStyle="1" w:styleId="CommentSubjectChar">
    <w:name w:val="Comment Subject Char"/>
    <w:basedOn w:val="CommentTextChar"/>
    <w:link w:val="CommentSubject"/>
    <w:uiPriority w:val="99"/>
    <w:semiHidden/>
    <w:rsid w:val="003A48AB"/>
    <w:rPr>
      <w:b/>
      <w:bCs/>
      <w:sz w:val="20"/>
      <w:szCs w:val="20"/>
      <w:lang w:eastAsia="en-US" w:bidi="en-US"/>
    </w:rPr>
  </w:style>
  <w:style w:type="paragraph" w:styleId="Revision">
    <w:name w:val="Revision"/>
    <w:hidden/>
    <w:uiPriority w:val="99"/>
    <w:semiHidden/>
    <w:rsid w:val="003A48AB"/>
    <w:pPr>
      <w:spacing w:after="0" w:line="240" w:lineRule="auto"/>
    </w:pPr>
    <w:rPr>
      <w:lang w:eastAsia="en-US" w:bidi="en-US"/>
    </w:rPr>
  </w:style>
  <w:style w:type="numbering" w:customStyle="1" w:styleId="NoList1">
    <w:name w:val="No List1"/>
    <w:next w:val="NoList"/>
    <w:uiPriority w:val="99"/>
    <w:semiHidden/>
    <w:unhideWhenUsed/>
    <w:rsid w:val="003A48AB"/>
  </w:style>
  <w:style w:type="paragraph" w:styleId="NormalWeb">
    <w:name w:val="Normal (Web)"/>
    <w:basedOn w:val="Normal"/>
    <w:uiPriority w:val="99"/>
    <w:unhideWhenUsed/>
    <w:rsid w:val="003A48AB"/>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2">
    <w:name w:val="No List2"/>
    <w:next w:val="NoList"/>
    <w:uiPriority w:val="99"/>
    <w:semiHidden/>
    <w:unhideWhenUsed/>
    <w:rsid w:val="003A48AB"/>
  </w:style>
  <w:style w:type="character" w:customStyle="1" w:styleId="apple-converted-space">
    <w:name w:val="apple-converted-space"/>
    <w:basedOn w:val="DefaultParagraphFont"/>
    <w:rsid w:val="003A48AB"/>
  </w:style>
  <w:style w:type="paragraph" w:customStyle="1" w:styleId="ListBullet1">
    <w:name w:val="List Bullet1"/>
    <w:basedOn w:val="Normal"/>
    <w:next w:val="ListBullet"/>
    <w:uiPriority w:val="99"/>
    <w:unhideWhenUsed/>
    <w:rsid w:val="003A48AB"/>
    <w:pPr>
      <w:numPr>
        <w:numId w:val="32"/>
      </w:numPr>
      <w:tabs>
        <w:tab w:val="clear" w:pos="360"/>
      </w:tabs>
      <w:spacing w:after="160" w:line="259" w:lineRule="auto"/>
      <w:ind w:left="1080"/>
      <w:contextualSpacing/>
    </w:pPr>
    <w:rPr>
      <w:lang w:eastAsia="ja-JP"/>
    </w:rPr>
  </w:style>
  <w:style w:type="table" w:customStyle="1" w:styleId="TableGrid1">
    <w:name w:val="Table Grid1"/>
    <w:basedOn w:val="TableNormal"/>
    <w:next w:val="TableGrid"/>
    <w:uiPriority w:val="39"/>
    <w:rsid w:val="003A48AB"/>
    <w:pPr>
      <w:spacing w:after="0" w:line="240" w:lineRule="auto"/>
    </w:pPr>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dsodd">
    <w:name w:val="cdsodd"/>
    <w:basedOn w:val="DefaultParagraphFont"/>
    <w:rsid w:val="003A48AB"/>
  </w:style>
  <w:style w:type="paragraph" w:customStyle="1" w:styleId="Heading">
    <w:name w:val="Heading"/>
    <w:basedOn w:val="Normal"/>
    <w:next w:val="Normal"/>
    <w:qFormat/>
    <w:rsid w:val="003A48AB"/>
    <w:pPr>
      <w:keepNext/>
      <w:tabs>
        <w:tab w:val="left" w:pos="720"/>
      </w:tabs>
      <w:suppressAutoHyphens/>
      <w:spacing w:before="240" w:after="120"/>
    </w:pPr>
    <w:rPr>
      <w:rFonts w:ascii="Arial" w:eastAsia="Droid Sans Fallback" w:hAnsi="Arial" w:cs="Lohit Hindi"/>
      <w:color w:val="00000A"/>
      <w:sz w:val="28"/>
      <w:szCs w:val="28"/>
      <w:lang w:eastAsia="en-US"/>
    </w:rPr>
  </w:style>
  <w:style w:type="character" w:customStyle="1" w:styleId="FollowedHyperlink1">
    <w:name w:val="FollowedHyperlink1"/>
    <w:basedOn w:val="DefaultParagraphFont"/>
    <w:uiPriority w:val="99"/>
    <w:semiHidden/>
    <w:unhideWhenUsed/>
    <w:rsid w:val="003A48AB"/>
    <w:rPr>
      <w:color w:val="954F72"/>
      <w:u w:val="single"/>
    </w:rPr>
  </w:style>
  <w:style w:type="paragraph" w:styleId="ListBullet">
    <w:name w:val="List Bullet"/>
    <w:basedOn w:val="Normal"/>
    <w:uiPriority w:val="99"/>
    <w:unhideWhenUsed/>
    <w:rsid w:val="003A48AB"/>
    <w:pPr>
      <w:tabs>
        <w:tab w:val="num" w:pos="360"/>
      </w:tabs>
      <w:ind w:left="360" w:hanging="360"/>
      <w:contextualSpacing/>
    </w:pPr>
  </w:style>
  <w:style w:type="character" w:styleId="FollowedHyperlink">
    <w:name w:val="FollowedHyperlink"/>
    <w:basedOn w:val="DefaultParagraphFont"/>
    <w:uiPriority w:val="99"/>
    <w:semiHidden/>
    <w:unhideWhenUsed/>
    <w:rsid w:val="003A48AB"/>
    <w:rPr>
      <w:color w:val="800080" w:themeColor="followedHyperlink"/>
      <w:u w:val="single"/>
    </w:rPr>
  </w:style>
  <w:style w:type="numbering" w:customStyle="1" w:styleId="NoList3">
    <w:name w:val="No List3"/>
    <w:next w:val="NoList"/>
    <w:uiPriority w:val="99"/>
    <w:semiHidden/>
    <w:unhideWhenUsed/>
    <w:rsid w:val="003A48AB"/>
  </w:style>
  <w:style w:type="character" w:customStyle="1" w:styleId="figuretitle">
    <w:name w:val="figuretitle"/>
    <w:basedOn w:val="DefaultParagraphFont"/>
    <w:rsid w:val="003A48AB"/>
  </w:style>
  <w:style w:type="paragraph" w:styleId="Caption">
    <w:name w:val="caption"/>
    <w:basedOn w:val="Normal"/>
    <w:next w:val="Normal"/>
    <w:uiPriority w:val="35"/>
    <w:unhideWhenUsed/>
    <w:qFormat/>
    <w:rsid w:val="003A48AB"/>
    <w:pPr>
      <w:spacing w:line="240" w:lineRule="auto"/>
    </w:pPr>
    <w:rPr>
      <w:rFonts w:ascii="Arial" w:hAnsi="Arial"/>
      <w:i/>
      <w:iCs/>
      <w:color w:val="1F497D" w:themeColor="text2"/>
      <w:sz w:val="18"/>
      <w:szCs w:val="18"/>
      <w:lang w:eastAsia="ja-JP"/>
    </w:rPr>
  </w:style>
  <w:style w:type="paragraph" w:customStyle="1" w:styleId="msonormal0">
    <w:name w:val="msonormal"/>
    <w:basedOn w:val="Normal"/>
    <w:rsid w:val="003A48AB"/>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4">
    <w:name w:val="No List4"/>
    <w:next w:val="NoList"/>
    <w:uiPriority w:val="99"/>
    <w:semiHidden/>
    <w:unhideWhenUsed/>
    <w:rsid w:val="003A48AB"/>
  </w:style>
  <w:style w:type="table" w:customStyle="1" w:styleId="TableGrid2">
    <w:name w:val="Table Grid2"/>
    <w:basedOn w:val="TableNormal"/>
    <w:next w:val="TableGrid"/>
    <w:uiPriority w:val="39"/>
    <w:rsid w:val="003A48AB"/>
    <w:pPr>
      <w:spacing w:after="0" w:line="240" w:lineRule="auto"/>
    </w:pPr>
    <w:rPr>
      <w:lang w:val="en-US"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3A48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footer" Target="footer2.xml"/><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62.png"/><Relationship Id="rId84" Type="http://schemas.openxmlformats.org/officeDocument/2006/relationships/image" Target="media/image70.png"/><Relationship Id="rId89" Type="http://schemas.openxmlformats.org/officeDocument/2006/relationships/image" Target="media/image75.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6.tiff"/><Relationship Id="rId2" Type="http://schemas.openxmlformats.org/officeDocument/2006/relationships/numbering" Target="numbering.xml"/><Relationship Id="rId16" Type="http://schemas.microsoft.com/office/2011/relationships/commentsExtended" Target="commentsExtended.xml"/><Relationship Id="rId29" Type="http://schemas.openxmlformats.org/officeDocument/2006/relationships/image" Target="media/image16.jpeg"/><Relationship Id="rId11" Type="http://schemas.openxmlformats.org/officeDocument/2006/relationships/image" Target="media/image3.jpg"/><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9.png"/><Relationship Id="rId58" Type="http://schemas.openxmlformats.org/officeDocument/2006/relationships/image" Target="media/image44.jpe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image" Target="media/image73.png"/><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8.png"/><Relationship Id="rId90" Type="http://schemas.openxmlformats.org/officeDocument/2006/relationships/image" Target="media/image76.png"/><Relationship Id="rId95" Type="http://schemas.openxmlformats.org/officeDocument/2006/relationships/fontTable" Target="fontTable.xml"/><Relationship Id="rId19" Type="http://schemas.openxmlformats.org/officeDocument/2006/relationships/hyperlink" Target="http://www.taab.co.uk" TargetMode="External"/><Relationship Id="rId14" Type="http://schemas.openxmlformats.org/officeDocument/2006/relationships/image" Target="media/image6.jpe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7.tiff"/><Relationship Id="rId3" Type="http://schemas.openxmlformats.org/officeDocument/2006/relationships/styles" Target="styles.xml"/><Relationship Id="rId12" Type="http://schemas.openxmlformats.org/officeDocument/2006/relationships/image" Target="media/image4.tif"/><Relationship Id="rId17" Type="http://schemas.openxmlformats.org/officeDocument/2006/relationships/image" Target="media/image7.jp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8.jpe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omments" Target="comments.xm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3.png"/><Relationship Id="rId10" Type="http://schemas.openxmlformats.org/officeDocument/2006/relationships/image" Target="media/image2.tiff"/><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https://www.abdn.ac.uk/rhynie%20on%20the%2002/03/2016" TargetMode="External"/><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hyperlink" Target="http://www.plantmorphogenesis.bio.titech.ac.jp/~algae_genome_project/klebsormidium/klebsormidium_blast.html"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hyperlink" Target="http://www.taab.co.uk" TargetMode="External"/><Relationship Id="rId39"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A11EC4-00A5-4DDC-98EA-66D2940319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263</Pages>
  <Words>144962</Words>
  <Characters>826289</Characters>
  <Application>Microsoft Office Word</Application>
  <DocSecurity>0</DocSecurity>
  <Lines>6885</Lines>
  <Paragraphs>1938</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969313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Arp10sm</dc:creator>
  <cp:keywords/>
  <dc:description/>
  <cp:lastModifiedBy>Bobby Caine</cp:lastModifiedBy>
  <cp:revision>2</cp:revision>
  <cp:lastPrinted>2017-02-06T13:12:00Z</cp:lastPrinted>
  <dcterms:created xsi:type="dcterms:W3CDTF">2017-02-06T15:28:00Z</dcterms:created>
  <dcterms:modified xsi:type="dcterms:W3CDTF">2017-02-06T15:28:00Z</dcterms:modified>
</cp:coreProperties>
</file>