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4E7F8" w14:textId="77777777" w:rsidR="00122856" w:rsidRPr="00122856" w:rsidRDefault="00122856" w:rsidP="00122856">
      <w:pPr>
        <w:autoSpaceDE w:val="0"/>
        <w:autoSpaceDN w:val="0"/>
        <w:adjustRightInd w:val="0"/>
        <w:spacing w:line="240" w:lineRule="auto"/>
        <w:jc w:val="left"/>
        <w:rPr>
          <w:rFonts w:eastAsia="Calibri" w:cs="Times New Roman"/>
          <w:szCs w:val="24"/>
        </w:rPr>
      </w:pPr>
      <w:r w:rsidRPr="00122856">
        <w:rPr>
          <w:rFonts w:eastAsia="Calibri" w:cs="Times New Roman"/>
          <w:noProof/>
          <w:szCs w:val="24"/>
          <w:lang w:eastAsia="en-GB"/>
        </w:rPr>
        <w:drawing>
          <wp:anchor distT="0" distB="0" distL="114300" distR="114300" simplePos="0" relativeHeight="251661312" behindDoc="0" locked="0" layoutInCell="1" allowOverlap="1" wp14:anchorId="6D1F4C19" wp14:editId="64B74B8C">
            <wp:simplePos x="0" y="0"/>
            <wp:positionH relativeFrom="column">
              <wp:posOffset>1310652</wp:posOffset>
            </wp:positionH>
            <wp:positionV relativeFrom="paragraph">
              <wp:posOffset>-310515</wp:posOffset>
            </wp:positionV>
            <wp:extent cx="3036570" cy="1104265"/>
            <wp:effectExtent l="0" t="0" r="0" b="0"/>
            <wp:wrapNone/>
            <wp:docPr id="204" name="Picture 204"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1813C7F9" w14:textId="77777777" w:rsidR="00122856" w:rsidRPr="00122856" w:rsidRDefault="00122856" w:rsidP="00122856">
      <w:pPr>
        <w:autoSpaceDE w:val="0"/>
        <w:autoSpaceDN w:val="0"/>
        <w:adjustRightInd w:val="0"/>
        <w:spacing w:line="240" w:lineRule="auto"/>
        <w:jc w:val="left"/>
        <w:rPr>
          <w:rFonts w:eastAsia="Calibri" w:cs="Times New Roman"/>
          <w:szCs w:val="24"/>
        </w:rPr>
      </w:pPr>
    </w:p>
    <w:p w14:paraId="49EB5BBF" w14:textId="77777777" w:rsidR="00122856" w:rsidRPr="00122856" w:rsidRDefault="00122856" w:rsidP="00122856">
      <w:pPr>
        <w:autoSpaceDE w:val="0"/>
        <w:autoSpaceDN w:val="0"/>
        <w:adjustRightInd w:val="0"/>
        <w:spacing w:line="240" w:lineRule="auto"/>
        <w:jc w:val="left"/>
        <w:rPr>
          <w:rFonts w:eastAsia="Calibri" w:cs="Times New Roman"/>
          <w:szCs w:val="24"/>
        </w:rPr>
      </w:pPr>
    </w:p>
    <w:p w14:paraId="652B8261" w14:textId="77777777" w:rsidR="00122856" w:rsidRPr="00122856" w:rsidRDefault="00122856" w:rsidP="00122856">
      <w:pPr>
        <w:autoSpaceDE w:val="0"/>
        <w:autoSpaceDN w:val="0"/>
        <w:adjustRightInd w:val="0"/>
        <w:spacing w:line="240" w:lineRule="auto"/>
        <w:jc w:val="left"/>
        <w:rPr>
          <w:rFonts w:eastAsia="Calibri" w:cs="Times New Roman"/>
          <w:szCs w:val="24"/>
        </w:rPr>
      </w:pPr>
    </w:p>
    <w:p w14:paraId="5135B4D4"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146710F2"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5101C4EB"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4BEC3D44"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40F747FF"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6991E9DC"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1DC5902A"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3F385CAC" w14:textId="7B4AA19D" w:rsidR="00122856" w:rsidRPr="00122856" w:rsidRDefault="00EB7104" w:rsidP="00122856">
      <w:pPr>
        <w:autoSpaceDE w:val="0"/>
        <w:autoSpaceDN w:val="0"/>
        <w:adjustRightInd w:val="0"/>
        <w:spacing w:line="240" w:lineRule="auto"/>
        <w:jc w:val="center"/>
        <w:rPr>
          <w:rFonts w:eastAsia="Calibri" w:cs="Times New Roman"/>
          <w:b/>
          <w:bCs/>
          <w:sz w:val="28"/>
          <w:szCs w:val="28"/>
        </w:rPr>
      </w:pPr>
      <w:r>
        <w:rPr>
          <w:rFonts w:eastAsia="Calibri" w:cs="Times New Roman"/>
          <w:b/>
          <w:bCs/>
          <w:color w:val="222222"/>
          <w:sz w:val="28"/>
          <w:szCs w:val="28"/>
          <w:shd w:val="clear" w:color="auto" w:fill="FFFFFF"/>
        </w:rPr>
        <w:t>The i</w:t>
      </w:r>
      <w:r w:rsidR="00122856" w:rsidRPr="00122856">
        <w:rPr>
          <w:rFonts w:eastAsia="Calibri" w:cs="Times New Roman"/>
          <w:b/>
          <w:bCs/>
          <w:color w:val="222222"/>
          <w:sz w:val="28"/>
          <w:szCs w:val="28"/>
          <w:shd w:val="clear" w:color="auto" w:fill="FFFFFF"/>
        </w:rPr>
        <w:t xml:space="preserve">mpact of adopting shareholder primacy corporate governance on </w:t>
      </w:r>
      <w:r>
        <w:rPr>
          <w:rFonts w:eastAsia="Calibri" w:cs="Times New Roman"/>
          <w:b/>
          <w:bCs/>
          <w:color w:val="222222"/>
          <w:sz w:val="28"/>
          <w:szCs w:val="28"/>
          <w:shd w:val="clear" w:color="auto" w:fill="FFFFFF"/>
        </w:rPr>
        <w:t xml:space="preserve">the </w:t>
      </w:r>
      <w:r w:rsidR="00122856" w:rsidRPr="00122856">
        <w:rPr>
          <w:rFonts w:eastAsia="Calibri" w:cs="Times New Roman"/>
          <w:b/>
          <w:bCs/>
          <w:color w:val="222222"/>
          <w:sz w:val="28"/>
          <w:szCs w:val="28"/>
          <w:shd w:val="clear" w:color="auto" w:fill="FFFFFF"/>
        </w:rPr>
        <w:t xml:space="preserve">growth of </w:t>
      </w:r>
      <w:r>
        <w:rPr>
          <w:rFonts w:eastAsia="Calibri" w:cs="Times New Roman"/>
          <w:b/>
          <w:bCs/>
          <w:color w:val="222222"/>
          <w:sz w:val="28"/>
          <w:szCs w:val="28"/>
          <w:shd w:val="clear" w:color="auto" w:fill="FFFFFF"/>
        </w:rPr>
        <w:t xml:space="preserve">the </w:t>
      </w:r>
      <w:r w:rsidR="00122856" w:rsidRPr="00122856">
        <w:rPr>
          <w:rFonts w:eastAsia="Calibri" w:cs="Times New Roman"/>
          <w:b/>
          <w:bCs/>
          <w:color w:val="222222"/>
          <w:sz w:val="28"/>
          <w:szCs w:val="28"/>
          <w:shd w:val="clear" w:color="auto" w:fill="FFFFFF"/>
        </w:rPr>
        <w:t xml:space="preserve">financial market in developing countries. </w:t>
      </w:r>
      <w:r w:rsidR="00122856" w:rsidRPr="00122856">
        <w:rPr>
          <w:rFonts w:eastAsia="Calibri" w:cs="Times New Roman"/>
          <w:b/>
          <w:bCs/>
          <w:color w:val="222222"/>
          <w:sz w:val="28"/>
          <w:szCs w:val="28"/>
        </w:rPr>
        <w:br/>
      </w:r>
      <w:r w:rsidR="00122856" w:rsidRPr="00122856">
        <w:rPr>
          <w:rFonts w:eastAsia="Calibri" w:cs="Times New Roman"/>
          <w:b/>
          <w:bCs/>
          <w:color w:val="222222"/>
          <w:sz w:val="28"/>
          <w:szCs w:val="28"/>
        </w:rPr>
        <w:br/>
      </w:r>
    </w:p>
    <w:p w14:paraId="7047FBE9" w14:textId="77777777" w:rsidR="00122856" w:rsidRPr="00122856" w:rsidRDefault="00122856" w:rsidP="00122856">
      <w:pPr>
        <w:autoSpaceDE w:val="0"/>
        <w:autoSpaceDN w:val="0"/>
        <w:adjustRightInd w:val="0"/>
        <w:spacing w:line="240" w:lineRule="auto"/>
        <w:jc w:val="left"/>
        <w:rPr>
          <w:rFonts w:eastAsia="Calibri" w:cs="Times New Roman"/>
          <w:szCs w:val="24"/>
        </w:rPr>
      </w:pPr>
    </w:p>
    <w:p w14:paraId="14981A26"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2A2FEB10"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0B5994B1" w14:textId="77777777" w:rsidR="00122856" w:rsidRPr="00122856" w:rsidRDefault="00122856" w:rsidP="00122856">
      <w:pPr>
        <w:autoSpaceDE w:val="0"/>
        <w:autoSpaceDN w:val="0"/>
        <w:adjustRightInd w:val="0"/>
        <w:spacing w:line="240" w:lineRule="auto"/>
        <w:jc w:val="center"/>
        <w:rPr>
          <w:rFonts w:eastAsia="Calibri" w:cs="Times New Roman"/>
          <w:b/>
          <w:bCs/>
          <w:szCs w:val="24"/>
        </w:rPr>
      </w:pPr>
      <w:r w:rsidRPr="00122856">
        <w:rPr>
          <w:rFonts w:eastAsia="Calibri" w:cs="Times New Roman"/>
          <w:b/>
          <w:bCs/>
          <w:szCs w:val="24"/>
        </w:rPr>
        <w:t>By:</w:t>
      </w:r>
    </w:p>
    <w:p w14:paraId="06A9EF8B" w14:textId="77777777" w:rsidR="00122856" w:rsidRPr="00122856" w:rsidRDefault="00122856" w:rsidP="00122856">
      <w:pPr>
        <w:autoSpaceDE w:val="0"/>
        <w:autoSpaceDN w:val="0"/>
        <w:adjustRightInd w:val="0"/>
        <w:spacing w:line="240" w:lineRule="auto"/>
        <w:jc w:val="center"/>
        <w:rPr>
          <w:rFonts w:eastAsia="Calibri" w:cs="Times New Roman"/>
          <w:szCs w:val="24"/>
        </w:rPr>
      </w:pPr>
    </w:p>
    <w:p w14:paraId="40576589" w14:textId="77777777" w:rsidR="00122856" w:rsidRPr="00122856" w:rsidRDefault="00122856" w:rsidP="00122856">
      <w:pPr>
        <w:autoSpaceDE w:val="0"/>
        <w:autoSpaceDN w:val="0"/>
        <w:adjustRightInd w:val="0"/>
        <w:spacing w:line="240" w:lineRule="auto"/>
        <w:jc w:val="center"/>
        <w:rPr>
          <w:rFonts w:eastAsia="Calibri" w:cs="Times New Roman"/>
          <w:sz w:val="28"/>
          <w:szCs w:val="28"/>
        </w:rPr>
      </w:pPr>
      <w:r w:rsidRPr="00122856">
        <w:rPr>
          <w:rFonts w:eastAsia="Calibri" w:cs="Times New Roman"/>
          <w:sz w:val="28"/>
          <w:szCs w:val="28"/>
        </w:rPr>
        <w:t>Navajyoti Samanta</w:t>
      </w:r>
    </w:p>
    <w:p w14:paraId="73DF21E4" w14:textId="77777777" w:rsidR="00122856" w:rsidRPr="00122856" w:rsidRDefault="00122856" w:rsidP="00122856">
      <w:pPr>
        <w:autoSpaceDE w:val="0"/>
        <w:autoSpaceDN w:val="0"/>
        <w:adjustRightInd w:val="0"/>
        <w:spacing w:line="240" w:lineRule="auto"/>
        <w:jc w:val="left"/>
        <w:rPr>
          <w:rFonts w:eastAsia="Calibri" w:cs="Times New Roman"/>
          <w:sz w:val="28"/>
          <w:szCs w:val="28"/>
        </w:rPr>
      </w:pPr>
    </w:p>
    <w:p w14:paraId="522421F6" w14:textId="77777777" w:rsidR="00122856" w:rsidRPr="00122856" w:rsidRDefault="00122856" w:rsidP="00122856">
      <w:pPr>
        <w:autoSpaceDE w:val="0"/>
        <w:autoSpaceDN w:val="0"/>
        <w:adjustRightInd w:val="0"/>
        <w:spacing w:line="240" w:lineRule="auto"/>
        <w:jc w:val="left"/>
        <w:rPr>
          <w:rFonts w:eastAsia="Calibri" w:cs="Times New Roman"/>
          <w:szCs w:val="24"/>
        </w:rPr>
      </w:pPr>
    </w:p>
    <w:p w14:paraId="4F37B734" w14:textId="77777777" w:rsidR="00122856" w:rsidRPr="00122856" w:rsidRDefault="00122856" w:rsidP="00122856">
      <w:pPr>
        <w:autoSpaceDE w:val="0"/>
        <w:autoSpaceDN w:val="0"/>
        <w:adjustRightInd w:val="0"/>
        <w:spacing w:line="240" w:lineRule="auto"/>
        <w:jc w:val="left"/>
        <w:rPr>
          <w:rFonts w:eastAsia="Calibri" w:cs="Times New Roman"/>
          <w:szCs w:val="24"/>
        </w:rPr>
      </w:pPr>
    </w:p>
    <w:p w14:paraId="277C21C1" w14:textId="77777777" w:rsidR="00122856" w:rsidRPr="00122856" w:rsidRDefault="00122856" w:rsidP="00122856">
      <w:pPr>
        <w:autoSpaceDE w:val="0"/>
        <w:autoSpaceDN w:val="0"/>
        <w:adjustRightInd w:val="0"/>
        <w:spacing w:line="240" w:lineRule="auto"/>
        <w:jc w:val="left"/>
        <w:rPr>
          <w:rFonts w:eastAsia="Calibri" w:cs="Times New Roman"/>
          <w:szCs w:val="24"/>
        </w:rPr>
      </w:pPr>
    </w:p>
    <w:p w14:paraId="6027B71D" w14:textId="77777777" w:rsidR="00122856" w:rsidRPr="00122856" w:rsidRDefault="00122856" w:rsidP="00122856">
      <w:pPr>
        <w:autoSpaceDE w:val="0"/>
        <w:autoSpaceDN w:val="0"/>
        <w:adjustRightInd w:val="0"/>
        <w:spacing w:line="240" w:lineRule="auto"/>
        <w:jc w:val="center"/>
        <w:rPr>
          <w:rFonts w:eastAsia="Calibri" w:cs="Times New Roman"/>
          <w:szCs w:val="24"/>
        </w:rPr>
      </w:pPr>
      <w:r w:rsidRPr="00122856">
        <w:rPr>
          <w:rFonts w:eastAsia="Calibri" w:cs="Times New Roman"/>
          <w:szCs w:val="24"/>
        </w:rPr>
        <w:t>A thesis submitted in partial fulfilment of the requirements for the degree of</w:t>
      </w:r>
    </w:p>
    <w:p w14:paraId="6EA8B0BE" w14:textId="77777777" w:rsidR="00122856" w:rsidRPr="00122856" w:rsidRDefault="00122856" w:rsidP="00122856">
      <w:pPr>
        <w:spacing w:after="200" w:line="276" w:lineRule="auto"/>
        <w:jc w:val="center"/>
        <w:rPr>
          <w:rFonts w:eastAsia="Calibri" w:cs="Times New Roman"/>
          <w:szCs w:val="24"/>
        </w:rPr>
      </w:pPr>
      <w:r w:rsidRPr="00122856">
        <w:rPr>
          <w:rFonts w:eastAsia="Calibri" w:cs="Times New Roman"/>
          <w:szCs w:val="24"/>
        </w:rPr>
        <w:t xml:space="preserve">Doctor of Philosophy </w:t>
      </w:r>
    </w:p>
    <w:p w14:paraId="589167BA" w14:textId="77777777" w:rsidR="00122856" w:rsidRPr="00122856" w:rsidRDefault="00122856" w:rsidP="00122856">
      <w:pPr>
        <w:spacing w:after="200" w:line="276" w:lineRule="auto"/>
        <w:jc w:val="center"/>
        <w:rPr>
          <w:rFonts w:eastAsia="Calibri" w:cs="Times New Roman"/>
          <w:szCs w:val="24"/>
        </w:rPr>
      </w:pPr>
    </w:p>
    <w:p w14:paraId="5D452A67" w14:textId="77777777" w:rsidR="00122856" w:rsidRPr="00122856" w:rsidRDefault="00122856" w:rsidP="00122856">
      <w:pPr>
        <w:spacing w:after="200" w:line="276" w:lineRule="auto"/>
        <w:jc w:val="center"/>
        <w:rPr>
          <w:rFonts w:eastAsia="Calibri" w:cs="Times New Roman"/>
          <w:szCs w:val="24"/>
        </w:rPr>
      </w:pPr>
    </w:p>
    <w:p w14:paraId="41789778" w14:textId="77777777" w:rsidR="00122856" w:rsidRPr="00122856" w:rsidRDefault="00122856" w:rsidP="00122856">
      <w:pPr>
        <w:spacing w:after="200" w:line="276" w:lineRule="auto"/>
        <w:jc w:val="center"/>
        <w:rPr>
          <w:rFonts w:eastAsia="Calibri" w:cs="Times New Roman"/>
          <w:szCs w:val="24"/>
        </w:rPr>
      </w:pPr>
    </w:p>
    <w:p w14:paraId="4A57BF91" w14:textId="77777777" w:rsidR="00122856" w:rsidRPr="00122856" w:rsidRDefault="00122856" w:rsidP="00122856">
      <w:pPr>
        <w:spacing w:line="240" w:lineRule="auto"/>
        <w:jc w:val="center"/>
        <w:rPr>
          <w:rFonts w:eastAsia="Calibri" w:cs="Times New Roman"/>
          <w:szCs w:val="24"/>
        </w:rPr>
      </w:pPr>
      <w:r w:rsidRPr="00122856">
        <w:rPr>
          <w:rFonts w:eastAsia="Calibri" w:cs="Times New Roman"/>
          <w:szCs w:val="24"/>
        </w:rPr>
        <w:t>The University of Sheffield</w:t>
      </w:r>
    </w:p>
    <w:p w14:paraId="235D09E0" w14:textId="77777777" w:rsidR="00122856" w:rsidRPr="00122856" w:rsidRDefault="00122856" w:rsidP="00122856">
      <w:pPr>
        <w:autoSpaceDE w:val="0"/>
        <w:autoSpaceDN w:val="0"/>
        <w:adjustRightInd w:val="0"/>
        <w:spacing w:line="240" w:lineRule="auto"/>
        <w:jc w:val="center"/>
        <w:rPr>
          <w:rFonts w:eastAsia="Calibri" w:cs="Times New Roman"/>
          <w:szCs w:val="24"/>
        </w:rPr>
      </w:pPr>
      <w:r w:rsidRPr="00122856">
        <w:rPr>
          <w:rFonts w:eastAsia="Calibri" w:cs="Times New Roman"/>
          <w:szCs w:val="24"/>
        </w:rPr>
        <w:t>Faculty of Social Sciences</w:t>
      </w:r>
    </w:p>
    <w:p w14:paraId="435094F1" w14:textId="77777777" w:rsidR="00122856" w:rsidRPr="00122856" w:rsidRDefault="00122856" w:rsidP="00122856">
      <w:pPr>
        <w:spacing w:after="200" w:line="276" w:lineRule="auto"/>
        <w:jc w:val="center"/>
        <w:rPr>
          <w:rFonts w:eastAsia="Calibri" w:cs="Times New Roman"/>
          <w:szCs w:val="24"/>
        </w:rPr>
      </w:pPr>
      <w:r w:rsidRPr="00122856">
        <w:rPr>
          <w:rFonts w:eastAsia="Calibri" w:cs="Times New Roman"/>
          <w:szCs w:val="24"/>
        </w:rPr>
        <w:t>School of Law</w:t>
      </w:r>
    </w:p>
    <w:p w14:paraId="056EAEBB" w14:textId="77777777" w:rsidR="00122856" w:rsidRPr="00122856" w:rsidRDefault="00122856" w:rsidP="00122856">
      <w:pPr>
        <w:spacing w:after="200" w:line="276" w:lineRule="auto"/>
        <w:jc w:val="center"/>
        <w:rPr>
          <w:rFonts w:eastAsia="Calibri" w:cs="Times New Roman"/>
          <w:szCs w:val="24"/>
        </w:rPr>
      </w:pPr>
    </w:p>
    <w:p w14:paraId="0231F2DC" w14:textId="77777777" w:rsidR="00122856" w:rsidRPr="00122856" w:rsidRDefault="00122856" w:rsidP="00122856">
      <w:pPr>
        <w:spacing w:after="200" w:line="276" w:lineRule="auto"/>
        <w:jc w:val="center"/>
        <w:rPr>
          <w:rFonts w:eastAsia="Calibri" w:cs="Times New Roman"/>
          <w:szCs w:val="24"/>
        </w:rPr>
      </w:pPr>
      <w:r w:rsidRPr="00122856">
        <w:rPr>
          <w:rFonts w:eastAsia="Calibri" w:cs="Times New Roman"/>
          <w:szCs w:val="24"/>
        </w:rPr>
        <w:t xml:space="preserve"> </w:t>
      </w:r>
    </w:p>
    <w:p w14:paraId="513E9ADE" w14:textId="77777777" w:rsidR="00122856" w:rsidRPr="00122856" w:rsidRDefault="00122856" w:rsidP="00122856">
      <w:pPr>
        <w:spacing w:after="200" w:line="276" w:lineRule="auto"/>
        <w:jc w:val="center"/>
        <w:rPr>
          <w:rFonts w:eastAsia="Calibri" w:cs="Times New Roman"/>
          <w:szCs w:val="24"/>
        </w:rPr>
      </w:pPr>
    </w:p>
    <w:p w14:paraId="69C81249" w14:textId="77777777" w:rsidR="00122856" w:rsidRPr="00122856" w:rsidRDefault="00122856" w:rsidP="00122856">
      <w:pPr>
        <w:spacing w:after="200" w:line="276" w:lineRule="auto"/>
        <w:jc w:val="center"/>
        <w:rPr>
          <w:rFonts w:eastAsia="Calibri" w:cs="Times New Roman"/>
          <w:szCs w:val="24"/>
        </w:rPr>
      </w:pPr>
    </w:p>
    <w:p w14:paraId="3B7270FB" w14:textId="77777777" w:rsidR="00122856" w:rsidRPr="00122856" w:rsidRDefault="00122856" w:rsidP="00122856">
      <w:pPr>
        <w:spacing w:after="200" w:line="276" w:lineRule="auto"/>
        <w:jc w:val="center"/>
        <w:rPr>
          <w:rFonts w:eastAsia="Calibri" w:cs="Times New Roman"/>
          <w:szCs w:val="24"/>
        </w:rPr>
      </w:pPr>
    </w:p>
    <w:p w14:paraId="30652DB1" w14:textId="77777777" w:rsidR="00122856" w:rsidRDefault="00122856" w:rsidP="00122856">
      <w:pPr>
        <w:spacing w:after="200" w:line="276" w:lineRule="auto"/>
        <w:jc w:val="center"/>
        <w:rPr>
          <w:rFonts w:eastAsia="Calibri" w:cs="Times New Roman"/>
          <w:szCs w:val="24"/>
        </w:rPr>
      </w:pPr>
      <w:r w:rsidRPr="00122856">
        <w:rPr>
          <w:rFonts w:eastAsia="Calibri" w:cs="Times New Roman"/>
          <w:szCs w:val="24"/>
        </w:rPr>
        <w:t>November 2015</w:t>
      </w:r>
    </w:p>
    <w:p w14:paraId="18CDAFFC" w14:textId="77777777" w:rsidR="00F712A4" w:rsidRDefault="00F712A4" w:rsidP="00122856">
      <w:pPr>
        <w:spacing w:after="200" w:line="276" w:lineRule="auto"/>
        <w:jc w:val="center"/>
        <w:rPr>
          <w:rFonts w:eastAsia="Calibri" w:cs="Times New Roman"/>
          <w:szCs w:val="24"/>
        </w:rPr>
      </w:pPr>
    </w:p>
    <w:p w14:paraId="25E51A0F" w14:textId="77777777" w:rsidR="00F712A4" w:rsidRDefault="00F712A4" w:rsidP="00122856">
      <w:pPr>
        <w:spacing w:after="200" w:line="276" w:lineRule="auto"/>
        <w:jc w:val="center"/>
        <w:rPr>
          <w:rFonts w:eastAsia="Calibri" w:cs="Times New Roman"/>
          <w:szCs w:val="24"/>
        </w:rPr>
      </w:pPr>
    </w:p>
    <w:p w14:paraId="61257E2D" w14:textId="77777777" w:rsidR="00F712A4" w:rsidRDefault="00F712A4" w:rsidP="00122856">
      <w:pPr>
        <w:spacing w:after="200" w:line="276" w:lineRule="auto"/>
        <w:jc w:val="center"/>
        <w:rPr>
          <w:rFonts w:eastAsia="Calibri" w:cs="Times New Roman"/>
          <w:szCs w:val="24"/>
        </w:rPr>
      </w:pPr>
    </w:p>
    <w:p w14:paraId="76665E2F" w14:textId="77777777" w:rsidR="00F712A4" w:rsidRDefault="00F712A4" w:rsidP="00122856">
      <w:pPr>
        <w:spacing w:after="200" w:line="276" w:lineRule="auto"/>
        <w:jc w:val="center"/>
        <w:rPr>
          <w:rFonts w:eastAsia="Calibri" w:cs="Times New Roman"/>
          <w:szCs w:val="24"/>
        </w:rPr>
      </w:pPr>
    </w:p>
    <w:p w14:paraId="3EFD148A" w14:textId="77777777" w:rsidR="00F712A4" w:rsidRDefault="00F712A4" w:rsidP="00122856">
      <w:pPr>
        <w:spacing w:after="200" w:line="276" w:lineRule="auto"/>
        <w:jc w:val="center"/>
        <w:rPr>
          <w:rFonts w:eastAsia="Calibri" w:cs="Times New Roman"/>
          <w:szCs w:val="24"/>
        </w:rPr>
      </w:pPr>
    </w:p>
    <w:p w14:paraId="0E09D2DE" w14:textId="77777777" w:rsidR="00F712A4" w:rsidRDefault="00F712A4" w:rsidP="00122856">
      <w:pPr>
        <w:spacing w:after="200" w:line="276" w:lineRule="auto"/>
        <w:jc w:val="center"/>
        <w:rPr>
          <w:rFonts w:eastAsia="Calibri" w:cs="Times New Roman"/>
          <w:szCs w:val="24"/>
        </w:rPr>
      </w:pPr>
    </w:p>
    <w:p w14:paraId="774B4670" w14:textId="77777777" w:rsidR="00F712A4" w:rsidRDefault="00F712A4" w:rsidP="00122856">
      <w:pPr>
        <w:spacing w:after="200" w:line="276" w:lineRule="auto"/>
        <w:jc w:val="center"/>
        <w:rPr>
          <w:rFonts w:eastAsia="Calibri" w:cs="Times New Roman"/>
          <w:szCs w:val="24"/>
        </w:rPr>
      </w:pPr>
    </w:p>
    <w:p w14:paraId="29EB553C" w14:textId="77777777" w:rsidR="00F712A4" w:rsidRDefault="00F712A4" w:rsidP="00122856">
      <w:pPr>
        <w:spacing w:after="200" w:line="276" w:lineRule="auto"/>
        <w:jc w:val="center"/>
        <w:rPr>
          <w:rFonts w:eastAsia="Calibri" w:cs="Times New Roman"/>
          <w:szCs w:val="24"/>
        </w:rPr>
      </w:pPr>
    </w:p>
    <w:p w14:paraId="56A9A3E3" w14:textId="77777777" w:rsidR="00F712A4" w:rsidRDefault="00F712A4" w:rsidP="00122856">
      <w:pPr>
        <w:spacing w:after="200" w:line="276" w:lineRule="auto"/>
        <w:jc w:val="center"/>
        <w:rPr>
          <w:rFonts w:eastAsia="Calibri" w:cs="Times New Roman"/>
          <w:szCs w:val="24"/>
        </w:rPr>
      </w:pPr>
    </w:p>
    <w:p w14:paraId="158DF090" w14:textId="77777777" w:rsidR="00F712A4" w:rsidRPr="00F712A4" w:rsidRDefault="00F712A4" w:rsidP="00122856">
      <w:pPr>
        <w:spacing w:after="200" w:line="276" w:lineRule="auto"/>
        <w:jc w:val="center"/>
        <w:rPr>
          <w:rFonts w:eastAsia="Calibri" w:cs="Times New Roman"/>
          <w:sz w:val="28"/>
          <w:szCs w:val="24"/>
        </w:rPr>
      </w:pPr>
    </w:p>
    <w:p w14:paraId="0152928B" w14:textId="1EB2C124" w:rsidR="00F712A4" w:rsidRPr="0011446A" w:rsidRDefault="00F712A4" w:rsidP="00122856">
      <w:pPr>
        <w:spacing w:after="200" w:line="276" w:lineRule="auto"/>
        <w:jc w:val="center"/>
        <w:rPr>
          <w:rFonts w:eastAsia="Calibri" w:cs="Times New Roman"/>
          <w:i/>
          <w:sz w:val="28"/>
          <w:szCs w:val="24"/>
        </w:rPr>
      </w:pPr>
      <w:r w:rsidRPr="0011446A">
        <w:rPr>
          <w:rFonts w:eastAsia="Calibri" w:cs="Times New Roman"/>
          <w:i/>
          <w:sz w:val="28"/>
          <w:szCs w:val="24"/>
        </w:rPr>
        <w:t>Dedicated to the giants</w:t>
      </w:r>
    </w:p>
    <w:p w14:paraId="3AA9C9E2" w14:textId="03D5DFF3" w:rsidR="00F712A4" w:rsidRPr="0011446A" w:rsidRDefault="00F712A4" w:rsidP="00122856">
      <w:pPr>
        <w:spacing w:after="200" w:line="276" w:lineRule="auto"/>
        <w:jc w:val="center"/>
        <w:rPr>
          <w:rFonts w:eastAsia="Calibri" w:cs="Times New Roman"/>
          <w:i/>
          <w:sz w:val="28"/>
          <w:szCs w:val="24"/>
        </w:rPr>
      </w:pPr>
      <w:r w:rsidRPr="0011446A">
        <w:rPr>
          <w:rFonts w:eastAsia="Calibri" w:cs="Times New Roman"/>
          <w:i/>
          <w:sz w:val="28"/>
          <w:szCs w:val="24"/>
        </w:rPr>
        <w:t>on whose shoulders I stand</w:t>
      </w:r>
    </w:p>
    <w:p w14:paraId="5BEC6771" w14:textId="77777777" w:rsidR="00F712A4" w:rsidRDefault="00F712A4" w:rsidP="00F712A4">
      <w:pPr>
        <w:spacing w:after="200" w:line="276" w:lineRule="auto"/>
        <w:rPr>
          <w:rFonts w:eastAsia="Calibri" w:cs="Times New Roman"/>
          <w:szCs w:val="24"/>
        </w:rPr>
      </w:pPr>
    </w:p>
    <w:p w14:paraId="450111A2" w14:textId="77777777" w:rsidR="00F712A4" w:rsidRDefault="00F712A4" w:rsidP="00F712A4">
      <w:pPr>
        <w:spacing w:after="200" w:line="276" w:lineRule="auto"/>
        <w:rPr>
          <w:rFonts w:eastAsia="Calibri" w:cs="Times New Roman"/>
          <w:szCs w:val="24"/>
        </w:rPr>
      </w:pPr>
    </w:p>
    <w:p w14:paraId="44319652" w14:textId="77777777" w:rsidR="00F712A4" w:rsidRDefault="00F712A4" w:rsidP="00122856">
      <w:pPr>
        <w:spacing w:after="200" w:line="276" w:lineRule="auto"/>
        <w:jc w:val="center"/>
        <w:rPr>
          <w:rFonts w:eastAsia="Calibri" w:cs="Times New Roman"/>
          <w:szCs w:val="24"/>
        </w:rPr>
      </w:pPr>
    </w:p>
    <w:p w14:paraId="6F36B1EA" w14:textId="77777777" w:rsidR="00F712A4" w:rsidRDefault="00F712A4" w:rsidP="00F712A4">
      <w:pPr>
        <w:spacing w:after="200" w:line="276" w:lineRule="auto"/>
        <w:rPr>
          <w:rFonts w:eastAsia="Calibri" w:cs="Times New Roman"/>
          <w:szCs w:val="24"/>
        </w:rPr>
      </w:pPr>
    </w:p>
    <w:p w14:paraId="1DDA317F" w14:textId="77777777" w:rsidR="00F712A4" w:rsidRDefault="00F712A4" w:rsidP="00F712A4">
      <w:pPr>
        <w:spacing w:after="200" w:line="276" w:lineRule="auto"/>
        <w:rPr>
          <w:rFonts w:eastAsia="Calibri" w:cs="Times New Roman"/>
          <w:szCs w:val="24"/>
        </w:rPr>
      </w:pPr>
    </w:p>
    <w:p w14:paraId="205451C6" w14:textId="77777777" w:rsidR="00F712A4" w:rsidRDefault="00F712A4" w:rsidP="00122856">
      <w:pPr>
        <w:spacing w:after="200" w:line="276" w:lineRule="auto"/>
        <w:jc w:val="center"/>
        <w:rPr>
          <w:rFonts w:eastAsia="Calibri" w:cs="Times New Roman"/>
          <w:szCs w:val="24"/>
        </w:rPr>
      </w:pPr>
    </w:p>
    <w:p w14:paraId="5DD1E4D5" w14:textId="77777777" w:rsidR="00F712A4" w:rsidRDefault="00F712A4" w:rsidP="00122856">
      <w:pPr>
        <w:spacing w:after="200" w:line="276" w:lineRule="auto"/>
        <w:jc w:val="center"/>
        <w:rPr>
          <w:rFonts w:eastAsia="Calibri" w:cs="Times New Roman"/>
          <w:szCs w:val="24"/>
        </w:rPr>
      </w:pPr>
    </w:p>
    <w:p w14:paraId="5844994B" w14:textId="77777777" w:rsidR="00F712A4" w:rsidRDefault="00F712A4" w:rsidP="00122856">
      <w:pPr>
        <w:spacing w:after="200" w:line="276" w:lineRule="auto"/>
        <w:jc w:val="center"/>
        <w:rPr>
          <w:rFonts w:eastAsia="Calibri" w:cs="Times New Roman"/>
          <w:szCs w:val="24"/>
        </w:rPr>
      </w:pPr>
    </w:p>
    <w:p w14:paraId="5AB9AAE3" w14:textId="77777777" w:rsidR="00F712A4" w:rsidRDefault="00F712A4" w:rsidP="00122856">
      <w:pPr>
        <w:spacing w:after="200" w:line="276" w:lineRule="auto"/>
        <w:jc w:val="center"/>
        <w:rPr>
          <w:rFonts w:eastAsia="Calibri" w:cs="Times New Roman"/>
          <w:szCs w:val="24"/>
        </w:rPr>
      </w:pPr>
    </w:p>
    <w:p w14:paraId="1FDD9BBC" w14:textId="77777777" w:rsidR="00F712A4" w:rsidRDefault="00F712A4" w:rsidP="00122856">
      <w:pPr>
        <w:spacing w:after="200" w:line="276" w:lineRule="auto"/>
        <w:jc w:val="center"/>
        <w:rPr>
          <w:rFonts w:eastAsia="Calibri" w:cs="Times New Roman"/>
          <w:szCs w:val="24"/>
        </w:rPr>
      </w:pPr>
    </w:p>
    <w:p w14:paraId="13AC49E6" w14:textId="77777777" w:rsidR="00F712A4" w:rsidRDefault="00F712A4" w:rsidP="00122856">
      <w:pPr>
        <w:spacing w:after="200" w:line="276" w:lineRule="auto"/>
        <w:jc w:val="center"/>
        <w:rPr>
          <w:rFonts w:eastAsia="Calibri" w:cs="Times New Roman"/>
          <w:szCs w:val="24"/>
        </w:rPr>
      </w:pPr>
    </w:p>
    <w:p w14:paraId="7842789B" w14:textId="77777777" w:rsidR="00083E6D" w:rsidRDefault="00083E6D" w:rsidP="00083E6D">
      <w:pPr>
        <w:spacing w:after="200" w:line="276" w:lineRule="auto"/>
        <w:rPr>
          <w:rFonts w:eastAsia="Calibri" w:cs="Times New Roman"/>
          <w:szCs w:val="24"/>
        </w:rPr>
      </w:pPr>
    </w:p>
    <w:p w14:paraId="28660595" w14:textId="77777777" w:rsidR="00413229" w:rsidRDefault="00413229" w:rsidP="00083E6D">
      <w:pPr>
        <w:spacing w:after="200" w:line="276" w:lineRule="auto"/>
        <w:rPr>
          <w:rFonts w:eastAsia="Calibri" w:cs="Times New Roman"/>
          <w:szCs w:val="24"/>
        </w:rPr>
      </w:pPr>
    </w:p>
    <w:p w14:paraId="6CF0FF44" w14:textId="77777777" w:rsidR="00413229" w:rsidRDefault="00413229" w:rsidP="00083E6D">
      <w:pPr>
        <w:spacing w:after="200" w:line="276" w:lineRule="auto"/>
        <w:rPr>
          <w:rFonts w:eastAsia="Calibri" w:cs="Times New Roman"/>
          <w:szCs w:val="24"/>
        </w:rPr>
      </w:pPr>
    </w:p>
    <w:p w14:paraId="2919C0AE" w14:textId="77777777" w:rsidR="00083E6D" w:rsidRPr="00122856" w:rsidRDefault="00083E6D" w:rsidP="00083E6D">
      <w:pPr>
        <w:spacing w:after="200" w:line="276" w:lineRule="auto"/>
        <w:rPr>
          <w:rFonts w:eastAsia="Calibri" w:cs="Times New Roman"/>
          <w:szCs w:val="24"/>
        </w:rPr>
      </w:pPr>
    </w:p>
    <w:p w14:paraId="3496B758" w14:textId="77777777" w:rsidR="00122856" w:rsidRPr="00122856" w:rsidRDefault="00122856" w:rsidP="00122856">
      <w:pPr>
        <w:spacing w:line="480" w:lineRule="auto"/>
        <w:contextualSpacing/>
        <w:jc w:val="center"/>
        <w:rPr>
          <w:rFonts w:eastAsia="Calibri" w:cs="Times New Roman"/>
          <w:b/>
          <w:sz w:val="28"/>
          <w:szCs w:val="24"/>
        </w:rPr>
      </w:pPr>
      <w:r w:rsidRPr="00122856">
        <w:rPr>
          <w:rFonts w:eastAsia="Calibri" w:cs="Times New Roman"/>
          <w:b/>
          <w:sz w:val="28"/>
          <w:szCs w:val="24"/>
        </w:rPr>
        <w:lastRenderedPageBreak/>
        <w:t>Abstract</w:t>
      </w:r>
    </w:p>
    <w:p w14:paraId="15046EDB" w14:textId="3EC0E8A7" w:rsidR="00122856" w:rsidRPr="00122856" w:rsidRDefault="00122856" w:rsidP="00122856">
      <w:pPr>
        <w:ind w:left="567" w:right="567"/>
        <w:contextualSpacing/>
        <w:rPr>
          <w:rFonts w:eastAsia="Calibri" w:cs="Times New Roman"/>
          <w:i/>
          <w:szCs w:val="24"/>
        </w:rPr>
      </w:pPr>
      <w:r w:rsidRPr="00122856">
        <w:rPr>
          <w:rFonts w:eastAsia="Calibri" w:cs="Times New Roman"/>
          <w:i/>
          <w:szCs w:val="24"/>
        </w:rPr>
        <w:t xml:space="preserve">Since </w:t>
      </w:r>
      <w:r w:rsidR="00EB7104">
        <w:rPr>
          <w:rFonts w:eastAsia="Calibri" w:cs="Times New Roman"/>
          <w:i/>
          <w:szCs w:val="24"/>
        </w:rPr>
        <w:t xml:space="preserve">the </w:t>
      </w:r>
      <w:r w:rsidRPr="00122856">
        <w:rPr>
          <w:rFonts w:eastAsia="Calibri" w:cs="Times New Roman"/>
          <w:i/>
          <w:szCs w:val="24"/>
        </w:rPr>
        <w:t>late 1990s, developing countries have been encouraged by international financial organisations to adopt a shareholder primacy c</w:t>
      </w:r>
      <w:r w:rsidR="00F82059">
        <w:rPr>
          <w:rFonts w:eastAsia="Calibri" w:cs="Times New Roman"/>
          <w:i/>
          <w:szCs w:val="24"/>
        </w:rPr>
        <w:t>orporate governance model. It was</w:t>
      </w:r>
      <w:r w:rsidRPr="00122856">
        <w:rPr>
          <w:rFonts w:eastAsia="Calibri" w:cs="Times New Roman"/>
          <w:i/>
          <w:szCs w:val="24"/>
        </w:rPr>
        <w:t xml:space="preserve"> anticipated that in an increasingly globalised financial market, countries which introduce</w:t>
      </w:r>
      <w:r w:rsidR="00F82059">
        <w:rPr>
          <w:rFonts w:eastAsia="Calibri" w:cs="Times New Roman"/>
          <w:i/>
          <w:szCs w:val="24"/>
        </w:rPr>
        <w:t>d</w:t>
      </w:r>
      <w:r w:rsidRPr="00122856">
        <w:rPr>
          <w:rFonts w:eastAsia="Calibri" w:cs="Times New Roman"/>
          <w:i/>
          <w:szCs w:val="24"/>
        </w:rPr>
        <w:t xml:space="preserve"> corporate governance practices that favour investors w</w:t>
      </w:r>
      <w:r w:rsidR="00F82059">
        <w:rPr>
          <w:rFonts w:eastAsia="Calibri" w:cs="Times New Roman"/>
          <w:i/>
          <w:szCs w:val="24"/>
        </w:rPr>
        <w:t>ould</w:t>
      </w:r>
      <w:r w:rsidRPr="00122856">
        <w:rPr>
          <w:rFonts w:eastAsia="Calibri" w:cs="Times New Roman"/>
          <w:i/>
          <w:szCs w:val="24"/>
        </w:rPr>
        <w:t xml:space="preserve"> gain a comparative advantage</w:t>
      </w:r>
      <w:r w:rsidR="00EB7104">
        <w:rPr>
          <w:rFonts w:eastAsia="Calibri" w:cs="Times New Roman"/>
          <w:i/>
          <w:szCs w:val="24"/>
        </w:rPr>
        <w:t xml:space="preserve"> and</w:t>
      </w:r>
      <w:r w:rsidRPr="00122856">
        <w:rPr>
          <w:rFonts w:eastAsia="Calibri" w:cs="Times New Roman"/>
          <w:i/>
          <w:szCs w:val="24"/>
        </w:rPr>
        <w:t xml:space="preserve"> attract</w:t>
      </w:r>
      <w:r w:rsidR="00972E69">
        <w:rPr>
          <w:rFonts w:eastAsia="Calibri" w:cs="Times New Roman"/>
          <w:i/>
          <w:szCs w:val="24"/>
        </w:rPr>
        <w:t xml:space="preserve"> more capital leading to </w:t>
      </w:r>
      <w:r w:rsidRPr="00122856">
        <w:rPr>
          <w:rFonts w:eastAsia="Calibri" w:cs="Times New Roman"/>
          <w:i/>
          <w:szCs w:val="24"/>
        </w:rPr>
        <w:t>financial market</w:t>
      </w:r>
      <w:r w:rsidR="00972E69">
        <w:rPr>
          <w:rFonts w:eastAsia="Calibri" w:cs="Times New Roman"/>
          <w:i/>
          <w:szCs w:val="24"/>
        </w:rPr>
        <w:t xml:space="preserve"> growth</w:t>
      </w:r>
      <w:r w:rsidRPr="00122856">
        <w:rPr>
          <w:rFonts w:eastAsia="Calibri" w:cs="Times New Roman"/>
          <w:i/>
          <w:szCs w:val="24"/>
        </w:rPr>
        <w:t xml:space="preserve">. </w:t>
      </w:r>
    </w:p>
    <w:p w14:paraId="661D90C3" w14:textId="2B293158" w:rsidR="00122856" w:rsidRPr="00122856" w:rsidRDefault="00122856" w:rsidP="00122856">
      <w:pPr>
        <w:ind w:left="567" w:right="567"/>
        <w:rPr>
          <w:rFonts w:eastAsia="Calibri" w:cs="Times New Roman"/>
          <w:i/>
          <w:szCs w:val="24"/>
        </w:rPr>
      </w:pPr>
      <w:r w:rsidRPr="00122856">
        <w:rPr>
          <w:rFonts w:eastAsia="Calibri" w:cs="Times New Roman"/>
          <w:i/>
          <w:szCs w:val="24"/>
        </w:rPr>
        <w:t xml:space="preserve">The present research investigates </w:t>
      </w:r>
      <w:r w:rsidR="00EB7104">
        <w:rPr>
          <w:rFonts w:eastAsia="Calibri" w:cs="Times New Roman"/>
          <w:i/>
          <w:szCs w:val="24"/>
        </w:rPr>
        <w:t>whether</w:t>
      </w:r>
      <w:r w:rsidR="00EB7104" w:rsidRPr="00122856">
        <w:rPr>
          <w:rFonts w:eastAsia="Calibri" w:cs="Times New Roman"/>
          <w:i/>
          <w:szCs w:val="24"/>
        </w:rPr>
        <w:t xml:space="preserve"> </w:t>
      </w:r>
      <w:r w:rsidRPr="00122856">
        <w:rPr>
          <w:rFonts w:eastAsia="Calibri" w:cs="Times New Roman"/>
          <w:i/>
          <w:szCs w:val="24"/>
        </w:rPr>
        <w:t xml:space="preserve">adopting shareholder primacy norms has </w:t>
      </w:r>
      <w:r w:rsidR="00F82059">
        <w:rPr>
          <w:rFonts w:eastAsia="Calibri" w:cs="Times New Roman"/>
          <w:i/>
          <w:szCs w:val="24"/>
        </w:rPr>
        <w:t xml:space="preserve">had </w:t>
      </w:r>
      <w:r w:rsidRPr="00122856">
        <w:rPr>
          <w:rFonts w:eastAsia="Calibri" w:cs="Times New Roman"/>
          <w:i/>
          <w:szCs w:val="24"/>
        </w:rPr>
        <w:t xml:space="preserve">any impact on </w:t>
      </w:r>
      <w:r w:rsidR="00EB7104">
        <w:rPr>
          <w:rFonts w:eastAsia="Calibri" w:cs="Times New Roman"/>
          <w:i/>
          <w:szCs w:val="24"/>
        </w:rPr>
        <w:t xml:space="preserve">the </w:t>
      </w:r>
      <w:r w:rsidRPr="00122856">
        <w:rPr>
          <w:rFonts w:eastAsia="Calibri" w:cs="Times New Roman"/>
          <w:i/>
          <w:szCs w:val="24"/>
        </w:rPr>
        <w:t xml:space="preserve">growth of </w:t>
      </w:r>
      <w:r w:rsidR="00EB7104">
        <w:rPr>
          <w:rFonts w:eastAsia="Calibri" w:cs="Times New Roman"/>
          <w:i/>
          <w:szCs w:val="24"/>
        </w:rPr>
        <w:t xml:space="preserve">the </w:t>
      </w:r>
      <w:r w:rsidRPr="00122856">
        <w:rPr>
          <w:rFonts w:eastAsia="Calibri" w:cs="Times New Roman"/>
          <w:i/>
          <w:szCs w:val="24"/>
        </w:rPr>
        <w:t>financial market, focusing on developing countries. First, a time series (1995-2014) corporate governance index is prepared for twent</w:t>
      </w:r>
      <w:r w:rsidR="00AE1D25">
        <w:rPr>
          <w:rFonts w:eastAsia="Calibri" w:cs="Times New Roman"/>
          <w:i/>
          <w:szCs w:val="24"/>
        </w:rPr>
        <w:t xml:space="preserve">y-one countries using data </w:t>
      </w:r>
      <w:r w:rsidR="00AE1D25" w:rsidRPr="00AE1D25">
        <w:rPr>
          <w:rFonts w:eastAsia="Calibri" w:cs="Times New Roman"/>
          <w:i/>
          <w:szCs w:val="24"/>
        </w:rPr>
        <w:t xml:space="preserve">compiled by local expert respondents </w:t>
      </w:r>
      <w:r w:rsidR="00AE1D25">
        <w:rPr>
          <w:rFonts w:eastAsia="Calibri" w:cs="Times New Roman"/>
          <w:i/>
          <w:szCs w:val="24"/>
        </w:rPr>
        <w:t xml:space="preserve">on fifty-two </w:t>
      </w:r>
      <w:r w:rsidRPr="00122856">
        <w:rPr>
          <w:rFonts w:eastAsia="Calibri" w:cs="Times New Roman"/>
          <w:i/>
          <w:szCs w:val="24"/>
        </w:rPr>
        <w:t>corporate governance parameters; second, a financial market deve</w:t>
      </w:r>
      <w:r w:rsidR="00E82C6B">
        <w:rPr>
          <w:rFonts w:eastAsia="Calibri" w:cs="Times New Roman"/>
          <w:i/>
          <w:szCs w:val="24"/>
        </w:rPr>
        <w:t xml:space="preserve">lopment index </w:t>
      </w:r>
      <w:r w:rsidR="00EB7104">
        <w:rPr>
          <w:rFonts w:eastAsia="Calibri" w:cs="Times New Roman"/>
          <w:i/>
          <w:szCs w:val="24"/>
        </w:rPr>
        <w:t xml:space="preserve">comprised </w:t>
      </w:r>
      <w:r w:rsidR="00E82C6B">
        <w:rPr>
          <w:rFonts w:eastAsia="Calibri" w:cs="Times New Roman"/>
          <w:i/>
          <w:szCs w:val="24"/>
        </w:rPr>
        <w:t xml:space="preserve">of five </w:t>
      </w:r>
      <w:r w:rsidRPr="00122856">
        <w:rPr>
          <w:rFonts w:eastAsia="Calibri" w:cs="Times New Roman"/>
          <w:i/>
          <w:szCs w:val="24"/>
        </w:rPr>
        <w:t xml:space="preserve">variables, and three control indices </w:t>
      </w:r>
      <w:r w:rsidR="00EB7104" w:rsidRPr="00122856">
        <w:rPr>
          <w:rFonts w:eastAsia="Calibri" w:cs="Times New Roman"/>
          <w:i/>
          <w:szCs w:val="24"/>
        </w:rPr>
        <w:t>compris</w:t>
      </w:r>
      <w:r w:rsidR="00EB7104">
        <w:rPr>
          <w:rFonts w:eastAsia="Calibri" w:cs="Times New Roman"/>
          <w:i/>
          <w:szCs w:val="24"/>
        </w:rPr>
        <w:t>ed</w:t>
      </w:r>
      <w:r w:rsidR="00EB7104" w:rsidRPr="00122856">
        <w:rPr>
          <w:rFonts w:eastAsia="Calibri" w:cs="Times New Roman"/>
          <w:i/>
          <w:szCs w:val="24"/>
        </w:rPr>
        <w:t xml:space="preserve"> </w:t>
      </w:r>
      <w:r w:rsidRPr="00122856">
        <w:rPr>
          <w:rFonts w:eastAsia="Calibri" w:cs="Times New Roman"/>
          <w:i/>
          <w:szCs w:val="24"/>
        </w:rPr>
        <w:t>of ten variables are prepared for a similar time frame; third and finally, a lagged multilevel regression between these indices coupled with change-point analysis show</w:t>
      </w:r>
      <w:r w:rsidR="00EB7104">
        <w:rPr>
          <w:rFonts w:eastAsia="Calibri" w:cs="Times New Roman"/>
          <w:i/>
          <w:szCs w:val="24"/>
        </w:rPr>
        <w:t>s</w:t>
      </w:r>
      <w:r w:rsidRPr="00122856">
        <w:rPr>
          <w:rFonts w:eastAsia="Calibri" w:cs="Times New Roman"/>
          <w:i/>
          <w:szCs w:val="24"/>
        </w:rPr>
        <w:t xml:space="preserve"> the strength and direction of causality between </w:t>
      </w:r>
      <w:r w:rsidR="00EB7104">
        <w:rPr>
          <w:rFonts w:eastAsia="Calibri" w:cs="Times New Roman"/>
          <w:i/>
          <w:szCs w:val="24"/>
        </w:rPr>
        <w:t xml:space="preserve">the </w:t>
      </w:r>
      <w:r w:rsidRPr="00122856">
        <w:rPr>
          <w:rFonts w:eastAsia="Calibri" w:cs="Times New Roman"/>
          <w:i/>
          <w:szCs w:val="24"/>
        </w:rPr>
        <w:t xml:space="preserve">adoption of pro-shareholder corporate governance and </w:t>
      </w:r>
      <w:r w:rsidR="00EB7104">
        <w:rPr>
          <w:rFonts w:eastAsia="Calibri" w:cs="Times New Roman"/>
          <w:i/>
          <w:szCs w:val="24"/>
        </w:rPr>
        <w:t xml:space="preserve">the </w:t>
      </w:r>
      <w:r w:rsidRPr="00122856">
        <w:rPr>
          <w:rFonts w:eastAsia="Calibri" w:cs="Times New Roman"/>
          <w:i/>
          <w:szCs w:val="24"/>
        </w:rPr>
        <w:t xml:space="preserve">growth of </w:t>
      </w:r>
      <w:r w:rsidR="00EB7104">
        <w:rPr>
          <w:rFonts w:eastAsia="Calibri" w:cs="Times New Roman"/>
          <w:i/>
          <w:szCs w:val="24"/>
        </w:rPr>
        <w:t xml:space="preserve">the </w:t>
      </w:r>
      <w:r w:rsidRPr="00122856">
        <w:rPr>
          <w:rFonts w:eastAsia="Calibri" w:cs="Times New Roman"/>
          <w:i/>
          <w:szCs w:val="24"/>
        </w:rPr>
        <w:t>financial market.</w:t>
      </w:r>
    </w:p>
    <w:p w14:paraId="17477471" w14:textId="62B3BCC7" w:rsidR="00122856" w:rsidRPr="00122856" w:rsidRDefault="00122856" w:rsidP="00122856">
      <w:pPr>
        <w:ind w:left="567" w:right="567"/>
        <w:rPr>
          <w:rFonts w:eastAsia="Calibri" w:cs="Times New Roman"/>
          <w:i/>
          <w:szCs w:val="24"/>
        </w:rPr>
      </w:pPr>
      <w:r w:rsidRPr="00122856">
        <w:rPr>
          <w:rFonts w:eastAsia="Calibri" w:cs="Times New Roman"/>
          <w:i/>
          <w:szCs w:val="24"/>
        </w:rPr>
        <w:t xml:space="preserve">The research finds that </w:t>
      </w:r>
      <w:r w:rsidR="00EB7104">
        <w:rPr>
          <w:rFonts w:eastAsia="Calibri" w:cs="Times New Roman"/>
          <w:i/>
          <w:szCs w:val="24"/>
        </w:rPr>
        <w:t xml:space="preserve">the </w:t>
      </w:r>
      <w:r w:rsidRPr="00122856">
        <w:rPr>
          <w:rFonts w:eastAsia="Calibri" w:cs="Times New Roman"/>
          <w:i/>
          <w:szCs w:val="24"/>
        </w:rPr>
        <w:t>adoption of shareholder primacy corporate governance has been steadily rising in developing countries in the past twenty years, however</w:t>
      </w:r>
      <w:r w:rsidR="00EB7104">
        <w:rPr>
          <w:rFonts w:eastAsia="Calibri" w:cs="Times New Roman"/>
          <w:i/>
          <w:szCs w:val="24"/>
        </w:rPr>
        <w:t>,</w:t>
      </w:r>
      <w:r w:rsidRPr="00122856">
        <w:rPr>
          <w:rFonts w:eastAsia="Calibri" w:cs="Times New Roman"/>
          <w:i/>
          <w:szCs w:val="24"/>
        </w:rPr>
        <w:t xml:space="preserve"> the rate has considerably slowed in recent years. The research also finds that shifting towards a shareholder primacy model in corporate governance has a very small effect on growth of financial market in de</w:t>
      </w:r>
      <w:r w:rsidR="005156F4">
        <w:rPr>
          <w:rFonts w:eastAsia="Calibri" w:cs="Times New Roman"/>
          <w:i/>
          <w:szCs w:val="24"/>
        </w:rPr>
        <w:t>veloping countries. It</w:t>
      </w:r>
      <w:r w:rsidRPr="00122856">
        <w:rPr>
          <w:rFonts w:eastAsia="Calibri" w:cs="Times New Roman"/>
          <w:i/>
          <w:szCs w:val="24"/>
        </w:rPr>
        <w:t xml:space="preserve"> also finds that some countries react more positively than others to </w:t>
      </w:r>
      <w:r w:rsidR="00EB7104">
        <w:rPr>
          <w:rFonts w:eastAsia="Calibri" w:cs="Times New Roman"/>
          <w:i/>
          <w:szCs w:val="24"/>
        </w:rPr>
        <w:t xml:space="preserve">the </w:t>
      </w:r>
      <w:r w:rsidRPr="00122856">
        <w:rPr>
          <w:rFonts w:eastAsia="Calibri" w:cs="Times New Roman"/>
          <w:i/>
          <w:szCs w:val="24"/>
        </w:rPr>
        <w:t>adoption of shareholder primacy corporate governance models</w:t>
      </w:r>
      <w:r w:rsidR="00EB7104">
        <w:rPr>
          <w:rFonts w:eastAsia="Calibri" w:cs="Times New Roman"/>
          <w:i/>
          <w:szCs w:val="24"/>
        </w:rPr>
        <w:t>,</w:t>
      </w:r>
      <w:r w:rsidRPr="00122856">
        <w:rPr>
          <w:rFonts w:eastAsia="Calibri" w:cs="Times New Roman"/>
          <w:i/>
          <w:szCs w:val="24"/>
        </w:rPr>
        <w:t xml:space="preserve"> but overall the financial, economic, and technological controls have more impact on </w:t>
      </w:r>
      <w:r w:rsidR="00EB7104">
        <w:rPr>
          <w:rFonts w:eastAsia="Calibri" w:cs="Times New Roman"/>
          <w:i/>
          <w:szCs w:val="24"/>
        </w:rPr>
        <w:t xml:space="preserve">the </w:t>
      </w:r>
      <w:r w:rsidRPr="00122856">
        <w:rPr>
          <w:rFonts w:eastAsia="Calibri" w:cs="Times New Roman"/>
          <w:i/>
          <w:szCs w:val="24"/>
        </w:rPr>
        <w:t>growth of financial markets.</w:t>
      </w:r>
    </w:p>
    <w:p w14:paraId="2B4AC03C" w14:textId="14D8FD4F" w:rsidR="00122856" w:rsidRDefault="00122856" w:rsidP="00122856">
      <w:pPr>
        <w:ind w:left="567" w:right="567"/>
        <w:rPr>
          <w:rFonts w:eastAsia="Calibri" w:cs="Times New Roman"/>
          <w:i/>
          <w:szCs w:val="24"/>
        </w:rPr>
      </w:pPr>
      <w:r w:rsidRPr="00122856">
        <w:rPr>
          <w:rFonts w:eastAsia="Calibri" w:cs="Times New Roman"/>
          <w:i/>
          <w:szCs w:val="24"/>
        </w:rPr>
        <w:t>This research allow</w:t>
      </w:r>
      <w:r w:rsidR="00972E69">
        <w:rPr>
          <w:rFonts w:eastAsia="Calibri" w:cs="Times New Roman"/>
          <w:i/>
          <w:szCs w:val="24"/>
        </w:rPr>
        <w:t>s</w:t>
      </w:r>
      <w:r w:rsidRPr="00122856">
        <w:rPr>
          <w:rFonts w:eastAsia="Calibri" w:cs="Times New Roman"/>
          <w:i/>
          <w:szCs w:val="24"/>
        </w:rPr>
        <w:t xml:space="preserve"> developing countries to choose wisely between competing corpora</w:t>
      </w:r>
      <w:r w:rsidR="00AE1D25">
        <w:rPr>
          <w:rFonts w:eastAsia="Calibri" w:cs="Times New Roman"/>
          <w:i/>
          <w:szCs w:val="24"/>
        </w:rPr>
        <w:t xml:space="preserve">te governance norms and </w:t>
      </w:r>
      <w:r w:rsidR="00DE4C71">
        <w:rPr>
          <w:rFonts w:eastAsia="Calibri" w:cs="Times New Roman"/>
          <w:i/>
          <w:szCs w:val="24"/>
        </w:rPr>
        <w:t>encourage</w:t>
      </w:r>
      <w:r w:rsidR="00972E69">
        <w:rPr>
          <w:rFonts w:eastAsia="Calibri" w:cs="Times New Roman"/>
          <w:i/>
          <w:szCs w:val="24"/>
        </w:rPr>
        <w:t>s</w:t>
      </w:r>
      <w:r w:rsidR="00DE4C71">
        <w:rPr>
          <w:rFonts w:eastAsia="Calibri" w:cs="Times New Roman"/>
          <w:i/>
          <w:szCs w:val="24"/>
        </w:rPr>
        <w:t xml:space="preserve"> them to </w:t>
      </w:r>
      <w:r w:rsidRPr="00122856">
        <w:rPr>
          <w:rFonts w:eastAsia="Calibri" w:cs="Times New Roman"/>
          <w:i/>
          <w:szCs w:val="24"/>
        </w:rPr>
        <w:t>develop a sui generis model keeping in mind local realities, with the aim of having a financial market which grows at a sustainable rate.</w:t>
      </w:r>
    </w:p>
    <w:p w14:paraId="209F6B8F" w14:textId="429ABDA9" w:rsidR="00E05488" w:rsidRPr="00E05488" w:rsidRDefault="00E05488" w:rsidP="00821959">
      <w:pPr>
        <w:spacing w:line="480" w:lineRule="auto"/>
        <w:ind w:right="567"/>
        <w:jc w:val="center"/>
        <w:rPr>
          <w:rFonts w:eastAsia="Calibri" w:cs="Times New Roman"/>
          <w:b/>
          <w:sz w:val="28"/>
          <w:szCs w:val="24"/>
        </w:rPr>
      </w:pPr>
      <w:r w:rsidRPr="00E05488">
        <w:rPr>
          <w:rFonts w:eastAsia="Calibri" w:cs="Times New Roman"/>
          <w:b/>
          <w:sz w:val="28"/>
          <w:szCs w:val="24"/>
        </w:rPr>
        <w:lastRenderedPageBreak/>
        <w:t>Acknowledgments</w:t>
      </w:r>
    </w:p>
    <w:p w14:paraId="510907A0" w14:textId="3D770BA5" w:rsidR="00821959" w:rsidRDefault="00E05488" w:rsidP="00631646">
      <w:pPr>
        <w:ind w:right="567"/>
        <w:rPr>
          <w:rFonts w:eastAsia="Calibri" w:cs="Times New Roman"/>
          <w:szCs w:val="24"/>
        </w:rPr>
      </w:pPr>
      <w:r>
        <w:rPr>
          <w:rFonts w:eastAsia="Calibri" w:cs="Times New Roman"/>
          <w:szCs w:val="24"/>
        </w:rPr>
        <w:t xml:space="preserve">I am thankful for the </w:t>
      </w:r>
      <w:r w:rsidR="00177621">
        <w:rPr>
          <w:rFonts w:eastAsia="Calibri" w:cs="Times New Roman"/>
          <w:szCs w:val="24"/>
        </w:rPr>
        <w:t xml:space="preserve">unwavering </w:t>
      </w:r>
      <w:r w:rsidR="00821959" w:rsidRPr="00821959">
        <w:rPr>
          <w:rFonts w:eastAsia="Calibri" w:cs="Times New Roman"/>
          <w:szCs w:val="24"/>
        </w:rPr>
        <w:t xml:space="preserve">support, </w:t>
      </w:r>
      <w:r w:rsidR="00177621">
        <w:rPr>
          <w:rFonts w:eastAsia="Calibri" w:cs="Times New Roman"/>
          <w:szCs w:val="24"/>
        </w:rPr>
        <w:t xml:space="preserve">continued </w:t>
      </w:r>
      <w:r w:rsidR="00821959" w:rsidRPr="00821959">
        <w:rPr>
          <w:rFonts w:eastAsia="Calibri" w:cs="Times New Roman"/>
          <w:szCs w:val="24"/>
        </w:rPr>
        <w:t xml:space="preserve">guidance and </w:t>
      </w:r>
      <w:r w:rsidR="00177621">
        <w:rPr>
          <w:rFonts w:eastAsia="Calibri" w:cs="Times New Roman"/>
          <w:szCs w:val="24"/>
        </w:rPr>
        <w:t xml:space="preserve">boundless </w:t>
      </w:r>
      <w:r w:rsidR="00821959" w:rsidRPr="00821959">
        <w:rPr>
          <w:rFonts w:eastAsia="Calibri" w:cs="Times New Roman"/>
          <w:szCs w:val="24"/>
        </w:rPr>
        <w:t>patience</w:t>
      </w:r>
      <w:r w:rsidR="00177621">
        <w:rPr>
          <w:rFonts w:eastAsia="Calibri" w:cs="Times New Roman"/>
          <w:szCs w:val="24"/>
        </w:rPr>
        <w:t xml:space="preserve"> of my supervisor</w:t>
      </w:r>
      <w:r w:rsidR="00403379">
        <w:rPr>
          <w:rFonts w:eastAsia="Calibri" w:cs="Times New Roman"/>
          <w:szCs w:val="24"/>
        </w:rPr>
        <w:t xml:space="preserve"> </w:t>
      </w:r>
      <w:r w:rsidR="00821959">
        <w:rPr>
          <w:rFonts w:eastAsia="Calibri" w:cs="Times New Roman"/>
          <w:szCs w:val="24"/>
        </w:rPr>
        <w:t>Professor Andrew Johnston</w:t>
      </w:r>
      <w:r>
        <w:rPr>
          <w:rFonts w:eastAsia="Calibri" w:cs="Times New Roman"/>
          <w:szCs w:val="24"/>
        </w:rPr>
        <w:t xml:space="preserve">. </w:t>
      </w:r>
      <w:r w:rsidR="00821959">
        <w:rPr>
          <w:rFonts w:eastAsia="Calibri" w:cs="Times New Roman"/>
          <w:szCs w:val="24"/>
        </w:rPr>
        <w:t xml:space="preserve">I am extremely grateful for </w:t>
      </w:r>
      <w:r w:rsidR="00177621">
        <w:rPr>
          <w:rFonts w:eastAsia="Calibri" w:cs="Times New Roman"/>
          <w:szCs w:val="24"/>
        </w:rPr>
        <w:t>his</w:t>
      </w:r>
      <w:r w:rsidR="00821959">
        <w:rPr>
          <w:rFonts w:eastAsia="Calibri" w:cs="Times New Roman"/>
          <w:szCs w:val="24"/>
        </w:rPr>
        <w:t xml:space="preserve"> constant encouragement and keen interest in my personal and professional development.</w:t>
      </w:r>
      <w:r w:rsidR="00177621">
        <w:rPr>
          <w:rFonts w:eastAsia="Calibri" w:cs="Times New Roman"/>
          <w:szCs w:val="24"/>
        </w:rPr>
        <w:t xml:space="preserve"> I would also like to thank Professor Lindsay </w:t>
      </w:r>
      <w:proofErr w:type="spellStart"/>
      <w:r w:rsidR="00177621">
        <w:rPr>
          <w:rFonts w:eastAsia="Calibri" w:cs="Times New Roman"/>
          <w:szCs w:val="24"/>
        </w:rPr>
        <w:t>Stirton</w:t>
      </w:r>
      <w:proofErr w:type="spellEnd"/>
      <w:r w:rsidR="00177621">
        <w:rPr>
          <w:rFonts w:eastAsia="Calibri" w:cs="Times New Roman"/>
          <w:szCs w:val="24"/>
        </w:rPr>
        <w:t xml:space="preserve">, who </w:t>
      </w:r>
      <w:r w:rsidR="00F04D1E">
        <w:rPr>
          <w:rFonts w:eastAsia="Calibri" w:cs="Times New Roman"/>
          <w:szCs w:val="24"/>
        </w:rPr>
        <w:t xml:space="preserve">supervised me for over two years and </w:t>
      </w:r>
      <w:r w:rsidR="00177621">
        <w:rPr>
          <w:rFonts w:eastAsia="Calibri" w:cs="Times New Roman"/>
          <w:szCs w:val="24"/>
        </w:rPr>
        <w:t>helped me lay down the methodological foundation of this research.</w:t>
      </w:r>
    </w:p>
    <w:p w14:paraId="1EEE0AD8" w14:textId="604DB099" w:rsidR="00E05488" w:rsidRDefault="00821959" w:rsidP="00631646">
      <w:pPr>
        <w:ind w:right="567"/>
        <w:rPr>
          <w:rFonts w:eastAsia="Calibri" w:cs="Times New Roman"/>
          <w:szCs w:val="24"/>
        </w:rPr>
      </w:pPr>
      <w:r>
        <w:rPr>
          <w:rFonts w:eastAsia="Calibri" w:cs="Times New Roman"/>
          <w:szCs w:val="24"/>
        </w:rPr>
        <w:t xml:space="preserve">I would like to thank all </w:t>
      </w:r>
      <w:r w:rsidR="003A64B8">
        <w:rPr>
          <w:rFonts w:eastAsia="Calibri" w:cs="Times New Roman"/>
          <w:szCs w:val="24"/>
        </w:rPr>
        <w:t xml:space="preserve">the expert respondents </w:t>
      </w:r>
      <w:r w:rsidR="003A64B8" w:rsidRPr="003A64B8">
        <w:rPr>
          <w:rFonts w:eastAsia="Calibri" w:cs="Times New Roman"/>
          <w:szCs w:val="24"/>
        </w:rPr>
        <w:t xml:space="preserve">who completed the questionnaire </w:t>
      </w:r>
      <w:r w:rsidR="003A64B8">
        <w:rPr>
          <w:rFonts w:eastAsia="Calibri" w:cs="Times New Roman"/>
          <w:szCs w:val="24"/>
        </w:rPr>
        <w:t xml:space="preserve">and provided feedback </w:t>
      </w:r>
      <w:r w:rsidR="003A64B8" w:rsidRPr="003A64B8">
        <w:rPr>
          <w:rFonts w:eastAsia="Calibri" w:cs="Times New Roman"/>
          <w:szCs w:val="24"/>
        </w:rPr>
        <w:t>for their respective</w:t>
      </w:r>
      <w:r w:rsidR="003A64B8">
        <w:rPr>
          <w:rFonts w:eastAsia="Calibri" w:cs="Times New Roman"/>
          <w:szCs w:val="24"/>
        </w:rPr>
        <w:t xml:space="preserve"> </w:t>
      </w:r>
      <w:r w:rsidR="003A64B8" w:rsidRPr="003A64B8">
        <w:rPr>
          <w:rFonts w:eastAsia="Calibri" w:cs="Times New Roman"/>
          <w:szCs w:val="24"/>
        </w:rPr>
        <w:t>country</w:t>
      </w:r>
      <w:r w:rsidR="003A64B8">
        <w:rPr>
          <w:rFonts w:eastAsia="Calibri" w:cs="Times New Roman"/>
          <w:szCs w:val="24"/>
        </w:rPr>
        <w:t>, t</w:t>
      </w:r>
      <w:r w:rsidR="003E3FE2">
        <w:rPr>
          <w:rFonts w:eastAsia="Calibri" w:cs="Times New Roman"/>
          <w:szCs w:val="24"/>
        </w:rPr>
        <w:t>his</w:t>
      </w:r>
      <w:r>
        <w:rPr>
          <w:rFonts w:eastAsia="Calibri" w:cs="Times New Roman"/>
          <w:szCs w:val="24"/>
        </w:rPr>
        <w:t xml:space="preserve"> research would not have bee</w:t>
      </w:r>
      <w:r w:rsidR="00403379">
        <w:rPr>
          <w:rFonts w:eastAsia="Calibri" w:cs="Times New Roman"/>
          <w:szCs w:val="24"/>
        </w:rPr>
        <w:t>n possible without their help</w:t>
      </w:r>
      <w:r>
        <w:rPr>
          <w:rFonts w:eastAsia="Calibri" w:cs="Times New Roman"/>
          <w:szCs w:val="24"/>
        </w:rPr>
        <w:t xml:space="preserve">. </w:t>
      </w:r>
      <w:r w:rsidR="003A64B8">
        <w:rPr>
          <w:rFonts w:eastAsia="Calibri" w:cs="Times New Roman"/>
          <w:szCs w:val="24"/>
        </w:rPr>
        <w:t>However</w:t>
      </w:r>
      <w:r w:rsidR="003A64B8" w:rsidRPr="003A64B8">
        <w:rPr>
          <w:rFonts w:eastAsia="Calibri" w:cs="Times New Roman"/>
          <w:szCs w:val="24"/>
        </w:rPr>
        <w:t xml:space="preserve"> if any errors and mistakes have crept in </w:t>
      </w:r>
      <w:r w:rsidR="003A64B8">
        <w:rPr>
          <w:rFonts w:eastAsia="Calibri" w:cs="Times New Roman"/>
          <w:szCs w:val="24"/>
        </w:rPr>
        <w:t xml:space="preserve">during the coding and editing process </w:t>
      </w:r>
      <w:r w:rsidR="003A64B8" w:rsidRPr="003A64B8">
        <w:rPr>
          <w:rFonts w:eastAsia="Calibri" w:cs="Times New Roman"/>
          <w:szCs w:val="24"/>
        </w:rPr>
        <w:t>they are mine and mine alone.</w:t>
      </w:r>
    </w:p>
    <w:p w14:paraId="456AC6F3" w14:textId="03E3B928" w:rsidR="00E05488" w:rsidRDefault="00403379" w:rsidP="00631646">
      <w:pPr>
        <w:ind w:right="567"/>
        <w:rPr>
          <w:rFonts w:eastAsia="Calibri" w:cs="Times New Roman"/>
          <w:szCs w:val="24"/>
        </w:rPr>
      </w:pPr>
      <w:r>
        <w:rPr>
          <w:rFonts w:eastAsia="Calibri" w:cs="Times New Roman"/>
          <w:szCs w:val="24"/>
        </w:rPr>
        <w:t xml:space="preserve">Many thanks are owed to Mike </w:t>
      </w:r>
      <w:proofErr w:type="spellStart"/>
      <w:r>
        <w:rPr>
          <w:rFonts w:eastAsia="Calibri" w:cs="Times New Roman"/>
          <w:szCs w:val="24"/>
        </w:rPr>
        <w:t>Croucher</w:t>
      </w:r>
      <w:proofErr w:type="spellEnd"/>
      <w:r>
        <w:rPr>
          <w:rFonts w:eastAsia="Calibri" w:cs="Times New Roman"/>
          <w:szCs w:val="24"/>
        </w:rPr>
        <w:t>, who showed me how to effectively use Hig</w:t>
      </w:r>
      <w:r w:rsidR="00FD462F">
        <w:rPr>
          <w:rFonts w:eastAsia="Calibri" w:cs="Times New Roman"/>
          <w:szCs w:val="24"/>
        </w:rPr>
        <w:t>h Performance Computer resource</w:t>
      </w:r>
      <w:r w:rsidR="00A02B86">
        <w:rPr>
          <w:rFonts w:eastAsia="Calibri" w:cs="Times New Roman"/>
          <w:szCs w:val="24"/>
        </w:rPr>
        <w:t>s</w:t>
      </w:r>
      <w:r w:rsidR="00FD462F">
        <w:rPr>
          <w:rFonts w:eastAsia="Calibri" w:cs="Times New Roman"/>
          <w:szCs w:val="24"/>
        </w:rPr>
        <w:t xml:space="preserve"> at the University,</w:t>
      </w:r>
      <w:r>
        <w:rPr>
          <w:rFonts w:eastAsia="Calibri" w:cs="Times New Roman"/>
          <w:szCs w:val="24"/>
        </w:rPr>
        <w:t xml:space="preserve"> </w:t>
      </w:r>
      <w:r w:rsidR="00FD462F">
        <w:rPr>
          <w:rFonts w:eastAsia="Calibri" w:cs="Times New Roman"/>
          <w:szCs w:val="24"/>
        </w:rPr>
        <w:t xml:space="preserve">the PGR support staff at the School of Law, whose efficient handling of administrative tasks allowed me to solely focus on </w:t>
      </w:r>
      <w:r w:rsidR="003E3FE2">
        <w:rPr>
          <w:rFonts w:eastAsia="Calibri" w:cs="Times New Roman"/>
          <w:szCs w:val="24"/>
        </w:rPr>
        <w:t>my</w:t>
      </w:r>
      <w:r w:rsidR="00FD462F">
        <w:rPr>
          <w:rFonts w:eastAsia="Calibri" w:cs="Times New Roman"/>
          <w:szCs w:val="24"/>
        </w:rPr>
        <w:t xml:space="preserve"> research, all the members of </w:t>
      </w:r>
      <w:r w:rsidR="00FD462F" w:rsidRPr="00FD462F">
        <w:rPr>
          <w:rFonts w:eastAsia="Calibri" w:cs="Times New Roman"/>
          <w:szCs w:val="24"/>
        </w:rPr>
        <w:t>Sheffield Institute of Corporate and Commercial Law</w:t>
      </w:r>
      <w:r w:rsidR="00FD462F">
        <w:rPr>
          <w:rFonts w:eastAsia="Calibri" w:cs="Times New Roman"/>
          <w:szCs w:val="24"/>
        </w:rPr>
        <w:t xml:space="preserve">, for their </w:t>
      </w:r>
      <w:r w:rsidR="00631646">
        <w:rPr>
          <w:rFonts w:eastAsia="Calibri" w:cs="Times New Roman"/>
          <w:szCs w:val="24"/>
        </w:rPr>
        <w:t xml:space="preserve">critical </w:t>
      </w:r>
      <w:r w:rsidR="00FD462F">
        <w:rPr>
          <w:rFonts w:eastAsia="Calibri" w:cs="Times New Roman"/>
          <w:szCs w:val="24"/>
        </w:rPr>
        <w:t xml:space="preserve">appraisals </w:t>
      </w:r>
      <w:r w:rsidR="00177621">
        <w:rPr>
          <w:rFonts w:eastAsia="Calibri" w:cs="Times New Roman"/>
          <w:szCs w:val="24"/>
        </w:rPr>
        <w:t>of my research</w:t>
      </w:r>
      <w:r w:rsidR="003E3FE2">
        <w:rPr>
          <w:rFonts w:eastAsia="Calibri" w:cs="Times New Roman"/>
          <w:szCs w:val="24"/>
        </w:rPr>
        <w:t xml:space="preserve">, </w:t>
      </w:r>
      <w:r w:rsidR="00631646" w:rsidRPr="00631646">
        <w:rPr>
          <w:rFonts w:eastAsia="Calibri" w:cs="Times New Roman"/>
          <w:szCs w:val="24"/>
        </w:rPr>
        <w:t>Dr Miguel Juarez</w:t>
      </w:r>
      <w:r w:rsidR="00631646">
        <w:rPr>
          <w:rFonts w:eastAsia="Calibri" w:cs="Times New Roman"/>
          <w:szCs w:val="24"/>
        </w:rPr>
        <w:t xml:space="preserve"> from </w:t>
      </w:r>
      <w:r w:rsidR="00D11923">
        <w:rPr>
          <w:rFonts w:eastAsia="Calibri" w:cs="Times New Roman"/>
          <w:szCs w:val="24"/>
        </w:rPr>
        <w:t xml:space="preserve">the </w:t>
      </w:r>
      <w:r w:rsidR="00631646" w:rsidRPr="00631646">
        <w:rPr>
          <w:rFonts w:eastAsia="Calibri" w:cs="Times New Roman"/>
          <w:szCs w:val="24"/>
        </w:rPr>
        <w:t>School of Mathematics and Statistics</w:t>
      </w:r>
      <w:r w:rsidR="00631646">
        <w:rPr>
          <w:rFonts w:eastAsia="Calibri" w:cs="Times New Roman"/>
          <w:szCs w:val="24"/>
        </w:rPr>
        <w:t>, for reviewing the equations and codes used in the research,</w:t>
      </w:r>
      <w:r w:rsidR="00631646" w:rsidRPr="00631646">
        <w:rPr>
          <w:rFonts w:eastAsia="Calibri" w:cs="Times New Roman"/>
          <w:szCs w:val="24"/>
        </w:rPr>
        <w:t xml:space="preserve"> </w:t>
      </w:r>
      <w:r w:rsidR="00C66E0E">
        <w:rPr>
          <w:rFonts w:eastAsia="Calibri" w:cs="Times New Roman"/>
          <w:szCs w:val="24"/>
        </w:rPr>
        <w:t>Rachel R</w:t>
      </w:r>
      <w:r w:rsidR="00631646">
        <w:rPr>
          <w:rFonts w:eastAsia="Calibri" w:cs="Times New Roman"/>
          <w:szCs w:val="24"/>
        </w:rPr>
        <w:t xml:space="preserve">obson, for </w:t>
      </w:r>
      <w:r w:rsidR="00C66E0E">
        <w:rPr>
          <w:rFonts w:eastAsia="Calibri" w:cs="Times New Roman"/>
          <w:szCs w:val="24"/>
        </w:rPr>
        <w:t>proofread</w:t>
      </w:r>
      <w:r w:rsidR="00631646">
        <w:rPr>
          <w:rFonts w:eastAsia="Calibri" w:cs="Times New Roman"/>
          <w:szCs w:val="24"/>
        </w:rPr>
        <w:t xml:space="preserve">ing this thesis, </w:t>
      </w:r>
      <w:r w:rsidR="003E3FE2">
        <w:rPr>
          <w:rFonts w:eastAsia="Calibri" w:cs="Times New Roman"/>
          <w:szCs w:val="24"/>
        </w:rPr>
        <w:t>and my friends, for their</w:t>
      </w:r>
      <w:r w:rsidR="003B70EE">
        <w:rPr>
          <w:rFonts w:eastAsia="Calibri" w:cs="Times New Roman"/>
          <w:szCs w:val="24"/>
        </w:rPr>
        <w:t xml:space="preserve"> wholehearted support</w:t>
      </w:r>
      <w:r w:rsidR="00083E6D">
        <w:rPr>
          <w:rFonts w:eastAsia="Calibri" w:cs="Times New Roman"/>
          <w:szCs w:val="24"/>
        </w:rPr>
        <w:t xml:space="preserve"> in the best and</w:t>
      </w:r>
      <w:r w:rsidR="00631646">
        <w:rPr>
          <w:rFonts w:eastAsia="Calibri" w:cs="Times New Roman"/>
          <w:szCs w:val="24"/>
        </w:rPr>
        <w:t xml:space="preserve"> worst of times</w:t>
      </w:r>
      <w:r w:rsidR="00FD462F">
        <w:rPr>
          <w:rFonts w:eastAsia="Calibri" w:cs="Times New Roman"/>
          <w:szCs w:val="24"/>
        </w:rPr>
        <w:t xml:space="preserve">. </w:t>
      </w:r>
    </w:p>
    <w:p w14:paraId="12B204A6" w14:textId="4351D680" w:rsidR="00177621" w:rsidRDefault="00177621" w:rsidP="00631646">
      <w:pPr>
        <w:ind w:right="567"/>
        <w:rPr>
          <w:rFonts w:eastAsia="Calibri" w:cs="Times New Roman"/>
          <w:szCs w:val="24"/>
        </w:rPr>
      </w:pPr>
      <w:r>
        <w:rPr>
          <w:rFonts w:eastAsia="Calibri" w:cs="Times New Roman"/>
          <w:szCs w:val="24"/>
        </w:rPr>
        <w:t xml:space="preserve">Furthermore, I am grateful to the participants and </w:t>
      </w:r>
      <w:r w:rsidR="003E3FE2" w:rsidRPr="003E3FE2">
        <w:rPr>
          <w:rFonts w:eastAsia="Calibri" w:cs="Times New Roman"/>
          <w:szCs w:val="24"/>
        </w:rPr>
        <w:t>panellists</w:t>
      </w:r>
      <w:r w:rsidR="003E3FE2">
        <w:rPr>
          <w:rFonts w:eastAsia="Calibri" w:cs="Times New Roman"/>
          <w:szCs w:val="24"/>
        </w:rPr>
        <w:t xml:space="preserve"> </w:t>
      </w:r>
      <w:r w:rsidR="003E3FE2" w:rsidRPr="003E3FE2">
        <w:rPr>
          <w:rFonts w:eastAsia="Calibri" w:cs="Times New Roman"/>
          <w:szCs w:val="24"/>
        </w:rPr>
        <w:t>at the seminars and conferences I have presented</w:t>
      </w:r>
      <w:r w:rsidR="003E3FE2">
        <w:rPr>
          <w:rFonts w:eastAsia="Calibri" w:cs="Times New Roman"/>
          <w:szCs w:val="24"/>
        </w:rPr>
        <w:t xml:space="preserve"> at,</w:t>
      </w:r>
      <w:r w:rsidR="003E3FE2" w:rsidRPr="003E3FE2">
        <w:rPr>
          <w:rFonts w:eastAsia="Calibri" w:cs="Times New Roman"/>
          <w:szCs w:val="24"/>
        </w:rPr>
        <w:t xml:space="preserve"> for providing insightful suggestions</w:t>
      </w:r>
      <w:r w:rsidR="003E3FE2">
        <w:rPr>
          <w:rFonts w:eastAsia="Calibri" w:cs="Times New Roman"/>
          <w:szCs w:val="24"/>
        </w:rPr>
        <w:t xml:space="preserve"> on improving my research. I would like to specifically mention </w:t>
      </w:r>
      <w:r w:rsidR="003E3FE2" w:rsidRPr="003E3FE2">
        <w:rPr>
          <w:rFonts w:eastAsia="Calibri" w:cs="Times New Roman"/>
          <w:szCs w:val="24"/>
        </w:rPr>
        <w:t>Edinburgh</w:t>
      </w:r>
      <w:r w:rsidR="003E3FE2">
        <w:rPr>
          <w:rFonts w:eastAsia="Calibri" w:cs="Times New Roman"/>
          <w:szCs w:val="24"/>
        </w:rPr>
        <w:t xml:space="preserve"> </w:t>
      </w:r>
      <w:r w:rsidR="003E3FE2" w:rsidRPr="003E3FE2">
        <w:rPr>
          <w:rFonts w:eastAsia="Calibri" w:cs="Times New Roman"/>
          <w:szCs w:val="24"/>
        </w:rPr>
        <w:t>Postgraduate</w:t>
      </w:r>
      <w:r w:rsidR="003E3FE2">
        <w:rPr>
          <w:rFonts w:eastAsia="Calibri" w:cs="Times New Roman"/>
          <w:szCs w:val="24"/>
        </w:rPr>
        <w:t xml:space="preserve"> </w:t>
      </w:r>
      <w:r w:rsidR="003E3FE2" w:rsidRPr="003E3FE2">
        <w:rPr>
          <w:rFonts w:eastAsia="Calibri" w:cs="Times New Roman"/>
          <w:szCs w:val="24"/>
        </w:rPr>
        <w:t>Law</w:t>
      </w:r>
      <w:r w:rsidR="003E3FE2">
        <w:rPr>
          <w:rFonts w:eastAsia="Calibri" w:cs="Times New Roman"/>
          <w:szCs w:val="24"/>
        </w:rPr>
        <w:t xml:space="preserve"> </w:t>
      </w:r>
      <w:r w:rsidR="003E3FE2" w:rsidRPr="003E3FE2">
        <w:rPr>
          <w:rFonts w:eastAsia="Calibri" w:cs="Times New Roman"/>
          <w:szCs w:val="24"/>
        </w:rPr>
        <w:t>Conference</w:t>
      </w:r>
      <w:r w:rsidR="003E3FE2">
        <w:rPr>
          <w:rFonts w:eastAsia="Calibri" w:cs="Times New Roman"/>
          <w:szCs w:val="24"/>
        </w:rPr>
        <w:t xml:space="preserve"> 2014 and </w:t>
      </w:r>
      <w:r w:rsidR="003B70EE">
        <w:rPr>
          <w:rFonts w:eastAsia="Calibri" w:cs="Times New Roman"/>
          <w:szCs w:val="24"/>
        </w:rPr>
        <w:t xml:space="preserve">KCL </w:t>
      </w:r>
      <w:r w:rsidR="003E3FE2" w:rsidRPr="003E3FE2">
        <w:rPr>
          <w:rFonts w:eastAsia="Calibri" w:cs="Times New Roman"/>
          <w:szCs w:val="24"/>
        </w:rPr>
        <w:t>Transna</w:t>
      </w:r>
      <w:r w:rsidR="003E3FE2">
        <w:rPr>
          <w:rFonts w:eastAsia="Calibri" w:cs="Times New Roman"/>
          <w:szCs w:val="24"/>
        </w:rPr>
        <w:t>tional Law Summer Institute 2015.</w:t>
      </w:r>
    </w:p>
    <w:p w14:paraId="56623E5A" w14:textId="64E839FD" w:rsidR="003E3FE2" w:rsidRDefault="003E3FE2" w:rsidP="00631646">
      <w:pPr>
        <w:ind w:right="567"/>
        <w:rPr>
          <w:rFonts w:eastAsia="Calibri" w:cs="Times New Roman"/>
          <w:szCs w:val="24"/>
        </w:rPr>
      </w:pPr>
      <w:r>
        <w:rPr>
          <w:rFonts w:eastAsia="Calibri" w:cs="Times New Roman"/>
          <w:szCs w:val="24"/>
        </w:rPr>
        <w:t>I would like to thank my parents</w:t>
      </w:r>
      <w:r w:rsidR="003B70EE">
        <w:rPr>
          <w:rFonts w:eastAsia="Calibri" w:cs="Times New Roman"/>
          <w:szCs w:val="24"/>
        </w:rPr>
        <w:t xml:space="preserve"> whose unconditional love </w:t>
      </w:r>
      <w:r w:rsidR="00631646">
        <w:rPr>
          <w:rFonts w:eastAsia="Calibri" w:cs="Times New Roman"/>
          <w:szCs w:val="24"/>
        </w:rPr>
        <w:t xml:space="preserve">and endless encouragement </w:t>
      </w:r>
      <w:r w:rsidR="003B70EE">
        <w:rPr>
          <w:rFonts w:eastAsia="Calibri" w:cs="Times New Roman"/>
          <w:szCs w:val="24"/>
        </w:rPr>
        <w:t xml:space="preserve">provided the bedrock </w:t>
      </w:r>
      <w:r w:rsidR="00631646">
        <w:rPr>
          <w:rFonts w:eastAsia="Calibri" w:cs="Times New Roman"/>
          <w:szCs w:val="24"/>
        </w:rPr>
        <w:t>on which I could build my professional and academic career.</w:t>
      </w:r>
    </w:p>
    <w:p w14:paraId="6B466168" w14:textId="47290755" w:rsidR="00E05488" w:rsidRDefault="003B70EE" w:rsidP="00E05488">
      <w:pPr>
        <w:ind w:right="567"/>
        <w:rPr>
          <w:rFonts w:eastAsia="Calibri" w:cs="Times New Roman"/>
          <w:szCs w:val="24"/>
        </w:rPr>
      </w:pPr>
      <w:r>
        <w:rPr>
          <w:rFonts w:eastAsia="Calibri" w:cs="Times New Roman"/>
          <w:szCs w:val="24"/>
        </w:rPr>
        <w:t xml:space="preserve">Finally, </w:t>
      </w:r>
      <w:r w:rsidR="00631646">
        <w:rPr>
          <w:rFonts w:eastAsia="Calibri" w:cs="Times New Roman"/>
          <w:szCs w:val="24"/>
        </w:rPr>
        <w:t xml:space="preserve">I am </w:t>
      </w:r>
      <w:r w:rsidRPr="003B70EE">
        <w:rPr>
          <w:rFonts w:eastAsia="Calibri" w:cs="Times New Roman"/>
          <w:szCs w:val="24"/>
        </w:rPr>
        <w:t>very grateful to the University of She</w:t>
      </w:r>
      <w:r>
        <w:rPr>
          <w:rFonts w:eastAsia="Calibri" w:cs="Times New Roman"/>
          <w:szCs w:val="24"/>
        </w:rPr>
        <w:t xml:space="preserve">ffield for awarding me the </w:t>
      </w:r>
      <w:r w:rsidRPr="003B70EE">
        <w:rPr>
          <w:rFonts w:eastAsia="Calibri" w:cs="Times New Roman"/>
          <w:szCs w:val="24"/>
        </w:rPr>
        <w:t>University Prize Scholarship</w:t>
      </w:r>
      <w:r>
        <w:rPr>
          <w:rFonts w:eastAsia="Calibri" w:cs="Times New Roman"/>
          <w:szCs w:val="24"/>
        </w:rPr>
        <w:t>, without the financia</w:t>
      </w:r>
      <w:r w:rsidR="00083E6D">
        <w:rPr>
          <w:rFonts w:eastAsia="Calibri" w:cs="Times New Roman"/>
          <w:szCs w:val="24"/>
        </w:rPr>
        <w:t>l support of the U</w:t>
      </w:r>
      <w:r>
        <w:rPr>
          <w:rFonts w:eastAsia="Calibri" w:cs="Times New Roman"/>
          <w:szCs w:val="24"/>
        </w:rPr>
        <w:t>niversity this research would not have been possible</w:t>
      </w:r>
      <w:r w:rsidRPr="003B70EE">
        <w:rPr>
          <w:rFonts w:eastAsia="Calibri" w:cs="Times New Roman"/>
          <w:szCs w:val="24"/>
        </w:rPr>
        <w:t>.</w:t>
      </w:r>
    </w:p>
    <w:p w14:paraId="747DC13F" w14:textId="77777777" w:rsidR="00413229" w:rsidRDefault="00413229" w:rsidP="00E05488">
      <w:pPr>
        <w:ind w:right="567"/>
        <w:rPr>
          <w:rFonts w:eastAsia="Calibri" w:cs="Times New Roman"/>
          <w:szCs w:val="24"/>
        </w:rPr>
      </w:pPr>
    </w:p>
    <w:p w14:paraId="47D9F8FA" w14:textId="77777777" w:rsidR="00741554" w:rsidRDefault="00741554" w:rsidP="00741554">
      <w:pPr>
        <w:spacing w:after="200"/>
        <w:jc w:val="center"/>
        <w:rPr>
          <w:rFonts w:eastAsia="Calibri" w:cs="Times New Roman"/>
          <w:b/>
          <w:sz w:val="28"/>
          <w:szCs w:val="24"/>
        </w:rPr>
      </w:pPr>
    </w:p>
    <w:p w14:paraId="6DBD8593" w14:textId="77777777" w:rsidR="00122856" w:rsidRPr="00122856" w:rsidRDefault="00122856" w:rsidP="00741554">
      <w:pPr>
        <w:spacing w:after="200"/>
        <w:jc w:val="center"/>
        <w:rPr>
          <w:rFonts w:eastAsia="Calibri" w:cs="Times New Roman"/>
          <w:b/>
          <w:sz w:val="28"/>
          <w:szCs w:val="24"/>
        </w:rPr>
      </w:pPr>
      <w:r w:rsidRPr="00122856">
        <w:rPr>
          <w:rFonts w:eastAsia="Calibri" w:cs="Times New Roman"/>
          <w:b/>
          <w:sz w:val="28"/>
          <w:szCs w:val="24"/>
        </w:rPr>
        <w:t>Contents</w:t>
      </w:r>
    </w:p>
    <w:p w14:paraId="1ABA590F" w14:textId="2475A8CE" w:rsidR="00122856" w:rsidRPr="00122856" w:rsidRDefault="00122856" w:rsidP="00741554">
      <w:pPr>
        <w:numPr>
          <w:ilvl w:val="0"/>
          <w:numId w:val="6"/>
        </w:numPr>
        <w:spacing w:after="200"/>
        <w:contextualSpacing/>
        <w:jc w:val="left"/>
        <w:rPr>
          <w:rFonts w:eastAsia="Calibri" w:cs="Times New Roman"/>
          <w:b/>
          <w:szCs w:val="24"/>
        </w:rPr>
      </w:pPr>
      <w:r w:rsidRPr="00122856">
        <w:rPr>
          <w:rFonts w:eastAsia="Calibri" w:cs="Times New Roman"/>
          <w:b/>
          <w:szCs w:val="24"/>
        </w:rPr>
        <w:t>Introduction…………………………………………</w:t>
      </w:r>
      <w:r w:rsidR="00491ECD">
        <w:rPr>
          <w:rFonts w:eastAsia="Calibri" w:cs="Times New Roman"/>
          <w:b/>
          <w:szCs w:val="24"/>
        </w:rPr>
        <w:t>..</w:t>
      </w:r>
      <w:r w:rsidRPr="00122856">
        <w:rPr>
          <w:rFonts w:eastAsia="Calibri" w:cs="Times New Roman"/>
          <w:b/>
          <w:szCs w:val="24"/>
        </w:rPr>
        <w:t>…</w:t>
      </w:r>
      <w:r w:rsidR="00491ECD">
        <w:rPr>
          <w:rFonts w:eastAsia="Calibri" w:cs="Times New Roman"/>
          <w:b/>
          <w:szCs w:val="24"/>
        </w:rPr>
        <w:t xml:space="preserve">.……………… </w:t>
      </w:r>
      <w:r w:rsidR="00F04D1E">
        <w:rPr>
          <w:rFonts w:eastAsia="Calibri" w:cs="Times New Roman"/>
          <w:b/>
          <w:szCs w:val="24"/>
        </w:rPr>
        <w:t xml:space="preserve"> 6</w:t>
      </w:r>
    </w:p>
    <w:p w14:paraId="7CF55F79" w14:textId="77777777" w:rsidR="009816DB" w:rsidRDefault="00122856" w:rsidP="00741554">
      <w:pPr>
        <w:numPr>
          <w:ilvl w:val="0"/>
          <w:numId w:val="6"/>
        </w:numPr>
        <w:spacing w:after="200"/>
        <w:contextualSpacing/>
        <w:jc w:val="left"/>
        <w:rPr>
          <w:rFonts w:eastAsia="Calibri" w:cs="Times New Roman"/>
          <w:b/>
          <w:szCs w:val="24"/>
        </w:rPr>
      </w:pPr>
      <w:r w:rsidRPr="00122856">
        <w:rPr>
          <w:rFonts w:eastAsia="Calibri" w:cs="Times New Roman"/>
          <w:b/>
          <w:szCs w:val="24"/>
        </w:rPr>
        <w:t xml:space="preserve">Literature </w:t>
      </w:r>
      <w:r w:rsidR="00EB7104">
        <w:rPr>
          <w:rFonts w:eastAsia="Calibri" w:cs="Times New Roman"/>
          <w:b/>
          <w:szCs w:val="24"/>
        </w:rPr>
        <w:t>R</w:t>
      </w:r>
      <w:r w:rsidR="00F82059">
        <w:rPr>
          <w:rFonts w:eastAsia="Calibri" w:cs="Times New Roman"/>
          <w:b/>
          <w:szCs w:val="24"/>
        </w:rPr>
        <w:t xml:space="preserve">eview and variable coding </w:t>
      </w:r>
      <w:r w:rsidR="005156F4">
        <w:rPr>
          <w:rFonts w:eastAsia="Calibri" w:cs="Times New Roman"/>
          <w:b/>
          <w:szCs w:val="24"/>
        </w:rPr>
        <w:t>………….…..</w:t>
      </w:r>
      <w:r w:rsidR="00491ECD">
        <w:rPr>
          <w:rFonts w:eastAsia="Calibri" w:cs="Times New Roman"/>
          <w:b/>
          <w:szCs w:val="24"/>
        </w:rPr>
        <w:t>..</w:t>
      </w:r>
      <w:r w:rsidR="00F04D1E">
        <w:rPr>
          <w:rFonts w:eastAsia="Calibri" w:cs="Times New Roman"/>
          <w:b/>
          <w:szCs w:val="24"/>
        </w:rPr>
        <w:t>……………… 14</w:t>
      </w:r>
    </w:p>
    <w:p w14:paraId="7E6E8D91" w14:textId="6F1848C3" w:rsidR="009816DB" w:rsidRDefault="009816DB" w:rsidP="00741554">
      <w:pPr>
        <w:spacing w:after="200"/>
        <w:ind w:left="1080"/>
        <w:contextualSpacing/>
        <w:jc w:val="left"/>
        <w:rPr>
          <w:rFonts w:eastAsia="Calibri" w:cs="Times New Roman"/>
          <w:szCs w:val="24"/>
        </w:rPr>
      </w:pPr>
      <w:r w:rsidRPr="009816DB">
        <w:rPr>
          <w:rFonts w:eastAsia="Calibri" w:cs="Times New Roman"/>
          <w:szCs w:val="24"/>
        </w:rPr>
        <w:t>2.1</w:t>
      </w:r>
      <w:r>
        <w:rPr>
          <w:rFonts w:eastAsia="Calibri" w:cs="Times New Roman"/>
          <w:szCs w:val="24"/>
        </w:rPr>
        <w:t xml:space="preserve"> </w:t>
      </w:r>
      <w:r>
        <w:rPr>
          <w:rFonts w:eastAsia="Calibri" w:cs="Times New Roman"/>
          <w:i/>
          <w:szCs w:val="24"/>
        </w:rPr>
        <w:t xml:space="preserve">Introduction </w:t>
      </w:r>
      <w:r>
        <w:rPr>
          <w:rFonts w:eastAsia="Calibri" w:cs="Times New Roman"/>
          <w:szCs w:val="24"/>
        </w:rPr>
        <w:t>…….………….……………………………………..14</w:t>
      </w:r>
    </w:p>
    <w:p w14:paraId="0E7A372B" w14:textId="77777777" w:rsidR="009816DB" w:rsidRDefault="009816DB" w:rsidP="00741554">
      <w:pPr>
        <w:spacing w:after="200"/>
        <w:ind w:left="1080"/>
        <w:contextualSpacing/>
        <w:jc w:val="left"/>
        <w:rPr>
          <w:rFonts w:eastAsia="Calibri" w:cs="Times New Roman"/>
          <w:szCs w:val="24"/>
        </w:rPr>
      </w:pPr>
      <w:r>
        <w:rPr>
          <w:rFonts w:eastAsia="Calibri" w:cs="Times New Roman"/>
          <w:szCs w:val="24"/>
        </w:rPr>
        <w:t xml:space="preserve">2.2 </w:t>
      </w:r>
      <w:r w:rsidRPr="009816DB">
        <w:rPr>
          <w:rFonts w:eastAsia="Calibri" w:cs="Times New Roman"/>
          <w:i/>
          <w:szCs w:val="24"/>
        </w:rPr>
        <w:t>Gaps in the literature</w:t>
      </w:r>
      <w:r>
        <w:rPr>
          <w:rFonts w:eastAsia="Calibri" w:cs="Times New Roman"/>
          <w:szCs w:val="24"/>
        </w:rPr>
        <w:t>……………………………………………...25</w:t>
      </w:r>
    </w:p>
    <w:p w14:paraId="32F6FF15" w14:textId="791554ED" w:rsidR="009816DB" w:rsidRDefault="00E370BC" w:rsidP="00741554">
      <w:pPr>
        <w:spacing w:after="200"/>
        <w:ind w:left="1080"/>
        <w:contextualSpacing/>
        <w:jc w:val="left"/>
        <w:rPr>
          <w:rFonts w:eastAsia="Calibri" w:cs="Times New Roman"/>
          <w:szCs w:val="24"/>
        </w:rPr>
      </w:pPr>
      <w:r>
        <w:rPr>
          <w:rFonts w:eastAsia="Calibri" w:cs="Times New Roman"/>
          <w:szCs w:val="24"/>
        </w:rPr>
        <w:t xml:space="preserve">2.3 </w:t>
      </w:r>
      <w:r w:rsidRPr="00112449">
        <w:rPr>
          <w:rFonts w:eastAsia="Calibri" w:cs="Times New Roman"/>
          <w:i/>
          <w:szCs w:val="24"/>
        </w:rPr>
        <w:t>Predictor</w:t>
      </w:r>
      <w:r w:rsidR="009816DB" w:rsidRPr="00112449">
        <w:rPr>
          <w:rFonts w:eastAsia="Calibri" w:cs="Times New Roman"/>
          <w:i/>
          <w:szCs w:val="24"/>
        </w:rPr>
        <w:t xml:space="preserve"> </w:t>
      </w:r>
      <w:r w:rsidR="009816DB">
        <w:rPr>
          <w:rFonts w:eastAsia="Calibri" w:cs="Times New Roman"/>
          <w:i/>
          <w:szCs w:val="24"/>
        </w:rPr>
        <w:t>variable</w:t>
      </w:r>
      <w:r w:rsidR="009816DB">
        <w:rPr>
          <w:rFonts w:eastAsia="Calibri" w:cs="Times New Roman"/>
          <w:szCs w:val="24"/>
        </w:rPr>
        <w:t>……………………………………</w:t>
      </w:r>
      <w:r>
        <w:rPr>
          <w:rFonts w:eastAsia="Calibri" w:cs="Times New Roman"/>
          <w:szCs w:val="24"/>
        </w:rPr>
        <w:t>.</w:t>
      </w:r>
      <w:r w:rsidR="009816DB">
        <w:rPr>
          <w:rFonts w:eastAsia="Calibri" w:cs="Times New Roman"/>
          <w:szCs w:val="24"/>
        </w:rPr>
        <w:t>…………...31</w:t>
      </w:r>
    </w:p>
    <w:p w14:paraId="5E50F415" w14:textId="17419474" w:rsidR="009816DB" w:rsidRDefault="009816DB" w:rsidP="00741554">
      <w:pPr>
        <w:spacing w:after="200"/>
        <w:ind w:left="1080"/>
        <w:contextualSpacing/>
        <w:jc w:val="left"/>
        <w:rPr>
          <w:rFonts w:eastAsia="Calibri" w:cs="Times New Roman"/>
          <w:szCs w:val="24"/>
        </w:rPr>
      </w:pPr>
      <w:r>
        <w:rPr>
          <w:rFonts w:eastAsia="Calibri" w:cs="Times New Roman"/>
          <w:szCs w:val="24"/>
        </w:rPr>
        <w:t xml:space="preserve">2.4 </w:t>
      </w:r>
      <w:r>
        <w:rPr>
          <w:rFonts w:eastAsia="Calibri" w:cs="Times New Roman"/>
          <w:i/>
          <w:szCs w:val="24"/>
        </w:rPr>
        <w:t>Outcome variable</w:t>
      </w:r>
      <w:r w:rsidR="00E370BC">
        <w:rPr>
          <w:rFonts w:eastAsia="Calibri" w:cs="Times New Roman"/>
          <w:szCs w:val="24"/>
        </w:rPr>
        <w:t>…………….…….…….……</w:t>
      </w:r>
      <w:r w:rsidR="00741554">
        <w:rPr>
          <w:rFonts w:eastAsia="Calibri" w:cs="Times New Roman"/>
          <w:szCs w:val="24"/>
        </w:rPr>
        <w:t>……….…………45</w:t>
      </w:r>
    </w:p>
    <w:p w14:paraId="49E6C736" w14:textId="7F7033D0" w:rsidR="00741554" w:rsidRDefault="00741554" w:rsidP="00E370BC">
      <w:pPr>
        <w:spacing w:after="200"/>
        <w:ind w:left="1080"/>
        <w:contextualSpacing/>
        <w:jc w:val="left"/>
        <w:rPr>
          <w:rFonts w:eastAsia="Calibri" w:cs="Times New Roman"/>
          <w:szCs w:val="24"/>
        </w:rPr>
      </w:pPr>
      <w:r>
        <w:rPr>
          <w:rFonts w:eastAsia="Calibri" w:cs="Times New Roman"/>
          <w:szCs w:val="24"/>
        </w:rPr>
        <w:t xml:space="preserve">2.5 </w:t>
      </w:r>
      <w:r>
        <w:rPr>
          <w:rFonts w:eastAsia="Calibri" w:cs="Times New Roman"/>
          <w:i/>
          <w:szCs w:val="24"/>
        </w:rPr>
        <w:t>Control variables</w:t>
      </w:r>
      <w:r>
        <w:rPr>
          <w:rFonts w:eastAsia="Calibri" w:cs="Times New Roman"/>
          <w:szCs w:val="24"/>
        </w:rPr>
        <w:t>……………</w:t>
      </w:r>
      <w:r w:rsidR="00E370BC">
        <w:rPr>
          <w:rFonts w:eastAsia="Calibri" w:cs="Times New Roman"/>
          <w:szCs w:val="24"/>
        </w:rPr>
        <w:t>..</w:t>
      </w:r>
      <w:r>
        <w:rPr>
          <w:rFonts w:eastAsia="Calibri" w:cs="Times New Roman"/>
          <w:szCs w:val="24"/>
        </w:rPr>
        <w:t>………</w:t>
      </w:r>
      <w:r w:rsidR="00E370BC">
        <w:rPr>
          <w:rFonts w:eastAsia="Calibri" w:cs="Times New Roman"/>
          <w:szCs w:val="24"/>
        </w:rPr>
        <w:t>.</w:t>
      </w:r>
      <w:r>
        <w:rPr>
          <w:rFonts w:eastAsia="Calibri" w:cs="Times New Roman"/>
          <w:szCs w:val="24"/>
        </w:rPr>
        <w:t>…</w:t>
      </w:r>
      <w:r w:rsidR="00E370BC">
        <w:rPr>
          <w:rFonts w:eastAsia="Calibri" w:cs="Times New Roman"/>
          <w:szCs w:val="24"/>
        </w:rPr>
        <w:t>.</w:t>
      </w:r>
      <w:r>
        <w:rPr>
          <w:rFonts w:eastAsia="Calibri" w:cs="Times New Roman"/>
          <w:szCs w:val="24"/>
        </w:rPr>
        <w:t>……………………….52</w:t>
      </w:r>
    </w:p>
    <w:p w14:paraId="280BC862" w14:textId="39F0E4FF" w:rsidR="00741554" w:rsidRDefault="00741554" w:rsidP="00741554">
      <w:pPr>
        <w:spacing w:after="200"/>
        <w:ind w:left="1080"/>
        <w:contextualSpacing/>
        <w:jc w:val="left"/>
        <w:rPr>
          <w:rFonts w:eastAsia="Calibri" w:cs="Times New Roman"/>
          <w:szCs w:val="24"/>
        </w:rPr>
      </w:pPr>
      <w:r>
        <w:rPr>
          <w:rFonts w:eastAsia="Calibri" w:cs="Times New Roman"/>
          <w:szCs w:val="24"/>
        </w:rPr>
        <w:t xml:space="preserve">2.6 </w:t>
      </w:r>
      <w:r>
        <w:rPr>
          <w:rFonts w:eastAsia="Calibri" w:cs="Times New Roman"/>
          <w:i/>
          <w:szCs w:val="24"/>
        </w:rPr>
        <w:t>Enforcement quality</w:t>
      </w:r>
      <w:r>
        <w:rPr>
          <w:rFonts w:eastAsia="Calibri" w:cs="Times New Roman"/>
          <w:szCs w:val="24"/>
        </w:rPr>
        <w:t>……………………………………………….64</w:t>
      </w:r>
    </w:p>
    <w:p w14:paraId="02956FDB" w14:textId="3FEB7AFC" w:rsidR="00741554" w:rsidRPr="00741554" w:rsidRDefault="00741554" w:rsidP="00741554">
      <w:pPr>
        <w:spacing w:after="200"/>
        <w:ind w:left="1080"/>
        <w:contextualSpacing/>
        <w:jc w:val="left"/>
        <w:rPr>
          <w:rFonts w:eastAsia="Calibri" w:cs="Times New Roman"/>
          <w:szCs w:val="24"/>
        </w:rPr>
      </w:pPr>
      <w:r>
        <w:rPr>
          <w:rFonts w:eastAsia="Calibri" w:cs="Times New Roman"/>
          <w:szCs w:val="24"/>
        </w:rPr>
        <w:t xml:space="preserve">2.7 </w:t>
      </w:r>
      <w:r>
        <w:rPr>
          <w:rFonts w:eastAsia="Calibri" w:cs="Times New Roman"/>
          <w:i/>
          <w:szCs w:val="24"/>
        </w:rPr>
        <w:t>Industrial value addition through R&amp;D</w:t>
      </w:r>
      <w:r>
        <w:rPr>
          <w:rFonts w:eastAsia="Calibri" w:cs="Times New Roman"/>
          <w:szCs w:val="24"/>
        </w:rPr>
        <w:t>…………………………..66</w:t>
      </w:r>
    </w:p>
    <w:p w14:paraId="1DDCE8CA" w14:textId="2A49767B" w:rsidR="00122856" w:rsidRPr="00122856" w:rsidRDefault="00122856" w:rsidP="00741554">
      <w:pPr>
        <w:numPr>
          <w:ilvl w:val="0"/>
          <w:numId w:val="6"/>
        </w:numPr>
        <w:spacing w:after="200"/>
        <w:contextualSpacing/>
        <w:jc w:val="left"/>
        <w:rPr>
          <w:rFonts w:eastAsia="Calibri" w:cs="Times New Roman"/>
          <w:b/>
          <w:szCs w:val="24"/>
        </w:rPr>
      </w:pPr>
      <w:r w:rsidRPr="00122856">
        <w:rPr>
          <w:rFonts w:eastAsia="Calibri" w:cs="Times New Roman"/>
          <w:b/>
          <w:szCs w:val="24"/>
        </w:rPr>
        <w:t>Methodology………………………………</w:t>
      </w:r>
      <w:r w:rsidR="00F855D8">
        <w:rPr>
          <w:rFonts w:eastAsia="Calibri" w:cs="Times New Roman"/>
          <w:b/>
          <w:szCs w:val="24"/>
        </w:rPr>
        <w:t>....</w:t>
      </w:r>
      <w:r w:rsidRPr="00122856">
        <w:rPr>
          <w:rFonts w:eastAsia="Calibri" w:cs="Times New Roman"/>
          <w:b/>
          <w:szCs w:val="24"/>
        </w:rPr>
        <w:t>……………….…</w:t>
      </w:r>
      <w:r w:rsidR="00491ECD">
        <w:rPr>
          <w:rFonts w:eastAsia="Calibri" w:cs="Times New Roman"/>
          <w:b/>
          <w:szCs w:val="24"/>
        </w:rPr>
        <w:t>..</w:t>
      </w:r>
      <w:r w:rsidRPr="00122856">
        <w:rPr>
          <w:rFonts w:eastAsia="Calibri" w:cs="Times New Roman"/>
          <w:b/>
          <w:szCs w:val="24"/>
        </w:rPr>
        <w:t>……..</w:t>
      </w:r>
      <w:r w:rsidR="00442FF0">
        <w:rPr>
          <w:rFonts w:eastAsia="Calibri" w:cs="Times New Roman"/>
          <w:b/>
          <w:szCs w:val="24"/>
        </w:rPr>
        <w:t xml:space="preserve"> </w:t>
      </w:r>
      <w:r w:rsidR="00F04D1E">
        <w:rPr>
          <w:rFonts w:eastAsia="Calibri" w:cs="Times New Roman"/>
          <w:b/>
          <w:szCs w:val="24"/>
        </w:rPr>
        <w:t>70</w:t>
      </w:r>
    </w:p>
    <w:p w14:paraId="3EDB59BC" w14:textId="12058ADB" w:rsidR="00122856" w:rsidRPr="00122856" w:rsidRDefault="00122856" w:rsidP="00741554">
      <w:pPr>
        <w:numPr>
          <w:ilvl w:val="1"/>
          <w:numId w:val="8"/>
        </w:numPr>
        <w:spacing w:after="200"/>
        <w:contextualSpacing/>
        <w:jc w:val="left"/>
        <w:rPr>
          <w:rFonts w:eastAsia="Calibri" w:cs="Times New Roman"/>
          <w:szCs w:val="24"/>
        </w:rPr>
      </w:pPr>
      <w:r w:rsidRPr="00122856">
        <w:rPr>
          <w:rFonts w:eastAsia="Calibri" w:cs="Times New Roman"/>
          <w:i/>
          <w:szCs w:val="24"/>
        </w:rPr>
        <w:t>Data collection…</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F855D8">
        <w:rPr>
          <w:rFonts w:eastAsia="Calibri" w:cs="Times New Roman"/>
          <w:szCs w:val="24"/>
        </w:rPr>
        <w:t>.</w:t>
      </w:r>
      <w:r w:rsidR="00491ECD">
        <w:rPr>
          <w:rFonts w:eastAsia="Calibri" w:cs="Times New Roman"/>
          <w:szCs w:val="24"/>
        </w:rPr>
        <w:t>.</w:t>
      </w:r>
      <w:r w:rsidRPr="00122856">
        <w:rPr>
          <w:rFonts w:eastAsia="Calibri" w:cs="Times New Roman"/>
          <w:szCs w:val="24"/>
        </w:rPr>
        <w:t>…</w:t>
      </w:r>
      <w:r w:rsidR="00491ECD">
        <w:rPr>
          <w:rFonts w:eastAsia="Calibri" w:cs="Times New Roman"/>
          <w:szCs w:val="24"/>
        </w:rPr>
        <w:t>.</w:t>
      </w:r>
      <w:r w:rsidRPr="00122856">
        <w:rPr>
          <w:rFonts w:eastAsia="Calibri" w:cs="Times New Roman"/>
          <w:szCs w:val="24"/>
        </w:rPr>
        <w:t>….</w:t>
      </w:r>
      <w:r w:rsidR="00442FF0">
        <w:rPr>
          <w:rFonts w:eastAsia="Calibri" w:cs="Times New Roman"/>
          <w:szCs w:val="24"/>
        </w:rPr>
        <w:t>.</w:t>
      </w:r>
      <w:r w:rsidR="00F04D1E">
        <w:rPr>
          <w:rFonts w:eastAsia="Calibri" w:cs="Times New Roman"/>
          <w:szCs w:val="24"/>
        </w:rPr>
        <w:t>70</w:t>
      </w:r>
    </w:p>
    <w:p w14:paraId="000E5EA9" w14:textId="4C4F1C55" w:rsidR="00122856" w:rsidRPr="00122856" w:rsidRDefault="00122856" w:rsidP="00741554">
      <w:pPr>
        <w:numPr>
          <w:ilvl w:val="1"/>
          <w:numId w:val="8"/>
        </w:numPr>
        <w:spacing w:after="200"/>
        <w:contextualSpacing/>
        <w:jc w:val="left"/>
        <w:rPr>
          <w:rFonts w:eastAsia="Calibri" w:cs="Times New Roman"/>
          <w:szCs w:val="24"/>
        </w:rPr>
      </w:pPr>
      <w:r w:rsidRPr="00122856">
        <w:rPr>
          <w:rFonts w:eastAsia="Calibri" w:cs="Times New Roman"/>
          <w:i/>
          <w:szCs w:val="24"/>
        </w:rPr>
        <w:t>Dynamic graded response</w:t>
      </w:r>
      <w:r w:rsidR="00EB7104">
        <w:rPr>
          <w:rFonts w:eastAsia="Calibri" w:cs="Times New Roman"/>
          <w:i/>
          <w:szCs w:val="24"/>
        </w:rPr>
        <w:t>-</w:t>
      </w:r>
      <w:r w:rsidRPr="00122856">
        <w:rPr>
          <w:rFonts w:eastAsia="Calibri" w:cs="Times New Roman"/>
          <w:i/>
          <w:szCs w:val="24"/>
        </w:rPr>
        <w:t>based corporate governance index</w:t>
      </w:r>
      <w:r w:rsidRPr="00122856">
        <w:rPr>
          <w:rFonts w:eastAsia="Calibri" w:cs="Times New Roman"/>
          <w:szCs w:val="24"/>
        </w:rPr>
        <w:t>…</w:t>
      </w:r>
      <w:r w:rsidR="00F855D8">
        <w:rPr>
          <w:rFonts w:eastAsia="Calibri" w:cs="Times New Roman"/>
          <w:szCs w:val="24"/>
        </w:rPr>
        <w:t>.</w:t>
      </w:r>
      <w:r w:rsidR="00E23224">
        <w:rPr>
          <w:rFonts w:eastAsia="Calibri" w:cs="Times New Roman"/>
          <w:szCs w:val="24"/>
        </w:rPr>
        <w:t xml:space="preserve"> </w:t>
      </w:r>
      <w:r w:rsidR="00EF4E4F">
        <w:rPr>
          <w:rFonts w:eastAsia="Calibri" w:cs="Times New Roman"/>
          <w:szCs w:val="24"/>
        </w:rPr>
        <w:t>77</w:t>
      </w:r>
    </w:p>
    <w:p w14:paraId="4252394F" w14:textId="7857C922" w:rsidR="00122856" w:rsidRPr="00122856" w:rsidRDefault="00122856" w:rsidP="00741554">
      <w:pPr>
        <w:numPr>
          <w:ilvl w:val="1"/>
          <w:numId w:val="8"/>
        </w:numPr>
        <w:spacing w:after="200"/>
        <w:contextualSpacing/>
        <w:jc w:val="left"/>
        <w:rPr>
          <w:rFonts w:eastAsia="Calibri" w:cs="Times New Roman"/>
          <w:szCs w:val="24"/>
        </w:rPr>
      </w:pPr>
      <w:r w:rsidRPr="00122856">
        <w:rPr>
          <w:rFonts w:eastAsia="Calibri" w:cs="Times New Roman"/>
          <w:i/>
          <w:szCs w:val="24"/>
        </w:rPr>
        <w:t>Bayesian factor analysis</w:t>
      </w:r>
      <w:r w:rsidR="00EB7104">
        <w:rPr>
          <w:rFonts w:eastAsia="Calibri" w:cs="Times New Roman"/>
          <w:i/>
          <w:szCs w:val="24"/>
        </w:rPr>
        <w:t>-</w:t>
      </w:r>
      <w:r w:rsidRPr="00122856">
        <w:rPr>
          <w:rFonts w:eastAsia="Calibri" w:cs="Times New Roman"/>
          <w:i/>
          <w:szCs w:val="24"/>
        </w:rPr>
        <w:t>based control indices</w:t>
      </w:r>
      <w:r w:rsidRPr="00122856">
        <w:rPr>
          <w:rFonts w:eastAsia="Calibri" w:cs="Times New Roman"/>
          <w:szCs w:val="24"/>
        </w:rPr>
        <w:t>………</w:t>
      </w:r>
      <w:r w:rsidR="00F855D8">
        <w:rPr>
          <w:rFonts w:eastAsia="Calibri" w:cs="Times New Roman"/>
          <w:szCs w:val="24"/>
        </w:rPr>
        <w:t>..</w:t>
      </w:r>
      <w:r w:rsidR="00491ECD">
        <w:rPr>
          <w:rFonts w:eastAsia="Calibri" w:cs="Times New Roman"/>
          <w:szCs w:val="24"/>
        </w:rPr>
        <w:t>..</w:t>
      </w:r>
      <w:r w:rsidRPr="00122856">
        <w:rPr>
          <w:rFonts w:eastAsia="Calibri" w:cs="Times New Roman"/>
          <w:szCs w:val="24"/>
        </w:rPr>
        <w:t>……</w:t>
      </w:r>
      <w:r w:rsidR="00F855D8">
        <w:rPr>
          <w:rFonts w:eastAsia="Calibri" w:cs="Times New Roman"/>
          <w:szCs w:val="24"/>
        </w:rPr>
        <w:t>.…</w:t>
      </w:r>
      <w:r w:rsidR="00EF4E4F">
        <w:rPr>
          <w:rFonts w:eastAsia="Calibri" w:cs="Times New Roman"/>
          <w:szCs w:val="24"/>
        </w:rPr>
        <w:t xml:space="preserve"> 93</w:t>
      </w:r>
    </w:p>
    <w:p w14:paraId="676D6337" w14:textId="62185375" w:rsidR="00122856" w:rsidRDefault="00122856" w:rsidP="00741554">
      <w:pPr>
        <w:numPr>
          <w:ilvl w:val="1"/>
          <w:numId w:val="8"/>
        </w:numPr>
        <w:spacing w:after="200"/>
        <w:contextualSpacing/>
        <w:jc w:val="left"/>
        <w:rPr>
          <w:rFonts w:eastAsia="Calibri" w:cs="Times New Roman"/>
          <w:szCs w:val="24"/>
        </w:rPr>
      </w:pPr>
      <w:r w:rsidRPr="00122856">
        <w:rPr>
          <w:rFonts w:eastAsia="Calibri" w:cs="Times New Roman"/>
          <w:i/>
          <w:szCs w:val="24"/>
        </w:rPr>
        <w:t>Structural models</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442FF0">
        <w:rPr>
          <w:rFonts w:eastAsia="Calibri" w:cs="Times New Roman"/>
          <w:szCs w:val="24"/>
        </w:rPr>
        <w:t xml:space="preserve">  9</w:t>
      </w:r>
      <w:r w:rsidR="00EF4E4F">
        <w:rPr>
          <w:rFonts w:eastAsia="Calibri" w:cs="Times New Roman"/>
          <w:szCs w:val="24"/>
        </w:rPr>
        <w:t>9</w:t>
      </w:r>
    </w:p>
    <w:p w14:paraId="6A842273" w14:textId="110420D7" w:rsidR="00E23224" w:rsidRPr="00122856" w:rsidRDefault="00E23224" w:rsidP="00741554">
      <w:pPr>
        <w:numPr>
          <w:ilvl w:val="1"/>
          <w:numId w:val="8"/>
        </w:numPr>
        <w:spacing w:after="200"/>
        <w:contextualSpacing/>
        <w:jc w:val="left"/>
        <w:rPr>
          <w:rFonts w:eastAsia="Calibri" w:cs="Times New Roman"/>
          <w:szCs w:val="24"/>
        </w:rPr>
      </w:pPr>
      <w:r>
        <w:rPr>
          <w:rFonts w:eastAsia="Calibri" w:cs="Times New Roman"/>
          <w:i/>
          <w:szCs w:val="24"/>
        </w:rPr>
        <w:t>Country wise models</w:t>
      </w:r>
      <w:r>
        <w:rPr>
          <w:rFonts w:eastAsia="Calibri" w:cs="Times New Roman"/>
          <w:szCs w:val="24"/>
        </w:rPr>
        <w:t>…………………………………</w:t>
      </w:r>
      <w:r w:rsidR="00491ECD">
        <w:rPr>
          <w:rFonts w:eastAsia="Calibri" w:cs="Times New Roman"/>
          <w:szCs w:val="24"/>
        </w:rPr>
        <w:t>.</w:t>
      </w:r>
      <w:r>
        <w:rPr>
          <w:rFonts w:eastAsia="Calibri" w:cs="Times New Roman"/>
          <w:szCs w:val="24"/>
        </w:rPr>
        <w:t>…………11</w:t>
      </w:r>
      <w:r w:rsidR="00457FD7">
        <w:rPr>
          <w:rFonts w:eastAsia="Calibri" w:cs="Times New Roman"/>
          <w:szCs w:val="24"/>
        </w:rPr>
        <w:t>3</w:t>
      </w:r>
    </w:p>
    <w:p w14:paraId="6A2A7E13" w14:textId="06B44198" w:rsidR="00122856" w:rsidRPr="00122856" w:rsidRDefault="00122856" w:rsidP="00741554">
      <w:pPr>
        <w:numPr>
          <w:ilvl w:val="0"/>
          <w:numId w:val="6"/>
        </w:numPr>
        <w:spacing w:after="200"/>
        <w:contextualSpacing/>
        <w:jc w:val="left"/>
        <w:rPr>
          <w:rFonts w:eastAsia="Calibri" w:cs="Times New Roman"/>
          <w:b/>
          <w:szCs w:val="24"/>
        </w:rPr>
      </w:pPr>
      <w:r w:rsidRPr="00122856">
        <w:rPr>
          <w:rFonts w:eastAsia="Calibri" w:cs="Times New Roman"/>
          <w:b/>
          <w:szCs w:val="24"/>
        </w:rPr>
        <w:t>Analy</w:t>
      </w:r>
      <w:r w:rsidR="00E23224">
        <w:rPr>
          <w:rFonts w:eastAsia="Calibri" w:cs="Times New Roman"/>
          <w:b/>
          <w:szCs w:val="24"/>
        </w:rPr>
        <w:t>sis...……………………………………………………</w:t>
      </w:r>
      <w:r w:rsidR="00491ECD">
        <w:rPr>
          <w:rFonts w:eastAsia="Calibri" w:cs="Times New Roman"/>
          <w:b/>
          <w:szCs w:val="24"/>
        </w:rPr>
        <w:t>..</w:t>
      </w:r>
      <w:r w:rsidR="00E23224">
        <w:rPr>
          <w:rFonts w:eastAsia="Calibri" w:cs="Times New Roman"/>
          <w:b/>
          <w:szCs w:val="24"/>
        </w:rPr>
        <w:t>……….. 11</w:t>
      </w:r>
      <w:r w:rsidR="00457FD7">
        <w:rPr>
          <w:rFonts w:eastAsia="Calibri" w:cs="Times New Roman"/>
          <w:b/>
          <w:szCs w:val="24"/>
        </w:rPr>
        <w:t>4</w:t>
      </w:r>
    </w:p>
    <w:p w14:paraId="7B33991B" w14:textId="2DA3B84C" w:rsidR="00122856" w:rsidRPr="00122856" w:rsidRDefault="00122856" w:rsidP="00741554">
      <w:pPr>
        <w:numPr>
          <w:ilvl w:val="1"/>
          <w:numId w:val="7"/>
        </w:numPr>
        <w:spacing w:after="200"/>
        <w:contextualSpacing/>
        <w:jc w:val="left"/>
        <w:rPr>
          <w:rFonts w:eastAsia="Calibri" w:cs="Times New Roman"/>
          <w:szCs w:val="24"/>
        </w:rPr>
      </w:pPr>
      <w:r w:rsidRPr="00122856">
        <w:rPr>
          <w:rFonts w:eastAsia="Calibri" w:cs="Times New Roman"/>
          <w:i/>
          <w:szCs w:val="24"/>
        </w:rPr>
        <w:t>Corporate governance convergence</w:t>
      </w:r>
      <w:r w:rsidR="00B14D62">
        <w:rPr>
          <w:rFonts w:eastAsia="Calibri" w:cs="Times New Roman"/>
          <w:szCs w:val="24"/>
        </w:rPr>
        <w:t>…………………</w:t>
      </w:r>
      <w:r w:rsidR="00491ECD">
        <w:rPr>
          <w:rFonts w:eastAsia="Calibri" w:cs="Times New Roman"/>
          <w:szCs w:val="24"/>
        </w:rPr>
        <w:t>.</w:t>
      </w:r>
      <w:r w:rsidR="00B14D62">
        <w:rPr>
          <w:rFonts w:eastAsia="Calibri" w:cs="Times New Roman"/>
          <w:szCs w:val="24"/>
        </w:rPr>
        <w:t xml:space="preserve">………... </w:t>
      </w:r>
      <w:r w:rsidR="00E23224">
        <w:rPr>
          <w:rFonts w:eastAsia="Calibri" w:cs="Times New Roman"/>
          <w:szCs w:val="24"/>
        </w:rPr>
        <w:t>11</w:t>
      </w:r>
      <w:r w:rsidR="00457FD7">
        <w:rPr>
          <w:rFonts w:eastAsia="Calibri" w:cs="Times New Roman"/>
          <w:szCs w:val="24"/>
        </w:rPr>
        <w:t>5</w:t>
      </w:r>
    </w:p>
    <w:p w14:paraId="0585AAD5" w14:textId="04A3F448" w:rsidR="00122856" w:rsidRPr="00122856" w:rsidRDefault="00122856" w:rsidP="00741554">
      <w:pPr>
        <w:numPr>
          <w:ilvl w:val="1"/>
          <w:numId w:val="7"/>
        </w:numPr>
        <w:spacing w:after="200"/>
        <w:contextualSpacing/>
        <w:jc w:val="left"/>
        <w:rPr>
          <w:rFonts w:eastAsia="Calibri" w:cs="Times New Roman"/>
          <w:szCs w:val="24"/>
        </w:rPr>
      </w:pPr>
      <w:r w:rsidRPr="00122856">
        <w:rPr>
          <w:rFonts w:eastAsia="Calibri" w:cs="Times New Roman"/>
          <w:i/>
          <w:szCs w:val="24"/>
        </w:rPr>
        <w:t>Breakpoint analysis: endogeneity of corporate governance</w:t>
      </w:r>
      <w:r w:rsidR="00B14D62">
        <w:rPr>
          <w:rFonts w:eastAsia="Calibri" w:cs="Times New Roman"/>
          <w:szCs w:val="24"/>
        </w:rPr>
        <w:t xml:space="preserve"> </w:t>
      </w:r>
      <w:r w:rsidR="00E370BC">
        <w:rPr>
          <w:rFonts w:eastAsia="Calibri" w:cs="Times New Roman"/>
          <w:szCs w:val="24"/>
        </w:rPr>
        <w:t>….</w:t>
      </w:r>
      <w:r w:rsidR="00EF4E4F">
        <w:rPr>
          <w:rFonts w:eastAsia="Calibri" w:cs="Times New Roman"/>
          <w:szCs w:val="24"/>
        </w:rPr>
        <w:t>..</w:t>
      </w:r>
      <w:r w:rsidR="00E23224">
        <w:rPr>
          <w:rFonts w:eastAsia="Calibri" w:cs="Times New Roman"/>
          <w:szCs w:val="24"/>
        </w:rPr>
        <w:t>12</w:t>
      </w:r>
      <w:r w:rsidR="00457FD7">
        <w:rPr>
          <w:rFonts w:eastAsia="Calibri" w:cs="Times New Roman"/>
          <w:szCs w:val="24"/>
        </w:rPr>
        <w:t>7</w:t>
      </w:r>
    </w:p>
    <w:p w14:paraId="73F750F8" w14:textId="756CDE41" w:rsidR="00122856" w:rsidRPr="00122856" w:rsidRDefault="00122856" w:rsidP="00741554">
      <w:pPr>
        <w:numPr>
          <w:ilvl w:val="1"/>
          <w:numId w:val="7"/>
        </w:numPr>
        <w:spacing w:after="200"/>
        <w:contextualSpacing/>
        <w:jc w:val="left"/>
        <w:rPr>
          <w:rFonts w:eastAsia="Calibri" w:cs="Times New Roman"/>
          <w:szCs w:val="24"/>
        </w:rPr>
      </w:pPr>
      <w:r w:rsidRPr="00122856">
        <w:rPr>
          <w:rFonts w:eastAsia="Calibri" w:cs="Times New Roman"/>
          <w:i/>
          <w:szCs w:val="24"/>
        </w:rPr>
        <w:t>Structural model</w:t>
      </w:r>
      <w:r w:rsidRPr="00122856">
        <w:rPr>
          <w:rFonts w:eastAsia="Calibri" w:cs="Times New Roman"/>
          <w:szCs w:val="24"/>
        </w:rPr>
        <w:t>.………………………………………</w:t>
      </w:r>
      <w:r w:rsidR="00491ECD">
        <w:rPr>
          <w:rFonts w:eastAsia="Calibri" w:cs="Times New Roman"/>
          <w:szCs w:val="24"/>
        </w:rPr>
        <w:t>.</w:t>
      </w:r>
      <w:r w:rsidRPr="00122856">
        <w:rPr>
          <w:rFonts w:eastAsia="Calibri" w:cs="Times New Roman"/>
          <w:szCs w:val="24"/>
        </w:rPr>
        <w:t>………</w:t>
      </w:r>
      <w:r w:rsidR="00442FF0">
        <w:rPr>
          <w:rFonts w:eastAsia="Calibri" w:cs="Times New Roman"/>
          <w:szCs w:val="24"/>
        </w:rPr>
        <w:t>..</w:t>
      </w:r>
      <w:r w:rsidR="008273EE">
        <w:rPr>
          <w:rFonts w:eastAsia="Calibri" w:cs="Times New Roman"/>
          <w:szCs w:val="24"/>
        </w:rPr>
        <w:t>1</w:t>
      </w:r>
      <w:r w:rsidR="00457FD7">
        <w:rPr>
          <w:rFonts w:eastAsia="Calibri" w:cs="Times New Roman"/>
          <w:szCs w:val="24"/>
        </w:rPr>
        <w:t>67</w:t>
      </w:r>
    </w:p>
    <w:p w14:paraId="71EA1EA5" w14:textId="2B6709B4" w:rsidR="00122856" w:rsidRPr="00122856" w:rsidRDefault="00122856" w:rsidP="00E370BC">
      <w:pPr>
        <w:numPr>
          <w:ilvl w:val="1"/>
          <w:numId w:val="7"/>
        </w:numPr>
        <w:spacing w:after="200"/>
        <w:contextualSpacing/>
        <w:jc w:val="left"/>
        <w:rPr>
          <w:rFonts w:eastAsia="Calibri" w:cs="Times New Roman"/>
          <w:szCs w:val="24"/>
        </w:rPr>
      </w:pPr>
      <w:r w:rsidRPr="00122856">
        <w:rPr>
          <w:rFonts w:eastAsia="Calibri" w:cs="Times New Roman"/>
          <w:i/>
          <w:szCs w:val="24"/>
        </w:rPr>
        <w:t>Individual country</w:t>
      </w:r>
      <w:r w:rsidR="00EB7104">
        <w:rPr>
          <w:rFonts w:eastAsia="Calibri" w:cs="Times New Roman"/>
          <w:i/>
          <w:szCs w:val="24"/>
        </w:rPr>
        <w:t>-</w:t>
      </w:r>
      <w:r w:rsidRPr="00122856">
        <w:rPr>
          <w:rFonts w:eastAsia="Calibri" w:cs="Times New Roman"/>
          <w:i/>
          <w:szCs w:val="24"/>
        </w:rPr>
        <w:t>based model</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491ECD">
        <w:rPr>
          <w:rFonts w:eastAsia="Calibri" w:cs="Times New Roman"/>
          <w:szCs w:val="24"/>
        </w:rPr>
        <w:t>.</w:t>
      </w:r>
      <w:r w:rsidRPr="00122856">
        <w:rPr>
          <w:rFonts w:eastAsia="Calibri" w:cs="Times New Roman"/>
          <w:szCs w:val="24"/>
        </w:rPr>
        <w:t>……</w:t>
      </w:r>
      <w:r w:rsidR="00E370BC">
        <w:rPr>
          <w:rFonts w:eastAsia="Calibri" w:cs="Times New Roman"/>
          <w:szCs w:val="24"/>
        </w:rPr>
        <w:t>.</w:t>
      </w:r>
      <w:r w:rsidR="00442FF0">
        <w:rPr>
          <w:rFonts w:eastAsia="Calibri" w:cs="Times New Roman"/>
          <w:szCs w:val="24"/>
        </w:rPr>
        <w:t>.</w:t>
      </w:r>
      <w:r w:rsidR="00E370BC">
        <w:rPr>
          <w:rFonts w:eastAsia="Calibri" w:cs="Times New Roman"/>
          <w:szCs w:val="24"/>
        </w:rPr>
        <w:t>.</w:t>
      </w:r>
      <w:r w:rsidR="00491ECD">
        <w:rPr>
          <w:rFonts w:eastAsia="Calibri" w:cs="Times New Roman"/>
          <w:szCs w:val="24"/>
        </w:rPr>
        <w:t>.</w:t>
      </w:r>
      <w:r w:rsidR="00E370BC">
        <w:rPr>
          <w:rFonts w:eastAsia="Calibri" w:cs="Times New Roman"/>
          <w:szCs w:val="24"/>
        </w:rPr>
        <w:t>.</w:t>
      </w:r>
      <w:r w:rsidRPr="00122856">
        <w:rPr>
          <w:rFonts w:eastAsia="Calibri" w:cs="Times New Roman"/>
          <w:szCs w:val="24"/>
        </w:rPr>
        <w:t>…</w:t>
      </w:r>
      <w:r w:rsidR="00E370BC">
        <w:rPr>
          <w:rFonts w:eastAsia="Calibri" w:cs="Times New Roman"/>
          <w:szCs w:val="24"/>
        </w:rPr>
        <w:t>.</w:t>
      </w:r>
      <w:r w:rsidR="004332CA">
        <w:rPr>
          <w:rFonts w:eastAsia="Calibri" w:cs="Times New Roman"/>
          <w:szCs w:val="24"/>
        </w:rPr>
        <w:t>.</w:t>
      </w:r>
      <w:r w:rsidRPr="00122856">
        <w:rPr>
          <w:rFonts w:eastAsia="Calibri" w:cs="Times New Roman"/>
          <w:szCs w:val="24"/>
        </w:rPr>
        <w:t>…</w:t>
      </w:r>
      <w:r w:rsidR="008273EE">
        <w:rPr>
          <w:rFonts w:eastAsia="Calibri" w:cs="Times New Roman"/>
          <w:szCs w:val="24"/>
        </w:rPr>
        <w:t>1</w:t>
      </w:r>
      <w:r w:rsidR="00141C8A">
        <w:rPr>
          <w:rFonts w:eastAsia="Calibri" w:cs="Times New Roman"/>
          <w:szCs w:val="24"/>
        </w:rPr>
        <w:t>72</w:t>
      </w:r>
    </w:p>
    <w:p w14:paraId="3DA69727" w14:textId="6D46673A" w:rsidR="00122856" w:rsidRPr="00122856" w:rsidRDefault="00122856" w:rsidP="00E370BC">
      <w:pPr>
        <w:numPr>
          <w:ilvl w:val="0"/>
          <w:numId w:val="6"/>
        </w:numPr>
        <w:spacing w:after="200"/>
        <w:contextualSpacing/>
        <w:jc w:val="left"/>
        <w:rPr>
          <w:rFonts w:eastAsia="Calibri" w:cs="Times New Roman"/>
          <w:b/>
          <w:szCs w:val="24"/>
        </w:rPr>
      </w:pPr>
      <w:r w:rsidRPr="00122856">
        <w:rPr>
          <w:rFonts w:eastAsia="Calibri" w:cs="Times New Roman"/>
          <w:b/>
          <w:szCs w:val="24"/>
        </w:rPr>
        <w:t>Conclusion………………………</w:t>
      </w:r>
      <w:r w:rsidR="00F855D8">
        <w:rPr>
          <w:rFonts w:eastAsia="Calibri" w:cs="Times New Roman"/>
          <w:b/>
          <w:szCs w:val="24"/>
        </w:rPr>
        <w:t>.</w:t>
      </w:r>
      <w:r w:rsidRPr="00122856">
        <w:rPr>
          <w:rFonts w:eastAsia="Calibri" w:cs="Times New Roman"/>
          <w:b/>
          <w:szCs w:val="24"/>
        </w:rPr>
        <w:t>……</w:t>
      </w:r>
      <w:r w:rsidR="00F855D8">
        <w:rPr>
          <w:rFonts w:eastAsia="Calibri" w:cs="Times New Roman"/>
          <w:b/>
          <w:szCs w:val="24"/>
        </w:rPr>
        <w:t>.</w:t>
      </w:r>
      <w:r w:rsidRPr="00122856">
        <w:rPr>
          <w:rFonts w:eastAsia="Calibri" w:cs="Times New Roman"/>
          <w:b/>
          <w:szCs w:val="24"/>
        </w:rPr>
        <w:t>……</w:t>
      </w:r>
      <w:r w:rsidR="00F855D8">
        <w:rPr>
          <w:rFonts w:eastAsia="Calibri" w:cs="Times New Roman"/>
          <w:b/>
          <w:szCs w:val="24"/>
        </w:rPr>
        <w:t>.</w:t>
      </w:r>
      <w:r w:rsidRPr="00122856">
        <w:rPr>
          <w:rFonts w:eastAsia="Calibri" w:cs="Times New Roman"/>
          <w:b/>
          <w:szCs w:val="24"/>
        </w:rPr>
        <w:t>…………</w:t>
      </w:r>
      <w:r w:rsidR="00E370BC">
        <w:rPr>
          <w:rFonts w:eastAsia="Calibri" w:cs="Times New Roman"/>
          <w:b/>
          <w:szCs w:val="24"/>
        </w:rPr>
        <w:t>.</w:t>
      </w:r>
      <w:r w:rsidR="00491ECD">
        <w:rPr>
          <w:rFonts w:eastAsia="Calibri" w:cs="Times New Roman"/>
          <w:b/>
          <w:szCs w:val="24"/>
        </w:rPr>
        <w:t>.</w:t>
      </w:r>
      <w:r w:rsidR="00E370BC">
        <w:rPr>
          <w:rFonts w:eastAsia="Calibri" w:cs="Times New Roman"/>
          <w:b/>
          <w:szCs w:val="24"/>
        </w:rPr>
        <w:t>.</w:t>
      </w:r>
      <w:r w:rsidRPr="00122856">
        <w:rPr>
          <w:rFonts w:eastAsia="Calibri" w:cs="Times New Roman"/>
          <w:b/>
          <w:szCs w:val="24"/>
        </w:rPr>
        <w:t>……</w:t>
      </w:r>
      <w:r w:rsidR="00E370BC">
        <w:rPr>
          <w:rFonts w:eastAsia="Calibri" w:cs="Times New Roman"/>
          <w:b/>
          <w:szCs w:val="24"/>
        </w:rPr>
        <w:t>.</w:t>
      </w:r>
      <w:r w:rsidR="00491ECD">
        <w:rPr>
          <w:rFonts w:eastAsia="Calibri" w:cs="Times New Roman"/>
          <w:b/>
          <w:szCs w:val="24"/>
        </w:rPr>
        <w:t>.</w:t>
      </w:r>
      <w:r w:rsidRPr="00122856">
        <w:rPr>
          <w:rFonts w:eastAsia="Calibri" w:cs="Times New Roman"/>
          <w:b/>
          <w:szCs w:val="24"/>
        </w:rPr>
        <w:t>…</w:t>
      </w:r>
      <w:r w:rsidR="00442FF0">
        <w:rPr>
          <w:rFonts w:eastAsia="Calibri" w:cs="Times New Roman"/>
          <w:b/>
          <w:szCs w:val="24"/>
        </w:rPr>
        <w:t>.</w:t>
      </w:r>
      <w:r w:rsidRPr="00122856">
        <w:rPr>
          <w:rFonts w:eastAsia="Calibri" w:cs="Times New Roman"/>
          <w:b/>
          <w:szCs w:val="24"/>
        </w:rPr>
        <w:t>….</w:t>
      </w:r>
      <w:r w:rsidR="00B14D62">
        <w:rPr>
          <w:rFonts w:eastAsia="Calibri" w:cs="Times New Roman"/>
          <w:b/>
          <w:szCs w:val="24"/>
        </w:rPr>
        <w:t xml:space="preserve"> </w:t>
      </w:r>
      <w:r w:rsidR="00141C8A">
        <w:rPr>
          <w:rFonts w:eastAsia="Calibri" w:cs="Times New Roman"/>
          <w:b/>
          <w:szCs w:val="24"/>
        </w:rPr>
        <w:t>219</w:t>
      </w:r>
    </w:p>
    <w:p w14:paraId="3B018CB5" w14:textId="2CB22A5A" w:rsidR="00122856" w:rsidRPr="00122856" w:rsidRDefault="00122856" w:rsidP="00741554">
      <w:pPr>
        <w:numPr>
          <w:ilvl w:val="0"/>
          <w:numId w:val="6"/>
        </w:numPr>
        <w:spacing w:after="200"/>
        <w:contextualSpacing/>
        <w:jc w:val="left"/>
        <w:rPr>
          <w:rFonts w:eastAsia="Calibri" w:cs="Times New Roman"/>
          <w:b/>
          <w:szCs w:val="24"/>
        </w:rPr>
      </w:pPr>
      <w:r w:rsidRPr="00122856">
        <w:rPr>
          <w:rFonts w:eastAsia="Calibri" w:cs="Times New Roman"/>
          <w:b/>
          <w:szCs w:val="24"/>
        </w:rPr>
        <w:t>Bibli</w:t>
      </w:r>
      <w:r w:rsidR="008273EE">
        <w:rPr>
          <w:rFonts w:eastAsia="Calibri" w:cs="Times New Roman"/>
          <w:b/>
          <w:szCs w:val="24"/>
        </w:rPr>
        <w:t>ography……………</w:t>
      </w:r>
      <w:r w:rsidR="00F855D8">
        <w:rPr>
          <w:rFonts w:eastAsia="Calibri" w:cs="Times New Roman"/>
          <w:b/>
          <w:szCs w:val="24"/>
        </w:rPr>
        <w:t>.</w:t>
      </w:r>
      <w:r w:rsidR="008273EE">
        <w:rPr>
          <w:rFonts w:eastAsia="Calibri" w:cs="Times New Roman"/>
          <w:b/>
          <w:szCs w:val="24"/>
        </w:rPr>
        <w:t>…</w:t>
      </w:r>
      <w:r w:rsidR="00F855D8">
        <w:rPr>
          <w:rFonts w:eastAsia="Calibri" w:cs="Times New Roman"/>
          <w:b/>
          <w:szCs w:val="24"/>
        </w:rPr>
        <w:t>.</w:t>
      </w:r>
      <w:r w:rsidR="008273EE">
        <w:rPr>
          <w:rFonts w:eastAsia="Calibri" w:cs="Times New Roman"/>
          <w:b/>
          <w:szCs w:val="24"/>
        </w:rPr>
        <w:t>…</w:t>
      </w:r>
      <w:r w:rsidR="00F855D8">
        <w:rPr>
          <w:rFonts w:eastAsia="Calibri" w:cs="Times New Roman"/>
          <w:b/>
          <w:szCs w:val="24"/>
        </w:rPr>
        <w:t>.</w:t>
      </w:r>
      <w:r w:rsidR="008273EE">
        <w:rPr>
          <w:rFonts w:eastAsia="Calibri" w:cs="Times New Roman"/>
          <w:b/>
          <w:szCs w:val="24"/>
        </w:rPr>
        <w:t>……………………</w:t>
      </w:r>
      <w:r w:rsidR="00491ECD">
        <w:rPr>
          <w:rFonts w:eastAsia="Calibri" w:cs="Times New Roman"/>
          <w:b/>
          <w:szCs w:val="24"/>
        </w:rPr>
        <w:t>.</w:t>
      </w:r>
      <w:r w:rsidR="008273EE">
        <w:rPr>
          <w:rFonts w:eastAsia="Calibri" w:cs="Times New Roman"/>
          <w:b/>
          <w:szCs w:val="24"/>
        </w:rPr>
        <w:t>….….……</w:t>
      </w:r>
      <w:r w:rsidR="00491ECD">
        <w:rPr>
          <w:rFonts w:eastAsia="Calibri" w:cs="Times New Roman"/>
          <w:b/>
          <w:szCs w:val="24"/>
        </w:rPr>
        <w:t>.</w:t>
      </w:r>
      <w:r w:rsidR="008273EE">
        <w:rPr>
          <w:rFonts w:eastAsia="Calibri" w:cs="Times New Roman"/>
          <w:b/>
          <w:szCs w:val="24"/>
        </w:rPr>
        <w:t>……</w:t>
      </w:r>
      <w:r w:rsidR="00B14D62">
        <w:rPr>
          <w:rFonts w:eastAsia="Calibri" w:cs="Times New Roman"/>
          <w:b/>
          <w:szCs w:val="24"/>
        </w:rPr>
        <w:t xml:space="preserve"> </w:t>
      </w:r>
      <w:r w:rsidR="008273EE">
        <w:rPr>
          <w:rFonts w:eastAsia="Calibri" w:cs="Times New Roman"/>
          <w:b/>
          <w:szCs w:val="24"/>
        </w:rPr>
        <w:t>2</w:t>
      </w:r>
      <w:r w:rsidR="00141C8A">
        <w:rPr>
          <w:rFonts w:eastAsia="Calibri" w:cs="Times New Roman"/>
          <w:b/>
          <w:szCs w:val="24"/>
        </w:rPr>
        <w:t>26</w:t>
      </w:r>
    </w:p>
    <w:p w14:paraId="457FD7EA" w14:textId="28B5FC6B" w:rsidR="00122856" w:rsidRPr="00122856" w:rsidRDefault="00122856" w:rsidP="00741554">
      <w:pPr>
        <w:numPr>
          <w:ilvl w:val="0"/>
          <w:numId w:val="6"/>
        </w:numPr>
        <w:spacing w:after="200"/>
        <w:contextualSpacing/>
        <w:jc w:val="left"/>
        <w:rPr>
          <w:rFonts w:eastAsia="Calibri" w:cs="Times New Roman"/>
          <w:szCs w:val="24"/>
        </w:rPr>
      </w:pPr>
      <w:r w:rsidRPr="00122856">
        <w:rPr>
          <w:rFonts w:eastAsia="Calibri" w:cs="Times New Roman"/>
          <w:b/>
          <w:szCs w:val="24"/>
        </w:rPr>
        <w:t>Appendix I:</w:t>
      </w:r>
      <w:r w:rsidRPr="00122856">
        <w:rPr>
          <w:rFonts w:eastAsia="Calibri" w:cs="Times New Roman"/>
          <w:szCs w:val="24"/>
        </w:rPr>
        <w:t xml:space="preserve"> </w:t>
      </w:r>
      <w:r w:rsidRPr="00122856">
        <w:rPr>
          <w:rFonts w:eastAsia="Calibri" w:cs="Times New Roman"/>
          <w:i/>
          <w:szCs w:val="24"/>
        </w:rPr>
        <w:t xml:space="preserve">Sample </w:t>
      </w:r>
      <w:r w:rsidR="00F855D8">
        <w:rPr>
          <w:rFonts w:eastAsia="Calibri" w:cs="Times New Roman"/>
          <w:i/>
          <w:szCs w:val="24"/>
        </w:rPr>
        <w:t>question</w:t>
      </w:r>
      <w:r w:rsidR="002073DE">
        <w:rPr>
          <w:rFonts w:eastAsia="Calibri" w:cs="Times New Roman"/>
          <w:i/>
          <w:szCs w:val="24"/>
        </w:rPr>
        <w:t>naire</w:t>
      </w:r>
      <w:r w:rsidRPr="00122856">
        <w:rPr>
          <w:rFonts w:eastAsia="Calibri" w:cs="Times New Roman"/>
          <w:i/>
          <w:szCs w:val="24"/>
        </w:rPr>
        <w:t xml:space="preserve"> and formatted data</w:t>
      </w:r>
      <w:r w:rsidRPr="00122856">
        <w:rPr>
          <w:rFonts w:eastAsia="Calibri" w:cs="Times New Roman"/>
          <w:szCs w:val="24"/>
        </w:rPr>
        <w:t>..…</w:t>
      </w:r>
      <w:r w:rsidR="00F855D8">
        <w:rPr>
          <w:rFonts w:eastAsia="Calibri" w:cs="Times New Roman"/>
          <w:szCs w:val="24"/>
        </w:rPr>
        <w:t>…</w:t>
      </w:r>
      <w:r w:rsidR="002073DE">
        <w:rPr>
          <w:rFonts w:eastAsia="Calibri" w:cs="Times New Roman"/>
          <w:szCs w:val="24"/>
        </w:rPr>
        <w:t>.</w:t>
      </w:r>
      <w:r w:rsidR="00F855D8">
        <w:rPr>
          <w:rFonts w:eastAsia="Calibri" w:cs="Times New Roman"/>
          <w:szCs w:val="24"/>
        </w:rPr>
        <w:t>.…</w:t>
      </w:r>
      <w:r w:rsidR="002073DE">
        <w:rPr>
          <w:rFonts w:eastAsia="Calibri" w:cs="Times New Roman"/>
          <w:szCs w:val="24"/>
        </w:rPr>
        <w:t>.</w:t>
      </w:r>
      <w:r w:rsidR="00F855D8">
        <w:rPr>
          <w:rFonts w:eastAsia="Calibri" w:cs="Times New Roman"/>
          <w:szCs w:val="24"/>
        </w:rPr>
        <w:t>.…...</w:t>
      </w:r>
      <w:r w:rsidR="00491ECD">
        <w:rPr>
          <w:rFonts w:eastAsia="Calibri" w:cs="Times New Roman"/>
          <w:szCs w:val="24"/>
        </w:rPr>
        <w:t>.</w:t>
      </w:r>
      <w:r w:rsidR="00F62A47">
        <w:rPr>
          <w:rFonts w:eastAsia="Calibri" w:cs="Times New Roman"/>
          <w:b/>
          <w:szCs w:val="24"/>
        </w:rPr>
        <w:t>2</w:t>
      </w:r>
      <w:r w:rsidR="00A42745">
        <w:rPr>
          <w:rFonts w:eastAsia="Calibri" w:cs="Times New Roman"/>
          <w:b/>
          <w:szCs w:val="24"/>
        </w:rPr>
        <w:t>7</w:t>
      </w:r>
      <w:r w:rsidR="005A260F">
        <w:rPr>
          <w:rFonts w:eastAsia="Calibri" w:cs="Times New Roman"/>
          <w:b/>
          <w:szCs w:val="24"/>
        </w:rPr>
        <w:t>1a</w:t>
      </w:r>
    </w:p>
    <w:p w14:paraId="2310DDDB" w14:textId="6DCBCCFB" w:rsidR="00122856" w:rsidRPr="00122856" w:rsidRDefault="009816DB" w:rsidP="00741554">
      <w:pPr>
        <w:numPr>
          <w:ilvl w:val="0"/>
          <w:numId w:val="6"/>
        </w:numPr>
        <w:spacing w:after="200"/>
        <w:contextualSpacing/>
        <w:jc w:val="left"/>
        <w:rPr>
          <w:rFonts w:eastAsia="Calibri" w:cs="Times New Roman"/>
          <w:i/>
          <w:szCs w:val="24"/>
        </w:rPr>
      </w:pPr>
      <w:r>
        <w:rPr>
          <w:rFonts w:eastAsia="Calibri" w:cs="Times New Roman"/>
          <w:b/>
          <w:szCs w:val="24"/>
        </w:rPr>
        <w:t xml:space="preserve">Appendix </w:t>
      </w:r>
      <w:r w:rsidR="00122856" w:rsidRPr="00122856">
        <w:rPr>
          <w:rFonts w:eastAsia="Calibri" w:cs="Times New Roman"/>
          <w:b/>
          <w:szCs w:val="24"/>
        </w:rPr>
        <w:t>II:</w:t>
      </w:r>
      <w:r w:rsidR="00122856" w:rsidRPr="00122856">
        <w:rPr>
          <w:rFonts w:eastAsia="Calibri" w:cs="Times New Roman"/>
          <w:szCs w:val="24"/>
        </w:rPr>
        <w:t xml:space="preserve"> </w:t>
      </w:r>
      <w:r w:rsidR="00122856" w:rsidRPr="00122856">
        <w:rPr>
          <w:rFonts w:eastAsia="Calibri" w:cs="Times New Roman"/>
          <w:i/>
          <w:szCs w:val="24"/>
        </w:rPr>
        <w:t xml:space="preserve">Convergence graphs and codes for Bayesian factor </w:t>
      </w:r>
    </w:p>
    <w:p w14:paraId="591BEC4E" w14:textId="74EB0B73" w:rsidR="00122856" w:rsidRPr="00122856" w:rsidRDefault="00122856" w:rsidP="00741554">
      <w:pPr>
        <w:spacing w:after="200"/>
        <w:ind w:left="720"/>
        <w:contextualSpacing/>
        <w:jc w:val="left"/>
        <w:rPr>
          <w:rFonts w:eastAsia="Calibri" w:cs="Times New Roman"/>
          <w:szCs w:val="24"/>
        </w:rPr>
      </w:pPr>
      <w:r w:rsidRPr="00122856">
        <w:rPr>
          <w:rFonts w:eastAsia="Calibri" w:cs="Times New Roman"/>
          <w:i/>
          <w:szCs w:val="24"/>
        </w:rPr>
        <w:t xml:space="preserve">                         analysis for financial market development index</w:t>
      </w:r>
      <w:r w:rsidR="00F855D8">
        <w:rPr>
          <w:rFonts w:eastAsia="Calibri" w:cs="Times New Roman"/>
          <w:szCs w:val="24"/>
        </w:rPr>
        <w:t>…</w:t>
      </w:r>
      <w:r w:rsidRPr="00122856">
        <w:rPr>
          <w:rFonts w:eastAsia="Calibri" w:cs="Times New Roman"/>
          <w:szCs w:val="24"/>
        </w:rPr>
        <w:t>…</w:t>
      </w:r>
      <w:r w:rsidR="00F855D8">
        <w:rPr>
          <w:rFonts w:eastAsia="Calibri" w:cs="Times New Roman"/>
          <w:szCs w:val="24"/>
        </w:rPr>
        <w:t>.</w:t>
      </w:r>
      <w:r w:rsidRPr="00122856">
        <w:rPr>
          <w:rFonts w:eastAsia="Calibri" w:cs="Times New Roman"/>
          <w:szCs w:val="24"/>
        </w:rPr>
        <w:t>…</w:t>
      </w:r>
      <w:r w:rsidR="008522B7">
        <w:rPr>
          <w:rFonts w:eastAsia="Calibri" w:cs="Times New Roman"/>
          <w:b/>
          <w:szCs w:val="24"/>
        </w:rPr>
        <w:t>316</w:t>
      </w:r>
    </w:p>
    <w:p w14:paraId="1F454CB2" w14:textId="7A1EE66A" w:rsidR="00122856" w:rsidRPr="00122856" w:rsidRDefault="00122856" w:rsidP="00741554">
      <w:pPr>
        <w:numPr>
          <w:ilvl w:val="0"/>
          <w:numId w:val="6"/>
        </w:numPr>
        <w:spacing w:after="200"/>
        <w:contextualSpacing/>
        <w:jc w:val="left"/>
        <w:rPr>
          <w:rFonts w:eastAsia="Calibri" w:cs="Times New Roman"/>
          <w:szCs w:val="24"/>
        </w:rPr>
      </w:pPr>
      <w:r w:rsidRPr="00122856">
        <w:rPr>
          <w:rFonts w:eastAsia="Calibri" w:cs="Times New Roman"/>
          <w:b/>
          <w:szCs w:val="24"/>
        </w:rPr>
        <w:t>Appendix I</w:t>
      </w:r>
      <w:r w:rsidR="009816DB">
        <w:rPr>
          <w:rFonts w:eastAsia="Calibri" w:cs="Times New Roman"/>
          <w:b/>
          <w:szCs w:val="24"/>
        </w:rPr>
        <w:t>II</w:t>
      </w:r>
      <w:r w:rsidRPr="00122856">
        <w:rPr>
          <w:rFonts w:eastAsia="Calibri" w:cs="Times New Roman"/>
          <w:b/>
          <w:szCs w:val="24"/>
        </w:rPr>
        <w:t>:</w:t>
      </w:r>
      <w:r w:rsidRPr="00122856">
        <w:rPr>
          <w:rFonts w:eastAsia="Calibri" w:cs="Times New Roman"/>
          <w:szCs w:val="24"/>
        </w:rPr>
        <w:t xml:space="preserve"> </w:t>
      </w:r>
      <w:r w:rsidRPr="00122856">
        <w:rPr>
          <w:rFonts w:eastAsia="Calibri" w:cs="Times New Roman"/>
          <w:i/>
          <w:szCs w:val="24"/>
        </w:rPr>
        <w:t>Convergence graphs and codes for final model</w:t>
      </w:r>
      <w:r w:rsidR="00F855D8">
        <w:rPr>
          <w:rFonts w:eastAsia="Calibri" w:cs="Times New Roman"/>
          <w:szCs w:val="24"/>
        </w:rPr>
        <w:t>.</w:t>
      </w:r>
      <w:r w:rsidR="004332CA">
        <w:rPr>
          <w:rFonts w:eastAsia="Calibri" w:cs="Times New Roman"/>
          <w:szCs w:val="24"/>
        </w:rPr>
        <w:t>…</w:t>
      </w:r>
      <w:r w:rsidR="00F855D8">
        <w:rPr>
          <w:rFonts w:eastAsia="Calibri" w:cs="Times New Roman"/>
          <w:szCs w:val="24"/>
        </w:rPr>
        <w:t>.</w:t>
      </w:r>
      <w:r w:rsidR="004332CA">
        <w:rPr>
          <w:rFonts w:eastAsia="Calibri" w:cs="Times New Roman"/>
          <w:szCs w:val="24"/>
        </w:rPr>
        <w:t>.……</w:t>
      </w:r>
      <w:r w:rsidR="008522B7">
        <w:rPr>
          <w:rFonts w:eastAsia="Calibri" w:cs="Times New Roman"/>
          <w:b/>
          <w:szCs w:val="24"/>
        </w:rPr>
        <w:t>486</w:t>
      </w:r>
    </w:p>
    <w:p w14:paraId="417AACDB" w14:textId="0D079BB1" w:rsidR="005156F4" w:rsidRPr="00741554" w:rsidRDefault="009816DB" w:rsidP="00741554">
      <w:pPr>
        <w:numPr>
          <w:ilvl w:val="0"/>
          <w:numId w:val="6"/>
        </w:numPr>
        <w:spacing w:after="200"/>
        <w:contextualSpacing/>
        <w:jc w:val="left"/>
        <w:rPr>
          <w:rFonts w:eastAsia="Calibri" w:cs="Times New Roman"/>
          <w:szCs w:val="24"/>
        </w:rPr>
      </w:pPr>
      <w:r>
        <w:rPr>
          <w:rFonts w:eastAsia="Calibri" w:cs="Times New Roman"/>
          <w:b/>
          <w:szCs w:val="24"/>
        </w:rPr>
        <w:t>Appendix IV</w:t>
      </w:r>
      <w:r w:rsidR="00122856" w:rsidRPr="00122856">
        <w:rPr>
          <w:rFonts w:eastAsia="Calibri" w:cs="Times New Roman"/>
          <w:b/>
          <w:szCs w:val="24"/>
        </w:rPr>
        <w:t>:</w:t>
      </w:r>
      <w:r w:rsidR="00122856" w:rsidRPr="00122856">
        <w:rPr>
          <w:rFonts w:eastAsia="Calibri" w:cs="Times New Roman"/>
          <w:szCs w:val="24"/>
        </w:rPr>
        <w:t xml:space="preserve"> </w:t>
      </w:r>
      <w:r w:rsidR="00122856" w:rsidRPr="00122856">
        <w:rPr>
          <w:rFonts w:eastAsia="Calibri" w:cs="Times New Roman"/>
          <w:i/>
          <w:szCs w:val="24"/>
        </w:rPr>
        <w:t>Published papers</w:t>
      </w:r>
      <w:r w:rsidR="00B14D62">
        <w:rPr>
          <w:rFonts w:eastAsia="Calibri" w:cs="Times New Roman"/>
          <w:szCs w:val="24"/>
        </w:rPr>
        <w:t xml:space="preserve"> </w:t>
      </w:r>
      <w:r w:rsidR="00B14D62" w:rsidRPr="00B14D62">
        <w:rPr>
          <w:rFonts w:eastAsia="Calibri" w:cs="Times New Roman"/>
          <w:i/>
          <w:szCs w:val="24"/>
        </w:rPr>
        <w:t>and abstracts</w:t>
      </w:r>
      <w:r w:rsidR="00122856" w:rsidRPr="00122856">
        <w:rPr>
          <w:rFonts w:eastAsia="Calibri" w:cs="Times New Roman"/>
          <w:szCs w:val="24"/>
        </w:rPr>
        <w:t>………</w:t>
      </w:r>
      <w:r w:rsidR="00B14D62">
        <w:rPr>
          <w:rFonts w:eastAsia="Calibri" w:cs="Times New Roman"/>
          <w:szCs w:val="24"/>
        </w:rPr>
        <w:t>..</w:t>
      </w:r>
      <w:r w:rsidR="00F855D8">
        <w:rPr>
          <w:rFonts w:eastAsia="Calibri" w:cs="Times New Roman"/>
          <w:szCs w:val="24"/>
        </w:rPr>
        <w:t>…</w:t>
      </w:r>
      <w:r w:rsidR="008522B7">
        <w:rPr>
          <w:rFonts w:eastAsia="Calibri" w:cs="Times New Roman"/>
          <w:szCs w:val="24"/>
        </w:rPr>
        <w:t>.</w:t>
      </w:r>
      <w:r w:rsidR="00F855D8">
        <w:rPr>
          <w:rFonts w:eastAsia="Calibri" w:cs="Times New Roman"/>
          <w:szCs w:val="24"/>
        </w:rPr>
        <w:t>…</w:t>
      </w:r>
      <w:r w:rsidR="004332CA">
        <w:rPr>
          <w:rFonts w:eastAsia="Calibri" w:cs="Times New Roman"/>
          <w:szCs w:val="24"/>
        </w:rPr>
        <w:t>…</w:t>
      </w:r>
      <w:r w:rsidR="008522B7">
        <w:rPr>
          <w:rFonts w:eastAsia="Calibri" w:cs="Times New Roman"/>
          <w:szCs w:val="24"/>
        </w:rPr>
        <w:t>.</w:t>
      </w:r>
      <w:r w:rsidR="004332CA">
        <w:rPr>
          <w:rFonts w:eastAsia="Calibri" w:cs="Times New Roman"/>
          <w:szCs w:val="24"/>
        </w:rPr>
        <w:t>………</w:t>
      </w:r>
      <w:r w:rsidR="008522B7">
        <w:rPr>
          <w:rFonts w:eastAsia="Calibri" w:cs="Times New Roman"/>
          <w:b/>
          <w:szCs w:val="24"/>
        </w:rPr>
        <w:t>766</w:t>
      </w:r>
    </w:p>
    <w:p w14:paraId="7DF40FA3" w14:textId="77777777" w:rsidR="00741554" w:rsidRDefault="00741554" w:rsidP="00741554">
      <w:pPr>
        <w:spacing w:after="200"/>
        <w:contextualSpacing/>
        <w:jc w:val="left"/>
        <w:rPr>
          <w:rFonts w:eastAsia="Calibri" w:cs="Times New Roman"/>
          <w:b/>
          <w:szCs w:val="24"/>
        </w:rPr>
      </w:pPr>
    </w:p>
    <w:p w14:paraId="1654EBBB" w14:textId="77777777" w:rsidR="00741554" w:rsidRDefault="00741554" w:rsidP="00741554">
      <w:pPr>
        <w:spacing w:after="200"/>
        <w:contextualSpacing/>
        <w:jc w:val="left"/>
        <w:rPr>
          <w:rFonts w:eastAsia="Calibri" w:cs="Times New Roman"/>
          <w:b/>
          <w:szCs w:val="24"/>
        </w:rPr>
      </w:pPr>
    </w:p>
    <w:p w14:paraId="10316A16" w14:textId="77777777" w:rsidR="00741554" w:rsidRPr="00741554" w:rsidRDefault="00741554" w:rsidP="00741554">
      <w:pPr>
        <w:spacing w:after="200"/>
        <w:contextualSpacing/>
        <w:jc w:val="left"/>
        <w:rPr>
          <w:rFonts w:eastAsia="Calibri" w:cs="Times New Roman"/>
          <w:szCs w:val="24"/>
        </w:rPr>
      </w:pPr>
    </w:p>
    <w:p w14:paraId="5BE7E58A" w14:textId="77777777" w:rsidR="00122856" w:rsidRPr="001A6C14" w:rsidRDefault="00122856" w:rsidP="001A6C14">
      <w:pPr>
        <w:pStyle w:val="ListParagraph"/>
        <w:numPr>
          <w:ilvl w:val="0"/>
          <w:numId w:val="11"/>
        </w:numPr>
        <w:spacing w:line="480" w:lineRule="auto"/>
        <w:jc w:val="center"/>
        <w:rPr>
          <w:rFonts w:cs="Times New Roman"/>
          <w:b/>
          <w:sz w:val="28"/>
          <w:u w:val="single"/>
        </w:rPr>
      </w:pPr>
      <w:r w:rsidRPr="001A6C14">
        <w:rPr>
          <w:rFonts w:cs="Times New Roman"/>
          <w:b/>
          <w:sz w:val="28"/>
          <w:u w:val="single"/>
        </w:rPr>
        <w:lastRenderedPageBreak/>
        <w:t>Introduction</w:t>
      </w:r>
    </w:p>
    <w:p w14:paraId="6A5DB586" w14:textId="0F1CBCBD" w:rsidR="007662C3" w:rsidRDefault="007662C3" w:rsidP="007662C3">
      <w:pPr>
        <w:spacing w:line="480" w:lineRule="auto"/>
        <w:rPr>
          <w:rFonts w:cs="Times New Roman"/>
        </w:rPr>
      </w:pPr>
      <w:r>
        <w:rPr>
          <w:rFonts w:cs="Times New Roman"/>
        </w:rPr>
        <w:t>Corporate governance has become a lightning rod for a wide variety of issues ranging from business standards to accounting standards, from corporate social responsibility to supply chain management, from a band aid to financial crisis, via a tool for ensuring macro/microeconomic stability to a way of improving political economy. Almost all strands of interdisciplinary studies in law, economics and finance have been invaded by the omnipresent spectre of corporate governance. For a long time this battle was ideological and mostly theoretical, whilst on the ground, the impact of scholarly work on corporate governance was at best ignored and at worst ridiculed. However</w:t>
      </w:r>
      <w:r w:rsidR="0078660A">
        <w:rPr>
          <w:rFonts w:cs="Times New Roman"/>
        </w:rPr>
        <w:t>,</w:t>
      </w:r>
      <w:r>
        <w:rPr>
          <w:rFonts w:cs="Times New Roman"/>
        </w:rPr>
        <w:t xml:space="preserve"> over the years, with repeated accounting frauds and related crises, there has been a growing clamour for a magic bullet to solve these problems, and so theoreticians and practitioners dusted off these old ideas and </w:t>
      </w:r>
      <w:r w:rsidR="00E370BC">
        <w:rPr>
          <w:rFonts w:cs="Times New Roman"/>
        </w:rPr>
        <w:t>‘</w:t>
      </w:r>
      <w:r>
        <w:rPr>
          <w:rFonts w:cs="Times New Roman"/>
        </w:rPr>
        <w:t>reinvented</w:t>
      </w:r>
      <w:r w:rsidR="00E370BC">
        <w:rPr>
          <w:rFonts w:cs="Times New Roman"/>
        </w:rPr>
        <w:t>’</w:t>
      </w:r>
      <w:r>
        <w:rPr>
          <w:rFonts w:cs="Times New Roman"/>
        </w:rPr>
        <w:t xml:space="preserve"> corporate governance in the early 1990s. </w:t>
      </w:r>
    </w:p>
    <w:p w14:paraId="2809C014" w14:textId="7B6285A7" w:rsidR="007662C3" w:rsidRDefault="007662C3" w:rsidP="007662C3">
      <w:pPr>
        <w:spacing w:line="480" w:lineRule="auto"/>
        <w:rPr>
          <w:rFonts w:cs="Times New Roman"/>
        </w:rPr>
      </w:pPr>
      <w:r>
        <w:rPr>
          <w:rFonts w:cs="Times New Roman"/>
        </w:rPr>
        <w:t>Suddenly</w:t>
      </w:r>
      <w:r w:rsidR="0078660A">
        <w:rPr>
          <w:rFonts w:cs="Times New Roman"/>
        </w:rPr>
        <w:t>,</w:t>
      </w:r>
      <w:r>
        <w:rPr>
          <w:rFonts w:cs="Times New Roman"/>
        </w:rPr>
        <w:t xml:space="preserve"> the world seemed to be in </w:t>
      </w:r>
      <w:r w:rsidR="0078660A">
        <w:rPr>
          <w:rFonts w:cs="Times New Roman"/>
        </w:rPr>
        <w:t xml:space="preserve">the </w:t>
      </w:r>
      <w:r>
        <w:rPr>
          <w:rFonts w:cs="Times New Roman"/>
        </w:rPr>
        <w:t xml:space="preserve">grip of a new mania. This coincided with the period following the grand success of </w:t>
      </w:r>
      <w:r w:rsidR="0078660A">
        <w:rPr>
          <w:rFonts w:cs="Times New Roman"/>
        </w:rPr>
        <w:t xml:space="preserve">the </w:t>
      </w:r>
      <w:r>
        <w:rPr>
          <w:rFonts w:cs="Times New Roman"/>
        </w:rPr>
        <w:t>neo</w:t>
      </w:r>
      <w:r w:rsidR="0078660A">
        <w:rPr>
          <w:rFonts w:cs="Times New Roman"/>
        </w:rPr>
        <w:t>-</w:t>
      </w:r>
      <w:r>
        <w:rPr>
          <w:rFonts w:cs="Times New Roman"/>
        </w:rPr>
        <w:t xml:space="preserve">liberal economic principles of 1980s, and the fall of </w:t>
      </w:r>
      <w:r w:rsidR="0078660A">
        <w:rPr>
          <w:rFonts w:cs="Times New Roman"/>
        </w:rPr>
        <w:t xml:space="preserve">the </w:t>
      </w:r>
      <w:r>
        <w:rPr>
          <w:rFonts w:cs="Times New Roman"/>
        </w:rPr>
        <w:t xml:space="preserve">Soviet Union seemed to </w:t>
      </w:r>
      <w:r w:rsidR="0078660A">
        <w:rPr>
          <w:rFonts w:cs="Times New Roman"/>
        </w:rPr>
        <w:t>provide</w:t>
      </w:r>
      <w:r>
        <w:rPr>
          <w:rFonts w:cs="Times New Roman"/>
        </w:rPr>
        <w:t xml:space="preserve"> final proof of the superiority of free market principles. Thereafter followed a period of intense transplantation of legal ideas, and future legal historians will look back at this period and observe that, during the twenty year period from 1995 to 2014, corporate law around the world converged more rapidly than during any other period in history. The only period which even comes close </w:t>
      </w:r>
      <w:r w:rsidR="000624CD">
        <w:rPr>
          <w:rFonts w:cs="Times New Roman"/>
        </w:rPr>
        <w:t>is</w:t>
      </w:r>
      <w:r>
        <w:rPr>
          <w:rFonts w:cs="Times New Roman"/>
        </w:rPr>
        <w:t xml:space="preserve"> the period of imperialism and colonialism, and even then the transplantation of law was a relatively slow </w:t>
      </w:r>
      <w:r w:rsidR="000624CD">
        <w:rPr>
          <w:rFonts w:cs="Times New Roman"/>
        </w:rPr>
        <w:t>process</w:t>
      </w:r>
      <w:r>
        <w:rPr>
          <w:rFonts w:cs="Times New Roman"/>
        </w:rPr>
        <w:t xml:space="preserve">. The drivers of this new wave of convergence were not colonial powers but international financial organisations. While some scholars on the left would view </w:t>
      </w:r>
      <w:r>
        <w:rPr>
          <w:rFonts w:cs="Times New Roman"/>
        </w:rPr>
        <w:lastRenderedPageBreak/>
        <w:t xml:space="preserve">these organisations as neo-imperialist, this thesis is not a denouncement of any political theory or cause. </w:t>
      </w:r>
    </w:p>
    <w:p w14:paraId="191A9669" w14:textId="0DAE497D" w:rsidR="007662C3" w:rsidRDefault="007662C3" w:rsidP="007662C3">
      <w:pPr>
        <w:spacing w:line="480" w:lineRule="auto"/>
        <w:rPr>
          <w:rFonts w:cs="Times New Roman"/>
        </w:rPr>
      </w:pPr>
      <w:r>
        <w:rPr>
          <w:rFonts w:cs="Times New Roman"/>
        </w:rPr>
        <w:t>The international financial organisations promised that ‘[</w:t>
      </w:r>
      <w:r w:rsidRPr="007D1C4E">
        <w:rPr>
          <w:rFonts w:cs="Times New Roman"/>
        </w:rPr>
        <w:t>T</w:t>
      </w:r>
      <w:r>
        <w:rPr>
          <w:rFonts w:cs="Times New Roman"/>
        </w:rPr>
        <w:t>]</w:t>
      </w:r>
      <w:r w:rsidRPr="007D1C4E">
        <w:rPr>
          <w:rFonts w:cs="Times New Roman"/>
        </w:rPr>
        <w:t>he improvement of corporate governance practices is widely seen as one</w:t>
      </w:r>
      <w:r>
        <w:rPr>
          <w:rFonts w:cs="Times New Roman"/>
        </w:rPr>
        <w:t xml:space="preserve"> </w:t>
      </w:r>
      <w:r w:rsidRPr="007D1C4E">
        <w:rPr>
          <w:rFonts w:cs="Times New Roman"/>
        </w:rPr>
        <w:t>important element in strengthening the foundation for individual countries’</w:t>
      </w:r>
      <w:r>
        <w:rPr>
          <w:rFonts w:cs="Times New Roman"/>
        </w:rPr>
        <w:t xml:space="preserve"> </w:t>
      </w:r>
      <w:r w:rsidRPr="007D1C4E">
        <w:rPr>
          <w:rFonts w:cs="Times New Roman"/>
        </w:rPr>
        <w:t>long-term economic performance and in contributing to a strengthened</w:t>
      </w:r>
      <w:r>
        <w:rPr>
          <w:rFonts w:cs="Times New Roman"/>
        </w:rPr>
        <w:t xml:space="preserve"> </w:t>
      </w:r>
      <w:r w:rsidRPr="007D1C4E">
        <w:rPr>
          <w:rFonts w:cs="Times New Roman"/>
        </w:rPr>
        <w:t>international financial system.</w:t>
      </w:r>
      <w:r>
        <w:rPr>
          <w:rFonts w:cs="Times New Roman"/>
        </w:rPr>
        <w:t>’</w:t>
      </w:r>
      <w:r>
        <w:rPr>
          <w:rStyle w:val="FootnoteReference"/>
          <w:rFonts w:cs="Times New Roman"/>
        </w:rPr>
        <w:footnoteReference w:id="1"/>
      </w:r>
      <w:r>
        <w:rPr>
          <w:rFonts w:cs="Times New Roman"/>
        </w:rPr>
        <w:t xml:space="preserve">  This economic rationale was also picked up by the United Nations Conference on Trade and Development which stated that improvements to corporate governance would ‘</w:t>
      </w:r>
      <w:r w:rsidRPr="00407825">
        <w:rPr>
          <w:rFonts w:cs="Times New Roman"/>
        </w:rPr>
        <w:t>facilitate investment flows and mobilize financial</w:t>
      </w:r>
      <w:r>
        <w:rPr>
          <w:rFonts w:cs="Times New Roman"/>
        </w:rPr>
        <w:t xml:space="preserve"> </w:t>
      </w:r>
      <w:r w:rsidRPr="00407825">
        <w:rPr>
          <w:rFonts w:cs="Times New Roman"/>
        </w:rPr>
        <w:t>resources for economic development.</w:t>
      </w:r>
      <w:r>
        <w:rPr>
          <w:rFonts w:cs="Times New Roman"/>
        </w:rPr>
        <w:t>’</w:t>
      </w:r>
      <w:r>
        <w:rPr>
          <w:rStyle w:val="FootnoteReference"/>
          <w:rFonts w:cs="Times New Roman"/>
        </w:rPr>
        <w:footnoteReference w:id="2"/>
      </w:r>
      <w:r>
        <w:rPr>
          <w:rFonts w:cs="Times New Roman"/>
        </w:rPr>
        <w:t xml:space="preserve"> </w:t>
      </w:r>
      <w:r w:rsidRPr="004977DD">
        <w:rPr>
          <w:rFonts w:cs="Times New Roman"/>
        </w:rPr>
        <w:t>This t</w:t>
      </w:r>
      <w:r>
        <w:rPr>
          <w:rFonts w:cs="Times New Roman"/>
        </w:rPr>
        <w:t>hesis is limited to exploring whether</w:t>
      </w:r>
      <w:r w:rsidRPr="004977DD">
        <w:rPr>
          <w:rFonts w:cs="Times New Roman"/>
        </w:rPr>
        <w:t xml:space="preserve"> the promise</w:t>
      </w:r>
      <w:r>
        <w:rPr>
          <w:rFonts w:cs="Times New Roman"/>
        </w:rPr>
        <w:t xml:space="preserve"> that countries adopting shareholder primacy corporate governance norms would benefit from higher financial market growth, </w:t>
      </w:r>
      <w:r w:rsidRPr="004977DD">
        <w:rPr>
          <w:rFonts w:cs="Times New Roman"/>
        </w:rPr>
        <w:t>which</w:t>
      </w:r>
      <w:r>
        <w:rPr>
          <w:rFonts w:cs="Times New Roman"/>
        </w:rPr>
        <w:t xml:space="preserve"> justified</w:t>
      </w:r>
      <w:r w:rsidRPr="004977DD">
        <w:rPr>
          <w:rFonts w:cs="Times New Roman"/>
        </w:rPr>
        <w:t xml:space="preserve"> convergence and transplantation, specifically in the area of company law and corporate governance in developing countries, </w:t>
      </w:r>
      <w:r>
        <w:rPr>
          <w:rFonts w:cs="Times New Roman"/>
        </w:rPr>
        <w:t>has</w:t>
      </w:r>
      <w:r w:rsidRPr="004977DD">
        <w:rPr>
          <w:rFonts w:cs="Times New Roman"/>
        </w:rPr>
        <w:t xml:space="preserve"> been </w:t>
      </w:r>
      <w:r>
        <w:rPr>
          <w:rFonts w:cs="Times New Roman"/>
        </w:rPr>
        <w:t>fulfilled</w:t>
      </w:r>
      <w:r w:rsidRPr="004977DD">
        <w:rPr>
          <w:rFonts w:cs="Times New Roman"/>
        </w:rPr>
        <w:t>.</w:t>
      </w:r>
      <w:r>
        <w:rPr>
          <w:rFonts w:cs="Times New Roman"/>
        </w:rPr>
        <w:t xml:space="preserve"> </w:t>
      </w:r>
    </w:p>
    <w:p w14:paraId="2C08F723" w14:textId="22CBCA2D" w:rsidR="007662C3" w:rsidRDefault="007662C3" w:rsidP="007662C3">
      <w:pPr>
        <w:spacing w:line="480" w:lineRule="auto"/>
        <w:rPr>
          <w:rFonts w:cs="Times New Roman"/>
        </w:rPr>
      </w:pPr>
      <w:r>
        <w:rPr>
          <w:rFonts w:cs="Times New Roman"/>
        </w:rPr>
        <w:t xml:space="preserve">The major corporate governance code available around this time period was the OECD Principles of Corporate Governance, which was based primarily on the shareholder value corporate governance model, although it also provided limited </w:t>
      </w:r>
      <w:r w:rsidR="000624CD">
        <w:rPr>
          <w:rFonts w:cs="Times New Roman"/>
        </w:rPr>
        <w:t>space for</w:t>
      </w:r>
      <w:r>
        <w:rPr>
          <w:rFonts w:cs="Times New Roman"/>
        </w:rPr>
        <w:t xml:space="preserve"> stakeholder models. So in effect what was being recommended to developing countries was a shareholder value model based on the Anglo-Saxon model. The claim was that if a country adopt</w:t>
      </w:r>
      <w:r w:rsidR="000624CD">
        <w:rPr>
          <w:rFonts w:cs="Times New Roman"/>
        </w:rPr>
        <w:t>ed</w:t>
      </w:r>
      <w:r>
        <w:rPr>
          <w:rFonts w:cs="Times New Roman"/>
        </w:rPr>
        <w:t xml:space="preserve"> a shareholder primacy corporate governance model, then foreign investors </w:t>
      </w:r>
      <w:r w:rsidR="000624CD">
        <w:rPr>
          <w:rFonts w:cs="Times New Roman"/>
        </w:rPr>
        <w:t xml:space="preserve">would </w:t>
      </w:r>
      <w:r>
        <w:rPr>
          <w:rFonts w:cs="Times New Roman"/>
        </w:rPr>
        <w:t xml:space="preserve">invest in that country, stimulating the financial market, and local investors </w:t>
      </w:r>
      <w:r w:rsidR="000624CD">
        <w:rPr>
          <w:rFonts w:cs="Times New Roman"/>
        </w:rPr>
        <w:t xml:space="preserve">would </w:t>
      </w:r>
      <w:r>
        <w:rPr>
          <w:rFonts w:cs="Times New Roman"/>
        </w:rPr>
        <w:t xml:space="preserve">also pitch in, leading to further growth of </w:t>
      </w:r>
      <w:r w:rsidR="000624CD">
        <w:rPr>
          <w:rFonts w:cs="Times New Roman"/>
        </w:rPr>
        <w:t xml:space="preserve">the </w:t>
      </w:r>
      <w:r>
        <w:rPr>
          <w:rFonts w:cs="Times New Roman"/>
        </w:rPr>
        <w:t xml:space="preserve">financial market. Surplus capital can be used for economically useful – </w:t>
      </w:r>
      <w:r>
        <w:rPr>
          <w:rFonts w:cs="Times New Roman"/>
        </w:rPr>
        <w:lastRenderedPageBreak/>
        <w:t xml:space="preserve">but less well-funded – activities, leading to economic growth and a sustainable future. The present research empirically investigates these claims and tries to find out whether changing </w:t>
      </w:r>
      <w:r w:rsidR="000624CD">
        <w:rPr>
          <w:rFonts w:cs="Times New Roman"/>
        </w:rPr>
        <w:t xml:space="preserve">the </w:t>
      </w:r>
      <w:r>
        <w:rPr>
          <w:rFonts w:cs="Times New Roman"/>
        </w:rPr>
        <w:t>corporate governance of a country for the ‘better’, that is, by implementing a pro</w:t>
      </w:r>
      <w:r w:rsidR="000624CD">
        <w:rPr>
          <w:rFonts w:cs="Times New Roman"/>
        </w:rPr>
        <w:t>-</w:t>
      </w:r>
      <w:r>
        <w:rPr>
          <w:rFonts w:cs="Times New Roman"/>
        </w:rPr>
        <w:t xml:space="preserve">shareholder approach, has any link with financial market growth in that country. </w:t>
      </w:r>
    </w:p>
    <w:p w14:paraId="6EFDCE02" w14:textId="3EA33DFF" w:rsidR="007662C3" w:rsidRDefault="007662C3" w:rsidP="007662C3">
      <w:pPr>
        <w:spacing w:line="480" w:lineRule="auto"/>
        <w:rPr>
          <w:rFonts w:cs="Times New Roman"/>
        </w:rPr>
      </w:pPr>
      <w:r>
        <w:rPr>
          <w:rFonts w:cs="Times New Roman"/>
        </w:rPr>
        <w:t xml:space="preserve">This thesis will first analyse whether the </w:t>
      </w:r>
      <w:r w:rsidRPr="001777E2">
        <w:rPr>
          <w:rFonts w:cs="Times New Roman"/>
        </w:rPr>
        <w:t xml:space="preserve">corporate governance </w:t>
      </w:r>
      <w:r>
        <w:rPr>
          <w:rFonts w:cs="Times New Roman"/>
        </w:rPr>
        <w:t xml:space="preserve">regulations </w:t>
      </w:r>
      <w:r w:rsidRPr="001777E2">
        <w:rPr>
          <w:rFonts w:cs="Times New Roman"/>
        </w:rPr>
        <w:t xml:space="preserve">around the world </w:t>
      </w:r>
      <w:r>
        <w:rPr>
          <w:rFonts w:cs="Times New Roman"/>
        </w:rPr>
        <w:t>are</w:t>
      </w:r>
      <w:r w:rsidRPr="001777E2">
        <w:rPr>
          <w:rFonts w:cs="Times New Roman"/>
        </w:rPr>
        <w:t xml:space="preserve"> </w:t>
      </w:r>
      <w:r>
        <w:rPr>
          <w:rFonts w:cs="Times New Roman"/>
        </w:rPr>
        <w:t xml:space="preserve">indeed </w:t>
      </w:r>
      <w:r w:rsidRPr="001777E2">
        <w:rPr>
          <w:rFonts w:cs="Times New Roman"/>
        </w:rPr>
        <w:t>converging towards a shareholder primacy model</w:t>
      </w:r>
      <w:r>
        <w:rPr>
          <w:rFonts w:cs="Times New Roman"/>
        </w:rPr>
        <w:t>,</w:t>
      </w:r>
      <w:r w:rsidRPr="001777E2">
        <w:rPr>
          <w:rFonts w:cs="Times New Roman"/>
        </w:rPr>
        <w:t xml:space="preserve"> based on </w:t>
      </w:r>
      <w:r>
        <w:rPr>
          <w:rFonts w:cs="Times New Roman"/>
        </w:rPr>
        <w:t xml:space="preserve">the </w:t>
      </w:r>
      <w:r w:rsidRPr="001777E2">
        <w:rPr>
          <w:rFonts w:cs="Times New Roman"/>
        </w:rPr>
        <w:t>OECD Principles of Corporate Governance</w:t>
      </w:r>
      <w:r>
        <w:rPr>
          <w:rFonts w:cs="Times New Roman"/>
        </w:rPr>
        <w:t>,</w:t>
      </w:r>
      <w:r w:rsidRPr="001777E2">
        <w:rPr>
          <w:rFonts w:cs="Times New Roman"/>
        </w:rPr>
        <w:t xml:space="preserve"> and </w:t>
      </w:r>
      <w:r>
        <w:rPr>
          <w:rFonts w:cs="Times New Roman"/>
        </w:rPr>
        <w:t xml:space="preserve">if so, will calculate </w:t>
      </w:r>
      <w:r w:rsidRPr="001777E2">
        <w:rPr>
          <w:rFonts w:cs="Times New Roman"/>
        </w:rPr>
        <w:t>th</w:t>
      </w:r>
      <w:r>
        <w:rPr>
          <w:rFonts w:cs="Times New Roman"/>
        </w:rPr>
        <w:t>e rate of such change over time. S</w:t>
      </w:r>
      <w:r w:rsidRPr="001777E2">
        <w:rPr>
          <w:rFonts w:cs="Times New Roman"/>
        </w:rPr>
        <w:t xml:space="preserve">econd, </w:t>
      </w:r>
      <w:r>
        <w:rPr>
          <w:rFonts w:cs="Times New Roman"/>
        </w:rPr>
        <w:t xml:space="preserve">it will investigate if </w:t>
      </w:r>
      <w:r w:rsidRPr="001777E2">
        <w:rPr>
          <w:rFonts w:cs="Times New Roman"/>
        </w:rPr>
        <w:t>major step change</w:t>
      </w:r>
      <w:r>
        <w:rPr>
          <w:rFonts w:cs="Times New Roman"/>
        </w:rPr>
        <w:t>s</w:t>
      </w:r>
      <w:r w:rsidRPr="001777E2">
        <w:rPr>
          <w:rFonts w:cs="Times New Roman"/>
        </w:rPr>
        <w:t xml:space="preserve"> in corporate governance happen before or after a </w:t>
      </w:r>
      <w:r>
        <w:rPr>
          <w:rFonts w:cs="Times New Roman"/>
        </w:rPr>
        <w:t xml:space="preserve">step </w:t>
      </w:r>
      <w:r w:rsidRPr="001777E2">
        <w:rPr>
          <w:rFonts w:cs="Times New Roman"/>
        </w:rPr>
        <w:t>change occurs in the financial market – this will prov</w:t>
      </w:r>
      <w:r>
        <w:rPr>
          <w:rFonts w:cs="Times New Roman"/>
        </w:rPr>
        <w:t>e whether changes in corporate governance affect</w:t>
      </w:r>
      <w:r w:rsidRPr="001777E2">
        <w:rPr>
          <w:rFonts w:cs="Times New Roman"/>
        </w:rPr>
        <w:t xml:space="preserve"> financial market</w:t>
      </w:r>
      <w:r>
        <w:rPr>
          <w:rFonts w:cs="Times New Roman"/>
        </w:rPr>
        <w:t>s, or whether it is the other way round. In other words, do changes in financial markets, in the form of a crisis or the growing lobbying power of shareholders force policy makers to adopt shareholder value corporate governance norms and practices? Therefore</w:t>
      </w:r>
      <w:r w:rsidR="000624CD">
        <w:rPr>
          <w:rFonts w:cs="Times New Roman"/>
        </w:rPr>
        <w:t>,</w:t>
      </w:r>
      <w:r>
        <w:rPr>
          <w:rFonts w:cs="Times New Roman"/>
        </w:rPr>
        <w:t xml:space="preserve"> this thesis will</w:t>
      </w:r>
      <w:r w:rsidRPr="001777E2">
        <w:rPr>
          <w:rFonts w:cs="Times New Roman"/>
        </w:rPr>
        <w:t xml:space="preserve"> also </w:t>
      </w:r>
      <w:r>
        <w:rPr>
          <w:rFonts w:cs="Times New Roman"/>
        </w:rPr>
        <w:t>verify</w:t>
      </w:r>
      <w:r w:rsidRPr="001777E2">
        <w:rPr>
          <w:rFonts w:cs="Times New Roman"/>
        </w:rPr>
        <w:t xml:space="preserve"> </w:t>
      </w:r>
      <w:r>
        <w:rPr>
          <w:rFonts w:cs="Times New Roman"/>
        </w:rPr>
        <w:t>whether</w:t>
      </w:r>
      <w:r w:rsidRPr="001777E2">
        <w:rPr>
          <w:rFonts w:cs="Times New Roman"/>
        </w:rPr>
        <w:t xml:space="preserve"> anecdotal qualitative evidence of surges in corporate governance development following </w:t>
      </w:r>
      <w:r>
        <w:rPr>
          <w:rFonts w:cs="Times New Roman"/>
        </w:rPr>
        <w:t xml:space="preserve">corporate scandals and financial market downturns </w:t>
      </w:r>
      <w:r w:rsidRPr="001777E2">
        <w:rPr>
          <w:rFonts w:cs="Times New Roman"/>
        </w:rPr>
        <w:t>holds true in a qu</w:t>
      </w:r>
      <w:r>
        <w:rPr>
          <w:rFonts w:cs="Times New Roman"/>
        </w:rPr>
        <w:t>antitative multi</w:t>
      </w:r>
      <w:r w:rsidR="000624CD">
        <w:rPr>
          <w:rFonts w:cs="Times New Roman"/>
        </w:rPr>
        <w:t>-</w:t>
      </w:r>
      <w:r>
        <w:rPr>
          <w:rFonts w:cs="Times New Roman"/>
        </w:rPr>
        <w:t>country survey.</w:t>
      </w:r>
      <w:r w:rsidRPr="001777E2">
        <w:rPr>
          <w:rFonts w:cs="Times New Roman"/>
        </w:rPr>
        <w:t xml:space="preserve"> </w:t>
      </w:r>
      <w:r>
        <w:rPr>
          <w:rFonts w:cs="Times New Roman"/>
        </w:rPr>
        <w:t>T</w:t>
      </w:r>
      <w:r w:rsidRPr="001777E2">
        <w:rPr>
          <w:rFonts w:cs="Times New Roman"/>
        </w:rPr>
        <w:t xml:space="preserve">hird, </w:t>
      </w:r>
      <w:r>
        <w:rPr>
          <w:rFonts w:cs="Times New Roman"/>
        </w:rPr>
        <w:t xml:space="preserve">this thesis will investigate whether </w:t>
      </w:r>
      <w:r w:rsidRPr="001777E2">
        <w:rPr>
          <w:rFonts w:cs="Times New Roman"/>
        </w:rPr>
        <w:t>adopting shareholder p</w:t>
      </w:r>
      <w:r>
        <w:rPr>
          <w:rFonts w:cs="Times New Roman"/>
        </w:rPr>
        <w:t>rimacy corporate governance has</w:t>
      </w:r>
      <w:r w:rsidRPr="001777E2">
        <w:rPr>
          <w:rFonts w:cs="Times New Roman"/>
        </w:rPr>
        <w:t xml:space="preserve"> any overall impact on </w:t>
      </w:r>
      <w:r>
        <w:rPr>
          <w:rFonts w:cs="Times New Roman"/>
        </w:rPr>
        <w:t xml:space="preserve">the </w:t>
      </w:r>
      <w:r w:rsidRPr="001777E2">
        <w:rPr>
          <w:rFonts w:cs="Times New Roman"/>
        </w:rPr>
        <w:t xml:space="preserve">growth of the </w:t>
      </w:r>
      <w:r>
        <w:rPr>
          <w:rFonts w:cs="Times New Roman"/>
        </w:rPr>
        <w:t>financial market – this will allow</w:t>
      </w:r>
      <w:r w:rsidR="00474BA5">
        <w:rPr>
          <w:rFonts w:cs="Times New Roman"/>
        </w:rPr>
        <w:t xml:space="preserve"> the research</w:t>
      </w:r>
      <w:r>
        <w:rPr>
          <w:rFonts w:cs="Times New Roman"/>
        </w:rPr>
        <w:t xml:space="preserve"> to</w:t>
      </w:r>
      <w:r w:rsidRPr="001777E2">
        <w:rPr>
          <w:rFonts w:cs="Times New Roman"/>
        </w:rPr>
        <w:t xml:space="preserve"> investigate </w:t>
      </w:r>
      <w:r>
        <w:rPr>
          <w:rFonts w:cs="Times New Roman"/>
        </w:rPr>
        <w:t>whether</w:t>
      </w:r>
      <w:r w:rsidRPr="001777E2">
        <w:rPr>
          <w:rFonts w:cs="Times New Roman"/>
        </w:rPr>
        <w:t xml:space="preserve"> varying the corporate governance model towards a pro</w:t>
      </w:r>
      <w:r w:rsidR="000624CD">
        <w:rPr>
          <w:rFonts w:cs="Times New Roman"/>
        </w:rPr>
        <w:t>-</w:t>
      </w:r>
      <w:r w:rsidRPr="001777E2">
        <w:rPr>
          <w:rFonts w:cs="Times New Roman"/>
        </w:rPr>
        <w:t xml:space="preserve">shareholder approach has any effect </w:t>
      </w:r>
      <w:r>
        <w:rPr>
          <w:rFonts w:cs="Times New Roman"/>
        </w:rPr>
        <w:t>in terms of</w:t>
      </w:r>
      <w:r w:rsidRPr="001777E2">
        <w:rPr>
          <w:rFonts w:cs="Times New Roman"/>
        </w:rPr>
        <w:t xml:space="preserve"> increasing </w:t>
      </w:r>
      <w:r>
        <w:rPr>
          <w:rFonts w:cs="Times New Roman"/>
        </w:rPr>
        <w:t xml:space="preserve">financial market development. This will allow </w:t>
      </w:r>
      <w:r w:rsidR="00474BA5" w:rsidRPr="00474BA5">
        <w:rPr>
          <w:rFonts w:cs="Times New Roman"/>
        </w:rPr>
        <w:t>the research</w:t>
      </w:r>
      <w:r w:rsidRPr="001777E2">
        <w:rPr>
          <w:rFonts w:cs="Times New Roman"/>
        </w:rPr>
        <w:t xml:space="preserve"> </w:t>
      </w:r>
      <w:r>
        <w:rPr>
          <w:rFonts w:cs="Times New Roman"/>
        </w:rPr>
        <w:t>to</w:t>
      </w:r>
      <w:r w:rsidRPr="001777E2">
        <w:rPr>
          <w:rFonts w:cs="Times New Roman"/>
        </w:rPr>
        <w:t xml:space="preserve"> scrutinis</w:t>
      </w:r>
      <w:r>
        <w:rPr>
          <w:rFonts w:cs="Times New Roman"/>
        </w:rPr>
        <w:t>e</w:t>
      </w:r>
      <w:r w:rsidRPr="001777E2">
        <w:rPr>
          <w:rFonts w:cs="Times New Roman"/>
        </w:rPr>
        <w:t xml:space="preserve"> the claims from international financial organisations that strong </w:t>
      </w:r>
      <w:r>
        <w:rPr>
          <w:rFonts w:cs="Times New Roman"/>
        </w:rPr>
        <w:t>pro</w:t>
      </w:r>
      <w:r w:rsidR="000624CD">
        <w:rPr>
          <w:rFonts w:cs="Times New Roman"/>
        </w:rPr>
        <w:t>-</w:t>
      </w:r>
      <w:r>
        <w:rPr>
          <w:rFonts w:cs="Times New Roman"/>
        </w:rPr>
        <w:t xml:space="preserve">shareholder </w:t>
      </w:r>
      <w:r w:rsidRPr="001777E2">
        <w:rPr>
          <w:rFonts w:cs="Times New Roman"/>
        </w:rPr>
        <w:t xml:space="preserve">corporate governance is fundamentally linked to </w:t>
      </w:r>
      <w:r>
        <w:rPr>
          <w:rFonts w:cs="Times New Roman"/>
        </w:rPr>
        <w:t xml:space="preserve">improved </w:t>
      </w:r>
      <w:r w:rsidRPr="001777E2">
        <w:rPr>
          <w:rFonts w:cs="Times New Roman"/>
        </w:rPr>
        <w:t>long</w:t>
      </w:r>
      <w:r>
        <w:rPr>
          <w:rFonts w:cs="Times New Roman"/>
        </w:rPr>
        <w:t>-</w:t>
      </w:r>
      <w:r w:rsidRPr="001777E2">
        <w:rPr>
          <w:rFonts w:cs="Times New Roman"/>
        </w:rPr>
        <w:t>term financial</w:t>
      </w:r>
      <w:r>
        <w:rPr>
          <w:rFonts w:cs="Times New Roman"/>
        </w:rPr>
        <w:t xml:space="preserve"> and economic performance. Finally</w:t>
      </w:r>
      <w:r w:rsidRPr="001777E2">
        <w:rPr>
          <w:rFonts w:cs="Times New Roman"/>
        </w:rPr>
        <w:t xml:space="preserve">, </w:t>
      </w:r>
      <w:r>
        <w:rPr>
          <w:rFonts w:cs="Times New Roman"/>
        </w:rPr>
        <w:t>this thesis explores how</w:t>
      </w:r>
      <w:r w:rsidRPr="001777E2">
        <w:rPr>
          <w:rFonts w:cs="Times New Roman"/>
        </w:rPr>
        <w:t xml:space="preserve"> each of the countries in the study fare </w:t>
      </w:r>
      <w:r w:rsidRPr="001777E2">
        <w:rPr>
          <w:rFonts w:cs="Times New Roman"/>
        </w:rPr>
        <w:lastRenderedPageBreak/>
        <w:t xml:space="preserve">in </w:t>
      </w:r>
      <w:r>
        <w:rPr>
          <w:rFonts w:cs="Times New Roman"/>
        </w:rPr>
        <w:t>terms of the</w:t>
      </w:r>
      <w:r w:rsidRPr="001777E2">
        <w:rPr>
          <w:rFonts w:cs="Times New Roman"/>
        </w:rPr>
        <w:t xml:space="preserve"> impact </w:t>
      </w:r>
      <w:r>
        <w:rPr>
          <w:rFonts w:cs="Times New Roman"/>
        </w:rPr>
        <w:t xml:space="preserve">of corporate governance changes </w:t>
      </w:r>
      <w:r w:rsidRPr="001777E2">
        <w:rPr>
          <w:rFonts w:cs="Times New Roman"/>
        </w:rPr>
        <w:t>on financial market growth compar</w:t>
      </w:r>
      <w:r>
        <w:rPr>
          <w:rFonts w:cs="Times New Roman"/>
        </w:rPr>
        <w:t>ed</w:t>
      </w:r>
      <w:r w:rsidRPr="001777E2">
        <w:rPr>
          <w:rFonts w:cs="Times New Roman"/>
        </w:rPr>
        <w:t xml:space="preserve"> to </w:t>
      </w:r>
      <w:r>
        <w:rPr>
          <w:rFonts w:cs="Times New Roman"/>
        </w:rPr>
        <w:t xml:space="preserve">the </w:t>
      </w:r>
      <w:r w:rsidRPr="001777E2">
        <w:rPr>
          <w:rFonts w:cs="Times New Roman"/>
        </w:rPr>
        <w:t>global average</w:t>
      </w:r>
      <w:r>
        <w:rPr>
          <w:rFonts w:cs="Times New Roman"/>
        </w:rPr>
        <w:t>.</w:t>
      </w:r>
      <w:r w:rsidRPr="001777E2">
        <w:rPr>
          <w:rFonts w:cs="Times New Roman"/>
        </w:rPr>
        <w:t xml:space="preserve"> </w:t>
      </w:r>
      <w:r>
        <w:rPr>
          <w:rFonts w:cs="Times New Roman"/>
        </w:rPr>
        <w:t>T</w:t>
      </w:r>
      <w:r w:rsidRPr="001777E2">
        <w:rPr>
          <w:rFonts w:cs="Times New Roman"/>
        </w:rPr>
        <w:t xml:space="preserve">his will permit us to look closely </w:t>
      </w:r>
      <w:r>
        <w:rPr>
          <w:rFonts w:cs="Times New Roman"/>
        </w:rPr>
        <w:t>at</w:t>
      </w:r>
      <w:r w:rsidRPr="001777E2">
        <w:rPr>
          <w:rFonts w:cs="Times New Roman"/>
        </w:rPr>
        <w:t xml:space="preserve"> each country and find out if it has fared better or worse than the global average, </w:t>
      </w:r>
      <w:r>
        <w:rPr>
          <w:rFonts w:cs="Times New Roman"/>
        </w:rPr>
        <w:t xml:space="preserve">and we will </w:t>
      </w:r>
      <w:r w:rsidRPr="001777E2">
        <w:rPr>
          <w:rFonts w:cs="Times New Roman"/>
        </w:rPr>
        <w:t>hypothesiz</w:t>
      </w:r>
      <w:r>
        <w:rPr>
          <w:rFonts w:cs="Times New Roman"/>
        </w:rPr>
        <w:t>e</w:t>
      </w:r>
      <w:r w:rsidRPr="001777E2">
        <w:rPr>
          <w:rFonts w:cs="Times New Roman"/>
        </w:rPr>
        <w:t xml:space="preserve"> </w:t>
      </w:r>
      <w:r>
        <w:rPr>
          <w:rFonts w:cs="Times New Roman"/>
        </w:rPr>
        <w:t>which</w:t>
      </w:r>
      <w:r w:rsidRPr="001777E2">
        <w:rPr>
          <w:rFonts w:cs="Times New Roman"/>
        </w:rPr>
        <w:t xml:space="preserve"> sui generis factor</w:t>
      </w:r>
      <w:r>
        <w:rPr>
          <w:rFonts w:cs="Times New Roman"/>
        </w:rPr>
        <w:t>s</w:t>
      </w:r>
      <w:r w:rsidRPr="001777E2">
        <w:rPr>
          <w:rFonts w:cs="Times New Roman"/>
        </w:rPr>
        <w:t xml:space="preserve"> may have led to such differences</w:t>
      </w:r>
      <w:r>
        <w:rPr>
          <w:rFonts w:cs="Times New Roman"/>
        </w:rPr>
        <w:t>. Hence</w:t>
      </w:r>
      <w:r w:rsidR="000624CD">
        <w:rPr>
          <w:rFonts w:cs="Times New Roman"/>
        </w:rPr>
        <w:t>,</w:t>
      </w:r>
      <w:r>
        <w:rPr>
          <w:rFonts w:cs="Times New Roman"/>
        </w:rPr>
        <w:t xml:space="preserve"> this thesis </w:t>
      </w:r>
      <w:r w:rsidRPr="001777E2">
        <w:rPr>
          <w:rFonts w:cs="Times New Roman"/>
        </w:rPr>
        <w:t>lay</w:t>
      </w:r>
      <w:r>
        <w:rPr>
          <w:rFonts w:cs="Times New Roman"/>
        </w:rPr>
        <w:t>s</w:t>
      </w:r>
      <w:r w:rsidRPr="001777E2">
        <w:rPr>
          <w:rFonts w:cs="Times New Roman"/>
        </w:rPr>
        <w:t xml:space="preserve"> down directions for future qualitative research.</w:t>
      </w:r>
    </w:p>
    <w:p w14:paraId="19D509D5" w14:textId="43513B89" w:rsidR="007662C3" w:rsidRDefault="0052125B" w:rsidP="007662C3">
      <w:pPr>
        <w:spacing w:line="480" w:lineRule="auto"/>
        <w:rPr>
          <w:rFonts w:cs="Times New Roman"/>
        </w:rPr>
      </w:pPr>
      <w:r>
        <w:rPr>
          <w:rFonts w:cs="Times New Roman"/>
        </w:rPr>
        <w:t xml:space="preserve">The research was undertaken in a number of steps. </w:t>
      </w:r>
      <w:r w:rsidR="007662C3">
        <w:rPr>
          <w:rFonts w:cs="Times New Roman"/>
        </w:rPr>
        <w:t>First</w:t>
      </w:r>
      <w:r w:rsidR="000624CD">
        <w:rPr>
          <w:rFonts w:cs="Times New Roman"/>
        </w:rPr>
        <w:t>,</w:t>
      </w:r>
      <w:r w:rsidR="007662C3">
        <w:rPr>
          <w:rFonts w:cs="Times New Roman"/>
        </w:rPr>
        <w:t xml:space="preserve"> a database on the evolution of corporate governance in twenty</w:t>
      </w:r>
      <w:r w:rsidR="00D1699B">
        <w:rPr>
          <w:rFonts w:cs="Times New Roman"/>
        </w:rPr>
        <w:t>-</w:t>
      </w:r>
      <w:r w:rsidR="007662C3">
        <w:rPr>
          <w:rFonts w:cs="Times New Roman"/>
        </w:rPr>
        <w:t>one countries for twenty years (1995-2014) was created. Local experts in corporate governance in those jurisdictions were asked to fill out a detailed questionnaire based on archival and allied qualitative research. The aim of this phase was to collect data on fifty</w:t>
      </w:r>
      <w:r w:rsidR="00D1699B">
        <w:rPr>
          <w:rFonts w:cs="Times New Roman"/>
        </w:rPr>
        <w:t>-</w:t>
      </w:r>
      <w:r w:rsidR="007662C3">
        <w:rPr>
          <w:rFonts w:cs="Times New Roman"/>
        </w:rPr>
        <w:t xml:space="preserve">two separate company and corporate governance variables based on the OECD Principles of Corporate Governance and previous indices for twenty years </w:t>
      </w:r>
      <w:r w:rsidR="007662C3" w:rsidRPr="00AE3CF9">
        <w:rPr>
          <w:rFonts w:cs="Times New Roman"/>
        </w:rPr>
        <w:t>(1995-2014)</w:t>
      </w:r>
      <w:r w:rsidR="007662C3">
        <w:rPr>
          <w:rFonts w:cs="Times New Roman"/>
        </w:rPr>
        <w:t xml:space="preserve">. The variables were scaled </w:t>
      </w:r>
      <w:proofErr w:type="spellStart"/>
      <w:r w:rsidR="007662C3">
        <w:rPr>
          <w:rFonts w:cs="Times New Roman"/>
        </w:rPr>
        <w:t>polynomially</w:t>
      </w:r>
      <w:proofErr w:type="spellEnd"/>
      <w:r w:rsidR="007662C3">
        <w:rPr>
          <w:rFonts w:cs="Times New Roman"/>
        </w:rPr>
        <w:t>, i.e., the value could be zero</w:t>
      </w:r>
      <w:r w:rsidR="00D1699B">
        <w:rPr>
          <w:rFonts w:cs="Times New Roman"/>
        </w:rPr>
        <w:t>,</w:t>
      </w:r>
      <w:r w:rsidR="007662C3">
        <w:rPr>
          <w:rFonts w:cs="Times New Roman"/>
        </w:rPr>
        <w:t xml:space="preserve"> or one</w:t>
      </w:r>
      <w:r w:rsidR="00D1699B">
        <w:rPr>
          <w:rFonts w:cs="Times New Roman"/>
        </w:rPr>
        <w:t>,</w:t>
      </w:r>
      <w:r w:rsidR="007662C3">
        <w:rPr>
          <w:rFonts w:cs="Times New Roman"/>
        </w:rPr>
        <w:t xml:space="preserve"> or two which meant the survey went beyond a simple yes/no response in order to take </w:t>
      </w:r>
      <w:r w:rsidR="00D1699B">
        <w:rPr>
          <w:rFonts w:cs="Times New Roman"/>
        </w:rPr>
        <w:t xml:space="preserve">into </w:t>
      </w:r>
      <w:r w:rsidR="007662C3">
        <w:rPr>
          <w:rFonts w:cs="Times New Roman"/>
        </w:rPr>
        <w:t>account systems which use optional rules or ‘soft law’.</w:t>
      </w:r>
    </w:p>
    <w:p w14:paraId="1CE6E176" w14:textId="6752A34D" w:rsidR="007662C3" w:rsidRDefault="00474BA5" w:rsidP="007662C3">
      <w:pPr>
        <w:spacing w:line="480" w:lineRule="auto"/>
        <w:rPr>
          <w:rFonts w:cs="Times New Roman"/>
        </w:rPr>
      </w:pPr>
      <w:r>
        <w:rPr>
          <w:rFonts w:cs="Times New Roman"/>
        </w:rPr>
        <w:t xml:space="preserve">Second, </w:t>
      </w:r>
      <w:r w:rsidR="002F706A">
        <w:rPr>
          <w:rFonts w:cs="Times New Roman"/>
        </w:rPr>
        <w:t xml:space="preserve">a graded response model was used </w:t>
      </w:r>
      <w:r w:rsidR="007662C3">
        <w:rPr>
          <w:rFonts w:cs="Times New Roman"/>
        </w:rPr>
        <w:t xml:space="preserve">with a </w:t>
      </w:r>
      <w:proofErr w:type="spellStart"/>
      <w:r w:rsidR="007662C3">
        <w:rPr>
          <w:rFonts w:cs="Times New Roman"/>
        </w:rPr>
        <w:t>Kalman</w:t>
      </w:r>
      <w:proofErr w:type="spellEnd"/>
      <w:r w:rsidR="007662C3">
        <w:rPr>
          <w:rFonts w:cs="Times New Roman"/>
        </w:rPr>
        <w:t xml:space="preserve"> filter to create a dynamic corporate governance index for twenty</w:t>
      </w:r>
      <w:r w:rsidR="002F706A">
        <w:rPr>
          <w:rFonts w:cs="Times New Roman"/>
        </w:rPr>
        <w:t>-</w:t>
      </w:r>
      <w:r w:rsidR="007662C3">
        <w:rPr>
          <w:rFonts w:cs="Times New Roman"/>
        </w:rPr>
        <w:t>one countries over a twenty year period. A dynamic index allow</w:t>
      </w:r>
      <w:r w:rsidR="00D1699B">
        <w:rPr>
          <w:rFonts w:cs="Times New Roman"/>
        </w:rPr>
        <w:t>ed</w:t>
      </w:r>
      <w:r w:rsidR="007662C3">
        <w:rPr>
          <w:rFonts w:cs="Times New Roman"/>
        </w:rPr>
        <w:t xml:space="preserve"> </w:t>
      </w:r>
      <w:r w:rsidR="002F706A">
        <w:rPr>
          <w:rFonts w:cs="Times New Roman"/>
        </w:rPr>
        <w:t xml:space="preserve">the researcher </w:t>
      </w:r>
      <w:r w:rsidR="007662C3">
        <w:rPr>
          <w:rFonts w:cs="Times New Roman"/>
        </w:rPr>
        <w:t xml:space="preserve">to distribute the changes identified over a period of time rather than confining </w:t>
      </w:r>
      <w:r w:rsidR="002F706A">
        <w:rPr>
          <w:rFonts w:cs="Times New Roman"/>
        </w:rPr>
        <w:t xml:space="preserve">them </w:t>
      </w:r>
      <w:r w:rsidR="007662C3">
        <w:rPr>
          <w:rFonts w:cs="Times New Roman"/>
        </w:rPr>
        <w:t xml:space="preserve">to just one year. </w:t>
      </w:r>
      <w:r w:rsidR="002F706A">
        <w:rPr>
          <w:rFonts w:cs="Times New Roman"/>
        </w:rPr>
        <w:t xml:space="preserve">It is widely acknowledged that </w:t>
      </w:r>
      <w:r w:rsidR="007662C3">
        <w:rPr>
          <w:rFonts w:cs="Times New Roman"/>
        </w:rPr>
        <w:t xml:space="preserve">laws and regulations take some time to show their impact, hence </w:t>
      </w:r>
      <w:r w:rsidR="002F706A">
        <w:rPr>
          <w:rFonts w:cs="Times New Roman"/>
        </w:rPr>
        <w:t>considering</w:t>
      </w:r>
      <w:r w:rsidR="007662C3">
        <w:rPr>
          <w:rFonts w:cs="Times New Roman"/>
        </w:rPr>
        <w:t xml:space="preserve"> development of corporate governance </w:t>
      </w:r>
      <w:r w:rsidR="002F706A">
        <w:rPr>
          <w:rFonts w:cs="Times New Roman"/>
        </w:rPr>
        <w:t xml:space="preserve">over a number of years </w:t>
      </w:r>
      <w:r w:rsidR="00D1699B">
        <w:rPr>
          <w:rFonts w:cs="Times New Roman"/>
        </w:rPr>
        <w:t>yielded</w:t>
      </w:r>
      <w:r w:rsidR="007662C3">
        <w:rPr>
          <w:rFonts w:cs="Times New Roman"/>
        </w:rPr>
        <w:t xml:space="preserve"> more realistic results. </w:t>
      </w:r>
      <w:r w:rsidR="002F706A">
        <w:rPr>
          <w:rFonts w:cs="Times New Roman"/>
        </w:rPr>
        <w:t xml:space="preserve">A </w:t>
      </w:r>
      <w:r w:rsidR="007662C3">
        <w:rPr>
          <w:rFonts w:cs="Times New Roman"/>
        </w:rPr>
        <w:t>Bayesian factor analysis</w:t>
      </w:r>
      <w:r w:rsidR="002F706A">
        <w:rPr>
          <w:rFonts w:cs="Times New Roman"/>
        </w:rPr>
        <w:t xml:space="preserve"> was used</w:t>
      </w:r>
      <w:r w:rsidR="007662C3">
        <w:rPr>
          <w:rFonts w:cs="Times New Roman"/>
        </w:rPr>
        <w:t xml:space="preserve"> to build up a separate multi-country </w:t>
      </w:r>
      <w:r w:rsidR="00D1699B">
        <w:rPr>
          <w:rFonts w:cs="Times New Roman"/>
        </w:rPr>
        <w:t>multiyear</w:t>
      </w:r>
      <w:r w:rsidR="007662C3">
        <w:rPr>
          <w:rFonts w:cs="Times New Roman"/>
        </w:rPr>
        <w:t xml:space="preserve"> index of financial market growth consisting of five variables - f</w:t>
      </w:r>
      <w:r w:rsidR="007662C3" w:rsidRPr="00E82C6B">
        <w:rPr>
          <w:rFonts w:cs="Times New Roman"/>
        </w:rPr>
        <w:t xml:space="preserve">oreign </w:t>
      </w:r>
      <w:r w:rsidR="007662C3">
        <w:rPr>
          <w:rFonts w:cs="Times New Roman"/>
        </w:rPr>
        <w:t>d</w:t>
      </w:r>
      <w:r w:rsidR="007662C3" w:rsidRPr="00E82C6B">
        <w:rPr>
          <w:rFonts w:cs="Times New Roman"/>
        </w:rPr>
        <w:t xml:space="preserve">irect </w:t>
      </w:r>
      <w:r w:rsidR="007662C3">
        <w:rPr>
          <w:rFonts w:cs="Times New Roman"/>
        </w:rPr>
        <w:t>investment (FDI), m</w:t>
      </w:r>
      <w:r w:rsidR="007662C3" w:rsidRPr="00E82C6B">
        <w:rPr>
          <w:rFonts w:cs="Times New Roman"/>
        </w:rPr>
        <w:t xml:space="preserve">arket capitalisation of listed companies, S&amp;P global equity index, volume of stocks traded and </w:t>
      </w:r>
      <w:r w:rsidR="007662C3">
        <w:rPr>
          <w:rFonts w:cs="Times New Roman"/>
        </w:rPr>
        <w:t xml:space="preserve">the </w:t>
      </w:r>
      <w:r w:rsidR="007662C3" w:rsidRPr="00E82C6B">
        <w:rPr>
          <w:rFonts w:cs="Times New Roman"/>
        </w:rPr>
        <w:t xml:space="preserve">number of listed domestic companies </w:t>
      </w:r>
      <w:r w:rsidR="007662C3" w:rsidRPr="00E82C6B">
        <w:rPr>
          <w:rFonts w:cs="Times New Roman"/>
        </w:rPr>
        <w:lastRenderedPageBreak/>
        <w:t>to represent the financial growth of countries</w:t>
      </w:r>
      <w:r w:rsidR="007662C3">
        <w:rPr>
          <w:rFonts w:cs="Times New Roman"/>
        </w:rPr>
        <w:t>, and three control indices of similar timescale</w:t>
      </w:r>
      <w:r w:rsidR="0052125B">
        <w:rPr>
          <w:rFonts w:cs="Times New Roman"/>
        </w:rPr>
        <w:t>s</w:t>
      </w:r>
      <w:r w:rsidR="007662C3">
        <w:rPr>
          <w:rFonts w:cs="Times New Roman"/>
        </w:rPr>
        <w:t xml:space="preserve"> </w:t>
      </w:r>
      <w:r w:rsidR="0052125B">
        <w:rPr>
          <w:rFonts w:cs="Times New Roman"/>
        </w:rPr>
        <w:t xml:space="preserve">comprised </w:t>
      </w:r>
      <w:r w:rsidR="007662C3">
        <w:rPr>
          <w:rFonts w:cs="Times New Roman"/>
        </w:rPr>
        <w:t>of a total of ten variables – a</w:t>
      </w:r>
      <w:r w:rsidR="007662C3" w:rsidRPr="00103D44">
        <w:rPr>
          <w:rFonts w:cs="Times New Roman"/>
        </w:rPr>
        <w:t>nnual percentage growth rate of GDP</w:t>
      </w:r>
      <w:r w:rsidR="007662C3">
        <w:rPr>
          <w:rFonts w:cs="Times New Roman"/>
        </w:rPr>
        <w:t>, p</w:t>
      </w:r>
      <w:r w:rsidR="007662C3" w:rsidRPr="00103D44">
        <w:rPr>
          <w:rFonts w:cs="Times New Roman"/>
        </w:rPr>
        <w:t>urchasing power parity conversion factor</w:t>
      </w:r>
      <w:r w:rsidR="007662C3">
        <w:rPr>
          <w:rFonts w:cs="Times New Roman"/>
        </w:rPr>
        <w:t>, c</w:t>
      </w:r>
      <w:r w:rsidR="007662C3" w:rsidRPr="00103D44">
        <w:rPr>
          <w:rFonts w:cs="Times New Roman"/>
        </w:rPr>
        <w:t>urrent account balance</w:t>
      </w:r>
      <w:r w:rsidR="007662C3">
        <w:rPr>
          <w:rFonts w:cs="Times New Roman"/>
        </w:rPr>
        <w:t>, r</w:t>
      </w:r>
      <w:r w:rsidR="007662C3" w:rsidRPr="00103D44">
        <w:rPr>
          <w:rFonts w:cs="Times New Roman"/>
        </w:rPr>
        <w:t>eal interest rate</w:t>
      </w:r>
      <w:r w:rsidR="007662C3">
        <w:rPr>
          <w:rFonts w:cs="Times New Roman"/>
        </w:rPr>
        <w:t>, e</w:t>
      </w:r>
      <w:r w:rsidR="007662C3" w:rsidRPr="00103D44">
        <w:rPr>
          <w:rFonts w:cs="Times New Roman"/>
        </w:rPr>
        <w:t>xternal debt stocks</w:t>
      </w:r>
      <w:r w:rsidR="007662C3">
        <w:rPr>
          <w:rFonts w:cs="Times New Roman"/>
        </w:rPr>
        <w:t>, c</w:t>
      </w:r>
      <w:r w:rsidR="007662C3" w:rsidRPr="00103D44">
        <w:rPr>
          <w:rFonts w:cs="Times New Roman"/>
        </w:rPr>
        <w:t>ommercial ba</w:t>
      </w:r>
      <w:r w:rsidR="007662C3">
        <w:rPr>
          <w:rFonts w:cs="Times New Roman"/>
        </w:rPr>
        <w:t>nk branches per head of population, m</w:t>
      </w:r>
      <w:r w:rsidR="007662C3" w:rsidRPr="00103D44">
        <w:rPr>
          <w:rFonts w:cs="Times New Roman"/>
        </w:rPr>
        <w:t>obile cellular telephone subscriptions</w:t>
      </w:r>
      <w:r w:rsidR="007662C3">
        <w:rPr>
          <w:rFonts w:cs="Times New Roman"/>
        </w:rPr>
        <w:t xml:space="preserve"> per head of population, e</w:t>
      </w:r>
      <w:r w:rsidR="007662C3" w:rsidRPr="00103D44">
        <w:rPr>
          <w:rFonts w:cs="Times New Roman"/>
        </w:rPr>
        <w:t>lectric power consumption</w:t>
      </w:r>
      <w:r w:rsidR="007662C3">
        <w:rPr>
          <w:rFonts w:cs="Times New Roman"/>
        </w:rPr>
        <w:t xml:space="preserve"> per capita, h</w:t>
      </w:r>
      <w:r w:rsidR="007662C3" w:rsidRPr="00103D44">
        <w:rPr>
          <w:rFonts w:cs="Times New Roman"/>
        </w:rPr>
        <w:t xml:space="preserve">igh-technology </w:t>
      </w:r>
      <w:r w:rsidR="007662C3">
        <w:rPr>
          <w:rFonts w:cs="Times New Roman"/>
        </w:rPr>
        <w:t>(</w:t>
      </w:r>
      <w:r w:rsidR="007662C3" w:rsidRPr="00103D44">
        <w:rPr>
          <w:rFonts w:cs="Times New Roman"/>
        </w:rPr>
        <w:t>products with high R&amp;D intensity</w:t>
      </w:r>
      <w:r w:rsidR="007662C3">
        <w:rPr>
          <w:rFonts w:cs="Times New Roman"/>
        </w:rPr>
        <w:t xml:space="preserve">) </w:t>
      </w:r>
      <w:r w:rsidR="007662C3" w:rsidRPr="00103D44">
        <w:rPr>
          <w:rFonts w:cs="Times New Roman"/>
        </w:rPr>
        <w:t xml:space="preserve">exports </w:t>
      </w:r>
      <w:r w:rsidR="007662C3">
        <w:rPr>
          <w:rFonts w:cs="Times New Roman"/>
        </w:rPr>
        <w:t xml:space="preserve">in current USD and </w:t>
      </w:r>
      <w:r w:rsidR="007662C3" w:rsidRPr="00103D44">
        <w:rPr>
          <w:rFonts w:cs="Times New Roman"/>
        </w:rPr>
        <w:t xml:space="preserve">the number of patent and trademark applications </w:t>
      </w:r>
      <w:r w:rsidR="007662C3">
        <w:rPr>
          <w:rFonts w:cs="Times New Roman"/>
        </w:rPr>
        <w:t xml:space="preserve">filed </w:t>
      </w:r>
      <w:r w:rsidR="007662C3" w:rsidRPr="00103D44">
        <w:rPr>
          <w:rFonts w:cs="Times New Roman"/>
        </w:rPr>
        <w:t>at USPTO</w:t>
      </w:r>
      <w:r w:rsidR="007662C3">
        <w:rPr>
          <w:rFonts w:cs="Times New Roman"/>
        </w:rPr>
        <w:t>. Bayesian change point analysis</w:t>
      </w:r>
      <w:r w:rsidR="002F706A">
        <w:rPr>
          <w:rFonts w:cs="Times New Roman"/>
        </w:rPr>
        <w:t xml:space="preserve"> was then used</w:t>
      </w:r>
      <w:r w:rsidR="007662C3">
        <w:rPr>
          <w:rFonts w:cs="Times New Roman"/>
        </w:rPr>
        <w:t xml:space="preserve"> to identify the breakpoints, i.e. the time period or particular year when there </w:t>
      </w:r>
      <w:r w:rsidR="002F706A">
        <w:rPr>
          <w:rFonts w:cs="Times New Roman"/>
        </w:rPr>
        <w:t xml:space="preserve">was </w:t>
      </w:r>
      <w:r w:rsidR="007662C3">
        <w:rPr>
          <w:rFonts w:cs="Times New Roman"/>
        </w:rPr>
        <w:t xml:space="preserve">a regime shift (a substantial movement away from the previous distribution or, qualitatively speaking, a ‘complete’ change from the previous system). In the corporate governance development index, a breakpoint signifies a complete change from the </w:t>
      </w:r>
      <w:r w:rsidR="002F706A">
        <w:rPr>
          <w:rFonts w:cs="Times New Roman"/>
        </w:rPr>
        <w:t xml:space="preserve">previous </w:t>
      </w:r>
      <w:r w:rsidR="007662C3">
        <w:rPr>
          <w:rFonts w:cs="Times New Roman"/>
        </w:rPr>
        <w:t xml:space="preserve">system, usually in the form of a completely new corporate governance code that changes the previous system. In the financial market development index, a breakpoint signifies either a market high or low, compared with recent </w:t>
      </w:r>
      <w:r w:rsidR="002F706A">
        <w:rPr>
          <w:rFonts w:cs="Times New Roman"/>
        </w:rPr>
        <w:t>statistics</w:t>
      </w:r>
      <w:r w:rsidR="007662C3">
        <w:rPr>
          <w:rFonts w:cs="Times New Roman"/>
        </w:rPr>
        <w:t xml:space="preserve">, and so usually coincides with the peak of a boom or the trough of a bust. By using </w:t>
      </w:r>
      <w:r w:rsidR="002F706A">
        <w:rPr>
          <w:rFonts w:cs="Times New Roman"/>
        </w:rPr>
        <w:t xml:space="preserve">a </w:t>
      </w:r>
      <w:r w:rsidR="007662C3">
        <w:rPr>
          <w:rFonts w:cs="Times New Roman"/>
        </w:rPr>
        <w:t xml:space="preserve">qualitative analysis of </w:t>
      </w:r>
      <w:r w:rsidR="007662C3" w:rsidRPr="00B9449D">
        <w:rPr>
          <w:rFonts w:cs="Times New Roman"/>
        </w:rPr>
        <w:t>the breakpoints</w:t>
      </w:r>
      <w:r w:rsidR="007662C3">
        <w:rPr>
          <w:rFonts w:cs="Times New Roman"/>
        </w:rPr>
        <w:t xml:space="preserve">, i.e. an analysis of the legal, financial and economic literature discussing the growth or decline in the financial market and the corporate governance changes during that time period, </w:t>
      </w:r>
      <w:r w:rsidR="002F706A">
        <w:rPr>
          <w:rFonts w:cs="Times New Roman"/>
        </w:rPr>
        <w:t>it is possible to</w:t>
      </w:r>
      <w:r w:rsidR="007662C3">
        <w:rPr>
          <w:rFonts w:cs="Times New Roman"/>
        </w:rPr>
        <w:t xml:space="preserve"> double check the robustness of the methods. If </w:t>
      </w:r>
      <w:r w:rsidR="002F706A">
        <w:rPr>
          <w:rFonts w:cs="Times New Roman"/>
        </w:rPr>
        <w:t xml:space="preserve">the </w:t>
      </w:r>
      <w:r w:rsidR="007662C3">
        <w:rPr>
          <w:rFonts w:cs="Times New Roman"/>
        </w:rPr>
        <w:t xml:space="preserve">breakpoint model is correct the quantitative change-points in the financial market growth index and corporate governance index should coincide within one year of the qualitative estimations of such a change. By graphically representing the change-points on a </w:t>
      </w:r>
      <w:proofErr w:type="spellStart"/>
      <w:r w:rsidR="007662C3">
        <w:rPr>
          <w:rFonts w:cs="Times New Roman"/>
        </w:rPr>
        <w:t>heatmap</w:t>
      </w:r>
      <w:proofErr w:type="spellEnd"/>
      <w:r w:rsidR="007662C3">
        <w:rPr>
          <w:rFonts w:cs="Times New Roman"/>
        </w:rPr>
        <w:t xml:space="preserve"> </w:t>
      </w:r>
      <w:r w:rsidR="002F706A">
        <w:rPr>
          <w:rFonts w:cs="Times New Roman"/>
        </w:rPr>
        <w:t>it is possible to</w:t>
      </w:r>
      <w:r w:rsidR="007662C3">
        <w:rPr>
          <w:rFonts w:cs="Times New Roman"/>
        </w:rPr>
        <w:t xml:space="preserve"> analyse whether changes in corporate governance drive financial market growth or vice versa. To check for convergence</w:t>
      </w:r>
      <w:r w:rsidR="002F706A">
        <w:rPr>
          <w:rFonts w:cs="Times New Roman"/>
        </w:rPr>
        <w:t>,</w:t>
      </w:r>
      <w:r w:rsidR="007662C3">
        <w:rPr>
          <w:rFonts w:cs="Times New Roman"/>
        </w:rPr>
        <w:t xml:space="preserve"> the dynamic corporate governance index</w:t>
      </w:r>
      <w:r w:rsidR="002F706A">
        <w:rPr>
          <w:rFonts w:cs="Times New Roman"/>
        </w:rPr>
        <w:t xml:space="preserve"> was analysed</w:t>
      </w:r>
      <w:r w:rsidR="007662C3">
        <w:rPr>
          <w:rFonts w:cs="Times New Roman"/>
        </w:rPr>
        <w:t>, first by using various quasi-</w:t>
      </w:r>
      <w:r w:rsidR="007662C3">
        <w:rPr>
          <w:rFonts w:cs="Times New Roman"/>
        </w:rPr>
        <w:lastRenderedPageBreak/>
        <w:t>experimental methods like calculating the average corporate governance score among</w:t>
      </w:r>
      <w:r w:rsidR="002F706A">
        <w:rPr>
          <w:rFonts w:cs="Times New Roman"/>
        </w:rPr>
        <w:t>st</w:t>
      </w:r>
      <w:r w:rsidR="007662C3">
        <w:rPr>
          <w:rFonts w:cs="Times New Roman"/>
        </w:rPr>
        <w:t xml:space="preserve"> all countries and then tracking its growth, and assessing the difference between the highest and lowest corporate governance index to provide an estimate of the extent of differences in </w:t>
      </w:r>
      <w:r w:rsidR="002F706A">
        <w:rPr>
          <w:rFonts w:cs="Times New Roman"/>
        </w:rPr>
        <w:t xml:space="preserve">the </w:t>
      </w:r>
      <w:r w:rsidR="007662C3">
        <w:rPr>
          <w:rFonts w:cs="Times New Roman"/>
        </w:rPr>
        <w:t>adoption of shareholder value corporate governance norms among the countries studied. Once the preliminary results from the quasi experimental methods we</w:t>
      </w:r>
      <w:r w:rsidR="002F706A">
        <w:rPr>
          <w:rFonts w:cs="Times New Roman"/>
        </w:rPr>
        <w:t xml:space="preserve">re obtained, </w:t>
      </w:r>
      <w:r w:rsidR="007662C3">
        <w:rPr>
          <w:rFonts w:cs="Times New Roman"/>
        </w:rPr>
        <w:t>the findings</w:t>
      </w:r>
      <w:r w:rsidR="002F706A">
        <w:rPr>
          <w:rFonts w:cs="Times New Roman"/>
        </w:rPr>
        <w:t xml:space="preserve"> were confirmed</w:t>
      </w:r>
      <w:r w:rsidR="007662C3">
        <w:rPr>
          <w:rFonts w:cs="Times New Roman"/>
        </w:rPr>
        <w:t xml:space="preserve"> by using experimental methods like </w:t>
      </w:r>
      <w:r w:rsidR="002F706A">
        <w:rPr>
          <w:rFonts w:cs="Times New Roman"/>
        </w:rPr>
        <w:t xml:space="preserve">the </w:t>
      </w:r>
      <w:r w:rsidR="007662C3">
        <w:rPr>
          <w:rFonts w:cs="Times New Roman"/>
        </w:rPr>
        <w:t xml:space="preserve">square of Pearson correlation coefficient, which </w:t>
      </w:r>
      <w:r w:rsidR="002F706A">
        <w:rPr>
          <w:rFonts w:cs="Times New Roman"/>
        </w:rPr>
        <w:t>makes it possible to</w:t>
      </w:r>
      <w:r w:rsidR="007662C3">
        <w:rPr>
          <w:rFonts w:cs="Times New Roman"/>
        </w:rPr>
        <w:t xml:space="preserve"> track the relative deviation within the corporate governance of the countries studied in this research. The combination of these three methods was intended to give a robust answer as to whether corporate governance norms around the developing world are converging on the pro</w:t>
      </w:r>
      <w:r w:rsidR="002F706A">
        <w:rPr>
          <w:rFonts w:cs="Times New Roman"/>
        </w:rPr>
        <w:t>-</w:t>
      </w:r>
      <w:r w:rsidR="007662C3">
        <w:rPr>
          <w:rFonts w:cs="Times New Roman"/>
        </w:rPr>
        <w:t>shareholder ideology espoused by the OECD Principles of Corporate Governance.</w:t>
      </w:r>
    </w:p>
    <w:p w14:paraId="60641E5E" w14:textId="4782BD99" w:rsidR="007662C3" w:rsidRDefault="007662C3" w:rsidP="007662C3">
      <w:pPr>
        <w:spacing w:line="480" w:lineRule="auto"/>
        <w:rPr>
          <w:rFonts w:cs="Times New Roman"/>
        </w:rPr>
      </w:pPr>
      <w:r>
        <w:rPr>
          <w:rFonts w:cs="Times New Roman"/>
        </w:rPr>
        <w:t>Finally</w:t>
      </w:r>
      <w:r w:rsidR="002F706A">
        <w:rPr>
          <w:rFonts w:cs="Times New Roman"/>
        </w:rPr>
        <w:t>,</w:t>
      </w:r>
      <w:r>
        <w:rPr>
          <w:rFonts w:cs="Times New Roman"/>
        </w:rPr>
        <w:t xml:space="preserve"> a Bayesian multilevel lagged regression model </w:t>
      </w:r>
      <w:r w:rsidR="002F706A">
        <w:rPr>
          <w:rFonts w:cs="Times New Roman"/>
        </w:rPr>
        <w:t xml:space="preserve">was constructed, </w:t>
      </w:r>
      <w:r>
        <w:rPr>
          <w:rFonts w:cs="Times New Roman"/>
        </w:rPr>
        <w:t xml:space="preserve">using the five indices. </w:t>
      </w:r>
      <w:r w:rsidR="002F706A">
        <w:rPr>
          <w:rFonts w:cs="Times New Roman"/>
        </w:rPr>
        <w:t>T</w:t>
      </w:r>
      <w:r>
        <w:rPr>
          <w:rFonts w:cs="Times New Roman"/>
        </w:rPr>
        <w:t xml:space="preserve">he financial market index </w:t>
      </w:r>
      <w:r w:rsidR="002F706A">
        <w:rPr>
          <w:rFonts w:cs="Times New Roman"/>
        </w:rPr>
        <w:t xml:space="preserve">was used </w:t>
      </w:r>
      <w:r>
        <w:rPr>
          <w:rFonts w:cs="Times New Roman"/>
        </w:rPr>
        <w:t xml:space="preserve">as </w:t>
      </w:r>
      <w:r w:rsidR="002F706A">
        <w:rPr>
          <w:rFonts w:cs="Times New Roman"/>
        </w:rPr>
        <w:t xml:space="preserve">a </w:t>
      </w:r>
      <w:r>
        <w:rPr>
          <w:rFonts w:cs="Times New Roman"/>
        </w:rPr>
        <w:t xml:space="preserve">dependent variable, the dynamic corporate governance index as predictor variable, and the three control indices as control variables. </w:t>
      </w:r>
      <w:r w:rsidR="00B95E1F">
        <w:rPr>
          <w:rFonts w:cs="Times New Roman"/>
        </w:rPr>
        <w:t>F</w:t>
      </w:r>
      <w:r>
        <w:rPr>
          <w:rFonts w:cs="Times New Roman"/>
        </w:rPr>
        <w:t xml:space="preserve">our country level control variables </w:t>
      </w:r>
      <w:r w:rsidR="00B95E1F">
        <w:rPr>
          <w:rFonts w:cs="Times New Roman"/>
        </w:rPr>
        <w:t xml:space="preserve">were used </w:t>
      </w:r>
      <w:r>
        <w:rPr>
          <w:rFonts w:cs="Times New Roman"/>
        </w:rPr>
        <w:t xml:space="preserve">for each country – human development index, GINI index, peace index and rule of law. This </w:t>
      </w:r>
      <w:r w:rsidR="00B95E1F">
        <w:rPr>
          <w:rFonts w:cs="Times New Roman"/>
        </w:rPr>
        <w:t>made it possible to</w:t>
      </w:r>
      <w:r>
        <w:rPr>
          <w:rFonts w:cs="Times New Roman"/>
        </w:rPr>
        <w:t xml:space="preserve"> check whether changes in corporate governance models and, especially, whether any shift towards a shareholder value model, has had any effect on financial market growth in developing countries. </w:t>
      </w:r>
      <w:r w:rsidR="00504C90">
        <w:rPr>
          <w:rFonts w:cs="Times New Roman"/>
        </w:rPr>
        <w:t>To investigate the structural model further, individual country level regression analysis were also performed.</w:t>
      </w:r>
    </w:p>
    <w:p w14:paraId="7BEDE652" w14:textId="2C5F75A4" w:rsidR="007662C3" w:rsidRDefault="00B95E1F" w:rsidP="007662C3">
      <w:pPr>
        <w:spacing w:line="480" w:lineRule="auto"/>
        <w:rPr>
          <w:rFonts w:cs="Times New Roman"/>
        </w:rPr>
      </w:pPr>
      <w:r>
        <w:rPr>
          <w:rFonts w:cs="Times New Roman"/>
        </w:rPr>
        <w:t>S</w:t>
      </w:r>
      <w:r w:rsidR="007662C3">
        <w:rPr>
          <w:rFonts w:cs="Times New Roman"/>
        </w:rPr>
        <w:t xml:space="preserve">ignificant convergence in corporate governance regulation </w:t>
      </w:r>
      <w:r>
        <w:rPr>
          <w:rFonts w:cs="Times New Roman"/>
        </w:rPr>
        <w:t xml:space="preserve">was found </w:t>
      </w:r>
      <w:r w:rsidR="007662C3">
        <w:rPr>
          <w:rFonts w:cs="Times New Roman"/>
        </w:rPr>
        <w:t xml:space="preserve">among the countries studied. However this convergence appears to have reached a peak around 2007/08. Since the financial crisis, this process of convergence has stopped, with the majority of the countries choosing not to amend their company and corporate </w:t>
      </w:r>
      <w:r w:rsidR="007662C3">
        <w:rPr>
          <w:rFonts w:cs="Times New Roman"/>
        </w:rPr>
        <w:lastRenderedPageBreak/>
        <w:t xml:space="preserve">governance regulations further. </w:t>
      </w:r>
      <w:r>
        <w:rPr>
          <w:rFonts w:cs="Times New Roman"/>
        </w:rPr>
        <w:t>It was also discovered</w:t>
      </w:r>
      <w:r w:rsidR="007662C3">
        <w:rPr>
          <w:rFonts w:cs="Times New Roman"/>
        </w:rPr>
        <w:t xml:space="preserve"> that it is hard to determine the direction of causality between </w:t>
      </w:r>
      <w:r>
        <w:rPr>
          <w:rFonts w:cs="Times New Roman"/>
        </w:rPr>
        <w:t xml:space="preserve">a </w:t>
      </w:r>
      <w:r w:rsidR="007662C3">
        <w:rPr>
          <w:rFonts w:cs="Times New Roman"/>
        </w:rPr>
        <w:t>change in corporate governance and financial market growth, i.e. whether changes towards pro</w:t>
      </w:r>
      <w:r>
        <w:rPr>
          <w:rFonts w:cs="Times New Roman"/>
        </w:rPr>
        <w:t>-</w:t>
      </w:r>
      <w:r w:rsidR="007662C3">
        <w:rPr>
          <w:rFonts w:cs="Times New Roman"/>
        </w:rPr>
        <w:t xml:space="preserve">shareholder corporate governance regulations leads to financial market growth or whether it is growth and downturns in financial markets which lead to further shifts in corporate governance in a pro-shareholder direction. </w:t>
      </w:r>
      <w:r>
        <w:rPr>
          <w:rFonts w:cs="Times New Roman"/>
        </w:rPr>
        <w:t>S</w:t>
      </w:r>
      <w:r w:rsidR="007662C3">
        <w:rPr>
          <w:rFonts w:cs="Times New Roman"/>
        </w:rPr>
        <w:t>ome countries changed their corporate governance before major financial market events, whilst in other countries the corporate governance change followed a significant upheaval in the financial market.</w:t>
      </w:r>
      <w:r w:rsidR="00504C90">
        <w:rPr>
          <w:rFonts w:cs="Times New Roman"/>
        </w:rPr>
        <w:t xml:space="preserve"> Overall on average corporate governance seems to have changed before financial market change in the period studied in the research.</w:t>
      </w:r>
    </w:p>
    <w:p w14:paraId="1AA2C360" w14:textId="3DBCAF3D" w:rsidR="00355308" w:rsidRDefault="007662C3" w:rsidP="007662C3">
      <w:pPr>
        <w:spacing w:line="480" w:lineRule="auto"/>
        <w:rPr>
          <w:rFonts w:cs="Times New Roman"/>
        </w:rPr>
      </w:pPr>
      <w:r>
        <w:rPr>
          <w:rFonts w:cs="Times New Roman"/>
        </w:rPr>
        <w:t xml:space="preserve">On the key question of the impact of changes in corporate governance on the growth of financial markets, the results are a bit clearer. </w:t>
      </w:r>
      <w:r w:rsidR="00B95E1F">
        <w:rPr>
          <w:rFonts w:cs="Times New Roman"/>
        </w:rPr>
        <w:t>A</w:t>
      </w:r>
      <w:r>
        <w:rPr>
          <w:rFonts w:cs="Times New Roman"/>
        </w:rPr>
        <w:t xml:space="preserve"> shift towards a pro</w:t>
      </w:r>
      <w:r w:rsidR="00B95E1F">
        <w:rPr>
          <w:rFonts w:cs="Times New Roman"/>
        </w:rPr>
        <w:t>-</w:t>
      </w:r>
      <w:r>
        <w:rPr>
          <w:rFonts w:cs="Times New Roman"/>
        </w:rPr>
        <w:t xml:space="preserve">shareholder value model in developing countries has little impact on the growth of financial markets, especially in comparison to the impact of economic and other control factors like increased investment in R&amp;D and growth in high technology-led export-based industries. </w:t>
      </w:r>
      <w:r w:rsidR="00B95E1F">
        <w:rPr>
          <w:rFonts w:cs="Times New Roman"/>
        </w:rPr>
        <w:t>It is evident</w:t>
      </w:r>
      <w:r>
        <w:rPr>
          <w:rFonts w:cs="Times New Roman"/>
        </w:rPr>
        <w:t xml:space="preserve"> that </w:t>
      </w:r>
      <w:r w:rsidR="00B95E1F">
        <w:rPr>
          <w:rFonts w:cs="Times New Roman"/>
        </w:rPr>
        <w:t xml:space="preserve">the </w:t>
      </w:r>
      <w:r>
        <w:rPr>
          <w:rFonts w:cs="Times New Roman"/>
        </w:rPr>
        <w:t xml:space="preserve">rule of law is twice as important as </w:t>
      </w:r>
      <w:r w:rsidR="00B95E1F">
        <w:rPr>
          <w:rFonts w:cs="Times New Roman"/>
        </w:rPr>
        <w:t xml:space="preserve">the </w:t>
      </w:r>
      <w:r>
        <w:rPr>
          <w:rFonts w:cs="Times New Roman"/>
        </w:rPr>
        <w:t xml:space="preserve">quality of corporate governance in promoting market growth. This indicates that developing countries should perhaps put more emphasis on promoting </w:t>
      </w:r>
      <w:r w:rsidR="00B95E1F">
        <w:rPr>
          <w:rFonts w:cs="Times New Roman"/>
        </w:rPr>
        <w:t xml:space="preserve">the </w:t>
      </w:r>
      <w:r>
        <w:rPr>
          <w:rFonts w:cs="Times New Roman"/>
        </w:rPr>
        <w:t xml:space="preserve">public perception that market regulators are independent from government, </w:t>
      </w:r>
      <w:r w:rsidR="00B95E1F">
        <w:rPr>
          <w:rFonts w:cs="Times New Roman"/>
        </w:rPr>
        <w:t xml:space="preserve">create </w:t>
      </w:r>
      <w:r>
        <w:rPr>
          <w:rFonts w:cs="Times New Roman"/>
        </w:rPr>
        <w:t xml:space="preserve">efficient enforcement of rights in the courts or otherwise, and </w:t>
      </w:r>
      <w:r w:rsidR="00B95E1F">
        <w:rPr>
          <w:rFonts w:cs="Times New Roman"/>
        </w:rPr>
        <w:t>dispose quickly</w:t>
      </w:r>
      <w:r>
        <w:rPr>
          <w:rFonts w:cs="Times New Roman"/>
        </w:rPr>
        <w:t xml:space="preserve"> of commercial litigation rather than simply </w:t>
      </w:r>
      <w:r w:rsidR="00B95E1F">
        <w:rPr>
          <w:rFonts w:cs="Times New Roman"/>
        </w:rPr>
        <w:t xml:space="preserve">changing </w:t>
      </w:r>
      <w:r>
        <w:rPr>
          <w:rFonts w:cs="Times New Roman"/>
        </w:rPr>
        <w:t xml:space="preserve">the corporate governance regulations to make it more shareholder friendly. </w:t>
      </w:r>
      <w:r w:rsidR="00B95E1F">
        <w:rPr>
          <w:rFonts w:cs="Times New Roman"/>
        </w:rPr>
        <w:t>It is far more</w:t>
      </w:r>
      <w:r>
        <w:rPr>
          <w:rFonts w:cs="Times New Roman"/>
        </w:rPr>
        <w:t xml:space="preserve"> effective to boost financial market growth by improving the economic growth factors and investing in R&amp;D-led high technology-based export industries, as opposed to simply adopting more pro</w:t>
      </w:r>
      <w:r w:rsidR="00B95E1F">
        <w:rPr>
          <w:rFonts w:cs="Times New Roman"/>
        </w:rPr>
        <w:t>-</w:t>
      </w:r>
      <w:r>
        <w:rPr>
          <w:rFonts w:cs="Times New Roman"/>
        </w:rPr>
        <w:t xml:space="preserve">shareholder regulations and norms. On a per country basis </w:t>
      </w:r>
      <w:r w:rsidR="00B95E1F">
        <w:rPr>
          <w:rFonts w:cs="Times New Roman"/>
        </w:rPr>
        <w:t>it was identified</w:t>
      </w:r>
      <w:r>
        <w:rPr>
          <w:rFonts w:cs="Times New Roman"/>
        </w:rPr>
        <w:t xml:space="preserve"> that in some </w:t>
      </w:r>
      <w:r>
        <w:rPr>
          <w:rFonts w:cs="Times New Roman"/>
        </w:rPr>
        <w:lastRenderedPageBreak/>
        <w:t xml:space="preserve">countries, like Chile, Poland and Hong Kong, financial markets grew at a rapid pace when corporate governance regulations shifted towards a more shareholder primacy approach. </w:t>
      </w:r>
      <w:r w:rsidR="00B95E1F">
        <w:rPr>
          <w:rFonts w:cs="Times New Roman"/>
        </w:rPr>
        <w:t xml:space="preserve">It is </w:t>
      </w:r>
      <w:r>
        <w:rPr>
          <w:rFonts w:cs="Times New Roman"/>
        </w:rPr>
        <w:t>recommend</w:t>
      </w:r>
      <w:r w:rsidR="00B95E1F">
        <w:rPr>
          <w:rFonts w:cs="Times New Roman"/>
        </w:rPr>
        <w:t>ed</w:t>
      </w:r>
      <w:r>
        <w:rPr>
          <w:rFonts w:cs="Times New Roman"/>
        </w:rPr>
        <w:t xml:space="preserve"> that further qualitative study is done to investigate what sui generis cultural, economic, historical and political factors may have led to such results. Bayesian inference estimates of the impact of corporate governance are generally higher than frequentist methods. However </w:t>
      </w:r>
      <w:r w:rsidR="00B95E1F">
        <w:rPr>
          <w:rFonts w:cs="Times New Roman"/>
        </w:rPr>
        <w:t>it was also found</w:t>
      </w:r>
      <w:r>
        <w:rPr>
          <w:rFonts w:cs="Times New Roman"/>
        </w:rPr>
        <w:t xml:space="preserve"> that Bayesian analysis provides results which are more realistic and feasible, especially by contextualising any relationship which may emerge between corporate governance and financial market growth. Such contextualisation is not available directly in frequentist methods where results are deemed to be statistically immutable, rigid and generally accepted at face value which may lead to erroneous conclusions. Although this research does not look into the common law vs civil law debates on </w:t>
      </w:r>
      <w:r w:rsidR="00B95E1F">
        <w:rPr>
          <w:rFonts w:cs="Times New Roman"/>
        </w:rPr>
        <w:t xml:space="preserve">the </w:t>
      </w:r>
      <w:r>
        <w:rPr>
          <w:rFonts w:cs="Times New Roman"/>
        </w:rPr>
        <w:t xml:space="preserve">development of corporate governance, Bayesian analysis shows that civil law countries would have scored less on the corporate governance </w:t>
      </w:r>
      <w:r w:rsidR="00474BA5">
        <w:rPr>
          <w:rFonts w:cs="Times New Roman"/>
        </w:rPr>
        <w:t>index if frequentist methods had</w:t>
      </w:r>
      <w:r>
        <w:rPr>
          <w:rFonts w:cs="Times New Roman"/>
        </w:rPr>
        <w:t xml:space="preserve"> been followed. This might be because of the common law tilt in the OECD Principles of Corporate Governance which forms one of the foundational </w:t>
      </w:r>
      <w:r w:rsidR="00B95E1F">
        <w:rPr>
          <w:rFonts w:cs="Times New Roman"/>
        </w:rPr>
        <w:t xml:space="preserve">bases </w:t>
      </w:r>
      <w:r>
        <w:rPr>
          <w:rFonts w:cs="Times New Roman"/>
        </w:rPr>
        <w:t>of the questionnaire survey data used in this research. However</w:t>
      </w:r>
      <w:r w:rsidR="00B95E1F">
        <w:rPr>
          <w:rFonts w:cs="Times New Roman"/>
        </w:rPr>
        <w:t>,</w:t>
      </w:r>
      <w:r>
        <w:rPr>
          <w:rFonts w:cs="Times New Roman"/>
        </w:rPr>
        <w:t xml:space="preserve"> by using the Bayesian methods </w:t>
      </w:r>
      <w:r w:rsidR="00B95E1F">
        <w:rPr>
          <w:rFonts w:cs="Times New Roman"/>
        </w:rPr>
        <w:t>it is possible</w:t>
      </w:r>
      <w:r>
        <w:rPr>
          <w:rFonts w:cs="Times New Roman"/>
        </w:rPr>
        <w:t xml:space="preserve"> to overcome this unconscious common law bias. </w:t>
      </w:r>
      <w:r w:rsidR="00FD537C">
        <w:rPr>
          <w:rFonts w:cs="Times New Roman"/>
        </w:rPr>
        <w:t xml:space="preserve">To the best of our knowledge this is the first research in comparative corporate governance to solely base its analysis on Bayesian inference. In doing so this research provides </w:t>
      </w:r>
      <w:r w:rsidR="004775ED">
        <w:rPr>
          <w:rFonts w:cs="Times New Roman"/>
        </w:rPr>
        <w:t xml:space="preserve">a </w:t>
      </w:r>
      <w:r w:rsidR="00FD537C">
        <w:rPr>
          <w:rFonts w:cs="Times New Roman"/>
        </w:rPr>
        <w:t xml:space="preserve">solution to </w:t>
      </w:r>
      <w:r w:rsidR="004775ED">
        <w:rPr>
          <w:rFonts w:cs="Times New Roman"/>
        </w:rPr>
        <w:t xml:space="preserve">weighting </w:t>
      </w:r>
      <w:r w:rsidR="00FD537C">
        <w:rPr>
          <w:rFonts w:cs="Times New Roman"/>
        </w:rPr>
        <w:t xml:space="preserve"> problem</w:t>
      </w:r>
      <w:r w:rsidR="004775ED">
        <w:rPr>
          <w:rFonts w:cs="Times New Roman"/>
        </w:rPr>
        <w:t>s</w:t>
      </w:r>
      <w:r w:rsidR="00FD537C">
        <w:rPr>
          <w:rFonts w:cs="Times New Roman"/>
        </w:rPr>
        <w:t xml:space="preserve"> in </w:t>
      </w:r>
      <w:r w:rsidR="004775ED">
        <w:rPr>
          <w:rFonts w:cs="Times New Roman"/>
        </w:rPr>
        <w:t xml:space="preserve">the </w:t>
      </w:r>
      <w:r w:rsidR="00FD537C">
        <w:rPr>
          <w:rFonts w:cs="Times New Roman"/>
        </w:rPr>
        <w:t xml:space="preserve">measurement of legal </w:t>
      </w:r>
      <w:r w:rsidR="004775ED">
        <w:rPr>
          <w:rFonts w:cs="Times New Roman"/>
        </w:rPr>
        <w:t>rules</w:t>
      </w:r>
      <w:r w:rsidR="00FD537C">
        <w:rPr>
          <w:rFonts w:cs="Times New Roman"/>
        </w:rPr>
        <w:t xml:space="preserve">, </w:t>
      </w:r>
      <w:proofErr w:type="spellStart"/>
      <w:r w:rsidR="004775ED">
        <w:rPr>
          <w:rFonts w:cs="Times New Roman"/>
        </w:rPr>
        <w:t>addressses</w:t>
      </w:r>
      <w:proofErr w:type="spellEnd"/>
      <w:r w:rsidR="004775ED">
        <w:rPr>
          <w:rFonts w:cs="Times New Roman"/>
        </w:rPr>
        <w:t xml:space="preserve"> issues of the direction of causation between legal and financial changes,</w:t>
      </w:r>
      <w:r>
        <w:rPr>
          <w:rFonts w:cs="Times New Roman"/>
        </w:rPr>
        <w:t xml:space="preserve"> </w:t>
      </w:r>
      <w:r w:rsidR="00103203">
        <w:rPr>
          <w:rFonts w:cs="Times New Roman"/>
        </w:rPr>
        <w:t xml:space="preserve">and </w:t>
      </w:r>
      <w:r w:rsidR="004775ED">
        <w:rPr>
          <w:rFonts w:cs="Times New Roman"/>
        </w:rPr>
        <w:t>avoids</w:t>
      </w:r>
      <w:r w:rsidR="00103203">
        <w:rPr>
          <w:rFonts w:cs="Times New Roman"/>
        </w:rPr>
        <w:t xml:space="preserve"> over-reliance on p values to determine impact significance.</w:t>
      </w:r>
      <w:r w:rsidR="00103203">
        <w:rPr>
          <w:rStyle w:val="FootnoteReference"/>
          <w:rFonts w:cs="Times New Roman"/>
        </w:rPr>
        <w:footnoteReference w:id="3"/>
      </w:r>
    </w:p>
    <w:p w14:paraId="2535607F" w14:textId="2D9586F7" w:rsidR="0035266B" w:rsidRPr="001A6C14" w:rsidRDefault="0035266B" w:rsidP="001A6C14">
      <w:pPr>
        <w:pStyle w:val="ListParagraph"/>
        <w:numPr>
          <w:ilvl w:val="0"/>
          <w:numId w:val="11"/>
        </w:numPr>
        <w:spacing w:line="480" w:lineRule="auto"/>
        <w:jc w:val="center"/>
        <w:rPr>
          <w:rFonts w:cs="Times New Roman"/>
          <w:b/>
          <w:sz w:val="28"/>
          <w:szCs w:val="24"/>
          <w:u w:val="single"/>
        </w:rPr>
      </w:pPr>
      <w:r w:rsidRPr="001A6C14">
        <w:rPr>
          <w:rFonts w:cs="Times New Roman"/>
          <w:b/>
          <w:sz w:val="28"/>
          <w:szCs w:val="24"/>
          <w:u w:val="single"/>
        </w:rPr>
        <w:lastRenderedPageBreak/>
        <w:t>L</w:t>
      </w:r>
      <w:r w:rsidR="0081004B" w:rsidRPr="001A6C14">
        <w:rPr>
          <w:rFonts w:cs="Times New Roman"/>
          <w:b/>
          <w:sz w:val="28"/>
          <w:szCs w:val="24"/>
          <w:u w:val="single"/>
        </w:rPr>
        <w:t xml:space="preserve">iterature </w:t>
      </w:r>
      <w:r w:rsidRPr="001A6C14">
        <w:rPr>
          <w:rFonts w:cs="Times New Roman"/>
          <w:b/>
          <w:sz w:val="28"/>
          <w:szCs w:val="24"/>
          <w:u w:val="single"/>
        </w:rPr>
        <w:t>review</w:t>
      </w:r>
      <w:r w:rsidR="00F04D1E">
        <w:rPr>
          <w:rFonts w:cs="Times New Roman"/>
          <w:b/>
          <w:sz w:val="28"/>
          <w:szCs w:val="24"/>
          <w:u w:val="single"/>
        </w:rPr>
        <w:t xml:space="preserve"> and variable coding</w:t>
      </w:r>
    </w:p>
    <w:p w14:paraId="0BC3A0DC" w14:textId="77777777" w:rsidR="00F867E5" w:rsidRPr="00103203" w:rsidRDefault="00F867E5" w:rsidP="0046305A">
      <w:pPr>
        <w:spacing w:line="480" w:lineRule="auto"/>
        <w:ind w:left="720" w:right="680"/>
        <w:rPr>
          <w:rFonts w:cs="Times New Roman"/>
          <w:i/>
          <w:sz w:val="12"/>
          <w:szCs w:val="24"/>
        </w:rPr>
      </w:pPr>
    </w:p>
    <w:p w14:paraId="6AFEDEA7" w14:textId="2E81A908" w:rsidR="00F867E5" w:rsidRDefault="00F867E5" w:rsidP="0046305A">
      <w:pPr>
        <w:spacing w:line="480" w:lineRule="auto"/>
        <w:ind w:left="720" w:right="680"/>
        <w:rPr>
          <w:rFonts w:cs="Times New Roman"/>
          <w:i/>
          <w:szCs w:val="24"/>
        </w:rPr>
      </w:pPr>
      <w:r>
        <w:rPr>
          <w:rFonts w:cs="Times New Roman"/>
          <w:szCs w:val="24"/>
        </w:rPr>
        <w:t xml:space="preserve">Abstract: </w:t>
      </w:r>
      <w:r w:rsidR="0046305A">
        <w:rPr>
          <w:rFonts w:cs="Times New Roman"/>
          <w:i/>
          <w:szCs w:val="24"/>
        </w:rPr>
        <w:t xml:space="preserve">This literature review will focus on </w:t>
      </w:r>
      <w:r>
        <w:rPr>
          <w:rFonts w:cs="Times New Roman"/>
          <w:i/>
          <w:szCs w:val="24"/>
        </w:rPr>
        <w:t xml:space="preserve">research engaged </w:t>
      </w:r>
      <w:r w:rsidR="00C11A4F">
        <w:rPr>
          <w:rFonts w:cs="Times New Roman"/>
          <w:i/>
          <w:szCs w:val="24"/>
        </w:rPr>
        <w:t xml:space="preserve">with the </w:t>
      </w:r>
      <w:r w:rsidR="0046305A">
        <w:rPr>
          <w:rFonts w:cs="Times New Roman"/>
          <w:i/>
          <w:szCs w:val="24"/>
        </w:rPr>
        <w:t>quantitative analysis of corporate governance</w:t>
      </w:r>
      <w:r>
        <w:rPr>
          <w:rFonts w:cs="Times New Roman"/>
          <w:i/>
          <w:szCs w:val="24"/>
        </w:rPr>
        <w:t xml:space="preserve"> and its impact on financial market development;</w:t>
      </w:r>
      <w:r w:rsidR="0046305A">
        <w:rPr>
          <w:rFonts w:cs="Times New Roman"/>
          <w:i/>
          <w:szCs w:val="24"/>
        </w:rPr>
        <w:t xml:space="preserve"> as such it will not </w:t>
      </w:r>
      <w:r w:rsidR="001A6C14">
        <w:rPr>
          <w:rFonts w:cs="Times New Roman"/>
          <w:i/>
          <w:szCs w:val="24"/>
        </w:rPr>
        <w:t>delve</w:t>
      </w:r>
      <w:r w:rsidR="0046305A">
        <w:rPr>
          <w:rFonts w:cs="Times New Roman"/>
          <w:i/>
          <w:szCs w:val="24"/>
        </w:rPr>
        <w:t xml:space="preserve"> into the substantive literature </w:t>
      </w:r>
      <w:r w:rsidR="00C11A4F">
        <w:rPr>
          <w:rFonts w:cs="Times New Roman"/>
          <w:i/>
          <w:szCs w:val="24"/>
        </w:rPr>
        <w:t xml:space="preserve">regarding the </w:t>
      </w:r>
      <w:r w:rsidR="0046305A">
        <w:rPr>
          <w:rFonts w:cs="Times New Roman"/>
          <w:i/>
          <w:szCs w:val="24"/>
        </w:rPr>
        <w:t>evolution of corporate governance or description</w:t>
      </w:r>
      <w:r w:rsidR="00C11A4F">
        <w:rPr>
          <w:rFonts w:cs="Times New Roman"/>
          <w:i/>
          <w:szCs w:val="24"/>
        </w:rPr>
        <w:t>s</w:t>
      </w:r>
      <w:r w:rsidR="0046305A">
        <w:rPr>
          <w:rFonts w:cs="Times New Roman"/>
          <w:i/>
          <w:szCs w:val="24"/>
        </w:rPr>
        <w:t xml:space="preserve"> of </w:t>
      </w:r>
      <w:r>
        <w:rPr>
          <w:rFonts w:cs="Times New Roman"/>
          <w:i/>
          <w:szCs w:val="24"/>
        </w:rPr>
        <w:t xml:space="preserve">divergence in </w:t>
      </w:r>
      <w:r w:rsidR="0046305A">
        <w:rPr>
          <w:rFonts w:cs="Times New Roman"/>
          <w:i/>
          <w:szCs w:val="24"/>
        </w:rPr>
        <w:t xml:space="preserve">corporate governance </w:t>
      </w:r>
      <w:r>
        <w:rPr>
          <w:rFonts w:cs="Times New Roman"/>
          <w:i/>
          <w:szCs w:val="24"/>
        </w:rPr>
        <w:t>models – namely the shareholder and the stakeholder model</w:t>
      </w:r>
      <w:r w:rsidR="001A6C14">
        <w:rPr>
          <w:rFonts w:cs="Times New Roman"/>
          <w:i/>
          <w:szCs w:val="24"/>
        </w:rPr>
        <w:t>s</w:t>
      </w:r>
      <w:r>
        <w:rPr>
          <w:rFonts w:cs="Times New Roman"/>
          <w:i/>
          <w:szCs w:val="24"/>
        </w:rPr>
        <w:t xml:space="preserve"> etc. This review will also focus on the functional aspects of Bayesian literature and the practical basics of computer coding. Again</w:t>
      </w:r>
      <w:r w:rsidR="00C11A4F">
        <w:rPr>
          <w:rFonts w:cs="Times New Roman"/>
          <w:i/>
          <w:szCs w:val="24"/>
        </w:rPr>
        <w:t>,</w:t>
      </w:r>
      <w:r>
        <w:rPr>
          <w:rFonts w:cs="Times New Roman"/>
          <w:i/>
          <w:szCs w:val="24"/>
        </w:rPr>
        <w:t xml:space="preserve"> it will not be an in depth review of Bayesian literature. Given the quantitative nature of this research project it might not be ideal to clump several different literature strands into one chapter – so a basic literature review is presented in this chapter and brief reviews are given at the beginning of subchapters as the need arises.</w:t>
      </w:r>
      <w:r w:rsidR="001A6C14">
        <w:rPr>
          <w:rFonts w:cs="Times New Roman"/>
          <w:i/>
          <w:szCs w:val="24"/>
        </w:rPr>
        <w:t xml:space="preserve"> This chapter will end by describing the variables that </w:t>
      </w:r>
      <w:r w:rsidR="00C11A4F">
        <w:rPr>
          <w:rFonts w:cs="Times New Roman"/>
          <w:i/>
          <w:szCs w:val="24"/>
        </w:rPr>
        <w:t xml:space="preserve">will </w:t>
      </w:r>
      <w:r w:rsidR="001A6C14">
        <w:rPr>
          <w:rFonts w:cs="Times New Roman"/>
          <w:i/>
          <w:szCs w:val="24"/>
        </w:rPr>
        <w:t>be used in this research.</w:t>
      </w:r>
    </w:p>
    <w:p w14:paraId="4EB0987D" w14:textId="77777777" w:rsidR="0046305A" w:rsidRPr="00103203" w:rsidRDefault="0046305A" w:rsidP="0046305A">
      <w:pPr>
        <w:spacing w:line="480" w:lineRule="auto"/>
        <w:ind w:left="720" w:right="680"/>
        <w:rPr>
          <w:rFonts w:cs="Times New Roman"/>
          <w:i/>
          <w:sz w:val="20"/>
          <w:szCs w:val="24"/>
        </w:rPr>
      </w:pPr>
      <w:r>
        <w:rPr>
          <w:rFonts w:cs="Times New Roman"/>
          <w:i/>
          <w:szCs w:val="24"/>
        </w:rPr>
        <w:t xml:space="preserve"> </w:t>
      </w:r>
    </w:p>
    <w:p w14:paraId="67D6DBEF" w14:textId="565723D2" w:rsidR="003E11A9" w:rsidRPr="00AC1055" w:rsidRDefault="003E11A9" w:rsidP="00AC1055">
      <w:pPr>
        <w:spacing w:line="480" w:lineRule="auto"/>
        <w:rPr>
          <w:rFonts w:cs="Times New Roman"/>
          <w:szCs w:val="24"/>
        </w:rPr>
      </w:pPr>
      <w:r w:rsidRPr="00AC1055">
        <w:rPr>
          <w:rFonts w:cs="Times New Roman"/>
          <w:szCs w:val="24"/>
        </w:rPr>
        <w:t xml:space="preserve">While </w:t>
      </w:r>
      <w:r w:rsidR="00C11A4F">
        <w:rPr>
          <w:rFonts w:cs="Times New Roman"/>
          <w:szCs w:val="24"/>
        </w:rPr>
        <w:t xml:space="preserve">the </w:t>
      </w:r>
      <w:r w:rsidRPr="00AC1055">
        <w:rPr>
          <w:rFonts w:cs="Times New Roman"/>
          <w:szCs w:val="24"/>
        </w:rPr>
        <w:t xml:space="preserve">origins of corporate governance can be traced back to Adam Smith in </w:t>
      </w:r>
      <w:r w:rsidR="00C11A4F">
        <w:rPr>
          <w:rFonts w:cs="Times New Roman"/>
          <w:szCs w:val="24"/>
        </w:rPr>
        <w:t xml:space="preserve">the </w:t>
      </w:r>
      <w:r w:rsidRPr="00AC1055">
        <w:rPr>
          <w:rFonts w:cs="Times New Roman"/>
          <w:szCs w:val="24"/>
        </w:rPr>
        <w:t>18</w:t>
      </w:r>
      <w:r w:rsidRPr="00AC1055">
        <w:rPr>
          <w:rFonts w:cs="Times New Roman"/>
          <w:szCs w:val="24"/>
          <w:vertAlign w:val="superscript"/>
        </w:rPr>
        <w:t>th</w:t>
      </w:r>
      <w:r w:rsidRPr="00AC1055">
        <w:rPr>
          <w:rFonts w:cs="Times New Roman"/>
          <w:szCs w:val="24"/>
        </w:rPr>
        <w:t xml:space="preserve"> century,</w:t>
      </w:r>
      <w:r w:rsidRPr="00AC1055">
        <w:rPr>
          <w:rFonts w:cs="Times New Roman"/>
          <w:szCs w:val="24"/>
          <w:vertAlign w:val="superscript"/>
        </w:rPr>
        <w:footnoteReference w:id="4"/>
      </w:r>
      <w:r w:rsidRPr="00AC1055">
        <w:rPr>
          <w:rFonts w:cs="Times New Roman"/>
          <w:szCs w:val="24"/>
        </w:rPr>
        <w:t xml:space="preserve"> empirical research on corporate governance began in 1932 with the publication of </w:t>
      </w:r>
      <w:r w:rsidRPr="00AC1055">
        <w:rPr>
          <w:rFonts w:cs="Times New Roman"/>
          <w:i/>
          <w:szCs w:val="24"/>
        </w:rPr>
        <w:t>The Modern Corporation and Private Property</w:t>
      </w:r>
      <w:r w:rsidRPr="00AC1055">
        <w:rPr>
          <w:rFonts w:cs="Times New Roman"/>
          <w:szCs w:val="24"/>
        </w:rPr>
        <w:t>. In this book</w:t>
      </w:r>
      <w:r w:rsidR="00C11A4F">
        <w:rPr>
          <w:rFonts w:cs="Times New Roman"/>
          <w:szCs w:val="24"/>
        </w:rPr>
        <w:t>,</w:t>
      </w:r>
      <w:r w:rsidRPr="00AC1055">
        <w:rPr>
          <w:rFonts w:cs="Times New Roman"/>
          <w:szCs w:val="24"/>
        </w:rPr>
        <w:t xml:space="preserve"> through quantitative analysis</w:t>
      </w:r>
      <w:r w:rsidR="00C11A4F">
        <w:rPr>
          <w:rFonts w:cs="Times New Roman"/>
          <w:szCs w:val="24"/>
        </w:rPr>
        <w:t>,</w:t>
      </w:r>
      <w:r w:rsidRPr="00AC1055">
        <w:rPr>
          <w:rFonts w:cs="Times New Roman"/>
          <w:szCs w:val="24"/>
        </w:rPr>
        <w:t xml:space="preserve"> the authors Adolf </w:t>
      </w:r>
      <w:proofErr w:type="spellStart"/>
      <w:r w:rsidRPr="00AC1055">
        <w:rPr>
          <w:rFonts w:cs="Times New Roman"/>
          <w:szCs w:val="24"/>
        </w:rPr>
        <w:t>Berle</w:t>
      </w:r>
      <w:proofErr w:type="spellEnd"/>
      <w:r w:rsidRPr="00AC1055">
        <w:rPr>
          <w:rFonts w:cs="Times New Roman"/>
          <w:szCs w:val="24"/>
        </w:rPr>
        <w:t xml:space="preserve"> and Gardiner Means showed that due to </w:t>
      </w:r>
      <w:r w:rsidR="00C11A4F">
        <w:rPr>
          <w:rFonts w:cs="Times New Roman"/>
          <w:szCs w:val="24"/>
        </w:rPr>
        <w:t xml:space="preserve">the </w:t>
      </w:r>
      <w:r w:rsidRPr="00AC1055">
        <w:rPr>
          <w:rFonts w:cs="Times New Roman"/>
          <w:szCs w:val="24"/>
        </w:rPr>
        <w:t>wide dispersal of ownership it was possible for a small class of managers, with ver</w:t>
      </w:r>
      <w:r w:rsidR="00D23C88" w:rsidRPr="00AC1055">
        <w:rPr>
          <w:rFonts w:cs="Times New Roman"/>
          <w:szCs w:val="24"/>
        </w:rPr>
        <w:t>y little share ownership, to effectively control</w:t>
      </w:r>
      <w:r w:rsidRPr="00AC1055">
        <w:rPr>
          <w:rFonts w:cs="Times New Roman"/>
          <w:szCs w:val="24"/>
        </w:rPr>
        <w:t xml:space="preserve"> the entire company. Though they did not code for the systems of governance, more importantly they showed that </w:t>
      </w:r>
      <w:r w:rsidR="0005641B">
        <w:rPr>
          <w:rFonts w:cs="Times New Roman"/>
          <w:szCs w:val="24"/>
        </w:rPr>
        <w:t xml:space="preserve">the </w:t>
      </w:r>
      <w:r w:rsidRPr="00AC1055">
        <w:rPr>
          <w:rFonts w:cs="Times New Roman"/>
          <w:szCs w:val="24"/>
        </w:rPr>
        <w:lastRenderedPageBreak/>
        <w:t>impact of corporate governance can be coded from primary effects like board structure and ownership patterns.</w:t>
      </w:r>
      <w:r w:rsidRPr="00AC1055">
        <w:rPr>
          <w:rFonts w:cs="Times New Roman"/>
          <w:szCs w:val="24"/>
          <w:vertAlign w:val="superscript"/>
        </w:rPr>
        <w:footnoteReference w:id="5"/>
      </w:r>
      <w:r w:rsidRPr="00AC1055">
        <w:rPr>
          <w:rFonts w:cs="Times New Roman"/>
          <w:szCs w:val="24"/>
        </w:rPr>
        <w:t xml:space="preserve"> </w:t>
      </w:r>
    </w:p>
    <w:p w14:paraId="38C04893" w14:textId="7DE726CB" w:rsidR="003E11A9" w:rsidRPr="00AC1055" w:rsidRDefault="003E11A9" w:rsidP="00AC1055">
      <w:pPr>
        <w:spacing w:line="480" w:lineRule="auto"/>
        <w:rPr>
          <w:rFonts w:cs="Times New Roman"/>
          <w:szCs w:val="24"/>
        </w:rPr>
      </w:pPr>
      <w:r w:rsidRPr="00AC1055">
        <w:rPr>
          <w:rFonts w:cs="Times New Roman"/>
          <w:szCs w:val="24"/>
        </w:rPr>
        <w:t xml:space="preserve">However, in spite of such pioneering work in the early days of law and finance, </w:t>
      </w:r>
      <w:r w:rsidR="0005641B">
        <w:rPr>
          <w:rFonts w:cs="Times New Roman"/>
          <w:szCs w:val="24"/>
        </w:rPr>
        <w:t xml:space="preserve">until </w:t>
      </w:r>
      <w:r w:rsidRPr="00AC1055">
        <w:rPr>
          <w:rFonts w:cs="Times New Roman"/>
          <w:szCs w:val="24"/>
        </w:rPr>
        <w:t xml:space="preserve">recently little effort was expended on quantitative research in comparative corporate governance. One major reason that </w:t>
      </w:r>
      <w:r w:rsidR="0005641B">
        <w:rPr>
          <w:rFonts w:cs="Times New Roman"/>
          <w:szCs w:val="24"/>
        </w:rPr>
        <w:t>could be suggested</w:t>
      </w:r>
      <w:r w:rsidRPr="00AC1055">
        <w:rPr>
          <w:rFonts w:cs="Times New Roman"/>
          <w:szCs w:val="24"/>
        </w:rPr>
        <w:t xml:space="preserve"> </w:t>
      </w:r>
      <w:r w:rsidR="0005641B">
        <w:rPr>
          <w:rFonts w:cs="Times New Roman"/>
          <w:szCs w:val="24"/>
        </w:rPr>
        <w:t>for</w:t>
      </w:r>
      <w:r w:rsidR="0005641B" w:rsidRPr="00AC1055">
        <w:rPr>
          <w:rFonts w:cs="Times New Roman"/>
          <w:szCs w:val="24"/>
        </w:rPr>
        <w:t xml:space="preserve"> </w:t>
      </w:r>
      <w:r w:rsidRPr="00AC1055">
        <w:rPr>
          <w:rFonts w:cs="Times New Roman"/>
          <w:szCs w:val="24"/>
        </w:rPr>
        <w:t xml:space="preserve">this trend is that the comparative study of corporate governance, before 1990, was limited to four major countries – </w:t>
      </w:r>
      <w:r w:rsidR="0005641B">
        <w:rPr>
          <w:rFonts w:cs="Times New Roman"/>
          <w:szCs w:val="24"/>
        </w:rPr>
        <w:t xml:space="preserve">the </w:t>
      </w:r>
      <w:r w:rsidRPr="00AC1055">
        <w:rPr>
          <w:rFonts w:cs="Times New Roman"/>
          <w:szCs w:val="24"/>
        </w:rPr>
        <w:t xml:space="preserve">United States of America, </w:t>
      </w:r>
      <w:r w:rsidR="0005641B">
        <w:rPr>
          <w:rFonts w:cs="Times New Roman"/>
          <w:szCs w:val="24"/>
        </w:rPr>
        <w:t xml:space="preserve">the </w:t>
      </w:r>
      <w:r w:rsidRPr="00AC1055">
        <w:rPr>
          <w:rFonts w:cs="Times New Roman"/>
          <w:szCs w:val="24"/>
        </w:rPr>
        <w:t>United Kingdom, Germany and Japan.</w:t>
      </w:r>
      <w:r w:rsidRPr="00AC1055">
        <w:rPr>
          <w:rFonts w:cs="Times New Roman"/>
          <w:szCs w:val="24"/>
          <w:vertAlign w:val="superscript"/>
        </w:rPr>
        <w:footnoteReference w:id="6"/>
      </w:r>
      <w:r w:rsidRPr="00AC1055">
        <w:rPr>
          <w:rFonts w:cs="Times New Roman"/>
          <w:szCs w:val="24"/>
        </w:rPr>
        <w:t xml:space="preserve"> And given the low number of jurisdictions studied, these research</w:t>
      </w:r>
      <w:r w:rsidR="0005641B">
        <w:rPr>
          <w:rFonts w:cs="Times New Roman"/>
          <w:szCs w:val="24"/>
        </w:rPr>
        <w:t xml:space="preserve"> projects</w:t>
      </w:r>
      <w:r w:rsidRPr="00AC1055">
        <w:rPr>
          <w:rFonts w:cs="Times New Roman"/>
          <w:szCs w:val="24"/>
        </w:rPr>
        <w:t xml:space="preserve"> focused on a qualitative comparison rather than a quantitative one. The other reason that can be ascribed to low academic output in quantitative corporate governance research was the unavailability of an acceptable uniform standard to judge the law and policy adopted by different countries. This was remedied to an extent in 1992 by </w:t>
      </w:r>
      <w:r w:rsidR="0005641B">
        <w:rPr>
          <w:rFonts w:cs="Times New Roman"/>
          <w:szCs w:val="24"/>
        </w:rPr>
        <w:t xml:space="preserve">the </w:t>
      </w:r>
      <w:r w:rsidRPr="00AC1055">
        <w:rPr>
          <w:rFonts w:cs="Times New Roman"/>
          <w:szCs w:val="24"/>
        </w:rPr>
        <w:t xml:space="preserve">publication of </w:t>
      </w:r>
      <w:r w:rsidR="0005641B">
        <w:rPr>
          <w:rFonts w:cs="Times New Roman"/>
          <w:szCs w:val="24"/>
        </w:rPr>
        <w:t xml:space="preserve">the </w:t>
      </w:r>
      <w:r w:rsidRPr="00AC1055">
        <w:rPr>
          <w:rFonts w:cs="Times New Roman"/>
          <w:szCs w:val="24"/>
        </w:rPr>
        <w:t>Cadbury Report,</w:t>
      </w:r>
      <w:r w:rsidRPr="00AC1055">
        <w:rPr>
          <w:rFonts w:cs="Times New Roman"/>
          <w:szCs w:val="24"/>
          <w:vertAlign w:val="superscript"/>
        </w:rPr>
        <w:footnoteReference w:id="7"/>
      </w:r>
      <w:r w:rsidRPr="00AC1055">
        <w:rPr>
          <w:rFonts w:cs="Times New Roman"/>
          <w:szCs w:val="24"/>
        </w:rPr>
        <w:t xml:space="preserve"> which acted as a catalyst for a spate of academic papers on how countries fared in shareholder and investor rights.</w:t>
      </w:r>
      <w:r w:rsidRPr="00AC1055">
        <w:rPr>
          <w:rFonts w:cs="Times New Roman"/>
          <w:szCs w:val="24"/>
          <w:vertAlign w:val="superscript"/>
        </w:rPr>
        <w:footnoteReference w:id="8"/>
      </w:r>
    </w:p>
    <w:p w14:paraId="43AD06B2" w14:textId="6AC3A226" w:rsidR="003E11A9" w:rsidRPr="00AC1055" w:rsidRDefault="008213BE" w:rsidP="00AC1055">
      <w:pPr>
        <w:spacing w:line="480" w:lineRule="auto"/>
        <w:rPr>
          <w:rFonts w:cs="Times New Roman"/>
          <w:szCs w:val="24"/>
        </w:rPr>
      </w:pPr>
      <w:r w:rsidRPr="00AC1055">
        <w:rPr>
          <w:rFonts w:cs="Times New Roman"/>
          <w:szCs w:val="24"/>
        </w:rPr>
        <w:t xml:space="preserve">Before mid-1990s </w:t>
      </w:r>
      <w:r w:rsidR="003E11A9" w:rsidRPr="00AC1055">
        <w:rPr>
          <w:rFonts w:cs="Times New Roman"/>
          <w:szCs w:val="24"/>
        </w:rPr>
        <w:t xml:space="preserve">‘no systematic data [were] available on what the legal rules pertaining to corporate governance are around the world, how well these rules are </w:t>
      </w:r>
      <w:r w:rsidR="003E11A9" w:rsidRPr="00AC1055">
        <w:rPr>
          <w:rFonts w:cs="Times New Roman"/>
          <w:szCs w:val="24"/>
        </w:rPr>
        <w:lastRenderedPageBreak/>
        <w:t>enforced in different countries, and what effect these rules have.’</w:t>
      </w:r>
      <w:r w:rsidR="003E11A9" w:rsidRPr="00AC1055">
        <w:rPr>
          <w:rFonts w:cs="Times New Roman"/>
          <w:szCs w:val="24"/>
          <w:vertAlign w:val="superscript"/>
        </w:rPr>
        <w:footnoteReference w:id="9"/>
      </w:r>
      <w:r w:rsidR="003E11A9" w:rsidRPr="00AC1055">
        <w:rPr>
          <w:rFonts w:cs="Times New Roman"/>
          <w:szCs w:val="24"/>
        </w:rPr>
        <w:t xml:space="preserve"> This logjam was broken by a serie</w:t>
      </w:r>
      <w:r w:rsidR="00D23C88" w:rsidRPr="00AC1055">
        <w:rPr>
          <w:rFonts w:cs="Times New Roman"/>
          <w:szCs w:val="24"/>
        </w:rPr>
        <w:t xml:space="preserve">s of seminal papers from </w:t>
      </w:r>
      <w:r w:rsidR="003E11A9" w:rsidRPr="00AC1055">
        <w:rPr>
          <w:rFonts w:cs="Times New Roman"/>
          <w:szCs w:val="24"/>
        </w:rPr>
        <w:t>La Porta et al.</w:t>
      </w:r>
      <w:r w:rsidR="00D23C88" w:rsidRPr="00AC1055">
        <w:rPr>
          <w:rFonts w:cs="Times New Roman"/>
          <w:szCs w:val="24"/>
        </w:rPr>
        <w:t>,</w:t>
      </w:r>
      <w:r w:rsidR="003E11A9" w:rsidRPr="00AC1055">
        <w:rPr>
          <w:rFonts w:cs="Times New Roman"/>
          <w:szCs w:val="24"/>
          <w:vertAlign w:val="superscript"/>
        </w:rPr>
        <w:footnoteReference w:id="10"/>
      </w:r>
      <w:r w:rsidR="003E11A9" w:rsidRPr="00AC1055">
        <w:rPr>
          <w:rFonts w:cs="Times New Roman"/>
          <w:szCs w:val="24"/>
        </w:rPr>
        <w:t xml:space="preserve"> where with the aid of quantitative coding of corporate governance for comparative cross country studies</w:t>
      </w:r>
      <w:r w:rsidR="0005641B">
        <w:rPr>
          <w:rFonts w:cs="Times New Roman"/>
          <w:szCs w:val="24"/>
        </w:rPr>
        <w:t>,</w:t>
      </w:r>
      <w:r w:rsidR="003E11A9" w:rsidRPr="00AC1055">
        <w:rPr>
          <w:rFonts w:cs="Times New Roman"/>
          <w:szCs w:val="24"/>
        </w:rPr>
        <w:t xml:space="preserve"> they examined </w:t>
      </w:r>
      <w:r w:rsidR="00DB579C">
        <w:rPr>
          <w:rFonts w:cs="Times New Roman"/>
          <w:szCs w:val="24"/>
        </w:rPr>
        <w:t>‘</w:t>
      </w:r>
      <w:r w:rsidR="003E11A9" w:rsidRPr="00AC1055">
        <w:rPr>
          <w:rFonts w:cs="Times New Roman"/>
          <w:szCs w:val="24"/>
        </w:rPr>
        <w:t xml:space="preserve">how laws protecting investors differ across countries, how </w:t>
      </w:r>
      <w:r w:rsidR="0005641B">
        <w:rPr>
          <w:rFonts w:cs="Times New Roman"/>
          <w:szCs w:val="24"/>
        </w:rPr>
        <w:t xml:space="preserve">the </w:t>
      </w:r>
      <w:r w:rsidR="003E11A9" w:rsidRPr="00AC1055">
        <w:rPr>
          <w:rFonts w:cs="Times New Roman"/>
          <w:szCs w:val="24"/>
        </w:rPr>
        <w:t>quality of enforcement of these laws varies, and whether these variations matter for investment patterns around the world.</w:t>
      </w:r>
      <w:r w:rsidR="00DB579C">
        <w:rPr>
          <w:rFonts w:cs="Times New Roman"/>
          <w:szCs w:val="24"/>
        </w:rPr>
        <w:t>’</w:t>
      </w:r>
      <w:r w:rsidR="003E11A9" w:rsidRPr="00AC1055">
        <w:rPr>
          <w:rFonts w:cs="Times New Roman"/>
          <w:szCs w:val="24"/>
        </w:rPr>
        <w:t xml:space="preserve"> </w:t>
      </w:r>
    </w:p>
    <w:p w14:paraId="2E6B8446" w14:textId="71E7BDC3" w:rsidR="003E11A9" w:rsidRPr="00AC1055" w:rsidRDefault="003E11A9" w:rsidP="00AC1055">
      <w:pPr>
        <w:spacing w:line="480" w:lineRule="auto"/>
        <w:rPr>
          <w:rFonts w:cs="Times New Roman"/>
          <w:szCs w:val="24"/>
        </w:rPr>
      </w:pPr>
      <w:r w:rsidRPr="00AC1055">
        <w:rPr>
          <w:rFonts w:cs="Times New Roman"/>
          <w:szCs w:val="24"/>
        </w:rPr>
        <w:t>In their 1996 NBER working paper</w:t>
      </w:r>
      <w:r w:rsidR="0005641B">
        <w:rPr>
          <w:rFonts w:cs="Times New Roman"/>
          <w:szCs w:val="24"/>
        </w:rPr>
        <w:t>,</w:t>
      </w:r>
      <w:r w:rsidRPr="00AC1055">
        <w:rPr>
          <w:rFonts w:cs="Times New Roman"/>
          <w:szCs w:val="24"/>
        </w:rPr>
        <w:t xml:space="preserve"> La Porta et al., focussed on </w:t>
      </w:r>
      <w:r w:rsidR="00476D65">
        <w:rPr>
          <w:rFonts w:cs="Times New Roman"/>
          <w:szCs w:val="24"/>
        </w:rPr>
        <w:t xml:space="preserve">the </w:t>
      </w:r>
      <w:r w:rsidRPr="00AC1055">
        <w:rPr>
          <w:rFonts w:cs="Times New Roman"/>
          <w:szCs w:val="24"/>
        </w:rPr>
        <w:t xml:space="preserve">rights of investors vis-à-vis </w:t>
      </w:r>
      <w:r w:rsidR="0005641B">
        <w:rPr>
          <w:rFonts w:cs="Times New Roman"/>
          <w:szCs w:val="24"/>
        </w:rPr>
        <w:t xml:space="preserve">the </w:t>
      </w:r>
      <w:r w:rsidRPr="00AC1055">
        <w:rPr>
          <w:rFonts w:cs="Times New Roman"/>
          <w:szCs w:val="24"/>
        </w:rPr>
        <w:t xml:space="preserve">power of management by coding for the following broad heads - voting powers, ease of participation in corporate voting, legal protection against expropriation by management, respect for </w:t>
      </w:r>
      <w:r w:rsidR="00476D65">
        <w:rPr>
          <w:rFonts w:cs="Times New Roman"/>
          <w:szCs w:val="24"/>
        </w:rPr>
        <w:t xml:space="preserve">the </w:t>
      </w:r>
      <w:r w:rsidRPr="00AC1055">
        <w:rPr>
          <w:rFonts w:cs="Times New Roman"/>
          <w:szCs w:val="24"/>
        </w:rPr>
        <w:t>security of the loan, the ability to grab assets in case of a loan default, and the inability of management to seek protection from creditors unilaterally.</w:t>
      </w:r>
      <w:r w:rsidRPr="00AC1055">
        <w:rPr>
          <w:rFonts w:cs="Times New Roman"/>
          <w:szCs w:val="24"/>
          <w:vertAlign w:val="superscript"/>
        </w:rPr>
        <w:footnoteReference w:id="11"/>
      </w:r>
      <w:r w:rsidRPr="00AC1055">
        <w:rPr>
          <w:rFonts w:cs="Times New Roman"/>
          <w:szCs w:val="24"/>
        </w:rPr>
        <w:t xml:space="preserve"> </w:t>
      </w:r>
      <w:r w:rsidR="009B4FAE">
        <w:rPr>
          <w:rFonts w:cs="Times New Roman"/>
          <w:szCs w:val="24"/>
        </w:rPr>
        <w:t>La Porta et al</w:t>
      </w:r>
      <w:r w:rsidR="00DD2FE2">
        <w:rPr>
          <w:rFonts w:cs="Times New Roman"/>
          <w:szCs w:val="24"/>
        </w:rPr>
        <w:t>.</w:t>
      </w:r>
      <w:r w:rsidR="009B4FAE" w:rsidRPr="00AC1055">
        <w:rPr>
          <w:rFonts w:cs="Times New Roman"/>
          <w:szCs w:val="24"/>
        </w:rPr>
        <w:t xml:space="preserve"> </w:t>
      </w:r>
      <w:r w:rsidRPr="00AC1055">
        <w:rPr>
          <w:rFonts w:cs="Times New Roman"/>
          <w:szCs w:val="24"/>
        </w:rPr>
        <w:t>coded for 24 individual factors out of which 14 factors are directly related to corporate governance, 2 are incidental and the rest are not related to the core issues of corporate governance. The 16 factors coded by La Porta et al.</w:t>
      </w:r>
      <w:r w:rsidRPr="00AC1055">
        <w:rPr>
          <w:rFonts w:cs="Times New Roman"/>
          <w:szCs w:val="24"/>
          <w:vertAlign w:val="superscript"/>
        </w:rPr>
        <w:footnoteReference w:id="12"/>
      </w:r>
      <w:r w:rsidRPr="00AC1055">
        <w:rPr>
          <w:rFonts w:cs="Times New Roman"/>
          <w:szCs w:val="24"/>
        </w:rPr>
        <w:t xml:space="preserve"> were one share-one vote,</w:t>
      </w:r>
      <w:r w:rsidRPr="00AC1055">
        <w:rPr>
          <w:rFonts w:cs="Times New Roman"/>
          <w:szCs w:val="24"/>
          <w:vertAlign w:val="superscript"/>
        </w:rPr>
        <w:footnoteReference w:id="13"/>
      </w:r>
      <w:r w:rsidRPr="00AC1055">
        <w:rPr>
          <w:rFonts w:cs="Times New Roman"/>
          <w:szCs w:val="24"/>
        </w:rPr>
        <w:t xml:space="preserve"> proxy by mail,</w:t>
      </w:r>
      <w:r w:rsidRPr="00AC1055">
        <w:rPr>
          <w:rFonts w:cs="Times New Roman"/>
          <w:szCs w:val="24"/>
          <w:vertAlign w:val="superscript"/>
        </w:rPr>
        <w:footnoteReference w:id="14"/>
      </w:r>
      <w:r w:rsidRPr="00AC1055">
        <w:rPr>
          <w:rFonts w:cs="Times New Roman"/>
          <w:szCs w:val="24"/>
        </w:rPr>
        <w:t xml:space="preserve"> shares not blocked before meeting,</w:t>
      </w:r>
      <w:r w:rsidRPr="00AC1055">
        <w:rPr>
          <w:rFonts w:cs="Times New Roman"/>
          <w:szCs w:val="24"/>
          <w:vertAlign w:val="superscript"/>
        </w:rPr>
        <w:footnoteReference w:id="15"/>
      </w:r>
      <w:r w:rsidRPr="00AC1055">
        <w:rPr>
          <w:rFonts w:cs="Times New Roman"/>
          <w:szCs w:val="24"/>
        </w:rPr>
        <w:t xml:space="preserve"> cumulative voting or proportional representation,</w:t>
      </w:r>
      <w:r w:rsidRPr="00AC1055">
        <w:rPr>
          <w:rFonts w:cs="Times New Roman"/>
          <w:szCs w:val="24"/>
          <w:vertAlign w:val="superscript"/>
        </w:rPr>
        <w:footnoteReference w:id="16"/>
      </w:r>
      <w:r w:rsidR="00476D65">
        <w:rPr>
          <w:rFonts w:cs="Times New Roman"/>
          <w:szCs w:val="24"/>
        </w:rPr>
        <w:t xml:space="preserve"> the</w:t>
      </w:r>
      <w:r w:rsidRPr="00AC1055">
        <w:rPr>
          <w:rFonts w:cs="Times New Roman"/>
          <w:szCs w:val="24"/>
        </w:rPr>
        <w:t xml:space="preserve"> </w:t>
      </w:r>
      <w:r w:rsidRPr="00AC1055">
        <w:rPr>
          <w:rFonts w:cs="Times New Roman"/>
          <w:szCs w:val="24"/>
        </w:rPr>
        <w:lastRenderedPageBreak/>
        <w:t>oppressed minorities mechanism,</w:t>
      </w:r>
      <w:r w:rsidRPr="00AC1055">
        <w:rPr>
          <w:rFonts w:cs="Times New Roman"/>
          <w:szCs w:val="24"/>
          <w:vertAlign w:val="superscript"/>
        </w:rPr>
        <w:footnoteReference w:id="17"/>
      </w:r>
      <w:r w:rsidRPr="00AC1055">
        <w:rPr>
          <w:rFonts w:cs="Times New Roman"/>
          <w:szCs w:val="24"/>
        </w:rPr>
        <w:t xml:space="preserve"> percentage of share capital </w:t>
      </w:r>
      <w:r w:rsidR="00476D65">
        <w:rPr>
          <w:rFonts w:cs="Times New Roman"/>
          <w:szCs w:val="24"/>
        </w:rPr>
        <w:t xml:space="preserve">necessary </w:t>
      </w:r>
      <w:r w:rsidRPr="00AC1055">
        <w:rPr>
          <w:rFonts w:cs="Times New Roman"/>
          <w:szCs w:val="24"/>
        </w:rPr>
        <w:t xml:space="preserve">to call </w:t>
      </w:r>
      <w:r w:rsidR="00476D65">
        <w:rPr>
          <w:rFonts w:cs="Times New Roman"/>
          <w:szCs w:val="24"/>
        </w:rPr>
        <w:t xml:space="preserve">an </w:t>
      </w:r>
      <w:r w:rsidR="009B4FAE">
        <w:rPr>
          <w:rFonts w:cs="Times New Roman"/>
          <w:szCs w:val="24"/>
        </w:rPr>
        <w:t>e</w:t>
      </w:r>
      <w:r w:rsidRPr="00AC1055">
        <w:rPr>
          <w:rFonts w:cs="Times New Roman"/>
          <w:szCs w:val="24"/>
        </w:rPr>
        <w:t>xtraordinary general meeting (EGM),</w:t>
      </w:r>
      <w:r w:rsidRPr="00AC1055">
        <w:rPr>
          <w:rFonts w:cs="Times New Roman"/>
          <w:szCs w:val="24"/>
          <w:vertAlign w:val="superscript"/>
        </w:rPr>
        <w:footnoteReference w:id="18"/>
      </w:r>
      <w:r w:rsidRPr="00AC1055">
        <w:rPr>
          <w:rFonts w:cs="Times New Roman"/>
          <w:szCs w:val="24"/>
        </w:rPr>
        <w:t xml:space="preserve"> anti-directors rights,</w:t>
      </w:r>
      <w:r w:rsidRPr="00AC1055">
        <w:rPr>
          <w:rFonts w:cs="Times New Roman"/>
          <w:szCs w:val="24"/>
          <w:vertAlign w:val="superscript"/>
        </w:rPr>
        <w:footnoteReference w:id="19"/>
      </w:r>
      <w:r w:rsidRPr="00AC1055">
        <w:rPr>
          <w:rFonts w:cs="Times New Roman"/>
          <w:szCs w:val="24"/>
        </w:rPr>
        <w:t xml:space="preserve"> mandatory dividend,</w:t>
      </w:r>
      <w:r w:rsidRPr="00AC1055">
        <w:rPr>
          <w:rFonts w:cs="Times New Roman"/>
          <w:szCs w:val="24"/>
          <w:vertAlign w:val="superscript"/>
        </w:rPr>
        <w:footnoteReference w:id="20"/>
      </w:r>
      <w:r w:rsidRPr="00AC1055">
        <w:rPr>
          <w:rFonts w:cs="Times New Roman"/>
          <w:szCs w:val="24"/>
        </w:rPr>
        <w:t xml:space="preserve"> restrictions on filing a reorganisation petition,</w:t>
      </w:r>
      <w:r w:rsidRPr="00AC1055">
        <w:rPr>
          <w:rFonts w:cs="Times New Roman"/>
          <w:szCs w:val="24"/>
          <w:vertAlign w:val="superscript"/>
        </w:rPr>
        <w:footnoteReference w:id="21"/>
      </w:r>
      <w:r w:rsidRPr="00AC1055">
        <w:rPr>
          <w:rFonts w:cs="Times New Roman"/>
          <w:szCs w:val="24"/>
        </w:rPr>
        <w:t xml:space="preserve"> automatic stay on secured assets,</w:t>
      </w:r>
      <w:r w:rsidRPr="00AC1055">
        <w:rPr>
          <w:rFonts w:cs="Times New Roman"/>
          <w:szCs w:val="24"/>
          <w:vertAlign w:val="superscript"/>
        </w:rPr>
        <w:footnoteReference w:id="22"/>
      </w:r>
      <w:r w:rsidRPr="00AC1055">
        <w:rPr>
          <w:rFonts w:cs="Times New Roman"/>
          <w:szCs w:val="24"/>
        </w:rPr>
        <w:t xml:space="preserve"> secured Creditors first,</w:t>
      </w:r>
      <w:r w:rsidRPr="00AC1055">
        <w:rPr>
          <w:rFonts w:cs="Times New Roman"/>
          <w:szCs w:val="24"/>
          <w:vertAlign w:val="superscript"/>
        </w:rPr>
        <w:footnoteReference w:id="23"/>
      </w:r>
      <w:r w:rsidRPr="00AC1055">
        <w:rPr>
          <w:rFonts w:cs="Times New Roman"/>
          <w:szCs w:val="24"/>
        </w:rPr>
        <w:t xml:space="preserve"> management stays,</w:t>
      </w:r>
      <w:r w:rsidRPr="00AC1055">
        <w:rPr>
          <w:rFonts w:cs="Times New Roman"/>
          <w:szCs w:val="24"/>
          <w:vertAlign w:val="superscript"/>
        </w:rPr>
        <w:footnoteReference w:id="24"/>
      </w:r>
      <w:r w:rsidRPr="00AC1055">
        <w:rPr>
          <w:rFonts w:cs="Times New Roman"/>
          <w:szCs w:val="24"/>
        </w:rPr>
        <w:t xml:space="preserve"> legal Reserve,</w:t>
      </w:r>
      <w:r w:rsidRPr="00AC1055">
        <w:rPr>
          <w:rFonts w:cs="Times New Roman"/>
          <w:szCs w:val="24"/>
          <w:vertAlign w:val="superscript"/>
        </w:rPr>
        <w:footnoteReference w:id="25"/>
      </w:r>
      <w:r w:rsidRPr="00AC1055">
        <w:rPr>
          <w:rFonts w:cs="Times New Roman"/>
          <w:szCs w:val="24"/>
        </w:rPr>
        <w:t xml:space="preserve"> risk of expropriation,</w:t>
      </w:r>
      <w:r w:rsidRPr="00AC1055">
        <w:rPr>
          <w:rFonts w:cs="Times New Roman"/>
          <w:szCs w:val="24"/>
          <w:vertAlign w:val="superscript"/>
        </w:rPr>
        <w:footnoteReference w:id="26"/>
      </w:r>
      <w:r w:rsidRPr="00AC1055">
        <w:rPr>
          <w:rFonts w:cs="Times New Roman"/>
          <w:szCs w:val="24"/>
        </w:rPr>
        <w:t xml:space="preserve"> accounting standards,</w:t>
      </w:r>
      <w:r w:rsidRPr="00AC1055">
        <w:rPr>
          <w:rFonts w:cs="Times New Roman"/>
          <w:szCs w:val="24"/>
          <w:vertAlign w:val="superscript"/>
        </w:rPr>
        <w:footnoteReference w:id="27"/>
      </w:r>
      <w:r w:rsidRPr="00AC1055">
        <w:rPr>
          <w:rFonts w:cs="Times New Roman"/>
          <w:szCs w:val="24"/>
        </w:rPr>
        <w:t xml:space="preserve"> and repudiation of contracts by </w:t>
      </w:r>
      <w:r w:rsidR="00476D65">
        <w:rPr>
          <w:rFonts w:cs="Times New Roman"/>
          <w:szCs w:val="24"/>
        </w:rPr>
        <w:t xml:space="preserve">the </w:t>
      </w:r>
      <w:r w:rsidRPr="00AC1055">
        <w:rPr>
          <w:rFonts w:cs="Times New Roman"/>
          <w:szCs w:val="24"/>
        </w:rPr>
        <w:t>government.</w:t>
      </w:r>
      <w:r w:rsidRPr="00AC1055">
        <w:rPr>
          <w:rFonts w:cs="Times New Roman"/>
          <w:szCs w:val="24"/>
          <w:vertAlign w:val="superscript"/>
        </w:rPr>
        <w:footnoteReference w:id="28"/>
      </w:r>
    </w:p>
    <w:p w14:paraId="6DBE32EA" w14:textId="45467DF4" w:rsidR="003E11A9" w:rsidRPr="00AC1055" w:rsidRDefault="003E11A9" w:rsidP="00AC1055">
      <w:pPr>
        <w:spacing w:line="480" w:lineRule="auto"/>
        <w:rPr>
          <w:rFonts w:cs="Times New Roman"/>
          <w:szCs w:val="24"/>
        </w:rPr>
      </w:pPr>
      <w:r w:rsidRPr="00AC1055">
        <w:rPr>
          <w:rFonts w:cs="Times New Roman"/>
          <w:szCs w:val="24"/>
        </w:rPr>
        <w:lastRenderedPageBreak/>
        <w:t>In their published papers of 1997 and 1998 La Porta et al.,</w:t>
      </w:r>
      <w:r w:rsidRPr="00AC1055">
        <w:rPr>
          <w:rFonts w:cs="Times New Roman"/>
          <w:szCs w:val="24"/>
          <w:vertAlign w:val="superscript"/>
        </w:rPr>
        <w:footnoteReference w:id="29"/>
      </w:r>
      <w:r w:rsidRPr="00AC1055">
        <w:rPr>
          <w:rFonts w:cs="Times New Roman"/>
          <w:szCs w:val="24"/>
        </w:rPr>
        <w:t xml:space="preserve"> improved upon their coding and added few more variables. The anti-director rights index was improved and crystallised to six factors - (1) the ability to mail in a proxy vote (2) the lack of a requirement </w:t>
      </w:r>
      <w:r w:rsidR="00531F64">
        <w:rPr>
          <w:rFonts w:cs="Times New Roman"/>
          <w:szCs w:val="24"/>
        </w:rPr>
        <w:t>for shares to be deposited</w:t>
      </w:r>
      <w:r w:rsidRPr="00AC1055">
        <w:rPr>
          <w:rFonts w:cs="Times New Roman"/>
          <w:szCs w:val="24"/>
        </w:rPr>
        <w:t xml:space="preserve"> prior to proxy voting (3) the availability of cumulative voting (4) the presence of “legal mechanisms against perceived oppression by directors” against minority shareholders (5) the “pre-emptive right to buy new issues of stock” which can only be waived by a shareholder vote (6) whether “the percentage of share capital needed to call an extraordinary shareholders meeting” is at or below 10%</w:t>
      </w:r>
      <w:r w:rsidR="003C6016">
        <w:rPr>
          <w:rFonts w:cs="Times New Roman"/>
          <w:szCs w:val="24"/>
        </w:rPr>
        <w:t>.</w:t>
      </w:r>
    </w:p>
    <w:p w14:paraId="34B431C5" w14:textId="1FF315EB" w:rsidR="003E11A9" w:rsidRPr="00AC1055" w:rsidRDefault="003E11A9" w:rsidP="00AC1055">
      <w:pPr>
        <w:spacing w:line="480" w:lineRule="auto"/>
        <w:rPr>
          <w:rFonts w:cs="Times New Roman"/>
          <w:szCs w:val="24"/>
        </w:rPr>
      </w:pPr>
      <w:r w:rsidRPr="00AC1055">
        <w:rPr>
          <w:rFonts w:cs="Times New Roman"/>
          <w:szCs w:val="24"/>
        </w:rPr>
        <w:t>Two new variables were added</w:t>
      </w:r>
      <w:r w:rsidR="003C6016">
        <w:rPr>
          <w:rFonts w:cs="Times New Roman"/>
          <w:szCs w:val="24"/>
        </w:rPr>
        <w:t>,</w:t>
      </w:r>
      <w:r w:rsidRPr="00AC1055">
        <w:rPr>
          <w:rFonts w:cs="Times New Roman"/>
          <w:szCs w:val="24"/>
        </w:rPr>
        <w:t xml:space="preserve"> a pre-emptive right which was coded as 1 when the pre-emptive right to buy new issues of stock </w:t>
      </w:r>
      <w:r w:rsidR="00DD2FE2">
        <w:rPr>
          <w:rFonts w:cs="Times New Roman"/>
          <w:szCs w:val="24"/>
        </w:rPr>
        <w:t>could</w:t>
      </w:r>
      <w:r w:rsidRPr="00AC1055">
        <w:rPr>
          <w:rFonts w:cs="Times New Roman"/>
          <w:szCs w:val="24"/>
        </w:rPr>
        <w:t xml:space="preserve"> only be waived by a shareholder vote or 0 otherwise and a creditor rights index </w:t>
      </w:r>
      <w:r w:rsidR="00DB579C">
        <w:rPr>
          <w:rFonts w:cs="Times New Roman"/>
          <w:szCs w:val="24"/>
        </w:rPr>
        <w:t>‘</w:t>
      </w:r>
      <w:r w:rsidRPr="00AC1055">
        <w:rPr>
          <w:rFonts w:cs="Times New Roman"/>
          <w:szCs w:val="24"/>
        </w:rPr>
        <w:t>by adding 1 when (1) the country imposes restriction such as creditors</w:t>
      </w:r>
      <w:r w:rsidR="0026755B">
        <w:rPr>
          <w:rFonts w:cs="Times New Roman"/>
          <w:szCs w:val="24"/>
        </w:rPr>
        <w:t>’</w:t>
      </w:r>
      <w:r w:rsidRPr="00AC1055">
        <w:rPr>
          <w:rFonts w:cs="Times New Roman"/>
          <w:szCs w:val="24"/>
        </w:rPr>
        <w:t xml:space="preserve"> consent or minimum dividends to file for reorganisation; (2) secured creditors are able to gain possession of their security once their reorganisation petition has been approved (no automatic stay); (3) secured creditors are ranked first in the distribution of proceeds that result from the disposition of the bankrupt firm; (4) the debtor does not retain the administration of its property pending the resolution of the reorganisation. The index ranges from 0 to 4</w:t>
      </w:r>
      <w:r w:rsidR="00DD2FE2">
        <w:rPr>
          <w:rFonts w:cs="Times New Roman"/>
          <w:szCs w:val="24"/>
        </w:rPr>
        <w:t>.</w:t>
      </w:r>
      <w:r w:rsidR="00DB579C">
        <w:rPr>
          <w:rFonts w:cs="Times New Roman"/>
          <w:szCs w:val="24"/>
        </w:rPr>
        <w:t>’</w:t>
      </w:r>
    </w:p>
    <w:p w14:paraId="7FE628A8" w14:textId="0EF0FF35" w:rsidR="003E11A9" w:rsidRPr="00AC1055" w:rsidRDefault="003E11A9" w:rsidP="00AC1055">
      <w:pPr>
        <w:spacing w:line="480" w:lineRule="auto"/>
        <w:rPr>
          <w:rFonts w:cs="Times New Roman"/>
          <w:szCs w:val="24"/>
        </w:rPr>
      </w:pPr>
      <w:r w:rsidRPr="00AC1055">
        <w:rPr>
          <w:rFonts w:cs="Times New Roman"/>
          <w:szCs w:val="24"/>
        </w:rPr>
        <w:t>By 2000</w:t>
      </w:r>
      <w:r w:rsidR="0026755B">
        <w:rPr>
          <w:rFonts w:cs="Times New Roman"/>
          <w:szCs w:val="24"/>
        </w:rPr>
        <w:t>,</w:t>
      </w:r>
      <w:r w:rsidRPr="00AC1055">
        <w:rPr>
          <w:rFonts w:cs="Times New Roman"/>
          <w:szCs w:val="24"/>
        </w:rPr>
        <w:t xml:space="preserve"> La Porta et al. had distilled the quantitative coding of corporate governance </w:t>
      </w:r>
      <w:r w:rsidR="00C1057A">
        <w:rPr>
          <w:rFonts w:cs="Times New Roman"/>
          <w:szCs w:val="24"/>
        </w:rPr>
        <w:t xml:space="preserve">down </w:t>
      </w:r>
      <w:r w:rsidRPr="00AC1055">
        <w:rPr>
          <w:rFonts w:cs="Times New Roman"/>
          <w:szCs w:val="24"/>
        </w:rPr>
        <w:t>to three measures: Shareholder protection, creditor protection and enforcement.</w:t>
      </w:r>
      <w:r w:rsidRPr="00AC1055">
        <w:rPr>
          <w:rFonts w:cs="Times New Roman"/>
          <w:szCs w:val="24"/>
          <w:vertAlign w:val="superscript"/>
        </w:rPr>
        <w:footnoteReference w:id="30"/>
      </w:r>
    </w:p>
    <w:p w14:paraId="3BB2A9EC" w14:textId="7B8534E4" w:rsidR="003E11A9" w:rsidRPr="00AC1055" w:rsidRDefault="003E11A9" w:rsidP="00AC1055">
      <w:pPr>
        <w:spacing w:line="480" w:lineRule="auto"/>
        <w:rPr>
          <w:rFonts w:cs="Times New Roman"/>
          <w:szCs w:val="24"/>
        </w:rPr>
      </w:pPr>
      <w:r w:rsidRPr="00AC1055">
        <w:rPr>
          <w:rFonts w:cs="Times New Roman"/>
          <w:szCs w:val="24"/>
        </w:rPr>
        <w:lastRenderedPageBreak/>
        <w:t>As expected</w:t>
      </w:r>
      <w:r w:rsidR="00C1057A">
        <w:rPr>
          <w:rFonts w:cs="Times New Roman"/>
          <w:szCs w:val="24"/>
        </w:rPr>
        <w:t>,</w:t>
      </w:r>
      <w:r w:rsidRPr="00AC1055">
        <w:rPr>
          <w:rFonts w:cs="Times New Roman"/>
          <w:szCs w:val="24"/>
        </w:rPr>
        <w:t xml:space="preserve"> the La Porta et al.</w:t>
      </w:r>
      <w:r w:rsidR="00ED27FF">
        <w:rPr>
          <w:rFonts w:cs="Times New Roman"/>
          <w:szCs w:val="24"/>
        </w:rPr>
        <w:t>’s</w:t>
      </w:r>
      <w:r w:rsidRPr="00AC1055">
        <w:rPr>
          <w:rFonts w:cs="Times New Roman"/>
          <w:szCs w:val="24"/>
        </w:rPr>
        <w:t xml:space="preserve"> articles were extensively critiqued on a variety of planes</w:t>
      </w:r>
      <w:r w:rsidR="00ED27FF">
        <w:rPr>
          <w:rFonts w:cs="Times New Roman"/>
          <w:szCs w:val="24"/>
        </w:rPr>
        <w:t>,</w:t>
      </w:r>
      <w:r w:rsidRPr="00AC1055">
        <w:rPr>
          <w:rFonts w:cs="Times New Roman"/>
          <w:szCs w:val="24"/>
        </w:rPr>
        <w:t xml:space="preserve"> but a quick review of </w:t>
      </w:r>
      <w:r w:rsidR="00ED27FF">
        <w:rPr>
          <w:rFonts w:cs="Times New Roman"/>
          <w:szCs w:val="24"/>
        </w:rPr>
        <w:t xml:space="preserve">these </w:t>
      </w:r>
      <w:r w:rsidRPr="00AC1055">
        <w:rPr>
          <w:rFonts w:cs="Times New Roman"/>
          <w:szCs w:val="24"/>
        </w:rPr>
        <w:t>criticisms show</w:t>
      </w:r>
      <w:r w:rsidR="00ED27FF">
        <w:rPr>
          <w:rFonts w:cs="Times New Roman"/>
          <w:szCs w:val="24"/>
        </w:rPr>
        <w:t>s</w:t>
      </w:r>
      <w:r w:rsidRPr="00AC1055">
        <w:rPr>
          <w:rFonts w:cs="Times New Roman"/>
          <w:szCs w:val="24"/>
        </w:rPr>
        <w:t xml:space="preserve"> that it is the desire of La Porta et al. to link the bulk of their findings to judicial, political, and historical origins</w:t>
      </w:r>
      <w:r w:rsidR="00ED27FF">
        <w:rPr>
          <w:rFonts w:cs="Times New Roman"/>
          <w:szCs w:val="24"/>
        </w:rPr>
        <w:t>,</w:t>
      </w:r>
      <w:r w:rsidRPr="00AC1055">
        <w:rPr>
          <w:rFonts w:cs="Times New Roman"/>
          <w:szCs w:val="24"/>
        </w:rPr>
        <w:t xml:space="preserve"> differences which ha</w:t>
      </w:r>
      <w:r w:rsidR="00ED27FF">
        <w:rPr>
          <w:rFonts w:cs="Times New Roman"/>
          <w:szCs w:val="24"/>
        </w:rPr>
        <w:t>ve</w:t>
      </w:r>
      <w:r w:rsidRPr="00AC1055">
        <w:rPr>
          <w:rFonts w:cs="Times New Roman"/>
          <w:szCs w:val="24"/>
        </w:rPr>
        <w:t xml:space="preserve"> garnered maximum disapproval.</w:t>
      </w:r>
      <w:r w:rsidRPr="00AC1055">
        <w:rPr>
          <w:rFonts w:cs="Times New Roman"/>
          <w:szCs w:val="24"/>
          <w:vertAlign w:val="superscript"/>
        </w:rPr>
        <w:footnoteReference w:id="31"/>
      </w:r>
      <w:r w:rsidRPr="00AC1055">
        <w:rPr>
          <w:rFonts w:cs="Times New Roman"/>
          <w:szCs w:val="24"/>
        </w:rPr>
        <w:t xml:space="preserve"> Slowly the criticisms gravitated to the empirical aspect of the research and there were two influential papers which recoded investor protection and corporate governance digressing from La Porta et al.</w:t>
      </w:r>
      <w:r w:rsidR="0026755B">
        <w:rPr>
          <w:rFonts w:cs="Times New Roman"/>
          <w:szCs w:val="24"/>
        </w:rPr>
        <w:t>’s</w:t>
      </w:r>
      <w:r w:rsidRPr="00AC1055">
        <w:rPr>
          <w:rFonts w:cs="Times New Roman"/>
          <w:szCs w:val="24"/>
        </w:rPr>
        <w:t xml:space="preserve"> views.</w:t>
      </w:r>
      <w:r w:rsidRPr="00AC1055">
        <w:rPr>
          <w:rFonts w:cs="Times New Roman"/>
          <w:szCs w:val="24"/>
          <w:vertAlign w:val="superscript"/>
        </w:rPr>
        <w:footnoteReference w:id="32"/>
      </w:r>
      <w:r w:rsidRPr="00AC1055">
        <w:rPr>
          <w:rFonts w:cs="Times New Roman"/>
          <w:szCs w:val="24"/>
        </w:rPr>
        <w:t xml:space="preserve"> </w:t>
      </w:r>
    </w:p>
    <w:p w14:paraId="502D83FF" w14:textId="43B39218" w:rsidR="003E11A9" w:rsidRPr="00AC1055" w:rsidRDefault="003B0CBB" w:rsidP="00AC1055">
      <w:pPr>
        <w:spacing w:line="480" w:lineRule="auto"/>
        <w:rPr>
          <w:rFonts w:cs="Times New Roman"/>
          <w:szCs w:val="24"/>
        </w:rPr>
      </w:pPr>
      <w:r>
        <w:rPr>
          <w:rFonts w:cs="Times New Roman"/>
          <w:szCs w:val="24"/>
        </w:rPr>
        <w:t>The f</w:t>
      </w:r>
      <w:r w:rsidR="003E11A9" w:rsidRPr="00AC1055">
        <w:rPr>
          <w:rFonts w:cs="Times New Roman"/>
          <w:szCs w:val="24"/>
        </w:rPr>
        <w:t xml:space="preserve">irst was </w:t>
      </w:r>
      <w:r>
        <w:rPr>
          <w:rFonts w:cs="Times New Roman"/>
          <w:szCs w:val="24"/>
        </w:rPr>
        <w:t xml:space="preserve">written </w:t>
      </w:r>
      <w:r w:rsidR="003E11A9" w:rsidRPr="00AC1055">
        <w:rPr>
          <w:rFonts w:cs="Times New Roman"/>
          <w:szCs w:val="24"/>
        </w:rPr>
        <w:t xml:space="preserve">in 2005 by Simeon </w:t>
      </w:r>
      <w:proofErr w:type="spellStart"/>
      <w:r w:rsidR="003E11A9" w:rsidRPr="00AC1055">
        <w:rPr>
          <w:rFonts w:cs="Times New Roman"/>
          <w:szCs w:val="24"/>
        </w:rPr>
        <w:t>Djankov</w:t>
      </w:r>
      <w:proofErr w:type="spellEnd"/>
      <w:r w:rsidR="003E11A9" w:rsidRPr="00AC1055">
        <w:rPr>
          <w:rFonts w:cs="Times New Roman"/>
          <w:szCs w:val="24"/>
        </w:rPr>
        <w:t xml:space="preserve"> with the three authors of the original papers Rafael La Porta, Florencio Lopez-de-</w:t>
      </w:r>
      <w:proofErr w:type="spellStart"/>
      <w:r w:rsidR="003E11A9" w:rsidRPr="00AC1055">
        <w:rPr>
          <w:rFonts w:cs="Times New Roman"/>
          <w:szCs w:val="24"/>
        </w:rPr>
        <w:t>Silanes</w:t>
      </w:r>
      <w:proofErr w:type="spellEnd"/>
      <w:r w:rsidR="0026755B">
        <w:rPr>
          <w:rFonts w:cs="Times New Roman"/>
          <w:szCs w:val="24"/>
        </w:rPr>
        <w:t xml:space="preserve"> and</w:t>
      </w:r>
      <w:r w:rsidR="003E11A9" w:rsidRPr="00AC1055">
        <w:rPr>
          <w:rFonts w:cs="Times New Roman"/>
          <w:szCs w:val="24"/>
        </w:rPr>
        <w:t xml:space="preserve"> Andrei Shleifer. </w:t>
      </w:r>
      <w:proofErr w:type="spellStart"/>
      <w:r w:rsidR="003E11A9" w:rsidRPr="00AC1055">
        <w:rPr>
          <w:rFonts w:cs="Times New Roman"/>
          <w:szCs w:val="24"/>
        </w:rPr>
        <w:t>Djankov</w:t>
      </w:r>
      <w:proofErr w:type="spellEnd"/>
      <w:r w:rsidR="003E11A9" w:rsidRPr="00AC1055">
        <w:rPr>
          <w:rFonts w:cs="Times New Roman"/>
          <w:szCs w:val="24"/>
        </w:rPr>
        <w:t xml:space="preserve"> et al. focussed narrowly on self-dealing aspects of expropriation by corporate insiders (who may be majority shareholders, usually the promoters, or in </w:t>
      </w:r>
      <w:r w:rsidR="0026755B">
        <w:rPr>
          <w:rFonts w:cs="Times New Roman"/>
          <w:szCs w:val="24"/>
        </w:rPr>
        <w:t xml:space="preserve">the </w:t>
      </w:r>
      <w:r w:rsidR="003E11A9" w:rsidRPr="00AC1055">
        <w:rPr>
          <w:rFonts w:cs="Times New Roman"/>
          <w:szCs w:val="24"/>
        </w:rPr>
        <w:t>case of a widely dispersed company</w:t>
      </w:r>
      <w:r w:rsidR="0026755B">
        <w:rPr>
          <w:rFonts w:cs="Times New Roman"/>
          <w:szCs w:val="24"/>
        </w:rPr>
        <w:t>;</w:t>
      </w:r>
      <w:r w:rsidR="003E11A9" w:rsidRPr="00AC1055">
        <w:rPr>
          <w:rFonts w:cs="Times New Roman"/>
          <w:szCs w:val="24"/>
        </w:rPr>
        <w:t xml:space="preserve"> the incumbent management). </w:t>
      </w:r>
      <w:proofErr w:type="spellStart"/>
      <w:r w:rsidR="003E11A9" w:rsidRPr="00AC1055">
        <w:rPr>
          <w:rFonts w:cs="Times New Roman"/>
          <w:szCs w:val="24"/>
        </w:rPr>
        <w:t>Djankov</w:t>
      </w:r>
      <w:proofErr w:type="spellEnd"/>
      <w:r w:rsidR="003E11A9" w:rsidRPr="00AC1055">
        <w:rPr>
          <w:rFonts w:cs="Times New Roman"/>
          <w:szCs w:val="24"/>
        </w:rPr>
        <w:t xml:space="preserve"> et al. formulated coding for public and private enforcement against self-dealing</w:t>
      </w:r>
      <w:r w:rsidR="005C5607">
        <w:rPr>
          <w:rFonts w:cs="Times New Roman"/>
          <w:szCs w:val="24"/>
        </w:rPr>
        <w:t>,</w:t>
      </w:r>
      <w:r w:rsidR="003E11A9" w:rsidRPr="00AC1055">
        <w:rPr>
          <w:rFonts w:cs="Times New Roman"/>
          <w:szCs w:val="24"/>
        </w:rPr>
        <w:t xml:space="preserve"> based on a hypothetical case where a majority shareholder-director owns 90% of a private seller company and 60% of a public buyer company. The buyer company buys excess unwanted goods from the seller company. The coding looks for rights available to shareholders of the buyer company to hold the </w:t>
      </w:r>
      <w:r w:rsidR="003E11A9" w:rsidRPr="00AC1055">
        <w:rPr>
          <w:rFonts w:eastAsia="Times New Roman" w:cs="Times New Roman"/>
          <w:szCs w:val="24"/>
          <w:lang w:eastAsia="en-GB"/>
        </w:rPr>
        <w:t>self-dealing majority shareholder</w:t>
      </w:r>
      <w:r w:rsidR="003E11A9" w:rsidRPr="00AC1055">
        <w:rPr>
          <w:rFonts w:cs="Times New Roman"/>
          <w:szCs w:val="24"/>
        </w:rPr>
        <w:t xml:space="preserve"> and its board liable. </w:t>
      </w:r>
      <w:proofErr w:type="spellStart"/>
      <w:r w:rsidR="003E11A9" w:rsidRPr="00AC1055">
        <w:rPr>
          <w:rFonts w:cs="Times New Roman"/>
          <w:szCs w:val="24"/>
        </w:rPr>
        <w:t>Djankov</w:t>
      </w:r>
      <w:proofErr w:type="spellEnd"/>
      <w:r w:rsidR="003E11A9" w:rsidRPr="00AC1055">
        <w:rPr>
          <w:rFonts w:cs="Times New Roman"/>
          <w:szCs w:val="24"/>
        </w:rPr>
        <w:t xml:space="preserve"> et al. code for </w:t>
      </w:r>
      <w:r w:rsidR="001A7DDC">
        <w:rPr>
          <w:rFonts w:cs="Times New Roman"/>
          <w:szCs w:val="24"/>
        </w:rPr>
        <w:t xml:space="preserve">the </w:t>
      </w:r>
      <w:r w:rsidR="003E11A9" w:rsidRPr="00AC1055">
        <w:rPr>
          <w:rFonts w:cs="Times New Roman"/>
          <w:szCs w:val="24"/>
        </w:rPr>
        <w:t xml:space="preserve">presence of features in </w:t>
      </w:r>
      <w:r w:rsidR="001A7DDC" w:rsidRPr="00AC1055">
        <w:rPr>
          <w:rFonts w:cs="Times New Roman"/>
          <w:szCs w:val="24"/>
        </w:rPr>
        <w:lastRenderedPageBreak/>
        <w:t>securit</w:t>
      </w:r>
      <w:r w:rsidR="001A7DDC">
        <w:rPr>
          <w:rFonts w:cs="Times New Roman"/>
          <w:szCs w:val="24"/>
        </w:rPr>
        <w:t xml:space="preserve">y </w:t>
      </w:r>
      <w:r w:rsidR="003E11A9" w:rsidRPr="00AC1055">
        <w:rPr>
          <w:rFonts w:cs="Times New Roman"/>
          <w:szCs w:val="24"/>
        </w:rPr>
        <w:t xml:space="preserve">and company law </w:t>
      </w:r>
      <w:r w:rsidR="001A7DDC">
        <w:rPr>
          <w:rFonts w:cs="Times New Roman"/>
          <w:szCs w:val="24"/>
        </w:rPr>
        <w:t>such as</w:t>
      </w:r>
      <w:r w:rsidR="001A7DDC" w:rsidRPr="00AC1055">
        <w:rPr>
          <w:rFonts w:cs="Times New Roman"/>
          <w:szCs w:val="24"/>
        </w:rPr>
        <w:t xml:space="preserve"> </w:t>
      </w:r>
      <w:r w:rsidR="003E11A9" w:rsidRPr="00AC1055">
        <w:rPr>
          <w:rFonts w:cs="Times New Roman"/>
          <w:szCs w:val="24"/>
        </w:rPr>
        <w:t>ex-ante private control</w:t>
      </w:r>
      <w:r w:rsidR="001A7DDC">
        <w:rPr>
          <w:rFonts w:cs="Times New Roman"/>
          <w:szCs w:val="24"/>
        </w:rPr>
        <w:t>,</w:t>
      </w:r>
      <w:r w:rsidR="003E11A9" w:rsidRPr="00AC1055">
        <w:rPr>
          <w:rFonts w:cs="Times New Roman"/>
          <w:szCs w:val="24"/>
        </w:rPr>
        <w:t xml:space="preserve"> for example seeking approval from disinterested shareholders, full disclosure before transaction, independent review by </w:t>
      </w:r>
      <w:r w:rsidR="001A7DDC">
        <w:rPr>
          <w:rFonts w:cs="Times New Roman"/>
          <w:szCs w:val="24"/>
        </w:rPr>
        <w:t xml:space="preserve">a </w:t>
      </w:r>
      <w:r w:rsidR="003E11A9" w:rsidRPr="00AC1055">
        <w:rPr>
          <w:rFonts w:cs="Times New Roman"/>
          <w:szCs w:val="24"/>
        </w:rPr>
        <w:t xml:space="preserve">financial expert; ex-post private control like disclosures in annual reports, </w:t>
      </w:r>
      <w:r w:rsidR="005C5607">
        <w:rPr>
          <w:rFonts w:cs="Times New Roman"/>
          <w:szCs w:val="24"/>
        </w:rPr>
        <w:t xml:space="preserve">the </w:t>
      </w:r>
      <w:r w:rsidR="003E11A9" w:rsidRPr="00AC1055">
        <w:rPr>
          <w:rFonts w:cs="Times New Roman"/>
          <w:szCs w:val="24"/>
        </w:rPr>
        <w:t xml:space="preserve">ability of minority shareholders to bring an action against the </w:t>
      </w:r>
      <w:r w:rsidR="003E11A9" w:rsidRPr="00AC1055">
        <w:rPr>
          <w:rFonts w:eastAsia="Times New Roman" w:cs="Times New Roman"/>
          <w:szCs w:val="24"/>
          <w:lang w:eastAsia="en-GB"/>
        </w:rPr>
        <w:t xml:space="preserve">self-dealing majority shareholder; the code also looks for variables which may reflect the extent of liability like if </w:t>
      </w:r>
      <w:r w:rsidR="005C5607">
        <w:rPr>
          <w:rFonts w:eastAsia="Times New Roman" w:cs="Times New Roman"/>
          <w:szCs w:val="24"/>
          <w:lang w:eastAsia="en-GB"/>
        </w:rPr>
        <w:t xml:space="preserve">the </w:t>
      </w:r>
      <w:r w:rsidR="003E11A9" w:rsidRPr="00AC1055">
        <w:rPr>
          <w:rFonts w:eastAsia="Times New Roman" w:cs="Times New Roman"/>
          <w:szCs w:val="24"/>
          <w:lang w:eastAsia="en-GB"/>
        </w:rPr>
        <w:t xml:space="preserve">self-dealing majority shareholder can be held liable for civil damage </w:t>
      </w:r>
      <w:r w:rsidR="005C5607">
        <w:rPr>
          <w:rFonts w:eastAsia="Times New Roman" w:cs="Times New Roman"/>
          <w:szCs w:val="24"/>
          <w:lang w:eastAsia="en-GB"/>
        </w:rPr>
        <w:t>for issues such as</w:t>
      </w:r>
      <w:r w:rsidR="003E11A9" w:rsidRPr="00AC1055">
        <w:rPr>
          <w:rFonts w:eastAsia="Times New Roman" w:cs="Times New Roman"/>
          <w:szCs w:val="24"/>
          <w:lang w:eastAsia="en-GB"/>
        </w:rPr>
        <w:t xml:space="preserve"> acting on bad faith, negligence, </w:t>
      </w:r>
      <w:r w:rsidR="005C5607">
        <w:rPr>
          <w:rFonts w:cs="Times New Roman"/>
          <w:szCs w:val="24"/>
        </w:rPr>
        <w:t>unfair transactions</w:t>
      </w:r>
      <w:r w:rsidR="003E11A9" w:rsidRPr="00AC1055">
        <w:rPr>
          <w:rFonts w:cs="Times New Roman"/>
          <w:szCs w:val="24"/>
        </w:rPr>
        <w:t>, oppressive or prejudicial</w:t>
      </w:r>
      <w:r w:rsidR="005C5607">
        <w:rPr>
          <w:rFonts w:cs="Times New Roman"/>
          <w:szCs w:val="24"/>
        </w:rPr>
        <w:t xml:space="preserve"> actions</w:t>
      </w:r>
      <w:r w:rsidR="003E11A9" w:rsidRPr="00AC1055">
        <w:rPr>
          <w:rFonts w:cs="Times New Roman"/>
          <w:szCs w:val="24"/>
        </w:rPr>
        <w:t xml:space="preserve">, </w:t>
      </w:r>
      <w:r w:rsidR="005C5607">
        <w:rPr>
          <w:rFonts w:cs="Times New Roman"/>
          <w:szCs w:val="24"/>
        </w:rPr>
        <w:t xml:space="preserve">and </w:t>
      </w:r>
      <w:r w:rsidR="003E11A9" w:rsidRPr="00AC1055">
        <w:rPr>
          <w:rFonts w:cs="Times New Roman"/>
          <w:szCs w:val="24"/>
        </w:rPr>
        <w:t>whether the approving body can be held liable</w:t>
      </w:r>
      <w:r w:rsidR="005C5607">
        <w:rPr>
          <w:rFonts w:cs="Times New Roman"/>
          <w:szCs w:val="24"/>
        </w:rPr>
        <w:t>.</w:t>
      </w:r>
      <w:r w:rsidR="003E11A9" w:rsidRPr="00AC1055">
        <w:rPr>
          <w:rFonts w:cs="Times New Roman"/>
          <w:szCs w:val="24"/>
        </w:rPr>
        <w:t xml:space="preserve"> </w:t>
      </w:r>
      <w:r w:rsidR="005C5607" w:rsidRPr="00AC1055">
        <w:rPr>
          <w:rFonts w:cs="Times New Roman"/>
          <w:szCs w:val="24"/>
        </w:rPr>
        <w:t>The</w:t>
      </w:r>
      <w:r w:rsidR="003E11A9" w:rsidRPr="00AC1055">
        <w:rPr>
          <w:rFonts w:cs="Times New Roman"/>
          <w:szCs w:val="24"/>
        </w:rPr>
        <w:t xml:space="preserve"> code concludes with an index for public enforcement dealing with </w:t>
      </w:r>
      <w:r w:rsidR="005C5607">
        <w:rPr>
          <w:rFonts w:cs="Times New Roman"/>
          <w:szCs w:val="24"/>
        </w:rPr>
        <w:t xml:space="preserve">the </w:t>
      </w:r>
      <w:r w:rsidR="003E11A9" w:rsidRPr="00AC1055">
        <w:rPr>
          <w:rFonts w:cs="Times New Roman"/>
          <w:szCs w:val="24"/>
        </w:rPr>
        <w:t xml:space="preserve">availability and quantum of punishment for the self-dealing majority shareholder and the approving body </w:t>
      </w:r>
      <w:r w:rsidR="005C5607">
        <w:rPr>
          <w:rFonts w:cs="Times New Roman"/>
          <w:szCs w:val="24"/>
        </w:rPr>
        <w:t>such as</w:t>
      </w:r>
      <w:r w:rsidR="005C5607" w:rsidRPr="00AC1055">
        <w:rPr>
          <w:rFonts w:cs="Times New Roman"/>
          <w:szCs w:val="24"/>
        </w:rPr>
        <w:t xml:space="preserve"> </w:t>
      </w:r>
      <w:r w:rsidR="003E11A9" w:rsidRPr="00AC1055">
        <w:rPr>
          <w:rFonts w:cs="Times New Roman"/>
          <w:szCs w:val="24"/>
        </w:rPr>
        <w:t>fine</w:t>
      </w:r>
      <w:r w:rsidR="005C5607">
        <w:rPr>
          <w:rFonts w:cs="Times New Roman"/>
          <w:szCs w:val="24"/>
        </w:rPr>
        <w:t>s</w:t>
      </w:r>
      <w:r w:rsidR="003E11A9" w:rsidRPr="00AC1055">
        <w:rPr>
          <w:rFonts w:cs="Times New Roman"/>
          <w:szCs w:val="24"/>
        </w:rPr>
        <w:t>, jail sentences etc.</w:t>
      </w:r>
    </w:p>
    <w:p w14:paraId="7D2DAF7D" w14:textId="6A7BBCC6" w:rsidR="003E11A9" w:rsidRPr="00AC1055" w:rsidRDefault="003E11A9" w:rsidP="00AC1055">
      <w:pPr>
        <w:spacing w:line="480" w:lineRule="auto"/>
        <w:rPr>
          <w:rFonts w:cs="Times New Roman"/>
          <w:szCs w:val="24"/>
        </w:rPr>
      </w:pPr>
      <w:r w:rsidRPr="00AC1055">
        <w:rPr>
          <w:rFonts w:cs="Times New Roman"/>
          <w:szCs w:val="24"/>
        </w:rPr>
        <w:t xml:space="preserve">The second paper was by Holger </w:t>
      </w:r>
      <w:proofErr w:type="spellStart"/>
      <w:r w:rsidRPr="00AC1055">
        <w:rPr>
          <w:rFonts w:cs="Times New Roman"/>
          <w:szCs w:val="24"/>
        </w:rPr>
        <w:t>Spamann</w:t>
      </w:r>
      <w:proofErr w:type="spellEnd"/>
      <w:r w:rsidRPr="00AC1055">
        <w:rPr>
          <w:rFonts w:cs="Times New Roman"/>
          <w:szCs w:val="24"/>
        </w:rPr>
        <w:t xml:space="preserve"> a SJD student at Harvard Law School in 2006, who followed up the La Porta et al. and </w:t>
      </w:r>
      <w:proofErr w:type="spellStart"/>
      <w:r w:rsidRPr="00AC1055">
        <w:rPr>
          <w:rFonts w:cs="Times New Roman"/>
          <w:szCs w:val="24"/>
        </w:rPr>
        <w:t>Djankov</w:t>
      </w:r>
      <w:proofErr w:type="spellEnd"/>
      <w:r w:rsidRPr="00AC1055">
        <w:rPr>
          <w:rFonts w:cs="Times New Roman"/>
          <w:szCs w:val="24"/>
        </w:rPr>
        <w:t xml:space="preserve"> et al.</w:t>
      </w:r>
      <w:r w:rsidR="00FE7EB7">
        <w:rPr>
          <w:rFonts w:cs="Times New Roman"/>
          <w:szCs w:val="24"/>
        </w:rPr>
        <w:t xml:space="preserve"> studies,</w:t>
      </w:r>
      <w:r w:rsidRPr="00AC1055">
        <w:rPr>
          <w:rFonts w:cs="Times New Roman"/>
          <w:szCs w:val="24"/>
        </w:rPr>
        <w:t xml:space="preserve"> coding with his own </w:t>
      </w:r>
      <w:r w:rsidR="00FE7EB7">
        <w:rPr>
          <w:rFonts w:cs="Times New Roman"/>
          <w:szCs w:val="24"/>
        </w:rPr>
        <w:t>version</w:t>
      </w:r>
      <w:r w:rsidR="00FE7EB7" w:rsidRPr="00AC1055">
        <w:rPr>
          <w:rFonts w:cs="Times New Roman"/>
          <w:szCs w:val="24"/>
        </w:rPr>
        <w:t xml:space="preserve"> </w:t>
      </w:r>
      <w:r w:rsidRPr="00AC1055">
        <w:rPr>
          <w:rFonts w:cs="Times New Roman"/>
          <w:szCs w:val="24"/>
        </w:rPr>
        <w:t xml:space="preserve">of </w:t>
      </w:r>
      <w:r w:rsidR="00FE7EB7">
        <w:rPr>
          <w:rFonts w:cs="Times New Roman"/>
          <w:szCs w:val="24"/>
        </w:rPr>
        <w:t xml:space="preserve">the </w:t>
      </w:r>
      <w:r w:rsidRPr="00AC1055">
        <w:rPr>
          <w:rFonts w:cs="Times New Roman"/>
          <w:szCs w:val="24"/>
        </w:rPr>
        <w:t>updated anti</w:t>
      </w:r>
      <w:r w:rsidR="00FE7EB7">
        <w:rPr>
          <w:rFonts w:cs="Times New Roman"/>
          <w:szCs w:val="24"/>
        </w:rPr>
        <w:t>-</w:t>
      </w:r>
      <w:r w:rsidRPr="00AC1055">
        <w:rPr>
          <w:rFonts w:cs="Times New Roman"/>
          <w:szCs w:val="24"/>
        </w:rPr>
        <w:t xml:space="preserve">director shareholder rights index (ADRI) with </w:t>
      </w:r>
      <w:r w:rsidR="00FE7EB7">
        <w:rPr>
          <w:rFonts w:cs="Times New Roman"/>
          <w:szCs w:val="24"/>
        </w:rPr>
        <w:t xml:space="preserve">an </w:t>
      </w:r>
      <w:r w:rsidRPr="00AC1055">
        <w:rPr>
          <w:rFonts w:cs="Times New Roman"/>
          <w:szCs w:val="24"/>
        </w:rPr>
        <w:t>emphasis on consistent coding and rigorous data collection. Unlike previous research</w:t>
      </w:r>
      <w:r w:rsidR="00FE7EB7">
        <w:rPr>
          <w:rFonts w:cs="Times New Roman"/>
          <w:szCs w:val="24"/>
        </w:rPr>
        <w:t>,</w:t>
      </w:r>
      <w:r w:rsidRPr="00AC1055">
        <w:rPr>
          <w:rFonts w:cs="Times New Roman"/>
          <w:szCs w:val="24"/>
        </w:rPr>
        <w:t xml:space="preserve"> </w:t>
      </w:r>
      <w:proofErr w:type="spellStart"/>
      <w:r w:rsidRPr="00AC1055">
        <w:rPr>
          <w:rFonts w:cs="Times New Roman"/>
          <w:szCs w:val="24"/>
        </w:rPr>
        <w:t>Spamann</w:t>
      </w:r>
      <w:proofErr w:type="spellEnd"/>
      <w:r w:rsidRPr="00AC1055">
        <w:rPr>
          <w:rFonts w:cs="Times New Roman"/>
          <w:szCs w:val="24"/>
        </w:rPr>
        <w:t xml:space="preserve"> relied on experts qualified in </w:t>
      </w:r>
      <w:r w:rsidR="00FE7EB7">
        <w:rPr>
          <w:rFonts w:cs="Times New Roman"/>
          <w:szCs w:val="24"/>
        </w:rPr>
        <w:t xml:space="preserve">the </w:t>
      </w:r>
      <w:r w:rsidR="00FE7EB7" w:rsidRPr="00AC1055">
        <w:rPr>
          <w:rFonts w:cs="Times New Roman"/>
          <w:szCs w:val="24"/>
        </w:rPr>
        <w:t xml:space="preserve"> </w:t>
      </w:r>
      <w:r w:rsidRPr="00AC1055">
        <w:rPr>
          <w:rFonts w:cs="Times New Roman"/>
          <w:szCs w:val="24"/>
        </w:rPr>
        <w:t xml:space="preserve">local jurisdiction to offset any common law bias which may have crept </w:t>
      </w:r>
      <w:r w:rsidR="00FE7EB7">
        <w:rPr>
          <w:rFonts w:cs="Times New Roman"/>
          <w:szCs w:val="24"/>
        </w:rPr>
        <w:t xml:space="preserve">in </w:t>
      </w:r>
      <w:r w:rsidRPr="00AC1055">
        <w:rPr>
          <w:rFonts w:cs="Times New Roman"/>
          <w:szCs w:val="24"/>
        </w:rPr>
        <w:t xml:space="preserve">due to difficulties in translation, interpretation etc. He also extensively recoded the variables to take care of variations in local laws and regulations. To do this he explained the variables in </w:t>
      </w:r>
      <w:r w:rsidR="00B37127">
        <w:rPr>
          <w:rFonts w:cs="Times New Roman"/>
          <w:szCs w:val="24"/>
        </w:rPr>
        <w:t xml:space="preserve">a </w:t>
      </w:r>
      <w:r w:rsidRPr="00AC1055">
        <w:rPr>
          <w:rFonts w:cs="Times New Roman"/>
          <w:szCs w:val="24"/>
        </w:rPr>
        <w:t>comparably more detailed and objective way. He comprehensively explored and clarified each of La Porta et al.</w:t>
      </w:r>
      <w:r w:rsidR="008663BA">
        <w:rPr>
          <w:rFonts w:cs="Times New Roman"/>
          <w:szCs w:val="24"/>
        </w:rPr>
        <w:t>’s</w:t>
      </w:r>
      <w:r w:rsidRPr="00AC1055">
        <w:rPr>
          <w:rFonts w:cs="Times New Roman"/>
          <w:szCs w:val="24"/>
        </w:rPr>
        <w:t xml:space="preserve"> ADRI variables</w:t>
      </w:r>
      <w:r w:rsidR="008663BA">
        <w:rPr>
          <w:rFonts w:cs="Times New Roman"/>
          <w:szCs w:val="24"/>
        </w:rPr>
        <w:t>,</w:t>
      </w:r>
      <w:r w:rsidRPr="00AC1055">
        <w:rPr>
          <w:rFonts w:cs="Times New Roman"/>
          <w:szCs w:val="24"/>
        </w:rPr>
        <w:t xml:space="preserve"> trying to ensure that each variable is clearly defined and is consistent across all jurisdiction. For example</w:t>
      </w:r>
      <w:r w:rsidR="008663BA">
        <w:rPr>
          <w:rFonts w:cs="Times New Roman"/>
          <w:szCs w:val="24"/>
        </w:rPr>
        <w:t>,</w:t>
      </w:r>
      <w:r w:rsidRPr="00AC1055">
        <w:rPr>
          <w:rFonts w:cs="Times New Roman"/>
          <w:szCs w:val="24"/>
        </w:rPr>
        <w:t xml:space="preserve"> La Porta et al. coded proxy vote by mail as 1 if the company law or commercial code allow</w:t>
      </w:r>
      <w:r w:rsidR="008663BA">
        <w:rPr>
          <w:rFonts w:cs="Times New Roman"/>
          <w:szCs w:val="24"/>
        </w:rPr>
        <w:t>ed</w:t>
      </w:r>
      <w:r w:rsidRPr="00AC1055">
        <w:rPr>
          <w:rFonts w:cs="Times New Roman"/>
          <w:szCs w:val="24"/>
        </w:rPr>
        <w:t xml:space="preserve"> shareholders to mail their proxy vote, and 0 otherwise. </w:t>
      </w:r>
      <w:proofErr w:type="spellStart"/>
      <w:r w:rsidRPr="00AC1055">
        <w:rPr>
          <w:rFonts w:cs="Times New Roman"/>
          <w:szCs w:val="24"/>
        </w:rPr>
        <w:t>Spamann</w:t>
      </w:r>
      <w:proofErr w:type="spellEnd"/>
      <w:r w:rsidRPr="00AC1055">
        <w:rPr>
          <w:rFonts w:cs="Times New Roman"/>
          <w:szCs w:val="24"/>
        </w:rPr>
        <w:t xml:space="preserve"> gave further explanation for this variable to make it consistent across all jurisdiction</w:t>
      </w:r>
      <w:r w:rsidR="008663BA">
        <w:rPr>
          <w:rFonts w:cs="Times New Roman"/>
          <w:szCs w:val="24"/>
        </w:rPr>
        <w:t>s</w:t>
      </w:r>
      <w:r w:rsidRPr="00AC1055">
        <w:rPr>
          <w:rFonts w:cs="Times New Roman"/>
          <w:szCs w:val="24"/>
        </w:rPr>
        <w:t xml:space="preserve"> and at the same time </w:t>
      </w:r>
      <w:r w:rsidR="008663BA">
        <w:rPr>
          <w:rFonts w:cs="Times New Roman"/>
          <w:szCs w:val="24"/>
        </w:rPr>
        <w:t xml:space="preserve">to make it </w:t>
      </w:r>
      <w:r w:rsidR="008663BA">
        <w:rPr>
          <w:rFonts w:cs="Times New Roman"/>
          <w:szCs w:val="24"/>
        </w:rPr>
        <w:lastRenderedPageBreak/>
        <w:t>possible to</w:t>
      </w:r>
      <w:r w:rsidRPr="00AC1055">
        <w:rPr>
          <w:rFonts w:cs="Times New Roman"/>
          <w:szCs w:val="24"/>
        </w:rPr>
        <w:t xml:space="preserve"> highlight minute differences. </w:t>
      </w:r>
      <w:proofErr w:type="spellStart"/>
      <w:r w:rsidRPr="00AC1055">
        <w:rPr>
          <w:rFonts w:cs="Times New Roman"/>
          <w:szCs w:val="24"/>
        </w:rPr>
        <w:t>Spamann</w:t>
      </w:r>
      <w:proofErr w:type="spellEnd"/>
      <w:r w:rsidRPr="00AC1055">
        <w:rPr>
          <w:rFonts w:cs="Times New Roman"/>
          <w:szCs w:val="24"/>
        </w:rPr>
        <w:t xml:space="preserve"> codes the same variable as 1 </w:t>
      </w:r>
      <w:r w:rsidR="00686AC5">
        <w:rPr>
          <w:rFonts w:cs="Times New Roman"/>
          <w:szCs w:val="24"/>
        </w:rPr>
        <w:t>‘</w:t>
      </w:r>
      <w:r w:rsidRPr="00AC1055">
        <w:rPr>
          <w:rFonts w:cs="Times New Roman"/>
          <w:szCs w:val="24"/>
        </w:rPr>
        <w:t xml:space="preserve">if shareholders can either vote by mail (‘ballot by mail’), or </w:t>
      </w:r>
      <w:r w:rsidR="008663BA">
        <w:rPr>
          <w:rFonts w:cs="Times New Roman"/>
          <w:szCs w:val="24"/>
        </w:rPr>
        <w:t xml:space="preserve">if </w:t>
      </w:r>
      <w:r w:rsidRPr="00AC1055">
        <w:rPr>
          <w:rFonts w:cs="Times New Roman"/>
          <w:szCs w:val="24"/>
        </w:rPr>
        <w:t xml:space="preserve">the firm is under obligation to accept proxies with directions </w:t>
      </w:r>
      <w:r w:rsidR="008663BA">
        <w:rPr>
          <w:rFonts w:cs="Times New Roman"/>
          <w:szCs w:val="24"/>
        </w:rPr>
        <w:t xml:space="preserve">about </w:t>
      </w:r>
      <w:r w:rsidRPr="00AC1055">
        <w:rPr>
          <w:rFonts w:cs="Times New Roman"/>
          <w:szCs w:val="24"/>
        </w:rPr>
        <w:t xml:space="preserve">how to vote </w:t>
      </w:r>
      <w:r w:rsidR="008663BA">
        <w:rPr>
          <w:rFonts w:cs="Times New Roman"/>
          <w:szCs w:val="24"/>
        </w:rPr>
        <w:t xml:space="preserve">for </w:t>
      </w:r>
      <w:r w:rsidRPr="00AC1055">
        <w:rPr>
          <w:rFonts w:cs="Times New Roman"/>
          <w:szCs w:val="24"/>
        </w:rPr>
        <w:t xml:space="preserve">them (the assumption is that no such obligation exists unless it is explicitly stated in the statutes, the literature, or </w:t>
      </w:r>
      <w:r w:rsidR="008663BA">
        <w:rPr>
          <w:rFonts w:cs="Times New Roman"/>
          <w:szCs w:val="24"/>
        </w:rPr>
        <w:t xml:space="preserve">in </w:t>
      </w:r>
      <w:r w:rsidRPr="00AC1055">
        <w:rPr>
          <w:rFonts w:cs="Times New Roman"/>
          <w:szCs w:val="24"/>
        </w:rPr>
        <w:t xml:space="preserve">an opinion by a local lawyer). </w:t>
      </w:r>
      <w:r w:rsidR="00686AC5">
        <w:rPr>
          <w:rFonts w:cs="Times New Roman"/>
          <w:szCs w:val="24"/>
        </w:rPr>
        <w:t xml:space="preserve">[…] </w:t>
      </w:r>
      <w:r w:rsidRPr="00AC1055">
        <w:rPr>
          <w:rFonts w:cs="Times New Roman"/>
          <w:szCs w:val="24"/>
        </w:rPr>
        <w:t xml:space="preserve">The firm must also provide a voting form on which the shareholder can mark his choices for each resolution to be voted. </w:t>
      </w:r>
      <w:r w:rsidR="00686AC5">
        <w:rPr>
          <w:rFonts w:cs="Times New Roman"/>
          <w:szCs w:val="24"/>
        </w:rPr>
        <w:t xml:space="preserve">[…] </w:t>
      </w:r>
      <w:r w:rsidRPr="00AC1055">
        <w:rPr>
          <w:rFonts w:cs="Times New Roman"/>
          <w:szCs w:val="24"/>
        </w:rPr>
        <w:t>If the firm (or its manage</w:t>
      </w:r>
      <w:r w:rsidR="00044179">
        <w:rPr>
          <w:rFonts w:cs="Times New Roman"/>
          <w:szCs w:val="24"/>
        </w:rPr>
        <w:t>ment</w:t>
      </w:r>
      <w:r w:rsidRPr="00AC1055">
        <w:rPr>
          <w:rFonts w:cs="Times New Roman"/>
          <w:szCs w:val="24"/>
        </w:rPr>
        <w:t>) solicits proxies, the legal proxy rules require that they provide the shareholder with a ballot card that gives them the</w:t>
      </w:r>
      <w:r w:rsidR="008663BA">
        <w:rPr>
          <w:rFonts w:cs="Times New Roman"/>
          <w:szCs w:val="24"/>
        </w:rPr>
        <w:t xml:space="preserve"> opportunity</w:t>
      </w:r>
      <w:r w:rsidRPr="00AC1055">
        <w:rPr>
          <w:rFonts w:cs="Times New Roman"/>
          <w:szCs w:val="24"/>
        </w:rPr>
        <w:t xml:space="preserve"> to approve or disapprove.</w:t>
      </w:r>
      <w:r w:rsidR="00686AC5">
        <w:rPr>
          <w:rFonts w:cs="Times New Roman"/>
          <w:szCs w:val="24"/>
        </w:rPr>
        <w:t>’</w:t>
      </w:r>
      <w:r w:rsidRPr="00AC1055">
        <w:rPr>
          <w:rFonts w:cs="Times New Roman"/>
          <w:szCs w:val="24"/>
        </w:rPr>
        <w:t xml:space="preserve"> Unlike La Porta et al., </w:t>
      </w:r>
      <w:proofErr w:type="spellStart"/>
      <w:r w:rsidRPr="00AC1055">
        <w:rPr>
          <w:rFonts w:cs="Times New Roman"/>
          <w:szCs w:val="24"/>
        </w:rPr>
        <w:t>Spamann</w:t>
      </w:r>
      <w:proofErr w:type="spellEnd"/>
      <w:r w:rsidRPr="00AC1055">
        <w:rPr>
          <w:rFonts w:cs="Times New Roman"/>
          <w:szCs w:val="24"/>
        </w:rPr>
        <w:t xml:space="preserve"> took stock exchange rules into account. He similarly explained and recoded for variables on blocking of shares, pre-emptive rights and shareholder equality. On the basis of the new coding </w:t>
      </w:r>
      <w:proofErr w:type="spellStart"/>
      <w:r w:rsidRPr="00AC1055">
        <w:rPr>
          <w:rFonts w:cs="Times New Roman"/>
          <w:szCs w:val="24"/>
        </w:rPr>
        <w:t>Spamann</w:t>
      </w:r>
      <w:proofErr w:type="spellEnd"/>
      <w:r w:rsidRPr="00AC1055">
        <w:rPr>
          <w:rFonts w:cs="Times New Roman"/>
          <w:szCs w:val="24"/>
        </w:rPr>
        <w:t xml:space="preserve"> recalculated all the La Porta et al. (1998-2004) indices and found that the numerous empirical studies of La Porta et al. ‘that have used the non-recoded ADRI as a measure of investor protection may have obtained erroneous results, and may have to be revisited.’</w:t>
      </w:r>
      <w:r w:rsidRPr="00AC1055">
        <w:rPr>
          <w:rFonts w:cs="Times New Roman"/>
          <w:szCs w:val="24"/>
          <w:vertAlign w:val="superscript"/>
        </w:rPr>
        <w:footnoteReference w:id="33"/>
      </w:r>
      <w:r w:rsidRPr="00AC1055">
        <w:rPr>
          <w:rFonts w:cs="Times New Roman"/>
          <w:szCs w:val="24"/>
        </w:rPr>
        <w:t xml:space="preserve"> </w:t>
      </w:r>
    </w:p>
    <w:p w14:paraId="5CB25727" w14:textId="2D2911E7" w:rsidR="003E11A9" w:rsidRPr="00AC1055" w:rsidRDefault="003E11A9" w:rsidP="00AC1055">
      <w:pPr>
        <w:spacing w:line="480" w:lineRule="auto"/>
        <w:rPr>
          <w:rFonts w:cs="Times New Roman"/>
          <w:szCs w:val="24"/>
        </w:rPr>
      </w:pPr>
      <w:r w:rsidRPr="00AC1055">
        <w:rPr>
          <w:rFonts w:cs="Times New Roman"/>
          <w:szCs w:val="24"/>
        </w:rPr>
        <w:t>In response to these academic critiques</w:t>
      </w:r>
      <w:r w:rsidR="008663BA">
        <w:rPr>
          <w:rFonts w:cs="Times New Roman"/>
          <w:szCs w:val="24"/>
        </w:rPr>
        <w:t>,</w:t>
      </w:r>
      <w:r w:rsidRPr="00AC1055">
        <w:rPr>
          <w:rFonts w:cs="Times New Roman"/>
          <w:szCs w:val="24"/>
        </w:rPr>
        <w:t xml:space="preserve"> La Porta et al. in 2006 further updated their investor protection index to include more facets of securities law. The coding was widened to include disclosure requirements, liability standards, power and characteristics of the supervisor of the securities markets etc. It was hoped that along with </w:t>
      </w:r>
      <w:r w:rsidR="00703C28">
        <w:rPr>
          <w:rFonts w:cs="Times New Roman"/>
          <w:szCs w:val="24"/>
        </w:rPr>
        <w:t xml:space="preserve">the </w:t>
      </w:r>
      <w:r w:rsidRPr="00AC1055">
        <w:rPr>
          <w:rFonts w:cs="Times New Roman"/>
          <w:szCs w:val="24"/>
        </w:rPr>
        <w:t xml:space="preserve">creditor’s rights index and </w:t>
      </w:r>
      <w:r w:rsidR="00703C28">
        <w:rPr>
          <w:rFonts w:cs="Times New Roman"/>
          <w:szCs w:val="24"/>
        </w:rPr>
        <w:t xml:space="preserve">the </w:t>
      </w:r>
      <w:r w:rsidRPr="00AC1055">
        <w:rPr>
          <w:rFonts w:cs="Times New Roman"/>
          <w:szCs w:val="24"/>
        </w:rPr>
        <w:t xml:space="preserve">anti-director rights index, the new public enforcement and securities index would provide a well-rounded quantitative analysis of </w:t>
      </w:r>
      <w:r w:rsidR="00703C28">
        <w:rPr>
          <w:rFonts w:cs="Times New Roman"/>
          <w:szCs w:val="24"/>
        </w:rPr>
        <w:t xml:space="preserve">the </w:t>
      </w:r>
      <w:r w:rsidRPr="00AC1055">
        <w:rPr>
          <w:rFonts w:cs="Times New Roman"/>
          <w:szCs w:val="24"/>
        </w:rPr>
        <w:t xml:space="preserve">comparative corporate governance structure. The disclosure index consisted of a mean of six variables </w:t>
      </w:r>
      <w:r w:rsidR="00703C28">
        <w:rPr>
          <w:rFonts w:cs="Times New Roman"/>
          <w:szCs w:val="24"/>
        </w:rPr>
        <w:t>regarding the</w:t>
      </w:r>
      <w:r w:rsidRPr="00AC1055">
        <w:rPr>
          <w:rFonts w:cs="Times New Roman"/>
          <w:szCs w:val="24"/>
        </w:rPr>
        <w:t xml:space="preserve"> requirement of issuing </w:t>
      </w:r>
      <w:r w:rsidR="00703C28">
        <w:rPr>
          <w:rFonts w:cs="Times New Roman"/>
          <w:szCs w:val="24"/>
        </w:rPr>
        <w:t xml:space="preserve">a </w:t>
      </w:r>
      <w:r w:rsidRPr="00AC1055">
        <w:rPr>
          <w:rFonts w:cs="Times New Roman"/>
          <w:szCs w:val="24"/>
        </w:rPr>
        <w:t xml:space="preserve">prospectus before selling securities, </w:t>
      </w:r>
      <w:r w:rsidR="00703C28">
        <w:rPr>
          <w:rFonts w:cs="Times New Roman"/>
          <w:szCs w:val="24"/>
        </w:rPr>
        <w:t xml:space="preserve">the </w:t>
      </w:r>
      <w:r w:rsidRPr="00AC1055">
        <w:rPr>
          <w:rFonts w:cs="Times New Roman"/>
          <w:szCs w:val="24"/>
        </w:rPr>
        <w:t xml:space="preserve">requirement for the executive compensation to be disclosed in </w:t>
      </w:r>
      <w:r w:rsidRPr="00AC1055">
        <w:rPr>
          <w:rFonts w:cs="Times New Roman"/>
          <w:szCs w:val="24"/>
        </w:rPr>
        <w:lastRenderedPageBreak/>
        <w:t xml:space="preserve">the prospectus, whether the equity ownership structure is disclosed, whether equity ownership by each director is disclosed, if the terms of </w:t>
      </w:r>
      <w:r w:rsidR="00CE65C1">
        <w:rPr>
          <w:rFonts w:cs="Times New Roman"/>
          <w:szCs w:val="24"/>
        </w:rPr>
        <w:t>‘</w:t>
      </w:r>
      <w:r w:rsidRPr="00AC1055">
        <w:rPr>
          <w:rFonts w:cs="Times New Roman"/>
          <w:szCs w:val="24"/>
        </w:rPr>
        <w:t xml:space="preserve">material contracts made by the issuer outside the ordinary course of its business </w:t>
      </w:r>
      <w:r w:rsidR="00703C28">
        <w:rPr>
          <w:rFonts w:cs="Times New Roman"/>
          <w:szCs w:val="24"/>
        </w:rPr>
        <w:t>are</w:t>
      </w:r>
      <w:r w:rsidR="00703C28" w:rsidRPr="00AC1055">
        <w:rPr>
          <w:rFonts w:cs="Times New Roman"/>
          <w:szCs w:val="24"/>
        </w:rPr>
        <w:t xml:space="preserve"> </w:t>
      </w:r>
      <w:r w:rsidRPr="00AC1055">
        <w:rPr>
          <w:rFonts w:cs="Times New Roman"/>
          <w:szCs w:val="24"/>
        </w:rPr>
        <w:t>disclosed and if all transactions in which related parties have, or will have, an interest is disclosed.</w:t>
      </w:r>
      <w:r w:rsidR="00CE65C1">
        <w:rPr>
          <w:rFonts w:cs="Times New Roman"/>
          <w:szCs w:val="24"/>
        </w:rPr>
        <w:t>’</w:t>
      </w:r>
      <w:r w:rsidRPr="00AC1055">
        <w:rPr>
          <w:rFonts w:cs="Times New Roman"/>
          <w:szCs w:val="24"/>
        </w:rPr>
        <w:t xml:space="preserve"> The liability standard index </w:t>
      </w:r>
      <w:r w:rsidR="00703C28">
        <w:rPr>
          <w:rFonts w:cs="Times New Roman"/>
          <w:szCs w:val="24"/>
        </w:rPr>
        <w:t xml:space="preserve">is </w:t>
      </w:r>
      <w:r w:rsidRPr="00AC1055">
        <w:rPr>
          <w:rFonts w:cs="Times New Roman"/>
          <w:szCs w:val="24"/>
        </w:rPr>
        <w:t xml:space="preserve">comprised of </w:t>
      </w:r>
      <w:r w:rsidR="00703C28">
        <w:rPr>
          <w:rFonts w:cs="Times New Roman"/>
          <w:szCs w:val="24"/>
        </w:rPr>
        <w:t xml:space="preserve">the </w:t>
      </w:r>
      <w:r w:rsidRPr="00AC1055">
        <w:rPr>
          <w:rFonts w:cs="Times New Roman"/>
          <w:szCs w:val="24"/>
        </w:rPr>
        <w:t xml:space="preserve">mean liabilities of issuer, director, distributor and accountant depending on what the aggrieved shareholder has to prove. </w:t>
      </w:r>
      <w:r w:rsidR="00703C28">
        <w:rPr>
          <w:rFonts w:cs="Times New Roman"/>
          <w:szCs w:val="24"/>
        </w:rPr>
        <w:t>The c</w:t>
      </w:r>
      <w:r w:rsidRPr="00AC1055">
        <w:rPr>
          <w:rFonts w:cs="Times New Roman"/>
          <w:szCs w:val="24"/>
        </w:rPr>
        <w:t xml:space="preserve">haracteristics and powers of </w:t>
      </w:r>
      <w:r w:rsidR="00703C28">
        <w:rPr>
          <w:rFonts w:cs="Times New Roman"/>
          <w:szCs w:val="24"/>
        </w:rPr>
        <w:t xml:space="preserve">the </w:t>
      </w:r>
      <w:r w:rsidRPr="00AC1055">
        <w:rPr>
          <w:rFonts w:cs="Times New Roman"/>
          <w:szCs w:val="24"/>
        </w:rPr>
        <w:t>supervisor</w:t>
      </w:r>
      <w:r w:rsidR="00703C28">
        <w:rPr>
          <w:rFonts w:cs="Times New Roman"/>
          <w:szCs w:val="24"/>
        </w:rPr>
        <w:t>s</w:t>
      </w:r>
      <w:r w:rsidRPr="00AC1055">
        <w:rPr>
          <w:rFonts w:cs="Times New Roman"/>
          <w:szCs w:val="24"/>
        </w:rPr>
        <w:t xml:space="preserve"> of securities markets focused on </w:t>
      </w:r>
      <w:r w:rsidR="00703C28">
        <w:rPr>
          <w:rFonts w:cs="Times New Roman"/>
          <w:szCs w:val="24"/>
        </w:rPr>
        <w:t xml:space="preserve">the </w:t>
      </w:r>
      <w:r w:rsidRPr="00AC1055">
        <w:rPr>
          <w:rFonts w:cs="Times New Roman"/>
          <w:szCs w:val="24"/>
        </w:rPr>
        <w:t xml:space="preserve">nature of </w:t>
      </w:r>
      <w:r w:rsidR="00703C28">
        <w:rPr>
          <w:rFonts w:cs="Times New Roman"/>
          <w:szCs w:val="24"/>
        </w:rPr>
        <w:t xml:space="preserve">the </w:t>
      </w:r>
      <w:r w:rsidRPr="00AC1055">
        <w:rPr>
          <w:rFonts w:cs="Times New Roman"/>
          <w:szCs w:val="24"/>
        </w:rPr>
        <w:t xml:space="preserve">appointment, type of tenure, </w:t>
      </w:r>
      <w:r w:rsidR="00703C28">
        <w:rPr>
          <w:rFonts w:cs="Times New Roman"/>
          <w:szCs w:val="24"/>
        </w:rPr>
        <w:t xml:space="preserve">the </w:t>
      </w:r>
      <w:r w:rsidRPr="00AC1055">
        <w:rPr>
          <w:rFonts w:cs="Times New Roman"/>
          <w:szCs w:val="24"/>
        </w:rPr>
        <w:t xml:space="preserve">rulemaking powers of </w:t>
      </w:r>
      <w:r w:rsidR="00703C28">
        <w:rPr>
          <w:rFonts w:cs="Times New Roman"/>
          <w:szCs w:val="24"/>
        </w:rPr>
        <w:t xml:space="preserve">the </w:t>
      </w:r>
      <w:r w:rsidRPr="00AC1055">
        <w:rPr>
          <w:rFonts w:cs="Times New Roman"/>
          <w:szCs w:val="24"/>
        </w:rPr>
        <w:t xml:space="preserve">supervisor along with </w:t>
      </w:r>
      <w:r w:rsidR="00703C28">
        <w:rPr>
          <w:rFonts w:cs="Times New Roman"/>
          <w:szCs w:val="24"/>
        </w:rPr>
        <w:t>their</w:t>
      </w:r>
      <w:r w:rsidR="00703C28" w:rsidRPr="00AC1055">
        <w:rPr>
          <w:rFonts w:cs="Times New Roman"/>
          <w:szCs w:val="24"/>
        </w:rPr>
        <w:t xml:space="preserve"> </w:t>
      </w:r>
      <w:r w:rsidRPr="00AC1055">
        <w:rPr>
          <w:rFonts w:cs="Times New Roman"/>
          <w:szCs w:val="24"/>
        </w:rPr>
        <w:t>ability to issue criminal sanctions against directors, distributor</w:t>
      </w:r>
      <w:r w:rsidR="00703C28">
        <w:rPr>
          <w:rFonts w:cs="Times New Roman"/>
          <w:szCs w:val="24"/>
        </w:rPr>
        <w:t>s</w:t>
      </w:r>
      <w:r w:rsidRPr="00AC1055">
        <w:rPr>
          <w:rFonts w:cs="Times New Roman"/>
          <w:szCs w:val="24"/>
        </w:rPr>
        <w:t xml:space="preserve"> etc. </w:t>
      </w:r>
      <w:r w:rsidRPr="00AC1055">
        <w:rPr>
          <w:rFonts w:cs="Times New Roman"/>
          <w:szCs w:val="24"/>
          <w:vertAlign w:val="superscript"/>
        </w:rPr>
        <w:footnoteReference w:id="34"/>
      </w:r>
      <w:r w:rsidRPr="00AC1055">
        <w:rPr>
          <w:rFonts w:cs="Times New Roman"/>
          <w:szCs w:val="24"/>
        </w:rPr>
        <w:t xml:space="preserve"> </w:t>
      </w:r>
    </w:p>
    <w:p w14:paraId="40C6600A" w14:textId="37B4B90C" w:rsidR="003E11A9" w:rsidRPr="00AC1055" w:rsidRDefault="003E11A9" w:rsidP="00AC1055">
      <w:pPr>
        <w:spacing w:line="480" w:lineRule="auto"/>
        <w:rPr>
          <w:rFonts w:cs="Times New Roman"/>
          <w:szCs w:val="24"/>
        </w:rPr>
      </w:pPr>
      <w:r w:rsidRPr="00AC1055">
        <w:rPr>
          <w:rFonts w:cs="Times New Roman"/>
          <w:szCs w:val="24"/>
        </w:rPr>
        <w:t>Alongside the development of quantitative coding by academics</w:t>
      </w:r>
      <w:r w:rsidR="00703C28">
        <w:rPr>
          <w:rFonts w:cs="Times New Roman"/>
          <w:szCs w:val="24"/>
        </w:rPr>
        <w:t>,</w:t>
      </w:r>
      <w:r w:rsidRPr="00AC1055">
        <w:rPr>
          <w:rFonts w:cs="Times New Roman"/>
          <w:szCs w:val="24"/>
        </w:rPr>
        <w:t xml:space="preserve"> various international organisations also </w:t>
      </w:r>
      <w:r w:rsidR="00703C28">
        <w:rPr>
          <w:rFonts w:cs="Times New Roman"/>
          <w:szCs w:val="24"/>
        </w:rPr>
        <w:t>developed</w:t>
      </w:r>
      <w:r w:rsidRPr="00AC1055">
        <w:rPr>
          <w:rFonts w:cs="Times New Roman"/>
          <w:szCs w:val="24"/>
        </w:rPr>
        <w:t xml:space="preserve"> a series of scales and codes for </w:t>
      </w:r>
      <w:r w:rsidR="00703C28">
        <w:rPr>
          <w:rFonts w:cs="Times New Roman"/>
          <w:szCs w:val="24"/>
        </w:rPr>
        <w:t xml:space="preserve">the </w:t>
      </w:r>
      <w:r w:rsidRPr="00AC1055">
        <w:rPr>
          <w:rFonts w:cs="Times New Roman"/>
          <w:szCs w:val="24"/>
        </w:rPr>
        <w:t xml:space="preserve">comparative analysis of </w:t>
      </w:r>
      <w:r w:rsidR="00703C28">
        <w:rPr>
          <w:rFonts w:cs="Times New Roman"/>
          <w:szCs w:val="24"/>
        </w:rPr>
        <w:t xml:space="preserve">the </w:t>
      </w:r>
      <w:r w:rsidRPr="00AC1055">
        <w:rPr>
          <w:rFonts w:cs="Times New Roman"/>
          <w:szCs w:val="24"/>
        </w:rPr>
        <w:t xml:space="preserve">adoption and implementation of corporate governance. </w:t>
      </w:r>
      <w:r w:rsidR="00703C28">
        <w:rPr>
          <w:rFonts w:cs="Times New Roman"/>
          <w:szCs w:val="24"/>
        </w:rPr>
        <w:t xml:space="preserve">In their original 1996 paper, </w:t>
      </w:r>
      <w:r w:rsidRPr="00AC1055">
        <w:rPr>
          <w:rFonts w:cs="Times New Roman"/>
          <w:szCs w:val="24"/>
        </w:rPr>
        <w:t xml:space="preserve">La Porta et al. used data from secondary sources such as Price Waterhouse’s </w:t>
      </w:r>
      <w:r w:rsidRPr="00044179">
        <w:rPr>
          <w:rFonts w:cs="Times New Roman"/>
          <w:i/>
          <w:szCs w:val="24"/>
        </w:rPr>
        <w:t>Doing Business</w:t>
      </w:r>
      <w:r w:rsidRPr="00AC1055">
        <w:rPr>
          <w:rFonts w:cs="Times New Roman"/>
          <w:szCs w:val="24"/>
        </w:rPr>
        <w:t xml:space="preserve"> reports for various countries.</w:t>
      </w:r>
      <w:r w:rsidRPr="00AC1055">
        <w:rPr>
          <w:rFonts w:cs="Times New Roman"/>
          <w:szCs w:val="24"/>
          <w:vertAlign w:val="superscript"/>
        </w:rPr>
        <w:footnoteReference w:id="35"/>
      </w:r>
      <w:r w:rsidRPr="00AC1055">
        <w:rPr>
          <w:rFonts w:cs="Times New Roman"/>
          <w:szCs w:val="24"/>
        </w:rPr>
        <w:t xml:space="preserve"> Soon after the initial La Porta et al. papers, in May 1999</w:t>
      </w:r>
      <w:r w:rsidR="00703C28">
        <w:rPr>
          <w:rFonts w:cs="Times New Roman"/>
          <w:szCs w:val="24"/>
        </w:rPr>
        <w:t>,</w:t>
      </w:r>
      <w:r w:rsidRPr="00AC1055">
        <w:rPr>
          <w:rFonts w:cs="Times New Roman"/>
          <w:szCs w:val="24"/>
        </w:rPr>
        <w:t xml:space="preserve"> OECD published its non-binding Principles </w:t>
      </w:r>
      <w:r w:rsidR="00044179">
        <w:rPr>
          <w:rFonts w:cs="Times New Roman"/>
          <w:szCs w:val="24"/>
        </w:rPr>
        <w:t>for</w:t>
      </w:r>
      <w:r w:rsidRPr="00AC1055">
        <w:rPr>
          <w:rFonts w:cs="Times New Roman"/>
          <w:szCs w:val="24"/>
        </w:rPr>
        <w:t xml:space="preserve"> </w:t>
      </w:r>
      <w:r w:rsidR="00044179">
        <w:rPr>
          <w:rFonts w:cs="Times New Roman"/>
          <w:szCs w:val="24"/>
        </w:rPr>
        <w:t>C</w:t>
      </w:r>
      <w:r w:rsidRPr="00AC1055">
        <w:rPr>
          <w:rFonts w:cs="Times New Roman"/>
          <w:szCs w:val="24"/>
        </w:rPr>
        <w:t xml:space="preserve">orporate </w:t>
      </w:r>
      <w:r w:rsidR="00044179">
        <w:rPr>
          <w:rFonts w:cs="Times New Roman"/>
          <w:szCs w:val="24"/>
        </w:rPr>
        <w:t>G</w:t>
      </w:r>
      <w:r w:rsidRPr="00AC1055">
        <w:rPr>
          <w:rFonts w:cs="Times New Roman"/>
          <w:szCs w:val="24"/>
        </w:rPr>
        <w:t xml:space="preserve">overnance. In the same year </w:t>
      </w:r>
      <w:r w:rsidR="00703C28">
        <w:rPr>
          <w:rFonts w:cs="Times New Roman"/>
          <w:szCs w:val="24"/>
        </w:rPr>
        <w:t xml:space="preserve">the </w:t>
      </w:r>
      <w:r w:rsidRPr="00AC1055">
        <w:rPr>
          <w:rFonts w:cs="Times New Roman"/>
          <w:szCs w:val="24"/>
        </w:rPr>
        <w:t xml:space="preserve">World Bank launched the </w:t>
      </w:r>
      <w:r w:rsidRPr="00044179">
        <w:rPr>
          <w:rFonts w:cs="Times New Roman"/>
          <w:i/>
          <w:szCs w:val="24"/>
        </w:rPr>
        <w:t xml:space="preserve">Reports on the Observance of Standards and Codes (ROSC) </w:t>
      </w:r>
      <w:r w:rsidRPr="00AC1055">
        <w:rPr>
          <w:rFonts w:cs="Times New Roman"/>
          <w:szCs w:val="24"/>
        </w:rPr>
        <w:t xml:space="preserve">initiative to ‘benchmark the member country’s corporate governance framework and company practices against the OECD Principles for Corporate Governance, assist the country in developing and implementing a country action plan for improving institutional capacity with a view to strengthening the country’s corporate governance framework and to raise awareness of good corporate governance practices among the country’s </w:t>
      </w:r>
      <w:r w:rsidRPr="00AC1055">
        <w:rPr>
          <w:rFonts w:cs="Times New Roman"/>
          <w:szCs w:val="24"/>
        </w:rPr>
        <w:lastRenderedPageBreak/>
        <w:t>public and private sector stakeholders.’</w:t>
      </w:r>
      <w:r w:rsidRPr="00AC1055">
        <w:rPr>
          <w:rFonts w:cs="Times New Roman"/>
          <w:szCs w:val="24"/>
          <w:vertAlign w:val="superscript"/>
        </w:rPr>
        <w:footnoteReference w:id="36"/>
      </w:r>
      <w:r w:rsidRPr="00AC1055">
        <w:rPr>
          <w:rFonts w:cs="Times New Roman"/>
          <w:szCs w:val="24"/>
        </w:rPr>
        <w:t xml:space="preserve"> ROSC provides one of the most comprehensive quantitative </w:t>
      </w:r>
      <w:proofErr w:type="spellStart"/>
      <w:r w:rsidRPr="00AC1055">
        <w:rPr>
          <w:rFonts w:cs="Times New Roman"/>
          <w:szCs w:val="24"/>
        </w:rPr>
        <w:t>codings</w:t>
      </w:r>
      <w:proofErr w:type="spellEnd"/>
      <w:r w:rsidRPr="00AC1055">
        <w:rPr>
          <w:rFonts w:cs="Times New Roman"/>
          <w:szCs w:val="24"/>
        </w:rPr>
        <w:t xml:space="preserve"> for comparative corporate governance compliance. Scholars like Ruth V. Aguilera and Cynthia A. Williams believe that developments like ROSC can be traced to the La Porta et al. 1996 paper which ‘provided intellectual support for a complex of policy prescriptions that are considered important in allowing financial markets to flourish.’</w:t>
      </w:r>
      <w:r w:rsidRPr="00AC1055">
        <w:rPr>
          <w:rFonts w:cs="Times New Roman"/>
          <w:szCs w:val="24"/>
          <w:vertAlign w:val="superscript"/>
        </w:rPr>
        <w:footnoteReference w:id="37"/>
      </w:r>
      <w:r w:rsidRPr="00AC1055">
        <w:rPr>
          <w:rFonts w:cs="Times New Roman"/>
          <w:szCs w:val="24"/>
        </w:rPr>
        <w:t xml:space="preserve"> Another interesting broad</w:t>
      </w:r>
      <w:r w:rsidR="00237F28">
        <w:rPr>
          <w:rFonts w:cs="Times New Roman"/>
          <w:szCs w:val="24"/>
        </w:rPr>
        <w:t>-</w:t>
      </w:r>
      <w:r w:rsidRPr="00AC1055">
        <w:rPr>
          <w:rFonts w:cs="Times New Roman"/>
          <w:szCs w:val="24"/>
        </w:rPr>
        <w:t xml:space="preserve">based quantitative coding </w:t>
      </w:r>
      <w:r w:rsidR="00237F28">
        <w:rPr>
          <w:rFonts w:cs="Times New Roman"/>
          <w:szCs w:val="24"/>
        </w:rPr>
        <w:t xml:space="preserve">method, </w:t>
      </w:r>
      <w:r w:rsidRPr="00AC1055">
        <w:rPr>
          <w:rFonts w:cs="Times New Roman"/>
          <w:szCs w:val="24"/>
        </w:rPr>
        <w:t>which evolved from La Porta et al.</w:t>
      </w:r>
      <w:r w:rsidR="00237F28">
        <w:rPr>
          <w:rFonts w:cs="Times New Roman"/>
          <w:szCs w:val="24"/>
        </w:rPr>
        <w:t>,</w:t>
      </w:r>
      <w:r w:rsidRPr="00AC1055">
        <w:rPr>
          <w:rFonts w:cs="Times New Roman"/>
          <w:szCs w:val="24"/>
        </w:rPr>
        <w:t xml:space="preserve"> is the authoritative </w:t>
      </w:r>
      <w:r w:rsidRPr="00044179">
        <w:rPr>
          <w:rFonts w:cs="Times New Roman"/>
          <w:i/>
          <w:szCs w:val="24"/>
        </w:rPr>
        <w:t>Doing Business Survey</w:t>
      </w:r>
      <w:r w:rsidRPr="00AC1055">
        <w:rPr>
          <w:rFonts w:cs="Times New Roman"/>
          <w:szCs w:val="24"/>
        </w:rPr>
        <w:t xml:space="preserve"> formulated by </w:t>
      </w:r>
      <w:r w:rsidR="00237F28">
        <w:rPr>
          <w:rFonts w:cs="Times New Roman"/>
          <w:szCs w:val="24"/>
        </w:rPr>
        <w:t xml:space="preserve">the </w:t>
      </w:r>
      <w:r w:rsidRPr="00AC1055">
        <w:rPr>
          <w:rFonts w:cs="Times New Roman"/>
          <w:szCs w:val="24"/>
        </w:rPr>
        <w:t xml:space="preserve">World Bank which deals with comparative ranking on issues like starting a business, getting permits, electricity, registering property, taxes, enforcing contracts etc. </w:t>
      </w:r>
      <w:r w:rsidR="00237F28">
        <w:rPr>
          <w:rFonts w:cs="Times New Roman"/>
          <w:szCs w:val="24"/>
        </w:rPr>
        <w:t>T</w:t>
      </w:r>
      <w:r w:rsidRPr="00AC1055">
        <w:rPr>
          <w:rFonts w:cs="Times New Roman"/>
          <w:szCs w:val="24"/>
        </w:rPr>
        <w:t xml:space="preserve">he index also contains the shareholder protection index formulated by </w:t>
      </w:r>
      <w:proofErr w:type="spellStart"/>
      <w:r w:rsidRPr="00AC1055">
        <w:rPr>
          <w:rFonts w:cs="Times New Roman"/>
          <w:szCs w:val="24"/>
        </w:rPr>
        <w:t>Djankov</w:t>
      </w:r>
      <w:proofErr w:type="spellEnd"/>
      <w:r w:rsidRPr="00AC1055">
        <w:rPr>
          <w:rFonts w:cs="Times New Roman"/>
          <w:szCs w:val="24"/>
        </w:rPr>
        <w:t xml:space="preserve"> et al.</w:t>
      </w:r>
      <w:r w:rsidRPr="00AC1055">
        <w:rPr>
          <w:rFonts w:cs="Times New Roman"/>
          <w:szCs w:val="24"/>
          <w:vertAlign w:val="superscript"/>
        </w:rPr>
        <w:footnoteReference w:id="38"/>
      </w:r>
      <w:r w:rsidRPr="00AC1055">
        <w:rPr>
          <w:rFonts w:cs="Times New Roman"/>
          <w:szCs w:val="24"/>
        </w:rPr>
        <w:t xml:space="preserve"> which</w:t>
      </w:r>
      <w:r w:rsidR="00237F28">
        <w:rPr>
          <w:rFonts w:cs="Times New Roman"/>
          <w:szCs w:val="24"/>
        </w:rPr>
        <w:t>,</w:t>
      </w:r>
      <w:r w:rsidRPr="00AC1055">
        <w:rPr>
          <w:rFonts w:cs="Times New Roman"/>
          <w:szCs w:val="24"/>
        </w:rPr>
        <w:t xml:space="preserve"> as discussed earlier</w:t>
      </w:r>
      <w:r w:rsidR="00237F28">
        <w:rPr>
          <w:rFonts w:cs="Times New Roman"/>
          <w:szCs w:val="24"/>
        </w:rPr>
        <w:t>,</w:t>
      </w:r>
      <w:r w:rsidRPr="00AC1055">
        <w:rPr>
          <w:rFonts w:cs="Times New Roman"/>
          <w:szCs w:val="24"/>
        </w:rPr>
        <w:t xml:space="preserve"> draws inspiration from the methodology of </w:t>
      </w:r>
      <w:r w:rsidR="00237F28">
        <w:rPr>
          <w:rFonts w:cs="Times New Roman"/>
          <w:szCs w:val="24"/>
        </w:rPr>
        <w:t xml:space="preserve">the </w:t>
      </w:r>
      <w:r w:rsidRPr="00AC1055">
        <w:rPr>
          <w:rFonts w:cs="Times New Roman"/>
          <w:szCs w:val="24"/>
        </w:rPr>
        <w:t xml:space="preserve">1996 paper </w:t>
      </w:r>
      <w:r w:rsidR="00237F28">
        <w:rPr>
          <w:rFonts w:cs="Times New Roman"/>
          <w:szCs w:val="24"/>
        </w:rPr>
        <w:t>by</w:t>
      </w:r>
      <w:r w:rsidR="00237F28" w:rsidRPr="00AC1055">
        <w:rPr>
          <w:rFonts w:cs="Times New Roman"/>
          <w:szCs w:val="24"/>
        </w:rPr>
        <w:t xml:space="preserve"> </w:t>
      </w:r>
      <w:r w:rsidRPr="00AC1055">
        <w:rPr>
          <w:rFonts w:cs="Times New Roman"/>
          <w:szCs w:val="24"/>
        </w:rPr>
        <w:t xml:space="preserve">La Porta et al. </w:t>
      </w:r>
    </w:p>
    <w:p w14:paraId="155F368D" w14:textId="2B2BC911" w:rsidR="003E11A9" w:rsidRPr="00AC1055" w:rsidRDefault="003E11A9" w:rsidP="00AC1055">
      <w:pPr>
        <w:spacing w:line="480" w:lineRule="auto"/>
        <w:rPr>
          <w:rFonts w:cs="Times New Roman"/>
          <w:szCs w:val="24"/>
        </w:rPr>
      </w:pPr>
      <w:r w:rsidRPr="00AC1055">
        <w:rPr>
          <w:rFonts w:cs="Times New Roman"/>
          <w:szCs w:val="24"/>
        </w:rPr>
        <w:t>The ROSC corporate governance coding template focuses on (1) Ownership and Control (2) Legal and regulatory framework</w:t>
      </w:r>
      <w:r w:rsidR="00237F28">
        <w:rPr>
          <w:rFonts w:cs="Times New Roman"/>
          <w:szCs w:val="24"/>
        </w:rPr>
        <w:t>s</w:t>
      </w:r>
      <w:r w:rsidRPr="00AC1055">
        <w:rPr>
          <w:rFonts w:cs="Times New Roman"/>
          <w:szCs w:val="24"/>
        </w:rPr>
        <w:t xml:space="preserve"> (3) Historical influences on the current corporate governance system (4) checks on legal and regulatory requirements that affect corporate governance practices in a jurisdiction </w:t>
      </w:r>
      <w:r w:rsidR="00237F28">
        <w:rPr>
          <w:rFonts w:cs="Times New Roman"/>
          <w:szCs w:val="24"/>
        </w:rPr>
        <w:t>regarding consistency</w:t>
      </w:r>
      <w:r w:rsidRPr="00AC1055">
        <w:rPr>
          <w:rFonts w:cs="Times New Roman"/>
          <w:szCs w:val="24"/>
        </w:rPr>
        <w:t xml:space="preserve"> with the rule</w:t>
      </w:r>
      <w:r w:rsidR="00237F28">
        <w:rPr>
          <w:rFonts w:cs="Times New Roman"/>
          <w:szCs w:val="24"/>
        </w:rPr>
        <w:t>s</w:t>
      </w:r>
      <w:r w:rsidRPr="00AC1055">
        <w:rPr>
          <w:rFonts w:cs="Times New Roman"/>
          <w:szCs w:val="24"/>
        </w:rPr>
        <w:t xml:space="preserve"> of law, transparency and enforceability (5) division of responsibilities among different authorities in a jurisdiction (6) rights of shareholders and key ownership function</w:t>
      </w:r>
      <w:r w:rsidR="00237F28">
        <w:rPr>
          <w:rFonts w:cs="Times New Roman"/>
          <w:szCs w:val="24"/>
        </w:rPr>
        <w:t>s</w:t>
      </w:r>
      <w:r w:rsidRPr="00AC1055">
        <w:rPr>
          <w:rFonts w:cs="Times New Roman"/>
          <w:szCs w:val="24"/>
        </w:rPr>
        <w:t xml:space="preserve"> – ownership registration, transfer of shares, basic shareholder rights, equitable treatment of shareholders (7) efficiency and transparency of market for corporate control (8) rights of stakeholders in corporate governance (9) prevalence of </w:t>
      </w:r>
      <w:r w:rsidRPr="00AC1055">
        <w:rPr>
          <w:rFonts w:cs="Times New Roman"/>
          <w:szCs w:val="24"/>
        </w:rPr>
        <w:lastRenderedPageBreak/>
        <w:t>performance related pay (10) financial disclosure and transparency in globally accredited accountancy format (11) responsibilities of board of directors.</w:t>
      </w:r>
    </w:p>
    <w:p w14:paraId="00BC8DAD" w14:textId="0828310B" w:rsidR="003E11A9" w:rsidRPr="00AC1055" w:rsidRDefault="003E11A9" w:rsidP="00AC1055">
      <w:pPr>
        <w:spacing w:line="480" w:lineRule="auto"/>
        <w:rPr>
          <w:rFonts w:eastAsia="Times New Roman" w:cs="Times New Roman"/>
          <w:szCs w:val="24"/>
          <w:lang w:eastAsia="en-GB"/>
        </w:rPr>
      </w:pPr>
      <w:r w:rsidRPr="00AC1055">
        <w:rPr>
          <w:rFonts w:cs="Times New Roman"/>
          <w:szCs w:val="24"/>
        </w:rPr>
        <w:t>It is also interesting to note that around 2003 another fork appeared in computing corporate governance indices. This time instead of the macro index popularised by La Porta et al., the index focussed solely on firm level corporate governance performance. This micro level index was popularised by Paul A. Gompers</w:t>
      </w:r>
      <w:r w:rsidRPr="00AC1055">
        <w:rPr>
          <w:rFonts w:cs="Times New Roman"/>
          <w:szCs w:val="24"/>
          <w:vertAlign w:val="superscript"/>
        </w:rPr>
        <w:t xml:space="preserve"> </w:t>
      </w:r>
      <w:r w:rsidRPr="00AC1055">
        <w:rPr>
          <w:rFonts w:cs="Times New Roman"/>
          <w:szCs w:val="24"/>
        </w:rPr>
        <w:t>et al.</w:t>
      </w:r>
      <w:r w:rsidRPr="00AC1055">
        <w:rPr>
          <w:rFonts w:cs="Times New Roman"/>
          <w:szCs w:val="24"/>
          <w:vertAlign w:val="superscript"/>
        </w:rPr>
        <w:footnoteReference w:id="39"/>
      </w:r>
      <w:r w:rsidRPr="00AC1055">
        <w:rPr>
          <w:rFonts w:cs="Times New Roman"/>
          <w:szCs w:val="24"/>
        </w:rPr>
        <w:t xml:space="preserve"> In their seminal paper they studied 24 firm level corporate governance factors for 1500 large corporations for</w:t>
      </w:r>
      <w:r w:rsidR="00237F28">
        <w:rPr>
          <w:rFonts w:cs="Times New Roman"/>
          <w:szCs w:val="24"/>
        </w:rPr>
        <w:t xml:space="preserve"> the</w:t>
      </w:r>
      <w:r w:rsidRPr="00AC1055">
        <w:rPr>
          <w:rFonts w:cs="Times New Roman"/>
          <w:szCs w:val="24"/>
        </w:rPr>
        <w:t xml:space="preserve"> period 1990-1999. The corporate governance provisions were divided into five thematic groups: tactics for delaying hostile bidders, director/officer protection, voting rights, other takeover defences, and State/laws.</w:t>
      </w:r>
      <w:r w:rsidRPr="00AC1055">
        <w:rPr>
          <w:rFonts w:cs="Times New Roman"/>
          <w:szCs w:val="24"/>
          <w:vertAlign w:val="superscript"/>
        </w:rPr>
        <w:footnoteReference w:id="40"/>
      </w:r>
      <w:r w:rsidRPr="00AC1055">
        <w:rPr>
          <w:rFonts w:cs="Times New Roman"/>
          <w:szCs w:val="24"/>
        </w:rPr>
        <w:t xml:space="preserve"> Paul A. Gompers</w:t>
      </w:r>
      <w:r w:rsidRPr="00AC1055">
        <w:rPr>
          <w:rFonts w:cs="Times New Roman"/>
          <w:szCs w:val="24"/>
          <w:vertAlign w:val="superscript"/>
        </w:rPr>
        <w:t xml:space="preserve"> </w:t>
      </w:r>
      <w:r w:rsidRPr="00AC1055">
        <w:rPr>
          <w:rFonts w:cs="Times New Roman"/>
          <w:szCs w:val="24"/>
        </w:rPr>
        <w:t>et al. focussed on anti-shareholder provisions in the company’s prospectus and other documents creating a ‘G index’ where higher scores meant lower shareholder rights. They then concentrated on two extreme end</w:t>
      </w:r>
      <w:r w:rsidR="00237F28">
        <w:rPr>
          <w:rFonts w:cs="Times New Roman"/>
          <w:szCs w:val="24"/>
        </w:rPr>
        <w:t>s</w:t>
      </w:r>
      <w:r w:rsidRPr="00AC1055">
        <w:rPr>
          <w:rFonts w:cs="Times New Roman"/>
          <w:szCs w:val="24"/>
        </w:rPr>
        <w:t xml:space="preserve"> of the index creating</w:t>
      </w:r>
      <w:r w:rsidR="00237F28">
        <w:rPr>
          <w:rFonts w:cs="Times New Roman"/>
          <w:szCs w:val="24"/>
        </w:rPr>
        <w:t xml:space="preserve"> a</w:t>
      </w:r>
      <w:r w:rsidRPr="00AC1055">
        <w:rPr>
          <w:rFonts w:cs="Times New Roman"/>
          <w:szCs w:val="24"/>
        </w:rPr>
        <w:t xml:space="preserve"> ‘</w:t>
      </w:r>
      <w:r w:rsidRPr="00AC1055">
        <w:rPr>
          <w:rFonts w:eastAsia="Times New Roman" w:cs="Times New Roman"/>
          <w:szCs w:val="24"/>
          <w:lang w:eastAsia="en-GB"/>
        </w:rPr>
        <w:t xml:space="preserve">Dictatorship Portfolio’ of the firms with the weakest shareholder rights (G≥14), and </w:t>
      </w:r>
      <w:r w:rsidR="00237F28">
        <w:rPr>
          <w:rFonts w:eastAsia="Times New Roman" w:cs="Times New Roman"/>
          <w:szCs w:val="24"/>
          <w:lang w:eastAsia="en-GB"/>
        </w:rPr>
        <w:t>a</w:t>
      </w:r>
      <w:r w:rsidR="00237F28" w:rsidRPr="00AC1055">
        <w:rPr>
          <w:rFonts w:eastAsia="Times New Roman" w:cs="Times New Roman"/>
          <w:szCs w:val="24"/>
          <w:lang w:eastAsia="en-GB"/>
        </w:rPr>
        <w:t xml:space="preserve"> </w:t>
      </w:r>
      <w:r w:rsidRPr="00AC1055">
        <w:rPr>
          <w:rFonts w:eastAsia="Times New Roman" w:cs="Times New Roman"/>
          <w:szCs w:val="24"/>
          <w:lang w:eastAsia="en-GB"/>
        </w:rPr>
        <w:t>‘Democracy Portfolio’ of the firms with</w:t>
      </w:r>
      <w:r w:rsidRPr="00AC1055">
        <w:rPr>
          <w:rFonts w:cs="Times New Roman"/>
          <w:szCs w:val="24"/>
        </w:rPr>
        <w:t xml:space="preserve"> </w:t>
      </w:r>
      <w:r w:rsidR="00237F28">
        <w:rPr>
          <w:rFonts w:cs="Times New Roman"/>
          <w:szCs w:val="24"/>
        </w:rPr>
        <w:t xml:space="preserve">the </w:t>
      </w:r>
      <w:r w:rsidRPr="00AC1055">
        <w:rPr>
          <w:rFonts w:eastAsia="Times New Roman" w:cs="Times New Roman"/>
          <w:szCs w:val="24"/>
          <w:lang w:eastAsia="en-GB"/>
        </w:rPr>
        <w:t>strongest shareholder rights (G ≤ 5).’</w:t>
      </w:r>
      <w:r w:rsidRPr="00AC1055">
        <w:rPr>
          <w:rFonts w:eastAsia="Times New Roman" w:cs="Times New Roman"/>
          <w:szCs w:val="24"/>
          <w:vertAlign w:val="superscript"/>
          <w:lang w:eastAsia="en-GB"/>
        </w:rPr>
        <w:footnoteReference w:id="41"/>
      </w:r>
      <w:r w:rsidRPr="00AC1055">
        <w:rPr>
          <w:rFonts w:eastAsia="Times New Roman" w:cs="Times New Roman"/>
          <w:szCs w:val="24"/>
          <w:lang w:eastAsia="en-GB"/>
        </w:rPr>
        <w:t xml:space="preserve"> </w:t>
      </w:r>
    </w:p>
    <w:p w14:paraId="5C93E024" w14:textId="13585988" w:rsidR="003E11A9" w:rsidRPr="00AC1055" w:rsidRDefault="003E11A9" w:rsidP="00AC1055">
      <w:pPr>
        <w:spacing w:line="480" w:lineRule="auto"/>
        <w:rPr>
          <w:rFonts w:eastAsia="Times New Roman" w:cs="Times New Roman"/>
          <w:szCs w:val="24"/>
          <w:lang w:eastAsia="en-GB"/>
        </w:rPr>
      </w:pPr>
      <w:r w:rsidRPr="00AC1055">
        <w:rPr>
          <w:rFonts w:eastAsia="Times New Roman" w:cs="Times New Roman"/>
          <w:szCs w:val="24"/>
          <w:lang w:eastAsia="en-GB"/>
        </w:rPr>
        <w:t>This paper led to a series of similar works using different index component</w:t>
      </w:r>
      <w:r w:rsidR="00237F28">
        <w:rPr>
          <w:rFonts w:eastAsia="Times New Roman" w:cs="Times New Roman"/>
          <w:szCs w:val="24"/>
          <w:lang w:eastAsia="en-GB"/>
        </w:rPr>
        <w:t>s</w:t>
      </w:r>
      <w:r w:rsidRPr="00AC1055">
        <w:rPr>
          <w:rFonts w:eastAsia="Times New Roman" w:cs="Times New Roman"/>
          <w:szCs w:val="24"/>
          <w:lang w:eastAsia="en-GB"/>
        </w:rPr>
        <w:t xml:space="preserve"> across different jurisdiction</w:t>
      </w:r>
      <w:r w:rsidR="00237F28">
        <w:rPr>
          <w:rFonts w:eastAsia="Times New Roman" w:cs="Times New Roman"/>
          <w:szCs w:val="24"/>
          <w:lang w:eastAsia="en-GB"/>
        </w:rPr>
        <w:t>s</w:t>
      </w:r>
      <w:r w:rsidRPr="00AC1055">
        <w:rPr>
          <w:rFonts w:eastAsia="Times New Roman" w:cs="Times New Roman"/>
          <w:szCs w:val="24"/>
          <w:lang w:eastAsia="en-GB"/>
        </w:rPr>
        <w:t xml:space="preserve"> to compute the effects of corporate governance at a firm</w:t>
      </w:r>
      <w:r w:rsidR="00237F28">
        <w:rPr>
          <w:rFonts w:eastAsia="Times New Roman" w:cs="Times New Roman"/>
          <w:szCs w:val="24"/>
          <w:lang w:eastAsia="en-GB"/>
        </w:rPr>
        <w:t>-</w:t>
      </w:r>
      <w:r w:rsidRPr="00AC1055">
        <w:rPr>
          <w:rFonts w:eastAsia="Times New Roman" w:cs="Times New Roman"/>
          <w:szCs w:val="24"/>
          <w:lang w:eastAsia="en-GB"/>
        </w:rPr>
        <w:t>specific level.</w:t>
      </w:r>
      <w:r w:rsidRPr="00AC1055">
        <w:rPr>
          <w:rFonts w:eastAsia="Times New Roman" w:cs="Times New Roman"/>
          <w:szCs w:val="24"/>
          <w:vertAlign w:val="superscript"/>
          <w:lang w:eastAsia="en-GB"/>
        </w:rPr>
        <w:footnoteReference w:id="42"/>
      </w:r>
      <w:r w:rsidRPr="00AC1055">
        <w:rPr>
          <w:rFonts w:eastAsia="Times New Roman" w:cs="Times New Roman"/>
          <w:szCs w:val="24"/>
          <w:lang w:eastAsia="en-GB"/>
        </w:rPr>
        <w:t xml:space="preserve"> However</w:t>
      </w:r>
      <w:r w:rsidR="00237F28">
        <w:rPr>
          <w:rFonts w:eastAsia="Times New Roman" w:cs="Times New Roman"/>
          <w:szCs w:val="24"/>
          <w:lang w:eastAsia="en-GB"/>
        </w:rPr>
        <w:t>,</w:t>
      </w:r>
      <w:r w:rsidRPr="00AC1055">
        <w:rPr>
          <w:rFonts w:eastAsia="Times New Roman" w:cs="Times New Roman"/>
          <w:szCs w:val="24"/>
          <w:lang w:eastAsia="en-GB"/>
        </w:rPr>
        <w:t xml:space="preserve"> in </w:t>
      </w:r>
      <w:r w:rsidR="00237F28">
        <w:rPr>
          <w:rFonts w:eastAsia="Times New Roman" w:cs="Times New Roman"/>
          <w:szCs w:val="24"/>
          <w:lang w:eastAsia="en-GB"/>
        </w:rPr>
        <w:t>this research</w:t>
      </w:r>
      <w:r w:rsidRPr="00AC1055">
        <w:rPr>
          <w:rFonts w:eastAsia="Times New Roman" w:cs="Times New Roman"/>
          <w:szCs w:val="24"/>
          <w:lang w:eastAsia="en-GB"/>
        </w:rPr>
        <w:t xml:space="preserve"> the researcher </w:t>
      </w:r>
      <w:r w:rsidR="00237F28">
        <w:rPr>
          <w:rFonts w:eastAsia="Times New Roman" w:cs="Times New Roman"/>
          <w:szCs w:val="24"/>
          <w:lang w:eastAsia="en-GB"/>
        </w:rPr>
        <w:t>will</w:t>
      </w:r>
      <w:r w:rsidR="00237F28" w:rsidRPr="00AC1055">
        <w:rPr>
          <w:rFonts w:eastAsia="Times New Roman" w:cs="Times New Roman"/>
          <w:szCs w:val="24"/>
          <w:lang w:eastAsia="en-GB"/>
        </w:rPr>
        <w:t xml:space="preserve"> </w:t>
      </w:r>
      <w:r w:rsidRPr="00AC1055">
        <w:rPr>
          <w:rFonts w:eastAsia="Times New Roman" w:cs="Times New Roman"/>
          <w:szCs w:val="24"/>
          <w:lang w:eastAsia="en-GB"/>
        </w:rPr>
        <w:t xml:space="preserve">focus mainly on the </w:t>
      </w:r>
      <w:r w:rsidRPr="00AC1055">
        <w:rPr>
          <w:rFonts w:eastAsia="Times New Roman" w:cs="Times New Roman"/>
          <w:szCs w:val="24"/>
          <w:lang w:eastAsia="en-GB"/>
        </w:rPr>
        <w:lastRenderedPageBreak/>
        <w:t>macro</w:t>
      </w:r>
      <w:r w:rsidR="00BE6142">
        <w:rPr>
          <w:rFonts w:eastAsia="Times New Roman" w:cs="Times New Roman"/>
          <w:szCs w:val="24"/>
          <w:lang w:eastAsia="en-GB"/>
        </w:rPr>
        <w:t>-</w:t>
      </w:r>
      <w:r w:rsidRPr="00AC1055">
        <w:rPr>
          <w:rFonts w:eastAsia="Times New Roman" w:cs="Times New Roman"/>
          <w:szCs w:val="24"/>
          <w:lang w:eastAsia="en-GB"/>
        </w:rPr>
        <w:t>corporate governance index as it is better related to the macro-economic observed variables which this research seeks to explain.</w:t>
      </w:r>
    </w:p>
    <w:p w14:paraId="300AAB0F" w14:textId="3F6F7845" w:rsidR="003E11A9" w:rsidRDefault="003E11A9" w:rsidP="00AC1055">
      <w:pPr>
        <w:spacing w:line="480" w:lineRule="auto"/>
        <w:rPr>
          <w:rFonts w:cs="Times New Roman"/>
          <w:szCs w:val="24"/>
        </w:rPr>
      </w:pPr>
      <w:r w:rsidRPr="00AC1055">
        <w:rPr>
          <w:rFonts w:cs="Times New Roman"/>
          <w:szCs w:val="24"/>
        </w:rPr>
        <w:t>Thus</w:t>
      </w:r>
      <w:r w:rsidR="00BE6142">
        <w:rPr>
          <w:rFonts w:cs="Times New Roman"/>
          <w:szCs w:val="24"/>
        </w:rPr>
        <w:t>,</w:t>
      </w:r>
      <w:r w:rsidRPr="00AC1055">
        <w:rPr>
          <w:rFonts w:cs="Times New Roman"/>
          <w:szCs w:val="24"/>
        </w:rPr>
        <w:t xml:space="preserve"> the literature review of the quantitative coding on macro</w:t>
      </w:r>
      <w:r w:rsidR="00BE6142">
        <w:rPr>
          <w:rFonts w:cs="Times New Roman"/>
          <w:szCs w:val="24"/>
        </w:rPr>
        <w:t>-</w:t>
      </w:r>
      <w:r w:rsidRPr="00AC1055">
        <w:rPr>
          <w:rFonts w:cs="Times New Roman"/>
          <w:szCs w:val="24"/>
        </w:rPr>
        <w:t xml:space="preserve">corporate governance provides us with a readily available menu of wide and exhaustive choices of variables. </w:t>
      </w:r>
    </w:p>
    <w:p w14:paraId="2451258F" w14:textId="77777777" w:rsidR="00F867E5" w:rsidRPr="00C90A78" w:rsidRDefault="00F867E5" w:rsidP="00AC1055">
      <w:pPr>
        <w:spacing w:line="480" w:lineRule="auto"/>
        <w:rPr>
          <w:rFonts w:cs="Times New Roman"/>
          <w:sz w:val="20"/>
          <w:szCs w:val="24"/>
        </w:rPr>
      </w:pPr>
    </w:p>
    <w:tbl>
      <w:tblPr>
        <w:tblStyle w:val="TableGrid"/>
        <w:tblW w:w="0" w:type="auto"/>
        <w:tblLook w:val="04A0" w:firstRow="1" w:lastRow="0" w:firstColumn="1" w:lastColumn="0" w:noHBand="0" w:noVBand="1"/>
      </w:tblPr>
      <w:tblGrid>
        <w:gridCol w:w="4207"/>
        <w:gridCol w:w="4207"/>
      </w:tblGrid>
      <w:tr w:rsidR="003E11A9" w:rsidRPr="00AC1055" w14:paraId="2434D25B" w14:textId="77777777" w:rsidTr="00120400">
        <w:tc>
          <w:tcPr>
            <w:tcW w:w="4621" w:type="dxa"/>
          </w:tcPr>
          <w:p w14:paraId="581AA0E3" w14:textId="77777777" w:rsidR="003E11A9" w:rsidRPr="00AC1055" w:rsidRDefault="003E11A9" w:rsidP="001814AD">
            <w:pPr>
              <w:jc w:val="center"/>
              <w:rPr>
                <w:rFonts w:cs="Times New Roman"/>
              </w:rPr>
            </w:pPr>
            <w:r w:rsidRPr="00AC1055">
              <w:rPr>
                <w:rFonts w:cs="Times New Roman"/>
              </w:rPr>
              <w:t>Author</w:t>
            </w:r>
          </w:p>
        </w:tc>
        <w:tc>
          <w:tcPr>
            <w:tcW w:w="4621" w:type="dxa"/>
          </w:tcPr>
          <w:p w14:paraId="109AF850" w14:textId="77777777" w:rsidR="003E11A9" w:rsidRPr="00AC1055" w:rsidRDefault="003E11A9" w:rsidP="001814AD">
            <w:pPr>
              <w:jc w:val="center"/>
              <w:rPr>
                <w:rFonts w:cs="Times New Roman"/>
              </w:rPr>
            </w:pPr>
            <w:r w:rsidRPr="00AC1055">
              <w:rPr>
                <w:rFonts w:cs="Times New Roman"/>
              </w:rPr>
              <w:t>No. of variables related to corporate governance</w:t>
            </w:r>
          </w:p>
        </w:tc>
      </w:tr>
      <w:tr w:rsidR="003E11A9" w:rsidRPr="00AC1055" w14:paraId="39AC00DC" w14:textId="77777777" w:rsidTr="00120400">
        <w:tc>
          <w:tcPr>
            <w:tcW w:w="4621" w:type="dxa"/>
          </w:tcPr>
          <w:p w14:paraId="1976B6DE" w14:textId="77777777" w:rsidR="003E11A9" w:rsidRPr="00AC1055" w:rsidRDefault="003E11A9" w:rsidP="001814AD">
            <w:pPr>
              <w:rPr>
                <w:rFonts w:cs="Times New Roman"/>
              </w:rPr>
            </w:pPr>
            <w:r w:rsidRPr="00AC1055">
              <w:rPr>
                <w:rFonts w:cs="Times New Roman"/>
              </w:rPr>
              <w:t>La Porta et al. (1996)</w:t>
            </w:r>
          </w:p>
        </w:tc>
        <w:tc>
          <w:tcPr>
            <w:tcW w:w="4621" w:type="dxa"/>
          </w:tcPr>
          <w:p w14:paraId="7A5212E6" w14:textId="77777777" w:rsidR="003E11A9" w:rsidRPr="00AC1055" w:rsidRDefault="003E11A9" w:rsidP="001814AD">
            <w:pPr>
              <w:jc w:val="center"/>
              <w:rPr>
                <w:rFonts w:cs="Times New Roman"/>
              </w:rPr>
            </w:pPr>
            <w:r w:rsidRPr="00AC1055">
              <w:rPr>
                <w:rFonts w:cs="Times New Roman"/>
              </w:rPr>
              <w:t>14+</w:t>
            </w:r>
          </w:p>
        </w:tc>
      </w:tr>
      <w:tr w:rsidR="003E11A9" w:rsidRPr="00AC1055" w14:paraId="29817BD9" w14:textId="77777777" w:rsidTr="00120400">
        <w:tc>
          <w:tcPr>
            <w:tcW w:w="4621" w:type="dxa"/>
          </w:tcPr>
          <w:p w14:paraId="16A9C2C7" w14:textId="77777777" w:rsidR="003E11A9" w:rsidRPr="00AC1055" w:rsidRDefault="003E11A9" w:rsidP="001814AD">
            <w:pPr>
              <w:rPr>
                <w:rFonts w:cs="Times New Roman"/>
              </w:rPr>
            </w:pPr>
            <w:proofErr w:type="spellStart"/>
            <w:r w:rsidRPr="00AC1055">
              <w:rPr>
                <w:rFonts w:cs="Times New Roman"/>
              </w:rPr>
              <w:t>Djankov</w:t>
            </w:r>
            <w:proofErr w:type="spellEnd"/>
            <w:r w:rsidRPr="00AC1055">
              <w:rPr>
                <w:rFonts w:cs="Times New Roman"/>
              </w:rPr>
              <w:t xml:space="preserve"> et al. (2005)/ Doing Business Survey (corporate governance index)</w:t>
            </w:r>
          </w:p>
        </w:tc>
        <w:tc>
          <w:tcPr>
            <w:tcW w:w="4621" w:type="dxa"/>
          </w:tcPr>
          <w:p w14:paraId="09A21161" w14:textId="77777777" w:rsidR="003E11A9" w:rsidRPr="00AC1055" w:rsidRDefault="003E11A9" w:rsidP="001814AD">
            <w:pPr>
              <w:jc w:val="center"/>
              <w:rPr>
                <w:rFonts w:cs="Times New Roman"/>
              </w:rPr>
            </w:pPr>
            <w:r w:rsidRPr="00AC1055">
              <w:rPr>
                <w:rFonts w:cs="Times New Roman"/>
              </w:rPr>
              <w:t>20+</w:t>
            </w:r>
          </w:p>
        </w:tc>
      </w:tr>
      <w:tr w:rsidR="003E11A9" w:rsidRPr="00AC1055" w14:paraId="1444153F" w14:textId="77777777" w:rsidTr="00120400">
        <w:tc>
          <w:tcPr>
            <w:tcW w:w="4621" w:type="dxa"/>
          </w:tcPr>
          <w:p w14:paraId="677903DA" w14:textId="77777777" w:rsidR="003E11A9" w:rsidRPr="00AC1055" w:rsidRDefault="003E11A9" w:rsidP="001814AD">
            <w:pPr>
              <w:rPr>
                <w:rFonts w:cs="Times New Roman"/>
              </w:rPr>
            </w:pPr>
            <w:proofErr w:type="spellStart"/>
            <w:r w:rsidRPr="00AC1055">
              <w:rPr>
                <w:rFonts w:cs="Times New Roman"/>
              </w:rPr>
              <w:t>Spamann</w:t>
            </w:r>
            <w:proofErr w:type="spellEnd"/>
            <w:r w:rsidRPr="00AC1055">
              <w:rPr>
                <w:rFonts w:cs="Times New Roman"/>
              </w:rPr>
              <w:t xml:space="preserve"> (2006)</w:t>
            </w:r>
          </w:p>
        </w:tc>
        <w:tc>
          <w:tcPr>
            <w:tcW w:w="4621" w:type="dxa"/>
          </w:tcPr>
          <w:p w14:paraId="2895C21A" w14:textId="77777777" w:rsidR="003E11A9" w:rsidRPr="00AC1055" w:rsidRDefault="003E11A9" w:rsidP="001814AD">
            <w:pPr>
              <w:jc w:val="center"/>
              <w:rPr>
                <w:rFonts w:cs="Times New Roman"/>
              </w:rPr>
            </w:pPr>
            <w:r w:rsidRPr="00AC1055">
              <w:rPr>
                <w:rFonts w:cs="Times New Roman"/>
              </w:rPr>
              <w:t>15+</w:t>
            </w:r>
          </w:p>
        </w:tc>
      </w:tr>
      <w:tr w:rsidR="003E11A9" w:rsidRPr="00AC1055" w14:paraId="790BB07E" w14:textId="77777777" w:rsidTr="00120400">
        <w:tc>
          <w:tcPr>
            <w:tcW w:w="4621" w:type="dxa"/>
          </w:tcPr>
          <w:p w14:paraId="12EFD566" w14:textId="77777777" w:rsidR="003E11A9" w:rsidRPr="00AC1055" w:rsidRDefault="003E11A9" w:rsidP="001814AD">
            <w:pPr>
              <w:rPr>
                <w:rFonts w:cs="Times New Roman"/>
              </w:rPr>
            </w:pPr>
            <w:r w:rsidRPr="00AC1055">
              <w:rPr>
                <w:rFonts w:cs="Times New Roman"/>
              </w:rPr>
              <w:t xml:space="preserve">La Porta et al. (2006) </w:t>
            </w:r>
          </w:p>
        </w:tc>
        <w:tc>
          <w:tcPr>
            <w:tcW w:w="4621" w:type="dxa"/>
          </w:tcPr>
          <w:p w14:paraId="15DA76C9" w14:textId="77777777" w:rsidR="003E11A9" w:rsidRPr="00AC1055" w:rsidRDefault="003E11A9" w:rsidP="001814AD">
            <w:pPr>
              <w:jc w:val="center"/>
              <w:rPr>
                <w:rFonts w:cs="Times New Roman"/>
              </w:rPr>
            </w:pPr>
            <w:r w:rsidRPr="00AC1055">
              <w:rPr>
                <w:rFonts w:cs="Times New Roman"/>
              </w:rPr>
              <w:t>20+</w:t>
            </w:r>
          </w:p>
        </w:tc>
      </w:tr>
      <w:tr w:rsidR="003E11A9" w:rsidRPr="00AC1055" w14:paraId="41FDA5D2" w14:textId="77777777" w:rsidTr="00120400">
        <w:tc>
          <w:tcPr>
            <w:tcW w:w="4621" w:type="dxa"/>
          </w:tcPr>
          <w:p w14:paraId="507EC9CF" w14:textId="77777777" w:rsidR="003E11A9" w:rsidRPr="00AC1055" w:rsidRDefault="003E11A9" w:rsidP="001814AD">
            <w:pPr>
              <w:rPr>
                <w:rFonts w:cs="Times New Roman"/>
              </w:rPr>
            </w:pPr>
            <w:r w:rsidRPr="00AC1055">
              <w:rPr>
                <w:rFonts w:cs="Times New Roman"/>
              </w:rPr>
              <w:t>ROSC template for country assessment of corporate governance</w:t>
            </w:r>
          </w:p>
        </w:tc>
        <w:tc>
          <w:tcPr>
            <w:tcW w:w="4621" w:type="dxa"/>
          </w:tcPr>
          <w:p w14:paraId="2B10E3BD" w14:textId="77777777" w:rsidR="003E11A9" w:rsidRPr="00AC1055" w:rsidRDefault="003E11A9" w:rsidP="001814AD">
            <w:pPr>
              <w:jc w:val="center"/>
              <w:rPr>
                <w:rFonts w:cs="Times New Roman"/>
              </w:rPr>
            </w:pPr>
            <w:r w:rsidRPr="00AC1055">
              <w:rPr>
                <w:rFonts w:cs="Times New Roman"/>
              </w:rPr>
              <w:t>465+</w:t>
            </w:r>
          </w:p>
        </w:tc>
      </w:tr>
    </w:tbl>
    <w:p w14:paraId="3ACF532A" w14:textId="77777777" w:rsidR="0081004B" w:rsidRDefault="0081004B" w:rsidP="00AC1055">
      <w:pPr>
        <w:spacing w:line="480" w:lineRule="auto"/>
        <w:rPr>
          <w:rFonts w:cs="Times New Roman"/>
          <w:szCs w:val="24"/>
        </w:rPr>
      </w:pPr>
    </w:p>
    <w:p w14:paraId="3EB63EFC" w14:textId="53A17BC7" w:rsidR="001A6C14" w:rsidRPr="001A6C14" w:rsidRDefault="001A6C14" w:rsidP="00AC1055">
      <w:pPr>
        <w:spacing w:line="480" w:lineRule="auto"/>
        <w:rPr>
          <w:rFonts w:cs="Times New Roman"/>
          <w:b/>
          <w:sz w:val="26"/>
          <w:szCs w:val="24"/>
          <w:u w:val="single"/>
        </w:rPr>
      </w:pPr>
      <w:r w:rsidRPr="001A6C14">
        <w:rPr>
          <w:rFonts w:cs="Times New Roman"/>
          <w:b/>
          <w:sz w:val="26"/>
          <w:szCs w:val="24"/>
          <w:u w:val="single"/>
        </w:rPr>
        <w:t>2.2 Gap</w:t>
      </w:r>
      <w:r w:rsidR="00BE6142">
        <w:rPr>
          <w:rFonts w:cs="Times New Roman"/>
          <w:b/>
          <w:sz w:val="26"/>
          <w:szCs w:val="24"/>
          <w:u w:val="single"/>
        </w:rPr>
        <w:t>s</w:t>
      </w:r>
      <w:r w:rsidRPr="001A6C14">
        <w:rPr>
          <w:rFonts w:cs="Times New Roman"/>
          <w:b/>
          <w:sz w:val="26"/>
          <w:szCs w:val="24"/>
          <w:u w:val="single"/>
        </w:rPr>
        <w:t xml:space="preserve"> in the literature</w:t>
      </w:r>
    </w:p>
    <w:p w14:paraId="709B2362" w14:textId="3265BBF2" w:rsidR="003E11A9" w:rsidRPr="00AC1055" w:rsidRDefault="003E11A9" w:rsidP="00AC1055">
      <w:pPr>
        <w:spacing w:line="480" w:lineRule="auto"/>
        <w:rPr>
          <w:rFonts w:cs="Times New Roman"/>
          <w:szCs w:val="24"/>
        </w:rPr>
      </w:pPr>
      <w:r w:rsidRPr="00AC1055">
        <w:rPr>
          <w:rFonts w:cs="Times New Roman"/>
          <w:szCs w:val="24"/>
        </w:rPr>
        <w:t>One of the major drawbacks of the existing corporate governance index in scholarly literature is the wide generalisation</w:t>
      </w:r>
      <w:r w:rsidR="00BE6142">
        <w:rPr>
          <w:rFonts w:cs="Times New Roman"/>
          <w:szCs w:val="24"/>
        </w:rPr>
        <w:t xml:space="preserve"> it employs</w:t>
      </w:r>
      <w:r w:rsidRPr="00AC1055">
        <w:rPr>
          <w:rFonts w:cs="Times New Roman"/>
          <w:szCs w:val="24"/>
        </w:rPr>
        <w:t>. For example</w:t>
      </w:r>
      <w:r w:rsidR="00BE6142">
        <w:rPr>
          <w:rFonts w:cs="Times New Roman"/>
          <w:szCs w:val="24"/>
        </w:rPr>
        <w:t>,</w:t>
      </w:r>
      <w:r w:rsidRPr="00AC1055">
        <w:rPr>
          <w:rFonts w:cs="Times New Roman"/>
          <w:szCs w:val="24"/>
        </w:rPr>
        <w:t xml:space="preserve"> La Porta et al</w:t>
      </w:r>
      <w:r w:rsidR="00044179">
        <w:rPr>
          <w:rFonts w:cs="Times New Roman"/>
          <w:szCs w:val="24"/>
        </w:rPr>
        <w:t>.</w:t>
      </w:r>
      <w:r w:rsidRPr="00AC1055">
        <w:rPr>
          <w:rFonts w:cs="Times New Roman"/>
          <w:szCs w:val="24"/>
        </w:rPr>
        <w:t xml:space="preserve"> in their 2006 paper had to dilute their sole focus on macroeconomic corporate governance as they sought to explain not only financial market development</w:t>
      </w:r>
      <w:r w:rsidR="00BE6142">
        <w:rPr>
          <w:rFonts w:cs="Times New Roman"/>
          <w:szCs w:val="24"/>
        </w:rPr>
        <w:t>s,</w:t>
      </w:r>
      <w:r w:rsidRPr="00AC1055">
        <w:rPr>
          <w:rFonts w:cs="Times New Roman"/>
          <w:szCs w:val="24"/>
        </w:rPr>
        <w:t xml:space="preserve"> but also control premium, ownership structure, firm valuation etc. </w:t>
      </w:r>
      <w:proofErr w:type="spellStart"/>
      <w:r w:rsidRPr="00AC1055">
        <w:rPr>
          <w:rFonts w:cs="Times New Roman"/>
          <w:szCs w:val="24"/>
        </w:rPr>
        <w:t>Djankov</w:t>
      </w:r>
      <w:proofErr w:type="spellEnd"/>
      <w:r w:rsidRPr="00AC1055">
        <w:rPr>
          <w:rFonts w:cs="Times New Roman"/>
          <w:szCs w:val="24"/>
        </w:rPr>
        <w:t xml:space="preserve"> et al., on the other hand focussed too narrowly on sanctions and remedies against expropriation by corporate insider</w:t>
      </w:r>
      <w:r w:rsidR="00BE6142">
        <w:rPr>
          <w:rFonts w:cs="Times New Roman"/>
          <w:szCs w:val="24"/>
        </w:rPr>
        <w:t>s</w:t>
      </w:r>
      <w:r w:rsidRPr="00AC1055">
        <w:rPr>
          <w:rFonts w:cs="Times New Roman"/>
          <w:szCs w:val="24"/>
        </w:rPr>
        <w:t xml:space="preserve"> and never really moved beyond that sphere. </w:t>
      </w:r>
      <w:r w:rsidR="00BE6142">
        <w:rPr>
          <w:rFonts w:cs="Times New Roman"/>
          <w:szCs w:val="24"/>
        </w:rPr>
        <w:t xml:space="preserve">The </w:t>
      </w:r>
      <w:r w:rsidRPr="00AC1055">
        <w:rPr>
          <w:rFonts w:cs="Times New Roman"/>
          <w:szCs w:val="24"/>
        </w:rPr>
        <w:t>ROSC template</w:t>
      </w:r>
      <w:r w:rsidR="00BE6142">
        <w:rPr>
          <w:rFonts w:cs="Times New Roman"/>
          <w:szCs w:val="24"/>
        </w:rPr>
        <w:t>,</w:t>
      </w:r>
      <w:r w:rsidRPr="00AC1055">
        <w:rPr>
          <w:rFonts w:cs="Times New Roman"/>
          <w:szCs w:val="24"/>
        </w:rPr>
        <w:t xml:space="preserve"> on the other hand</w:t>
      </w:r>
      <w:r w:rsidR="00BE6142">
        <w:rPr>
          <w:rFonts w:cs="Times New Roman"/>
          <w:szCs w:val="24"/>
        </w:rPr>
        <w:t>,</w:t>
      </w:r>
      <w:r w:rsidRPr="00AC1055">
        <w:rPr>
          <w:rFonts w:cs="Times New Roman"/>
          <w:szCs w:val="24"/>
        </w:rPr>
        <w:t xml:space="preserve"> is quantitatively so vast that any meaningful time series or cross section </w:t>
      </w:r>
      <w:r w:rsidRPr="00AC1055">
        <w:rPr>
          <w:rFonts w:cs="Times New Roman"/>
          <w:szCs w:val="24"/>
        </w:rPr>
        <w:lastRenderedPageBreak/>
        <w:t xml:space="preserve">survey for a host of countries is almost impossible at an individual level. Thus none of the indices focus solely on the tension between a shareholder primacy regulation vis-à-vis a stakeholder approach. </w:t>
      </w:r>
    </w:p>
    <w:p w14:paraId="0AA95EA4" w14:textId="13C5350E" w:rsidR="003E11A9" w:rsidRPr="00AC1055" w:rsidRDefault="003E11A9" w:rsidP="00AC1055">
      <w:pPr>
        <w:spacing w:line="480" w:lineRule="auto"/>
        <w:rPr>
          <w:rFonts w:cs="Times New Roman"/>
          <w:szCs w:val="24"/>
        </w:rPr>
      </w:pPr>
      <w:r w:rsidRPr="00AC1055">
        <w:rPr>
          <w:rFonts w:cs="Times New Roman"/>
          <w:szCs w:val="24"/>
        </w:rPr>
        <w:t>Another major problem faced in quantitative legal research is the tension between hard law and soft law or between law and practice. It generally manifests itself in a multijurisdictional study where the mode and method of implementation varies. For example</w:t>
      </w:r>
      <w:r w:rsidR="00BE6142">
        <w:rPr>
          <w:rFonts w:cs="Times New Roman"/>
          <w:szCs w:val="24"/>
        </w:rPr>
        <w:t>,</w:t>
      </w:r>
      <w:r w:rsidRPr="00AC1055">
        <w:rPr>
          <w:rFonts w:cs="Times New Roman"/>
          <w:szCs w:val="24"/>
        </w:rPr>
        <w:t xml:space="preserve"> in some jurisdictions there may not be a black letter law on </w:t>
      </w:r>
      <w:r w:rsidR="00BE6142">
        <w:rPr>
          <w:rFonts w:cs="Times New Roman"/>
          <w:szCs w:val="24"/>
        </w:rPr>
        <w:t xml:space="preserve">the </w:t>
      </w:r>
      <w:r w:rsidRPr="00AC1055">
        <w:rPr>
          <w:rFonts w:cs="Times New Roman"/>
          <w:szCs w:val="24"/>
        </w:rPr>
        <w:t>right of first refusal but it may be an established practice to do so, in some other jurisdiction</w:t>
      </w:r>
      <w:r w:rsidR="00BE6142">
        <w:rPr>
          <w:rFonts w:cs="Times New Roman"/>
          <w:szCs w:val="24"/>
        </w:rPr>
        <w:t>s</w:t>
      </w:r>
      <w:r w:rsidRPr="00AC1055">
        <w:rPr>
          <w:rFonts w:cs="Times New Roman"/>
          <w:szCs w:val="24"/>
        </w:rPr>
        <w:t xml:space="preserve"> there may be a non-binding code of best practice for directors for </w:t>
      </w:r>
      <w:r w:rsidR="00BE6142">
        <w:rPr>
          <w:rFonts w:cs="Times New Roman"/>
          <w:szCs w:val="24"/>
        </w:rPr>
        <w:t xml:space="preserve">the </w:t>
      </w:r>
      <w:r w:rsidRPr="00AC1055">
        <w:rPr>
          <w:rFonts w:cs="Times New Roman"/>
          <w:szCs w:val="24"/>
        </w:rPr>
        <w:t>issuance of new capital with a comply or explain provision, and in still other jurisdiction</w:t>
      </w:r>
      <w:r w:rsidR="00BE6142">
        <w:rPr>
          <w:rFonts w:cs="Times New Roman"/>
          <w:szCs w:val="24"/>
        </w:rPr>
        <w:t>s</w:t>
      </w:r>
      <w:r w:rsidRPr="00AC1055">
        <w:rPr>
          <w:rFonts w:cs="Times New Roman"/>
          <w:szCs w:val="24"/>
        </w:rPr>
        <w:t xml:space="preserve"> there may be a binding code which may not be strictly enforced due to judicial dilution. Similarly</w:t>
      </w:r>
      <w:r w:rsidR="00BE6142">
        <w:rPr>
          <w:rFonts w:cs="Times New Roman"/>
          <w:szCs w:val="24"/>
        </w:rPr>
        <w:t>,</w:t>
      </w:r>
      <w:r w:rsidRPr="00AC1055">
        <w:rPr>
          <w:rFonts w:cs="Times New Roman"/>
          <w:szCs w:val="24"/>
        </w:rPr>
        <w:t xml:space="preserve"> provisions relating to performance related pay </w:t>
      </w:r>
      <w:r w:rsidR="00BE6142">
        <w:rPr>
          <w:rFonts w:cs="Times New Roman"/>
          <w:szCs w:val="24"/>
        </w:rPr>
        <w:t>are</w:t>
      </w:r>
      <w:r w:rsidR="00BE6142" w:rsidRPr="00AC1055">
        <w:rPr>
          <w:rFonts w:cs="Times New Roman"/>
          <w:szCs w:val="24"/>
        </w:rPr>
        <w:t xml:space="preserve"> </w:t>
      </w:r>
      <w:r w:rsidRPr="00AC1055">
        <w:rPr>
          <w:rFonts w:cs="Times New Roman"/>
          <w:szCs w:val="24"/>
        </w:rPr>
        <w:t>generally put forward in a non-binding corporate governance code which is essentially a soft law and difficult to code in a dichotomous output survey. This problem is exacerbated by the choice of law – La Porta et al.</w:t>
      </w:r>
      <w:r w:rsidRPr="00AC1055">
        <w:rPr>
          <w:rFonts w:cs="Times New Roman"/>
          <w:szCs w:val="24"/>
          <w:vertAlign w:val="superscript"/>
        </w:rPr>
        <w:footnoteReference w:id="43"/>
      </w:r>
      <w:r w:rsidRPr="00AC1055">
        <w:rPr>
          <w:rFonts w:cs="Times New Roman"/>
          <w:szCs w:val="24"/>
        </w:rPr>
        <w:t xml:space="preserve"> chose to only focus on company law</w:t>
      </w:r>
      <w:r w:rsidR="00BE6142">
        <w:rPr>
          <w:rFonts w:cs="Times New Roman"/>
          <w:szCs w:val="24"/>
        </w:rPr>
        <w:t>,</w:t>
      </w:r>
      <w:r w:rsidRPr="00AC1055">
        <w:rPr>
          <w:rFonts w:cs="Times New Roman"/>
          <w:szCs w:val="24"/>
        </w:rPr>
        <w:t xml:space="preserve"> excluding stock market regulations, </w:t>
      </w:r>
      <w:proofErr w:type="spellStart"/>
      <w:r w:rsidRPr="00AC1055">
        <w:rPr>
          <w:rFonts w:cs="Times New Roman"/>
          <w:szCs w:val="24"/>
        </w:rPr>
        <w:t>Djankov</w:t>
      </w:r>
      <w:proofErr w:type="spellEnd"/>
      <w:r w:rsidRPr="00AC1055">
        <w:rPr>
          <w:rFonts w:cs="Times New Roman"/>
          <w:szCs w:val="24"/>
        </w:rPr>
        <w:t xml:space="preserve"> et al.</w:t>
      </w:r>
      <w:r w:rsidR="00BE6142">
        <w:rPr>
          <w:rFonts w:cs="Times New Roman"/>
          <w:szCs w:val="24"/>
        </w:rPr>
        <w:t>,</w:t>
      </w:r>
      <w:r w:rsidRPr="00AC1055">
        <w:rPr>
          <w:rFonts w:cs="Times New Roman"/>
          <w:szCs w:val="24"/>
          <w:vertAlign w:val="superscript"/>
        </w:rPr>
        <w:footnoteReference w:id="44"/>
      </w:r>
      <w:r w:rsidRPr="00AC1055">
        <w:rPr>
          <w:rFonts w:cs="Times New Roman"/>
          <w:szCs w:val="24"/>
        </w:rPr>
        <w:t xml:space="preserve"> on the other hand</w:t>
      </w:r>
      <w:r w:rsidR="00BE6142">
        <w:rPr>
          <w:rFonts w:cs="Times New Roman"/>
          <w:szCs w:val="24"/>
        </w:rPr>
        <w:t>,</w:t>
      </w:r>
      <w:r w:rsidRPr="00AC1055">
        <w:rPr>
          <w:rFonts w:cs="Times New Roman"/>
          <w:szCs w:val="24"/>
        </w:rPr>
        <w:t xml:space="preserve"> focuses strongly on listing regulations while </w:t>
      </w:r>
      <w:proofErr w:type="spellStart"/>
      <w:r w:rsidRPr="00AC1055">
        <w:rPr>
          <w:rFonts w:cs="Times New Roman"/>
          <w:szCs w:val="24"/>
        </w:rPr>
        <w:t>Spamann</w:t>
      </w:r>
      <w:proofErr w:type="spellEnd"/>
      <w:r w:rsidRPr="00AC1055">
        <w:rPr>
          <w:rFonts w:cs="Times New Roman"/>
          <w:szCs w:val="24"/>
        </w:rPr>
        <w:t xml:space="preserve"> tries to oscillate between the two</w:t>
      </w:r>
      <w:r w:rsidR="00BE6142">
        <w:rPr>
          <w:rFonts w:cs="Times New Roman"/>
          <w:szCs w:val="24"/>
        </w:rPr>
        <w:t>,</w:t>
      </w:r>
      <w:r w:rsidRPr="00AC1055">
        <w:rPr>
          <w:rFonts w:cs="Times New Roman"/>
          <w:szCs w:val="24"/>
        </w:rPr>
        <w:t xml:space="preserve"> depending on the variable.</w:t>
      </w:r>
      <w:r w:rsidRPr="00AC1055">
        <w:rPr>
          <w:rFonts w:cs="Times New Roman"/>
          <w:szCs w:val="24"/>
          <w:vertAlign w:val="superscript"/>
        </w:rPr>
        <w:footnoteReference w:id="45"/>
      </w:r>
      <w:r w:rsidRPr="00AC1055">
        <w:rPr>
          <w:rFonts w:cs="Times New Roman"/>
          <w:szCs w:val="24"/>
        </w:rPr>
        <w:t xml:space="preserve"> None of the indices have any mechanism </w:t>
      </w:r>
      <w:r w:rsidR="00BE6142">
        <w:rPr>
          <w:rFonts w:cs="Times New Roman"/>
          <w:szCs w:val="24"/>
        </w:rPr>
        <w:t xml:space="preserve">for </w:t>
      </w:r>
      <w:r w:rsidRPr="00AC1055">
        <w:rPr>
          <w:rFonts w:cs="Times New Roman"/>
          <w:szCs w:val="24"/>
        </w:rPr>
        <w:t xml:space="preserve">comparing the intra-item variance towards hard law or soft law. </w:t>
      </w:r>
    </w:p>
    <w:p w14:paraId="1EA06CC2" w14:textId="4CC8B612" w:rsidR="003E11A9" w:rsidRPr="00AC1055" w:rsidRDefault="003E11A9" w:rsidP="00AC1055">
      <w:pPr>
        <w:spacing w:line="480" w:lineRule="auto"/>
        <w:rPr>
          <w:rFonts w:cs="Times New Roman"/>
          <w:szCs w:val="24"/>
        </w:rPr>
      </w:pPr>
      <w:r w:rsidRPr="00AC1055">
        <w:rPr>
          <w:rFonts w:cs="Times New Roman"/>
          <w:szCs w:val="24"/>
        </w:rPr>
        <w:t xml:space="preserve">Even after consulting experts from their domestic jurisdictions it might still be difficult to properly interpret the law in order to complete the legal survey. A legal question can be answered in </w:t>
      </w:r>
      <w:r w:rsidR="00BE6142">
        <w:rPr>
          <w:rFonts w:cs="Times New Roman"/>
          <w:szCs w:val="24"/>
        </w:rPr>
        <w:t xml:space="preserve">a </w:t>
      </w:r>
      <w:r w:rsidRPr="00AC1055">
        <w:rPr>
          <w:rFonts w:cs="Times New Roman"/>
          <w:szCs w:val="24"/>
        </w:rPr>
        <w:t xml:space="preserve">different manner by lawyers from the same jurisdiction, it would depend on facts, regulations, judicial interpretations and even general practice. Therefore </w:t>
      </w:r>
      <w:r w:rsidR="00BE6142">
        <w:rPr>
          <w:rFonts w:cs="Times New Roman"/>
          <w:szCs w:val="24"/>
        </w:rPr>
        <w:t xml:space="preserve">the </w:t>
      </w:r>
      <w:r w:rsidRPr="00AC1055">
        <w:rPr>
          <w:rFonts w:cs="Times New Roman"/>
          <w:szCs w:val="24"/>
        </w:rPr>
        <w:t xml:space="preserve">reproducibility of the research even on the same fact </w:t>
      </w:r>
      <w:r w:rsidRPr="00AC1055">
        <w:rPr>
          <w:rFonts w:cs="Times New Roman"/>
          <w:szCs w:val="24"/>
        </w:rPr>
        <w:lastRenderedPageBreak/>
        <w:t>situation is uncertain. Thus</w:t>
      </w:r>
      <w:r w:rsidR="00BE6142">
        <w:rPr>
          <w:rFonts w:cs="Times New Roman"/>
          <w:szCs w:val="24"/>
        </w:rPr>
        <w:t>,</w:t>
      </w:r>
      <w:r w:rsidRPr="00AC1055">
        <w:rPr>
          <w:rFonts w:cs="Times New Roman"/>
          <w:szCs w:val="24"/>
        </w:rPr>
        <w:t xml:space="preserve"> there would always remain a question of </w:t>
      </w:r>
      <w:r w:rsidR="00BE6142">
        <w:rPr>
          <w:rFonts w:cs="Times New Roman"/>
          <w:szCs w:val="24"/>
        </w:rPr>
        <w:t xml:space="preserve">the </w:t>
      </w:r>
      <w:r w:rsidRPr="00AC1055">
        <w:rPr>
          <w:rFonts w:cs="Times New Roman"/>
          <w:szCs w:val="24"/>
        </w:rPr>
        <w:t xml:space="preserve">reliability of a quantitative legal survey which solely depends on primary sources, rather than </w:t>
      </w:r>
      <w:r w:rsidR="00BE6142">
        <w:rPr>
          <w:rFonts w:cs="Times New Roman"/>
          <w:szCs w:val="24"/>
        </w:rPr>
        <w:t xml:space="preserve">a </w:t>
      </w:r>
      <w:r w:rsidRPr="00AC1055">
        <w:rPr>
          <w:rFonts w:cs="Times New Roman"/>
          <w:szCs w:val="24"/>
        </w:rPr>
        <w:t>qualitative survey which takes into account secondary interpretations.  Also some countries may have sub-national legislation which may vary across states. However</w:t>
      </w:r>
      <w:r w:rsidR="00BE6142">
        <w:rPr>
          <w:rFonts w:cs="Times New Roman"/>
          <w:szCs w:val="24"/>
        </w:rPr>
        <w:t>,</w:t>
      </w:r>
      <w:r w:rsidRPr="00AC1055">
        <w:rPr>
          <w:rFonts w:cs="Times New Roman"/>
          <w:szCs w:val="24"/>
        </w:rPr>
        <w:t xml:space="preserve"> as most legal surveys are designed to enter only one response per country, it would not be</w:t>
      </w:r>
      <w:r w:rsidR="00633113">
        <w:rPr>
          <w:rFonts w:cs="Times New Roman"/>
          <w:szCs w:val="24"/>
        </w:rPr>
        <w:t xml:space="preserve"> possible</w:t>
      </w:r>
      <w:r w:rsidRPr="00AC1055">
        <w:rPr>
          <w:rFonts w:cs="Times New Roman"/>
          <w:szCs w:val="24"/>
        </w:rPr>
        <w:t xml:space="preserve"> to accurately draw </w:t>
      </w:r>
      <w:r w:rsidR="00633113">
        <w:rPr>
          <w:rFonts w:cs="Times New Roman"/>
          <w:szCs w:val="24"/>
        </w:rPr>
        <w:t>a</w:t>
      </w:r>
      <w:r w:rsidR="00633113" w:rsidRPr="00AC1055">
        <w:rPr>
          <w:rFonts w:cs="Times New Roman"/>
          <w:szCs w:val="24"/>
        </w:rPr>
        <w:t xml:space="preserve"> </w:t>
      </w:r>
      <w:r w:rsidRPr="00AC1055">
        <w:rPr>
          <w:rFonts w:cs="Times New Roman"/>
          <w:szCs w:val="24"/>
        </w:rPr>
        <w:t xml:space="preserve">complete legal picture of the entire country. </w:t>
      </w:r>
    </w:p>
    <w:p w14:paraId="0B790447" w14:textId="5828D12C" w:rsidR="003E11A9" w:rsidRPr="00AC1055" w:rsidRDefault="003E11A9" w:rsidP="00AC1055">
      <w:pPr>
        <w:spacing w:line="480" w:lineRule="auto"/>
        <w:rPr>
          <w:rFonts w:cs="Times New Roman"/>
          <w:szCs w:val="24"/>
        </w:rPr>
      </w:pPr>
      <w:r w:rsidRPr="00AC1055">
        <w:rPr>
          <w:rFonts w:cs="Times New Roman"/>
          <w:szCs w:val="24"/>
        </w:rPr>
        <w:t>The problem of not adequately highlighting the shareholder primacy can be remedied by focussing on variables from the available indices and adding some which solely deal with the practicalities of shareholder</w:t>
      </w:r>
      <w:r w:rsidR="00633113">
        <w:rPr>
          <w:rFonts w:cs="Times New Roman"/>
          <w:szCs w:val="24"/>
        </w:rPr>
        <w:t>-</w:t>
      </w:r>
      <w:r w:rsidRPr="00AC1055">
        <w:rPr>
          <w:rFonts w:cs="Times New Roman"/>
          <w:szCs w:val="24"/>
        </w:rPr>
        <w:t xml:space="preserve">oriented corporate governance. As the present research focuses on finding out the answer to the question </w:t>
      </w:r>
      <w:r w:rsidR="00633113">
        <w:rPr>
          <w:rFonts w:cs="Times New Roman"/>
          <w:szCs w:val="24"/>
        </w:rPr>
        <w:t xml:space="preserve">of </w:t>
      </w:r>
      <w:r w:rsidRPr="00AC1055">
        <w:rPr>
          <w:rFonts w:cs="Times New Roman"/>
          <w:szCs w:val="24"/>
        </w:rPr>
        <w:t xml:space="preserve">whether adopting shareholder primacy corporate governance enhances factors of financial market growth, variables for </w:t>
      </w:r>
      <w:r w:rsidR="00633113">
        <w:rPr>
          <w:rFonts w:cs="Times New Roman"/>
          <w:szCs w:val="24"/>
        </w:rPr>
        <w:t xml:space="preserve">the </w:t>
      </w:r>
      <w:r w:rsidRPr="00AC1055">
        <w:rPr>
          <w:rFonts w:cs="Times New Roman"/>
          <w:szCs w:val="24"/>
        </w:rPr>
        <w:t xml:space="preserve">quantification of </w:t>
      </w:r>
      <w:r w:rsidR="00633113">
        <w:rPr>
          <w:rFonts w:cs="Times New Roman"/>
          <w:szCs w:val="24"/>
        </w:rPr>
        <w:t xml:space="preserve">the </w:t>
      </w:r>
      <w:r w:rsidRPr="00AC1055">
        <w:rPr>
          <w:rFonts w:cs="Times New Roman"/>
          <w:szCs w:val="24"/>
        </w:rPr>
        <w:t xml:space="preserve">corporate governance rules and policies of the sample countries should be chosen </w:t>
      </w:r>
      <w:r w:rsidR="00633113">
        <w:rPr>
          <w:rFonts w:cs="Times New Roman"/>
          <w:szCs w:val="24"/>
        </w:rPr>
        <w:t>to reflect</w:t>
      </w:r>
      <w:r w:rsidRPr="00AC1055">
        <w:rPr>
          <w:rFonts w:cs="Times New Roman"/>
          <w:szCs w:val="24"/>
        </w:rPr>
        <w:t xml:space="preserve"> shareholder security and not go beyond </w:t>
      </w:r>
      <w:r w:rsidR="00633113">
        <w:rPr>
          <w:rFonts w:cs="Times New Roman"/>
          <w:szCs w:val="24"/>
        </w:rPr>
        <w:t xml:space="preserve">the </w:t>
      </w:r>
      <w:r w:rsidRPr="00AC1055">
        <w:rPr>
          <w:rFonts w:cs="Times New Roman"/>
          <w:szCs w:val="24"/>
        </w:rPr>
        <w:t xml:space="preserve">agency problem. The researcher </w:t>
      </w:r>
      <w:r w:rsidR="00633113">
        <w:rPr>
          <w:rFonts w:cs="Times New Roman"/>
          <w:szCs w:val="24"/>
        </w:rPr>
        <w:t>will</w:t>
      </w:r>
      <w:r w:rsidR="00633113" w:rsidRPr="00AC1055">
        <w:rPr>
          <w:rFonts w:cs="Times New Roman"/>
          <w:szCs w:val="24"/>
        </w:rPr>
        <w:t xml:space="preserve"> </w:t>
      </w:r>
      <w:r w:rsidRPr="00AC1055">
        <w:rPr>
          <w:rFonts w:cs="Times New Roman"/>
          <w:szCs w:val="24"/>
        </w:rPr>
        <w:t xml:space="preserve">thematically follow the shareholder primacy corporate governance principle as outlined by Henry </w:t>
      </w:r>
      <w:proofErr w:type="spellStart"/>
      <w:r w:rsidRPr="00AC1055">
        <w:rPr>
          <w:rFonts w:cs="Times New Roman"/>
          <w:szCs w:val="24"/>
        </w:rPr>
        <w:t>Hansmann</w:t>
      </w:r>
      <w:proofErr w:type="spellEnd"/>
      <w:r w:rsidRPr="00AC1055">
        <w:rPr>
          <w:rFonts w:cs="Times New Roman"/>
          <w:szCs w:val="24"/>
        </w:rPr>
        <w:t xml:space="preserve"> and Reiner </w:t>
      </w:r>
      <w:proofErr w:type="spellStart"/>
      <w:r w:rsidRPr="00AC1055">
        <w:rPr>
          <w:rFonts w:cs="Times New Roman"/>
          <w:szCs w:val="24"/>
        </w:rPr>
        <w:t>Kraakman</w:t>
      </w:r>
      <w:proofErr w:type="spellEnd"/>
      <w:r w:rsidRPr="00AC1055">
        <w:rPr>
          <w:rFonts w:cs="Times New Roman"/>
          <w:szCs w:val="24"/>
        </w:rPr>
        <w:t>:</w:t>
      </w:r>
      <w:r w:rsidRPr="00AC1055">
        <w:rPr>
          <w:rFonts w:cs="Times New Roman"/>
          <w:szCs w:val="24"/>
          <w:vertAlign w:val="superscript"/>
        </w:rPr>
        <w:t xml:space="preserve"> </w:t>
      </w:r>
      <w:r w:rsidRPr="00AC1055">
        <w:rPr>
          <w:rFonts w:cs="Times New Roman"/>
          <w:szCs w:val="24"/>
          <w:vertAlign w:val="superscript"/>
        </w:rPr>
        <w:footnoteReference w:id="46"/>
      </w:r>
    </w:p>
    <w:p w14:paraId="3CA5DB4E" w14:textId="77777777" w:rsidR="003E11A9" w:rsidRPr="00AC1055" w:rsidRDefault="003E11A9" w:rsidP="00AC1055">
      <w:pPr>
        <w:numPr>
          <w:ilvl w:val="0"/>
          <w:numId w:val="5"/>
        </w:numPr>
        <w:spacing w:line="480" w:lineRule="auto"/>
        <w:contextualSpacing/>
        <w:rPr>
          <w:rFonts w:cs="Times New Roman"/>
          <w:szCs w:val="24"/>
        </w:rPr>
      </w:pPr>
      <w:r w:rsidRPr="00AC1055">
        <w:rPr>
          <w:rFonts w:cs="Times New Roman"/>
          <w:szCs w:val="24"/>
        </w:rPr>
        <w:t>ultimate control over the corporation should rest with the shareholder class;</w:t>
      </w:r>
    </w:p>
    <w:p w14:paraId="41DB0C10" w14:textId="77777777" w:rsidR="003E11A9" w:rsidRPr="00AC1055" w:rsidRDefault="003E11A9" w:rsidP="00AC1055">
      <w:pPr>
        <w:numPr>
          <w:ilvl w:val="0"/>
          <w:numId w:val="5"/>
        </w:numPr>
        <w:spacing w:line="480" w:lineRule="auto"/>
        <w:contextualSpacing/>
        <w:rPr>
          <w:rFonts w:cs="Times New Roman"/>
          <w:szCs w:val="24"/>
        </w:rPr>
      </w:pPr>
      <w:r w:rsidRPr="00AC1055">
        <w:rPr>
          <w:rFonts w:cs="Times New Roman"/>
          <w:szCs w:val="24"/>
        </w:rPr>
        <w:t xml:space="preserve">the managers of the corporation should be charged with the obligation to manage the corporation in the interests of its shareholders; </w:t>
      </w:r>
    </w:p>
    <w:p w14:paraId="0B6A9BA8" w14:textId="77777777" w:rsidR="003E11A9" w:rsidRPr="00AC1055" w:rsidRDefault="003E11A9" w:rsidP="00AC1055">
      <w:pPr>
        <w:numPr>
          <w:ilvl w:val="0"/>
          <w:numId w:val="5"/>
        </w:numPr>
        <w:spacing w:line="480" w:lineRule="auto"/>
        <w:contextualSpacing/>
        <w:rPr>
          <w:rFonts w:cs="Times New Roman"/>
          <w:szCs w:val="24"/>
        </w:rPr>
      </w:pPr>
      <w:r w:rsidRPr="00AC1055">
        <w:rPr>
          <w:rFonts w:cs="Times New Roman"/>
          <w:szCs w:val="24"/>
        </w:rPr>
        <w:t>other corporate constituencies, such as creditors, employees, suppliers, and customers, should have their interests protected by contractual and regulatory means rather than through participation in corporate governance;</w:t>
      </w:r>
    </w:p>
    <w:p w14:paraId="13E22758" w14:textId="77777777" w:rsidR="003E11A9" w:rsidRPr="00AC1055" w:rsidRDefault="003E11A9" w:rsidP="00AC1055">
      <w:pPr>
        <w:numPr>
          <w:ilvl w:val="0"/>
          <w:numId w:val="5"/>
        </w:numPr>
        <w:spacing w:line="480" w:lineRule="auto"/>
        <w:contextualSpacing/>
        <w:rPr>
          <w:rFonts w:cs="Times New Roman"/>
          <w:szCs w:val="24"/>
        </w:rPr>
      </w:pPr>
      <w:r w:rsidRPr="00AC1055">
        <w:rPr>
          <w:rFonts w:cs="Times New Roman"/>
          <w:szCs w:val="24"/>
        </w:rPr>
        <w:t>non-controlling shareholders should receive strong protection from exploitation at the hands of controlling shareholders; and</w:t>
      </w:r>
    </w:p>
    <w:p w14:paraId="660C0DFE" w14:textId="77777777" w:rsidR="003E11A9" w:rsidRPr="00AC1055" w:rsidRDefault="003E11A9" w:rsidP="00AC1055">
      <w:pPr>
        <w:numPr>
          <w:ilvl w:val="0"/>
          <w:numId w:val="5"/>
        </w:numPr>
        <w:spacing w:line="480" w:lineRule="auto"/>
        <w:contextualSpacing/>
        <w:rPr>
          <w:rFonts w:cs="Times New Roman"/>
          <w:szCs w:val="24"/>
        </w:rPr>
      </w:pPr>
      <w:r w:rsidRPr="00AC1055">
        <w:rPr>
          <w:rFonts w:cs="Times New Roman"/>
          <w:szCs w:val="24"/>
        </w:rPr>
        <w:lastRenderedPageBreak/>
        <w:t>the market value of the publicly traded corporation’s shares is the principal measure of its shareholders’ interests</w:t>
      </w:r>
    </w:p>
    <w:p w14:paraId="7781BDDC" w14:textId="3BD8452C" w:rsidR="003E11A9" w:rsidRPr="00AC1055" w:rsidRDefault="003E11A9" w:rsidP="00AC1055">
      <w:pPr>
        <w:spacing w:line="480" w:lineRule="auto"/>
        <w:rPr>
          <w:rFonts w:cs="Times New Roman"/>
          <w:szCs w:val="24"/>
        </w:rPr>
      </w:pPr>
      <w:r w:rsidRPr="00AC1055">
        <w:rPr>
          <w:rFonts w:cs="Times New Roman"/>
          <w:szCs w:val="24"/>
        </w:rPr>
        <w:t>Based on this classification</w:t>
      </w:r>
      <w:r w:rsidR="004C0E2C">
        <w:rPr>
          <w:rFonts w:cs="Times New Roman"/>
          <w:szCs w:val="24"/>
        </w:rPr>
        <w:t>,</w:t>
      </w:r>
      <w:r w:rsidRPr="00AC1055">
        <w:rPr>
          <w:rFonts w:cs="Times New Roman"/>
          <w:szCs w:val="24"/>
        </w:rPr>
        <w:t xml:space="preserve"> the researcher </w:t>
      </w:r>
      <w:r w:rsidR="004C0E2C">
        <w:rPr>
          <w:rFonts w:cs="Times New Roman"/>
          <w:szCs w:val="24"/>
        </w:rPr>
        <w:t>will</w:t>
      </w:r>
      <w:r w:rsidR="004C0E2C" w:rsidRPr="00AC1055">
        <w:rPr>
          <w:rFonts w:cs="Times New Roman"/>
          <w:szCs w:val="24"/>
        </w:rPr>
        <w:t xml:space="preserve"> </w:t>
      </w:r>
      <w:r w:rsidRPr="00AC1055">
        <w:rPr>
          <w:rFonts w:cs="Times New Roman"/>
          <w:szCs w:val="24"/>
        </w:rPr>
        <w:t>broadly look into increased shareholder rights, increase</w:t>
      </w:r>
      <w:r w:rsidR="004C0E2C">
        <w:rPr>
          <w:rFonts w:cs="Times New Roman"/>
          <w:szCs w:val="24"/>
        </w:rPr>
        <w:t>d</w:t>
      </w:r>
      <w:r w:rsidRPr="00AC1055">
        <w:rPr>
          <w:rFonts w:cs="Times New Roman"/>
          <w:szCs w:val="24"/>
        </w:rPr>
        <w:t xml:space="preserve"> market for corporate control,</w:t>
      </w:r>
      <w:r w:rsidRPr="00AC1055">
        <w:rPr>
          <w:rFonts w:cs="Times New Roman"/>
          <w:szCs w:val="24"/>
          <w:vertAlign w:val="superscript"/>
        </w:rPr>
        <w:footnoteReference w:id="47"/>
      </w:r>
      <w:r w:rsidRPr="00AC1055">
        <w:rPr>
          <w:rFonts w:cs="Times New Roman"/>
          <w:szCs w:val="24"/>
        </w:rPr>
        <w:t xml:space="preserve"> reduced managerial and stakeholder rights as outlined in </w:t>
      </w:r>
      <w:r w:rsidR="004C0E2C">
        <w:rPr>
          <w:rFonts w:cs="Times New Roman"/>
          <w:szCs w:val="24"/>
        </w:rPr>
        <w:t xml:space="preserve">the </w:t>
      </w:r>
      <w:r w:rsidRPr="00AC1055">
        <w:rPr>
          <w:rFonts w:cs="Times New Roman"/>
          <w:szCs w:val="24"/>
        </w:rPr>
        <w:t>OECD principles of corporate governance. As most of the listed companies in developing countries have a dominant owner</w:t>
      </w:r>
      <w:r w:rsidR="004C0E2C">
        <w:rPr>
          <w:rFonts w:cs="Times New Roman"/>
          <w:szCs w:val="24"/>
        </w:rPr>
        <w:t>-</w:t>
      </w:r>
      <w:r w:rsidRPr="00AC1055">
        <w:rPr>
          <w:rFonts w:cs="Times New Roman"/>
          <w:szCs w:val="24"/>
        </w:rPr>
        <w:t>manager</w:t>
      </w:r>
      <w:r w:rsidRPr="00AC1055">
        <w:rPr>
          <w:rFonts w:cs="Times New Roman"/>
          <w:szCs w:val="24"/>
          <w:vertAlign w:val="superscript"/>
        </w:rPr>
        <w:footnoteReference w:id="48"/>
      </w:r>
      <w:r w:rsidRPr="00AC1055">
        <w:rPr>
          <w:rFonts w:cs="Times New Roman"/>
          <w:szCs w:val="24"/>
        </w:rPr>
        <w:t xml:space="preserve"> </w:t>
      </w:r>
      <w:r w:rsidR="004C0E2C">
        <w:rPr>
          <w:rFonts w:cs="Times New Roman"/>
          <w:szCs w:val="24"/>
        </w:rPr>
        <w:t xml:space="preserve">the </w:t>
      </w:r>
      <w:r w:rsidRPr="00AC1055">
        <w:rPr>
          <w:rFonts w:cs="Times New Roman"/>
          <w:szCs w:val="24"/>
        </w:rPr>
        <w:t xml:space="preserve">researcher </w:t>
      </w:r>
      <w:r w:rsidR="004C0E2C">
        <w:rPr>
          <w:rFonts w:cs="Times New Roman"/>
          <w:szCs w:val="24"/>
        </w:rPr>
        <w:t>will</w:t>
      </w:r>
      <w:r w:rsidR="004C0E2C" w:rsidRPr="00AC1055">
        <w:rPr>
          <w:rFonts w:cs="Times New Roman"/>
          <w:szCs w:val="24"/>
        </w:rPr>
        <w:t xml:space="preserve"> </w:t>
      </w:r>
      <w:r w:rsidRPr="00AC1055">
        <w:rPr>
          <w:rFonts w:cs="Times New Roman"/>
          <w:szCs w:val="24"/>
        </w:rPr>
        <w:t xml:space="preserve">also look at minority rights with emphasis on reduction of self-dealing. </w:t>
      </w:r>
    </w:p>
    <w:p w14:paraId="475D930A" w14:textId="11FEC186" w:rsidR="003E11A9" w:rsidRPr="00AC1055" w:rsidRDefault="003E11A9" w:rsidP="00AC1055">
      <w:pPr>
        <w:spacing w:line="480" w:lineRule="auto"/>
        <w:rPr>
          <w:rFonts w:cs="Times New Roman"/>
          <w:szCs w:val="24"/>
        </w:rPr>
      </w:pPr>
      <w:r w:rsidRPr="00AC1055">
        <w:rPr>
          <w:rFonts w:cs="Times New Roman"/>
          <w:szCs w:val="24"/>
        </w:rPr>
        <w:t>The dilemma in choosing between hard law and soft law, between statute books, private contractual regulation</w:t>
      </w:r>
      <w:r w:rsidR="004C0E2C">
        <w:rPr>
          <w:rFonts w:cs="Times New Roman"/>
          <w:szCs w:val="24"/>
        </w:rPr>
        <w:t>s</w:t>
      </w:r>
      <w:r w:rsidRPr="00AC1055">
        <w:rPr>
          <w:rFonts w:cs="Times New Roman"/>
          <w:szCs w:val="24"/>
        </w:rPr>
        <w:t xml:space="preserve"> (like listing rules) and non-binding governance codes </w:t>
      </w:r>
      <w:r w:rsidR="004C0E2C">
        <w:rPr>
          <w:rFonts w:cs="Times New Roman"/>
          <w:szCs w:val="24"/>
        </w:rPr>
        <w:t>impacts</w:t>
      </w:r>
      <w:r w:rsidRPr="00AC1055">
        <w:rPr>
          <w:rFonts w:cs="Times New Roman"/>
          <w:szCs w:val="24"/>
        </w:rPr>
        <w:t xml:space="preserve"> on the aim of the research. It can be methodologically dealt with to a large extent by following an ordered response model </w:t>
      </w:r>
      <w:r w:rsidR="004C0E2C">
        <w:rPr>
          <w:rFonts w:cs="Times New Roman"/>
          <w:szCs w:val="24"/>
        </w:rPr>
        <w:t>offering</w:t>
      </w:r>
      <w:r w:rsidR="004C0E2C" w:rsidRPr="00AC1055">
        <w:rPr>
          <w:rFonts w:cs="Times New Roman"/>
          <w:szCs w:val="24"/>
        </w:rPr>
        <w:t xml:space="preserve"> </w:t>
      </w:r>
      <w:r w:rsidRPr="00AC1055">
        <w:rPr>
          <w:rFonts w:cs="Times New Roman"/>
          <w:szCs w:val="24"/>
        </w:rPr>
        <w:t xml:space="preserve">choice from multiple options instead of a binary option. Financial development depends to a large extent on </w:t>
      </w:r>
      <w:r w:rsidR="004C0E2C">
        <w:rPr>
          <w:rFonts w:cs="Times New Roman"/>
          <w:szCs w:val="24"/>
        </w:rPr>
        <w:t xml:space="preserve">the </w:t>
      </w:r>
      <w:r w:rsidRPr="00AC1055">
        <w:rPr>
          <w:rFonts w:cs="Times New Roman"/>
          <w:szCs w:val="24"/>
        </w:rPr>
        <w:t xml:space="preserve">availability of funds to primary and secondary markets. These markets are governed by listing rules and companies </w:t>
      </w:r>
      <w:r w:rsidR="00705F75" w:rsidRPr="00AC1055">
        <w:rPr>
          <w:rFonts w:cs="Times New Roman"/>
          <w:szCs w:val="24"/>
        </w:rPr>
        <w:t>wh</w:t>
      </w:r>
      <w:r w:rsidR="00705F75">
        <w:rPr>
          <w:rFonts w:cs="Times New Roman"/>
          <w:szCs w:val="24"/>
        </w:rPr>
        <w:t>o</w:t>
      </w:r>
      <w:r w:rsidR="00705F75" w:rsidRPr="00AC1055">
        <w:rPr>
          <w:rFonts w:cs="Times New Roman"/>
          <w:szCs w:val="24"/>
        </w:rPr>
        <w:t xml:space="preserve"> </w:t>
      </w:r>
      <w:r w:rsidRPr="00AC1055">
        <w:rPr>
          <w:rFonts w:cs="Times New Roman"/>
          <w:szCs w:val="24"/>
        </w:rPr>
        <w:t xml:space="preserve">want to raise money from these markets would have to adhere to these rules. Listing rules have become quite expansive </w:t>
      </w:r>
      <w:r w:rsidR="00705F75">
        <w:rPr>
          <w:rFonts w:cs="Times New Roman"/>
          <w:szCs w:val="24"/>
        </w:rPr>
        <w:t xml:space="preserve">over the years </w:t>
      </w:r>
      <w:r w:rsidRPr="00AC1055">
        <w:rPr>
          <w:rFonts w:cs="Times New Roman"/>
          <w:szCs w:val="24"/>
        </w:rPr>
        <w:t>and in many ways set a higher disclosure and shareholder rights benchmark for companies. However</w:t>
      </w:r>
      <w:r w:rsidR="00705F75">
        <w:rPr>
          <w:rFonts w:cs="Times New Roman"/>
          <w:szCs w:val="24"/>
        </w:rPr>
        <w:t>,</w:t>
      </w:r>
      <w:r w:rsidRPr="00AC1055">
        <w:rPr>
          <w:rFonts w:cs="Times New Roman"/>
          <w:szCs w:val="24"/>
        </w:rPr>
        <w:t xml:space="preserve"> the soft laws</w:t>
      </w:r>
      <w:r w:rsidR="00705F75">
        <w:rPr>
          <w:rFonts w:cs="Times New Roman"/>
          <w:szCs w:val="24"/>
        </w:rPr>
        <w:t>;</w:t>
      </w:r>
      <w:r w:rsidRPr="00AC1055">
        <w:rPr>
          <w:rFonts w:cs="Times New Roman"/>
          <w:szCs w:val="24"/>
        </w:rPr>
        <w:t xml:space="preserve"> the corporate governance codes, the general practice etc. though usually non-binding and do not have the force of a statutory law or judicial precedent are an equally important indicator of the overall trend of a country towards achieving greater corporate governance. Thus</w:t>
      </w:r>
      <w:r w:rsidR="00705F75">
        <w:rPr>
          <w:rFonts w:cs="Times New Roman"/>
          <w:szCs w:val="24"/>
        </w:rPr>
        <w:t>,</w:t>
      </w:r>
      <w:r w:rsidRPr="00AC1055">
        <w:rPr>
          <w:rFonts w:cs="Times New Roman"/>
          <w:szCs w:val="24"/>
        </w:rPr>
        <w:t xml:space="preserve"> for each variable the </w:t>
      </w:r>
      <w:r w:rsidRPr="00AC1055">
        <w:rPr>
          <w:rFonts w:cs="Times New Roman"/>
          <w:szCs w:val="24"/>
        </w:rPr>
        <w:lastRenderedPageBreak/>
        <w:t xml:space="preserve">researcher </w:t>
      </w:r>
      <w:r w:rsidR="00705F75">
        <w:rPr>
          <w:rFonts w:cs="Times New Roman"/>
          <w:szCs w:val="24"/>
        </w:rPr>
        <w:t>will</w:t>
      </w:r>
      <w:r w:rsidR="00705F75" w:rsidRPr="00AC1055">
        <w:rPr>
          <w:rFonts w:cs="Times New Roman"/>
          <w:szCs w:val="24"/>
        </w:rPr>
        <w:t xml:space="preserve"> </w:t>
      </w:r>
      <w:r w:rsidRPr="00AC1055">
        <w:rPr>
          <w:rFonts w:cs="Times New Roman"/>
          <w:szCs w:val="24"/>
        </w:rPr>
        <w:t xml:space="preserve">first direct the legal survey towards the listing agreements of the share market with the highest market capitalisation in a country. If the variable is not addressed by </w:t>
      </w:r>
      <w:r w:rsidR="00705F75">
        <w:rPr>
          <w:rFonts w:cs="Times New Roman"/>
          <w:szCs w:val="24"/>
        </w:rPr>
        <w:t xml:space="preserve">the </w:t>
      </w:r>
      <w:r w:rsidRPr="00AC1055">
        <w:rPr>
          <w:rFonts w:cs="Times New Roman"/>
          <w:szCs w:val="24"/>
        </w:rPr>
        <w:t xml:space="preserve">listing agreement then the survey </w:t>
      </w:r>
      <w:r w:rsidR="00705F75">
        <w:rPr>
          <w:rFonts w:cs="Times New Roman"/>
          <w:szCs w:val="24"/>
        </w:rPr>
        <w:t>will</w:t>
      </w:r>
      <w:r w:rsidR="00705F75" w:rsidRPr="00AC1055">
        <w:rPr>
          <w:rFonts w:cs="Times New Roman"/>
          <w:szCs w:val="24"/>
        </w:rPr>
        <w:t xml:space="preserve"> </w:t>
      </w:r>
      <w:r w:rsidRPr="00AC1055">
        <w:rPr>
          <w:rFonts w:cs="Times New Roman"/>
          <w:szCs w:val="24"/>
        </w:rPr>
        <w:t xml:space="preserve">take into account the company and securities law focussing on statutes enacted at a federal level. For every variable which is addressed by hard law and enforceable, generally by the market regulator, and justiciable, usually by courts </w:t>
      </w:r>
      <w:r w:rsidR="00705F75">
        <w:rPr>
          <w:rFonts w:cs="Times New Roman"/>
          <w:szCs w:val="24"/>
        </w:rPr>
        <w:t>will</w:t>
      </w:r>
      <w:r w:rsidR="00705F75" w:rsidRPr="00AC1055">
        <w:rPr>
          <w:rFonts w:cs="Times New Roman"/>
          <w:szCs w:val="24"/>
        </w:rPr>
        <w:t xml:space="preserve"> </w:t>
      </w:r>
      <w:r w:rsidRPr="00AC1055">
        <w:rPr>
          <w:rFonts w:cs="Times New Roman"/>
          <w:szCs w:val="24"/>
        </w:rPr>
        <w:t xml:space="preserve">be coded as 2. If the variable is not adequately dealt with by hard law the survey </w:t>
      </w:r>
      <w:r w:rsidR="00705F75">
        <w:rPr>
          <w:rFonts w:cs="Times New Roman"/>
          <w:szCs w:val="24"/>
        </w:rPr>
        <w:t>will</w:t>
      </w:r>
      <w:r w:rsidR="00705F75" w:rsidRPr="00AC1055">
        <w:rPr>
          <w:rFonts w:cs="Times New Roman"/>
          <w:szCs w:val="24"/>
        </w:rPr>
        <w:t xml:space="preserve"> </w:t>
      </w:r>
      <w:r w:rsidRPr="00AC1055">
        <w:rPr>
          <w:rFonts w:cs="Times New Roman"/>
          <w:szCs w:val="24"/>
        </w:rPr>
        <w:t xml:space="preserve">move to soft law </w:t>
      </w:r>
      <w:r w:rsidR="00705F75">
        <w:rPr>
          <w:rFonts w:cs="Times New Roman"/>
          <w:szCs w:val="24"/>
        </w:rPr>
        <w:t>such as</w:t>
      </w:r>
      <w:r w:rsidR="00705F75" w:rsidRPr="00AC1055">
        <w:rPr>
          <w:rFonts w:cs="Times New Roman"/>
          <w:szCs w:val="24"/>
        </w:rPr>
        <w:t xml:space="preserve"> </w:t>
      </w:r>
      <w:r w:rsidRPr="00AC1055">
        <w:rPr>
          <w:rFonts w:cs="Times New Roman"/>
          <w:szCs w:val="24"/>
        </w:rPr>
        <w:t>non-binding corporate governance codes, code</w:t>
      </w:r>
      <w:r w:rsidR="00705F75">
        <w:rPr>
          <w:rFonts w:cs="Times New Roman"/>
          <w:szCs w:val="24"/>
        </w:rPr>
        <w:t>s</w:t>
      </w:r>
      <w:r w:rsidRPr="00AC1055">
        <w:rPr>
          <w:rFonts w:cs="Times New Roman"/>
          <w:szCs w:val="24"/>
        </w:rPr>
        <w:t xml:space="preserve"> of ethics for company executives</w:t>
      </w:r>
      <w:r w:rsidR="00705F75">
        <w:rPr>
          <w:rFonts w:cs="Times New Roman"/>
          <w:szCs w:val="24"/>
        </w:rPr>
        <w:t xml:space="preserve"> and</w:t>
      </w:r>
      <w:r w:rsidRPr="00AC1055">
        <w:rPr>
          <w:rFonts w:cs="Times New Roman"/>
          <w:szCs w:val="24"/>
        </w:rPr>
        <w:t xml:space="preserve"> self-governing codes like City codes etc. These variables would be coded as 1. </w:t>
      </w:r>
      <w:r w:rsidR="00705F75">
        <w:rPr>
          <w:rFonts w:cs="Times New Roman"/>
          <w:szCs w:val="24"/>
        </w:rPr>
        <w:t>If the</w:t>
      </w:r>
      <w:r w:rsidRPr="00AC1055">
        <w:rPr>
          <w:rFonts w:cs="Times New Roman"/>
          <w:szCs w:val="24"/>
        </w:rPr>
        <w:t xml:space="preserve"> variable is not dealt with by either hard law or soft law it </w:t>
      </w:r>
      <w:r w:rsidR="00705F75">
        <w:rPr>
          <w:rFonts w:cs="Times New Roman"/>
          <w:szCs w:val="24"/>
        </w:rPr>
        <w:t>will</w:t>
      </w:r>
      <w:r w:rsidR="00705F75" w:rsidRPr="00AC1055">
        <w:rPr>
          <w:rFonts w:cs="Times New Roman"/>
          <w:szCs w:val="24"/>
        </w:rPr>
        <w:t xml:space="preserve"> </w:t>
      </w:r>
      <w:r w:rsidRPr="00AC1055">
        <w:rPr>
          <w:rFonts w:cs="Times New Roman"/>
          <w:szCs w:val="24"/>
        </w:rPr>
        <w:t>be code</w:t>
      </w:r>
      <w:r w:rsidR="00705F75">
        <w:rPr>
          <w:rFonts w:cs="Times New Roman"/>
          <w:szCs w:val="24"/>
        </w:rPr>
        <w:t>d</w:t>
      </w:r>
      <w:r w:rsidRPr="00AC1055">
        <w:rPr>
          <w:rFonts w:cs="Times New Roman"/>
          <w:szCs w:val="24"/>
        </w:rPr>
        <w:t xml:space="preserve"> as 0. Therefore</w:t>
      </w:r>
      <w:r w:rsidR="00705F75">
        <w:rPr>
          <w:rFonts w:cs="Times New Roman"/>
          <w:szCs w:val="24"/>
        </w:rPr>
        <w:t>,</w:t>
      </w:r>
      <w:r w:rsidRPr="00AC1055">
        <w:rPr>
          <w:rFonts w:cs="Times New Roman"/>
          <w:szCs w:val="24"/>
        </w:rPr>
        <w:t xml:space="preserve"> unlike </w:t>
      </w:r>
      <w:r w:rsidR="00705F75">
        <w:rPr>
          <w:rFonts w:cs="Times New Roman"/>
          <w:szCs w:val="24"/>
        </w:rPr>
        <w:t xml:space="preserve">the </w:t>
      </w:r>
      <w:r w:rsidRPr="00AC1055">
        <w:rPr>
          <w:rFonts w:cs="Times New Roman"/>
          <w:szCs w:val="24"/>
        </w:rPr>
        <w:t xml:space="preserve">early research </w:t>
      </w:r>
      <w:r w:rsidR="00705F75">
        <w:rPr>
          <w:rFonts w:cs="Times New Roman"/>
          <w:szCs w:val="24"/>
        </w:rPr>
        <w:t>by</w:t>
      </w:r>
      <w:r w:rsidR="00705F75" w:rsidRPr="00AC1055">
        <w:rPr>
          <w:rFonts w:cs="Times New Roman"/>
          <w:szCs w:val="24"/>
        </w:rPr>
        <w:t xml:space="preserve"> </w:t>
      </w:r>
      <w:r w:rsidRPr="00AC1055">
        <w:rPr>
          <w:rFonts w:cs="Times New Roman"/>
          <w:szCs w:val="24"/>
        </w:rPr>
        <w:t xml:space="preserve">La Porta et al., </w:t>
      </w:r>
      <w:r w:rsidR="00AA01AB">
        <w:rPr>
          <w:rFonts w:cs="Times New Roman"/>
          <w:szCs w:val="24"/>
        </w:rPr>
        <w:t>this</w:t>
      </w:r>
      <w:r w:rsidRPr="00AC1055">
        <w:rPr>
          <w:rFonts w:cs="Times New Roman"/>
          <w:szCs w:val="24"/>
        </w:rPr>
        <w:t xml:space="preserve"> research will not compile the compulsory minimum standard of corporate governance</w:t>
      </w:r>
      <w:r w:rsidR="00AA01AB">
        <w:rPr>
          <w:rFonts w:cs="Times New Roman"/>
          <w:szCs w:val="24"/>
        </w:rPr>
        <w:t>,</w:t>
      </w:r>
      <w:r w:rsidRPr="00AC1055">
        <w:rPr>
          <w:rFonts w:cs="Times New Roman"/>
          <w:szCs w:val="24"/>
        </w:rPr>
        <w:t xml:space="preserve"> neither will </w:t>
      </w:r>
      <w:r w:rsidR="00AA01AB">
        <w:rPr>
          <w:rFonts w:cs="Times New Roman"/>
          <w:szCs w:val="24"/>
        </w:rPr>
        <w:t>this</w:t>
      </w:r>
      <w:r w:rsidRPr="00AC1055">
        <w:rPr>
          <w:rFonts w:cs="Times New Roman"/>
          <w:szCs w:val="24"/>
        </w:rPr>
        <w:t xml:space="preserve"> research arbitrarily source some variables from hard law and others from soft law. For each variable which can be dealt with by regulation there </w:t>
      </w:r>
      <w:r w:rsidR="00AA01AB">
        <w:rPr>
          <w:rFonts w:cs="Times New Roman"/>
          <w:szCs w:val="24"/>
        </w:rPr>
        <w:t>will</w:t>
      </w:r>
      <w:r w:rsidR="00AA01AB" w:rsidRPr="00AC1055">
        <w:rPr>
          <w:rFonts w:cs="Times New Roman"/>
          <w:szCs w:val="24"/>
        </w:rPr>
        <w:t xml:space="preserve"> </w:t>
      </w:r>
      <w:r w:rsidRPr="00AC1055">
        <w:rPr>
          <w:rFonts w:cs="Times New Roman"/>
          <w:szCs w:val="24"/>
        </w:rPr>
        <w:t xml:space="preserve">be a three stage ordered response – no law 0, soft law 1 and hard law 2. This will not only capture a wider picture of </w:t>
      </w:r>
      <w:r w:rsidR="00AA01AB">
        <w:rPr>
          <w:rFonts w:cs="Times New Roman"/>
          <w:szCs w:val="24"/>
        </w:rPr>
        <w:t xml:space="preserve">the </w:t>
      </w:r>
      <w:r w:rsidRPr="00AC1055">
        <w:rPr>
          <w:rFonts w:cs="Times New Roman"/>
          <w:szCs w:val="24"/>
        </w:rPr>
        <w:t>implementation of corporate governance policies in different jurisdiction</w:t>
      </w:r>
      <w:r w:rsidR="00AA01AB">
        <w:rPr>
          <w:rFonts w:cs="Times New Roman"/>
          <w:szCs w:val="24"/>
        </w:rPr>
        <w:t>s,</w:t>
      </w:r>
      <w:r w:rsidRPr="00AC1055">
        <w:rPr>
          <w:rFonts w:cs="Times New Roman"/>
          <w:szCs w:val="24"/>
        </w:rPr>
        <w:t xml:space="preserve"> but </w:t>
      </w:r>
      <w:r w:rsidR="00AA01AB">
        <w:rPr>
          <w:rFonts w:cs="Times New Roman"/>
          <w:szCs w:val="24"/>
        </w:rPr>
        <w:t>will</w:t>
      </w:r>
      <w:r w:rsidR="00AA01AB" w:rsidRPr="00AC1055">
        <w:rPr>
          <w:rFonts w:cs="Times New Roman"/>
          <w:szCs w:val="24"/>
        </w:rPr>
        <w:t xml:space="preserve"> </w:t>
      </w:r>
      <w:r w:rsidRPr="00AC1055">
        <w:rPr>
          <w:rFonts w:cs="Times New Roman"/>
          <w:szCs w:val="24"/>
        </w:rPr>
        <w:t xml:space="preserve">also be useful in intra-code comparison and finding out which portions of corporate governance tend to be implemented differently via soft law etc.  </w:t>
      </w:r>
    </w:p>
    <w:p w14:paraId="6BDEB2AF" w14:textId="03101C55" w:rsidR="003E11A9" w:rsidRDefault="003E11A9" w:rsidP="00AC1055">
      <w:pPr>
        <w:spacing w:line="480" w:lineRule="auto"/>
        <w:rPr>
          <w:rFonts w:cs="Times New Roman"/>
          <w:szCs w:val="24"/>
        </w:rPr>
      </w:pPr>
      <w:r w:rsidRPr="00AC1055">
        <w:rPr>
          <w:rFonts w:cs="Times New Roman"/>
          <w:szCs w:val="24"/>
        </w:rPr>
        <w:t xml:space="preserve">To address the issue of interpretation, inter-rater reliability and </w:t>
      </w:r>
      <w:r w:rsidR="00AA01AB">
        <w:rPr>
          <w:rFonts w:cs="Times New Roman"/>
          <w:szCs w:val="24"/>
        </w:rPr>
        <w:t xml:space="preserve">the </w:t>
      </w:r>
      <w:r w:rsidRPr="00AC1055">
        <w:rPr>
          <w:rFonts w:cs="Times New Roman"/>
          <w:szCs w:val="24"/>
        </w:rPr>
        <w:t xml:space="preserve">replicability of the data set and the index, the researcher </w:t>
      </w:r>
      <w:r w:rsidR="00AA01AB">
        <w:rPr>
          <w:rFonts w:cs="Times New Roman"/>
          <w:szCs w:val="24"/>
        </w:rPr>
        <w:t>will</w:t>
      </w:r>
      <w:r w:rsidR="00AA01AB" w:rsidRPr="00AC1055">
        <w:rPr>
          <w:rFonts w:cs="Times New Roman"/>
          <w:szCs w:val="24"/>
        </w:rPr>
        <w:t xml:space="preserve"> </w:t>
      </w:r>
      <w:r w:rsidRPr="00AC1055">
        <w:rPr>
          <w:rFonts w:cs="Times New Roman"/>
          <w:szCs w:val="24"/>
        </w:rPr>
        <w:t xml:space="preserve">set variables which can </w:t>
      </w:r>
      <w:r w:rsidR="00124843">
        <w:rPr>
          <w:rFonts w:cs="Times New Roman"/>
          <w:szCs w:val="24"/>
        </w:rPr>
        <w:t xml:space="preserve">more or less </w:t>
      </w:r>
      <w:r w:rsidRPr="00AC1055">
        <w:rPr>
          <w:rFonts w:cs="Times New Roman"/>
          <w:szCs w:val="24"/>
        </w:rPr>
        <w:t xml:space="preserve">be objectively defined and </w:t>
      </w:r>
      <w:r w:rsidR="00AA01AB">
        <w:rPr>
          <w:rFonts w:cs="Times New Roman"/>
          <w:szCs w:val="24"/>
        </w:rPr>
        <w:t>are</w:t>
      </w:r>
      <w:r w:rsidRPr="00AC1055">
        <w:rPr>
          <w:rFonts w:cs="Times New Roman"/>
          <w:szCs w:val="24"/>
        </w:rPr>
        <w:t xml:space="preserve"> consistent across jurisdiction</w:t>
      </w:r>
      <w:r w:rsidR="00AA01AB">
        <w:rPr>
          <w:rFonts w:cs="Times New Roman"/>
          <w:szCs w:val="24"/>
        </w:rPr>
        <w:t>s</w:t>
      </w:r>
      <w:r w:rsidRPr="00AC1055">
        <w:rPr>
          <w:rFonts w:cs="Times New Roman"/>
          <w:szCs w:val="24"/>
        </w:rPr>
        <w:t xml:space="preserve">. The researcher </w:t>
      </w:r>
      <w:r w:rsidR="00AA01AB">
        <w:rPr>
          <w:rFonts w:cs="Times New Roman"/>
          <w:szCs w:val="24"/>
        </w:rPr>
        <w:t>will</w:t>
      </w:r>
      <w:r w:rsidR="00AA01AB" w:rsidRPr="00AC1055">
        <w:rPr>
          <w:rFonts w:cs="Times New Roman"/>
          <w:szCs w:val="24"/>
        </w:rPr>
        <w:t xml:space="preserve"> </w:t>
      </w:r>
      <w:r w:rsidRPr="00AC1055">
        <w:rPr>
          <w:rFonts w:cs="Times New Roman"/>
          <w:szCs w:val="24"/>
        </w:rPr>
        <w:t xml:space="preserve">rely on feedback loops where the experts being surveyed can raise queries about the variables and the researcher </w:t>
      </w:r>
      <w:r w:rsidR="00AA01AB">
        <w:rPr>
          <w:rFonts w:cs="Times New Roman"/>
          <w:szCs w:val="24"/>
        </w:rPr>
        <w:t>will</w:t>
      </w:r>
      <w:r w:rsidR="00AA01AB" w:rsidRPr="00AC1055">
        <w:rPr>
          <w:rFonts w:cs="Times New Roman"/>
          <w:szCs w:val="24"/>
        </w:rPr>
        <w:t xml:space="preserve"> </w:t>
      </w:r>
      <w:r w:rsidRPr="00AC1055">
        <w:rPr>
          <w:rFonts w:cs="Times New Roman"/>
          <w:szCs w:val="24"/>
        </w:rPr>
        <w:t xml:space="preserve">provide them </w:t>
      </w:r>
      <w:r w:rsidR="00AA01AB">
        <w:rPr>
          <w:rFonts w:cs="Times New Roman"/>
          <w:szCs w:val="24"/>
        </w:rPr>
        <w:t xml:space="preserve">with </w:t>
      </w:r>
      <w:r w:rsidRPr="00AC1055">
        <w:rPr>
          <w:rFonts w:cs="Times New Roman"/>
          <w:szCs w:val="24"/>
        </w:rPr>
        <w:t>additional information based on the feedback</w:t>
      </w:r>
      <w:r w:rsidR="00124843">
        <w:rPr>
          <w:rFonts w:cs="Times New Roman"/>
          <w:szCs w:val="24"/>
        </w:rPr>
        <w:t xml:space="preserve"> and</w:t>
      </w:r>
      <w:r w:rsidRPr="00AC1055">
        <w:rPr>
          <w:rFonts w:cs="Times New Roman"/>
          <w:szCs w:val="24"/>
        </w:rPr>
        <w:t xml:space="preserve"> if required amend the variables to reflect the change for all the countries</w:t>
      </w:r>
      <w:r w:rsidR="00AA01AB">
        <w:rPr>
          <w:rFonts w:cs="Times New Roman"/>
          <w:szCs w:val="24"/>
        </w:rPr>
        <w:t xml:space="preserve"> surveyed</w:t>
      </w:r>
      <w:r w:rsidRPr="00AC1055">
        <w:rPr>
          <w:rFonts w:cs="Times New Roman"/>
          <w:szCs w:val="24"/>
        </w:rPr>
        <w:t xml:space="preserve">. The researcher </w:t>
      </w:r>
      <w:r w:rsidR="00AA01AB">
        <w:rPr>
          <w:rFonts w:cs="Times New Roman"/>
          <w:szCs w:val="24"/>
        </w:rPr>
        <w:t>will</w:t>
      </w:r>
      <w:r w:rsidR="00AA01AB" w:rsidRPr="00AC1055">
        <w:rPr>
          <w:rFonts w:cs="Times New Roman"/>
          <w:szCs w:val="24"/>
        </w:rPr>
        <w:t xml:space="preserve"> </w:t>
      </w:r>
      <w:r w:rsidRPr="00AC1055">
        <w:rPr>
          <w:rFonts w:cs="Times New Roman"/>
          <w:szCs w:val="24"/>
        </w:rPr>
        <w:t xml:space="preserve">provide the expert correspondents with a </w:t>
      </w:r>
      <w:r w:rsidRPr="00AC1055">
        <w:rPr>
          <w:rFonts w:cs="Times New Roman"/>
          <w:szCs w:val="24"/>
        </w:rPr>
        <w:lastRenderedPageBreak/>
        <w:t xml:space="preserve">questionnaire, a detailed definition of the variables and a model answer for </w:t>
      </w:r>
      <w:r w:rsidR="00124843">
        <w:rPr>
          <w:rFonts w:cs="Times New Roman"/>
          <w:szCs w:val="24"/>
        </w:rPr>
        <w:t>India and Chile</w:t>
      </w:r>
      <w:r w:rsidRPr="00AC1055">
        <w:rPr>
          <w:rFonts w:cs="Times New Roman"/>
          <w:szCs w:val="24"/>
        </w:rPr>
        <w:t xml:space="preserve"> for illustration. Increasing the number of expert survey</w:t>
      </w:r>
      <w:r w:rsidR="00AA01AB">
        <w:rPr>
          <w:rFonts w:cs="Times New Roman"/>
          <w:szCs w:val="24"/>
        </w:rPr>
        <w:t>s</w:t>
      </w:r>
      <w:r w:rsidRPr="00AC1055">
        <w:rPr>
          <w:rFonts w:cs="Times New Roman"/>
          <w:szCs w:val="24"/>
        </w:rPr>
        <w:t xml:space="preserve"> per country </w:t>
      </w:r>
      <w:r w:rsidR="00AA01AB">
        <w:rPr>
          <w:rFonts w:cs="Times New Roman"/>
          <w:szCs w:val="24"/>
        </w:rPr>
        <w:t>will</w:t>
      </w:r>
      <w:r w:rsidR="00AA01AB" w:rsidRPr="00AC1055">
        <w:rPr>
          <w:rFonts w:cs="Times New Roman"/>
          <w:szCs w:val="24"/>
        </w:rPr>
        <w:t xml:space="preserve"> </w:t>
      </w:r>
      <w:r w:rsidRPr="00AC1055">
        <w:rPr>
          <w:rFonts w:cs="Times New Roman"/>
          <w:szCs w:val="24"/>
        </w:rPr>
        <w:t>increase</w:t>
      </w:r>
      <w:r w:rsidR="00AA01AB">
        <w:rPr>
          <w:rFonts w:cs="Times New Roman"/>
          <w:szCs w:val="24"/>
        </w:rPr>
        <w:t xml:space="preserve"> the </w:t>
      </w:r>
      <w:r w:rsidRPr="00AC1055">
        <w:rPr>
          <w:rFonts w:cs="Times New Roman"/>
          <w:szCs w:val="24"/>
        </w:rPr>
        <w:t xml:space="preserve"> reliability of data but given the practical considerations </w:t>
      </w:r>
      <w:r w:rsidR="00AA01AB">
        <w:rPr>
          <w:rFonts w:cs="Times New Roman"/>
          <w:szCs w:val="24"/>
        </w:rPr>
        <w:t>regarding</w:t>
      </w:r>
      <w:r w:rsidRPr="00AC1055">
        <w:rPr>
          <w:rFonts w:cs="Times New Roman"/>
          <w:szCs w:val="24"/>
        </w:rPr>
        <w:t xml:space="preserve"> limitations in funding, the researcher </w:t>
      </w:r>
      <w:r w:rsidR="00AA01AB">
        <w:rPr>
          <w:rFonts w:cs="Times New Roman"/>
          <w:szCs w:val="24"/>
        </w:rPr>
        <w:t>will</w:t>
      </w:r>
      <w:r w:rsidR="00AA01AB" w:rsidRPr="00AC1055">
        <w:rPr>
          <w:rFonts w:cs="Times New Roman"/>
          <w:szCs w:val="24"/>
        </w:rPr>
        <w:t xml:space="preserve"> </w:t>
      </w:r>
      <w:r w:rsidRPr="00AC1055">
        <w:rPr>
          <w:rFonts w:cs="Times New Roman"/>
          <w:szCs w:val="24"/>
        </w:rPr>
        <w:t xml:space="preserve">approach one expert per jurisdiction.   </w:t>
      </w:r>
    </w:p>
    <w:p w14:paraId="5979CB6C" w14:textId="1C1B9D7B" w:rsidR="0035266B" w:rsidRDefault="00AA01AB" w:rsidP="0035266B">
      <w:pPr>
        <w:spacing w:line="480" w:lineRule="auto"/>
        <w:rPr>
          <w:rFonts w:cs="Times New Roman"/>
        </w:rPr>
      </w:pPr>
      <w:r>
        <w:rPr>
          <w:rFonts w:cs="Times New Roman"/>
        </w:rPr>
        <w:t>This</w:t>
      </w:r>
      <w:r w:rsidR="0035266B" w:rsidRPr="00AC1055">
        <w:rPr>
          <w:rFonts w:cs="Times New Roman"/>
        </w:rPr>
        <w:t xml:space="preserve"> research empirically investigates whether adopting a more shareholder primacy corporate governance, over a period of time, leads to an increase in the growth of financial markets in developing countries. This is done primarily by performing a regression analysis. A multiple linear regression model can be mathematically represented as</w:t>
      </w:r>
      <w:r w:rsidR="0035266B">
        <w:rPr>
          <w:rFonts w:cs="Times New Roman"/>
        </w:rPr>
        <w:t>:</w:t>
      </w:r>
      <w:r w:rsidR="0035266B" w:rsidRPr="00AC1055">
        <w:rPr>
          <w:rFonts w:cs="Times New Roman"/>
        </w:rPr>
        <w:t xml:space="preserve"> </w:t>
      </w:r>
    </w:p>
    <w:p w14:paraId="307DE526" w14:textId="77777777" w:rsidR="0035266B" w:rsidRPr="00AC1055" w:rsidRDefault="0035266B" w:rsidP="0035266B">
      <w:pPr>
        <w:spacing w:line="480" w:lineRule="auto"/>
        <w:jc w:val="center"/>
        <w:rPr>
          <w:rFonts w:cs="Times New Roman"/>
        </w:rPr>
      </w:pPr>
      <w:r w:rsidRPr="00AC1055">
        <w:rPr>
          <w:rFonts w:cs="Times New Roman"/>
        </w:rPr>
        <w:t>Y = α + β</w:t>
      </w:r>
      <w:r w:rsidRPr="00AC1055">
        <w:rPr>
          <w:rFonts w:cs="Times New Roman"/>
          <w:vertAlign w:val="subscript"/>
        </w:rPr>
        <w:t>1</w:t>
      </w:r>
      <w:r w:rsidRPr="00AC1055">
        <w:rPr>
          <w:rFonts w:cs="Times New Roman"/>
        </w:rPr>
        <w:t>X</w:t>
      </w:r>
      <w:r w:rsidRPr="00AC1055">
        <w:rPr>
          <w:rFonts w:cs="Times New Roman"/>
          <w:vertAlign w:val="subscript"/>
        </w:rPr>
        <w:t>1</w:t>
      </w:r>
      <w:r w:rsidRPr="00AC1055">
        <w:rPr>
          <w:rFonts w:cs="Times New Roman"/>
        </w:rPr>
        <w:t xml:space="preserve"> + β</w:t>
      </w:r>
      <w:r w:rsidRPr="00AC1055">
        <w:rPr>
          <w:rFonts w:cs="Times New Roman"/>
          <w:vertAlign w:val="subscript"/>
        </w:rPr>
        <w:t>2</w:t>
      </w:r>
      <w:r w:rsidRPr="00AC1055">
        <w:rPr>
          <w:rFonts w:cs="Times New Roman"/>
        </w:rPr>
        <w:t>X</w:t>
      </w:r>
      <w:r w:rsidRPr="00AC1055">
        <w:rPr>
          <w:rFonts w:cs="Times New Roman"/>
          <w:vertAlign w:val="subscript"/>
        </w:rPr>
        <w:t>2</w:t>
      </w:r>
      <w:r w:rsidRPr="00AC1055">
        <w:rPr>
          <w:rFonts w:cs="Times New Roman"/>
        </w:rPr>
        <w:t xml:space="preserve"> + ε</w:t>
      </w:r>
    </w:p>
    <w:p w14:paraId="68CCA065" w14:textId="7B65DA9B" w:rsidR="0035266B" w:rsidRPr="00A07A47" w:rsidRDefault="0035266B" w:rsidP="00AC1055">
      <w:pPr>
        <w:spacing w:line="480" w:lineRule="auto"/>
        <w:rPr>
          <w:rFonts w:cs="Times New Roman"/>
        </w:rPr>
      </w:pPr>
      <w:r w:rsidRPr="00AC1055">
        <w:rPr>
          <w:rFonts w:cs="Times New Roman"/>
        </w:rPr>
        <w:t>In the equation above</w:t>
      </w:r>
      <w:r w:rsidR="00AA01AB">
        <w:rPr>
          <w:rFonts w:cs="Times New Roman"/>
        </w:rPr>
        <w:t>,</w:t>
      </w:r>
      <w:r w:rsidRPr="00AC1055">
        <w:rPr>
          <w:rFonts w:cs="Times New Roman"/>
        </w:rPr>
        <w:t xml:space="preserve"> Y is the dependent variable which is influenced by two independent variables X</w:t>
      </w:r>
      <w:r w:rsidRPr="00AC1055">
        <w:rPr>
          <w:rFonts w:cs="Times New Roman"/>
          <w:vertAlign w:val="subscript"/>
        </w:rPr>
        <w:t>1</w:t>
      </w:r>
      <w:r w:rsidRPr="00AC1055">
        <w:rPr>
          <w:rFonts w:cs="Times New Roman"/>
        </w:rPr>
        <w:t xml:space="preserve"> and X</w:t>
      </w:r>
      <w:r w:rsidRPr="00AC1055">
        <w:rPr>
          <w:rFonts w:cs="Times New Roman"/>
          <w:vertAlign w:val="subscript"/>
        </w:rPr>
        <w:t>2</w:t>
      </w:r>
      <w:r w:rsidRPr="00AC1055">
        <w:rPr>
          <w:rFonts w:cs="Times New Roman"/>
        </w:rPr>
        <w:t xml:space="preserve">. For the purposes of </w:t>
      </w:r>
      <w:r w:rsidR="00AA01AB">
        <w:rPr>
          <w:rFonts w:cs="Times New Roman"/>
        </w:rPr>
        <w:t>this</w:t>
      </w:r>
      <w:r w:rsidR="00AA01AB" w:rsidRPr="00AC1055">
        <w:rPr>
          <w:rFonts w:cs="Times New Roman"/>
        </w:rPr>
        <w:t xml:space="preserve"> </w:t>
      </w:r>
      <w:r w:rsidRPr="00AC1055">
        <w:rPr>
          <w:rFonts w:cs="Times New Roman"/>
        </w:rPr>
        <w:t>research Y is the financial market indicator, X</w:t>
      </w:r>
      <w:r w:rsidRPr="00AC1055">
        <w:rPr>
          <w:rFonts w:cs="Times New Roman"/>
          <w:vertAlign w:val="subscript"/>
        </w:rPr>
        <w:t>1</w:t>
      </w:r>
      <w:r w:rsidRPr="00AC1055">
        <w:rPr>
          <w:rFonts w:cs="Times New Roman"/>
        </w:rPr>
        <w:t xml:space="preserve"> is the corporate governance indicator and X</w:t>
      </w:r>
      <w:r w:rsidRPr="00AC1055">
        <w:rPr>
          <w:rFonts w:cs="Times New Roman"/>
          <w:vertAlign w:val="subscript"/>
        </w:rPr>
        <w:t>2</w:t>
      </w:r>
      <w:r w:rsidRPr="00AC1055">
        <w:rPr>
          <w:rFonts w:cs="Times New Roman"/>
        </w:rPr>
        <w:t xml:space="preserve"> is the control variable. We already have the observed values of Y, X</w:t>
      </w:r>
      <w:r w:rsidRPr="00AC1055">
        <w:rPr>
          <w:rFonts w:cs="Times New Roman"/>
          <w:vertAlign w:val="subscript"/>
        </w:rPr>
        <w:t>1</w:t>
      </w:r>
      <w:r w:rsidRPr="00AC1055">
        <w:rPr>
          <w:rFonts w:cs="Times New Roman"/>
        </w:rPr>
        <w:t xml:space="preserve"> and X</w:t>
      </w:r>
      <w:r w:rsidRPr="00AC1055">
        <w:rPr>
          <w:rFonts w:cs="Times New Roman"/>
          <w:vertAlign w:val="subscript"/>
        </w:rPr>
        <w:t>2</w:t>
      </w:r>
      <w:r w:rsidRPr="00AC1055">
        <w:rPr>
          <w:rFonts w:cs="Times New Roman"/>
        </w:rPr>
        <w:t>; X</w:t>
      </w:r>
      <w:r w:rsidRPr="00AC1055">
        <w:rPr>
          <w:rFonts w:cs="Times New Roman"/>
          <w:vertAlign w:val="subscript"/>
        </w:rPr>
        <w:t>1</w:t>
      </w:r>
      <w:r w:rsidRPr="00AC1055">
        <w:rPr>
          <w:rFonts w:cs="Times New Roman"/>
        </w:rPr>
        <w:t xml:space="preserve"> is a matrix of various corporate governance indices </w:t>
      </w:r>
      <w:r w:rsidR="00AA01AB">
        <w:rPr>
          <w:rFonts w:cs="Times New Roman"/>
        </w:rPr>
        <w:t>such as</w:t>
      </w:r>
      <w:r w:rsidR="00AA01AB" w:rsidRPr="00AC1055">
        <w:rPr>
          <w:rFonts w:cs="Times New Roman"/>
        </w:rPr>
        <w:t xml:space="preserve"> </w:t>
      </w:r>
      <w:r w:rsidR="00AA01AB">
        <w:rPr>
          <w:rFonts w:cs="Times New Roman"/>
        </w:rPr>
        <w:t xml:space="preserve">the </w:t>
      </w:r>
      <w:r w:rsidRPr="00AC1055">
        <w:rPr>
          <w:rFonts w:cs="Times New Roman"/>
        </w:rPr>
        <w:t xml:space="preserve">shareholders rights index, anti-managerial rights index, minority rights index, stakeholder rights index etc. Y is a bundle of stock market performance indicators </w:t>
      </w:r>
      <w:r w:rsidR="003E674F">
        <w:rPr>
          <w:rFonts w:cs="Times New Roman"/>
        </w:rPr>
        <w:t>such as the</w:t>
      </w:r>
      <w:r w:rsidR="003E674F" w:rsidRPr="00AC1055">
        <w:rPr>
          <w:rFonts w:cs="Times New Roman"/>
        </w:rPr>
        <w:t xml:space="preserve"> </w:t>
      </w:r>
      <w:r w:rsidRPr="00AC1055">
        <w:rPr>
          <w:rFonts w:cs="Times New Roman"/>
        </w:rPr>
        <w:t>total volume traded, number of IPOs, market capitalisation etc. However</w:t>
      </w:r>
      <w:r w:rsidR="003E674F">
        <w:rPr>
          <w:rFonts w:cs="Times New Roman"/>
        </w:rPr>
        <w:t>,</w:t>
      </w:r>
      <w:r w:rsidRPr="00AC1055">
        <w:rPr>
          <w:rFonts w:cs="Times New Roman"/>
        </w:rPr>
        <w:t xml:space="preserve"> in this research </w:t>
      </w:r>
      <w:r w:rsidR="003E674F">
        <w:rPr>
          <w:rFonts w:cs="Times New Roman"/>
        </w:rPr>
        <w:t>the primary interest is</w:t>
      </w:r>
      <w:r w:rsidR="00124843">
        <w:rPr>
          <w:rFonts w:cs="Times New Roman"/>
        </w:rPr>
        <w:t xml:space="preserve"> in</w:t>
      </w:r>
      <w:r w:rsidRPr="00AC1055">
        <w:rPr>
          <w:rFonts w:cs="Times New Roman"/>
        </w:rPr>
        <w:t xml:space="preserve"> isolating the effect that corporate governance has on </w:t>
      </w:r>
      <w:r w:rsidR="003E674F">
        <w:rPr>
          <w:rFonts w:cs="Times New Roman"/>
        </w:rPr>
        <w:t xml:space="preserve">the </w:t>
      </w:r>
      <w:r w:rsidRPr="00AC1055">
        <w:rPr>
          <w:rFonts w:cs="Times New Roman"/>
        </w:rPr>
        <w:t>financial market (the effect is represented in the model as β</w:t>
      </w:r>
      <w:r w:rsidRPr="00AC1055">
        <w:rPr>
          <w:rFonts w:cs="Times New Roman"/>
          <w:vertAlign w:val="subscript"/>
        </w:rPr>
        <w:t>1</w:t>
      </w:r>
      <w:r w:rsidRPr="00AC1055">
        <w:rPr>
          <w:rFonts w:cs="Times New Roman"/>
        </w:rPr>
        <w:t xml:space="preserve">) – this is </w:t>
      </w:r>
      <w:r w:rsidR="003E674F">
        <w:rPr>
          <w:rFonts w:cs="Times New Roman"/>
        </w:rPr>
        <w:t>the</w:t>
      </w:r>
      <w:r w:rsidR="003E674F" w:rsidRPr="00AC1055">
        <w:rPr>
          <w:rFonts w:cs="Times New Roman"/>
        </w:rPr>
        <w:t xml:space="preserve"> </w:t>
      </w:r>
      <w:r w:rsidRPr="00AC1055">
        <w:rPr>
          <w:rFonts w:cs="Times New Roman"/>
        </w:rPr>
        <w:t xml:space="preserve">predictor variable, but </w:t>
      </w:r>
      <w:r w:rsidR="003E674F">
        <w:rPr>
          <w:rFonts w:cs="Times New Roman"/>
        </w:rPr>
        <w:t>it is evident</w:t>
      </w:r>
      <w:r w:rsidRPr="00AC1055">
        <w:rPr>
          <w:rFonts w:cs="Times New Roman"/>
        </w:rPr>
        <w:t xml:space="preserve"> from experience that </w:t>
      </w:r>
      <w:r w:rsidR="003E674F">
        <w:rPr>
          <w:rFonts w:cs="Times New Roman"/>
        </w:rPr>
        <w:t xml:space="preserve">the </w:t>
      </w:r>
      <w:r w:rsidRPr="00AC1055">
        <w:rPr>
          <w:rFonts w:cs="Times New Roman"/>
        </w:rPr>
        <w:t xml:space="preserve">growth of financial markets </w:t>
      </w:r>
      <w:r w:rsidR="003E674F">
        <w:rPr>
          <w:rFonts w:cs="Times New Roman"/>
        </w:rPr>
        <w:t>is</w:t>
      </w:r>
      <w:r w:rsidR="003E674F" w:rsidRPr="00AC1055">
        <w:rPr>
          <w:rFonts w:cs="Times New Roman"/>
        </w:rPr>
        <w:t xml:space="preserve"> </w:t>
      </w:r>
      <w:r w:rsidRPr="00AC1055">
        <w:rPr>
          <w:rFonts w:cs="Times New Roman"/>
        </w:rPr>
        <w:t xml:space="preserve">affected by many other factors (apart from corporate governance) </w:t>
      </w:r>
      <w:r w:rsidR="003E674F">
        <w:rPr>
          <w:rFonts w:cs="Times New Roman"/>
        </w:rPr>
        <w:t>such as</w:t>
      </w:r>
      <w:r w:rsidR="003E674F" w:rsidRPr="00AC1055">
        <w:rPr>
          <w:rFonts w:cs="Times New Roman"/>
        </w:rPr>
        <w:t xml:space="preserve"> </w:t>
      </w:r>
      <w:r w:rsidRPr="00AC1055">
        <w:rPr>
          <w:rFonts w:cs="Times New Roman"/>
        </w:rPr>
        <w:t>interest rates, financial inclusion, rule of law etc.; so all these other factors are bundled as control variables (the effect of control variables are represented in the model as β</w:t>
      </w:r>
      <w:r w:rsidRPr="00AC1055">
        <w:rPr>
          <w:rFonts w:cs="Times New Roman"/>
          <w:vertAlign w:val="subscript"/>
        </w:rPr>
        <w:t>2</w:t>
      </w:r>
      <w:r w:rsidRPr="00AC1055">
        <w:rPr>
          <w:rFonts w:cs="Times New Roman"/>
        </w:rPr>
        <w:t xml:space="preserve">). Control variables thus help to accurately measure the impact of </w:t>
      </w:r>
      <w:r w:rsidR="003E674F">
        <w:rPr>
          <w:rFonts w:cs="Times New Roman"/>
        </w:rPr>
        <w:t xml:space="preserve">the </w:t>
      </w:r>
      <w:r w:rsidRPr="00AC1055">
        <w:rPr>
          <w:rFonts w:cs="Times New Roman"/>
        </w:rPr>
        <w:t xml:space="preserve">main observed variable being </w:t>
      </w:r>
      <w:r w:rsidRPr="00AC1055">
        <w:rPr>
          <w:rFonts w:cs="Times New Roman"/>
        </w:rPr>
        <w:lastRenderedPageBreak/>
        <w:t xml:space="preserve">studied (in </w:t>
      </w:r>
      <w:r w:rsidR="003E674F">
        <w:rPr>
          <w:rFonts w:cs="Times New Roman"/>
        </w:rPr>
        <w:t>this</w:t>
      </w:r>
      <w:r w:rsidR="003E674F" w:rsidRPr="00AC1055">
        <w:rPr>
          <w:rFonts w:cs="Times New Roman"/>
        </w:rPr>
        <w:t xml:space="preserve"> </w:t>
      </w:r>
      <w:r w:rsidRPr="00AC1055">
        <w:rPr>
          <w:rFonts w:cs="Times New Roman"/>
        </w:rPr>
        <w:t xml:space="preserve">case the impact of </w:t>
      </w:r>
      <w:r w:rsidR="003E674F">
        <w:rPr>
          <w:rFonts w:cs="Times New Roman"/>
        </w:rPr>
        <w:t xml:space="preserve">an </w:t>
      </w:r>
      <w:r w:rsidRPr="00AC1055">
        <w:rPr>
          <w:rFonts w:cs="Times New Roman"/>
        </w:rPr>
        <w:t xml:space="preserve">inclination towards shareholder corporate governance on </w:t>
      </w:r>
      <w:r w:rsidR="003E674F">
        <w:rPr>
          <w:rFonts w:cs="Times New Roman"/>
        </w:rPr>
        <w:t xml:space="preserve">the </w:t>
      </w:r>
      <w:r w:rsidRPr="00AC1055">
        <w:rPr>
          <w:rFonts w:cs="Times New Roman"/>
        </w:rPr>
        <w:t xml:space="preserve">financial market), above and beyond the effects of other variables. The autocorrelation among variables are usually taken care of by the error term represented in the model as </w:t>
      </w:r>
      <w:r w:rsidR="00A07A47">
        <w:rPr>
          <w:rFonts w:cs="Times New Roman"/>
        </w:rPr>
        <w:t>ε.</w:t>
      </w:r>
    </w:p>
    <w:p w14:paraId="0D32285F" w14:textId="66E4B79E" w:rsidR="003E11A9" w:rsidRDefault="003E11A9" w:rsidP="00AC1055">
      <w:pPr>
        <w:spacing w:line="480" w:lineRule="auto"/>
        <w:rPr>
          <w:rFonts w:cs="Times New Roman"/>
          <w:szCs w:val="24"/>
        </w:rPr>
      </w:pPr>
      <w:r w:rsidRPr="00AC1055">
        <w:rPr>
          <w:rFonts w:cs="Times New Roman"/>
          <w:szCs w:val="24"/>
        </w:rPr>
        <w:t>Therefore</w:t>
      </w:r>
      <w:r w:rsidR="003E674F">
        <w:rPr>
          <w:rFonts w:cs="Times New Roman"/>
          <w:szCs w:val="24"/>
        </w:rPr>
        <w:t>,</w:t>
      </w:r>
      <w:r w:rsidRPr="00AC1055">
        <w:rPr>
          <w:rFonts w:cs="Times New Roman"/>
          <w:szCs w:val="24"/>
        </w:rPr>
        <w:t xml:space="preserve"> keeping in mind the availability, authenticity and authoritativeness of </w:t>
      </w:r>
      <w:r w:rsidR="003E674F">
        <w:rPr>
          <w:rFonts w:cs="Times New Roman"/>
          <w:szCs w:val="24"/>
        </w:rPr>
        <w:t xml:space="preserve">the </w:t>
      </w:r>
      <w:r w:rsidRPr="00AC1055">
        <w:rPr>
          <w:rFonts w:cs="Times New Roman"/>
          <w:szCs w:val="24"/>
        </w:rPr>
        <w:t xml:space="preserve">survey it would be useful to draw the variables from </w:t>
      </w:r>
      <w:r w:rsidR="003E674F">
        <w:rPr>
          <w:rFonts w:cs="Times New Roman"/>
          <w:szCs w:val="24"/>
        </w:rPr>
        <w:t>the</w:t>
      </w:r>
      <w:r w:rsidR="000A710F">
        <w:rPr>
          <w:rFonts w:cs="Times New Roman"/>
          <w:szCs w:val="24"/>
        </w:rPr>
        <w:t xml:space="preserve"> OECD Principles of Corporate Governance,</w:t>
      </w:r>
      <w:r w:rsidR="003E674F">
        <w:rPr>
          <w:rFonts w:cs="Times New Roman"/>
          <w:szCs w:val="24"/>
        </w:rPr>
        <w:t xml:space="preserve"> </w:t>
      </w:r>
      <w:r w:rsidRPr="00AC1055">
        <w:rPr>
          <w:rFonts w:cs="Times New Roman"/>
          <w:szCs w:val="24"/>
        </w:rPr>
        <w:t xml:space="preserve">ROSC and </w:t>
      </w:r>
      <w:r w:rsidRPr="00124843">
        <w:rPr>
          <w:rFonts w:cs="Times New Roman"/>
          <w:i/>
          <w:szCs w:val="24"/>
        </w:rPr>
        <w:t>Doing Business</w:t>
      </w:r>
      <w:r w:rsidRPr="00AC1055">
        <w:rPr>
          <w:rFonts w:cs="Times New Roman"/>
          <w:szCs w:val="24"/>
        </w:rPr>
        <w:t xml:space="preserve"> templates. Based on this understanding the researcher </w:t>
      </w:r>
      <w:r w:rsidR="003E674F">
        <w:rPr>
          <w:rFonts w:cs="Times New Roman"/>
          <w:szCs w:val="24"/>
        </w:rPr>
        <w:t>will</w:t>
      </w:r>
      <w:r w:rsidRPr="00AC1055">
        <w:rPr>
          <w:rFonts w:cs="Times New Roman"/>
          <w:szCs w:val="24"/>
        </w:rPr>
        <w:t xml:space="preserve"> conduct </w:t>
      </w:r>
      <w:r w:rsidR="003E674F">
        <w:rPr>
          <w:rFonts w:cs="Times New Roman"/>
          <w:szCs w:val="24"/>
        </w:rPr>
        <w:t xml:space="preserve">a </w:t>
      </w:r>
      <w:r w:rsidRPr="00AC1055">
        <w:rPr>
          <w:rFonts w:cs="Times New Roman"/>
          <w:szCs w:val="24"/>
        </w:rPr>
        <w:t>survey construc</w:t>
      </w:r>
      <w:r w:rsidR="00A07A47">
        <w:rPr>
          <w:rFonts w:cs="Times New Roman"/>
          <w:szCs w:val="24"/>
        </w:rPr>
        <w:t>ted on the following variables:</w:t>
      </w:r>
    </w:p>
    <w:p w14:paraId="58438AA5" w14:textId="77777777" w:rsidR="00A07A47" w:rsidRPr="00A07A47" w:rsidRDefault="001A6C14" w:rsidP="00AC1055">
      <w:pPr>
        <w:spacing w:line="480" w:lineRule="auto"/>
        <w:rPr>
          <w:rFonts w:cs="Times New Roman"/>
          <w:b/>
          <w:sz w:val="26"/>
          <w:szCs w:val="24"/>
          <w:u w:val="single"/>
        </w:rPr>
      </w:pPr>
      <w:r>
        <w:rPr>
          <w:rFonts w:cs="Times New Roman"/>
          <w:b/>
          <w:sz w:val="26"/>
          <w:szCs w:val="24"/>
          <w:u w:val="single"/>
        </w:rPr>
        <w:t xml:space="preserve">2.3 </w:t>
      </w:r>
      <w:r w:rsidR="00A07A47" w:rsidRPr="00A07A47">
        <w:rPr>
          <w:rFonts w:cs="Times New Roman"/>
          <w:b/>
          <w:sz w:val="26"/>
          <w:szCs w:val="24"/>
          <w:u w:val="single"/>
        </w:rPr>
        <w:t>Independent/ Predictor variable</w:t>
      </w:r>
      <w:r w:rsidR="00A07A47">
        <w:rPr>
          <w:rFonts w:cs="Times New Roman"/>
          <w:b/>
          <w:sz w:val="26"/>
          <w:szCs w:val="24"/>
          <w:u w:val="single"/>
        </w:rPr>
        <w:t xml:space="preserve"> (X</w:t>
      </w:r>
      <w:r w:rsidR="00A07A47">
        <w:rPr>
          <w:rFonts w:cs="Times New Roman"/>
          <w:b/>
          <w:sz w:val="26"/>
          <w:szCs w:val="24"/>
          <w:u w:val="single"/>
          <w:vertAlign w:val="subscript"/>
        </w:rPr>
        <w:t>1</w:t>
      </w:r>
      <w:r w:rsidR="00A07A47">
        <w:rPr>
          <w:rFonts w:cs="Times New Roman"/>
          <w:b/>
          <w:sz w:val="26"/>
          <w:szCs w:val="24"/>
          <w:u w:val="single"/>
        </w:rPr>
        <w:t>)</w:t>
      </w:r>
    </w:p>
    <w:p w14:paraId="322AB662" w14:textId="77777777" w:rsidR="003E11A9" w:rsidRPr="00AC1055" w:rsidRDefault="001A6C14" w:rsidP="00AC1055">
      <w:pPr>
        <w:spacing w:line="480" w:lineRule="auto"/>
        <w:rPr>
          <w:rFonts w:cs="Times New Roman"/>
          <w:b/>
          <w:szCs w:val="24"/>
          <w:u w:val="single"/>
        </w:rPr>
      </w:pPr>
      <w:r>
        <w:rPr>
          <w:rFonts w:cs="Times New Roman"/>
          <w:b/>
          <w:szCs w:val="24"/>
          <w:u w:val="single"/>
        </w:rPr>
        <w:t xml:space="preserve">2.3.1 </w:t>
      </w:r>
      <w:r w:rsidR="003E11A9" w:rsidRPr="00AC1055">
        <w:rPr>
          <w:rFonts w:cs="Times New Roman"/>
          <w:b/>
          <w:szCs w:val="24"/>
          <w:u w:val="single"/>
        </w:rPr>
        <w:t>Shareholder rights index</w:t>
      </w:r>
    </w:p>
    <w:p w14:paraId="2BA38A4C" w14:textId="77777777" w:rsidR="003E11A9" w:rsidRPr="00AC1055" w:rsidRDefault="003E11A9" w:rsidP="00AC1055">
      <w:pPr>
        <w:numPr>
          <w:ilvl w:val="0"/>
          <w:numId w:val="3"/>
        </w:numPr>
        <w:spacing w:line="480" w:lineRule="auto"/>
        <w:contextualSpacing/>
        <w:rPr>
          <w:rFonts w:cs="Times New Roman"/>
          <w:szCs w:val="24"/>
        </w:rPr>
      </w:pPr>
      <w:r w:rsidRPr="00AC1055">
        <w:rPr>
          <w:rFonts w:cs="Times New Roman"/>
          <w:i/>
          <w:szCs w:val="24"/>
        </w:rPr>
        <w:t>Secure methods of ownership registration</w:t>
      </w:r>
      <w:r w:rsidRPr="00AC1055">
        <w:rPr>
          <w:rFonts w:cs="Times New Roman"/>
          <w:szCs w:val="24"/>
        </w:rPr>
        <w:t xml:space="preserve"> - 2 if a central depository is available and shares are mandatorily held in an electronic dematerialised format in the central depositories, 1 if there is a central depository but it is optional to have shares in dematerialised format, 0 if there is no central depository. </w:t>
      </w:r>
    </w:p>
    <w:p w14:paraId="3BFD3E08" w14:textId="3FACFD88" w:rsidR="003E11A9" w:rsidRPr="00AC1055" w:rsidRDefault="003E11A9" w:rsidP="00AC1055">
      <w:pPr>
        <w:spacing w:line="480" w:lineRule="auto"/>
        <w:ind w:left="720"/>
        <w:contextualSpacing/>
        <w:rPr>
          <w:rFonts w:cs="Times New Roman"/>
          <w:szCs w:val="24"/>
        </w:rPr>
      </w:pPr>
      <w:r w:rsidRPr="00AC1055">
        <w:rPr>
          <w:rFonts w:cs="Times New Roman"/>
          <w:szCs w:val="24"/>
        </w:rPr>
        <w:t>The first step for a shareholder to claim the</w:t>
      </w:r>
      <w:r w:rsidR="003E674F">
        <w:rPr>
          <w:rFonts w:cs="Times New Roman"/>
          <w:szCs w:val="24"/>
        </w:rPr>
        <w:t>se</w:t>
      </w:r>
      <w:r w:rsidRPr="00AC1055">
        <w:rPr>
          <w:rFonts w:cs="Times New Roman"/>
          <w:szCs w:val="24"/>
        </w:rPr>
        <w:t xml:space="preserve"> rights would be to prove himself a shareholder, with increasing cross</w:t>
      </w:r>
      <w:r w:rsidR="003E674F">
        <w:rPr>
          <w:rFonts w:cs="Times New Roman"/>
          <w:szCs w:val="24"/>
        </w:rPr>
        <w:t>-</w:t>
      </w:r>
      <w:r w:rsidRPr="00AC1055">
        <w:rPr>
          <w:rFonts w:cs="Times New Roman"/>
          <w:szCs w:val="24"/>
        </w:rPr>
        <w:t>border holdings, registration often becomes the first hurdle. Thus a pro</w:t>
      </w:r>
      <w:r w:rsidR="003E674F">
        <w:rPr>
          <w:rFonts w:cs="Times New Roman"/>
          <w:szCs w:val="24"/>
        </w:rPr>
        <w:t>-</w:t>
      </w:r>
      <w:r w:rsidRPr="00AC1055">
        <w:rPr>
          <w:rFonts w:cs="Times New Roman"/>
          <w:szCs w:val="24"/>
        </w:rPr>
        <w:t xml:space="preserve">shareholder corporate governance regime would insist on an easy process with dematerialised shares which allow for electronic transfer especially through a central clearing house to reduce frauds, transaction time etc.   </w:t>
      </w:r>
    </w:p>
    <w:p w14:paraId="7D418A20" w14:textId="5EEAC685" w:rsidR="003E11A9" w:rsidRPr="00AC1055" w:rsidRDefault="003E11A9" w:rsidP="00AC1055">
      <w:pPr>
        <w:numPr>
          <w:ilvl w:val="0"/>
          <w:numId w:val="3"/>
        </w:numPr>
        <w:spacing w:line="480" w:lineRule="auto"/>
        <w:contextualSpacing/>
        <w:rPr>
          <w:rFonts w:cs="Times New Roman"/>
          <w:szCs w:val="24"/>
        </w:rPr>
      </w:pPr>
      <w:r w:rsidRPr="00AC1055">
        <w:rPr>
          <w:rFonts w:cs="Times New Roman"/>
          <w:i/>
          <w:szCs w:val="24"/>
        </w:rPr>
        <w:t xml:space="preserve">Transfer of shares </w:t>
      </w:r>
      <w:r w:rsidRPr="00AC1055">
        <w:rPr>
          <w:rFonts w:cs="Times New Roman"/>
          <w:szCs w:val="24"/>
        </w:rPr>
        <w:t xml:space="preserve">– 2 if shares of listed/public companies which can be traded in </w:t>
      </w:r>
      <w:r w:rsidR="003E674F">
        <w:rPr>
          <w:rFonts w:cs="Times New Roman"/>
          <w:szCs w:val="24"/>
        </w:rPr>
        <w:t xml:space="preserve">the </w:t>
      </w:r>
      <w:r w:rsidRPr="00AC1055">
        <w:rPr>
          <w:rFonts w:cs="Times New Roman"/>
          <w:szCs w:val="24"/>
        </w:rPr>
        <w:t xml:space="preserve">open market are fully transferable, 1 if there are restrictions at the discretion of companies and if a non-binding regulations call for full </w:t>
      </w:r>
      <w:r w:rsidRPr="00AC1055">
        <w:rPr>
          <w:rFonts w:cs="Times New Roman"/>
          <w:szCs w:val="24"/>
        </w:rPr>
        <w:lastRenderedPageBreak/>
        <w:t xml:space="preserve">transferability of shares, 0 otherwise; 2 if foreign nationals are allowed to own and transfer shares and are treated </w:t>
      </w:r>
      <w:r w:rsidR="003E674F">
        <w:rPr>
          <w:rFonts w:cs="Times New Roman"/>
          <w:szCs w:val="24"/>
        </w:rPr>
        <w:t xml:space="preserve">on a </w:t>
      </w:r>
      <w:r w:rsidRPr="00AC1055">
        <w:rPr>
          <w:rFonts w:cs="Times New Roman"/>
          <w:szCs w:val="24"/>
        </w:rPr>
        <w:t xml:space="preserve">par with the citizens of the host country, 1 if foreign nationals are allowed to own and transfer shares but with certain restrictions not placed on </w:t>
      </w:r>
      <w:r w:rsidR="003E674F">
        <w:rPr>
          <w:rFonts w:cs="Times New Roman"/>
          <w:szCs w:val="24"/>
        </w:rPr>
        <w:t xml:space="preserve">the </w:t>
      </w:r>
      <w:r w:rsidRPr="00AC1055">
        <w:rPr>
          <w:rFonts w:cs="Times New Roman"/>
          <w:szCs w:val="24"/>
        </w:rPr>
        <w:t xml:space="preserve">citizens of </w:t>
      </w:r>
      <w:r w:rsidR="003E674F">
        <w:rPr>
          <w:rFonts w:cs="Times New Roman"/>
          <w:szCs w:val="24"/>
        </w:rPr>
        <w:t xml:space="preserve">the </w:t>
      </w:r>
      <w:r w:rsidRPr="00AC1055">
        <w:rPr>
          <w:rFonts w:cs="Times New Roman"/>
          <w:szCs w:val="24"/>
        </w:rPr>
        <w:t>host country 0 if foreign nationals are not allowed to own or transfer shares.</w:t>
      </w:r>
    </w:p>
    <w:p w14:paraId="565CE9EE" w14:textId="0743B56D" w:rsidR="003E11A9" w:rsidRPr="00AC1055" w:rsidRDefault="003E11A9" w:rsidP="00AC1055">
      <w:pPr>
        <w:spacing w:line="480" w:lineRule="auto"/>
        <w:ind w:left="720"/>
        <w:contextualSpacing/>
        <w:rPr>
          <w:rFonts w:cs="Times New Roman"/>
          <w:szCs w:val="24"/>
        </w:rPr>
      </w:pPr>
      <w:r w:rsidRPr="00AC1055">
        <w:rPr>
          <w:rFonts w:cs="Times New Roman"/>
          <w:szCs w:val="24"/>
        </w:rPr>
        <w:t>The founding pillar of pro</w:t>
      </w:r>
      <w:r w:rsidR="003E674F">
        <w:rPr>
          <w:rFonts w:cs="Times New Roman"/>
          <w:szCs w:val="24"/>
        </w:rPr>
        <w:t>-</w:t>
      </w:r>
      <w:r w:rsidRPr="00AC1055">
        <w:rPr>
          <w:rFonts w:cs="Times New Roman"/>
          <w:szCs w:val="24"/>
        </w:rPr>
        <w:t>shareholder corporate governance allows the shareholders a free choice to exit a company. Hence there is a need for an equity market, the shares need to be fully transferable and there should not be an onerous burden on the shareholder to transfer the shares. Some jurisdiction</w:t>
      </w:r>
      <w:r w:rsidR="003E674F">
        <w:rPr>
          <w:rFonts w:cs="Times New Roman"/>
          <w:szCs w:val="24"/>
        </w:rPr>
        <w:t>s</w:t>
      </w:r>
      <w:r w:rsidRPr="00AC1055">
        <w:rPr>
          <w:rFonts w:cs="Times New Roman"/>
          <w:szCs w:val="24"/>
        </w:rPr>
        <w:t xml:space="preserve"> may have some restrictions on transfer </w:t>
      </w:r>
      <w:r w:rsidR="003E674F">
        <w:rPr>
          <w:rFonts w:cs="Times New Roman"/>
          <w:szCs w:val="24"/>
        </w:rPr>
        <w:t>such as a</w:t>
      </w:r>
      <w:r w:rsidR="003E674F" w:rsidRPr="00AC1055">
        <w:rPr>
          <w:rFonts w:cs="Times New Roman"/>
          <w:szCs w:val="24"/>
        </w:rPr>
        <w:t xml:space="preserve"> </w:t>
      </w:r>
      <w:r w:rsidRPr="00AC1055">
        <w:rPr>
          <w:rFonts w:cs="Times New Roman"/>
          <w:szCs w:val="24"/>
        </w:rPr>
        <w:t xml:space="preserve">lock in period for promoters, restriction on preference shares, partially paid up equity shares etc. In </w:t>
      </w:r>
      <w:r w:rsidR="003E674F">
        <w:rPr>
          <w:rFonts w:cs="Times New Roman"/>
          <w:szCs w:val="24"/>
        </w:rPr>
        <w:t xml:space="preserve">the </w:t>
      </w:r>
      <w:r w:rsidRPr="00AC1055">
        <w:rPr>
          <w:rFonts w:cs="Times New Roman"/>
          <w:szCs w:val="24"/>
        </w:rPr>
        <w:t xml:space="preserve">majority of such cases these non-transferable shares are not allowed to be traded </w:t>
      </w:r>
      <w:r w:rsidR="003E674F">
        <w:rPr>
          <w:rFonts w:cs="Times New Roman"/>
          <w:szCs w:val="24"/>
        </w:rPr>
        <w:t>on</w:t>
      </w:r>
      <w:r w:rsidR="003E674F" w:rsidRPr="00AC1055">
        <w:rPr>
          <w:rFonts w:cs="Times New Roman"/>
          <w:szCs w:val="24"/>
        </w:rPr>
        <w:t xml:space="preserve"> </w:t>
      </w:r>
      <w:r w:rsidRPr="00AC1055">
        <w:rPr>
          <w:rFonts w:cs="Times New Roman"/>
          <w:szCs w:val="24"/>
        </w:rPr>
        <w:t>the open market (though sometimes trade is allowed in private markets). Therefore</w:t>
      </w:r>
      <w:r w:rsidR="003E674F">
        <w:rPr>
          <w:rFonts w:cs="Times New Roman"/>
          <w:szCs w:val="24"/>
        </w:rPr>
        <w:t>,</w:t>
      </w:r>
      <w:r w:rsidRPr="00AC1055">
        <w:rPr>
          <w:rFonts w:cs="Times New Roman"/>
          <w:szCs w:val="24"/>
        </w:rPr>
        <w:t xml:space="preserve"> to allow uniformity, only those shares which can be traded </w:t>
      </w:r>
      <w:r w:rsidR="005B1FF5">
        <w:rPr>
          <w:rFonts w:cs="Times New Roman"/>
          <w:szCs w:val="24"/>
        </w:rPr>
        <w:t>on the</w:t>
      </w:r>
      <w:r w:rsidR="005B1FF5" w:rsidRPr="00AC1055">
        <w:rPr>
          <w:rFonts w:cs="Times New Roman"/>
          <w:szCs w:val="24"/>
        </w:rPr>
        <w:t xml:space="preserve"> </w:t>
      </w:r>
      <w:r w:rsidRPr="00AC1055">
        <w:rPr>
          <w:rFonts w:cs="Times New Roman"/>
          <w:szCs w:val="24"/>
        </w:rPr>
        <w:t>open market (like common equity share</w:t>
      </w:r>
      <w:r w:rsidR="005B1FF5">
        <w:rPr>
          <w:rFonts w:cs="Times New Roman"/>
          <w:szCs w:val="24"/>
        </w:rPr>
        <w:t>s</w:t>
      </w:r>
      <w:r w:rsidRPr="00AC1055">
        <w:rPr>
          <w:rFonts w:cs="Times New Roman"/>
          <w:szCs w:val="24"/>
        </w:rPr>
        <w:t>) need to be fully transferable. Some jurisdiction</w:t>
      </w:r>
      <w:r w:rsidR="005B1FF5">
        <w:rPr>
          <w:rFonts w:cs="Times New Roman"/>
          <w:szCs w:val="24"/>
        </w:rPr>
        <w:t>s</w:t>
      </w:r>
      <w:r w:rsidRPr="00AC1055">
        <w:rPr>
          <w:rFonts w:cs="Times New Roman"/>
          <w:szCs w:val="24"/>
        </w:rPr>
        <w:t xml:space="preserve"> place extra burden on foreign nationals and thus increase the cost of access to capital, a pro</w:t>
      </w:r>
      <w:r w:rsidR="005B1FF5">
        <w:rPr>
          <w:rFonts w:cs="Times New Roman"/>
          <w:szCs w:val="24"/>
        </w:rPr>
        <w:t>-</w:t>
      </w:r>
      <w:r w:rsidRPr="00AC1055">
        <w:rPr>
          <w:rFonts w:cs="Times New Roman"/>
          <w:szCs w:val="24"/>
        </w:rPr>
        <w:t xml:space="preserve">shareholder policy would allow foreign funds entry to </w:t>
      </w:r>
      <w:r w:rsidR="005B1FF5">
        <w:rPr>
          <w:rFonts w:cs="Times New Roman"/>
          <w:szCs w:val="24"/>
        </w:rPr>
        <w:t xml:space="preserve">the </w:t>
      </w:r>
      <w:r w:rsidRPr="00AC1055">
        <w:rPr>
          <w:rFonts w:cs="Times New Roman"/>
          <w:szCs w:val="24"/>
        </w:rPr>
        <w:t xml:space="preserve">financial market as it would give shareholders more choice and would lead to a more vibrant equity market.   </w:t>
      </w:r>
    </w:p>
    <w:p w14:paraId="4587367D" w14:textId="4B93C3EE" w:rsidR="003E11A9" w:rsidRPr="00AC1055" w:rsidRDefault="003E11A9" w:rsidP="00AC1055">
      <w:pPr>
        <w:numPr>
          <w:ilvl w:val="0"/>
          <w:numId w:val="3"/>
        </w:numPr>
        <w:spacing w:line="480" w:lineRule="auto"/>
        <w:contextualSpacing/>
        <w:rPr>
          <w:rFonts w:cs="Times New Roman"/>
          <w:szCs w:val="24"/>
        </w:rPr>
      </w:pPr>
      <w:r w:rsidRPr="00AC1055">
        <w:rPr>
          <w:rFonts w:cs="Times New Roman"/>
          <w:i/>
          <w:szCs w:val="24"/>
        </w:rPr>
        <w:t xml:space="preserve">Regular and timely information </w:t>
      </w:r>
      <w:r w:rsidRPr="00AC1055">
        <w:rPr>
          <w:rFonts w:cs="Times New Roman"/>
          <w:szCs w:val="24"/>
        </w:rPr>
        <w:t xml:space="preserve">– 2 if half yearly and annual reports are mandatorily sent to shareholders and a central registry, 1 if annual reports are sent to </w:t>
      </w:r>
      <w:r w:rsidR="005B1FF5">
        <w:rPr>
          <w:rFonts w:cs="Times New Roman"/>
          <w:szCs w:val="24"/>
        </w:rPr>
        <w:t xml:space="preserve">the </w:t>
      </w:r>
      <w:r w:rsidRPr="00AC1055">
        <w:rPr>
          <w:rFonts w:cs="Times New Roman"/>
          <w:szCs w:val="24"/>
        </w:rPr>
        <w:t xml:space="preserve">central registry only and not to shareholders, 0 if no reports are sent or otherwise; 2 if it is statutorily mandated that </w:t>
      </w:r>
      <w:r w:rsidR="005B1FF5">
        <w:rPr>
          <w:rFonts w:cs="Times New Roman"/>
          <w:szCs w:val="24"/>
        </w:rPr>
        <w:t xml:space="preserve">an </w:t>
      </w:r>
      <w:r w:rsidRPr="00AC1055">
        <w:rPr>
          <w:rFonts w:cs="Times New Roman"/>
          <w:szCs w:val="24"/>
        </w:rPr>
        <w:t xml:space="preserve">annual report includes at least five of the following: a. balance sheet, b. profit and loss statement, c. cash flow statement, d. statement of changes in ownership equity, e. notes </w:t>
      </w:r>
      <w:r w:rsidR="005B1FF5">
        <w:rPr>
          <w:rFonts w:cs="Times New Roman"/>
          <w:szCs w:val="24"/>
        </w:rPr>
        <w:t>on</w:t>
      </w:r>
      <w:r w:rsidR="005B1FF5" w:rsidRPr="00AC1055">
        <w:rPr>
          <w:rFonts w:cs="Times New Roman"/>
          <w:szCs w:val="24"/>
        </w:rPr>
        <w:t xml:space="preserve"> </w:t>
      </w:r>
      <w:r w:rsidRPr="00AC1055">
        <w:rPr>
          <w:rFonts w:cs="Times New Roman"/>
          <w:szCs w:val="24"/>
        </w:rPr>
        <w:lastRenderedPageBreak/>
        <w:t>the financial statements and f. an audit report</w:t>
      </w:r>
      <w:r w:rsidR="005B1FF5">
        <w:rPr>
          <w:rFonts w:cs="Times New Roman"/>
          <w:szCs w:val="24"/>
        </w:rPr>
        <w:t>,</w:t>
      </w:r>
      <w:r w:rsidRPr="00AC1055">
        <w:rPr>
          <w:rFonts w:cs="Times New Roman"/>
          <w:szCs w:val="24"/>
        </w:rPr>
        <w:t xml:space="preserve"> 1 if it is recommended under a non-binding code 0 if otherwise; 2 if financial reporting mandatorily is based on International Financial Reporting Standards (IFRS) and International Standards on Auditing (ISA) 1 if it is recommended under a non-binding code 0 if otherwise.</w:t>
      </w:r>
    </w:p>
    <w:p w14:paraId="6F4229E1" w14:textId="7ED0572D" w:rsidR="003E11A9" w:rsidRPr="00AC1055" w:rsidRDefault="003E11A9" w:rsidP="00AC1055">
      <w:pPr>
        <w:spacing w:line="480" w:lineRule="auto"/>
        <w:ind w:left="720"/>
        <w:contextualSpacing/>
        <w:rPr>
          <w:rFonts w:cs="Times New Roman"/>
          <w:szCs w:val="24"/>
        </w:rPr>
      </w:pPr>
      <w:r w:rsidRPr="00AC1055">
        <w:rPr>
          <w:rFonts w:cs="Times New Roman"/>
          <w:szCs w:val="24"/>
        </w:rPr>
        <w:t xml:space="preserve">Timely and regular information is key in order to make </w:t>
      </w:r>
      <w:r w:rsidR="00493FEF">
        <w:rPr>
          <w:rFonts w:cs="Times New Roman"/>
          <w:szCs w:val="24"/>
        </w:rPr>
        <w:t xml:space="preserve">an </w:t>
      </w:r>
      <w:r w:rsidRPr="00AC1055">
        <w:rPr>
          <w:rFonts w:cs="Times New Roman"/>
          <w:szCs w:val="24"/>
        </w:rPr>
        <w:t>informed choice. Shareholder</w:t>
      </w:r>
      <w:r w:rsidR="00493FEF">
        <w:rPr>
          <w:rFonts w:cs="Times New Roman"/>
          <w:szCs w:val="24"/>
        </w:rPr>
        <w:t>s</w:t>
      </w:r>
      <w:r w:rsidRPr="00AC1055">
        <w:rPr>
          <w:rFonts w:cs="Times New Roman"/>
          <w:szCs w:val="24"/>
        </w:rPr>
        <w:t xml:space="preserve"> always suffer from an information gap, thus pro</w:t>
      </w:r>
      <w:r w:rsidR="00493FEF">
        <w:rPr>
          <w:rFonts w:cs="Times New Roman"/>
          <w:szCs w:val="24"/>
        </w:rPr>
        <w:t>-</w:t>
      </w:r>
      <w:r w:rsidRPr="00AC1055">
        <w:rPr>
          <w:rFonts w:cs="Times New Roman"/>
          <w:szCs w:val="24"/>
        </w:rPr>
        <w:t>shareholder corporate governance policies would always insist on higher burden</w:t>
      </w:r>
      <w:r w:rsidR="00493FEF">
        <w:rPr>
          <w:rFonts w:cs="Times New Roman"/>
          <w:szCs w:val="24"/>
        </w:rPr>
        <w:t>s</w:t>
      </w:r>
      <w:r w:rsidRPr="00AC1055">
        <w:rPr>
          <w:rFonts w:cs="Times New Roman"/>
          <w:szCs w:val="24"/>
        </w:rPr>
        <w:t xml:space="preserve"> on companies to share </w:t>
      </w:r>
      <w:r w:rsidR="00493FEF">
        <w:rPr>
          <w:rFonts w:cs="Times New Roman"/>
          <w:szCs w:val="24"/>
        </w:rPr>
        <w:t xml:space="preserve">the </w:t>
      </w:r>
      <w:r w:rsidRPr="00AC1055">
        <w:rPr>
          <w:rFonts w:cs="Times New Roman"/>
          <w:szCs w:val="24"/>
        </w:rPr>
        <w:t xml:space="preserve">maximum possible financial reports on more than </w:t>
      </w:r>
      <w:r w:rsidR="00493FEF">
        <w:rPr>
          <w:rFonts w:cs="Times New Roman"/>
          <w:szCs w:val="24"/>
        </w:rPr>
        <w:t xml:space="preserve">an </w:t>
      </w:r>
      <w:r w:rsidRPr="00AC1055">
        <w:rPr>
          <w:rFonts w:cs="Times New Roman"/>
          <w:szCs w:val="24"/>
        </w:rPr>
        <w:t>annual basis. IFRS and ISA or comparable standards ensure that companies</w:t>
      </w:r>
      <w:r w:rsidR="00844199">
        <w:rPr>
          <w:rFonts w:cs="Times New Roman"/>
          <w:szCs w:val="24"/>
        </w:rPr>
        <w:t>’</w:t>
      </w:r>
      <w:r w:rsidRPr="00AC1055">
        <w:rPr>
          <w:rFonts w:cs="Times New Roman"/>
          <w:szCs w:val="24"/>
        </w:rPr>
        <w:t xml:space="preserve"> financial records comply with the globally accepted standards. This would allow easy comparisons across companies and help in shareholder choice. </w:t>
      </w:r>
    </w:p>
    <w:p w14:paraId="584DA016" w14:textId="3EA7D0D3" w:rsidR="003E11A9" w:rsidRPr="00AC1055" w:rsidRDefault="003E11A9" w:rsidP="00AC1055">
      <w:pPr>
        <w:numPr>
          <w:ilvl w:val="0"/>
          <w:numId w:val="3"/>
        </w:numPr>
        <w:spacing w:line="480" w:lineRule="auto"/>
        <w:contextualSpacing/>
        <w:rPr>
          <w:rFonts w:cs="Times New Roman"/>
          <w:szCs w:val="24"/>
        </w:rPr>
      </w:pPr>
      <w:r w:rsidRPr="00AC1055">
        <w:rPr>
          <w:rFonts w:cs="Times New Roman"/>
          <w:i/>
          <w:szCs w:val="24"/>
        </w:rPr>
        <w:t xml:space="preserve">Participate in shareholders meetings – </w:t>
      </w:r>
      <w:r w:rsidRPr="00AC1055">
        <w:rPr>
          <w:rFonts w:cs="Times New Roman"/>
          <w:szCs w:val="24"/>
        </w:rPr>
        <w:t xml:space="preserve">2 if the law explicitly mandates that any class of shareholders are allowed to attend the meeting and take part in discussion, 1 if it is a common practice backed by a non-binding code 0 otherwise; 2 if a law mandates that a proxy form to vote on the items on the agenda accompanies notice </w:t>
      </w:r>
      <w:r w:rsidR="00844199">
        <w:rPr>
          <w:rFonts w:cs="Times New Roman"/>
          <w:szCs w:val="24"/>
        </w:rPr>
        <w:t>of</w:t>
      </w:r>
      <w:r w:rsidR="00844199" w:rsidRPr="00AC1055">
        <w:rPr>
          <w:rFonts w:cs="Times New Roman"/>
          <w:szCs w:val="24"/>
        </w:rPr>
        <w:t xml:space="preserve"> </w:t>
      </w:r>
      <w:r w:rsidRPr="00AC1055">
        <w:rPr>
          <w:rFonts w:cs="Times New Roman"/>
          <w:szCs w:val="24"/>
        </w:rPr>
        <w:t xml:space="preserve">the meeting or if shareholders may vote by mail on the items on the agenda, 1 if it </w:t>
      </w:r>
      <w:r w:rsidR="00844199">
        <w:rPr>
          <w:rFonts w:cs="Times New Roman"/>
          <w:szCs w:val="24"/>
        </w:rPr>
        <w:t xml:space="preserve">is </w:t>
      </w:r>
      <w:r w:rsidRPr="00AC1055">
        <w:rPr>
          <w:rFonts w:cs="Times New Roman"/>
          <w:szCs w:val="24"/>
        </w:rPr>
        <w:t>recommended by a non-binding code or is a general practice, 0 if under law/non-binding regulation/practice absent shareholders vote (or shareholders who have not returned the proxy form/postal ballot) is given to mangers by default; 2 if cross</w:t>
      </w:r>
      <w:r w:rsidR="00844199">
        <w:rPr>
          <w:rFonts w:cs="Times New Roman"/>
          <w:szCs w:val="24"/>
        </w:rPr>
        <w:t>-</w:t>
      </w:r>
      <w:r w:rsidRPr="00AC1055">
        <w:rPr>
          <w:rFonts w:cs="Times New Roman"/>
          <w:szCs w:val="24"/>
        </w:rPr>
        <w:t>border proxy voting is allowed without any restriction, 1 if it is allowed with some restriction or a non-binding governance code recommends cross</w:t>
      </w:r>
      <w:r w:rsidR="00844199">
        <w:rPr>
          <w:rFonts w:cs="Times New Roman"/>
          <w:szCs w:val="24"/>
        </w:rPr>
        <w:t>-</w:t>
      </w:r>
      <w:r w:rsidRPr="00AC1055">
        <w:rPr>
          <w:rFonts w:cs="Times New Roman"/>
          <w:szCs w:val="24"/>
        </w:rPr>
        <w:t>border proxy voting without restriction, 0 otherwise.</w:t>
      </w:r>
    </w:p>
    <w:p w14:paraId="350355DE" w14:textId="71F6600C" w:rsidR="003E11A9" w:rsidRPr="00AC1055" w:rsidRDefault="003E11A9" w:rsidP="00AC1055">
      <w:pPr>
        <w:spacing w:line="480" w:lineRule="auto"/>
        <w:ind w:left="720"/>
        <w:contextualSpacing/>
        <w:rPr>
          <w:rFonts w:cs="Times New Roman"/>
          <w:szCs w:val="24"/>
        </w:rPr>
      </w:pPr>
      <w:r w:rsidRPr="00AC1055">
        <w:rPr>
          <w:rFonts w:cs="Times New Roman"/>
          <w:szCs w:val="24"/>
        </w:rPr>
        <w:lastRenderedPageBreak/>
        <w:t>Although some classes of shareholders like those holding preference shares are barred from voting, a policy which allows them to participate in the meeting (without voting) is more shareholder</w:t>
      </w:r>
      <w:r w:rsidR="00844199">
        <w:rPr>
          <w:rFonts w:cs="Times New Roman"/>
          <w:szCs w:val="24"/>
        </w:rPr>
        <w:t>-</w:t>
      </w:r>
      <w:r w:rsidRPr="00AC1055">
        <w:rPr>
          <w:rFonts w:cs="Times New Roman"/>
          <w:szCs w:val="24"/>
        </w:rPr>
        <w:t>friendly than regulations which completely bar</w:t>
      </w:r>
      <w:r w:rsidR="00844199">
        <w:rPr>
          <w:rFonts w:cs="Times New Roman"/>
          <w:szCs w:val="24"/>
        </w:rPr>
        <w:t xml:space="preserve"> the</w:t>
      </w:r>
      <w:r w:rsidRPr="00AC1055">
        <w:rPr>
          <w:rFonts w:cs="Times New Roman"/>
          <w:szCs w:val="24"/>
        </w:rPr>
        <w:t xml:space="preserve"> participation of nonvoting shareholders from general meetings. Further</w:t>
      </w:r>
      <w:r w:rsidR="00844199">
        <w:rPr>
          <w:rFonts w:cs="Times New Roman"/>
          <w:szCs w:val="24"/>
        </w:rPr>
        <w:t>,</w:t>
      </w:r>
      <w:r w:rsidRPr="00AC1055">
        <w:rPr>
          <w:rFonts w:cs="Times New Roman"/>
          <w:szCs w:val="24"/>
        </w:rPr>
        <w:t xml:space="preserve"> in many highly dispersed companies it is not possible for the shareholder to attend the meetings and personally cast votes</w:t>
      </w:r>
      <w:r w:rsidR="00844199">
        <w:rPr>
          <w:rFonts w:cs="Times New Roman"/>
          <w:szCs w:val="24"/>
        </w:rPr>
        <w:t xml:space="preserve"> and</w:t>
      </w:r>
      <w:r w:rsidRPr="00AC1055">
        <w:rPr>
          <w:rFonts w:cs="Times New Roman"/>
          <w:szCs w:val="24"/>
        </w:rPr>
        <w:t xml:space="preserve"> proxies are generally used</w:t>
      </w:r>
      <w:r w:rsidR="00844199">
        <w:rPr>
          <w:rFonts w:cs="Times New Roman"/>
          <w:szCs w:val="24"/>
        </w:rPr>
        <w:t>. A</w:t>
      </w:r>
      <w:r w:rsidRPr="00AC1055">
        <w:rPr>
          <w:rFonts w:cs="Times New Roman"/>
          <w:szCs w:val="24"/>
        </w:rPr>
        <w:t xml:space="preserve"> system which recognises shareholders as owner</w:t>
      </w:r>
      <w:r w:rsidR="00844199">
        <w:rPr>
          <w:rFonts w:cs="Times New Roman"/>
          <w:szCs w:val="24"/>
        </w:rPr>
        <w:t>s</w:t>
      </w:r>
      <w:r w:rsidRPr="00AC1055">
        <w:rPr>
          <w:rFonts w:cs="Times New Roman"/>
          <w:szCs w:val="24"/>
        </w:rPr>
        <w:t xml:space="preserve"> of the company would try to make it easier for more shareholder participation rather than us</w:t>
      </w:r>
      <w:r w:rsidR="00844199">
        <w:rPr>
          <w:rFonts w:cs="Times New Roman"/>
          <w:szCs w:val="24"/>
        </w:rPr>
        <w:t>ing</w:t>
      </w:r>
      <w:r w:rsidRPr="00AC1055">
        <w:rPr>
          <w:rFonts w:cs="Times New Roman"/>
          <w:szCs w:val="24"/>
        </w:rPr>
        <w:t xml:space="preserve"> regulatory loopholes. A further mark of a liberalised regime would be to allow foreign nationals </w:t>
      </w:r>
      <w:r w:rsidR="00844199">
        <w:rPr>
          <w:rFonts w:cs="Times New Roman"/>
          <w:szCs w:val="24"/>
        </w:rPr>
        <w:t xml:space="preserve">to </w:t>
      </w:r>
      <w:r w:rsidRPr="00AC1055">
        <w:rPr>
          <w:rFonts w:cs="Times New Roman"/>
          <w:szCs w:val="24"/>
        </w:rPr>
        <w:t xml:space="preserve">use proxies to cast their votes as it otherwise might be financially onerous on the foreign shareholder.  </w:t>
      </w:r>
    </w:p>
    <w:p w14:paraId="51BC26B7" w14:textId="1E758095" w:rsidR="003E11A9" w:rsidRPr="00844199" w:rsidRDefault="003E11A9" w:rsidP="00124843">
      <w:pPr>
        <w:numPr>
          <w:ilvl w:val="0"/>
          <w:numId w:val="3"/>
        </w:numPr>
        <w:spacing w:line="480" w:lineRule="auto"/>
        <w:contextualSpacing/>
        <w:rPr>
          <w:rFonts w:cs="Times New Roman"/>
          <w:szCs w:val="24"/>
        </w:rPr>
      </w:pPr>
      <w:r w:rsidRPr="00AC1055">
        <w:rPr>
          <w:rFonts w:cs="Times New Roman"/>
          <w:i/>
          <w:szCs w:val="24"/>
        </w:rPr>
        <w:t>Dividend –</w:t>
      </w:r>
      <w:r w:rsidRPr="00AC1055">
        <w:rPr>
          <w:rFonts w:cs="Times New Roman"/>
          <w:szCs w:val="24"/>
        </w:rPr>
        <w:t xml:space="preserve"> 2 if shareholders can approve </w:t>
      </w:r>
      <w:r w:rsidR="00844199">
        <w:rPr>
          <w:rFonts w:cs="Times New Roman"/>
          <w:szCs w:val="24"/>
        </w:rPr>
        <w:t xml:space="preserve">the </w:t>
      </w:r>
      <w:r w:rsidRPr="00AC1055">
        <w:rPr>
          <w:rFonts w:cs="Times New Roman"/>
          <w:szCs w:val="24"/>
        </w:rPr>
        <w:t xml:space="preserve">amount of dividend to be paid with a simple majority, 1 if it is recommended under a non-binding regulation or code, 0 otherwise; </w:t>
      </w:r>
      <w:r w:rsidRPr="00844199">
        <w:rPr>
          <w:rFonts w:cs="Times New Roman"/>
          <w:szCs w:val="24"/>
        </w:rPr>
        <w:t xml:space="preserve">Shareholder primacy corporate governance ensures shareholder wealth maximisation, timely and appropriate dividends is one way. In many common law jurisdictions </w:t>
      </w:r>
      <w:r w:rsidR="00844199">
        <w:rPr>
          <w:rFonts w:cs="Times New Roman"/>
          <w:szCs w:val="24"/>
        </w:rPr>
        <w:t xml:space="preserve">the </w:t>
      </w:r>
      <w:r w:rsidRPr="00844199">
        <w:rPr>
          <w:rFonts w:cs="Times New Roman"/>
          <w:szCs w:val="24"/>
        </w:rPr>
        <w:t>board of director</w:t>
      </w:r>
      <w:r w:rsidR="00844199">
        <w:rPr>
          <w:rFonts w:cs="Times New Roman"/>
          <w:szCs w:val="24"/>
        </w:rPr>
        <w:t>s</w:t>
      </w:r>
      <w:r w:rsidRPr="00844199">
        <w:rPr>
          <w:rFonts w:cs="Times New Roman"/>
          <w:szCs w:val="24"/>
        </w:rPr>
        <w:t xml:space="preserve"> decides the amount of dividend to be paid. Thus</w:t>
      </w:r>
      <w:r w:rsidR="00844199">
        <w:rPr>
          <w:rFonts w:cs="Times New Roman"/>
          <w:szCs w:val="24"/>
        </w:rPr>
        <w:t>,</w:t>
      </w:r>
      <w:r w:rsidRPr="00844199">
        <w:rPr>
          <w:rFonts w:cs="Times New Roman"/>
          <w:szCs w:val="24"/>
        </w:rPr>
        <w:t xml:space="preserve"> shareholder approval by simple majority on the amount of dividend paid would ensure that shareholders have an indirect say on the amount of dividend rather than a situation where the board can itself decide and approve the dividend amount. </w:t>
      </w:r>
    </w:p>
    <w:p w14:paraId="3A260C27" w14:textId="5728E7E4" w:rsidR="003E11A9" w:rsidRPr="00AC1055" w:rsidRDefault="003E11A9" w:rsidP="00AC1055">
      <w:pPr>
        <w:numPr>
          <w:ilvl w:val="0"/>
          <w:numId w:val="3"/>
        </w:numPr>
        <w:spacing w:line="480" w:lineRule="auto"/>
        <w:contextualSpacing/>
        <w:rPr>
          <w:rFonts w:cs="Times New Roman"/>
          <w:szCs w:val="24"/>
        </w:rPr>
      </w:pPr>
      <w:r w:rsidRPr="00AC1055">
        <w:rPr>
          <w:rFonts w:cs="Times New Roman"/>
          <w:i/>
          <w:szCs w:val="24"/>
        </w:rPr>
        <w:t>Supermajority for extraordinary transaction –</w:t>
      </w:r>
      <w:r w:rsidRPr="00AC1055">
        <w:rPr>
          <w:rFonts w:cs="Times New Roman"/>
          <w:szCs w:val="24"/>
        </w:rPr>
        <w:t xml:space="preserve"> 2 each if it is mandated by rule or statute that 75% or more shareholders need to agree for the following authorizing a) capital increases; b) waiving pre-emptive rights; c) buying back shares; d) amending articles of association; e) delisting; f) acquisitions, disposals, mergers and takeovers; g) changes to company business or </w:t>
      </w:r>
      <w:r w:rsidRPr="00AC1055">
        <w:rPr>
          <w:rFonts w:cs="Times New Roman"/>
          <w:szCs w:val="24"/>
        </w:rPr>
        <w:lastRenderedPageBreak/>
        <w:t xml:space="preserve">objectives; h) making loans and investments beyond limits prescribed under prospectus; </w:t>
      </w:r>
      <w:proofErr w:type="spellStart"/>
      <w:r w:rsidRPr="00AC1055">
        <w:rPr>
          <w:rFonts w:cs="Times New Roman"/>
          <w:szCs w:val="24"/>
        </w:rPr>
        <w:t>i</w:t>
      </w:r>
      <w:proofErr w:type="spellEnd"/>
      <w:r w:rsidRPr="00AC1055">
        <w:rPr>
          <w:rFonts w:cs="Times New Roman"/>
          <w:szCs w:val="24"/>
        </w:rPr>
        <w:t>) authorizing the board to: (</w:t>
      </w:r>
      <w:proofErr w:type="spellStart"/>
      <w:r w:rsidRPr="00AC1055">
        <w:rPr>
          <w:rFonts w:cs="Times New Roman"/>
          <w:szCs w:val="24"/>
        </w:rPr>
        <w:t>i</w:t>
      </w:r>
      <w:proofErr w:type="spellEnd"/>
      <w:r w:rsidRPr="00AC1055">
        <w:rPr>
          <w:rFonts w:cs="Times New Roman"/>
          <w:szCs w:val="24"/>
        </w:rPr>
        <w:t>) sell or lease major assets; (ii) borrow money in excess of paid-up capital and free reserves, and (iii) appoint sole selling agents and apply to the court for the winding up of the company, 1 each if it is under a non-binding regulation with a comply or explain architecture or if it is a common practice, 0 otherwise</w:t>
      </w:r>
      <w:r w:rsidR="00F32205">
        <w:rPr>
          <w:rFonts w:cs="Times New Roman"/>
          <w:szCs w:val="24"/>
        </w:rPr>
        <w:t>.</w:t>
      </w:r>
    </w:p>
    <w:p w14:paraId="69EDF52C" w14:textId="0027EF7F" w:rsidR="003E11A9" w:rsidRPr="00AC1055" w:rsidRDefault="003E11A9" w:rsidP="000A710F">
      <w:pPr>
        <w:spacing w:line="480" w:lineRule="auto"/>
        <w:ind w:left="720"/>
        <w:rPr>
          <w:rFonts w:cs="Times New Roman"/>
          <w:szCs w:val="24"/>
        </w:rPr>
      </w:pPr>
      <w:r w:rsidRPr="00AC1055">
        <w:rPr>
          <w:rFonts w:cs="Times New Roman"/>
          <w:szCs w:val="24"/>
        </w:rPr>
        <w:t>Shareholder</w:t>
      </w:r>
      <w:r w:rsidR="00F32205">
        <w:rPr>
          <w:rFonts w:cs="Times New Roman"/>
          <w:szCs w:val="24"/>
        </w:rPr>
        <w:t>s</w:t>
      </w:r>
      <w:r w:rsidRPr="00AC1055">
        <w:rPr>
          <w:rFonts w:cs="Times New Roman"/>
          <w:szCs w:val="24"/>
        </w:rPr>
        <w:t xml:space="preserve"> should retain control over the board in </w:t>
      </w:r>
      <w:r w:rsidR="00F32205">
        <w:rPr>
          <w:rFonts w:cs="Times New Roman"/>
          <w:szCs w:val="24"/>
        </w:rPr>
        <w:t xml:space="preserve">the </w:t>
      </w:r>
      <w:r w:rsidRPr="00AC1055">
        <w:rPr>
          <w:rFonts w:cs="Times New Roman"/>
          <w:szCs w:val="24"/>
        </w:rPr>
        <w:t xml:space="preserve">case of </w:t>
      </w:r>
      <w:r w:rsidR="00F32205">
        <w:rPr>
          <w:rFonts w:cs="Times New Roman"/>
          <w:szCs w:val="24"/>
        </w:rPr>
        <w:t xml:space="preserve">an </w:t>
      </w:r>
      <w:r w:rsidRPr="00AC1055">
        <w:rPr>
          <w:rFonts w:cs="Times New Roman"/>
          <w:szCs w:val="24"/>
        </w:rPr>
        <w:t>extraordinary transaction which may affect the long term and short term viability and profitability of the company. Buy back of shares, issuance of new shares</w:t>
      </w:r>
      <w:r w:rsidR="00F32205">
        <w:rPr>
          <w:rFonts w:cs="Times New Roman"/>
          <w:szCs w:val="24"/>
        </w:rPr>
        <w:t xml:space="preserve"> and</w:t>
      </w:r>
      <w:r w:rsidRPr="00AC1055">
        <w:rPr>
          <w:rFonts w:cs="Times New Roman"/>
          <w:szCs w:val="24"/>
        </w:rPr>
        <w:t xml:space="preserve"> corporate restructuring generally lead to changes in </w:t>
      </w:r>
      <w:r w:rsidR="00F32205">
        <w:rPr>
          <w:rFonts w:cs="Times New Roman"/>
          <w:szCs w:val="24"/>
        </w:rPr>
        <w:t xml:space="preserve">the </w:t>
      </w:r>
      <w:r w:rsidRPr="00AC1055">
        <w:rPr>
          <w:rFonts w:cs="Times New Roman"/>
          <w:szCs w:val="24"/>
        </w:rPr>
        <w:t xml:space="preserve">total paid up share capital and directly impacts </w:t>
      </w:r>
      <w:r w:rsidR="00F32205">
        <w:rPr>
          <w:rFonts w:cs="Times New Roman"/>
          <w:szCs w:val="24"/>
        </w:rPr>
        <w:t xml:space="preserve">on </w:t>
      </w:r>
      <w:r w:rsidRPr="00AC1055">
        <w:rPr>
          <w:rFonts w:cs="Times New Roman"/>
          <w:szCs w:val="24"/>
        </w:rPr>
        <w:t xml:space="preserve">share prices. Capital restructuring can also lead to </w:t>
      </w:r>
      <w:r w:rsidR="00F32205">
        <w:rPr>
          <w:rFonts w:cs="Times New Roman"/>
          <w:szCs w:val="24"/>
        </w:rPr>
        <w:t xml:space="preserve">the </w:t>
      </w:r>
      <w:r w:rsidRPr="00AC1055">
        <w:rPr>
          <w:rFonts w:cs="Times New Roman"/>
          <w:szCs w:val="24"/>
        </w:rPr>
        <w:t xml:space="preserve">consolidation of incumbent management in a widely held company. This provision can be misused by majority shareholders who can issue new shares to themselves, waiving the pre-emptive rights of first refusal of </w:t>
      </w:r>
      <w:r w:rsidR="00F32205">
        <w:rPr>
          <w:rFonts w:cs="Times New Roman"/>
          <w:szCs w:val="24"/>
        </w:rPr>
        <w:t xml:space="preserve">the </w:t>
      </w:r>
      <w:r w:rsidRPr="00AC1055">
        <w:rPr>
          <w:rFonts w:cs="Times New Roman"/>
          <w:szCs w:val="24"/>
        </w:rPr>
        <w:t>minority, this leads to further dilution of minority held shares. Moreover</w:t>
      </w:r>
      <w:r w:rsidR="00F32205">
        <w:rPr>
          <w:rFonts w:cs="Times New Roman"/>
          <w:szCs w:val="24"/>
        </w:rPr>
        <w:t>,</w:t>
      </w:r>
      <w:r w:rsidRPr="00AC1055">
        <w:rPr>
          <w:rFonts w:cs="Times New Roman"/>
          <w:szCs w:val="24"/>
        </w:rPr>
        <w:t xml:space="preserve"> with </w:t>
      </w:r>
      <w:r w:rsidR="00F32205">
        <w:rPr>
          <w:rFonts w:cs="Times New Roman"/>
          <w:szCs w:val="24"/>
        </w:rPr>
        <w:t xml:space="preserve">an </w:t>
      </w:r>
      <w:r w:rsidRPr="00AC1055">
        <w:rPr>
          <w:rFonts w:cs="Times New Roman"/>
          <w:szCs w:val="24"/>
        </w:rPr>
        <w:t>increased number of shares the price of share</w:t>
      </w:r>
      <w:r w:rsidR="00F32205">
        <w:rPr>
          <w:rFonts w:cs="Times New Roman"/>
          <w:szCs w:val="24"/>
        </w:rPr>
        <w:t>s</w:t>
      </w:r>
      <w:r w:rsidRPr="00AC1055">
        <w:rPr>
          <w:rFonts w:cs="Times New Roman"/>
          <w:szCs w:val="24"/>
        </w:rPr>
        <w:t xml:space="preserve"> would generally fall thereby expropriating the share value of the minority. Similarly</w:t>
      </w:r>
      <w:r w:rsidR="00F32205">
        <w:rPr>
          <w:rFonts w:cs="Times New Roman"/>
          <w:szCs w:val="24"/>
        </w:rPr>
        <w:t>,</w:t>
      </w:r>
      <w:r w:rsidRPr="00AC1055">
        <w:rPr>
          <w:rFonts w:cs="Times New Roman"/>
          <w:szCs w:val="24"/>
        </w:rPr>
        <w:t xml:space="preserve"> significant changes to the asset base of the company would also impact </w:t>
      </w:r>
      <w:r w:rsidR="00F32205">
        <w:rPr>
          <w:rFonts w:cs="Times New Roman"/>
          <w:szCs w:val="24"/>
        </w:rPr>
        <w:t xml:space="preserve">on the </w:t>
      </w:r>
      <w:r w:rsidRPr="00AC1055">
        <w:rPr>
          <w:rFonts w:cs="Times New Roman"/>
          <w:szCs w:val="24"/>
        </w:rPr>
        <w:t>prices of share</w:t>
      </w:r>
      <w:r w:rsidR="00F32205">
        <w:rPr>
          <w:rFonts w:cs="Times New Roman"/>
          <w:szCs w:val="24"/>
        </w:rPr>
        <w:t>s</w:t>
      </w:r>
      <w:r w:rsidRPr="00AC1055">
        <w:rPr>
          <w:rFonts w:cs="Times New Roman"/>
          <w:szCs w:val="24"/>
        </w:rPr>
        <w:t>. Rights issue</w:t>
      </w:r>
      <w:r w:rsidR="00F32205">
        <w:rPr>
          <w:rFonts w:cs="Times New Roman"/>
          <w:szCs w:val="24"/>
        </w:rPr>
        <w:t>s</w:t>
      </w:r>
      <w:r w:rsidRPr="00AC1055">
        <w:rPr>
          <w:rFonts w:cs="Times New Roman"/>
          <w:szCs w:val="24"/>
        </w:rPr>
        <w:t xml:space="preserve"> can also be used as a takeover defence. Some jurisdictions allow for some of these powers to be exercised directly by </w:t>
      </w:r>
      <w:r w:rsidR="00F32205">
        <w:rPr>
          <w:rFonts w:cs="Times New Roman"/>
          <w:szCs w:val="24"/>
        </w:rPr>
        <w:t xml:space="preserve">the </w:t>
      </w:r>
      <w:r w:rsidRPr="00AC1055">
        <w:rPr>
          <w:rFonts w:cs="Times New Roman"/>
          <w:szCs w:val="24"/>
        </w:rPr>
        <w:t xml:space="preserve">board, some require </w:t>
      </w:r>
      <w:r w:rsidR="00F32205">
        <w:rPr>
          <w:rFonts w:cs="Times New Roman"/>
          <w:szCs w:val="24"/>
        </w:rPr>
        <w:t xml:space="preserve">a </w:t>
      </w:r>
      <w:r w:rsidRPr="00AC1055">
        <w:rPr>
          <w:rFonts w:cs="Times New Roman"/>
          <w:szCs w:val="24"/>
        </w:rPr>
        <w:t xml:space="preserve">simple majority while others demand </w:t>
      </w:r>
      <w:r w:rsidR="00F32205">
        <w:rPr>
          <w:rFonts w:cs="Times New Roman"/>
          <w:szCs w:val="24"/>
        </w:rPr>
        <w:t xml:space="preserve">a </w:t>
      </w:r>
      <w:r w:rsidRPr="00AC1055">
        <w:rPr>
          <w:rFonts w:cs="Times New Roman"/>
          <w:szCs w:val="24"/>
        </w:rPr>
        <w:t>supermajority. If a supermajority is required for these transactions</w:t>
      </w:r>
      <w:r w:rsidR="00F32205">
        <w:rPr>
          <w:rFonts w:cs="Times New Roman"/>
          <w:szCs w:val="24"/>
        </w:rPr>
        <w:t>,</w:t>
      </w:r>
      <w:r w:rsidRPr="00AC1055">
        <w:rPr>
          <w:rFonts w:cs="Times New Roman"/>
          <w:szCs w:val="24"/>
        </w:rPr>
        <w:t xml:space="preserve"> shareholders are able to get full ex-ante information about aspects limiting their rights that would normally be factored into the price of the security. This limitation on absolute board power would also enable minority </w:t>
      </w:r>
      <w:r w:rsidRPr="00AC1055">
        <w:rPr>
          <w:rFonts w:cs="Times New Roman"/>
          <w:szCs w:val="24"/>
        </w:rPr>
        <w:lastRenderedPageBreak/>
        <w:t>shareholders to protect themselves from self-dealing corporate insider expropriation by dilution</w:t>
      </w:r>
      <w:r w:rsidR="00F32205">
        <w:rPr>
          <w:rFonts w:cs="Times New Roman"/>
          <w:szCs w:val="24"/>
        </w:rPr>
        <w:t>,</w:t>
      </w:r>
      <w:r w:rsidRPr="00AC1055">
        <w:rPr>
          <w:rFonts w:cs="Times New Roman"/>
          <w:szCs w:val="24"/>
        </w:rPr>
        <w:t xml:space="preserve"> to an extent.</w:t>
      </w:r>
    </w:p>
    <w:p w14:paraId="68E38B19" w14:textId="77777777" w:rsidR="003E11A9" w:rsidRPr="00AC1055" w:rsidRDefault="001A6C14" w:rsidP="00AC1055">
      <w:pPr>
        <w:spacing w:line="480" w:lineRule="auto"/>
        <w:rPr>
          <w:rFonts w:cs="Times New Roman"/>
          <w:b/>
          <w:szCs w:val="24"/>
          <w:u w:val="single"/>
        </w:rPr>
      </w:pPr>
      <w:r>
        <w:rPr>
          <w:rFonts w:cs="Times New Roman"/>
          <w:b/>
          <w:szCs w:val="24"/>
          <w:u w:val="single"/>
        </w:rPr>
        <w:t xml:space="preserve">2.3.2 </w:t>
      </w:r>
      <w:r w:rsidR="003E11A9" w:rsidRPr="00AC1055">
        <w:rPr>
          <w:rFonts w:cs="Times New Roman"/>
          <w:b/>
          <w:szCs w:val="24"/>
          <w:u w:val="single"/>
        </w:rPr>
        <w:t>Anti-Managerial rights index</w:t>
      </w:r>
    </w:p>
    <w:p w14:paraId="7C5C306B" w14:textId="77777777" w:rsidR="003E11A9" w:rsidRPr="00AC1055" w:rsidRDefault="003E11A9" w:rsidP="00AC1055">
      <w:pPr>
        <w:numPr>
          <w:ilvl w:val="0"/>
          <w:numId w:val="3"/>
        </w:numPr>
        <w:spacing w:line="480" w:lineRule="auto"/>
        <w:contextualSpacing/>
        <w:rPr>
          <w:rFonts w:cs="Times New Roman"/>
          <w:szCs w:val="24"/>
        </w:rPr>
      </w:pPr>
      <w:r w:rsidRPr="00AC1055">
        <w:rPr>
          <w:rFonts w:cs="Times New Roman"/>
          <w:i/>
          <w:szCs w:val="24"/>
        </w:rPr>
        <w:t>Performance related pay</w:t>
      </w:r>
      <w:r w:rsidRPr="00AC1055">
        <w:rPr>
          <w:rFonts w:cs="Times New Roman"/>
          <w:szCs w:val="24"/>
        </w:rPr>
        <w:t xml:space="preserve"> - 2 if under law a minimum fixed portion of executive remuneration is performance linked, 1 if it is a common practice or recommended under a non-binding corporate governance code, 0 otherwise; 2 if executive remuneration requires shareholder approval, 1 if shareholder approval is only advisory, 0 otherwise; 2 if there are statutory rules relating to stock option plans and stock linked pension funds exist, 1 if there is a non-binding code or regulation, 0 otherwise.</w:t>
      </w:r>
    </w:p>
    <w:p w14:paraId="77BA801D" w14:textId="30DB1B86" w:rsidR="003E11A9" w:rsidRPr="00AC1055" w:rsidRDefault="003E11A9" w:rsidP="00AC1055">
      <w:pPr>
        <w:spacing w:line="480" w:lineRule="auto"/>
        <w:ind w:left="720"/>
        <w:contextualSpacing/>
        <w:rPr>
          <w:rFonts w:cs="Times New Roman"/>
          <w:szCs w:val="24"/>
        </w:rPr>
      </w:pPr>
      <w:r w:rsidRPr="00AC1055">
        <w:rPr>
          <w:rFonts w:cs="Times New Roman"/>
          <w:szCs w:val="24"/>
        </w:rPr>
        <w:t>One of the cornerstone</w:t>
      </w:r>
      <w:r w:rsidR="00F32205">
        <w:rPr>
          <w:rFonts w:cs="Times New Roman"/>
          <w:szCs w:val="24"/>
        </w:rPr>
        <w:t>s</w:t>
      </w:r>
      <w:r w:rsidRPr="00AC1055">
        <w:rPr>
          <w:rFonts w:cs="Times New Roman"/>
          <w:szCs w:val="24"/>
        </w:rPr>
        <w:t xml:space="preserve"> of agency</w:t>
      </w:r>
      <w:r w:rsidR="00F32205">
        <w:rPr>
          <w:rFonts w:cs="Times New Roman"/>
          <w:szCs w:val="24"/>
        </w:rPr>
        <w:t>-</w:t>
      </w:r>
      <w:r w:rsidRPr="00AC1055">
        <w:rPr>
          <w:rFonts w:cs="Times New Roman"/>
          <w:szCs w:val="24"/>
        </w:rPr>
        <w:t xml:space="preserve">based shareholder value maximisation </w:t>
      </w:r>
      <w:r w:rsidR="00F32205">
        <w:rPr>
          <w:rFonts w:cs="Times New Roman"/>
          <w:szCs w:val="24"/>
        </w:rPr>
        <w:t xml:space="preserve">of </w:t>
      </w:r>
      <w:r w:rsidRPr="00AC1055">
        <w:rPr>
          <w:rFonts w:cs="Times New Roman"/>
          <w:szCs w:val="24"/>
        </w:rPr>
        <w:t xml:space="preserve">corporate governance is to align the interests of the managers and the employees to the interest of the shareholders i.e. to increase the price of shares on equity markets. This can be achieved if emphasis is placed on encouraging executives to take a major portion of their remuneration in stock options. Like </w:t>
      </w:r>
      <w:r w:rsidR="00F32205">
        <w:rPr>
          <w:rFonts w:cs="Times New Roman"/>
          <w:szCs w:val="24"/>
        </w:rPr>
        <w:t xml:space="preserve">the </w:t>
      </w:r>
      <w:r w:rsidRPr="00AC1055">
        <w:rPr>
          <w:rFonts w:cs="Times New Roman"/>
          <w:szCs w:val="24"/>
        </w:rPr>
        <w:t xml:space="preserve">OECD principles of corporate governance which states that performance related pay should be allowed to develop, most jurisdictions do not put in a fixed line as to how much executive compensation should be linked to </w:t>
      </w:r>
      <w:r w:rsidR="00F32205">
        <w:rPr>
          <w:rFonts w:cs="Times New Roman"/>
          <w:szCs w:val="24"/>
        </w:rPr>
        <w:t xml:space="preserve">the </w:t>
      </w:r>
      <w:r w:rsidRPr="00AC1055">
        <w:rPr>
          <w:rFonts w:cs="Times New Roman"/>
          <w:szCs w:val="24"/>
        </w:rPr>
        <w:t>performance of share prices. However</w:t>
      </w:r>
      <w:r w:rsidR="00F32205">
        <w:rPr>
          <w:rFonts w:cs="Times New Roman"/>
          <w:szCs w:val="24"/>
        </w:rPr>
        <w:t>,</w:t>
      </w:r>
      <w:r w:rsidRPr="00AC1055">
        <w:rPr>
          <w:rFonts w:cs="Times New Roman"/>
          <w:szCs w:val="24"/>
        </w:rPr>
        <w:t xml:space="preserve"> a jurisdiction which wants to implement a performance</w:t>
      </w:r>
      <w:r w:rsidR="00F32205">
        <w:rPr>
          <w:rFonts w:cs="Times New Roman"/>
          <w:szCs w:val="24"/>
        </w:rPr>
        <w:t>-</w:t>
      </w:r>
      <w:r w:rsidRPr="00AC1055">
        <w:rPr>
          <w:rFonts w:cs="Times New Roman"/>
          <w:szCs w:val="24"/>
        </w:rPr>
        <w:t>linked pay for executives will fix a minimum amount of compensation which must be linked to share performance. Similarly for employees there can be stock</w:t>
      </w:r>
      <w:r w:rsidR="00F32205">
        <w:rPr>
          <w:rFonts w:cs="Times New Roman"/>
          <w:szCs w:val="24"/>
        </w:rPr>
        <w:t>-</w:t>
      </w:r>
      <w:r w:rsidRPr="00AC1055">
        <w:rPr>
          <w:rFonts w:cs="Times New Roman"/>
          <w:szCs w:val="24"/>
        </w:rPr>
        <w:t>linked pension funds or employees stock ownership plans (ESOPs). In many jurisdiction</w:t>
      </w:r>
      <w:r w:rsidR="00F32205">
        <w:rPr>
          <w:rFonts w:cs="Times New Roman"/>
          <w:szCs w:val="24"/>
        </w:rPr>
        <w:t>s</w:t>
      </w:r>
      <w:r w:rsidRPr="00AC1055">
        <w:rPr>
          <w:rFonts w:cs="Times New Roman"/>
          <w:szCs w:val="24"/>
        </w:rPr>
        <w:t xml:space="preserve"> these exist as general practice, however as it becomes more prevalent legislators tend to regulate it by bringing rules. Thus the presence of guiding </w:t>
      </w:r>
      <w:r w:rsidRPr="00AC1055">
        <w:rPr>
          <w:rFonts w:cs="Times New Roman"/>
          <w:szCs w:val="24"/>
        </w:rPr>
        <w:lastRenderedPageBreak/>
        <w:t xml:space="preserve">rules relating to ESOPs etc. acts as a proxy for the fact that performance related pay for employees </w:t>
      </w:r>
      <w:r w:rsidR="00F32205" w:rsidRPr="00AC1055">
        <w:rPr>
          <w:rFonts w:cs="Times New Roman"/>
          <w:szCs w:val="24"/>
        </w:rPr>
        <w:t>ha</w:t>
      </w:r>
      <w:r w:rsidR="00F32205">
        <w:rPr>
          <w:rFonts w:cs="Times New Roman"/>
          <w:szCs w:val="24"/>
        </w:rPr>
        <w:t>s</w:t>
      </w:r>
      <w:r w:rsidR="00F32205" w:rsidRPr="00AC1055">
        <w:rPr>
          <w:rFonts w:cs="Times New Roman"/>
          <w:szCs w:val="24"/>
        </w:rPr>
        <w:t xml:space="preserve"> </w:t>
      </w:r>
      <w:r w:rsidRPr="00AC1055">
        <w:rPr>
          <w:rFonts w:cs="Times New Roman"/>
          <w:szCs w:val="24"/>
        </w:rPr>
        <w:t>been generally accepted. Executive compensation is usually fixed by the remuneration committee, however</w:t>
      </w:r>
      <w:r w:rsidR="00F32205">
        <w:rPr>
          <w:rFonts w:cs="Times New Roman"/>
          <w:szCs w:val="24"/>
        </w:rPr>
        <w:t>,</w:t>
      </w:r>
      <w:r w:rsidRPr="00AC1055">
        <w:rPr>
          <w:rFonts w:cs="Times New Roman"/>
          <w:szCs w:val="24"/>
        </w:rPr>
        <w:t xml:space="preserve"> if shareholders need to approve the quantum of compensation, it adds another layer of shareholder control over the directors.</w:t>
      </w:r>
    </w:p>
    <w:p w14:paraId="48D1D37E" w14:textId="77777777" w:rsidR="003E11A9" w:rsidRPr="00AC1055" w:rsidRDefault="003E11A9" w:rsidP="00AC1055">
      <w:pPr>
        <w:numPr>
          <w:ilvl w:val="0"/>
          <w:numId w:val="3"/>
        </w:numPr>
        <w:spacing w:line="480" w:lineRule="auto"/>
        <w:contextualSpacing/>
        <w:rPr>
          <w:rFonts w:cs="Times New Roman"/>
          <w:szCs w:val="24"/>
        </w:rPr>
      </w:pPr>
      <w:r w:rsidRPr="00AC1055">
        <w:rPr>
          <w:rFonts w:cs="Times New Roman"/>
          <w:i/>
          <w:szCs w:val="24"/>
        </w:rPr>
        <w:t xml:space="preserve">Proportionality of ownership of share and control – </w:t>
      </w:r>
      <w:r w:rsidRPr="00AC1055">
        <w:rPr>
          <w:rFonts w:cs="Times New Roman"/>
          <w:szCs w:val="24"/>
        </w:rPr>
        <w:t>2 if ordinary equity shares that do not carry a preference of any kind, neither for dividends nor for liquidation carry one vote per share,</w:t>
      </w:r>
      <w:r w:rsidRPr="00AC1055">
        <w:rPr>
          <w:rFonts w:cs="Times New Roman"/>
          <w:szCs w:val="24"/>
          <w:vertAlign w:val="superscript"/>
        </w:rPr>
        <w:footnoteReference w:id="49"/>
      </w:r>
      <w:r w:rsidRPr="00AC1055">
        <w:rPr>
          <w:rFonts w:cs="Times New Roman"/>
          <w:szCs w:val="24"/>
        </w:rPr>
        <w:t xml:space="preserve"> 1 when a non-binding code discourages the existence of methods of disproportional control like multiple-voting and nonvoting ordinary shares, pyramid schemes or does not allow firms to set a maximum number of votes per shareholder irrespective of the number of shares owned, 0 otherwise</w:t>
      </w:r>
    </w:p>
    <w:p w14:paraId="34AB6576" w14:textId="3295D64C" w:rsidR="003E11A9" w:rsidRPr="00AC1055" w:rsidRDefault="003E11A9" w:rsidP="00AC1055">
      <w:pPr>
        <w:spacing w:line="480" w:lineRule="auto"/>
        <w:ind w:left="720"/>
        <w:contextualSpacing/>
        <w:rPr>
          <w:rFonts w:cs="Times New Roman"/>
          <w:szCs w:val="24"/>
        </w:rPr>
      </w:pPr>
      <w:r w:rsidRPr="00AC1055">
        <w:rPr>
          <w:rFonts w:cs="Times New Roman"/>
          <w:szCs w:val="24"/>
        </w:rPr>
        <w:t xml:space="preserve">Each shareholder should be given proportional equity control to the amount invested. However over </w:t>
      </w:r>
      <w:r w:rsidR="00294826">
        <w:rPr>
          <w:rFonts w:cs="Times New Roman"/>
          <w:szCs w:val="24"/>
        </w:rPr>
        <w:t xml:space="preserve">the </w:t>
      </w:r>
      <w:r w:rsidRPr="00AC1055">
        <w:rPr>
          <w:rFonts w:cs="Times New Roman"/>
          <w:szCs w:val="24"/>
        </w:rPr>
        <w:t>years</w:t>
      </w:r>
      <w:r w:rsidR="00294826">
        <w:rPr>
          <w:rFonts w:cs="Times New Roman"/>
          <w:szCs w:val="24"/>
        </w:rPr>
        <w:t>,</w:t>
      </w:r>
      <w:r w:rsidRPr="00AC1055">
        <w:rPr>
          <w:rFonts w:cs="Times New Roman"/>
          <w:szCs w:val="24"/>
        </w:rPr>
        <w:t xml:space="preserve"> due to financial requirements</w:t>
      </w:r>
      <w:r w:rsidR="00294826">
        <w:rPr>
          <w:rFonts w:cs="Times New Roman"/>
          <w:szCs w:val="24"/>
        </w:rPr>
        <w:t>,</w:t>
      </w:r>
      <w:r w:rsidRPr="00AC1055">
        <w:rPr>
          <w:rFonts w:cs="Times New Roman"/>
          <w:szCs w:val="24"/>
        </w:rPr>
        <w:t xml:space="preserve"> various forms of shares have evolved – preference shares which ha</w:t>
      </w:r>
      <w:r w:rsidR="00294826">
        <w:rPr>
          <w:rFonts w:cs="Times New Roman"/>
          <w:szCs w:val="24"/>
        </w:rPr>
        <w:t>ve</w:t>
      </w:r>
      <w:r w:rsidRPr="00AC1055">
        <w:rPr>
          <w:rFonts w:cs="Times New Roman"/>
          <w:szCs w:val="24"/>
        </w:rPr>
        <w:t xml:space="preserve"> higher or fixed cash flow rights but </w:t>
      </w:r>
      <w:r w:rsidR="00294826" w:rsidRPr="00AC1055">
        <w:rPr>
          <w:rFonts w:cs="Times New Roman"/>
          <w:szCs w:val="24"/>
        </w:rPr>
        <w:t>sacrific</w:t>
      </w:r>
      <w:r w:rsidR="00294826">
        <w:rPr>
          <w:rFonts w:cs="Times New Roman"/>
          <w:szCs w:val="24"/>
        </w:rPr>
        <w:t xml:space="preserve">e </w:t>
      </w:r>
      <w:r w:rsidRPr="00AC1055">
        <w:rPr>
          <w:rFonts w:cs="Times New Roman"/>
          <w:szCs w:val="24"/>
        </w:rPr>
        <w:t xml:space="preserve">voting rights, golden shares </w:t>
      </w:r>
      <w:r w:rsidR="00294826">
        <w:rPr>
          <w:rFonts w:cs="Times New Roman"/>
          <w:szCs w:val="24"/>
        </w:rPr>
        <w:t xml:space="preserve">which </w:t>
      </w:r>
      <w:r w:rsidRPr="00AC1055">
        <w:rPr>
          <w:rFonts w:cs="Times New Roman"/>
          <w:szCs w:val="24"/>
        </w:rPr>
        <w:t>may contribute little to equity but ha</w:t>
      </w:r>
      <w:r w:rsidR="00294826">
        <w:rPr>
          <w:rFonts w:cs="Times New Roman"/>
          <w:szCs w:val="24"/>
        </w:rPr>
        <w:t>ve</w:t>
      </w:r>
      <w:r w:rsidRPr="00AC1055">
        <w:rPr>
          <w:rFonts w:cs="Times New Roman"/>
          <w:szCs w:val="24"/>
        </w:rPr>
        <w:t xml:space="preserve"> disproportionate voting rights etc.</w:t>
      </w:r>
      <w:r w:rsidRPr="00AC1055">
        <w:rPr>
          <w:rFonts w:cs="Times New Roman"/>
          <w:szCs w:val="24"/>
          <w:vertAlign w:val="superscript"/>
        </w:rPr>
        <w:footnoteReference w:id="50"/>
      </w:r>
      <w:r w:rsidRPr="00AC1055">
        <w:rPr>
          <w:rFonts w:cs="Times New Roman"/>
          <w:szCs w:val="24"/>
        </w:rPr>
        <w:t xml:space="preserve"> which are separate from ordinary equity shares. The survey </w:t>
      </w:r>
      <w:r w:rsidR="00294826" w:rsidRPr="00AC1055">
        <w:rPr>
          <w:rFonts w:cs="Times New Roman"/>
          <w:szCs w:val="24"/>
        </w:rPr>
        <w:t>w</w:t>
      </w:r>
      <w:r w:rsidR="00294826">
        <w:rPr>
          <w:rFonts w:cs="Times New Roman"/>
          <w:szCs w:val="24"/>
        </w:rPr>
        <w:t>ill</w:t>
      </w:r>
      <w:r w:rsidR="00294826" w:rsidRPr="00AC1055">
        <w:rPr>
          <w:rFonts w:cs="Times New Roman"/>
          <w:szCs w:val="24"/>
        </w:rPr>
        <w:t xml:space="preserve"> </w:t>
      </w:r>
      <w:r w:rsidRPr="00AC1055">
        <w:rPr>
          <w:rFonts w:cs="Times New Roman"/>
          <w:szCs w:val="24"/>
        </w:rPr>
        <w:t>limit itself to one vote per one ordinary share to ensure proportionality of control across the ordinary equity class. Thus</w:t>
      </w:r>
      <w:r w:rsidR="00294826">
        <w:rPr>
          <w:rFonts w:cs="Times New Roman"/>
          <w:szCs w:val="24"/>
        </w:rPr>
        <w:t>,</w:t>
      </w:r>
      <w:r w:rsidRPr="00AC1055">
        <w:rPr>
          <w:rFonts w:cs="Times New Roman"/>
          <w:szCs w:val="24"/>
        </w:rPr>
        <w:t xml:space="preserve"> for example</w:t>
      </w:r>
      <w:r w:rsidR="00294826">
        <w:rPr>
          <w:rFonts w:cs="Times New Roman"/>
          <w:szCs w:val="24"/>
        </w:rPr>
        <w:t>,</w:t>
      </w:r>
      <w:r w:rsidRPr="00AC1055">
        <w:rPr>
          <w:rFonts w:cs="Times New Roman"/>
          <w:szCs w:val="24"/>
        </w:rPr>
        <w:t xml:space="preserve"> a jurisdiction which does not have any regulation on disproportionate voting rights like golden shares, pyramid schemes etc. would be scored 0.  </w:t>
      </w:r>
    </w:p>
    <w:p w14:paraId="2E602DCB" w14:textId="6373211A" w:rsidR="003E11A9" w:rsidRPr="00AC1055" w:rsidRDefault="003E11A9" w:rsidP="00AC1055">
      <w:pPr>
        <w:numPr>
          <w:ilvl w:val="0"/>
          <w:numId w:val="3"/>
        </w:numPr>
        <w:spacing w:line="480" w:lineRule="auto"/>
        <w:contextualSpacing/>
        <w:rPr>
          <w:rFonts w:cs="Times New Roman"/>
          <w:szCs w:val="24"/>
        </w:rPr>
      </w:pPr>
      <w:r w:rsidRPr="00AC1055">
        <w:rPr>
          <w:rFonts w:cs="Times New Roman"/>
          <w:i/>
          <w:szCs w:val="24"/>
        </w:rPr>
        <w:lastRenderedPageBreak/>
        <w:t>Markets for corporate control</w:t>
      </w:r>
      <w:r w:rsidRPr="00AC1055">
        <w:rPr>
          <w:rFonts w:cs="Times New Roman"/>
          <w:szCs w:val="24"/>
        </w:rPr>
        <w:t xml:space="preserve"> -  2 if pre-offer takeover defences are statutorily banned, 1 if there is a non-binding code which specifically discourages directors from using pre-offer defences, 0 if there is no regulation; 2 if post-offer takeover defences are statutorily banned, 1 if there is a non-binding code which discourages directors from using post-offer defences</w:t>
      </w:r>
      <w:r w:rsidR="00294826">
        <w:rPr>
          <w:rFonts w:cs="Times New Roman"/>
          <w:szCs w:val="24"/>
        </w:rPr>
        <w:t>,</w:t>
      </w:r>
      <w:r w:rsidRPr="00AC1055">
        <w:rPr>
          <w:rFonts w:cs="Times New Roman"/>
          <w:szCs w:val="24"/>
        </w:rPr>
        <w:t xml:space="preserve"> 0 if there is no regulation; 2 if at least 25% or more shares are to be with </w:t>
      </w:r>
      <w:r w:rsidR="00294826">
        <w:rPr>
          <w:rFonts w:cs="Times New Roman"/>
          <w:szCs w:val="24"/>
        </w:rPr>
        <w:t xml:space="preserve">the </w:t>
      </w:r>
      <w:r w:rsidRPr="00AC1055">
        <w:rPr>
          <w:rFonts w:cs="Times New Roman"/>
          <w:szCs w:val="24"/>
        </w:rPr>
        <w:t xml:space="preserve">public for listed companies, 1 if there is a non-binding code for the same, 0 otherwise; 2 if a declaration to </w:t>
      </w:r>
      <w:r w:rsidR="00294826">
        <w:rPr>
          <w:rFonts w:cs="Times New Roman"/>
          <w:szCs w:val="24"/>
        </w:rPr>
        <w:t xml:space="preserve">the </w:t>
      </w:r>
      <w:r w:rsidRPr="00AC1055">
        <w:rPr>
          <w:rFonts w:cs="Times New Roman"/>
          <w:szCs w:val="24"/>
        </w:rPr>
        <w:t xml:space="preserve">market by a shareholder holding 5% of share capital is necessary whenever their shareholding changes by more than 1-5% of </w:t>
      </w:r>
      <w:r w:rsidR="00294826">
        <w:rPr>
          <w:rFonts w:cs="Times New Roman"/>
          <w:szCs w:val="24"/>
        </w:rPr>
        <w:t xml:space="preserve">the </w:t>
      </w:r>
      <w:r w:rsidRPr="00AC1055">
        <w:rPr>
          <w:rFonts w:cs="Times New Roman"/>
          <w:szCs w:val="24"/>
        </w:rPr>
        <w:t xml:space="preserve">total subscribed share capital within a given period of time, 1 if the disclosure is recommended by a non-binding code, 0 otherwise; </w:t>
      </w:r>
    </w:p>
    <w:p w14:paraId="3AC99AFD" w14:textId="3F913F04" w:rsidR="003E11A9" w:rsidRPr="00AC1055" w:rsidRDefault="003E11A9" w:rsidP="00AC1055">
      <w:pPr>
        <w:spacing w:line="480" w:lineRule="auto"/>
        <w:ind w:left="720"/>
        <w:contextualSpacing/>
        <w:rPr>
          <w:rFonts w:cs="Times New Roman"/>
          <w:szCs w:val="24"/>
        </w:rPr>
      </w:pPr>
      <w:r w:rsidRPr="00AC1055">
        <w:rPr>
          <w:rFonts w:cs="Times New Roman"/>
          <w:szCs w:val="24"/>
        </w:rPr>
        <w:t xml:space="preserve">To ensure that </w:t>
      </w:r>
      <w:r w:rsidR="00294826">
        <w:rPr>
          <w:rFonts w:cs="Times New Roman"/>
          <w:szCs w:val="24"/>
        </w:rPr>
        <w:t xml:space="preserve">the </w:t>
      </w:r>
      <w:r w:rsidRPr="00AC1055">
        <w:rPr>
          <w:rFonts w:cs="Times New Roman"/>
          <w:szCs w:val="24"/>
        </w:rPr>
        <w:t>market for corporate control can function effectively</w:t>
      </w:r>
      <w:r w:rsidR="00294826">
        <w:rPr>
          <w:rFonts w:cs="Times New Roman"/>
          <w:szCs w:val="24"/>
        </w:rPr>
        <w:t>,</w:t>
      </w:r>
      <w:r w:rsidRPr="00AC1055">
        <w:rPr>
          <w:rFonts w:cs="Times New Roman"/>
          <w:szCs w:val="24"/>
        </w:rPr>
        <w:t xml:space="preserve"> any pro</w:t>
      </w:r>
      <w:r w:rsidR="00294826">
        <w:rPr>
          <w:rFonts w:cs="Times New Roman"/>
          <w:szCs w:val="24"/>
        </w:rPr>
        <w:t>-</w:t>
      </w:r>
      <w:r w:rsidRPr="00AC1055">
        <w:rPr>
          <w:rFonts w:cs="Times New Roman"/>
          <w:szCs w:val="24"/>
        </w:rPr>
        <w:t xml:space="preserve">shareholder corporate governance would try to restrict the powers of the incumbent managers to scupper takeover attempts. Takeover defences can be divided into two categories based on the time when they can be effected. Defences like </w:t>
      </w:r>
      <w:r w:rsidR="00294826">
        <w:rPr>
          <w:rFonts w:cs="Times New Roman"/>
          <w:szCs w:val="24"/>
        </w:rPr>
        <w:t xml:space="preserve">the </w:t>
      </w:r>
      <w:r w:rsidRPr="00AC1055">
        <w:rPr>
          <w:rFonts w:cs="Times New Roman"/>
          <w:szCs w:val="24"/>
        </w:rPr>
        <w:t>poison pill, automatic rights issue, golden parachute for executives, staggered board etc. are arranged before a bid is made for the control of the company. On the other hand</w:t>
      </w:r>
      <w:r w:rsidR="00294826">
        <w:rPr>
          <w:rFonts w:cs="Times New Roman"/>
          <w:szCs w:val="24"/>
        </w:rPr>
        <w:t>,</w:t>
      </w:r>
      <w:r w:rsidRPr="00AC1055">
        <w:rPr>
          <w:rFonts w:cs="Times New Roman"/>
          <w:szCs w:val="24"/>
        </w:rPr>
        <w:t xml:space="preserve"> defences like targeted repurchase bid</w:t>
      </w:r>
      <w:r w:rsidR="00294826">
        <w:rPr>
          <w:rFonts w:cs="Times New Roman"/>
          <w:szCs w:val="24"/>
        </w:rPr>
        <w:t>s</w:t>
      </w:r>
      <w:r w:rsidRPr="00AC1055">
        <w:rPr>
          <w:rFonts w:cs="Times New Roman"/>
          <w:szCs w:val="24"/>
        </w:rPr>
        <w:t xml:space="preserve"> (coupled with white knight etc.), asset restructuring (crown jewel defence, scorched earth policy etc.), capital restructuring (issue of new shares to existing shareholders), greenmailing are usually set in motion once the takeover bid has already been made. </w:t>
      </w:r>
      <w:r w:rsidR="00D309F8">
        <w:rPr>
          <w:rFonts w:cs="Times New Roman"/>
          <w:szCs w:val="24"/>
        </w:rPr>
        <w:t>‘</w:t>
      </w:r>
      <w:r w:rsidRPr="00AC1055">
        <w:rPr>
          <w:rFonts w:cs="Times New Roman"/>
          <w:szCs w:val="24"/>
        </w:rPr>
        <w:t>Poison pill</w:t>
      </w:r>
      <w:r w:rsidR="00294826">
        <w:rPr>
          <w:rFonts w:cs="Times New Roman"/>
          <w:szCs w:val="24"/>
        </w:rPr>
        <w:t>s</w:t>
      </w:r>
      <w:r w:rsidRPr="00AC1055">
        <w:rPr>
          <w:rFonts w:cs="Times New Roman"/>
          <w:szCs w:val="24"/>
        </w:rPr>
        <w:t xml:space="preserve"> provide their holders with special rights in the case of a triggering event such as a hostile takeover bid. If a deal is approved by the board of directors, the poison pill can be revoked, but if the deal is not approved and the bidder proceeds, the pill is triggered. </w:t>
      </w:r>
      <w:r w:rsidRPr="00AC1055">
        <w:rPr>
          <w:rFonts w:cs="Times New Roman"/>
          <w:szCs w:val="24"/>
        </w:rPr>
        <w:lastRenderedPageBreak/>
        <w:t>Similarly</w:t>
      </w:r>
      <w:r w:rsidR="00294826">
        <w:rPr>
          <w:rFonts w:cs="Times New Roman"/>
          <w:szCs w:val="24"/>
        </w:rPr>
        <w:t>,</w:t>
      </w:r>
      <w:r w:rsidRPr="00AC1055">
        <w:rPr>
          <w:rFonts w:cs="Times New Roman"/>
          <w:szCs w:val="24"/>
        </w:rPr>
        <w:t xml:space="preserve"> golden parachute</w:t>
      </w:r>
      <w:r w:rsidR="00294826">
        <w:rPr>
          <w:rFonts w:cs="Times New Roman"/>
          <w:szCs w:val="24"/>
        </w:rPr>
        <w:t>s</w:t>
      </w:r>
      <w:r w:rsidRPr="00AC1055">
        <w:rPr>
          <w:rFonts w:cs="Times New Roman"/>
          <w:szCs w:val="24"/>
        </w:rPr>
        <w:t xml:space="preserve"> are severance agreements that provide cash and non-cash compensation to senior executives upon an event such as termination, demotion, or resignation following a change in control.</w:t>
      </w:r>
      <w:r w:rsidR="00D309F8">
        <w:rPr>
          <w:rFonts w:cs="Times New Roman"/>
          <w:szCs w:val="24"/>
        </w:rPr>
        <w:t>’</w:t>
      </w:r>
      <w:r w:rsidR="00343CC8">
        <w:rPr>
          <w:rStyle w:val="FootnoteReference"/>
          <w:rFonts w:cs="Times New Roman"/>
          <w:szCs w:val="24"/>
        </w:rPr>
        <w:footnoteReference w:id="51"/>
      </w:r>
      <w:r w:rsidRPr="00AC1055">
        <w:rPr>
          <w:rFonts w:cs="Times New Roman"/>
          <w:szCs w:val="24"/>
        </w:rPr>
        <w:t xml:space="preserve"> Rights issue (either contingent on takeover bid or post bid effected by incumbent management) allows for </w:t>
      </w:r>
      <w:r w:rsidR="00294826">
        <w:rPr>
          <w:rFonts w:cs="Times New Roman"/>
          <w:szCs w:val="24"/>
        </w:rPr>
        <w:t xml:space="preserve">the </w:t>
      </w:r>
      <w:r w:rsidRPr="00AC1055">
        <w:rPr>
          <w:rFonts w:cs="Times New Roman"/>
          <w:szCs w:val="24"/>
        </w:rPr>
        <w:t xml:space="preserve">issue of new shares to existing shareholders, this would lead to </w:t>
      </w:r>
      <w:r w:rsidR="00294826">
        <w:rPr>
          <w:rFonts w:cs="Times New Roman"/>
          <w:szCs w:val="24"/>
        </w:rPr>
        <w:t xml:space="preserve">an </w:t>
      </w:r>
      <w:r w:rsidRPr="00AC1055">
        <w:rPr>
          <w:rFonts w:cs="Times New Roman"/>
          <w:szCs w:val="24"/>
        </w:rPr>
        <w:t xml:space="preserve">increase in the number of shares and make it expensive for the raider to get majority control. As </w:t>
      </w:r>
      <w:r w:rsidR="0072435F">
        <w:rPr>
          <w:rFonts w:cs="Times New Roman"/>
          <w:szCs w:val="24"/>
        </w:rPr>
        <w:t>detailed in several pieces of research,</w:t>
      </w:r>
      <w:r w:rsidRPr="00AC1055">
        <w:rPr>
          <w:rFonts w:cs="Times New Roman"/>
          <w:szCs w:val="24"/>
        </w:rPr>
        <w:t xml:space="preserve"> takeover defences affect share prices and earnings.</w:t>
      </w:r>
      <w:r w:rsidRPr="00AC1055">
        <w:rPr>
          <w:rFonts w:cs="Times New Roman"/>
          <w:szCs w:val="24"/>
          <w:vertAlign w:val="superscript"/>
        </w:rPr>
        <w:footnoteReference w:id="52"/>
      </w:r>
      <w:r w:rsidRPr="00AC1055">
        <w:rPr>
          <w:rFonts w:cs="Times New Roman"/>
          <w:szCs w:val="24"/>
        </w:rPr>
        <w:t xml:space="preserve"> Thus</w:t>
      </w:r>
      <w:r w:rsidR="0072435F">
        <w:rPr>
          <w:rFonts w:cs="Times New Roman"/>
          <w:szCs w:val="24"/>
        </w:rPr>
        <w:t>,</w:t>
      </w:r>
      <w:r w:rsidRPr="00AC1055">
        <w:rPr>
          <w:rFonts w:cs="Times New Roman"/>
          <w:szCs w:val="24"/>
        </w:rPr>
        <w:t xml:space="preserve"> an ideal shareholder primacy corporate governance system would discourage takeover defences. It is also necessary to differentiate between pre-bid and post-bid defences as many jurisdictions allow some form of defence </w:t>
      </w:r>
      <w:r w:rsidR="0072435F">
        <w:rPr>
          <w:rFonts w:cs="Times New Roman"/>
          <w:szCs w:val="24"/>
        </w:rPr>
        <w:t>such as</w:t>
      </w:r>
      <w:r w:rsidR="0072435F" w:rsidRPr="00AC1055">
        <w:rPr>
          <w:rFonts w:cs="Times New Roman"/>
          <w:szCs w:val="24"/>
        </w:rPr>
        <w:t xml:space="preserve"> </w:t>
      </w:r>
      <w:r w:rsidRPr="00AC1055">
        <w:rPr>
          <w:rFonts w:cs="Times New Roman"/>
          <w:szCs w:val="24"/>
        </w:rPr>
        <w:t>counter offers etc. which usually raises the share prices and thus offers a better exit to shareholders. Therefore</w:t>
      </w:r>
      <w:r w:rsidR="0072435F">
        <w:rPr>
          <w:rFonts w:cs="Times New Roman"/>
          <w:szCs w:val="24"/>
        </w:rPr>
        <w:t>,</w:t>
      </w:r>
      <w:r w:rsidRPr="00AC1055">
        <w:rPr>
          <w:rFonts w:cs="Times New Roman"/>
          <w:szCs w:val="24"/>
        </w:rPr>
        <w:t xml:space="preserve"> if a jurisdiction bans the incumbent management </w:t>
      </w:r>
      <w:r w:rsidR="0072435F">
        <w:rPr>
          <w:rFonts w:cs="Times New Roman"/>
          <w:szCs w:val="24"/>
        </w:rPr>
        <w:t>from</w:t>
      </w:r>
      <w:r w:rsidR="0072435F" w:rsidRPr="00AC1055">
        <w:rPr>
          <w:rFonts w:cs="Times New Roman"/>
          <w:szCs w:val="24"/>
        </w:rPr>
        <w:t xml:space="preserve"> </w:t>
      </w:r>
      <w:r w:rsidRPr="00AC1055">
        <w:rPr>
          <w:rFonts w:cs="Times New Roman"/>
          <w:szCs w:val="24"/>
        </w:rPr>
        <w:t>execut</w:t>
      </w:r>
      <w:r w:rsidR="0072435F">
        <w:rPr>
          <w:rFonts w:cs="Times New Roman"/>
          <w:szCs w:val="24"/>
        </w:rPr>
        <w:t>ing</w:t>
      </w:r>
      <w:r w:rsidRPr="00AC1055">
        <w:rPr>
          <w:rFonts w:cs="Times New Roman"/>
          <w:szCs w:val="24"/>
        </w:rPr>
        <w:t xml:space="preserve"> pre</w:t>
      </w:r>
      <w:r w:rsidR="0072435F">
        <w:rPr>
          <w:rFonts w:cs="Times New Roman"/>
          <w:szCs w:val="24"/>
        </w:rPr>
        <w:t>-</w:t>
      </w:r>
      <w:r w:rsidRPr="00AC1055">
        <w:rPr>
          <w:rFonts w:cs="Times New Roman"/>
          <w:szCs w:val="24"/>
        </w:rPr>
        <w:t>offer defence</w:t>
      </w:r>
      <w:r w:rsidR="0072435F">
        <w:rPr>
          <w:rFonts w:cs="Times New Roman"/>
          <w:szCs w:val="24"/>
        </w:rPr>
        <w:t>s such as</w:t>
      </w:r>
      <w:r w:rsidRPr="00AC1055">
        <w:rPr>
          <w:rFonts w:cs="Times New Roman"/>
          <w:szCs w:val="24"/>
        </w:rPr>
        <w:t xml:space="preserve"> staggered board, poison pill, golden parachute, supermajority (over 80%) to approve merger, dual class recapitalisation then the jurisdiction would be coded 2, if some of them are banned and others are specifically discouraged by a non-binding code then the country is coded 1, if there is no code or rule then it is coded 0. Similarly</w:t>
      </w:r>
      <w:r w:rsidR="0072435F">
        <w:rPr>
          <w:rFonts w:cs="Times New Roman"/>
          <w:szCs w:val="24"/>
        </w:rPr>
        <w:t>,</w:t>
      </w:r>
      <w:r w:rsidRPr="00AC1055">
        <w:rPr>
          <w:rFonts w:cs="Times New Roman"/>
          <w:szCs w:val="24"/>
        </w:rPr>
        <w:t xml:space="preserve"> for post-bid defences the survey </w:t>
      </w:r>
      <w:r w:rsidR="0072435F">
        <w:rPr>
          <w:rFonts w:cs="Times New Roman"/>
          <w:szCs w:val="24"/>
        </w:rPr>
        <w:t xml:space="preserve">will </w:t>
      </w:r>
      <w:r w:rsidRPr="00AC1055">
        <w:rPr>
          <w:rFonts w:cs="Times New Roman"/>
          <w:szCs w:val="24"/>
        </w:rPr>
        <w:t>look for law</w:t>
      </w:r>
      <w:r w:rsidR="0072435F">
        <w:rPr>
          <w:rFonts w:cs="Times New Roman"/>
          <w:szCs w:val="24"/>
        </w:rPr>
        <w:t>s</w:t>
      </w:r>
      <w:r w:rsidRPr="00AC1055">
        <w:rPr>
          <w:rFonts w:cs="Times New Roman"/>
          <w:szCs w:val="24"/>
        </w:rPr>
        <w:t xml:space="preserve"> and rules banning or discouraging asset restructuring, liability restructuring, capital restructuring and targeted repurchase (not open competitive bidding). </w:t>
      </w:r>
    </w:p>
    <w:p w14:paraId="634BB85F" w14:textId="54336C3A" w:rsidR="003E11A9" w:rsidRPr="00AC1055" w:rsidRDefault="003E11A9" w:rsidP="00AC1055">
      <w:pPr>
        <w:spacing w:line="480" w:lineRule="auto"/>
        <w:ind w:left="720"/>
        <w:contextualSpacing/>
        <w:rPr>
          <w:rFonts w:cs="Times New Roman"/>
          <w:szCs w:val="24"/>
        </w:rPr>
      </w:pPr>
      <w:r w:rsidRPr="00AC1055">
        <w:rPr>
          <w:rFonts w:cs="Times New Roman"/>
          <w:szCs w:val="24"/>
        </w:rPr>
        <w:t xml:space="preserve">In developing countries the share markets are generally illiquid and there is a high prevalence of block-holder directors. This situation can be remedied by </w:t>
      </w:r>
      <w:r w:rsidRPr="00AC1055">
        <w:rPr>
          <w:rFonts w:cs="Times New Roman"/>
          <w:szCs w:val="24"/>
        </w:rPr>
        <w:lastRenderedPageBreak/>
        <w:t xml:space="preserve">having a minimum amount of shares with </w:t>
      </w:r>
      <w:r w:rsidR="0072435F">
        <w:rPr>
          <w:rFonts w:cs="Times New Roman"/>
          <w:szCs w:val="24"/>
        </w:rPr>
        <w:t xml:space="preserve">the </w:t>
      </w:r>
      <w:r w:rsidRPr="00AC1055">
        <w:rPr>
          <w:rFonts w:cs="Times New Roman"/>
          <w:szCs w:val="24"/>
        </w:rPr>
        <w:t>public which may lead to more dispersed holding.</w:t>
      </w:r>
      <w:r w:rsidRPr="00AC1055">
        <w:rPr>
          <w:rFonts w:cs="Times New Roman"/>
          <w:szCs w:val="24"/>
          <w:vertAlign w:val="superscript"/>
        </w:rPr>
        <w:footnoteReference w:id="53"/>
      </w:r>
      <w:r w:rsidRPr="00AC1055">
        <w:rPr>
          <w:rFonts w:cs="Times New Roman"/>
          <w:szCs w:val="24"/>
        </w:rPr>
        <w:t xml:space="preserve"> In India</w:t>
      </w:r>
      <w:r w:rsidR="0072435F">
        <w:rPr>
          <w:rFonts w:cs="Times New Roman"/>
          <w:szCs w:val="24"/>
        </w:rPr>
        <w:t>,</w:t>
      </w:r>
      <w:r w:rsidRPr="00AC1055">
        <w:rPr>
          <w:rFonts w:cs="Times New Roman"/>
          <w:szCs w:val="24"/>
        </w:rPr>
        <w:t xml:space="preserve"> which as per S&amp;P is a leading emerging market</w:t>
      </w:r>
      <w:r w:rsidR="0072435F">
        <w:rPr>
          <w:rFonts w:cs="Times New Roman"/>
          <w:szCs w:val="24"/>
        </w:rPr>
        <w:t>,</w:t>
      </w:r>
      <w:r w:rsidRPr="00AC1055">
        <w:rPr>
          <w:rFonts w:cs="Times New Roman"/>
          <w:szCs w:val="24"/>
        </w:rPr>
        <w:t xml:space="preserve"> only recently was it made mandatory that for listing at least 25% of the shares should be with public. Therefore</w:t>
      </w:r>
      <w:r w:rsidR="0072435F">
        <w:rPr>
          <w:rFonts w:cs="Times New Roman"/>
          <w:szCs w:val="24"/>
        </w:rPr>
        <w:t>,</w:t>
      </w:r>
      <w:r w:rsidRPr="00AC1055">
        <w:rPr>
          <w:rFonts w:cs="Times New Roman"/>
          <w:szCs w:val="24"/>
        </w:rPr>
        <w:t xml:space="preserve"> to ensure that markets in developing </w:t>
      </w:r>
      <w:r w:rsidR="0072435F" w:rsidRPr="00AC1055">
        <w:rPr>
          <w:rFonts w:cs="Times New Roman"/>
          <w:szCs w:val="24"/>
        </w:rPr>
        <w:t>countr</w:t>
      </w:r>
      <w:r w:rsidR="0072435F">
        <w:rPr>
          <w:rFonts w:cs="Times New Roman"/>
          <w:szCs w:val="24"/>
        </w:rPr>
        <w:t>ies</w:t>
      </w:r>
      <w:r w:rsidR="0072435F" w:rsidRPr="00AC1055">
        <w:rPr>
          <w:rFonts w:cs="Times New Roman"/>
          <w:szCs w:val="24"/>
        </w:rPr>
        <w:t xml:space="preserve"> </w:t>
      </w:r>
      <w:r w:rsidRPr="00AC1055">
        <w:rPr>
          <w:rFonts w:cs="Times New Roman"/>
          <w:szCs w:val="24"/>
        </w:rPr>
        <w:t xml:space="preserve">move towards a more open market it is imperative that shares become more dispersed, the first step towards this would be a minimum of 25% free float. </w:t>
      </w:r>
    </w:p>
    <w:p w14:paraId="6AECF3E5" w14:textId="2F3B4880" w:rsidR="003E11A9" w:rsidRPr="00AC1055" w:rsidRDefault="003E11A9" w:rsidP="00AC1055">
      <w:pPr>
        <w:spacing w:line="480" w:lineRule="auto"/>
        <w:ind w:left="720"/>
        <w:contextualSpacing/>
        <w:rPr>
          <w:rFonts w:cs="Times New Roman"/>
          <w:szCs w:val="24"/>
        </w:rPr>
      </w:pPr>
      <w:r w:rsidRPr="00AC1055">
        <w:rPr>
          <w:rFonts w:cs="Times New Roman"/>
          <w:szCs w:val="24"/>
        </w:rPr>
        <w:t>The disclosure rule for shareholder</w:t>
      </w:r>
      <w:r w:rsidR="0072435F">
        <w:rPr>
          <w:rFonts w:cs="Times New Roman"/>
          <w:szCs w:val="24"/>
        </w:rPr>
        <w:t>s</w:t>
      </w:r>
      <w:r w:rsidRPr="00AC1055">
        <w:rPr>
          <w:rFonts w:cs="Times New Roman"/>
          <w:szCs w:val="24"/>
        </w:rPr>
        <w:t xml:space="preserve"> with 5% shareholding would nullify any attempts to effect a creeping acquisition and allow for proper share valuation due to </w:t>
      </w:r>
      <w:r w:rsidR="0072435F">
        <w:rPr>
          <w:rFonts w:cs="Times New Roman"/>
          <w:szCs w:val="24"/>
        </w:rPr>
        <w:t xml:space="preserve">an </w:t>
      </w:r>
      <w:r w:rsidRPr="00AC1055">
        <w:rPr>
          <w:rFonts w:cs="Times New Roman"/>
          <w:szCs w:val="24"/>
        </w:rPr>
        <w:t xml:space="preserve">expected increase in demand.  </w:t>
      </w:r>
    </w:p>
    <w:p w14:paraId="1F557ACD" w14:textId="77777777" w:rsidR="003E11A9" w:rsidRPr="00AC1055" w:rsidRDefault="003E11A9" w:rsidP="00AC1055">
      <w:pPr>
        <w:numPr>
          <w:ilvl w:val="0"/>
          <w:numId w:val="3"/>
        </w:numPr>
        <w:spacing w:line="480" w:lineRule="auto"/>
        <w:contextualSpacing/>
        <w:rPr>
          <w:rFonts w:cs="Times New Roman"/>
          <w:szCs w:val="24"/>
        </w:rPr>
      </w:pPr>
      <w:r w:rsidRPr="00AC1055">
        <w:rPr>
          <w:rFonts w:cs="Times New Roman"/>
          <w:i/>
          <w:szCs w:val="24"/>
        </w:rPr>
        <w:t xml:space="preserve">Impediments to cross border voting </w:t>
      </w:r>
      <w:r w:rsidRPr="00AC1055">
        <w:rPr>
          <w:rFonts w:cs="Times New Roman"/>
          <w:szCs w:val="24"/>
        </w:rPr>
        <w:t>– 2 if American Depositary Receipt (ADR) and Global depository receipt (GDR) with voting rights at par equity is allowed, 1 if ADR and GDR have voting rights with some restriction, 0 otherwise.</w:t>
      </w:r>
    </w:p>
    <w:p w14:paraId="2D54BF73" w14:textId="3FE4BB7B" w:rsidR="003E11A9" w:rsidRPr="00AC1055" w:rsidRDefault="003E11A9" w:rsidP="00AC1055">
      <w:pPr>
        <w:spacing w:line="480" w:lineRule="auto"/>
        <w:ind w:left="720"/>
        <w:contextualSpacing/>
        <w:rPr>
          <w:rFonts w:cs="Times New Roman"/>
          <w:szCs w:val="24"/>
        </w:rPr>
      </w:pPr>
      <w:r w:rsidRPr="00AC1055">
        <w:rPr>
          <w:rFonts w:cs="Times New Roman"/>
          <w:szCs w:val="24"/>
        </w:rPr>
        <w:t xml:space="preserve">An investment bank can buy shares of companies listed at a share market in a developing country and later issue a negotiable security linked to these issues at a stock exchange in a developed country. These negotiable securities are referred </w:t>
      </w:r>
      <w:r w:rsidR="0072435F">
        <w:rPr>
          <w:rFonts w:cs="Times New Roman"/>
          <w:szCs w:val="24"/>
        </w:rPr>
        <w:t xml:space="preserve">to </w:t>
      </w:r>
      <w:r w:rsidRPr="00AC1055">
        <w:rPr>
          <w:rFonts w:cs="Times New Roman"/>
          <w:szCs w:val="24"/>
        </w:rPr>
        <w:t xml:space="preserve">as depository receipts and their value varies according to the price of the underlying share in the original host country. If depository receipts for foreign companies are issued in </w:t>
      </w:r>
      <w:r w:rsidR="0072435F">
        <w:rPr>
          <w:rFonts w:cs="Times New Roman"/>
          <w:szCs w:val="24"/>
        </w:rPr>
        <w:t xml:space="preserve">the </w:t>
      </w:r>
      <w:r w:rsidRPr="00AC1055">
        <w:rPr>
          <w:rFonts w:cs="Times New Roman"/>
          <w:szCs w:val="24"/>
        </w:rPr>
        <w:t xml:space="preserve">US market they are referred as ADR and if these depository receipts are issued in </w:t>
      </w:r>
      <w:r w:rsidR="0072435F">
        <w:rPr>
          <w:rFonts w:cs="Times New Roman"/>
          <w:szCs w:val="24"/>
        </w:rPr>
        <w:t xml:space="preserve">the </w:t>
      </w:r>
      <w:r w:rsidRPr="00AC1055">
        <w:rPr>
          <w:rFonts w:cs="Times New Roman"/>
          <w:szCs w:val="24"/>
        </w:rPr>
        <w:t>non US market</w:t>
      </w:r>
      <w:r w:rsidRPr="00AC1055">
        <w:rPr>
          <w:rFonts w:cs="Times New Roman"/>
          <w:szCs w:val="24"/>
          <w:vertAlign w:val="superscript"/>
        </w:rPr>
        <w:footnoteReference w:id="54"/>
      </w:r>
      <w:r w:rsidRPr="00AC1055">
        <w:rPr>
          <w:rFonts w:cs="Times New Roman"/>
          <w:szCs w:val="24"/>
        </w:rPr>
        <w:t xml:space="preserve"> it is commonly referred to as GDR.  ADR and GDR allows foreign capital to flow into </w:t>
      </w:r>
      <w:r w:rsidR="0072435F">
        <w:rPr>
          <w:rFonts w:cs="Times New Roman"/>
          <w:szCs w:val="24"/>
        </w:rPr>
        <w:t xml:space="preserve">the </w:t>
      </w:r>
      <w:r w:rsidRPr="00AC1055">
        <w:rPr>
          <w:rFonts w:cs="Times New Roman"/>
          <w:szCs w:val="24"/>
        </w:rPr>
        <w:lastRenderedPageBreak/>
        <w:t>host country and at the same time ensures that the companies adhere to the deposit agreements. Deposit agreements follow a strict set of disclosures, thus jurisdictions which allow ADR and GDR automatically ensures that companies which choose to issue ADR or GDR has to comply with strict standards. Whether the ADR/GDR purchaser would be able to vote depends on the depository agreements, however from a pro</w:t>
      </w:r>
      <w:r w:rsidR="00F23D8B">
        <w:rPr>
          <w:rFonts w:cs="Times New Roman"/>
          <w:szCs w:val="24"/>
        </w:rPr>
        <w:t>-</w:t>
      </w:r>
      <w:r w:rsidRPr="00AC1055">
        <w:rPr>
          <w:rFonts w:cs="Times New Roman"/>
          <w:szCs w:val="24"/>
        </w:rPr>
        <w:t>shareholder view any equity investment should be able to exert proportionate control. Thus</w:t>
      </w:r>
      <w:r w:rsidR="00F23D8B">
        <w:rPr>
          <w:rFonts w:cs="Times New Roman"/>
          <w:szCs w:val="24"/>
        </w:rPr>
        <w:t>,</w:t>
      </w:r>
      <w:r w:rsidRPr="00AC1055">
        <w:rPr>
          <w:rFonts w:cs="Times New Roman"/>
          <w:szCs w:val="24"/>
        </w:rPr>
        <w:t xml:space="preserve"> shareholder primacy corporate governance would allow default voting rights for depository receipts to be </w:t>
      </w:r>
      <w:r w:rsidR="00F23D8B">
        <w:rPr>
          <w:rFonts w:cs="Times New Roman"/>
          <w:szCs w:val="24"/>
        </w:rPr>
        <w:t>on a</w:t>
      </w:r>
      <w:r w:rsidR="00F23D8B" w:rsidRPr="00AC1055">
        <w:rPr>
          <w:rFonts w:cs="Times New Roman"/>
          <w:szCs w:val="24"/>
        </w:rPr>
        <w:t xml:space="preserve"> </w:t>
      </w:r>
      <w:r w:rsidRPr="00AC1055">
        <w:rPr>
          <w:rFonts w:cs="Times New Roman"/>
          <w:szCs w:val="24"/>
        </w:rPr>
        <w:t xml:space="preserve">par with domestic equity shares. </w:t>
      </w:r>
    </w:p>
    <w:p w14:paraId="2741625D" w14:textId="7CBD8AAB" w:rsidR="003E11A9" w:rsidRPr="00AC1055" w:rsidRDefault="003E11A9" w:rsidP="00AC1055">
      <w:pPr>
        <w:numPr>
          <w:ilvl w:val="0"/>
          <w:numId w:val="3"/>
        </w:numPr>
        <w:spacing w:line="480" w:lineRule="auto"/>
        <w:contextualSpacing/>
        <w:rPr>
          <w:rFonts w:cs="Times New Roman"/>
          <w:szCs w:val="24"/>
        </w:rPr>
      </w:pPr>
      <w:r w:rsidRPr="00AC1055">
        <w:rPr>
          <w:rFonts w:cs="Times New Roman"/>
          <w:szCs w:val="24"/>
        </w:rPr>
        <w:t>2 if by law external auditors need to be changed after 1-5 years and some cooling off period, 1 if it is recommended under a non-binding code, 0 otherwise</w:t>
      </w:r>
      <w:r w:rsidR="00F23D8B">
        <w:rPr>
          <w:rFonts w:cs="Times New Roman"/>
          <w:szCs w:val="24"/>
        </w:rPr>
        <w:t>.</w:t>
      </w:r>
      <w:r w:rsidRPr="00AC1055">
        <w:rPr>
          <w:rFonts w:cs="Times New Roman"/>
          <w:szCs w:val="24"/>
        </w:rPr>
        <w:t xml:space="preserve"> </w:t>
      </w:r>
    </w:p>
    <w:p w14:paraId="12675D7C" w14:textId="17526B61" w:rsidR="003E11A9" w:rsidRPr="00AC1055" w:rsidRDefault="003E11A9" w:rsidP="00AC1055">
      <w:pPr>
        <w:spacing w:line="480" w:lineRule="auto"/>
        <w:ind w:left="720"/>
        <w:contextualSpacing/>
        <w:rPr>
          <w:rFonts w:cs="Times New Roman"/>
          <w:szCs w:val="24"/>
        </w:rPr>
      </w:pPr>
      <w:r w:rsidRPr="00AC1055">
        <w:rPr>
          <w:rFonts w:cs="Times New Roman"/>
          <w:szCs w:val="24"/>
        </w:rPr>
        <w:t xml:space="preserve">A regular change in </w:t>
      </w:r>
      <w:r w:rsidR="00F23D8B">
        <w:rPr>
          <w:rFonts w:cs="Times New Roman"/>
          <w:szCs w:val="24"/>
        </w:rPr>
        <w:t xml:space="preserve">the </w:t>
      </w:r>
      <w:r w:rsidRPr="00AC1055">
        <w:rPr>
          <w:rFonts w:cs="Times New Roman"/>
          <w:szCs w:val="24"/>
        </w:rPr>
        <w:t xml:space="preserve">external auditor would ensure that management always remains at arms-length from the auditors. A quick glance at major corporate fraud like </w:t>
      </w:r>
      <w:r w:rsidR="00F23D8B">
        <w:rPr>
          <w:rFonts w:cs="Times New Roman"/>
          <w:szCs w:val="24"/>
        </w:rPr>
        <w:t xml:space="preserve">the </w:t>
      </w:r>
      <w:r w:rsidRPr="00AC1055">
        <w:rPr>
          <w:rFonts w:cs="Times New Roman"/>
          <w:szCs w:val="24"/>
        </w:rPr>
        <w:t>Enron scandal, Satyam scandal</w:t>
      </w:r>
      <w:r w:rsidRPr="00AC1055">
        <w:rPr>
          <w:rFonts w:cs="Times New Roman"/>
          <w:szCs w:val="24"/>
          <w:vertAlign w:val="superscript"/>
        </w:rPr>
        <w:footnoteReference w:id="55"/>
      </w:r>
      <w:r w:rsidRPr="00AC1055">
        <w:rPr>
          <w:rFonts w:cs="Times New Roman"/>
          <w:szCs w:val="24"/>
        </w:rPr>
        <w:t xml:space="preserve"> would suggest that in many cases it was the willing oversight of the auditors which led to </w:t>
      </w:r>
      <w:r w:rsidR="00F23D8B">
        <w:rPr>
          <w:rFonts w:cs="Times New Roman"/>
          <w:szCs w:val="24"/>
        </w:rPr>
        <w:t xml:space="preserve">the </w:t>
      </w:r>
      <w:r w:rsidRPr="00AC1055">
        <w:rPr>
          <w:rFonts w:cs="Times New Roman"/>
          <w:szCs w:val="24"/>
        </w:rPr>
        <w:t>delayed discovery of fraud. Thus a pro</w:t>
      </w:r>
      <w:r w:rsidR="00F23D8B">
        <w:rPr>
          <w:rFonts w:cs="Times New Roman"/>
          <w:szCs w:val="24"/>
        </w:rPr>
        <w:t>-</w:t>
      </w:r>
      <w:r w:rsidRPr="00AC1055">
        <w:rPr>
          <w:rFonts w:cs="Times New Roman"/>
          <w:szCs w:val="24"/>
        </w:rPr>
        <w:t xml:space="preserve">shareholder corporate governance policy would favour </w:t>
      </w:r>
      <w:r w:rsidR="00F23D8B">
        <w:rPr>
          <w:rFonts w:cs="Times New Roman"/>
          <w:szCs w:val="24"/>
        </w:rPr>
        <w:t xml:space="preserve">a </w:t>
      </w:r>
      <w:r w:rsidRPr="00AC1055">
        <w:rPr>
          <w:rFonts w:cs="Times New Roman"/>
          <w:szCs w:val="24"/>
        </w:rPr>
        <w:t>change of auditors at regular intervals so that the integrity of the financial information/disclosure is maintained.</w:t>
      </w:r>
    </w:p>
    <w:p w14:paraId="227A0D67" w14:textId="171B8EEA" w:rsidR="003E11A9" w:rsidRPr="00AC1055" w:rsidRDefault="003E11A9" w:rsidP="00AC1055">
      <w:pPr>
        <w:numPr>
          <w:ilvl w:val="0"/>
          <w:numId w:val="3"/>
        </w:numPr>
        <w:spacing w:line="480" w:lineRule="auto"/>
        <w:contextualSpacing/>
        <w:rPr>
          <w:rFonts w:cs="Times New Roman"/>
          <w:szCs w:val="24"/>
        </w:rPr>
      </w:pPr>
      <w:r w:rsidRPr="00AC1055">
        <w:rPr>
          <w:rFonts w:cs="Times New Roman"/>
          <w:szCs w:val="24"/>
        </w:rPr>
        <w:t xml:space="preserve">2 each if it is mandatory for presence of audit committee, remuneration committee, nomination committee with a majority of independent directors, 1 if it </w:t>
      </w:r>
      <w:r w:rsidR="000A710F">
        <w:rPr>
          <w:rFonts w:cs="Times New Roman"/>
          <w:szCs w:val="24"/>
        </w:rPr>
        <w:t xml:space="preserve">is </w:t>
      </w:r>
      <w:r w:rsidRPr="00AC1055">
        <w:rPr>
          <w:rFonts w:cs="Times New Roman"/>
          <w:szCs w:val="24"/>
        </w:rPr>
        <w:t>recommended by a code, 0 otherwise</w:t>
      </w:r>
      <w:r w:rsidR="00C80C40">
        <w:rPr>
          <w:rFonts w:cs="Times New Roman"/>
          <w:szCs w:val="24"/>
        </w:rPr>
        <w:t>.</w:t>
      </w:r>
    </w:p>
    <w:p w14:paraId="3F60FA77" w14:textId="77777777" w:rsidR="003E11A9" w:rsidRPr="00AC1055" w:rsidRDefault="003E11A9" w:rsidP="00AC1055">
      <w:pPr>
        <w:spacing w:line="480" w:lineRule="auto"/>
        <w:ind w:left="720"/>
        <w:contextualSpacing/>
        <w:rPr>
          <w:rFonts w:cs="Times New Roman"/>
          <w:szCs w:val="24"/>
        </w:rPr>
      </w:pPr>
      <w:r w:rsidRPr="00AC1055">
        <w:rPr>
          <w:rFonts w:cs="Times New Roman"/>
          <w:szCs w:val="24"/>
        </w:rPr>
        <w:t xml:space="preserve">NEDs are supposed to act as an internal control mechanism looking at a long term view. Through these committees they are supposed to keep watch on </w:t>
      </w:r>
      <w:r w:rsidRPr="00AC1055">
        <w:rPr>
          <w:rFonts w:cs="Times New Roman"/>
          <w:szCs w:val="24"/>
        </w:rPr>
        <w:lastRenderedPageBreak/>
        <w:t>executive directors and managers, appoint auditors, fix remuneration of the executives and maintain continuity with nominating executives for the top positions. The majority rule has to be enforced by statutory binding regulation. Independent directors are those directors who do not have any financial interest in the company and whose remuneration is not linked with performance.</w:t>
      </w:r>
    </w:p>
    <w:p w14:paraId="06757D1A" w14:textId="2EBF36E6" w:rsidR="003E11A9" w:rsidRPr="00AC1055" w:rsidRDefault="003E11A9" w:rsidP="00AC1055">
      <w:pPr>
        <w:numPr>
          <w:ilvl w:val="0"/>
          <w:numId w:val="3"/>
        </w:numPr>
        <w:spacing w:line="480" w:lineRule="auto"/>
        <w:contextualSpacing/>
        <w:rPr>
          <w:rFonts w:cs="Times New Roman"/>
          <w:szCs w:val="24"/>
        </w:rPr>
      </w:pPr>
      <w:r w:rsidRPr="00AC1055">
        <w:rPr>
          <w:rFonts w:cs="Times New Roman"/>
          <w:szCs w:val="24"/>
        </w:rPr>
        <w:t>2 if the country has legal protection for whistle-blowers, 1 if it is recommended in a non-binding corporate governance code etc., 0 otherwise</w:t>
      </w:r>
      <w:r w:rsidR="00C80C40">
        <w:rPr>
          <w:rFonts w:cs="Times New Roman"/>
          <w:szCs w:val="24"/>
        </w:rPr>
        <w:t>.</w:t>
      </w:r>
      <w:r w:rsidR="000A710F">
        <w:rPr>
          <w:rFonts w:cs="Times New Roman"/>
          <w:szCs w:val="24"/>
        </w:rPr>
        <w:t xml:space="preserve"> Many accounting frauds are found after someone in the middle or lower management brings it to the attention, so a policy which favours more information disclosure would try to encourage it by all means possible. An insider with the correct knowledge is in the perfect position to balance this information asymmetry by becoming a whistle blower. However by this very act the whistle blower becomes a pariah and can also be legally prosecuted for disclosure of confidential information. Therefore it is imperative that </w:t>
      </w:r>
      <w:r w:rsidR="00245569">
        <w:rPr>
          <w:rFonts w:cs="Times New Roman"/>
          <w:szCs w:val="24"/>
        </w:rPr>
        <w:t>corporate governance codes accord legal protection to whistle blowers.</w:t>
      </w:r>
    </w:p>
    <w:p w14:paraId="644D0810" w14:textId="77777777" w:rsidR="003E11A9" w:rsidRPr="00AC1055" w:rsidRDefault="001A6C14" w:rsidP="00AC1055">
      <w:pPr>
        <w:spacing w:line="480" w:lineRule="auto"/>
        <w:rPr>
          <w:rFonts w:cs="Times New Roman"/>
          <w:b/>
          <w:szCs w:val="24"/>
          <w:u w:val="single"/>
        </w:rPr>
      </w:pPr>
      <w:r>
        <w:rPr>
          <w:rFonts w:cs="Times New Roman"/>
          <w:b/>
          <w:szCs w:val="24"/>
          <w:u w:val="single"/>
        </w:rPr>
        <w:t xml:space="preserve">2.3.3 </w:t>
      </w:r>
      <w:r w:rsidR="003E11A9" w:rsidRPr="00AC1055">
        <w:rPr>
          <w:rFonts w:cs="Times New Roman"/>
          <w:b/>
          <w:szCs w:val="24"/>
          <w:u w:val="single"/>
        </w:rPr>
        <w:t>Minority shareholders rights index</w:t>
      </w:r>
    </w:p>
    <w:p w14:paraId="7A3B41CC" w14:textId="0B592843" w:rsidR="003E11A9" w:rsidRPr="00AC1055" w:rsidRDefault="003E11A9" w:rsidP="00AC1055">
      <w:pPr>
        <w:numPr>
          <w:ilvl w:val="0"/>
          <w:numId w:val="4"/>
        </w:numPr>
        <w:spacing w:line="480" w:lineRule="auto"/>
        <w:contextualSpacing/>
        <w:rPr>
          <w:rFonts w:cs="Times New Roman"/>
          <w:szCs w:val="24"/>
        </w:rPr>
      </w:pPr>
      <w:r w:rsidRPr="00AC1055">
        <w:rPr>
          <w:rFonts w:cs="Times New Roman"/>
          <w:i/>
          <w:szCs w:val="24"/>
        </w:rPr>
        <w:t xml:space="preserve">Ability to influence </w:t>
      </w:r>
      <w:r w:rsidR="00C80C40">
        <w:rPr>
          <w:rFonts w:cs="Times New Roman"/>
          <w:i/>
          <w:szCs w:val="24"/>
        </w:rPr>
        <w:t>a</w:t>
      </w:r>
      <w:r w:rsidRPr="00AC1055">
        <w:rPr>
          <w:rFonts w:cs="Times New Roman"/>
          <w:i/>
          <w:szCs w:val="24"/>
        </w:rPr>
        <w:t>n electing member of board –</w:t>
      </w:r>
      <w:r w:rsidRPr="00AC1055">
        <w:rPr>
          <w:rFonts w:cs="Times New Roman"/>
          <w:szCs w:val="24"/>
        </w:rPr>
        <w:t xml:space="preserve"> 2 if cumulative voting is allowed, 1 if it is recommended but discretionary, 0 otherwise. </w:t>
      </w:r>
    </w:p>
    <w:p w14:paraId="4E583634" w14:textId="1692BEF2" w:rsidR="003E11A9" w:rsidRPr="00AC1055" w:rsidRDefault="003E11A9" w:rsidP="00AC1055">
      <w:pPr>
        <w:spacing w:line="480" w:lineRule="auto"/>
        <w:ind w:left="720"/>
        <w:contextualSpacing/>
        <w:rPr>
          <w:rFonts w:cs="Times New Roman"/>
          <w:szCs w:val="24"/>
        </w:rPr>
      </w:pPr>
      <w:r w:rsidRPr="00AC1055">
        <w:rPr>
          <w:rFonts w:cs="Times New Roman"/>
          <w:szCs w:val="24"/>
        </w:rPr>
        <w:t xml:space="preserve">Shareholders should be allowed to have effective control over </w:t>
      </w:r>
      <w:r w:rsidR="00C80C40">
        <w:rPr>
          <w:rFonts w:cs="Times New Roman"/>
          <w:szCs w:val="24"/>
        </w:rPr>
        <w:t xml:space="preserve">the </w:t>
      </w:r>
      <w:r w:rsidRPr="00AC1055">
        <w:rPr>
          <w:rFonts w:cs="Times New Roman"/>
          <w:szCs w:val="24"/>
        </w:rPr>
        <w:t xml:space="preserve">board by electing its members. Most jurisdictions offer shareholders </w:t>
      </w:r>
      <w:r w:rsidR="00C80C40">
        <w:rPr>
          <w:rFonts w:cs="Times New Roman"/>
          <w:szCs w:val="24"/>
        </w:rPr>
        <w:t xml:space="preserve">the opportunity </w:t>
      </w:r>
      <w:r w:rsidRPr="00AC1055">
        <w:rPr>
          <w:rFonts w:cs="Times New Roman"/>
          <w:szCs w:val="24"/>
        </w:rPr>
        <w:t xml:space="preserve">to elect members but in a shareholder primacy system cumulative voting would be allowed as minority shareholders would then be able to pool their votes for certain board candidates. </w:t>
      </w:r>
    </w:p>
    <w:p w14:paraId="292455EA" w14:textId="766A387A" w:rsidR="003E11A9" w:rsidRPr="00AC1055" w:rsidRDefault="003E11A9" w:rsidP="00AC1055">
      <w:pPr>
        <w:numPr>
          <w:ilvl w:val="0"/>
          <w:numId w:val="4"/>
        </w:numPr>
        <w:spacing w:line="480" w:lineRule="auto"/>
        <w:contextualSpacing/>
        <w:rPr>
          <w:rFonts w:cs="Times New Roman"/>
          <w:szCs w:val="24"/>
        </w:rPr>
      </w:pPr>
      <w:r w:rsidRPr="00AC1055">
        <w:rPr>
          <w:rFonts w:cs="Times New Roman"/>
          <w:i/>
          <w:szCs w:val="24"/>
        </w:rPr>
        <w:lastRenderedPageBreak/>
        <w:t>Prohibit abusive self-dealing -</w:t>
      </w:r>
      <w:r w:rsidRPr="00AC1055">
        <w:rPr>
          <w:rFonts w:cs="Times New Roman"/>
          <w:szCs w:val="24"/>
        </w:rPr>
        <w:t xml:space="preserve"> </w:t>
      </w:r>
      <w:r w:rsidRPr="00AC1055">
        <w:rPr>
          <w:rFonts w:eastAsia="Times New Roman" w:cs="Times New Roman"/>
          <w:szCs w:val="24"/>
          <w:lang w:eastAsia="en-GB"/>
        </w:rPr>
        <w:t xml:space="preserve">A score of 0 if the board of directors, the supervisory board or shareholders must vote and </w:t>
      </w:r>
      <w:r w:rsidR="00C80C40">
        <w:rPr>
          <w:rFonts w:eastAsia="Times New Roman" w:cs="Times New Roman"/>
          <w:szCs w:val="24"/>
          <w:lang w:eastAsia="en-GB"/>
        </w:rPr>
        <w:t xml:space="preserve">the </w:t>
      </w:r>
      <w:r w:rsidRPr="00AC1055">
        <w:rPr>
          <w:rFonts w:eastAsia="Times New Roman" w:cs="Times New Roman"/>
          <w:szCs w:val="24"/>
          <w:lang w:eastAsia="en-GB"/>
        </w:rPr>
        <w:t>self-dealing majority shareholder is permitted to vote</w:t>
      </w:r>
      <w:r w:rsidR="00C80C40">
        <w:rPr>
          <w:rFonts w:eastAsia="Times New Roman" w:cs="Times New Roman"/>
          <w:szCs w:val="24"/>
          <w:lang w:eastAsia="en-GB"/>
        </w:rPr>
        <w:t>,</w:t>
      </w:r>
      <w:r w:rsidRPr="00AC1055">
        <w:rPr>
          <w:rFonts w:eastAsia="Times New Roman" w:cs="Times New Roman"/>
          <w:szCs w:val="24"/>
          <w:lang w:eastAsia="en-GB"/>
        </w:rPr>
        <w:t xml:space="preserve"> 1 if it is recommended under a non-binding code that the board of directors or the supervisory board must vote and </w:t>
      </w:r>
      <w:r w:rsidR="00C80C40">
        <w:rPr>
          <w:rFonts w:eastAsia="Times New Roman" w:cs="Times New Roman"/>
          <w:szCs w:val="24"/>
          <w:lang w:eastAsia="en-GB"/>
        </w:rPr>
        <w:t xml:space="preserve">the </w:t>
      </w:r>
      <w:r w:rsidRPr="00AC1055">
        <w:rPr>
          <w:rFonts w:eastAsia="Times New Roman" w:cs="Times New Roman"/>
          <w:szCs w:val="24"/>
          <w:lang w:eastAsia="en-GB"/>
        </w:rPr>
        <w:t xml:space="preserve">self-dealing majority shareholder is not permitted to vote, 2 if it is mandatory that </w:t>
      </w:r>
      <w:r w:rsidR="00C80C40">
        <w:rPr>
          <w:rFonts w:eastAsia="Times New Roman" w:cs="Times New Roman"/>
          <w:szCs w:val="24"/>
          <w:lang w:eastAsia="en-GB"/>
        </w:rPr>
        <w:t xml:space="preserve">the </w:t>
      </w:r>
      <w:r w:rsidRPr="00AC1055">
        <w:rPr>
          <w:rFonts w:eastAsia="Times New Roman" w:cs="Times New Roman"/>
          <w:szCs w:val="24"/>
          <w:lang w:eastAsia="en-GB"/>
        </w:rPr>
        <w:t xml:space="preserve">self-dealing majority shareholder is not permitted to vote; 2 if shareholders must vote and </w:t>
      </w:r>
      <w:r w:rsidR="00C80C40">
        <w:rPr>
          <w:rFonts w:eastAsia="Times New Roman" w:cs="Times New Roman"/>
          <w:szCs w:val="24"/>
          <w:lang w:eastAsia="en-GB"/>
        </w:rPr>
        <w:t xml:space="preserve">the </w:t>
      </w:r>
      <w:r w:rsidRPr="00AC1055">
        <w:rPr>
          <w:rFonts w:eastAsia="Times New Roman" w:cs="Times New Roman"/>
          <w:szCs w:val="24"/>
          <w:lang w:eastAsia="en-GB"/>
        </w:rPr>
        <w:t>self-dealing majority shareholder is not permitted to vote, 1 if it is recommended, 0 otherwise. A score of 0 is assigned if no disclosure is required 1 if disclosure on the terms of the transaction is recommended, 2 if it is required; 2 if an external auditor</w:t>
      </w:r>
      <w:r w:rsidR="00C80C40">
        <w:rPr>
          <w:rFonts w:eastAsia="Times New Roman" w:cs="Times New Roman"/>
          <w:szCs w:val="24"/>
          <w:lang w:eastAsia="en-GB"/>
        </w:rPr>
        <w:t xml:space="preserve"> is required to</w:t>
      </w:r>
      <w:r w:rsidRPr="00AC1055">
        <w:rPr>
          <w:rFonts w:eastAsia="Times New Roman" w:cs="Times New Roman"/>
          <w:szCs w:val="24"/>
          <w:lang w:eastAsia="en-GB"/>
        </w:rPr>
        <w:t xml:space="preserve"> review the transaction before it takes place, 1 if it is recommended, 0 otherwise. </w:t>
      </w:r>
    </w:p>
    <w:p w14:paraId="7200B07F" w14:textId="43CA0A6F" w:rsidR="003E11A9" w:rsidRPr="00AC1055" w:rsidRDefault="003E11A9" w:rsidP="00AC1055">
      <w:pPr>
        <w:spacing w:line="480" w:lineRule="auto"/>
        <w:ind w:left="752"/>
        <w:contextualSpacing/>
        <w:rPr>
          <w:rFonts w:cs="Times New Roman"/>
          <w:szCs w:val="24"/>
        </w:rPr>
      </w:pPr>
      <w:r w:rsidRPr="00AC1055">
        <w:rPr>
          <w:rFonts w:cs="Times New Roman"/>
          <w:szCs w:val="24"/>
        </w:rPr>
        <w:t xml:space="preserve">A majority shareholder who is also a member of </w:t>
      </w:r>
      <w:r w:rsidR="00C80C40">
        <w:rPr>
          <w:rFonts w:cs="Times New Roman"/>
          <w:szCs w:val="24"/>
        </w:rPr>
        <w:t xml:space="preserve">the </w:t>
      </w:r>
      <w:r w:rsidRPr="00AC1055">
        <w:rPr>
          <w:rFonts w:cs="Times New Roman"/>
          <w:szCs w:val="24"/>
        </w:rPr>
        <w:t xml:space="preserve">board is at a distinct advantage </w:t>
      </w:r>
      <w:r w:rsidR="00C80C40">
        <w:rPr>
          <w:rFonts w:cs="Times New Roman"/>
          <w:szCs w:val="24"/>
        </w:rPr>
        <w:t xml:space="preserve">over </w:t>
      </w:r>
      <w:r w:rsidRPr="00AC1055">
        <w:rPr>
          <w:rFonts w:cs="Times New Roman"/>
          <w:szCs w:val="24"/>
        </w:rPr>
        <w:t xml:space="preserve">minority shareholders in terms of insider information and control. This may also lead to </w:t>
      </w:r>
      <w:r w:rsidR="00C80C40">
        <w:rPr>
          <w:rFonts w:cs="Times New Roman"/>
          <w:szCs w:val="24"/>
        </w:rPr>
        <w:t xml:space="preserve">the </w:t>
      </w:r>
      <w:r w:rsidRPr="00AC1055">
        <w:rPr>
          <w:rFonts w:cs="Times New Roman"/>
          <w:szCs w:val="24"/>
        </w:rPr>
        <w:t xml:space="preserve">diversion of company’s assets for personal gain and eventual expropriation. Therefore a shareholder wealth maximisation </w:t>
      </w:r>
      <w:r w:rsidR="00C80C40">
        <w:rPr>
          <w:rFonts w:cs="Times New Roman"/>
          <w:szCs w:val="24"/>
        </w:rPr>
        <w:t xml:space="preserve">of </w:t>
      </w:r>
      <w:r w:rsidRPr="00AC1055">
        <w:rPr>
          <w:rFonts w:cs="Times New Roman"/>
          <w:szCs w:val="24"/>
        </w:rPr>
        <w:t>corporate governance would call for strict regulation</w:t>
      </w:r>
      <w:r w:rsidR="00C80C40">
        <w:rPr>
          <w:rFonts w:cs="Times New Roman"/>
          <w:szCs w:val="24"/>
        </w:rPr>
        <w:t>s</w:t>
      </w:r>
      <w:r w:rsidRPr="00AC1055">
        <w:rPr>
          <w:rFonts w:cs="Times New Roman"/>
          <w:szCs w:val="24"/>
        </w:rPr>
        <w:t xml:space="preserve"> to limit any self-dealing</w:t>
      </w:r>
      <w:r w:rsidR="00C80C40">
        <w:rPr>
          <w:rFonts w:cs="Times New Roman"/>
          <w:szCs w:val="24"/>
        </w:rPr>
        <w:t>,</w:t>
      </w:r>
      <w:r w:rsidRPr="00AC1055">
        <w:rPr>
          <w:rFonts w:cs="Times New Roman"/>
          <w:szCs w:val="24"/>
        </w:rPr>
        <w:t xml:space="preserve"> putting in place checks and balances like NEDs, external auditors and even approval in shareholder meetings.</w:t>
      </w:r>
    </w:p>
    <w:p w14:paraId="1F7FE4B6" w14:textId="1BCF9E29" w:rsidR="003E11A9" w:rsidRPr="00AC1055" w:rsidRDefault="003E11A9" w:rsidP="00AC1055">
      <w:pPr>
        <w:numPr>
          <w:ilvl w:val="0"/>
          <w:numId w:val="4"/>
        </w:numPr>
        <w:spacing w:line="480" w:lineRule="auto"/>
        <w:contextualSpacing/>
        <w:rPr>
          <w:rFonts w:cs="Times New Roman"/>
          <w:szCs w:val="24"/>
        </w:rPr>
      </w:pPr>
      <w:r w:rsidRPr="00AC1055">
        <w:rPr>
          <w:rFonts w:cs="Times New Roman"/>
          <w:i/>
          <w:szCs w:val="24"/>
        </w:rPr>
        <w:t xml:space="preserve">Ability to take judicial recourse - </w:t>
      </w:r>
      <w:r w:rsidRPr="00AC1055">
        <w:rPr>
          <w:rFonts w:cs="Times New Roman"/>
          <w:szCs w:val="24"/>
        </w:rPr>
        <w:t xml:space="preserve">2 if direct or derivative suits are available for 100 shareholders or shareholders holding a minimum of 5-10% of </w:t>
      </w:r>
      <w:r w:rsidR="00C80C40">
        <w:rPr>
          <w:rFonts w:cs="Times New Roman"/>
          <w:szCs w:val="24"/>
        </w:rPr>
        <w:t xml:space="preserve">the </w:t>
      </w:r>
      <w:r w:rsidRPr="00AC1055">
        <w:rPr>
          <w:rFonts w:cs="Times New Roman"/>
          <w:szCs w:val="24"/>
        </w:rPr>
        <w:t xml:space="preserve">share capital, 1 if </w:t>
      </w:r>
      <w:r w:rsidR="00245569">
        <w:rPr>
          <w:rFonts w:cs="Times New Roman"/>
          <w:szCs w:val="24"/>
        </w:rPr>
        <w:t xml:space="preserve">between </w:t>
      </w:r>
      <w:r w:rsidRPr="00AC1055">
        <w:rPr>
          <w:rFonts w:cs="Times New Roman"/>
          <w:szCs w:val="24"/>
        </w:rPr>
        <w:t>10</w:t>
      </w:r>
      <w:r w:rsidR="00245569">
        <w:rPr>
          <w:rFonts w:cs="Times New Roman"/>
          <w:szCs w:val="24"/>
        </w:rPr>
        <w:t>%-25</w:t>
      </w:r>
      <w:r w:rsidRPr="00AC1055">
        <w:rPr>
          <w:rFonts w:cs="Times New Roman"/>
          <w:szCs w:val="24"/>
        </w:rPr>
        <w:t xml:space="preserve">% or </w:t>
      </w:r>
      <w:r w:rsidR="00245569">
        <w:rPr>
          <w:rFonts w:cs="Times New Roman"/>
          <w:szCs w:val="24"/>
        </w:rPr>
        <w:t>between</w:t>
      </w:r>
      <w:r w:rsidRPr="00AC1055">
        <w:rPr>
          <w:rFonts w:cs="Times New Roman"/>
          <w:szCs w:val="24"/>
        </w:rPr>
        <w:t xml:space="preserve"> 100</w:t>
      </w:r>
      <w:r w:rsidR="00245569">
        <w:rPr>
          <w:rFonts w:cs="Times New Roman"/>
          <w:szCs w:val="24"/>
        </w:rPr>
        <w:t>-250</w:t>
      </w:r>
      <w:r w:rsidRPr="00AC1055">
        <w:rPr>
          <w:rFonts w:cs="Times New Roman"/>
          <w:szCs w:val="24"/>
        </w:rPr>
        <w:t xml:space="preserve"> shareholders are required for a suit, 0 in other cases. </w:t>
      </w:r>
    </w:p>
    <w:p w14:paraId="0875D53D" w14:textId="55FF7603" w:rsidR="003E11A9" w:rsidRPr="00AC1055" w:rsidRDefault="003E11A9" w:rsidP="00AC1055">
      <w:pPr>
        <w:spacing w:line="480" w:lineRule="auto"/>
        <w:ind w:left="752"/>
        <w:contextualSpacing/>
        <w:rPr>
          <w:rFonts w:cs="Times New Roman"/>
          <w:szCs w:val="24"/>
        </w:rPr>
      </w:pPr>
      <w:r w:rsidRPr="00AC1055">
        <w:rPr>
          <w:rFonts w:cs="Times New Roman"/>
          <w:szCs w:val="24"/>
        </w:rPr>
        <w:t xml:space="preserve">Business judgment rule prevents courts </w:t>
      </w:r>
      <w:r w:rsidR="00BD2318">
        <w:rPr>
          <w:rFonts w:cs="Times New Roman"/>
          <w:szCs w:val="24"/>
        </w:rPr>
        <w:t>from interfering</w:t>
      </w:r>
      <w:r w:rsidRPr="00AC1055">
        <w:rPr>
          <w:rFonts w:cs="Times New Roman"/>
          <w:szCs w:val="24"/>
        </w:rPr>
        <w:t xml:space="preserve"> in the internal decision making process of a company</w:t>
      </w:r>
      <w:r w:rsidR="00BD2318">
        <w:rPr>
          <w:rFonts w:cs="Times New Roman"/>
          <w:szCs w:val="24"/>
        </w:rPr>
        <w:t>,</w:t>
      </w:r>
      <w:r w:rsidRPr="00AC1055">
        <w:rPr>
          <w:rFonts w:cs="Times New Roman"/>
          <w:szCs w:val="24"/>
        </w:rPr>
        <w:t xml:space="preserve"> unless a sizeable number of </w:t>
      </w:r>
      <w:r w:rsidRPr="00AC1055">
        <w:rPr>
          <w:rFonts w:cs="Times New Roman"/>
          <w:szCs w:val="24"/>
        </w:rPr>
        <w:lastRenderedPageBreak/>
        <w:t>shareholder</w:t>
      </w:r>
      <w:r w:rsidR="00BD2318">
        <w:rPr>
          <w:rFonts w:cs="Times New Roman"/>
          <w:szCs w:val="24"/>
        </w:rPr>
        <w:t>s</w:t>
      </w:r>
      <w:r w:rsidRPr="00AC1055">
        <w:rPr>
          <w:rFonts w:cs="Times New Roman"/>
          <w:szCs w:val="24"/>
        </w:rPr>
        <w:t xml:space="preserve"> approach the court. A pro</w:t>
      </w:r>
      <w:r w:rsidR="00BD2318">
        <w:rPr>
          <w:rFonts w:cs="Times New Roman"/>
          <w:szCs w:val="24"/>
        </w:rPr>
        <w:t>-</w:t>
      </w:r>
      <w:r w:rsidRPr="00AC1055">
        <w:rPr>
          <w:rFonts w:cs="Times New Roman"/>
          <w:szCs w:val="24"/>
        </w:rPr>
        <w:t xml:space="preserve">shareholder corporate governance policy would try to keep this threshold low so that even minority shareholders can approach </w:t>
      </w:r>
      <w:r w:rsidR="00BD2318">
        <w:rPr>
          <w:rFonts w:cs="Times New Roman"/>
          <w:szCs w:val="24"/>
        </w:rPr>
        <w:t xml:space="preserve">the </w:t>
      </w:r>
      <w:r w:rsidRPr="00AC1055">
        <w:rPr>
          <w:rFonts w:cs="Times New Roman"/>
          <w:szCs w:val="24"/>
        </w:rPr>
        <w:t xml:space="preserve">court to seek redressal in cases of oppression and mismanagement. Yet at the same time it should not be so low that the company has to always defend frivolous law suits. </w:t>
      </w:r>
    </w:p>
    <w:p w14:paraId="2B8244B3" w14:textId="77777777" w:rsidR="003E11A9" w:rsidRPr="00AC1055" w:rsidRDefault="001A6C14" w:rsidP="00AC1055">
      <w:pPr>
        <w:spacing w:line="480" w:lineRule="auto"/>
        <w:rPr>
          <w:rFonts w:cs="Times New Roman"/>
          <w:b/>
          <w:szCs w:val="24"/>
          <w:u w:val="single"/>
        </w:rPr>
      </w:pPr>
      <w:r>
        <w:rPr>
          <w:rFonts w:cs="Times New Roman"/>
          <w:b/>
          <w:szCs w:val="24"/>
          <w:u w:val="single"/>
        </w:rPr>
        <w:t xml:space="preserve">2.3.4 </w:t>
      </w:r>
      <w:r w:rsidR="003E11A9" w:rsidRPr="00AC1055">
        <w:rPr>
          <w:rFonts w:cs="Times New Roman"/>
          <w:b/>
          <w:szCs w:val="24"/>
          <w:u w:val="single"/>
        </w:rPr>
        <w:t xml:space="preserve">Anti-Stakeholder rights index </w:t>
      </w:r>
    </w:p>
    <w:p w14:paraId="3F926211" w14:textId="7F39917B" w:rsidR="003E11A9" w:rsidRPr="00AC1055" w:rsidRDefault="003E11A9" w:rsidP="00AC1055">
      <w:pPr>
        <w:numPr>
          <w:ilvl w:val="0"/>
          <w:numId w:val="3"/>
        </w:numPr>
        <w:spacing w:line="480" w:lineRule="auto"/>
        <w:contextualSpacing/>
        <w:rPr>
          <w:rFonts w:cs="Times New Roman"/>
          <w:szCs w:val="24"/>
        </w:rPr>
      </w:pPr>
      <w:r w:rsidRPr="00AC1055">
        <w:rPr>
          <w:rFonts w:cs="Times New Roman"/>
          <w:szCs w:val="24"/>
        </w:rPr>
        <w:t>0 if under a regulation stakeholder representation is found/encouraged in board, 1 if it is discouraged by a non-binding code or if there is no mention, 2 if it is prohibited by a binding regulation; 0 if under a regulation stakeholders or their representatives can be present/are encouraged to be present in shareholders meeting, 1 if it is discouraged by a non-binding code 2 if it is prohibited by a binding regulation and only shareholders can be present; 2 in</w:t>
      </w:r>
      <w:r w:rsidR="00BD2318">
        <w:rPr>
          <w:rFonts w:cs="Times New Roman"/>
          <w:szCs w:val="24"/>
        </w:rPr>
        <w:t xml:space="preserve"> the</w:t>
      </w:r>
      <w:r w:rsidRPr="00AC1055">
        <w:rPr>
          <w:rFonts w:cs="Times New Roman"/>
          <w:szCs w:val="24"/>
        </w:rPr>
        <w:t xml:space="preserve"> case of </w:t>
      </w:r>
      <w:r w:rsidR="00BD2318">
        <w:rPr>
          <w:rFonts w:cs="Times New Roman"/>
          <w:szCs w:val="24"/>
        </w:rPr>
        <w:t xml:space="preserve">a </w:t>
      </w:r>
      <w:r w:rsidRPr="00AC1055">
        <w:rPr>
          <w:rFonts w:cs="Times New Roman"/>
          <w:szCs w:val="24"/>
        </w:rPr>
        <w:t xml:space="preserve">unitary managing board where a majority of its members are directly elected by shareholders or are selected with the concurrence of the elected members of the board, 1 where under a non-binding code it is encouraged, 0 otherwise; 0 if stakeholders find remedy inside company law, 1 where there is a non-binding code </w:t>
      </w:r>
      <w:r w:rsidR="006C4549">
        <w:rPr>
          <w:rFonts w:cs="Times New Roman"/>
          <w:szCs w:val="24"/>
        </w:rPr>
        <w:t xml:space="preserve">under which </w:t>
      </w:r>
      <w:r w:rsidRPr="00AC1055">
        <w:rPr>
          <w:rFonts w:cs="Times New Roman"/>
          <w:szCs w:val="24"/>
        </w:rPr>
        <w:t xml:space="preserve">stakeholders other than shareholders </w:t>
      </w:r>
      <w:r w:rsidR="006C4549">
        <w:rPr>
          <w:rFonts w:cs="Times New Roman"/>
          <w:szCs w:val="24"/>
        </w:rPr>
        <w:t>are offered</w:t>
      </w:r>
      <w:r w:rsidRPr="00AC1055">
        <w:rPr>
          <w:rFonts w:cs="Times New Roman"/>
          <w:szCs w:val="24"/>
        </w:rPr>
        <w:t xml:space="preserve"> remedy outside of company law, 2 if the company code or the listing agreements do not have any provision for stakeholder remedies except for shareholders; 0 if the country has a code of ethics for directors which explicitly states that stakeholder rights come before any other shareholder rights, 1 if it is recommended that directors give due consideration to </w:t>
      </w:r>
      <w:r w:rsidR="00BD2318">
        <w:rPr>
          <w:rFonts w:cs="Times New Roman"/>
          <w:szCs w:val="24"/>
        </w:rPr>
        <w:t xml:space="preserve">the </w:t>
      </w:r>
      <w:r w:rsidRPr="00AC1055">
        <w:rPr>
          <w:rFonts w:cs="Times New Roman"/>
          <w:szCs w:val="24"/>
        </w:rPr>
        <w:t>rights of different stakeholder</w:t>
      </w:r>
      <w:r w:rsidR="00BD2318">
        <w:rPr>
          <w:rFonts w:cs="Times New Roman"/>
          <w:szCs w:val="24"/>
        </w:rPr>
        <w:t>s</w:t>
      </w:r>
      <w:r w:rsidRPr="00AC1055">
        <w:rPr>
          <w:rFonts w:cs="Times New Roman"/>
          <w:szCs w:val="24"/>
        </w:rPr>
        <w:t xml:space="preserve"> but does not state if one group has a higher claim than another, 2 if there is a mandatory code which mentions that shareholders have precedence over other stakeholders. </w:t>
      </w:r>
    </w:p>
    <w:p w14:paraId="6DC8F440" w14:textId="77777777" w:rsidR="003E11A9" w:rsidRPr="00AC1055" w:rsidRDefault="003E11A9" w:rsidP="00AC1055">
      <w:pPr>
        <w:spacing w:line="480" w:lineRule="auto"/>
        <w:ind w:left="720"/>
        <w:contextualSpacing/>
        <w:rPr>
          <w:rFonts w:cs="Times New Roman"/>
          <w:szCs w:val="24"/>
        </w:rPr>
      </w:pPr>
      <w:r w:rsidRPr="00AC1055">
        <w:rPr>
          <w:rFonts w:cs="Times New Roman"/>
          <w:szCs w:val="24"/>
        </w:rPr>
        <w:lastRenderedPageBreak/>
        <w:t xml:space="preserve">Shareholder primacy corporate governance demands that stakeholders like creditors, employees, suppliers and customers are not represented at any stage of the decision making process. They should find remedies outside the corporate law and corporate governance mechanism. Therefore a jurisdiction which mandates dual board structure with stakeholder representation would score lower in the overall assessment.  </w:t>
      </w:r>
    </w:p>
    <w:p w14:paraId="63759341" w14:textId="5E8F1A03" w:rsidR="00B765FA" w:rsidRPr="00A07A47" w:rsidRDefault="001A6C14" w:rsidP="00AC1055">
      <w:pPr>
        <w:spacing w:line="480" w:lineRule="auto"/>
        <w:rPr>
          <w:rFonts w:cs="Times New Roman"/>
          <w:b/>
          <w:sz w:val="26"/>
          <w:u w:val="single"/>
        </w:rPr>
      </w:pPr>
      <w:r>
        <w:rPr>
          <w:rFonts w:cs="Times New Roman"/>
          <w:b/>
          <w:sz w:val="26"/>
          <w:u w:val="single"/>
        </w:rPr>
        <w:t xml:space="preserve">2.4 </w:t>
      </w:r>
      <w:r w:rsidR="00B765FA" w:rsidRPr="00A07A47">
        <w:rPr>
          <w:rFonts w:cs="Times New Roman"/>
          <w:b/>
          <w:sz w:val="26"/>
          <w:u w:val="single"/>
        </w:rPr>
        <w:t>Dependent</w:t>
      </w:r>
      <w:r w:rsidR="00A07A47">
        <w:rPr>
          <w:rFonts w:cs="Times New Roman"/>
          <w:b/>
          <w:sz w:val="26"/>
          <w:u w:val="single"/>
        </w:rPr>
        <w:t>/outcome</w:t>
      </w:r>
      <w:r w:rsidR="00B765FA" w:rsidRPr="00A07A47">
        <w:rPr>
          <w:rFonts w:cs="Times New Roman"/>
          <w:b/>
          <w:sz w:val="26"/>
          <w:u w:val="single"/>
        </w:rPr>
        <w:t xml:space="preserve"> variable</w:t>
      </w:r>
      <w:r w:rsidR="00674CFA" w:rsidRPr="00A07A47">
        <w:rPr>
          <w:rFonts w:cs="Times New Roman"/>
          <w:b/>
          <w:sz w:val="26"/>
          <w:u w:val="single"/>
        </w:rPr>
        <w:t xml:space="preserve"> (Y)</w:t>
      </w:r>
    </w:p>
    <w:p w14:paraId="309F0BB7" w14:textId="7A5ACBDE" w:rsidR="00552D14" w:rsidRPr="00AC1055" w:rsidRDefault="00552D14" w:rsidP="00AC1055">
      <w:pPr>
        <w:spacing w:line="480" w:lineRule="auto"/>
        <w:rPr>
          <w:rFonts w:cs="Times New Roman"/>
        </w:rPr>
      </w:pPr>
      <w:r w:rsidRPr="00AC1055">
        <w:rPr>
          <w:rFonts w:cs="Times New Roman"/>
        </w:rPr>
        <w:t xml:space="preserve">The dependent variables are those which are affected by the independent variables, under this definition the dependent variable in </w:t>
      </w:r>
      <w:r w:rsidR="00BD2318">
        <w:rPr>
          <w:rFonts w:cs="Times New Roman"/>
        </w:rPr>
        <w:t>this</w:t>
      </w:r>
      <w:r w:rsidR="00BD2318" w:rsidRPr="00AC1055">
        <w:rPr>
          <w:rFonts w:cs="Times New Roman"/>
        </w:rPr>
        <w:t xml:space="preserve"> </w:t>
      </w:r>
      <w:r w:rsidRPr="00AC1055">
        <w:rPr>
          <w:rFonts w:cs="Times New Roman"/>
        </w:rPr>
        <w:t xml:space="preserve">case would be those economic and market parameters which are directly affected by changes in corporate governance regulations. Before those variables </w:t>
      </w:r>
      <w:r w:rsidR="00EA3C59">
        <w:rPr>
          <w:rFonts w:cs="Times New Roman"/>
        </w:rPr>
        <w:t>are discussed it is necessary to</w:t>
      </w:r>
      <w:r w:rsidRPr="00AC1055">
        <w:rPr>
          <w:rFonts w:cs="Times New Roman"/>
        </w:rPr>
        <w:t xml:space="preserve"> briefly review the dependent variables</w:t>
      </w:r>
      <w:r w:rsidR="007A58DD">
        <w:rPr>
          <w:rFonts w:cs="Times New Roman"/>
        </w:rPr>
        <w:t xml:space="preserve"> used by other researchers; La Porta et al.</w:t>
      </w:r>
      <w:r w:rsidRPr="00AC1055">
        <w:rPr>
          <w:rFonts w:cs="Times New Roman"/>
        </w:rPr>
        <w:t xml:space="preserve"> (1997)</w:t>
      </w:r>
      <w:r w:rsidR="00A64F2B">
        <w:rPr>
          <w:rStyle w:val="FootnoteReference"/>
          <w:rFonts w:cs="Times New Roman"/>
        </w:rPr>
        <w:footnoteReference w:id="56"/>
      </w:r>
      <w:r w:rsidRPr="00AC1055">
        <w:rPr>
          <w:rFonts w:cs="Times New Roman"/>
        </w:rPr>
        <w:t xml:space="preserve"> divided dependent variable</w:t>
      </w:r>
      <w:r w:rsidR="00EA3C59">
        <w:rPr>
          <w:rFonts w:cs="Times New Roman"/>
        </w:rPr>
        <w:t>s</w:t>
      </w:r>
      <w:r w:rsidRPr="00AC1055">
        <w:rPr>
          <w:rFonts w:cs="Times New Roman"/>
        </w:rPr>
        <w:t xml:space="preserve"> into measures of three categories – equity finance, debt finance and microeconomic data</w:t>
      </w:r>
      <w:r w:rsidR="00EB05CB" w:rsidRPr="00AC1055">
        <w:rPr>
          <w:rFonts w:cs="Times New Roman"/>
        </w:rPr>
        <w:t xml:space="preserve"> (based on </w:t>
      </w:r>
      <w:r w:rsidR="00EA3C59">
        <w:rPr>
          <w:rFonts w:cs="Times New Roman"/>
        </w:rPr>
        <w:t xml:space="preserve">the </w:t>
      </w:r>
      <w:proofErr w:type="spellStart"/>
      <w:r w:rsidR="00EB05CB" w:rsidRPr="00AC1055">
        <w:rPr>
          <w:rFonts w:cs="Times New Roman"/>
        </w:rPr>
        <w:t>WorldScope</w:t>
      </w:r>
      <w:proofErr w:type="spellEnd"/>
      <w:r w:rsidR="00EB05CB" w:rsidRPr="00AC1055">
        <w:rPr>
          <w:rFonts w:cs="Times New Roman"/>
        </w:rPr>
        <w:t xml:space="preserve"> database)</w:t>
      </w:r>
      <w:r w:rsidRPr="00AC1055">
        <w:rPr>
          <w:rFonts w:cs="Times New Roman"/>
        </w:rPr>
        <w:t>.</w:t>
      </w:r>
      <w:r w:rsidR="00EB05CB" w:rsidRPr="00AC1055">
        <w:rPr>
          <w:rFonts w:cs="Times New Roman"/>
        </w:rPr>
        <w:t xml:space="preserve"> As a measure of equity finance they </w:t>
      </w:r>
      <w:r w:rsidRPr="00AC1055">
        <w:rPr>
          <w:rFonts w:cs="Times New Roman"/>
        </w:rPr>
        <w:t xml:space="preserve">used </w:t>
      </w:r>
      <w:r w:rsidR="00EA3C59">
        <w:rPr>
          <w:rFonts w:cs="Times New Roman"/>
        </w:rPr>
        <w:t xml:space="preserve">the </w:t>
      </w:r>
      <w:r w:rsidRPr="00AC1055">
        <w:rPr>
          <w:rFonts w:cs="Times New Roman"/>
        </w:rPr>
        <w:t>ratio of stock market capitalisation to GNP</w:t>
      </w:r>
      <w:r w:rsidR="00EB05CB" w:rsidRPr="00AC1055">
        <w:rPr>
          <w:rFonts w:cs="Times New Roman"/>
        </w:rPr>
        <w:t xml:space="preserve">, </w:t>
      </w:r>
      <w:r w:rsidRPr="00AC1055">
        <w:rPr>
          <w:rFonts w:cs="Times New Roman"/>
        </w:rPr>
        <w:t>number of listed firms in relation to its population, number of initial public offerings (IPOs) in relation to its population</w:t>
      </w:r>
      <w:r w:rsidR="00EB05CB" w:rsidRPr="00AC1055">
        <w:rPr>
          <w:rFonts w:cs="Times New Roman"/>
        </w:rPr>
        <w:t xml:space="preserve">; as a measure of debt finance </w:t>
      </w:r>
      <w:r w:rsidR="00EA3C59">
        <w:rPr>
          <w:rFonts w:cs="Times New Roman"/>
        </w:rPr>
        <w:t xml:space="preserve">the </w:t>
      </w:r>
      <w:r w:rsidRPr="00AC1055">
        <w:rPr>
          <w:rFonts w:cs="Times New Roman"/>
        </w:rPr>
        <w:t xml:space="preserve">total bank debt of </w:t>
      </w:r>
      <w:r w:rsidR="00EA3C59">
        <w:rPr>
          <w:rFonts w:cs="Times New Roman"/>
        </w:rPr>
        <w:t xml:space="preserve">the </w:t>
      </w:r>
      <w:r w:rsidRPr="00AC1055">
        <w:rPr>
          <w:rFonts w:cs="Times New Roman"/>
        </w:rPr>
        <w:t xml:space="preserve">private sector and </w:t>
      </w:r>
      <w:r w:rsidR="00EA3C59">
        <w:rPr>
          <w:rFonts w:cs="Times New Roman"/>
        </w:rPr>
        <w:t xml:space="preserve">the </w:t>
      </w:r>
      <w:r w:rsidRPr="00AC1055">
        <w:rPr>
          <w:rFonts w:cs="Times New Roman"/>
        </w:rPr>
        <w:t>total face value of corporate bond</w:t>
      </w:r>
      <w:r w:rsidR="00EA3C59">
        <w:rPr>
          <w:rFonts w:cs="Times New Roman"/>
        </w:rPr>
        <w:t>s</w:t>
      </w:r>
      <w:r w:rsidR="00EB05CB" w:rsidRPr="00AC1055">
        <w:rPr>
          <w:rFonts w:cs="Times New Roman"/>
        </w:rPr>
        <w:t xml:space="preserve"> were used; and four parameters were used as a measure of microeconomic performance (limited to public companies): </w:t>
      </w:r>
      <w:r w:rsidR="00EA3C59">
        <w:rPr>
          <w:rFonts w:cs="Times New Roman"/>
        </w:rPr>
        <w:t xml:space="preserve">the </w:t>
      </w:r>
      <w:r w:rsidRPr="00AC1055">
        <w:rPr>
          <w:rFonts w:cs="Times New Roman"/>
        </w:rPr>
        <w:t xml:space="preserve">median ratio of market capitalisation to sales of companies, </w:t>
      </w:r>
      <w:r w:rsidR="00EA3C59">
        <w:rPr>
          <w:rFonts w:cs="Times New Roman"/>
        </w:rPr>
        <w:t xml:space="preserve">the </w:t>
      </w:r>
      <w:r w:rsidRPr="00AC1055">
        <w:rPr>
          <w:rFonts w:cs="Times New Roman"/>
        </w:rPr>
        <w:t xml:space="preserve">median ratio of market </w:t>
      </w:r>
      <w:r w:rsidR="00EB05CB" w:rsidRPr="00AC1055">
        <w:rPr>
          <w:rFonts w:cs="Times New Roman"/>
        </w:rPr>
        <w:t>capitalisation to cash flow,</w:t>
      </w:r>
      <w:r w:rsidRPr="00AC1055">
        <w:rPr>
          <w:rFonts w:cs="Times New Roman"/>
        </w:rPr>
        <w:t xml:space="preserve"> </w:t>
      </w:r>
      <w:r w:rsidR="00EA3C59">
        <w:rPr>
          <w:rFonts w:cs="Times New Roman"/>
        </w:rPr>
        <w:t xml:space="preserve">the </w:t>
      </w:r>
      <w:r w:rsidRPr="00AC1055">
        <w:rPr>
          <w:rFonts w:cs="Times New Roman"/>
        </w:rPr>
        <w:t xml:space="preserve">median ratio </w:t>
      </w:r>
      <w:r w:rsidR="00EB05CB" w:rsidRPr="00AC1055">
        <w:rPr>
          <w:rFonts w:cs="Times New Roman"/>
        </w:rPr>
        <w:t xml:space="preserve">of total debt to sales of all firms and </w:t>
      </w:r>
      <w:r w:rsidR="00EA3C59">
        <w:rPr>
          <w:rFonts w:cs="Times New Roman"/>
        </w:rPr>
        <w:t xml:space="preserve">the </w:t>
      </w:r>
      <w:r w:rsidR="00EB05CB" w:rsidRPr="00AC1055">
        <w:rPr>
          <w:rFonts w:cs="Times New Roman"/>
        </w:rPr>
        <w:t>median ratio of total debt to cash flo</w:t>
      </w:r>
      <w:r w:rsidR="007A58DD">
        <w:rPr>
          <w:rFonts w:cs="Times New Roman"/>
        </w:rPr>
        <w:t>w. La Porta, Lopez and Shleifer (2006)</w:t>
      </w:r>
      <w:r w:rsidR="00A64F2B">
        <w:rPr>
          <w:rStyle w:val="FootnoteReference"/>
          <w:rFonts w:cs="Times New Roman"/>
        </w:rPr>
        <w:footnoteReference w:id="57"/>
      </w:r>
      <w:r w:rsidR="00A174D3" w:rsidRPr="00AC1055">
        <w:rPr>
          <w:rFonts w:cs="Times New Roman"/>
        </w:rPr>
        <w:t xml:space="preserve"> refreshed their stock market development parameters to adjust with the changes from public enforcement to private enforcement. They use seven proxies </w:t>
      </w:r>
      <w:r w:rsidR="00A174D3" w:rsidRPr="00AC1055">
        <w:rPr>
          <w:rFonts w:cs="Times New Roman"/>
        </w:rPr>
        <w:lastRenderedPageBreak/>
        <w:t xml:space="preserve">to quantify </w:t>
      </w:r>
      <w:r w:rsidR="00EA3C59">
        <w:rPr>
          <w:rFonts w:cs="Times New Roman"/>
        </w:rPr>
        <w:t xml:space="preserve">the </w:t>
      </w:r>
      <w:r w:rsidR="00A174D3" w:rsidRPr="00AC1055">
        <w:rPr>
          <w:rFonts w:cs="Times New Roman"/>
        </w:rPr>
        <w:t xml:space="preserve">development of </w:t>
      </w:r>
      <w:r w:rsidR="00EA3C59">
        <w:rPr>
          <w:rFonts w:cs="Times New Roman"/>
        </w:rPr>
        <w:t xml:space="preserve">the </w:t>
      </w:r>
      <w:r w:rsidR="00A174D3" w:rsidRPr="00AC1055">
        <w:rPr>
          <w:rFonts w:cs="Times New Roman"/>
        </w:rPr>
        <w:t xml:space="preserve">financial market – the first variable was ‘ratio of stock market capitalization to gross domestic product (GDP) scaled by the fraction of the stock market held by outside investors’; the second variable was </w:t>
      </w:r>
      <w:r w:rsidR="00EA3C59">
        <w:rPr>
          <w:rFonts w:cs="Times New Roman"/>
        </w:rPr>
        <w:t xml:space="preserve">a </w:t>
      </w:r>
      <w:r w:rsidR="00A174D3" w:rsidRPr="00AC1055">
        <w:rPr>
          <w:rFonts w:cs="Times New Roman"/>
        </w:rPr>
        <w:t xml:space="preserve">log of </w:t>
      </w:r>
      <w:r w:rsidR="00EA3C59">
        <w:rPr>
          <w:rFonts w:cs="Times New Roman"/>
        </w:rPr>
        <w:t xml:space="preserve">the </w:t>
      </w:r>
      <w:r w:rsidR="00A174D3" w:rsidRPr="00AC1055">
        <w:rPr>
          <w:rFonts w:cs="Times New Roman"/>
        </w:rPr>
        <w:t>‘number of domestic publicly traded firms in each country relative to its population’; the third variable was ‘the value of initial public offerings in each country relative to its GDP’; the fourth variable sought to reflect the access to equity for new and medium-sized firms</w:t>
      </w:r>
      <w:r w:rsidR="0040172D" w:rsidRPr="00AC1055">
        <w:rPr>
          <w:rFonts w:cs="Times New Roman"/>
        </w:rPr>
        <w:t xml:space="preserve"> from securities market</w:t>
      </w:r>
      <w:r w:rsidR="00A174D3" w:rsidRPr="00AC1055">
        <w:rPr>
          <w:rFonts w:cs="Times New Roman"/>
        </w:rPr>
        <w:t>, it was a</w:t>
      </w:r>
      <w:r w:rsidR="0040172D" w:rsidRPr="00AC1055">
        <w:rPr>
          <w:rFonts w:cs="Times New Roman"/>
        </w:rPr>
        <w:t>n</w:t>
      </w:r>
      <w:r w:rsidR="00A174D3" w:rsidRPr="00AC1055">
        <w:rPr>
          <w:rFonts w:cs="Times New Roman"/>
        </w:rPr>
        <w:t xml:space="preserve"> index</w:t>
      </w:r>
      <w:r w:rsidR="0040172D" w:rsidRPr="00AC1055">
        <w:rPr>
          <w:rFonts w:cs="Times New Roman"/>
        </w:rPr>
        <w:t xml:space="preserve"> (scaled from 1-7)</w:t>
      </w:r>
      <w:r w:rsidR="00A174D3" w:rsidRPr="00AC1055">
        <w:rPr>
          <w:rFonts w:cs="Times New Roman"/>
        </w:rPr>
        <w:t xml:space="preserve"> </w:t>
      </w:r>
      <w:r w:rsidR="0040172D" w:rsidRPr="00AC1055">
        <w:rPr>
          <w:rFonts w:cs="Times New Roman"/>
        </w:rPr>
        <w:t xml:space="preserve">compiled by </w:t>
      </w:r>
      <w:r w:rsidR="00EA3C59">
        <w:rPr>
          <w:rFonts w:cs="Times New Roman"/>
        </w:rPr>
        <w:t xml:space="preserve">the </w:t>
      </w:r>
      <w:r w:rsidR="0040172D" w:rsidRPr="00AC1055">
        <w:rPr>
          <w:rFonts w:cs="Times New Roman"/>
        </w:rPr>
        <w:t>Global Competitiveness Repo</w:t>
      </w:r>
      <w:r w:rsidR="003E1F26">
        <w:rPr>
          <w:rFonts w:cs="Times New Roman"/>
        </w:rPr>
        <w:t>rt 1999</w:t>
      </w:r>
      <w:r w:rsidR="004218EA">
        <w:rPr>
          <w:rStyle w:val="FootnoteReference"/>
          <w:rFonts w:cs="Times New Roman"/>
        </w:rPr>
        <w:footnoteReference w:id="58"/>
      </w:r>
      <w:r w:rsidR="0040172D" w:rsidRPr="00AC1055">
        <w:rPr>
          <w:rFonts w:cs="Times New Roman"/>
        </w:rPr>
        <w:t xml:space="preserve"> from interviews and surveys with business executives in various countries; the fifth variable was block premium and acted as a proxy for private benefits for control, the researchers computed it by ‘taking the difference between the price per share paid for the control block and the exchange price 2 days after the announcement of the control transaction, dividing by the exchange price and multiplying by the ratio of </w:t>
      </w:r>
      <w:r w:rsidR="0017517F" w:rsidRPr="00AC1055">
        <w:rPr>
          <w:rFonts w:cs="Times New Roman"/>
        </w:rPr>
        <w:t>the proportion of cash f</w:t>
      </w:r>
      <w:r w:rsidR="0040172D" w:rsidRPr="00AC1055">
        <w:rPr>
          <w:rFonts w:cs="Times New Roman"/>
        </w:rPr>
        <w:t xml:space="preserve">low rights represented in the controlling block’; the sixth variable looked at </w:t>
      </w:r>
      <w:r w:rsidR="00EA3C59">
        <w:rPr>
          <w:rFonts w:cs="Times New Roman"/>
        </w:rPr>
        <w:t xml:space="preserve">the </w:t>
      </w:r>
      <w:r w:rsidR="0040172D" w:rsidRPr="00AC1055">
        <w:rPr>
          <w:rFonts w:cs="Times New Roman"/>
        </w:rPr>
        <w:t>‘average percentage of common shares owned by the top three shareholders in the 10 largest nonfinancial, privately owned domestic firms in a given country’, it acted as a proxy for ownership concentration; the seventh variable measured ‘the ratio of traded volume to GDP’ and acted as a proxy for liquidity.</w:t>
      </w:r>
      <w:r w:rsidR="004218EA">
        <w:rPr>
          <w:rFonts w:cs="Times New Roman"/>
        </w:rPr>
        <w:t xml:space="preserve"> </w:t>
      </w:r>
      <w:proofErr w:type="spellStart"/>
      <w:r w:rsidR="004218EA">
        <w:rPr>
          <w:rFonts w:cs="Times New Roman"/>
        </w:rPr>
        <w:t>Djankov</w:t>
      </w:r>
      <w:proofErr w:type="spellEnd"/>
      <w:r w:rsidR="004218EA">
        <w:rPr>
          <w:rFonts w:cs="Times New Roman"/>
        </w:rPr>
        <w:t xml:space="preserve"> et al.</w:t>
      </w:r>
      <w:r w:rsidR="00A64F2B">
        <w:rPr>
          <w:rStyle w:val="FootnoteReference"/>
          <w:rFonts w:cs="Times New Roman"/>
        </w:rPr>
        <w:footnoteReference w:id="59"/>
      </w:r>
      <w:r w:rsidR="0017517F" w:rsidRPr="00AC1055">
        <w:rPr>
          <w:rFonts w:cs="Times New Roman"/>
        </w:rPr>
        <w:t xml:space="preserve"> used six of the dependent variables used by La Porta, Lopez and Shleifer (2006)</w:t>
      </w:r>
      <w:r w:rsidR="00A64F2B">
        <w:rPr>
          <w:rStyle w:val="FootnoteReference"/>
          <w:rFonts w:cs="Times New Roman"/>
        </w:rPr>
        <w:footnoteReference w:id="60"/>
      </w:r>
      <w:r w:rsidR="0017517F" w:rsidRPr="00AC1055">
        <w:rPr>
          <w:rFonts w:cs="Times New Roman"/>
        </w:rPr>
        <w:t xml:space="preserve"> and dropped the access to equity index.</w:t>
      </w:r>
      <w:r w:rsidR="00A153DE" w:rsidRPr="00AC1055">
        <w:rPr>
          <w:rFonts w:cs="Times New Roman"/>
        </w:rPr>
        <w:t xml:space="preserve"> Armour</w:t>
      </w:r>
      <w:r w:rsidR="00A64F2B">
        <w:rPr>
          <w:rFonts w:cs="Times New Roman"/>
        </w:rPr>
        <w:t>, Deakin</w:t>
      </w:r>
      <w:r w:rsidR="00A153DE" w:rsidRPr="00AC1055">
        <w:rPr>
          <w:rFonts w:cs="Times New Roman"/>
        </w:rPr>
        <w:t xml:space="preserve"> et al. (2008)</w:t>
      </w:r>
      <w:r w:rsidR="00A64F2B">
        <w:rPr>
          <w:rStyle w:val="FootnoteReference"/>
          <w:rFonts w:cs="Times New Roman"/>
        </w:rPr>
        <w:footnoteReference w:id="61"/>
      </w:r>
      <w:r w:rsidR="00A153DE" w:rsidRPr="00AC1055">
        <w:rPr>
          <w:rFonts w:cs="Times New Roman"/>
        </w:rPr>
        <w:t xml:space="preserve"> </w:t>
      </w:r>
      <w:r w:rsidR="000842F4" w:rsidRPr="00AC1055">
        <w:rPr>
          <w:rFonts w:cs="Times New Roman"/>
        </w:rPr>
        <w:t xml:space="preserve">similarly </w:t>
      </w:r>
      <w:r w:rsidR="00A153DE" w:rsidRPr="00AC1055">
        <w:rPr>
          <w:rFonts w:cs="Times New Roman"/>
        </w:rPr>
        <w:t xml:space="preserve">look at four time series financial development indicators – stock market capitalisation as a percentage </w:t>
      </w:r>
      <w:r w:rsidR="00A153DE" w:rsidRPr="00AC1055">
        <w:rPr>
          <w:rFonts w:cs="Times New Roman"/>
        </w:rPr>
        <w:lastRenderedPageBreak/>
        <w:t xml:space="preserve">of GDP, the value of stock trading as a percentage of GDP, the stock market turnover ratio and also the number of domestic firms listed in the stock market. </w:t>
      </w:r>
    </w:p>
    <w:p w14:paraId="3FC1309A" w14:textId="20E280EC" w:rsidR="00B765FA" w:rsidRPr="00AC1055" w:rsidRDefault="000842F4" w:rsidP="00AC1055">
      <w:pPr>
        <w:spacing w:line="480" w:lineRule="auto"/>
        <w:rPr>
          <w:rFonts w:cs="Times New Roman"/>
        </w:rPr>
      </w:pPr>
      <w:r w:rsidRPr="00AC1055">
        <w:rPr>
          <w:rFonts w:cs="Times New Roman"/>
        </w:rPr>
        <w:t xml:space="preserve">On the basis of </w:t>
      </w:r>
      <w:r w:rsidR="004218EA">
        <w:rPr>
          <w:rFonts w:cs="Times New Roman"/>
        </w:rPr>
        <w:t>the available literature the researcher has</w:t>
      </w:r>
      <w:r w:rsidRPr="00AC1055">
        <w:rPr>
          <w:rFonts w:cs="Times New Roman"/>
        </w:rPr>
        <w:t xml:space="preserve"> selected six indicators which act as a measure for financial market development. The aim of this section would be to show that there is a direct theoretical (or established) connection between corporate governance and these dependent variables.</w:t>
      </w:r>
    </w:p>
    <w:p w14:paraId="48379FB7" w14:textId="2C789C14" w:rsidR="00B765FA" w:rsidRPr="00AC1055" w:rsidRDefault="00B765FA" w:rsidP="00AC1055">
      <w:pPr>
        <w:spacing w:line="480" w:lineRule="auto"/>
        <w:rPr>
          <w:rFonts w:cs="Times New Roman"/>
        </w:rPr>
      </w:pPr>
      <w:r w:rsidRPr="00AC1055">
        <w:rPr>
          <w:rFonts w:cs="Times New Roman"/>
          <w:b/>
        </w:rPr>
        <w:t>F</w:t>
      </w:r>
      <w:r w:rsidR="00582BF6" w:rsidRPr="00AC1055">
        <w:rPr>
          <w:rFonts w:cs="Times New Roman"/>
          <w:b/>
        </w:rPr>
        <w:t xml:space="preserve">oreign </w:t>
      </w:r>
      <w:r w:rsidRPr="00AC1055">
        <w:rPr>
          <w:rFonts w:cs="Times New Roman"/>
          <w:b/>
        </w:rPr>
        <w:t>D</w:t>
      </w:r>
      <w:r w:rsidR="00582BF6" w:rsidRPr="00AC1055">
        <w:rPr>
          <w:rFonts w:cs="Times New Roman"/>
          <w:b/>
        </w:rPr>
        <w:t xml:space="preserve">irect </w:t>
      </w:r>
      <w:r w:rsidRPr="00AC1055">
        <w:rPr>
          <w:rFonts w:cs="Times New Roman"/>
          <w:b/>
        </w:rPr>
        <w:t>I</w:t>
      </w:r>
      <w:r w:rsidR="00582BF6" w:rsidRPr="00AC1055">
        <w:rPr>
          <w:rFonts w:cs="Times New Roman"/>
          <w:b/>
        </w:rPr>
        <w:t>nvestment (FDI)</w:t>
      </w:r>
      <w:r w:rsidR="000842F4" w:rsidRPr="00AC1055">
        <w:rPr>
          <w:rFonts w:cs="Times New Roman"/>
        </w:rPr>
        <w:t xml:space="preserve"> – International Monetary Fund defines net FDI as ‘the net inflows of investment to acquire a lasting management interest (10 percent or more of voting stock) in an enterprise operating in an economy other than that of the investor. It is the sum of equity capital, reinvestment of earnings, other long-term capital, and short-term capital as shown in the balance of payments.’</w:t>
      </w:r>
      <w:r w:rsidR="00582BF6" w:rsidRPr="00AC1055">
        <w:rPr>
          <w:rStyle w:val="FootnoteReference"/>
          <w:rFonts w:cs="Times New Roman"/>
        </w:rPr>
        <w:footnoteReference w:id="62"/>
      </w:r>
      <w:r w:rsidR="00582BF6" w:rsidRPr="00AC1055">
        <w:rPr>
          <w:rFonts w:cs="Times New Roman"/>
        </w:rPr>
        <w:t xml:space="preserve"> There is a wide array of literature which empirically connects improvement in corporate governance with an increase in FDI.</w:t>
      </w:r>
      <w:r w:rsidR="00582BF6" w:rsidRPr="00AC1055">
        <w:rPr>
          <w:rStyle w:val="FootnoteReference"/>
          <w:rFonts w:cs="Times New Roman"/>
        </w:rPr>
        <w:footnoteReference w:id="63"/>
      </w:r>
      <w:r w:rsidR="00582BF6" w:rsidRPr="00AC1055">
        <w:rPr>
          <w:rFonts w:cs="Times New Roman"/>
        </w:rPr>
        <w:t xml:space="preserve"> The rationale is </w:t>
      </w:r>
      <w:r w:rsidR="00EA3C59">
        <w:rPr>
          <w:rFonts w:cs="Times New Roman"/>
        </w:rPr>
        <w:t xml:space="preserve">that </w:t>
      </w:r>
      <w:r w:rsidR="00582BF6" w:rsidRPr="00AC1055">
        <w:rPr>
          <w:rFonts w:cs="Times New Roman"/>
        </w:rPr>
        <w:t>a country which adopts a stronger corporate governance regime (which provides higher investor protections) gives a competitive advantage to that country as ‘Investors “cherry pick” the countries to which they allocate capital, based on the strength of investor protections. After countries undertake corporate governance reforms, they are more likely to draw in foreign investments.’</w:t>
      </w:r>
      <w:r w:rsidR="00582BF6" w:rsidRPr="00AC1055">
        <w:rPr>
          <w:rStyle w:val="FootnoteReference"/>
          <w:rFonts w:cs="Times New Roman"/>
        </w:rPr>
        <w:footnoteReference w:id="64"/>
      </w:r>
      <w:r w:rsidR="00582BF6" w:rsidRPr="00AC1055">
        <w:rPr>
          <w:rFonts w:cs="Times New Roman"/>
        </w:rPr>
        <w:t xml:space="preserve"> </w:t>
      </w:r>
      <w:r w:rsidR="001D5E25" w:rsidRPr="00AC1055">
        <w:rPr>
          <w:rFonts w:cs="Times New Roman"/>
        </w:rPr>
        <w:t xml:space="preserve">Fazio and </w:t>
      </w:r>
      <w:proofErr w:type="spellStart"/>
      <w:r w:rsidR="001D5E25" w:rsidRPr="00AC1055">
        <w:rPr>
          <w:rFonts w:cs="Times New Roman"/>
        </w:rPr>
        <w:t>Talamo</w:t>
      </w:r>
      <w:proofErr w:type="spellEnd"/>
      <w:r w:rsidR="001D5E25" w:rsidRPr="00AC1055">
        <w:rPr>
          <w:rFonts w:cs="Times New Roman"/>
        </w:rPr>
        <w:t xml:space="preserve"> investigated this transmission channel using a ‘two-stage version of the gravity model and investigate[d] the determinants of FDI flows with special reference to the institutional factors, after controlling for a number of traditional variables and potential incentives, such as </w:t>
      </w:r>
      <w:r w:rsidR="001D5E25" w:rsidRPr="00AC1055">
        <w:rPr>
          <w:rFonts w:cs="Times New Roman"/>
        </w:rPr>
        <w:lastRenderedPageBreak/>
        <w:t>wages and taxes.’</w:t>
      </w:r>
      <w:r w:rsidR="001D5E25" w:rsidRPr="00AC1055">
        <w:rPr>
          <w:rStyle w:val="FootnoteReference"/>
          <w:rFonts w:cs="Times New Roman"/>
        </w:rPr>
        <w:footnoteReference w:id="65"/>
      </w:r>
      <w:r w:rsidR="001D5E25" w:rsidRPr="00AC1055">
        <w:rPr>
          <w:rFonts w:cs="Times New Roman"/>
        </w:rPr>
        <w:t xml:space="preserve"> They found that robust corporate governance is an important factor in attracting FDI.</w:t>
      </w:r>
      <w:r w:rsidR="001D5E25" w:rsidRPr="00AC1055">
        <w:rPr>
          <w:rStyle w:val="FootnoteReference"/>
          <w:rFonts w:cs="Times New Roman"/>
        </w:rPr>
        <w:footnoteReference w:id="66"/>
      </w:r>
    </w:p>
    <w:p w14:paraId="72C7D011" w14:textId="77777777" w:rsidR="00DD16A8" w:rsidRDefault="00DD16A8" w:rsidP="00AC1055">
      <w:pPr>
        <w:spacing w:line="480" w:lineRule="auto"/>
        <w:rPr>
          <w:rFonts w:cs="Times New Roman"/>
          <w:b/>
        </w:rPr>
      </w:pPr>
    </w:p>
    <w:p w14:paraId="7BB5AF0D" w14:textId="77777777" w:rsidR="00DD16A8" w:rsidRDefault="00B765FA" w:rsidP="00AC1055">
      <w:pPr>
        <w:spacing w:line="480" w:lineRule="auto"/>
        <w:rPr>
          <w:rFonts w:cs="Times New Roman"/>
        </w:rPr>
      </w:pPr>
      <w:r w:rsidRPr="00AC1055">
        <w:rPr>
          <w:rFonts w:cs="Times New Roman"/>
          <w:b/>
        </w:rPr>
        <w:t xml:space="preserve">Market capitalisation </w:t>
      </w:r>
      <w:r w:rsidR="00A153DE" w:rsidRPr="00AC1055">
        <w:rPr>
          <w:rFonts w:cs="Times New Roman"/>
          <w:b/>
        </w:rPr>
        <w:t xml:space="preserve">of listed companies </w:t>
      </w:r>
      <w:r w:rsidR="00C8558A" w:rsidRPr="00AC1055">
        <w:rPr>
          <w:rFonts w:cs="Times New Roman"/>
          <w:b/>
        </w:rPr>
        <w:t>–</w:t>
      </w:r>
      <w:r w:rsidR="00120400" w:rsidRPr="00AC1055">
        <w:rPr>
          <w:rFonts w:cs="Times New Roman"/>
          <w:b/>
        </w:rPr>
        <w:t xml:space="preserve"> </w:t>
      </w:r>
      <w:r w:rsidR="00C8558A" w:rsidRPr="00AC1055">
        <w:rPr>
          <w:rFonts w:cs="Times New Roman"/>
        </w:rPr>
        <w:t>Standard &amp; Poor</w:t>
      </w:r>
      <w:r w:rsidR="009A4FC2" w:rsidRPr="00AC1055">
        <w:rPr>
          <w:rFonts w:cs="Times New Roman"/>
        </w:rPr>
        <w:t xml:space="preserve"> defines</w:t>
      </w:r>
      <w:r w:rsidR="00C8558A" w:rsidRPr="00AC1055">
        <w:rPr>
          <w:rFonts w:cs="Times New Roman"/>
        </w:rPr>
        <w:t xml:space="preserve"> market capitalisation or market value as ‘the share price times the number of shares outstanding. Listed domestic companies are the domestically incorporated companies listed on the country's stock exchanges at the end of the year.’</w:t>
      </w:r>
      <w:r w:rsidR="00C8558A" w:rsidRPr="00AC1055">
        <w:rPr>
          <w:rStyle w:val="FootnoteReference"/>
          <w:rFonts w:cs="Times New Roman"/>
        </w:rPr>
        <w:footnoteReference w:id="67"/>
      </w:r>
      <w:r w:rsidR="00C8558A" w:rsidRPr="00AC1055">
        <w:rPr>
          <w:rFonts w:cs="Times New Roman"/>
        </w:rPr>
        <w:t xml:space="preserve"> </w:t>
      </w:r>
      <w:r w:rsidR="006C7EB6" w:rsidRPr="00AC1055">
        <w:rPr>
          <w:rFonts w:cs="Times New Roman"/>
        </w:rPr>
        <w:t xml:space="preserve">The rationale behind linking </w:t>
      </w:r>
      <w:r w:rsidR="009A4FC2" w:rsidRPr="00AC1055">
        <w:rPr>
          <w:rFonts w:cs="Times New Roman"/>
        </w:rPr>
        <w:t xml:space="preserve">shareholder primacy </w:t>
      </w:r>
      <w:r w:rsidR="006C7EB6" w:rsidRPr="00AC1055">
        <w:rPr>
          <w:rFonts w:cs="Times New Roman"/>
        </w:rPr>
        <w:t>corporate governance with market capitalisation is the empirical evidence that ‘firms with stronger shareholder rights had higher firm value, higher profits, higher sales growth, lower capital expenditures, and made fewer corporate acquisitions’</w:t>
      </w:r>
      <w:r w:rsidR="006C7EB6" w:rsidRPr="00AC1055">
        <w:rPr>
          <w:rStyle w:val="FootnoteReference"/>
          <w:rFonts w:cs="Times New Roman"/>
        </w:rPr>
        <w:footnoteReference w:id="68"/>
      </w:r>
      <w:r w:rsidR="006C7EB6" w:rsidRPr="00AC1055">
        <w:rPr>
          <w:rFonts w:cs="Times New Roman"/>
        </w:rPr>
        <w:t xml:space="preserve"> this </w:t>
      </w:r>
      <w:r w:rsidR="009A4FC2" w:rsidRPr="00AC1055">
        <w:rPr>
          <w:rFonts w:cs="Times New Roman"/>
        </w:rPr>
        <w:t>‘enhances the investors’ optimism in the firm’s future cash-flow and growth prospects’</w:t>
      </w:r>
      <w:r w:rsidR="009A4FC2" w:rsidRPr="00AC1055">
        <w:rPr>
          <w:rStyle w:val="FootnoteReference"/>
          <w:rFonts w:cs="Times New Roman"/>
        </w:rPr>
        <w:footnoteReference w:id="69"/>
      </w:r>
      <w:r w:rsidR="009A4FC2" w:rsidRPr="00AC1055">
        <w:rPr>
          <w:rFonts w:cs="Times New Roman"/>
        </w:rPr>
        <w:t xml:space="preserve"> leading to </w:t>
      </w:r>
      <w:r w:rsidR="006C7EB6" w:rsidRPr="00AC1055">
        <w:rPr>
          <w:rFonts w:cs="Times New Roman"/>
        </w:rPr>
        <w:t>higher share prices and therefore higher market capitalisation.</w:t>
      </w:r>
      <w:r w:rsidR="006C7EB6" w:rsidRPr="00AC1055">
        <w:rPr>
          <w:rStyle w:val="FootnoteReference"/>
          <w:rFonts w:cs="Times New Roman"/>
        </w:rPr>
        <w:footnoteReference w:id="70"/>
      </w:r>
    </w:p>
    <w:p w14:paraId="03498D99" w14:textId="7E3DF16D" w:rsidR="00A153DE" w:rsidRPr="00AC1055" w:rsidRDefault="00B765FA" w:rsidP="00AC1055">
      <w:pPr>
        <w:spacing w:line="480" w:lineRule="auto"/>
        <w:rPr>
          <w:rFonts w:cs="Times New Roman"/>
        </w:rPr>
      </w:pPr>
      <w:r w:rsidRPr="00AC1055">
        <w:rPr>
          <w:rFonts w:cs="Times New Roman"/>
          <w:b/>
        </w:rPr>
        <w:lastRenderedPageBreak/>
        <w:t>Number of IPOs</w:t>
      </w:r>
      <w:r w:rsidR="009A4FC2" w:rsidRPr="00AC1055">
        <w:rPr>
          <w:rFonts w:cs="Times New Roman"/>
          <w:b/>
        </w:rPr>
        <w:t xml:space="preserve"> </w:t>
      </w:r>
      <w:r w:rsidR="007F06A8" w:rsidRPr="00AC1055">
        <w:rPr>
          <w:rFonts w:cs="Times New Roman"/>
          <w:b/>
        </w:rPr>
        <w:t>–</w:t>
      </w:r>
      <w:r w:rsidR="009A4FC2" w:rsidRPr="00AC1055">
        <w:rPr>
          <w:rFonts w:cs="Times New Roman"/>
          <w:b/>
        </w:rPr>
        <w:t xml:space="preserve"> </w:t>
      </w:r>
      <w:r w:rsidR="007F06A8" w:rsidRPr="00AC1055">
        <w:rPr>
          <w:rFonts w:cs="Times New Roman"/>
        </w:rPr>
        <w:t xml:space="preserve">Initial public offering generally allows the shares of a company to be </w:t>
      </w:r>
      <w:r w:rsidR="004700D0" w:rsidRPr="00AC1055">
        <w:rPr>
          <w:rFonts w:cs="Times New Roman"/>
        </w:rPr>
        <w:t>listed at</w:t>
      </w:r>
      <w:r w:rsidR="00831014" w:rsidRPr="00AC1055">
        <w:rPr>
          <w:rFonts w:cs="Times New Roman"/>
        </w:rPr>
        <w:t xml:space="preserve"> a stock exchange and be bought and sold by </w:t>
      </w:r>
      <w:r w:rsidR="00A52533">
        <w:rPr>
          <w:rFonts w:cs="Times New Roman"/>
        </w:rPr>
        <w:t xml:space="preserve">the </w:t>
      </w:r>
      <w:r w:rsidR="00831014" w:rsidRPr="00AC1055">
        <w:rPr>
          <w:rFonts w:cs="Times New Roman"/>
        </w:rPr>
        <w:t>public.</w:t>
      </w:r>
      <w:r w:rsidR="004700D0" w:rsidRPr="00AC1055">
        <w:rPr>
          <w:rStyle w:val="FootnoteReference"/>
          <w:rFonts w:cs="Times New Roman"/>
        </w:rPr>
        <w:footnoteReference w:id="71"/>
      </w:r>
      <w:r w:rsidR="00831014" w:rsidRPr="00AC1055">
        <w:rPr>
          <w:rFonts w:cs="Times New Roman"/>
        </w:rPr>
        <w:t xml:space="preserve"> Given the long history of stock exchange scams where unsuspecting investors</w:t>
      </w:r>
      <w:r w:rsidR="004700D0" w:rsidRPr="00AC1055">
        <w:rPr>
          <w:rFonts w:cs="Times New Roman"/>
        </w:rPr>
        <w:t xml:space="preserve"> we</w:t>
      </w:r>
      <w:r w:rsidR="00831014" w:rsidRPr="00AC1055">
        <w:rPr>
          <w:rFonts w:cs="Times New Roman"/>
        </w:rPr>
        <w:t>re lured into buying worthless shares,</w:t>
      </w:r>
      <w:r w:rsidR="00831014" w:rsidRPr="00AC1055">
        <w:rPr>
          <w:rStyle w:val="FootnoteReference"/>
          <w:rFonts w:cs="Times New Roman"/>
        </w:rPr>
        <w:footnoteReference w:id="72"/>
      </w:r>
      <w:r w:rsidR="00831014" w:rsidRPr="00AC1055">
        <w:rPr>
          <w:rFonts w:cs="Times New Roman"/>
        </w:rPr>
        <w:t xml:space="preserve"> it is quite natural that strict corporate governance guidelines have been innovated to ensure continuing confidence </w:t>
      </w:r>
      <w:r w:rsidR="00A52533">
        <w:rPr>
          <w:rFonts w:cs="Times New Roman"/>
        </w:rPr>
        <w:t>amongst</w:t>
      </w:r>
      <w:r w:rsidR="00A52533" w:rsidRPr="00AC1055">
        <w:rPr>
          <w:rFonts w:cs="Times New Roman"/>
        </w:rPr>
        <w:t xml:space="preserve"> </w:t>
      </w:r>
      <w:r w:rsidR="00831014" w:rsidRPr="00AC1055">
        <w:rPr>
          <w:rFonts w:cs="Times New Roman"/>
        </w:rPr>
        <w:t>investors.</w:t>
      </w:r>
      <w:r w:rsidR="004700D0" w:rsidRPr="00AC1055">
        <w:rPr>
          <w:rStyle w:val="FootnoteReference"/>
          <w:rFonts w:cs="Times New Roman"/>
        </w:rPr>
        <w:footnoteReference w:id="73"/>
      </w:r>
      <w:r w:rsidR="00896AE2" w:rsidRPr="00AC1055">
        <w:rPr>
          <w:rFonts w:cs="Times New Roman"/>
        </w:rPr>
        <w:t xml:space="preserve"> Microeconomic firm</w:t>
      </w:r>
      <w:r w:rsidR="00B5488B">
        <w:rPr>
          <w:rFonts w:cs="Times New Roman"/>
        </w:rPr>
        <w:t>-</w:t>
      </w:r>
      <w:r w:rsidR="00896AE2" w:rsidRPr="00AC1055">
        <w:rPr>
          <w:rFonts w:cs="Times New Roman"/>
        </w:rPr>
        <w:t>level evidence shows that ‘firms with stronger [corporate] governance structures have higher IPO valuations and better long term operating performance than their peers.’</w:t>
      </w:r>
      <w:r w:rsidR="00896AE2" w:rsidRPr="00AC1055">
        <w:rPr>
          <w:rStyle w:val="FootnoteReference"/>
          <w:rFonts w:cs="Times New Roman"/>
        </w:rPr>
        <w:footnoteReference w:id="74"/>
      </w:r>
      <w:r w:rsidR="008F350F" w:rsidRPr="00AC1055">
        <w:rPr>
          <w:rFonts w:cs="Times New Roman"/>
        </w:rPr>
        <w:t xml:space="preserve"> Thus</w:t>
      </w:r>
      <w:r w:rsidR="00B5488B">
        <w:rPr>
          <w:rFonts w:cs="Times New Roman"/>
        </w:rPr>
        <w:t>,</w:t>
      </w:r>
      <w:r w:rsidR="008F350F" w:rsidRPr="00AC1055">
        <w:rPr>
          <w:rFonts w:cs="Times New Roman"/>
        </w:rPr>
        <w:t xml:space="preserve"> as </w:t>
      </w:r>
      <w:proofErr w:type="spellStart"/>
      <w:r w:rsidR="008F350F" w:rsidRPr="00AC1055">
        <w:rPr>
          <w:rFonts w:cs="Times New Roman"/>
        </w:rPr>
        <w:t>Prof.</w:t>
      </w:r>
      <w:proofErr w:type="spellEnd"/>
      <w:r w:rsidR="008F350F" w:rsidRPr="00AC1055">
        <w:rPr>
          <w:rFonts w:cs="Times New Roman"/>
        </w:rPr>
        <w:t xml:space="preserve"> Coffee posits, Anglo-American style shareholder primacy corporate governance may be instrumental in assuring greater protections for minority shareholders and increased financial transparency and thereby </w:t>
      </w:r>
      <w:r w:rsidR="00553F6D" w:rsidRPr="00AC1055">
        <w:rPr>
          <w:rFonts w:cs="Times New Roman"/>
        </w:rPr>
        <w:t>lead</w:t>
      </w:r>
      <w:r w:rsidR="008F350F" w:rsidRPr="00AC1055">
        <w:rPr>
          <w:rFonts w:cs="Times New Roman"/>
        </w:rPr>
        <w:t xml:space="preserve"> to </w:t>
      </w:r>
      <w:r w:rsidR="00B5488B">
        <w:rPr>
          <w:rFonts w:cs="Times New Roman"/>
        </w:rPr>
        <w:t xml:space="preserve">an </w:t>
      </w:r>
      <w:r w:rsidR="008F350F" w:rsidRPr="00AC1055">
        <w:rPr>
          <w:rFonts w:cs="Times New Roman"/>
        </w:rPr>
        <w:t>upsurge in the number of IPOs.</w:t>
      </w:r>
      <w:r w:rsidR="008F350F" w:rsidRPr="00AC1055">
        <w:rPr>
          <w:rStyle w:val="FootnoteReference"/>
          <w:rFonts w:cs="Times New Roman"/>
        </w:rPr>
        <w:footnoteReference w:id="75"/>
      </w:r>
    </w:p>
    <w:p w14:paraId="4B2ADACF" w14:textId="77777777" w:rsidR="00DD16A8" w:rsidRDefault="00DD16A8" w:rsidP="00AC1055">
      <w:pPr>
        <w:spacing w:line="480" w:lineRule="auto"/>
        <w:rPr>
          <w:rFonts w:cs="Times New Roman"/>
          <w:b/>
        </w:rPr>
      </w:pPr>
    </w:p>
    <w:p w14:paraId="37C9D377" w14:textId="77777777" w:rsidR="00EB05CB" w:rsidRPr="00AC1055" w:rsidRDefault="00630635" w:rsidP="00AC1055">
      <w:pPr>
        <w:spacing w:line="480" w:lineRule="auto"/>
        <w:rPr>
          <w:rFonts w:cs="Times New Roman"/>
        </w:rPr>
      </w:pPr>
      <w:r>
        <w:rPr>
          <w:rFonts w:cs="Times New Roman"/>
          <w:b/>
        </w:rPr>
        <w:t>N</w:t>
      </w:r>
      <w:r w:rsidR="00A153DE" w:rsidRPr="00AC1055">
        <w:rPr>
          <w:rFonts w:cs="Times New Roman"/>
          <w:b/>
        </w:rPr>
        <w:t>umber of listed domestic companies</w:t>
      </w:r>
      <w:r w:rsidR="009A4FC2" w:rsidRPr="00AC1055">
        <w:rPr>
          <w:rFonts w:cs="Times New Roman"/>
          <w:b/>
        </w:rPr>
        <w:t xml:space="preserve"> - </w:t>
      </w:r>
      <w:r w:rsidR="00553F6D" w:rsidRPr="00AC1055">
        <w:rPr>
          <w:rFonts w:cs="Times New Roman"/>
        </w:rPr>
        <w:t xml:space="preserve">Listed domestic companies are the domestically incorporated </w:t>
      </w:r>
      <w:r w:rsidR="0045275D" w:rsidRPr="00AC1055">
        <w:rPr>
          <w:rFonts w:cs="Times New Roman"/>
        </w:rPr>
        <w:t>companies listed on the country’</w:t>
      </w:r>
      <w:r w:rsidR="00553F6D" w:rsidRPr="00AC1055">
        <w:rPr>
          <w:rFonts w:cs="Times New Roman"/>
        </w:rPr>
        <w:t xml:space="preserve">s stock exchanges at the </w:t>
      </w:r>
      <w:r w:rsidR="00553F6D" w:rsidRPr="00AC1055">
        <w:rPr>
          <w:rFonts w:cs="Times New Roman"/>
        </w:rPr>
        <w:lastRenderedPageBreak/>
        <w:t>end of the year.</w:t>
      </w:r>
      <w:r w:rsidR="0045275D" w:rsidRPr="00AC1055">
        <w:rPr>
          <w:rStyle w:val="FootnoteReference"/>
          <w:rFonts w:cs="Times New Roman"/>
        </w:rPr>
        <w:footnoteReference w:id="76"/>
      </w:r>
      <w:r w:rsidR="0045275D" w:rsidRPr="00AC1055">
        <w:rPr>
          <w:rFonts w:cs="Times New Roman"/>
        </w:rPr>
        <w:t xml:space="preserve"> It is widely used as a proxy for financial market development</w:t>
      </w:r>
      <w:r w:rsidR="00E93882" w:rsidRPr="00AC1055">
        <w:rPr>
          <w:rStyle w:val="FootnoteReference"/>
          <w:rFonts w:cs="Times New Roman"/>
        </w:rPr>
        <w:footnoteReference w:id="77"/>
      </w:r>
      <w:r w:rsidR="0045275D" w:rsidRPr="00AC1055">
        <w:rPr>
          <w:rFonts w:cs="Times New Roman"/>
        </w:rPr>
        <w:t xml:space="preserve"> as </w:t>
      </w:r>
      <w:r w:rsidR="00E93882" w:rsidRPr="00AC1055">
        <w:rPr>
          <w:rFonts w:cs="Times New Roman"/>
        </w:rPr>
        <w:t xml:space="preserve">a vibrant financial market </w:t>
      </w:r>
      <w:r w:rsidR="00092FD7" w:rsidRPr="00AC1055">
        <w:rPr>
          <w:rFonts w:cs="Times New Roman"/>
        </w:rPr>
        <w:t xml:space="preserve">governed by adequate corporate governance regulation </w:t>
      </w:r>
      <w:r w:rsidR="00E93882" w:rsidRPr="00AC1055">
        <w:rPr>
          <w:rFonts w:cs="Times New Roman"/>
        </w:rPr>
        <w:t>would induce private companies to seek equity funds and relinquish control.</w:t>
      </w:r>
      <w:r w:rsidR="00092FD7" w:rsidRPr="00AC1055">
        <w:rPr>
          <w:rStyle w:val="FootnoteReference"/>
          <w:rFonts w:cs="Times New Roman"/>
        </w:rPr>
        <w:footnoteReference w:id="78"/>
      </w:r>
    </w:p>
    <w:p w14:paraId="3D4A8647" w14:textId="7984B2AF" w:rsidR="00630635" w:rsidRDefault="00630635" w:rsidP="00AC1055">
      <w:pPr>
        <w:spacing w:line="480" w:lineRule="auto"/>
        <w:rPr>
          <w:rFonts w:cs="Times New Roman"/>
        </w:rPr>
      </w:pPr>
      <w:r>
        <w:rPr>
          <w:rFonts w:cs="Times New Roman"/>
        </w:rPr>
        <w:t xml:space="preserve">As there is high correlation between </w:t>
      </w:r>
      <w:r w:rsidR="00325FF0">
        <w:rPr>
          <w:rFonts w:cs="Times New Roman"/>
        </w:rPr>
        <w:t xml:space="preserve">the </w:t>
      </w:r>
      <w:r>
        <w:rPr>
          <w:rFonts w:cs="Times New Roman"/>
        </w:rPr>
        <w:t xml:space="preserve">number of firms and </w:t>
      </w:r>
      <w:r w:rsidR="00325FF0">
        <w:rPr>
          <w:rFonts w:cs="Times New Roman"/>
        </w:rPr>
        <w:t xml:space="preserve">the </w:t>
      </w:r>
      <w:r>
        <w:rPr>
          <w:rFonts w:cs="Times New Roman"/>
        </w:rPr>
        <w:t xml:space="preserve">number of IPOs, </w:t>
      </w:r>
      <w:r w:rsidR="00325FF0">
        <w:rPr>
          <w:rFonts w:cs="Times New Roman"/>
        </w:rPr>
        <w:t>this survey uses the</w:t>
      </w:r>
      <w:r>
        <w:rPr>
          <w:rFonts w:cs="Times New Roman"/>
        </w:rPr>
        <w:t xml:space="preserve"> </w:t>
      </w:r>
      <w:r w:rsidRPr="00630635">
        <w:rPr>
          <w:rFonts w:cs="Times New Roman"/>
        </w:rPr>
        <w:t xml:space="preserve">total </w:t>
      </w:r>
      <w:r>
        <w:rPr>
          <w:rFonts w:cs="Times New Roman"/>
        </w:rPr>
        <w:t xml:space="preserve">number of listed domestic companies </w:t>
      </w:r>
      <w:r w:rsidR="00DD16A8">
        <w:rPr>
          <w:rFonts w:cs="Times New Roman"/>
        </w:rPr>
        <w:t>as part of the dependent index.</w:t>
      </w:r>
    </w:p>
    <w:p w14:paraId="680CB93A" w14:textId="77777777" w:rsidR="00DD16A8" w:rsidRPr="00AC1055" w:rsidRDefault="00DD16A8" w:rsidP="00AC1055">
      <w:pPr>
        <w:spacing w:line="480" w:lineRule="auto"/>
        <w:rPr>
          <w:rFonts w:cs="Times New Roman"/>
        </w:rPr>
      </w:pPr>
    </w:p>
    <w:p w14:paraId="6F0E1C58" w14:textId="4C1B5FAC" w:rsidR="0017517F" w:rsidRPr="00AC1055" w:rsidRDefault="00A153DE" w:rsidP="00AC1055">
      <w:pPr>
        <w:spacing w:line="480" w:lineRule="auto"/>
        <w:rPr>
          <w:rFonts w:cs="Times New Roman"/>
        </w:rPr>
      </w:pPr>
      <w:r w:rsidRPr="00AC1055">
        <w:rPr>
          <w:rFonts w:cs="Times New Roman"/>
          <w:b/>
        </w:rPr>
        <w:t>S&amp;P global equity</w:t>
      </w:r>
      <w:r w:rsidR="00EB05CB" w:rsidRPr="00AC1055">
        <w:rPr>
          <w:rFonts w:cs="Times New Roman"/>
          <w:b/>
        </w:rPr>
        <w:t xml:space="preserve"> index</w:t>
      </w:r>
      <w:r w:rsidR="009A4FC2" w:rsidRPr="00AC1055">
        <w:rPr>
          <w:rFonts w:cs="Times New Roman"/>
          <w:b/>
        </w:rPr>
        <w:t xml:space="preserve"> - </w:t>
      </w:r>
      <w:r w:rsidR="002D22FD" w:rsidRPr="00AC1055">
        <w:rPr>
          <w:rFonts w:cs="Times New Roman"/>
        </w:rPr>
        <w:t>S&amp;P Global Equity Indices measure the U.S. dollar price change in the stock markets covered by the S&amp;P/IFCI and S&amp;P/Frontier BMI country indices.</w:t>
      </w:r>
      <w:r w:rsidR="002D22FD" w:rsidRPr="00AC1055">
        <w:rPr>
          <w:rStyle w:val="FootnoteReference"/>
          <w:rFonts w:cs="Times New Roman"/>
        </w:rPr>
        <w:footnoteReference w:id="79"/>
      </w:r>
      <w:r w:rsidR="002D22FD" w:rsidRPr="00AC1055">
        <w:rPr>
          <w:rFonts w:cs="Times New Roman"/>
        </w:rPr>
        <w:t xml:space="preserve"> </w:t>
      </w:r>
      <w:r w:rsidR="00031138" w:rsidRPr="00AC1055">
        <w:rPr>
          <w:rFonts w:cs="Times New Roman"/>
        </w:rPr>
        <w:t xml:space="preserve">The theoretical basis for linking </w:t>
      </w:r>
      <w:r w:rsidR="00325FF0">
        <w:rPr>
          <w:rFonts w:cs="Times New Roman"/>
        </w:rPr>
        <w:t xml:space="preserve">the </w:t>
      </w:r>
      <w:r w:rsidR="00031138" w:rsidRPr="00AC1055">
        <w:rPr>
          <w:rFonts w:cs="Times New Roman"/>
        </w:rPr>
        <w:t>equity index with corporate governance lies in the doctrine of market for corporate control,</w:t>
      </w:r>
      <w:r w:rsidR="001F0347" w:rsidRPr="00AC1055">
        <w:rPr>
          <w:rStyle w:val="FootnoteReference"/>
          <w:rFonts w:cs="Times New Roman"/>
        </w:rPr>
        <w:footnoteReference w:id="80"/>
      </w:r>
      <w:r w:rsidR="00031138" w:rsidRPr="00AC1055">
        <w:rPr>
          <w:rFonts w:cs="Times New Roman"/>
        </w:rPr>
        <w:t xml:space="preserve"> where it is hypothesised that if managers of </w:t>
      </w:r>
      <w:r w:rsidR="00325FF0">
        <w:rPr>
          <w:rFonts w:cs="Times New Roman"/>
        </w:rPr>
        <w:t xml:space="preserve">a </w:t>
      </w:r>
      <w:r w:rsidR="00031138" w:rsidRPr="00AC1055">
        <w:rPr>
          <w:rFonts w:cs="Times New Roman"/>
        </w:rPr>
        <w:t xml:space="preserve">company are unable to produce </w:t>
      </w:r>
      <w:r w:rsidR="00325FF0">
        <w:rPr>
          <w:rFonts w:cs="Times New Roman"/>
        </w:rPr>
        <w:t xml:space="preserve">the </w:t>
      </w:r>
      <w:r w:rsidR="00031138" w:rsidRPr="00AC1055">
        <w:rPr>
          <w:rFonts w:cs="Times New Roman"/>
        </w:rPr>
        <w:t>desired results in the form of higher share prices then the shareholders would divest those shares</w:t>
      </w:r>
      <w:r w:rsidR="00325FF0">
        <w:rPr>
          <w:rFonts w:cs="Times New Roman"/>
        </w:rPr>
        <w:t>,</w:t>
      </w:r>
      <w:r w:rsidR="00031138" w:rsidRPr="00AC1055">
        <w:rPr>
          <w:rFonts w:cs="Times New Roman"/>
        </w:rPr>
        <w:t xml:space="preserve"> resulting in </w:t>
      </w:r>
      <w:r w:rsidR="00325FF0">
        <w:rPr>
          <w:rFonts w:cs="Times New Roman"/>
        </w:rPr>
        <w:t xml:space="preserve">the </w:t>
      </w:r>
      <w:r w:rsidR="00031138" w:rsidRPr="00AC1055">
        <w:rPr>
          <w:rFonts w:cs="Times New Roman"/>
        </w:rPr>
        <w:t>fall of share prices and thereby opening the entrenched management to the perils of takeover and consequent loss of position. Thus</w:t>
      </w:r>
      <w:r w:rsidR="00325FF0">
        <w:rPr>
          <w:rFonts w:cs="Times New Roman"/>
        </w:rPr>
        <w:t>,</w:t>
      </w:r>
      <w:r w:rsidR="00031138" w:rsidRPr="00AC1055">
        <w:rPr>
          <w:rFonts w:cs="Times New Roman"/>
        </w:rPr>
        <w:t xml:space="preserve"> a shareholder oriented corporate governance is theorised to positively impact stock market performance.</w:t>
      </w:r>
      <w:r w:rsidR="00031138" w:rsidRPr="00AC1055">
        <w:rPr>
          <w:rStyle w:val="FootnoteReference"/>
          <w:rFonts w:cs="Times New Roman"/>
        </w:rPr>
        <w:footnoteReference w:id="81"/>
      </w:r>
      <w:r w:rsidR="00031138" w:rsidRPr="00AC1055">
        <w:rPr>
          <w:rFonts w:cs="Times New Roman"/>
        </w:rPr>
        <w:t xml:space="preserve"> </w:t>
      </w:r>
    </w:p>
    <w:p w14:paraId="55ED0786" w14:textId="518D5BC0" w:rsidR="00E019F3" w:rsidRPr="00AC1055" w:rsidRDefault="0017517F" w:rsidP="00AC1055">
      <w:pPr>
        <w:spacing w:line="480" w:lineRule="auto"/>
        <w:rPr>
          <w:rFonts w:cs="Times New Roman"/>
        </w:rPr>
      </w:pPr>
      <w:r w:rsidRPr="00AC1055">
        <w:rPr>
          <w:rFonts w:cs="Times New Roman"/>
          <w:b/>
        </w:rPr>
        <w:lastRenderedPageBreak/>
        <w:t xml:space="preserve">Traded volume </w:t>
      </w:r>
      <w:r w:rsidR="00CC0D4C" w:rsidRPr="00AC1055">
        <w:rPr>
          <w:rFonts w:cs="Times New Roman"/>
          <w:b/>
        </w:rPr>
        <w:t>of stocks traded</w:t>
      </w:r>
      <w:r w:rsidR="009A4FC2" w:rsidRPr="00AC1055">
        <w:rPr>
          <w:rFonts w:cs="Times New Roman"/>
          <w:b/>
        </w:rPr>
        <w:t xml:space="preserve"> </w:t>
      </w:r>
      <w:r w:rsidR="00064B3E" w:rsidRPr="00AC1055">
        <w:rPr>
          <w:rFonts w:cs="Times New Roman"/>
          <w:b/>
        </w:rPr>
        <w:t>–</w:t>
      </w:r>
      <w:r w:rsidR="009A4FC2" w:rsidRPr="00AC1055">
        <w:rPr>
          <w:rFonts w:cs="Times New Roman"/>
          <w:b/>
        </w:rPr>
        <w:t xml:space="preserve"> </w:t>
      </w:r>
      <w:r w:rsidR="00BC50B5" w:rsidRPr="00AC1055">
        <w:rPr>
          <w:rFonts w:cs="Times New Roman"/>
        </w:rPr>
        <w:t>Stocks traded refers to the total value of shares traded during the period.</w:t>
      </w:r>
      <w:r w:rsidR="00BC50B5" w:rsidRPr="00AC1055">
        <w:rPr>
          <w:rStyle w:val="FootnoteReference"/>
          <w:rFonts w:cs="Times New Roman"/>
        </w:rPr>
        <w:footnoteReference w:id="82"/>
      </w:r>
      <w:r w:rsidR="00BC50B5" w:rsidRPr="00AC1055">
        <w:rPr>
          <w:rFonts w:cs="Times New Roman"/>
        </w:rPr>
        <w:t xml:space="preserve"> </w:t>
      </w:r>
      <w:r w:rsidR="00CC0D4C" w:rsidRPr="00AC1055">
        <w:rPr>
          <w:rFonts w:cs="Times New Roman"/>
        </w:rPr>
        <w:t xml:space="preserve">It is controlled for foreign exchange price fluctuation. This variable provides a measure of financial market depth, liquidity (consequently </w:t>
      </w:r>
      <w:r w:rsidR="00325FF0">
        <w:rPr>
          <w:rFonts w:cs="Times New Roman"/>
        </w:rPr>
        <w:t xml:space="preserve">the </w:t>
      </w:r>
      <w:r w:rsidR="00CC0D4C" w:rsidRPr="00AC1055">
        <w:rPr>
          <w:rFonts w:cs="Times New Roman"/>
        </w:rPr>
        <w:t>fall in the cost of access to capital)</w:t>
      </w:r>
      <w:r w:rsidR="00CC0D4C" w:rsidRPr="00AC1055">
        <w:rPr>
          <w:rStyle w:val="FootnoteReference"/>
          <w:rFonts w:cs="Times New Roman"/>
        </w:rPr>
        <w:footnoteReference w:id="83"/>
      </w:r>
      <w:r w:rsidR="00CC0D4C" w:rsidRPr="00AC1055">
        <w:rPr>
          <w:rFonts w:cs="Times New Roman"/>
        </w:rPr>
        <w:t xml:space="preserve"> and acts as an indicator of market development and growing financialisation.</w:t>
      </w:r>
      <w:r w:rsidR="00CC0D4C" w:rsidRPr="00AC1055">
        <w:rPr>
          <w:rStyle w:val="FootnoteReference"/>
          <w:rFonts w:cs="Times New Roman"/>
        </w:rPr>
        <w:footnoteReference w:id="84"/>
      </w:r>
      <w:r w:rsidR="00E019F3" w:rsidRPr="00AC1055">
        <w:rPr>
          <w:rFonts w:cs="Times New Roman"/>
        </w:rPr>
        <w:t xml:space="preserve"> All these factors are affected by changes in corporate governance.</w:t>
      </w:r>
      <w:r w:rsidR="00E019F3" w:rsidRPr="00AC1055">
        <w:rPr>
          <w:rStyle w:val="FootnoteReference"/>
          <w:rFonts w:cs="Times New Roman"/>
        </w:rPr>
        <w:footnoteReference w:id="85"/>
      </w:r>
    </w:p>
    <w:p w14:paraId="08155077" w14:textId="77777777" w:rsidR="00064B3E" w:rsidRPr="00A07A47" w:rsidRDefault="001A6C14" w:rsidP="00AC1055">
      <w:pPr>
        <w:spacing w:line="480" w:lineRule="auto"/>
        <w:rPr>
          <w:rFonts w:cs="Times New Roman"/>
          <w:b/>
          <w:sz w:val="26"/>
          <w:u w:val="single"/>
        </w:rPr>
      </w:pPr>
      <w:r>
        <w:rPr>
          <w:rFonts w:cs="Times New Roman"/>
          <w:b/>
          <w:sz w:val="26"/>
          <w:u w:val="single"/>
        </w:rPr>
        <w:lastRenderedPageBreak/>
        <w:t xml:space="preserve">2.5 </w:t>
      </w:r>
      <w:r w:rsidR="00064B3E" w:rsidRPr="00A07A47">
        <w:rPr>
          <w:rFonts w:cs="Times New Roman"/>
          <w:b/>
          <w:sz w:val="26"/>
          <w:u w:val="single"/>
        </w:rPr>
        <w:t>Control variables</w:t>
      </w:r>
      <w:r w:rsidR="00674CFA" w:rsidRPr="00A07A47">
        <w:rPr>
          <w:rFonts w:cs="Times New Roman"/>
          <w:b/>
          <w:sz w:val="26"/>
          <w:u w:val="single"/>
        </w:rPr>
        <w:t xml:space="preserve"> (X</w:t>
      </w:r>
      <w:r w:rsidR="00674CFA" w:rsidRPr="00A07A47">
        <w:rPr>
          <w:rFonts w:cs="Times New Roman"/>
          <w:b/>
          <w:sz w:val="26"/>
          <w:u w:val="single"/>
          <w:vertAlign w:val="subscript"/>
        </w:rPr>
        <w:t>2</w:t>
      </w:r>
      <w:r w:rsidR="00674CFA" w:rsidRPr="00A07A47">
        <w:rPr>
          <w:rFonts w:cs="Times New Roman"/>
          <w:b/>
          <w:sz w:val="26"/>
          <w:u w:val="single"/>
        </w:rPr>
        <w:t>)</w:t>
      </w:r>
    </w:p>
    <w:p w14:paraId="34BCA17A" w14:textId="217D67FE" w:rsidR="00064B3E" w:rsidRPr="00AC1055" w:rsidRDefault="00064B3E" w:rsidP="00AC1055">
      <w:pPr>
        <w:spacing w:line="480" w:lineRule="auto"/>
        <w:rPr>
          <w:rFonts w:cs="Times New Roman"/>
        </w:rPr>
      </w:pPr>
      <w:r w:rsidRPr="00AC1055">
        <w:rPr>
          <w:rFonts w:cs="Times New Roman"/>
        </w:rPr>
        <w:t xml:space="preserve">Ideally predictor and control variables should not be correlated (both within and between themselves) but both of them are expected to have some correlation with the dependent variables. Researchers should preferably be able to show from previous literature that control variables are correlated to dependent variables. It thus depends on the skill of the researcher to choose the proper underlying constituent variables which make up the dependent, predictor and control variables. Before the control variables used in this study </w:t>
      </w:r>
      <w:r w:rsidR="00325FF0">
        <w:rPr>
          <w:rFonts w:cs="Times New Roman"/>
        </w:rPr>
        <w:t xml:space="preserve">are explained </w:t>
      </w:r>
      <w:r w:rsidRPr="00AC1055">
        <w:rPr>
          <w:rFonts w:cs="Times New Roman"/>
        </w:rPr>
        <w:t xml:space="preserve">the control variables used in similar studies in </w:t>
      </w:r>
      <w:r w:rsidR="00325FF0">
        <w:rPr>
          <w:rFonts w:cs="Times New Roman"/>
        </w:rPr>
        <w:t xml:space="preserve">the </w:t>
      </w:r>
      <w:r w:rsidRPr="00AC1055">
        <w:rPr>
          <w:rFonts w:cs="Times New Roman"/>
        </w:rPr>
        <w:t>past</w:t>
      </w:r>
      <w:r w:rsidR="00325FF0">
        <w:rPr>
          <w:rFonts w:cs="Times New Roman"/>
        </w:rPr>
        <w:t xml:space="preserve"> will briefly be discussed</w:t>
      </w:r>
      <w:r w:rsidRPr="00AC1055">
        <w:rPr>
          <w:rFonts w:cs="Times New Roman"/>
        </w:rPr>
        <w:t>.</w:t>
      </w:r>
    </w:p>
    <w:p w14:paraId="438B85CC" w14:textId="4733EDE9" w:rsidR="00064B3E" w:rsidRPr="00AC1055" w:rsidRDefault="00325FF0" w:rsidP="00AC1055">
      <w:pPr>
        <w:spacing w:line="480" w:lineRule="auto"/>
        <w:rPr>
          <w:rFonts w:cs="Times New Roman"/>
        </w:rPr>
      </w:pPr>
      <w:r>
        <w:rPr>
          <w:rFonts w:cs="Times New Roman"/>
        </w:rPr>
        <w:t>I</w:t>
      </w:r>
      <w:r w:rsidR="00064B3E" w:rsidRPr="00AC1055">
        <w:rPr>
          <w:rFonts w:cs="Times New Roman"/>
        </w:rPr>
        <w:t>n their 1997 paper</w:t>
      </w:r>
      <w:r w:rsidR="00064B3E" w:rsidRPr="00AC1055">
        <w:rPr>
          <w:rStyle w:val="FootnoteReference"/>
          <w:rFonts w:cs="Times New Roman"/>
        </w:rPr>
        <w:footnoteReference w:id="86"/>
      </w:r>
      <w:r w:rsidR="009B0DA6">
        <w:rPr>
          <w:rFonts w:cs="Times New Roman"/>
        </w:rPr>
        <w:t>, La Porta et al.</w:t>
      </w:r>
      <w:r w:rsidR="00064B3E" w:rsidRPr="00AC1055">
        <w:rPr>
          <w:rFonts w:cs="Times New Roman"/>
        </w:rPr>
        <w:t xml:space="preserve"> while looking to isolate the impact of investor rights on external finance</w:t>
      </w:r>
      <w:r>
        <w:rPr>
          <w:rFonts w:cs="Times New Roman"/>
        </w:rPr>
        <w:t>s,</w:t>
      </w:r>
      <w:r w:rsidR="00064B3E" w:rsidRPr="00AC1055">
        <w:rPr>
          <w:rFonts w:cs="Times New Roman"/>
        </w:rPr>
        <w:t xml:space="preserve"> first controlled for GDP growth as ‘such a growth is likely to affect both valuations and market brea</w:t>
      </w:r>
      <w:r w:rsidR="00674CFA" w:rsidRPr="00AC1055">
        <w:rPr>
          <w:rFonts w:cs="Times New Roman"/>
        </w:rPr>
        <w:t>d</w:t>
      </w:r>
      <w:r w:rsidR="00064B3E" w:rsidRPr="00AC1055">
        <w:rPr>
          <w:rFonts w:cs="Times New Roman"/>
        </w:rPr>
        <w:t>th’;</w:t>
      </w:r>
      <w:r w:rsidR="00064B3E" w:rsidRPr="00AC1055">
        <w:rPr>
          <w:rStyle w:val="FootnoteReference"/>
          <w:rFonts w:cs="Times New Roman"/>
        </w:rPr>
        <w:footnoteReference w:id="87"/>
      </w:r>
      <w:r w:rsidR="00064B3E" w:rsidRPr="00AC1055">
        <w:rPr>
          <w:rFonts w:cs="Times New Roman"/>
        </w:rPr>
        <w:t xml:space="preserve"> </w:t>
      </w:r>
      <w:r>
        <w:rPr>
          <w:rFonts w:cs="Times New Roman"/>
        </w:rPr>
        <w:t xml:space="preserve">the </w:t>
      </w:r>
      <w:r w:rsidR="00064B3E" w:rsidRPr="00AC1055">
        <w:rPr>
          <w:rFonts w:cs="Times New Roman"/>
        </w:rPr>
        <w:t xml:space="preserve">second control was </w:t>
      </w:r>
      <w:r>
        <w:rPr>
          <w:rFonts w:cs="Times New Roman"/>
        </w:rPr>
        <w:t xml:space="preserve">a </w:t>
      </w:r>
      <w:r w:rsidR="00064B3E" w:rsidRPr="00AC1055">
        <w:rPr>
          <w:rFonts w:cs="Times New Roman"/>
        </w:rPr>
        <w:t xml:space="preserve">log of real GNP as </w:t>
      </w:r>
      <w:r>
        <w:rPr>
          <w:rFonts w:cs="Times New Roman"/>
        </w:rPr>
        <w:t xml:space="preserve">the </w:t>
      </w:r>
      <w:r w:rsidR="00064B3E" w:rsidRPr="00AC1055">
        <w:rPr>
          <w:rFonts w:cs="Times New Roman"/>
        </w:rPr>
        <w:t>growth of ‘capital markets might be an increasing returns to scale activity, and therefore larger economies might have larger capital markets’;</w:t>
      </w:r>
      <w:r w:rsidR="00064B3E" w:rsidRPr="00AC1055">
        <w:rPr>
          <w:rStyle w:val="FootnoteReference"/>
          <w:rFonts w:cs="Times New Roman"/>
        </w:rPr>
        <w:footnoteReference w:id="88"/>
      </w:r>
      <w:r w:rsidR="00064B3E" w:rsidRPr="00AC1055">
        <w:rPr>
          <w:rFonts w:cs="Times New Roman"/>
        </w:rPr>
        <w:t xml:space="preserve"> they</w:t>
      </w:r>
      <w:r w:rsidR="00674CFA" w:rsidRPr="00AC1055">
        <w:rPr>
          <w:rFonts w:cs="Times New Roman"/>
        </w:rPr>
        <w:t xml:space="preserve"> then control for </w:t>
      </w:r>
      <w:r w:rsidR="00CF3516">
        <w:rPr>
          <w:rFonts w:cs="Times New Roman"/>
        </w:rPr>
        <w:t xml:space="preserve">the </w:t>
      </w:r>
      <w:r w:rsidR="00674CFA" w:rsidRPr="00AC1055">
        <w:rPr>
          <w:rFonts w:cs="Times New Roman"/>
        </w:rPr>
        <w:t>rule of law in</w:t>
      </w:r>
      <w:r w:rsidR="00064B3E" w:rsidRPr="00AC1055">
        <w:rPr>
          <w:rFonts w:cs="Times New Roman"/>
        </w:rPr>
        <w:t xml:space="preserve"> the sense that it would allow to act as a proxy for likelihoods of implementation of law on books to law in action, and therefore a country with </w:t>
      </w:r>
      <w:r w:rsidR="00674CFA" w:rsidRPr="00AC1055">
        <w:rPr>
          <w:rFonts w:cs="Times New Roman"/>
        </w:rPr>
        <w:t>stronger</w:t>
      </w:r>
      <w:r w:rsidR="00064B3E" w:rsidRPr="00AC1055">
        <w:rPr>
          <w:rFonts w:cs="Times New Roman"/>
        </w:rPr>
        <w:t xml:space="preserve"> rule of law is expected to have a better capital market as investors are supposed to feel more secure in investing in such jurisdictions. </w:t>
      </w:r>
      <w:r w:rsidR="009B0DA6" w:rsidRPr="009B0DA6">
        <w:rPr>
          <w:rFonts w:cs="Times New Roman"/>
        </w:rPr>
        <w:t>La Porta et al.</w:t>
      </w:r>
      <w:r w:rsidR="009B0DA6">
        <w:rPr>
          <w:rFonts w:cs="Times New Roman"/>
        </w:rPr>
        <w:t xml:space="preserve"> </w:t>
      </w:r>
      <w:r w:rsidR="00064B3E" w:rsidRPr="00AC1055">
        <w:rPr>
          <w:rFonts w:cs="Times New Roman"/>
        </w:rPr>
        <w:t xml:space="preserve">did not control for GDP per capita as the correlation between GDP per capita and rule of law was around 0.87 and thus controlling for GDP per capita would not significantly add to the explanatory power of the predictor variable (which in the case of </w:t>
      </w:r>
      <w:r w:rsidR="009B0DA6" w:rsidRPr="009B0DA6">
        <w:rPr>
          <w:rFonts w:cs="Times New Roman"/>
        </w:rPr>
        <w:t>La Porta et al.</w:t>
      </w:r>
      <w:r w:rsidR="00064B3E" w:rsidRPr="00AC1055">
        <w:rPr>
          <w:rFonts w:cs="Times New Roman"/>
        </w:rPr>
        <w:t xml:space="preserve"> was investor rights, a precursor of corporate governance).</w:t>
      </w:r>
    </w:p>
    <w:p w14:paraId="5A98B558" w14:textId="1E5787E8" w:rsidR="00064B3E" w:rsidRPr="00AC1055" w:rsidRDefault="00064B3E" w:rsidP="00AC1055">
      <w:pPr>
        <w:spacing w:line="480" w:lineRule="auto"/>
        <w:rPr>
          <w:rFonts w:cs="Times New Roman"/>
        </w:rPr>
      </w:pPr>
      <w:r w:rsidRPr="00AC1055">
        <w:rPr>
          <w:rFonts w:cs="Times New Roman"/>
        </w:rPr>
        <w:lastRenderedPageBreak/>
        <w:t>In their 2006 paper</w:t>
      </w:r>
      <w:r w:rsidRPr="00AC1055">
        <w:rPr>
          <w:rStyle w:val="FootnoteReference"/>
          <w:rFonts w:cs="Times New Roman"/>
        </w:rPr>
        <w:footnoteReference w:id="89"/>
      </w:r>
      <w:r w:rsidRPr="00AC1055">
        <w:rPr>
          <w:rFonts w:cs="Times New Roman"/>
        </w:rPr>
        <w:t xml:space="preserve"> on examining the effect of securities laws on stock market development, </w:t>
      </w:r>
      <w:r w:rsidR="009B0DA6" w:rsidRPr="009B0DA6">
        <w:rPr>
          <w:rFonts w:cs="Times New Roman"/>
        </w:rPr>
        <w:t>La Porta et al.</w:t>
      </w:r>
      <w:r w:rsidR="009B0DA6">
        <w:rPr>
          <w:rFonts w:cs="Times New Roman"/>
        </w:rPr>
        <w:t xml:space="preserve"> </w:t>
      </w:r>
      <w:r w:rsidRPr="00AC1055">
        <w:rPr>
          <w:rFonts w:cs="Times New Roman"/>
        </w:rPr>
        <w:t>controlled for log GDP per capita on the basis that ‘economic development is often associated with capital deepening.’;</w:t>
      </w:r>
      <w:r w:rsidRPr="00AC1055">
        <w:rPr>
          <w:rStyle w:val="FootnoteReference"/>
          <w:rFonts w:cs="Times New Roman"/>
        </w:rPr>
        <w:footnoteReference w:id="90"/>
      </w:r>
      <w:r w:rsidRPr="00AC1055">
        <w:rPr>
          <w:rFonts w:cs="Times New Roman"/>
        </w:rPr>
        <w:t xml:space="preserve"> they then controlled for</w:t>
      </w:r>
      <w:r w:rsidR="00CF3516">
        <w:rPr>
          <w:rFonts w:cs="Times New Roman"/>
        </w:rPr>
        <w:t xml:space="preserve"> the</w:t>
      </w:r>
      <w:r w:rsidRPr="00AC1055">
        <w:rPr>
          <w:rFonts w:cs="Times New Roman"/>
        </w:rPr>
        <w:t xml:space="preserve"> efficiency of the judiciary on the basis that ‘richer countries might have higher quality institutions in general, including better property rights and rule of law, which could be associated with better financial development regardless of the content of the laws.’</w:t>
      </w:r>
      <w:r w:rsidRPr="00AC1055">
        <w:rPr>
          <w:rStyle w:val="FootnoteReference"/>
          <w:rFonts w:cs="Times New Roman"/>
        </w:rPr>
        <w:footnoteReference w:id="91"/>
      </w:r>
      <w:r w:rsidRPr="00AC1055">
        <w:rPr>
          <w:rFonts w:cs="Times New Roman"/>
        </w:rPr>
        <w:t xml:space="preserve"> They also refer to their earlier studies in 1997 and 1998 as a rationale to control for anti-director rights and legal origin on the basis that investor protection derived from corporate law and legal origin are associated wit</w:t>
      </w:r>
      <w:r w:rsidR="009B0DA6">
        <w:rPr>
          <w:rFonts w:cs="Times New Roman"/>
        </w:rPr>
        <w:t xml:space="preserve">h stock market development. </w:t>
      </w:r>
      <w:r w:rsidR="009B0DA6" w:rsidRPr="009B0DA6">
        <w:rPr>
          <w:rFonts w:cs="Times New Roman"/>
        </w:rPr>
        <w:t>La Porta et al.</w:t>
      </w:r>
      <w:r w:rsidRPr="00AC1055">
        <w:rPr>
          <w:rFonts w:cs="Times New Roman"/>
        </w:rPr>
        <w:t xml:space="preserve"> also tried to evaluate the relative importance of components of investor protection in securities law and they then variedly controlled for (1) supervisor attributes; (2) rule-making powers; (3) investigative powers; (4) orders; and (5) criminal sanctions.</w:t>
      </w:r>
    </w:p>
    <w:p w14:paraId="2F71C50A" w14:textId="3C959538" w:rsidR="00064B3E" w:rsidRPr="00AC1055" w:rsidRDefault="00064B3E" w:rsidP="00AC1055">
      <w:pPr>
        <w:spacing w:line="480" w:lineRule="auto"/>
        <w:rPr>
          <w:rFonts w:cs="Times New Roman"/>
        </w:rPr>
      </w:pPr>
      <w:proofErr w:type="spellStart"/>
      <w:r w:rsidRPr="00AC1055">
        <w:rPr>
          <w:rFonts w:cs="Times New Roman"/>
        </w:rPr>
        <w:t>Djankov</w:t>
      </w:r>
      <w:proofErr w:type="spellEnd"/>
      <w:r w:rsidRPr="00AC1055">
        <w:rPr>
          <w:rFonts w:cs="Times New Roman"/>
        </w:rPr>
        <w:t xml:space="preserve"> et al. in their 200</w:t>
      </w:r>
      <w:r w:rsidR="00DD16A8">
        <w:rPr>
          <w:rFonts w:cs="Times New Roman"/>
        </w:rPr>
        <w:t>5</w:t>
      </w:r>
      <w:r w:rsidRPr="00AC1055">
        <w:rPr>
          <w:rFonts w:cs="Times New Roman"/>
        </w:rPr>
        <w:t xml:space="preserve"> </w:t>
      </w:r>
      <w:r w:rsidR="00DD16A8">
        <w:rPr>
          <w:rFonts w:cs="Times New Roman"/>
        </w:rPr>
        <w:t>working</w:t>
      </w:r>
      <w:r w:rsidR="00DD16A8" w:rsidRPr="00AC1055">
        <w:rPr>
          <w:rFonts w:cs="Times New Roman"/>
        </w:rPr>
        <w:t xml:space="preserve"> </w:t>
      </w:r>
      <w:r w:rsidRPr="00AC1055">
        <w:rPr>
          <w:rFonts w:cs="Times New Roman"/>
        </w:rPr>
        <w:t>paper</w:t>
      </w:r>
      <w:r w:rsidRPr="00AC1055">
        <w:rPr>
          <w:rStyle w:val="FootnoteReference"/>
          <w:rFonts w:cs="Times New Roman"/>
        </w:rPr>
        <w:footnoteReference w:id="92"/>
      </w:r>
      <w:r w:rsidRPr="00AC1055">
        <w:rPr>
          <w:rFonts w:cs="Times New Roman"/>
        </w:rPr>
        <w:t xml:space="preserve"> investigated the impact of </w:t>
      </w:r>
      <w:r w:rsidR="00CF3516">
        <w:rPr>
          <w:rFonts w:cs="Times New Roman"/>
        </w:rPr>
        <w:t xml:space="preserve">the </w:t>
      </w:r>
      <w:r w:rsidR="00541878">
        <w:rPr>
          <w:rFonts w:cs="Times New Roman"/>
        </w:rPr>
        <w:t>‘</w:t>
      </w:r>
      <w:r w:rsidRPr="00AC1055">
        <w:rPr>
          <w:rFonts w:cs="Times New Roman"/>
        </w:rPr>
        <w:t>legal protection of minority shareholders against expropriation by corporate insiders</w:t>
      </w:r>
      <w:r w:rsidR="00541878">
        <w:rPr>
          <w:rFonts w:cs="Times New Roman"/>
        </w:rPr>
        <w:t>’</w:t>
      </w:r>
      <w:r w:rsidRPr="00AC1055">
        <w:rPr>
          <w:rFonts w:cs="Times New Roman"/>
        </w:rPr>
        <w:t xml:space="preserve"> (which they called </w:t>
      </w:r>
      <w:r w:rsidR="00CF3516">
        <w:rPr>
          <w:rFonts w:cs="Times New Roman"/>
        </w:rPr>
        <w:t xml:space="preserve">the </w:t>
      </w:r>
      <w:r w:rsidRPr="00AC1055">
        <w:rPr>
          <w:rFonts w:cs="Times New Roman"/>
        </w:rPr>
        <w:t xml:space="preserve">anti-self-dealing index) on stock market development (which </w:t>
      </w:r>
      <w:r w:rsidR="00CF3516">
        <w:rPr>
          <w:rFonts w:cs="Times New Roman"/>
        </w:rPr>
        <w:t xml:space="preserve">was </w:t>
      </w:r>
      <w:r w:rsidRPr="00AC1055">
        <w:rPr>
          <w:rFonts w:cs="Times New Roman"/>
        </w:rPr>
        <w:t xml:space="preserve">comprised of five variables – ratio of Stock market capitalization to GDP, control premium, log of firm to population ratio, average ratio of IPO to GDP and ownership concentration). To isolate this impact </w:t>
      </w:r>
      <w:proofErr w:type="spellStart"/>
      <w:r w:rsidRPr="00AC1055">
        <w:rPr>
          <w:rFonts w:cs="Times New Roman"/>
        </w:rPr>
        <w:t>Djankov</w:t>
      </w:r>
      <w:proofErr w:type="spellEnd"/>
      <w:r w:rsidRPr="00AC1055">
        <w:rPr>
          <w:rFonts w:cs="Times New Roman"/>
        </w:rPr>
        <w:t xml:space="preserve"> et al. controlled for log of per capita Gross Domestic Product on the basis that </w:t>
      </w:r>
      <w:r w:rsidR="00CF3516">
        <w:rPr>
          <w:rFonts w:cs="Times New Roman"/>
        </w:rPr>
        <w:t xml:space="preserve">an </w:t>
      </w:r>
      <w:r w:rsidRPr="00AC1055">
        <w:rPr>
          <w:rFonts w:cs="Times New Roman"/>
        </w:rPr>
        <w:t xml:space="preserve">increase in economic wellbeing would allow for surplus cash which </w:t>
      </w:r>
      <w:r w:rsidR="00CF3516">
        <w:rPr>
          <w:rFonts w:cs="Times New Roman"/>
        </w:rPr>
        <w:t>could</w:t>
      </w:r>
      <w:r w:rsidR="00CF3516" w:rsidRPr="00AC1055">
        <w:rPr>
          <w:rFonts w:cs="Times New Roman"/>
        </w:rPr>
        <w:t xml:space="preserve"> </w:t>
      </w:r>
      <w:r w:rsidRPr="00AC1055">
        <w:rPr>
          <w:rFonts w:cs="Times New Roman"/>
        </w:rPr>
        <w:t xml:space="preserve">be invested in </w:t>
      </w:r>
      <w:r w:rsidR="00CF3516">
        <w:rPr>
          <w:rFonts w:cs="Times New Roman"/>
        </w:rPr>
        <w:t xml:space="preserve">the </w:t>
      </w:r>
      <w:r w:rsidRPr="00AC1055">
        <w:rPr>
          <w:rFonts w:cs="Times New Roman"/>
        </w:rPr>
        <w:t xml:space="preserve">financial market; to control for enforcement they looked at </w:t>
      </w:r>
      <w:r w:rsidR="00CF3516">
        <w:rPr>
          <w:rFonts w:cs="Times New Roman"/>
        </w:rPr>
        <w:t xml:space="preserve">a </w:t>
      </w:r>
      <w:r w:rsidRPr="00AC1055">
        <w:rPr>
          <w:rFonts w:cs="Times New Roman"/>
        </w:rPr>
        <w:t>log of</w:t>
      </w:r>
      <w:r w:rsidR="00CF3516">
        <w:rPr>
          <w:rFonts w:cs="Times New Roman"/>
        </w:rPr>
        <w:t xml:space="preserve"> the</w:t>
      </w:r>
      <w:r w:rsidRPr="00AC1055">
        <w:rPr>
          <w:rFonts w:cs="Times New Roman"/>
        </w:rPr>
        <w:t xml:space="preserve"> time</w:t>
      </w:r>
      <w:r w:rsidR="00CF3516">
        <w:rPr>
          <w:rFonts w:cs="Times New Roman"/>
        </w:rPr>
        <w:t xml:space="preserve"> taken</w:t>
      </w:r>
      <w:r w:rsidRPr="00AC1055">
        <w:rPr>
          <w:rFonts w:cs="Times New Roman"/>
        </w:rPr>
        <w:t xml:space="preserve"> to collect on a b</w:t>
      </w:r>
      <w:r w:rsidR="009B0DA6">
        <w:rPr>
          <w:rFonts w:cs="Times New Roman"/>
        </w:rPr>
        <w:t xml:space="preserve">ounced check; following the </w:t>
      </w:r>
      <w:r w:rsidR="009B0DA6" w:rsidRPr="009B0DA6">
        <w:rPr>
          <w:rFonts w:cs="Times New Roman"/>
        </w:rPr>
        <w:t>La Porta et al.</w:t>
      </w:r>
      <w:r w:rsidRPr="00AC1055">
        <w:rPr>
          <w:rFonts w:cs="Times New Roman"/>
        </w:rPr>
        <w:t xml:space="preserve"> hypothesis of </w:t>
      </w:r>
      <w:r w:rsidR="00B66674">
        <w:rPr>
          <w:rFonts w:cs="Times New Roman"/>
        </w:rPr>
        <w:t xml:space="preserve">the </w:t>
      </w:r>
      <w:r w:rsidRPr="00AC1055">
        <w:rPr>
          <w:rFonts w:cs="Times New Roman"/>
        </w:rPr>
        <w:t xml:space="preserve">financial market </w:t>
      </w:r>
      <w:r w:rsidRPr="00AC1055">
        <w:rPr>
          <w:rFonts w:cs="Times New Roman"/>
        </w:rPr>
        <w:lastRenderedPageBreak/>
        <w:t>being influenced by legal origin they controlled for the type of legal origin (whether or not the country was under a common law system); disclosure and liability in publishing a prospectus is controlled ‘to deal with the problem of the validity of the instrument’</w:t>
      </w:r>
      <w:r w:rsidRPr="00AC1055">
        <w:rPr>
          <w:rStyle w:val="FootnoteReference"/>
          <w:rFonts w:cs="Times New Roman"/>
        </w:rPr>
        <w:footnoteReference w:id="93"/>
      </w:r>
      <w:r w:rsidRPr="00AC1055">
        <w:rPr>
          <w:rFonts w:cs="Times New Roman"/>
        </w:rPr>
        <w:t xml:space="preserve"> and </w:t>
      </w:r>
      <w:r w:rsidR="00B66674">
        <w:rPr>
          <w:rFonts w:cs="Times New Roman"/>
        </w:rPr>
        <w:t xml:space="preserve">to </w:t>
      </w:r>
      <w:r w:rsidRPr="00AC1055">
        <w:rPr>
          <w:rFonts w:cs="Times New Roman"/>
        </w:rPr>
        <w:t>take into account as financial market indicators ‘heavily focus on disclosure’; tax evasion is control</w:t>
      </w:r>
      <w:r w:rsidR="00902A0F" w:rsidRPr="00AC1055">
        <w:rPr>
          <w:rFonts w:cs="Times New Roman"/>
        </w:rPr>
        <w:t>led for as it is significant</w:t>
      </w:r>
      <w:r w:rsidRPr="00AC1055">
        <w:rPr>
          <w:rFonts w:cs="Times New Roman"/>
        </w:rPr>
        <w:t xml:space="preserve"> ‘for stock market capitalization and log domestic firms per capita and it is a subjective variable highly correlated with perceptions of the quality of corporate governance as </w:t>
      </w:r>
      <w:proofErr w:type="spellStart"/>
      <w:r w:rsidRPr="00AC1055">
        <w:rPr>
          <w:rFonts w:cs="Times New Roman"/>
        </w:rPr>
        <w:t>proxied</w:t>
      </w:r>
      <w:proofErr w:type="spellEnd"/>
      <w:r w:rsidRPr="00AC1055">
        <w:rPr>
          <w:rFonts w:cs="Times New Roman"/>
        </w:rPr>
        <w:t xml:space="preserve"> by the perceived incidence of insider trading or the perceived quality of financial disclosure’,</w:t>
      </w:r>
      <w:r w:rsidRPr="00AC1055">
        <w:rPr>
          <w:rStyle w:val="FootnoteReference"/>
          <w:rFonts w:cs="Times New Roman"/>
        </w:rPr>
        <w:footnoteReference w:id="94"/>
      </w:r>
      <w:r w:rsidRPr="00AC1055">
        <w:rPr>
          <w:rFonts w:cs="Times New Roman"/>
        </w:rPr>
        <w:t xml:space="preserve">  therefore to rule out </w:t>
      </w:r>
      <w:r w:rsidR="00B66674">
        <w:rPr>
          <w:rFonts w:cs="Times New Roman"/>
        </w:rPr>
        <w:t xml:space="preserve">the </w:t>
      </w:r>
      <w:r w:rsidRPr="00AC1055">
        <w:rPr>
          <w:rFonts w:cs="Times New Roman"/>
        </w:rPr>
        <w:t xml:space="preserve">effect of </w:t>
      </w:r>
      <w:r w:rsidR="00B66674">
        <w:rPr>
          <w:rFonts w:cs="Times New Roman"/>
        </w:rPr>
        <w:t xml:space="preserve">the </w:t>
      </w:r>
      <w:r w:rsidRPr="00AC1055">
        <w:rPr>
          <w:rFonts w:cs="Times New Roman"/>
        </w:rPr>
        <w:t>informal economy on financial market indicators</w:t>
      </w:r>
      <w:r w:rsidR="00B66674">
        <w:rPr>
          <w:rFonts w:cs="Times New Roman"/>
        </w:rPr>
        <w:t>,</w:t>
      </w:r>
      <w:r w:rsidRPr="00AC1055">
        <w:rPr>
          <w:rFonts w:cs="Times New Roman"/>
        </w:rPr>
        <w:t xml:space="preserve"> </w:t>
      </w:r>
      <w:proofErr w:type="spellStart"/>
      <w:r w:rsidRPr="00AC1055">
        <w:rPr>
          <w:rFonts w:cs="Times New Roman"/>
        </w:rPr>
        <w:t>Djankov</w:t>
      </w:r>
      <w:proofErr w:type="spellEnd"/>
      <w:r w:rsidRPr="00AC1055">
        <w:rPr>
          <w:rFonts w:cs="Times New Roman"/>
        </w:rPr>
        <w:t xml:space="preserve"> et al. use tax evasion as a control; they next control for newspaper circulation as it can be a proxy for </w:t>
      </w:r>
      <w:r w:rsidR="00541878">
        <w:rPr>
          <w:rFonts w:cs="Times New Roman"/>
        </w:rPr>
        <w:t>‘</w:t>
      </w:r>
      <w:r w:rsidRPr="00AC1055">
        <w:rPr>
          <w:rFonts w:cs="Times New Roman"/>
        </w:rPr>
        <w:t xml:space="preserve">public opinion pressure, </w:t>
      </w:r>
      <w:r w:rsidR="00541878">
        <w:rPr>
          <w:rFonts w:cs="Times New Roman"/>
        </w:rPr>
        <w:t>[</w:t>
      </w:r>
      <w:r w:rsidRPr="00AC1055">
        <w:rPr>
          <w:rFonts w:cs="Times New Roman"/>
        </w:rPr>
        <w:t>which</w:t>
      </w:r>
      <w:r w:rsidR="00541878">
        <w:rPr>
          <w:rFonts w:cs="Times New Roman"/>
        </w:rPr>
        <w:t>]</w:t>
      </w:r>
      <w:r w:rsidRPr="00AC1055">
        <w:rPr>
          <w:rFonts w:cs="Times New Roman"/>
        </w:rPr>
        <w:t xml:space="preserve"> through the media could also curb private benefits</w:t>
      </w:r>
      <w:r w:rsidR="00541878">
        <w:rPr>
          <w:rFonts w:cs="Times New Roman"/>
        </w:rPr>
        <w:t>’</w:t>
      </w:r>
      <w:r w:rsidRPr="00AC1055">
        <w:rPr>
          <w:rFonts w:cs="Times New Roman"/>
        </w:rPr>
        <w:t xml:space="preserve">, thus a control for newspaper circulation can effectively allay concerns that </w:t>
      </w:r>
      <w:r w:rsidR="00B66674">
        <w:rPr>
          <w:rFonts w:cs="Times New Roman"/>
        </w:rPr>
        <w:t xml:space="preserve">the </w:t>
      </w:r>
      <w:r w:rsidRPr="00AC1055">
        <w:rPr>
          <w:rFonts w:cs="Times New Roman"/>
        </w:rPr>
        <w:t xml:space="preserve">benefits of disclosure come not from anti self-dealing measures but </w:t>
      </w:r>
      <w:r w:rsidR="00541878">
        <w:rPr>
          <w:rFonts w:cs="Times New Roman"/>
        </w:rPr>
        <w:t>‘</w:t>
      </w:r>
      <w:r w:rsidRPr="00AC1055">
        <w:rPr>
          <w:rFonts w:cs="Times New Roman"/>
        </w:rPr>
        <w:t>from the effects of the open media working as a watchdog</w:t>
      </w:r>
      <w:r w:rsidR="00541878">
        <w:rPr>
          <w:rFonts w:cs="Times New Roman"/>
        </w:rPr>
        <w:t>’</w:t>
      </w:r>
      <w:r w:rsidRPr="00AC1055">
        <w:rPr>
          <w:rFonts w:cs="Times New Roman"/>
        </w:rPr>
        <w:t xml:space="preserve">; finally </w:t>
      </w:r>
      <w:proofErr w:type="spellStart"/>
      <w:r w:rsidRPr="00AC1055">
        <w:rPr>
          <w:rFonts w:cs="Times New Roman"/>
        </w:rPr>
        <w:t>Djankov</w:t>
      </w:r>
      <w:proofErr w:type="spellEnd"/>
      <w:r w:rsidRPr="00AC1055">
        <w:rPr>
          <w:rFonts w:cs="Times New Roman"/>
        </w:rPr>
        <w:t xml:space="preserve"> et al. look at whether investor protection is a by-product of political determinants rather than legislative competence in drafting robust anti self-dealing regulations, so they control for legislative competitiveness and proportional representation in legislature on the basis of the model (</w:t>
      </w:r>
      <w:proofErr w:type="spellStart"/>
      <w:r w:rsidRPr="00AC1055">
        <w:rPr>
          <w:rFonts w:cs="Times New Roman"/>
        </w:rPr>
        <w:t>Volpin</w:t>
      </w:r>
      <w:proofErr w:type="spellEnd"/>
      <w:r w:rsidRPr="00AC1055">
        <w:rPr>
          <w:rFonts w:cs="Times New Roman"/>
        </w:rPr>
        <w:t xml:space="preserve"> and Pagano 2005) that one sided legislative assemblies with </w:t>
      </w:r>
      <w:r w:rsidR="00541878">
        <w:rPr>
          <w:rFonts w:cs="Times New Roman"/>
        </w:rPr>
        <w:t>‘</w:t>
      </w:r>
      <w:r w:rsidRPr="00AC1055">
        <w:rPr>
          <w:rFonts w:cs="Times New Roman"/>
        </w:rPr>
        <w:t>higher proportional electoral systems are conducive to weaker investor protection</w:t>
      </w:r>
      <w:r w:rsidR="00541878">
        <w:rPr>
          <w:rFonts w:cs="Times New Roman"/>
        </w:rPr>
        <w:t>’</w:t>
      </w:r>
      <w:r w:rsidRPr="00AC1055">
        <w:rPr>
          <w:rFonts w:cs="Times New Roman"/>
        </w:rPr>
        <w:t xml:space="preserve">. </w:t>
      </w:r>
      <w:proofErr w:type="spellStart"/>
      <w:r w:rsidRPr="00AC1055">
        <w:rPr>
          <w:rFonts w:cs="Times New Roman"/>
        </w:rPr>
        <w:t>Djankov</w:t>
      </w:r>
      <w:proofErr w:type="spellEnd"/>
      <w:r w:rsidRPr="00AC1055">
        <w:rPr>
          <w:rFonts w:cs="Times New Roman"/>
        </w:rPr>
        <w:t xml:space="preserve"> et al. also use the control variables to construct alternate theories and test their original hypothesis.</w:t>
      </w:r>
    </w:p>
    <w:p w14:paraId="3AA0E2D4" w14:textId="43055E33" w:rsidR="00064B3E" w:rsidRPr="00AC1055" w:rsidRDefault="00064B3E" w:rsidP="00AC1055">
      <w:pPr>
        <w:spacing w:line="480" w:lineRule="auto"/>
        <w:rPr>
          <w:rFonts w:cs="Times New Roman"/>
        </w:rPr>
      </w:pPr>
      <w:r w:rsidRPr="00AC1055">
        <w:rPr>
          <w:rFonts w:cs="Times New Roman"/>
        </w:rPr>
        <w:lastRenderedPageBreak/>
        <w:t>Armour</w:t>
      </w:r>
      <w:r w:rsidR="00D22650">
        <w:rPr>
          <w:rFonts w:cs="Times New Roman"/>
        </w:rPr>
        <w:t>, Deakin</w:t>
      </w:r>
      <w:r w:rsidRPr="00AC1055">
        <w:rPr>
          <w:rFonts w:cs="Times New Roman"/>
        </w:rPr>
        <w:t xml:space="preserve"> et al. in 2008</w:t>
      </w:r>
      <w:r w:rsidRPr="00AC1055">
        <w:rPr>
          <w:rStyle w:val="FootnoteReference"/>
          <w:rFonts w:cs="Times New Roman"/>
        </w:rPr>
        <w:footnoteReference w:id="95"/>
      </w:r>
      <w:r w:rsidRPr="00AC1055">
        <w:rPr>
          <w:rFonts w:cs="Times New Roman"/>
        </w:rPr>
        <w:t xml:space="preserve"> while analysing the possibility of a link between shareholder protection and stock market development controlled for legal origin, state of economic development </w:t>
      </w:r>
      <w:proofErr w:type="spellStart"/>
      <w:r w:rsidRPr="00AC1055">
        <w:rPr>
          <w:rFonts w:cs="Times New Roman"/>
        </w:rPr>
        <w:t>proxied</w:t>
      </w:r>
      <w:proofErr w:type="spellEnd"/>
      <w:r w:rsidRPr="00AC1055">
        <w:rPr>
          <w:rFonts w:cs="Times New Roman"/>
        </w:rPr>
        <w:t xml:space="preserve"> by level of per capita GDP and countries’ positions on the World Bank ‘rule of law’ index.</w:t>
      </w:r>
    </w:p>
    <w:p w14:paraId="492AC2D2" w14:textId="7409E0D3" w:rsidR="00064B3E" w:rsidRPr="00AC1055" w:rsidRDefault="00064B3E" w:rsidP="00AC1055">
      <w:pPr>
        <w:spacing w:line="480" w:lineRule="auto"/>
        <w:rPr>
          <w:rFonts w:cs="Times New Roman"/>
        </w:rPr>
      </w:pPr>
      <w:r w:rsidRPr="00AC1055">
        <w:rPr>
          <w:rFonts w:cs="Times New Roman"/>
        </w:rPr>
        <w:t>The final 2008 paper</w:t>
      </w:r>
      <w:r w:rsidRPr="00AC1055">
        <w:rPr>
          <w:rStyle w:val="FootnoteReference"/>
          <w:rFonts w:cs="Times New Roman"/>
        </w:rPr>
        <w:footnoteReference w:id="96"/>
      </w:r>
      <w:r w:rsidR="009B0DA6">
        <w:rPr>
          <w:rFonts w:cs="Times New Roman"/>
        </w:rPr>
        <w:t xml:space="preserve"> from </w:t>
      </w:r>
      <w:r w:rsidR="009B0DA6" w:rsidRPr="009B0DA6">
        <w:rPr>
          <w:rFonts w:cs="Times New Roman"/>
        </w:rPr>
        <w:t>La Porta et al.</w:t>
      </w:r>
      <w:r w:rsidRPr="00AC1055">
        <w:rPr>
          <w:rFonts w:cs="Times New Roman"/>
        </w:rPr>
        <w:t xml:space="preserve"> summarised the research development in correlating financial growth with le</w:t>
      </w:r>
      <w:r w:rsidR="009B0DA6">
        <w:rPr>
          <w:rFonts w:cs="Times New Roman"/>
        </w:rPr>
        <w:t xml:space="preserve">gal origin hypothesis. Thus </w:t>
      </w:r>
      <w:r w:rsidR="009B0DA6" w:rsidRPr="009B0DA6">
        <w:rPr>
          <w:rFonts w:cs="Times New Roman"/>
        </w:rPr>
        <w:t>La Porta et al.</w:t>
      </w:r>
      <w:r w:rsidRPr="00AC1055">
        <w:rPr>
          <w:rFonts w:cs="Times New Roman"/>
        </w:rPr>
        <w:t xml:space="preserve"> once again sought to prove ‘that the historical origin of a country’s laws is highly correlated with a broad range of its legal rules and regulations, as well as with economic outcomes.’ In this paper they control for per capita income as a very crude proxy for quality of judiciary and hence enforcement; they also control for measure of human capital, </w:t>
      </w:r>
      <w:proofErr w:type="spellStart"/>
      <w:r w:rsidRPr="00AC1055">
        <w:rPr>
          <w:rFonts w:cs="Times New Roman"/>
        </w:rPr>
        <w:t>proxied</w:t>
      </w:r>
      <w:proofErr w:type="spellEnd"/>
      <w:r w:rsidRPr="00AC1055">
        <w:rPr>
          <w:rFonts w:cs="Times New Roman"/>
        </w:rPr>
        <w:t xml:space="preserve"> by average years of schooling in 1960, as growth in education leads to growth of </w:t>
      </w:r>
      <w:r w:rsidR="00B66674">
        <w:rPr>
          <w:rFonts w:cs="Times New Roman"/>
        </w:rPr>
        <w:t xml:space="preserve">the </w:t>
      </w:r>
      <w:r w:rsidRPr="00AC1055">
        <w:rPr>
          <w:rFonts w:cs="Times New Roman"/>
        </w:rPr>
        <w:t>economy in general. In a telling conclusion highlighting the importance of</w:t>
      </w:r>
      <w:r w:rsidR="009B0DA6">
        <w:rPr>
          <w:rFonts w:cs="Times New Roman"/>
        </w:rPr>
        <w:t xml:space="preserve"> correct control variables, </w:t>
      </w:r>
      <w:r w:rsidR="009B0DA6" w:rsidRPr="009B0DA6">
        <w:rPr>
          <w:rFonts w:cs="Times New Roman"/>
        </w:rPr>
        <w:t>La Porta et al.</w:t>
      </w:r>
      <w:r w:rsidRPr="00AC1055">
        <w:rPr>
          <w:rFonts w:cs="Times New Roman"/>
        </w:rPr>
        <w:t xml:space="preserve"> state that ‘If politics were appropriately controlled for in the regressions</w:t>
      </w:r>
      <w:r w:rsidR="00DD710F" w:rsidRPr="00AC1055">
        <w:rPr>
          <w:rFonts w:cs="Times New Roman"/>
        </w:rPr>
        <w:t xml:space="preserve"> legal origin would not matter</w:t>
      </w:r>
      <w:r w:rsidRPr="00AC1055">
        <w:rPr>
          <w:rFonts w:cs="Times New Roman"/>
        </w:rPr>
        <w:t>.’</w:t>
      </w:r>
      <w:r w:rsidRPr="00AC1055">
        <w:rPr>
          <w:rStyle w:val="FootnoteReference"/>
          <w:rFonts w:cs="Times New Roman"/>
        </w:rPr>
        <w:footnoteReference w:id="97"/>
      </w:r>
    </w:p>
    <w:p w14:paraId="0880CA09" w14:textId="18DF8853" w:rsidR="00064B3E" w:rsidRPr="00AC1055" w:rsidRDefault="00064B3E" w:rsidP="00AC1055">
      <w:pPr>
        <w:spacing w:line="480" w:lineRule="auto"/>
        <w:rPr>
          <w:rFonts w:cs="Times New Roman"/>
        </w:rPr>
      </w:pPr>
      <w:r w:rsidRPr="00AC1055">
        <w:rPr>
          <w:rFonts w:cs="Times New Roman"/>
        </w:rPr>
        <w:t xml:space="preserve">In </w:t>
      </w:r>
      <w:r w:rsidR="00B66674">
        <w:rPr>
          <w:rFonts w:cs="Times New Roman"/>
        </w:rPr>
        <w:t>this</w:t>
      </w:r>
      <w:r w:rsidR="00B66674" w:rsidRPr="00AC1055">
        <w:rPr>
          <w:rFonts w:cs="Times New Roman"/>
        </w:rPr>
        <w:t xml:space="preserve"> </w:t>
      </w:r>
      <w:r w:rsidRPr="00AC1055">
        <w:rPr>
          <w:rFonts w:cs="Times New Roman"/>
        </w:rPr>
        <w:t>study the dependent variables representing financial market development or growth comprise of market capitalisation, annual foreign direct investment, number of IPOs, S&amp;P global equity index and stock turnover ratio (these variables ha</w:t>
      </w:r>
      <w:r w:rsidR="0090402F">
        <w:rPr>
          <w:rFonts w:cs="Times New Roman"/>
        </w:rPr>
        <w:t xml:space="preserve">ve been justified in </w:t>
      </w:r>
      <w:r w:rsidRPr="00AC1055">
        <w:rPr>
          <w:rFonts w:cs="Times New Roman"/>
        </w:rPr>
        <w:t>section</w:t>
      </w:r>
      <w:r w:rsidR="0090402F">
        <w:rPr>
          <w:rFonts w:cs="Times New Roman"/>
        </w:rPr>
        <w:t xml:space="preserve"> 2.4</w:t>
      </w:r>
      <w:r w:rsidRPr="00AC1055">
        <w:rPr>
          <w:rFonts w:cs="Times New Roman"/>
        </w:rPr>
        <w:t>)</w:t>
      </w:r>
      <w:r w:rsidR="00B66674">
        <w:rPr>
          <w:rFonts w:cs="Times New Roman"/>
        </w:rPr>
        <w:t>.</w:t>
      </w:r>
    </w:p>
    <w:p w14:paraId="4FD36348" w14:textId="2987C0B5" w:rsidR="00064B3E" w:rsidRPr="00AC1055" w:rsidRDefault="00064B3E" w:rsidP="00AC1055">
      <w:pPr>
        <w:spacing w:line="480" w:lineRule="auto"/>
        <w:rPr>
          <w:rFonts w:cs="Times New Roman"/>
        </w:rPr>
      </w:pPr>
      <w:r w:rsidRPr="00AC1055">
        <w:rPr>
          <w:rFonts w:cs="Times New Roman"/>
        </w:rPr>
        <w:t>Thus control variables should adhere to the following qualities:</w:t>
      </w:r>
    </w:p>
    <w:p w14:paraId="7B949AD8" w14:textId="77777777" w:rsidR="00064B3E" w:rsidRPr="00AC1055" w:rsidRDefault="00064B3E" w:rsidP="00AC1055">
      <w:pPr>
        <w:pStyle w:val="ListParagraph"/>
        <w:numPr>
          <w:ilvl w:val="0"/>
          <w:numId w:val="1"/>
        </w:numPr>
        <w:spacing w:line="480" w:lineRule="auto"/>
        <w:rPr>
          <w:rFonts w:cs="Times New Roman"/>
        </w:rPr>
      </w:pPr>
      <w:r w:rsidRPr="00AC1055">
        <w:rPr>
          <w:rFonts w:cs="Times New Roman"/>
        </w:rPr>
        <w:t xml:space="preserve">they must affect any one of the preceding financial market variables or directly related economic growth variables with supporting literature </w:t>
      </w:r>
    </w:p>
    <w:p w14:paraId="0F053A92" w14:textId="77777777" w:rsidR="00064B3E" w:rsidRPr="00AC1055" w:rsidRDefault="00064B3E" w:rsidP="00AC1055">
      <w:pPr>
        <w:pStyle w:val="ListParagraph"/>
        <w:numPr>
          <w:ilvl w:val="0"/>
          <w:numId w:val="1"/>
        </w:numPr>
        <w:spacing w:line="480" w:lineRule="auto"/>
        <w:rPr>
          <w:rFonts w:cs="Times New Roman"/>
        </w:rPr>
      </w:pPr>
      <w:r w:rsidRPr="00AC1055">
        <w:rPr>
          <w:rFonts w:cs="Times New Roman"/>
        </w:rPr>
        <w:t>they should not directly affect the corporate governance framework variables</w:t>
      </w:r>
    </w:p>
    <w:p w14:paraId="56A4AE4E" w14:textId="7B67E98C" w:rsidR="00064B3E" w:rsidRPr="00AC1055" w:rsidRDefault="00064B3E" w:rsidP="00AC1055">
      <w:pPr>
        <w:spacing w:line="480" w:lineRule="auto"/>
        <w:rPr>
          <w:rFonts w:cs="Times New Roman"/>
        </w:rPr>
      </w:pPr>
      <w:r w:rsidRPr="00AC1055">
        <w:rPr>
          <w:rFonts w:cs="Times New Roman"/>
        </w:rPr>
        <w:lastRenderedPageBreak/>
        <w:t xml:space="preserve">The control index is subdivided into four broad categories: macroeconomic indicators, human development and financial inclusion indicators, proxies for enforcement and indicators for industrial value addition through </w:t>
      </w:r>
      <w:r w:rsidR="005A628A">
        <w:rPr>
          <w:rFonts w:cs="Times New Roman"/>
        </w:rPr>
        <w:t xml:space="preserve">an </w:t>
      </w:r>
      <w:r w:rsidRPr="00AC1055">
        <w:rPr>
          <w:rFonts w:cs="Times New Roman"/>
        </w:rPr>
        <w:t>increase in R&amp;D.</w:t>
      </w:r>
    </w:p>
    <w:p w14:paraId="0921C326" w14:textId="77777777" w:rsidR="00064B3E" w:rsidRPr="00A07A47" w:rsidRDefault="001A6C14" w:rsidP="00AC1055">
      <w:pPr>
        <w:spacing w:line="480" w:lineRule="auto"/>
        <w:rPr>
          <w:rFonts w:cs="Times New Roman"/>
          <w:b/>
          <w:u w:val="single"/>
        </w:rPr>
      </w:pPr>
      <w:r>
        <w:rPr>
          <w:rFonts w:cs="Times New Roman"/>
          <w:b/>
          <w:u w:val="single"/>
        </w:rPr>
        <w:t xml:space="preserve">2.5.1 </w:t>
      </w:r>
      <w:r w:rsidR="00064B3E" w:rsidRPr="00A07A47">
        <w:rPr>
          <w:rFonts w:cs="Times New Roman"/>
          <w:b/>
          <w:u w:val="single"/>
        </w:rPr>
        <w:t xml:space="preserve">Macroeconomic Indicators    </w:t>
      </w:r>
    </w:p>
    <w:p w14:paraId="6F483143" w14:textId="730B05BA" w:rsidR="00064B3E" w:rsidRPr="00AC1055" w:rsidRDefault="00064B3E" w:rsidP="00AC1055">
      <w:pPr>
        <w:spacing w:line="480" w:lineRule="auto"/>
        <w:rPr>
          <w:rFonts w:cs="Times New Roman"/>
        </w:rPr>
      </w:pPr>
      <w:r w:rsidRPr="00AC1055">
        <w:rPr>
          <w:rFonts w:cs="Times New Roman"/>
          <w:b/>
        </w:rPr>
        <w:t>Log GDP</w:t>
      </w:r>
      <w:r w:rsidRPr="00AC1055">
        <w:rPr>
          <w:rFonts w:cs="Times New Roman"/>
        </w:rPr>
        <w:t xml:space="preserve"> – this variable adjusts for the generally observed exponential growth of GDP and gives a clearer picture about the actual growth rate of GDP. This also, to an extent, nullifies the autocorrelation in real GDP values.</w:t>
      </w:r>
      <w:r w:rsidRPr="00AC1055">
        <w:rPr>
          <w:rStyle w:val="FootnoteReference"/>
          <w:rFonts w:cs="Times New Roman"/>
        </w:rPr>
        <w:footnoteReference w:id="98"/>
      </w:r>
      <w:r w:rsidRPr="00AC1055">
        <w:rPr>
          <w:rFonts w:cs="Times New Roman"/>
        </w:rPr>
        <w:t xml:space="preserve"> Log GDP acts as a proxy for economic growth. It is an accepted theory that there is a two way linkage between GDP and FDI, scholars like Hansen,</w:t>
      </w:r>
      <w:r w:rsidRPr="00AC1055">
        <w:rPr>
          <w:rStyle w:val="FootnoteReference"/>
          <w:rFonts w:cs="Times New Roman"/>
        </w:rPr>
        <w:footnoteReference w:id="99"/>
      </w:r>
      <w:r w:rsidRPr="00AC1055">
        <w:rPr>
          <w:rFonts w:cs="Times New Roman"/>
        </w:rPr>
        <w:t xml:space="preserve"> Basu et al.,</w:t>
      </w:r>
      <w:r w:rsidRPr="00AC1055">
        <w:rPr>
          <w:rStyle w:val="FootnoteReference"/>
          <w:rFonts w:cs="Times New Roman"/>
        </w:rPr>
        <w:footnoteReference w:id="100"/>
      </w:r>
      <w:r w:rsidRPr="00AC1055">
        <w:rPr>
          <w:rFonts w:cs="Times New Roman"/>
        </w:rPr>
        <w:t xml:space="preserve"> Hsiao</w:t>
      </w:r>
      <w:r w:rsidRPr="00AC1055">
        <w:rPr>
          <w:rStyle w:val="FootnoteReference"/>
          <w:rFonts w:cs="Times New Roman"/>
        </w:rPr>
        <w:footnoteReference w:id="101"/>
      </w:r>
      <w:r w:rsidRPr="00AC1055">
        <w:rPr>
          <w:rFonts w:cs="Times New Roman"/>
        </w:rPr>
        <w:t xml:space="preserve"> etc. have clearly enumerated the long term relationship between FDI and GDP. There is also an accepted relationship between GDP and </w:t>
      </w:r>
      <w:r w:rsidR="005A628A">
        <w:rPr>
          <w:rFonts w:cs="Times New Roman"/>
        </w:rPr>
        <w:t xml:space="preserve">the </w:t>
      </w:r>
      <w:r w:rsidRPr="00AC1055">
        <w:rPr>
          <w:rFonts w:cs="Times New Roman"/>
        </w:rPr>
        <w:t>stock index,</w:t>
      </w:r>
      <w:r w:rsidRPr="00AC1055">
        <w:rPr>
          <w:rStyle w:val="FootnoteReference"/>
          <w:rFonts w:cs="Times New Roman"/>
        </w:rPr>
        <w:footnoteReference w:id="102"/>
      </w:r>
      <w:r w:rsidRPr="00AC1055">
        <w:rPr>
          <w:rFonts w:cs="Times New Roman"/>
        </w:rPr>
        <w:t xml:space="preserve"> as higher log GDP usually translates into </w:t>
      </w:r>
      <w:r w:rsidR="005A628A">
        <w:rPr>
          <w:rFonts w:cs="Times New Roman"/>
        </w:rPr>
        <w:t xml:space="preserve">an </w:t>
      </w:r>
      <w:r w:rsidRPr="00AC1055">
        <w:rPr>
          <w:rFonts w:cs="Times New Roman"/>
        </w:rPr>
        <w:t xml:space="preserve">increase in industrial output, which </w:t>
      </w:r>
      <w:proofErr w:type="spellStart"/>
      <w:r w:rsidRPr="00AC1055">
        <w:rPr>
          <w:rFonts w:cs="Times New Roman"/>
          <w:i/>
        </w:rPr>
        <w:t>pari</w:t>
      </w:r>
      <w:proofErr w:type="spellEnd"/>
      <w:r w:rsidRPr="00AC1055">
        <w:rPr>
          <w:rFonts w:cs="Times New Roman"/>
          <w:i/>
        </w:rPr>
        <w:t xml:space="preserve"> </w:t>
      </w:r>
      <w:proofErr w:type="spellStart"/>
      <w:r w:rsidRPr="00AC1055">
        <w:rPr>
          <w:rFonts w:cs="Times New Roman"/>
          <w:i/>
        </w:rPr>
        <w:t>passu</w:t>
      </w:r>
      <w:proofErr w:type="spellEnd"/>
      <w:r w:rsidRPr="00AC1055">
        <w:rPr>
          <w:rFonts w:cs="Times New Roman"/>
        </w:rPr>
        <w:t xml:space="preserve"> in turn should increase share prices. The data will be sourced from WB WDI dataset. </w:t>
      </w:r>
    </w:p>
    <w:p w14:paraId="3F96DAD7" w14:textId="77777777" w:rsidR="00064B3E" w:rsidRPr="00AC1055" w:rsidRDefault="00064B3E" w:rsidP="00AC1055">
      <w:pPr>
        <w:spacing w:line="480" w:lineRule="auto"/>
        <w:rPr>
          <w:rFonts w:cs="Times New Roman"/>
        </w:rPr>
      </w:pPr>
    </w:p>
    <w:p w14:paraId="19563B8E" w14:textId="57F8A31D" w:rsidR="00064B3E" w:rsidRPr="00AC1055" w:rsidRDefault="00064B3E" w:rsidP="00AC1055">
      <w:pPr>
        <w:spacing w:line="480" w:lineRule="auto"/>
        <w:rPr>
          <w:rFonts w:cs="Times New Roman"/>
        </w:rPr>
      </w:pPr>
      <w:r w:rsidRPr="00AC1055">
        <w:rPr>
          <w:rFonts w:cs="Times New Roman"/>
          <w:b/>
        </w:rPr>
        <w:t>Log GNP</w:t>
      </w:r>
      <w:r w:rsidRPr="00AC1055">
        <w:rPr>
          <w:rFonts w:cs="Times New Roman"/>
        </w:rPr>
        <w:t xml:space="preserve"> – log GNP adjusts for the actual growth of GNP, it thus provides for the growth in market value of all the goods and services produced in one year by labour and property supplied by the citizens of a country. Therefore it can account for an increase in the industrial productions, based on the investment made in a different </w:t>
      </w:r>
      <w:r w:rsidRPr="00AC1055">
        <w:rPr>
          <w:rFonts w:cs="Times New Roman"/>
        </w:rPr>
        <w:lastRenderedPageBreak/>
        <w:t>country and consequently can supplement GDP values which focus solely on the geographical location of production. Scholars like Cutler et al.,</w:t>
      </w:r>
      <w:r w:rsidRPr="00AC1055">
        <w:rPr>
          <w:rStyle w:val="FootnoteReference"/>
          <w:rFonts w:cs="Times New Roman"/>
        </w:rPr>
        <w:footnoteReference w:id="103"/>
      </w:r>
      <w:r w:rsidRPr="00AC1055">
        <w:rPr>
          <w:rFonts w:cs="Times New Roman"/>
        </w:rPr>
        <w:t xml:space="preserve"> </w:t>
      </w:r>
      <w:proofErr w:type="spellStart"/>
      <w:r w:rsidRPr="00AC1055">
        <w:rPr>
          <w:rFonts w:cs="Times New Roman"/>
        </w:rPr>
        <w:t>Dhakal</w:t>
      </w:r>
      <w:proofErr w:type="spellEnd"/>
      <w:r w:rsidRPr="00AC1055">
        <w:rPr>
          <w:rFonts w:cs="Times New Roman"/>
        </w:rPr>
        <w:t xml:space="preserve"> et al.,</w:t>
      </w:r>
      <w:r w:rsidRPr="00AC1055">
        <w:rPr>
          <w:rStyle w:val="FootnoteReference"/>
          <w:rFonts w:cs="Times New Roman"/>
        </w:rPr>
        <w:footnoteReference w:id="104"/>
      </w:r>
      <w:r w:rsidRPr="00AC1055">
        <w:rPr>
          <w:rFonts w:cs="Times New Roman"/>
        </w:rPr>
        <w:t xml:space="preserve"> </w:t>
      </w:r>
      <w:proofErr w:type="spellStart"/>
      <w:r w:rsidRPr="00AC1055">
        <w:rPr>
          <w:rFonts w:cs="Times New Roman"/>
        </w:rPr>
        <w:t>Mahdavi</w:t>
      </w:r>
      <w:proofErr w:type="spellEnd"/>
      <w:r w:rsidRPr="00AC1055">
        <w:rPr>
          <w:rStyle w:val="FootnoteReference"/>
          <w:rFonts w:cs="Times New Roman"/>
        </w:rPr>
        <w:footnoteReference w:id="105"/>
      </w:r>
      <w:r w:rsidRPr="00AC1055">
        <w:rPr>
          <w:rFonts w:cs="Times New Roman"/>
        </w:rPr>
        <w:t xml:space="preserve"> etc. have shown that there is a causality between market variations and GNP. The data will be sourced from WB WDI dataset.</w:t>
      </w:r>
      <w:r w:rsidR="00AA29AF">
        <w:rPr>
          <w:rFonts w:cs="Times New Roman"/>
        </w:rPr>
        <w:t xml:space="preserve"> However owing to the high correlation between log GDP and log GNP, we will not use log GNP.</w:t>
      </w:r>
    </w:p>
    <w:p w14:paraId="1C377B13" w14:textId="77777777" w:rsidR="00064B3E" w:rsidRPr="00AC1055" w:rsidRDefault="00064B3E" w:rsidP="00AC1055">
      <w:pPr>
        <w:spacing w:line="480" w:lineRule="auto"/>
        <w:rPr>
          <w:rFonts w:cs="Times New Roman"/>
        </w:rPr>
      </w:pPr>
    </w:p>
    <w:p w14:paraId="17793C21" w14:textId="7D8718AF" w:rsidR="00064B3E" w:rsidRPr="00AC1055" w:rsidRDefault="00064B3E" w:rsidP="00AC1055">
      <w:pPr>
        <w:spacing w:line="480" w:lineRule="auto"/>
        <w:rPr>
          <w:rFonts w:cs="Times New Roman"/>
        </w:rPr>
      </w:pPr>
      <w:r w:rsidRPr="00AC1055">
        <w:rPr>
          <w:rFonts w:cs="Times New Roman"/>
          <w:b/>
        </w:rPr>
        <w:t>Log PPP</w:t>
      </w:r>
      <w:r w:rsidRPr="00AC1055">
        <w:rPr>
          <w:rFonts w:cs="Times New Roman"/>
        </w:rPr>
        <w:t xml:space="preserve"> – Purchasing power parity determines the relative value of different currencies, thus </w:t>
      </w:r>
      <w:r w:rsidR="005A628A">
        <w:rPr>
          <w:rFonts w:cs="Times New Roman"/>
        </w:rPr>
        <w:t xml:space="preserve">an </w:t>
      </w:r>
      <w:r w:rsidRPr="00AC1055">
        <w:rPr>
          <w:rFonts w:cs="Times New Roman"/>
        </w:rPr>
        <w:t xml:space="preserve">increase in PPP would allow researchers to estimate the economic growth especially when the real GDP (which is pegged to a historic USD value) can fluctuate based on varying exchange rates. Thus log PPP complements both log GDP and log GNP in </w:t>
      </w:r>
      <w:proofErr w:type="spellStart"/>
      <w:r w:rsidRPr="00AC1055">
        <w:rPr>
          <w:rFonts w:cs="Times New Roman"/>
        </w:rPr>
        <w:t>proxying</w:t>
      </w:r>
      <w:proofErr w:type="spellEnd"/>
      <w:r w:rsidRPr="00AC1055">
        <w:rPr>
          <w:rFonts w:cs="Times New Roman"/>
        </w:rPr>
        <w:t xml:space="preserve"> for macroeconomic growth by stabilising inflationary forces.</w:t>
      </w:r>
      <w:r w:rsidRPr="00AC1055">
        <w:rPr>
          <w:rStyle w:val="FootnoteReference"/>
          <w:rFonts w:cs="Times New Roman"/>
        </w:rPr>
        <w:footnoteReference w:id="106"/>
      </w:r>
      <w:r w:rsidRPr="00AC1055">
        <w:rPr>
          <w:rFonts w:cs="Times New Roman"/>
        </w:rPr>
        <w:t xml:space="preserve"> This connection between PPP, capital flow, exchange rates and market growth has been explored by other researchers like Hung,</w:t>
      </w:r>
      <w:r w:rsidRPr="00AC1055">
        <w:rPr>
          <w:rStyle w:val="FootnoteReference"/>
          <w:rFonts w:cs="Times New Roman"/>
        </w:rPr>
        <w:footnoteReference w:id="107"/>
      </w:r>
      <w:r w:rsidRPr="00AC1055">
        <w:rPr>
          <w:rFonts w:cs="Times New Roman"/>
        </w:rPr>
        <w:t xml:space="preserve"> </w:t>
      </w:r>
      <w:proofErr w:type="spellStart"/>
      <w:r w:rsidRPr="00AC1055">
        <w:rPr>
          <w:rFonts w:cs="Times New Roman"/>
        </w:rPr>
        <w:t>Ammer</w:t>
      </w:r>
      <w:proofErr w:type="spellEnd"/>
      <w:r w:rsidRPr="00AC1055">
        <w:rPr>
          <w:rFonts w:cs="Times New Roman"/>
        </w:rPr>
        <w:t>,</w:t>
      </w:r>
      <w:r w:rsidRPr="00AC1055">
        <w:rPr>
          <w:rStyle w:val="FootnoteReference"/>
          <w:rFonts w:cs="Times New Roman"/>
        </w:rPr>
        <w:footnoteReference w:id="108"/>
      </w:r>
      <w:r w:rsidRPr="00AC1055">
        <w:rPr>
          <w:rFonts w:cs="Times New Roman"/>
        </w:rPr>
        <w:t xml:space="preserve"> </w:t>
      </w:r>
      <w:proofErr w:type="spellStart"/>
      <w:r w:rsidRPr="00AC1055">
        <w:rPr>
          <w:rFonts w:cs="Times New Roman"/>
        </w:rPr>
        <w:t>Sarno</w:t>
      </w:r>
      <w:proofErr w:type="spellEnd"/>
      <w:r w:rsidRPr="00AC1055">
        <w:rPr>
          <w:rFonts w:cs="Times New Roman"/>
        </w:rPr>
        <w:t>,</w:t>
      </w:r>
      <w:r w:rsidRPr="00AC1055">
        <w:rPr>
          <w:rStyle w:val="FootnoteReference"/>
          <w:rFonts w:cs="Times New Roman"/>
        </w:rPr>
        <w:footnoteReference w:id="109"/>
      </w:r>
      <w:r w:rsidRPr="00AC1055">
        <w:rPr>
          <w:rFonts w:cs="Times New Roman"/>
        </w:rPr>
        <w:t xml:space="preserve"> etc. The data will be sourced from </w:t>
      </w:r>
      <w:r w:rsidR="005A628A">
        <w:rPr>
          <w:rFonts w:cs="Times New Roman"/>
        </w:rPr>
        <w:t xml:space="preserve">the </w:t>
      </w:r>
      <w:r w:rsidRPr="00AC1055">
        <w:rPr>
          <w:rFonts w:cs="Times New Roman"/>
        </w:rPr>
        <w:t>WB WDI dataset.</w:t>
      </w:r>
    </w:p>
    <w:p w14:paraId="2104889E" w14:textId="77777777" w:rsidR="00064B3E" w:rsidRPr="00AC1055" w:rsidRDefault="00064B3E" w:rsidP="00AC1055">
      <w:pPr>
        <w:spacing w:line="480" w:lineRule="auto"/>
        <w:rPr>
          <w:rFonts w:cs="Times New Roman"/>
        </w:rPr>
      </w:pPr>
    </w:p>
    <w:p w14:paraId="45F9EBF1" w14:textId="789674AF" w:rsidR="00064B3E" w:rsidRPr="00AC1055" w:rsidRDefault="00064B3E" w:rsidP="00AC1055">
      <w:pPr>
        <w:spacing w:line="480" w:lineRule="auto"/>
        <w:rPr>
          <w:rFonts w:cs="Times New Roman"/>
        </w:rPr>
      </w:pPr>
      <w:r w:rsidRPr="00AC1055">
        <w:rPr>
          <w:rFonts w:cs="Times New Roman"/>
          <w:b/>
        </w:rPr>
        <w:t>Balance of payment</w:t>
      </w:r>
      <w:r w:rsidRPr="00AC1055">
        <w:rPr>
          <w:rFonts w:cs="Times New Roman"/>
        </w:rPr>
        <w:t xml:space="preserve"> or </w:t>
      </w:r>
      <w:r w:rsidRPr="00AC1055">
        <w:rPr>
          <w:rFonts w:cs="Times New Roman"/>
          <w:b/>
        </w:rPr>
        <w:t>Current a/c balance</w:t>
      </w:r>
      <w:r w:rsidRPr="00AC1055">
        <w:rPr>
          <w:rFonts w:cs="Times New Roman"/>
        </w:rPr>
        <w:t xml:space="preserve"> – this records all the financial transaction</w:t>
      </w:r>
      <w:r w:rsidR="005A628A">
        <w:rPr>
          <w:rFonts w:cs="Times New Roman"/>
        </w:rPr>
        <w:t>s</w:t>
      </w:r>
      <w:r w:rsidRPr="00AC1055">
        <w:rPr>
          <w:rFonts w:cs="Times New Roman"/>
        </w:rPr>
        <w:t xml:space="preserve"> between the economy of the country and rest of the world, it can be </w:t>
      </w:r>
      <w:r w:rsidRPr="00AC1055">
        <w:rPr>
          <w:rFonts w:cs="Times New Roman"/>
        </w:rPr>
        <w:lastRenderedPageBreak/>
        <w:t>crudely defined as the difference between the cost of import and export of all goods and services. Balance of payment has a direct effect on exchange rates,</w:t>
      </w:r>
      <w:r w:rsidRPr="00AC1055">
        <w:rPr>
          <w:rStyle w:val="FootnoteReference"/>
          <w:rFonts w:cs="Times New Roman"/>
        </w:rPr>
        <w:footnoteReference w:id="110"/>
      </w:r>
      <w:r w:rsidRPr="00AC1055">
        <w:rPr>
          <w:rFonts w:cs="Times New Roman"/>
        </w:rPr>
        <w:t xml:space="preserve"> exchange rate has direct impact on FDI.</w:t>
      </w:r>
      <w:r w:rsidRPr="00AC1055">
        <w:rPr>
          <w:rStyle w:val="FootnoteReference"/>
          <w:rFonts w:cs="Times New Roman"/>
        </w:rPr>
        <w:footnoteReference w:id="111"/>
      </w:r>
      <w:r w:rsidRPr="00AC1055">
        <w:rPr>
          <w:rFonts w:cs="Times New Roman"/>
        </w:rPr>
        <w:t xml:space="preserve"> Also if a country had suffered a balance of payment crisis its financial market would have reacted adversely during that period,</w:t>
      </w:r>
      <w:r w:rsidRPr="00AC1055">
        <w:rPr>
          <w:rStyle w:val="FootnoteReference"/>
          <w:rFonts w:cs="Times New Roman"/>
        </w:rPr>
        <w:footnoteReference w:id="112"/>
      </w:r>
      <w:r w:rsidRPr="00AC1055">
        <w:rPr>
          <w:rFonts w:cs="Times New Roman"/>
        </w:rPr>
        <w:t xml:space="preserve"> controlling for balance of payment would allow </w:t>
      </w:r>
      <w:r w:rsidR="005A628A">
        <w:rPr>
          <w:rFonts w:cs="Times New Roman"/>
        </w:rPr>
        <w:t>for the negation of</w:t>
      </w:r>
      <w:r w:rsidRPr="00AC1055">
        <w:rPr>
          <w:rFonts w:cs="Times New Roman"/>
        </w:rPr>
        <w:t xml:space="preserve"> such variations. The data will be sourced from </w:t>
      </w:r>
      <w:r w:rsidR="005A628A">
        <w:rPr>
          <w:rFonts w:cs="Times New Roman"/>
        </w:rPr>
        <w:t xml:space="preserve">the </w:t>
      </w:r>
      <w:r w:rsidRPr="00AC1055">
        <w:rPr>
          <w:rFonts w:cs="Times New Roman"/>
        </w:rPr>
        <w:t>WB WDI dataset.</w:t>
      </w:r>
    </w:p>
    <w:p w14:paraId="1FDD4E86" w14:textId="77777777" w:rsidR="00064B3E" w:rsidRPr="00AC1055" w:rsidRDefault="00064B3E" w:rsidP="00AC1055">
      <w:pPr>
        <w:spacing w:line="480" w:lineRule="auto"/>
        <w:rPr>
          <w:rFonts w:cs="Times New Roman"/>
        </w:rPr>
      </w:pPr>
    </w:p>
    <w:p w14:paraId="081A3995" w14:textId="03C0E5C5" w:rsidR="00064B3E" w:rsidRPr="00AC1055" w:rsidRDefault="00064B3E" w:rsidP="00AC1055">
      <w:pPr>
        <w:spacing w:line="480" w:lineRule="auto"/>
        <w:rPr>
          <w:rFonts w:cs="Times New Roman"/>
        </w:rPr>
      </w:pPr>
      <w:r w:rsidRPr="00AC1055">
        <w:rPr>
          <w:rFonts w:cs="Times New Roman"/>
          <w:b/>
        </w:rPr>
        <w:t>Deposit and lending interest rates</w:t>
      </w:r>
      <w:r w:rsidRPr="00AC1055">
        <w:rPr>
          <w:rFonts w:cs="Times New Roman"/>
        </w:rPr>
        <w:t xml:space="preserve"> – The World Bank defines interest rate spread as the interest rate charged by banks on loans to private sector customers minus the interest rate paid by commercial or similar banks for demand, time, or savings deposits. The Central banks of countries vary the interest rates </w:t>
      </w:r>
      <w:r w:rsidR="00DD710F" w:rsidRPr="00AC1055">
        <w:rPr>
          <w:rFonts w:cs="Times New Roman"/>
        </w:rPr>
        <w:t xml:space="preserve">and so </w:t>
      </w:r>
      <w:r w:rsidRPr="00AC1055">
        <w:rPr>
          <w:rFonts w:cs="Times New Roman"/>
        </w:rPr>
        <w:t>stimulate or slow down economies by increasing or restricting the flow of money and easy credit. Therefore the interest rates have a direct impact on the financial market.</w:t>
      </w:r>
      <w:r w:rsidRPr="00AC1055">
        <w:rPr>
          <w:rStyle w:val="FootnoteReference"/>
          <w:rFonts w:cs="Times New Roman"/>
        </w:rPr>
        <w:footnoteReference w:id="113"/>
      </w:r>
      <w:r w:rsidRPr="00AC1055">
        <w:rPr>
          <w:rFonts w:cs="Times New Roman"/>
        </w:rPr>
        <w:t xml:space="preserve"> Thus</w:t>
      </w:r>
      <w:r w:rsidR="005A628A">
        <w:rPr>
          <w:rFonts w:cs="Times New Roman"/>
        </w:rPr>
        <w:t>,</w:t>
      </w:r>
      <w:r w:rsidRPr="00AC1055">
        <w:rPr>
          <w:rFonts w:cs="Times New Roman"/>
        </w:rPr>
        <w:t xml:space="preserve"> interest rates can be used to control for monetary policy and structural shocks, inflationary pressure etc. and its effect on financial market.</w:t>
      </w:r>
      <w:r w:rsidRPr="00AC1055">
        <w:rPr>
          <w:rStyle w:val="FootnoteReference"/>
          <w:rFonts w:cs="Times New Roman"/>
        </w:rPr>
        <w:footnoteReference w:id="114"/>
      </w:r>
      <w:r w:rsidRPr="00AC1055">
        <w:rPr>
          <w:rFonts w:cs="Times New Roman"/>
        </w:rPr>
        <w:t xml:space="preserve"> The data will be sourced from </w:t>
      </w:r>
      <w:r w:rsidR="005A628A">
        <w:rPr>
          <w:rFonts w:cs="Times New Roman"/>
        </w:rPr>
        <w:t xml:space="preserve">the </w:t>
      </w:r>
      <w:r w:rsidRPr="00AC1055">
        <w:rPr>
          <w:rFonts w:cs="Times New Roman"/>
        </w:rPr>
        <w:t>WB WDI dataset.</w:t>
      </w:r>
    </w:p>
    <w:p w14:paraId="711FC6DE" w14:textId="77777777" w:rsidR="00064B3E" w:rsidRPr="00AC1055" w:rsidRDefault="00064B3E" w:rsidP="00AC1055">
      <w:pPr>
        <w:spacing w:line="480" w:lineRule="auto"/>
        <w:rPr>
          <w:rFonts w:cs="Times New Roman"/>
        </w:rPr>
      </w:pPr>
    </w:p>
    <w:p w14:paraId="6B1D2643" w14:textId="4AAB68AE" w:rsidR="00064B3E" w:rsidRPr="00AC1055" w:rsidRDefault="00064B3E" w:rsidP="00AC1055">
      <w:pPr>
        <w:spacing w:line="480" w:lineRule="auto"/>
        <w:rPr>
          <w:rFonts w:cs="Times New Roman"/>
        </w:rPr>
      </w:pPr>
      <w:r w:rsidRPr="00AC1055">
        <w:rPr>
          <w:rFonts w:cs="Times New Roman"/>
          <w:b/>
        </w:rPr>
        <w:t>External debt</w:t>
      </w:r>
      <w:r w:rsidRPr="00AC1055">
        <w:rPr>
          <w:rFonts w:cs="Times New Roman"/>
        </w:rPr>
        <w:t xml:space="preserve"> – this is the </w:t>
      </w:r>
      <w:r w:rsidR="004B0C86" w:rsidRPr="00AC1055">
        <w:rPr>
          <w:rFonts w:cs="Times New Roman"/>
        </w:rPr>
        <w:t xml:space="preserve">public </w:t>
      </w:r>
      <w:r w:rsidRPr="00AC1055">
        <w:rPr>
          <w:rFonts w:cs="Times New Roman"/>
        </w:rPr>
        <w:t>debt that is owed to foreign financial institutions.</w:t>
      </w:r>
      <w:r w:rsidR="004B0C86" w:rsidRPr="00AC1055">
        <w:rPr>
          <w:rStyle w:val="FootnoteReference"/>
          <w:rFonts w:cs="Times New Roman"/>
        </w:rPr>
        <w:footnoteReference w:id="115"/>
      </w:r>
      <w:r w:rsidRPr="00AC1055">
        <w:rPr>
          <w:rFonts w:cs="Times New Roman"/>
        </w:rPr>
        <w:t xml:space="preserve"> International lenders keep an eye on the ratio of GDP to external rate to secure themselves against the risk of default.</w:t>
      </w:r>
      <w:r w:rsidRPr="00AC1055">
        <w:rPr>
          <w:rStyle w:val="FootnoteReference"/>
          <w:rFonts w:cs="Times New Roman"/>
        </w:rPr>
        <w:footnoteReference w:id="116"/>
      </w:r>
      <w:r w:rsidRPr="00AC1055">
        <w:rPr>
          <w:rFonts w:cs="Times New Roman"/>
        </w:rPr>
        <w:t xml:space="preserve"> Thus when the foreign investment dries up smaller economies can fall into a growth trap where because of lower investment there is slower economic growth.</w:t>
      </w:r>
      <w:r w:rsidRPr="00AC1055">
        <w:rPr>
          <w:rStyle w:val="FootnoteReference"/>
          <w:rFonts w:cs="Times New Roman"/>
        </w:rPr>
        <w:footnoteReference w:id="117"/>
      </w:r>
      <w:r w:rsidRPr="00AC1055">
        <w:rPr>
          <w:rFonts w:cs="Times New Roman"/>
        </w:rPr>
        <w:t xml:space="preserve"> Research ha</w:t>
      </w:r>
      <w:r w:rsidR="005A628A">
        <w:rPr>
          <w:rFonts w:cs="Times New Roman"/>
        </w:rPr>
        <w:t>s</w:t>
      </w:r>
      <w:r w:rsidRPr="00AC1055">
        <w:rPr>
          <w:rFonts w:cs="Times New Roman"/>
        </w:rPr>
        <w:t xml:space="preserve"> now clear</w:t>
      </w:r>
      <w:r w:rsidR="005A628A">
        <w:rPr>
          <w:rFonts w:cs="Times New Roman"/>
        </w:rPr>
        <w:t>ly</w:t>
      </w:r>
      <w:r w:rsidRPr="00AC1055">
        <w:rPr>
          <w:rFonts w:cs="Times New Roman"/>
        </w:rPr>
        <w:t xml:space="preserve"> shown that higher external deb</w:t>
      </w:r>
      <w:r w:rsidR="00DD710F" w:rsidRPr="00AC1055">
        <w:rPr>
          <w:rFonts w:cs="Times New Roman"/>
        </w:rPr>
        <w:t>t</w:t>
      </w:r>
      <w:r w:rsidRPr="00AC1055">
        <w:rPr>
          <w:rFonts w:cs="Times New Roman"/>
        </w:rPr>
        <w:t>s lead to ever increasing debt servicing burden</w:t>
      </w:r>
      <w:r w:rsidR="005A628A">
        <w:rPr>
          <w:rFonts w:cs="Times New Roman"/>
        </w:rPr>
        <w:t>,</w:t>
      </w:r>
      <w:r w:rsidRPr="00AC1055">
        <w:rPr>
          <w:rFonts w:cs="Times New Roman"/>
        </w:rPr>
        <w:t xml:space="preserve"> which has a negative effect on the productivity of labour and capital</w:t>
      </w:r>
      <w:r w:rsidR="005A628A">
        <w:rPr>
          <w:rFonts w:cs="Times New Roman"/>
        </w:rPr>
        <w:t>,</w:t>
      </w:r>
      <w:r w:rsidRPr="00AC1055">
        <w:rPr>
          <w:rFonts w:cs="Times New Roman"/>
        </w:rPr>
        <w:t xml:space="preserve"> leading to adverse effects on long term economic growth.</w:t>
      </w:r>
      <w:r w:rsidRPr="00AC1055">
        <w:rPr>
          <w:rStyle w:val="FootnoteReference"/>
          <w:rFonts w:cs="Times New Roman"/>
        </w:rPr>
        <w:footnoteReference w:id="118"/>
      </w:r>
      <w:r w:rsidRPr="00AC1055">
        <w:rPr>
          <w:rFonts w:cs="Times New Roman"/>
        </w:rPr>
        <w:t xml:space="preserve"> Hence</w:t>
      </w:r>
      <w:r w:rsidR="005A628A">
        <w:rPr>
          <w:rFonts w:cs="Times New Roman"/>
        </w:rPr>
        <w:t>,</w:t>
      </w:r>
      <w:r w:rsidRPr="00AC1055">
        <w:rPr>
          <w:rFonts w:cs="Times New Roman"/>
        </w:rPr>
        <w:t xml:space="preserve"> it is important to control for </w:t>
      </w:r>
      <w:r w:rsidR="005A628A">
        <w:rPr>
          <w:rFonts w:cs="Times New Roman"/>
        </w:rPr>
        <w:t xml:space="preserve">the </w:t>
      </w:r>
      <w:r w:rsidRPr="00AC1055">
        <w:rPr>
          <w:rFonts w:cs="Times New Roman"/>
        </w:rPr>
        <w:t>negative impact of debt pressure and systemic shocks on financial growth especially in smaller emerging economies.</w:t>
      </w:r>
      <w:r w:rsidRPr="00AC1055">
        <w:rPr>
          <w:rStyle w:val="FootnoteReference"/>
          <w:rFonts w:cs="Times New Roman"/>
        </w:rPr>
        <w:footnoteReference w:id="119"/>
      </w:r>
    </w:p>
    <w:p w14:paraId="5851BCAB" w14:textId="77777777" w:rsidR="00064B3E" w:rsidRDefault="00064B3E" w:rsidP="00AC1055">
      <w:pPr>
        <w:spacing w:line="480" w:lineRule="auto"/>
        <w:rPr>
          <w:rFonts w:cs="Times New Roman"/>
        </w:rPr>
      </w:pPr>
    </w:p>
    <w:p w14:paraId="03534618" w14:textId="77777777" w:rsidR="00DD16A8" w:rsidRDefault="00DD16A8" w:rsidP="00AC1055">
      <w:pPr>
        <w:spacing w:line="480" w:lineRule="auto"/>
        <w:rPr>
          <w:rFonts w:cs="Times New Roman"/>
        </w:rPr>
      </w:pPr>
    </w:p>
    <w:p w14:paraId="2CB4C343" w14:textId="77777777" w:rsidR="00DD16A8" w:rsidRPr="00AC1055" w:rsidRDefault="00DD16A8" w:rsidP="00AC1055">
      <w:pPr>
        <w:spacing w:line="480" w:lineRule="auto"/>
        <w:rPr>
          <w:rFonts w:cs="Times New Roman"/>
        </w:rPr>
      </w:pPr>
    </w:p>
    <w:p w14:paraId="52BFCE5A" w14:textId="77777777" w:rsidR="00064B3E" w:rsidRPr="00A07A47" w:rsidRDefault="001A6C14" w:rsidP="00AC1055">
      <w:pPr>
        <w:spacing w:line="480" w:lineRule="auto"/>
        <w:rPr>
          <w:rFonts w:cs="Times New Roman"/>
          <w:b/>
          <w:u w:val="single"/>
        </w:rPr>
      </w:pPr>
      <w:r>
        <w:rPr>
          <w:rFonts w:cs="Times New Roman"/>
          <w:b/>
          <w:u w:val="single"/>
        </w:rPr>
        <w:lastRenderedPageBreak/>
        <w:t xml:space="preserve">2.5.2 </w:t>
      </w:r>
      <w:r w:rsidR="00064B3E" w:rsidRPr="00A07A47">
        <w:rPr>
          <w:rFonts w:cs="Times New Roman"/>
          <w:b/>
          <w:u w:val="single"/>
        </w:rPr>
        <w:t>Financial and technological inclusion and human development indicators</w:t>
      </w:r>
    </w:p>
    <w:p w14:paraId="235C318E" w14:textId="518A5956" w:rsidR="00064B3E" w:rsidRPr="00AC1055" w:rsidRDefault="00064B3E" w:rsidP="00AC1055">
      <w:pPr>
        <w:spacing w:line="480" w:lineRule="auto"/>
        <w:rPr>
          <w:rFonts w:cs="Times New Roman"/>
        </w:rPr>
      </w:pPr>
      <w:r w:rsidRPr="00AC1055">
        <w:rPr>
          <w:rFonts w:cs="Times New Roman"/>
          <w:b/>
        </w:rPr>
        <w:t>Banks per capita</w:t>
      </w:r>
      <w:r w:rsidRPr="00AC1055">
        <w:rPr>
          <w:rFonts w:cs="Times New Roman"/>
        </w:rPr>
        <w:t xml:space="preserve"> – the number of banks per capita can be considered as a rough approximation </w:t>
      </w:r>
      <w:r w:rsidR="005A628A">
        <w:rPr>
          <w:rFonts w:cs="Times New Roman"/>
        </w:rPr>
        <w:t>of</w:t>
      </w:r>
      <w:r w:rsidR="005A628A" w:rsidRPr="00AC1055">
        <w:rPr>
          <w:rFonts w:cs="Times New Roman"/>
        </w:rPr>
        <w:t xml:space="preserve"> </w:t>
      </w:r>
      <w:r w:rsidRPr="00AC1055">
        <w:rPr>
          <w:rFonts w:cs="Times New Roman"/>
        </w:rPr>
        <w:t xml:space="preserve">financial inclusion and </w:t>
      </w:r>
      <w:r w:rsidR="005A628A">
        <w:rPr>
          <w:rFonts w:cs="Times New Roman"/>
        </w:rPr>
        <w:t xml:space="preserve">the </w:t>
      </w:r>
      <w:r w:rsidRPr="00AC1055">
        <w:rPr>
          <w:rFonts w:cs="Times New Roman"/>
        </w:rPr>
        <w:t xml:space="preserve">development of </w:t>
      </w:r>
      <w:r w:rsidR="005A628A">
        <w:rPr>
          <w:rFonts w:cs="Times New Roman"/>
        </w:rPr>
        <w:t xml:space="preserve">the </w:t>
      </w:r>
      <w:r w:rsidRPr="00AC1055">
        <w:rPr>
          <w:rFonts w:cs="Times New Roman"/>
        </w:rPr>
        <w:t>banking sector. Financial inclusion plays a vital role in allowing marginal population</w:t>
      </w:r>
      <w:r w:rsidR="005A628A">
        <w:rPr>
          <w:rFonts w:cs="Times New Roman"/>
        </w:rPr>
        <w:t>s</w:t>
      </w:r>
      <w:r w:rsidRPr="00AC1055">
        <w:rPr>
          <w:rFonts w:cs="Times New Roman"/>
        </w:rPr>
        <w:t xml:space="preserve"> to directly or indirectly access capital and influence economic growth.</w:t>
      </w:r>
      <w:r w:rsidRPr="00AC1055">
        <w:rPr>
          <w:rStyle w:val="FootnoteReference"/>
          <w:rFonts w:cs="Times New Roman"/>
        </w:rPr>
        <w:footnoteReference w:id="120"/>
      </w:r>
      <w:r w:rsidRPr="00AC1055">
        <w:rPr>
          <w:rFonts w:cs="Times New Roman"/>
        </w:rPr>
        <w:t xml:space="preserve"> A robust banking sector is also an indicator of a vibrant stock market and </w:t>
      </w:r>
      <w:r w:rsidR="00561F9C" w:rsidRPr="00AC1055">
        <w:rPr>
          <w:rFonts w:cs="Times New Roman"/>
        </w:rPr>
        <w:t>long-term</w:t>
      </w:r>
      <w:r w:rsidRPr="00AC1055">
        <w:rPr>
          <w:rFonts w:cs="Times New Roman"/>
        </w:rPr>
        <w:t xml:space="preserve"> economic growth.</w:t>
      </w:r>
      <w:r w:rsidRPr="00AC1055">
        <w:rPr>
          <w:rStyle w:val="FootnoteReference"/>
          <w:rFonts w:cs="Times New Roman"/>
        </w:rPr>
        <w:footnoteReference w:id="121"/>
      </w:r>
      <w:r w:rsidRPr="00AC1055">
        <w:rPr>
          <w:rFonts w:cs="Times New Roman"/>
        </w:rPr>
        <w:t xml:space="preserve"> This phenomenon is however largely confined to </w:t>
      </w:r>
      <w:r w:rsidR="009C75FF">
        <w:rPr>
          <w:rFonts w:cs="Times New Roman"/>
        </w:rPr>
        <w:t>economies</w:t>
      </w:r>
      <w:r w:rsidRPr="00AC1055">
        <w:rPr>
          <w:rFonts w:cs="Times New Roman"/>
        </w:rPr>
        <w:t xml:space="preserve"> with lower financial inclusion (</w:t>
      </w:r>
      <w:r w:rsidR="00561F9C">
        <w:rPr>
          <w:rFonts w:cs="Times New Roman"/>
        </w:rPr>
        <w:t>such as the</w:t>
      </w:r>
      <w:r w:rsidRPr="00AC1055">
        <w:rPr>
          <w:rFonts w:cs="Times New Roman"/>
        </w:rPr>
        <w:t xml:space="preserve"> majority of developing countries) where a large part of </w:t>
      </w:r>
      <w:r w:rsidR="00561F9C">
        <w:rPr>
          <w:rFonts w:cs="Times New Roman"/>
        </w:rPr>
        <w:t xml:space="preserve">the </w:t>
      </w:r>
      <w:r w:rsidRPr="00AC1055">
        <w:rPr>
          <w:rFonts w:cs="Times New Roman"/>
        </w:rPr>
        <w:t>population does not have access to formal capital structures and have to depend on usurious loans and thus have rippled negative economic effect</w:t>
      </w:r>
      <w:r w:rsidR="00561F9C">
        <w:rPr>
          <w:rFonts w:cs="Times New Roman"/>
        </w:rPr>
        <w:t>s</w:t>
      </w:r>
      <w:r w:rsidRPr="00AC1055">
        <w:rPr>
          <w:rFonts w:cs="Times New Roman"/>
        </w:rPr>
        <w:t>.</w:t>
      </w:r>
      <w:r w:rsidRPr="00AC1055">
        <w:rPr>
          <w:rStyle w:val="FootnoteReference"/>
          <w:rFonts w:cs="Times New Roman"/>
        </w:rPr>
        <w:footnoteReference w:id="122"/>
      </w:r>
      <w:r w:rsidRPr="00AC1055">
        <w:rPr>
          <w:rFonts w:cs="Times New Roman"/>
        </w:rPr>
        <w:t xml:space="preserve"> Hence</w:t>
      </w:r>
      <w:r w:rsidR="00561F9C">
        <w:rPr>
          <w:rFonts w:cs="Times New Roman"/>
        </w:rPr>
        <w:t>,</w:t>
      </w:r>
      <w:r w:rsidRPr="00AC1055">
        <w:rPr>
          <w:rFonts w:cs="Times New Roman"/>
        </w:rPr>
        <w:t xml:space="preserve"> to isolate the effects of corporate governance on </w:t>
      </w:r>
      <w:r w:rsidR="00561F9C">
        <w:rPr>
          <w:rFonts w:cs="Times New Roman"/>
        </w:rPr>
        <w:t xml:space="preserve">the </w:t>
      </w:r>
      <w:r w:rsidRPr="00AC1055">
        <w:rPr>
          <w:rFonts w:cs="Times New Roman"/>
        </w:rPr>
        <w:t>overall financial market it is important from the context of developing countries that we control for varying financial inclusion.</w:t>
      </w:r>
    </w:p>
    <w:p w14:paraId="22E5ECC7" w14:textId="77777777" w:rsidR="00064B3E" w:rsidRPr="00AC1055" w:rsidRDefault="00064B3E" w:rsidP="00AC1055">
      <w:pPr>
        <w:spacing w:line="480" w:lineRule="auto"/>
        <w:rPr>
          <w:rFonts w:cs="Times New Roman"/>
        </w:rPr>
      </w:pPr>
    </w:p>
    <w:p w14:paraId="69B9601D" w14:textId="1AD571C4" w:rsidR="00064B3E" w:rsidRPr="00AC1055" w:rsidRDefault="00064B3E" w:rsidP="00AC1055">
      <w:pPr>
        <w:spacing w:line="480" w:lineRule="auto"/>
        <w:rPr>
          <w:rFonts w:cs="Times New Roman"/>
        </w:rPr>
      </w:pPr>
      <w:r w:rsidRPr="00AC1055">
        <w:rPr>
          <w:rFonts w:cs="Times New Roman"/>
          <w:b/>
        </w:rPr>
        <w:t>Access to ICT</w:t>
      </w:r>
      <w:r w:rsidRPr="00AC1055">
        <w:rPr>
          <w:rFonts w:cs="Times New Roman"/>
        </w:rPr>
        <w:t xml:space="preserve"> - information and communication technology has led to </w:t>
      </w:r>
      <w:r w:rsidR="00561F9C">
        <w:rPr>
          <w:rFonts w:cs="Times New Roman"/>
        </w:rPr>
        <w:t xml:space="preserve">the </w:t>
      </w:r>
      <w:r w:rsidRPr="00AC1055">
        <w:rPr>
          <w:rFonts w:cs="Times New Roman"/>
        </w:rPr>
        <w:t xml:space="preserve">structural reorganisation of </w:t>
      </w:r>
      <w:r w:rsidR="00561F9C">
        <w:rPr>
          <w:rFonts w:cs="Times New Roman"/>
        </w:rPr>
        <w:t xml:space="preserve">the </w:t>
      </w:r>
      <w:r w:rsidRPr="00AC1055">
        <w:rPr>
          <w:rFonts w:cs="Times New Roman"/>
        </w:rPr>
        <w:t xml:space="preserve">financial market through extending trade, reorganising capital and enhancing </w:t>
      </w:r>
      <w:r w:rsidR="00561F9C">
        <w:rPr>
          <w:rFonts w:cs="Times New Roman"/>
        </w:rPr>
        <w:t xml:space="preserve">the </w:t>
      </w:r>
      <w:r w:rsidRPr="00AC1055">
        <w:rPr>
          <w:rFonts w:cs="Times New Roman"/>
        </w:rPr>
        <w:t>availability of information.</w:t>
      </w:r>
      <w:r w:rsidRPr="00AC1055">
        <w:rPr>
          <w:rStyle w:val="FootnoteReference"/>
          <w:rFonts w:cs="Times New Roman"/>
        </w:rPr>
        <w:footnoteReference w:id="123"/>
      </w:r>
      <w:r w:rsidRPr="00AC1055">
        <w:rPr>
          <w:rFonts w:cs="Times New Roman"/>
        </w:rPr>
        <w:t xml:space="preserve"> Easier access to ICT encourages SMEs and population</w:t>
      </w:r>
      <w:r w:rsidR="00561F9C">
        <w:rPr>
          <w:rFonts w:cs="Times New Roman"/>
        </w:rPr>
        <w:t>s</w:t>
      </w:r>
      <w:r w:rsidRPr="00AC1055">
        <w:rPr>
          <w:rFonts w:cs="Times New Roman"/>
        </w:rPr>
        <w:t xml:space="preserve"> from weaker economic </w:t>
      </w:r>
      <w:r w:rsidR="00561F9C">
        <w:rPr>
          <w:rFonts w:cs="Times New Roman"/>
        </w:rPr>
        <w:t>areas</w:t>
      </w:r>
      <w:r w:rsidR="00561F9C" w:rsidRPr="00AC1055">
        <w:rPr>
          <w:rFonts w:cs="Times New Roman"/>
        </w:rPr>
        <w:t xml:space="preserve"> </w:t>
      </w:r>
      <w:r w:rsidRPr="00AC1055">
        <w:rPr>
          <w:rFonts w:cs="Times New Roman"/>
        </w:rPr>
        <w:t xml:space="preserve">to interact with </w:t>
      </w:r>
      <w:r w:rsidR="00561F9C">
        <w:rPr>
          <w:rFonts w:cs="Times New Roman"/>
        </w:rPr>
        <w:t xml:space="preserve">the </w:t>
      </w:r>
      <w:r w:rsidRPr="00AC1055">
        <w:rPr>
          <w:rFonts w:cs="Times New Roman"/>
        </w:rPr>
        <w:t xml:space="preserve">economic </w:t>
      </w:r>
      <w:r w:rsidRPr="00AC1055">
        <w:rPr>
          <w:rFonts w:cs="Times New Roman"/>
        </w:rPr>
        <w:lastRenderedPageBreak/>
        <w:t xml:space="preserve">mainstream and </w:t>
      </w:r>
      <w:r w:rsidR="00561F9C">
        <w:rPr>
          <w:rFonts w:cs="Times New Roman"/>
        </w:rPr>
        <w:t xml:space="preserve">can </w:t>
      </w:r>
      <w:r w:rsidRPr="00AC1055">
        <w:rPr>
          <w:rFonts w:cs="Times New Roman"/>
        </w:rPr>
        <w:t xml:space="preserve">lead to economic growth, there have been studies with panel data which have shown links between ICT use and </w:t>
      </w:r>
      <w:r w:rsidR="00561F9C">
        <w:rPr>
          <w:rFonts w:cs="Times New Roman"/>
        </w:rPr>
        <w:t xml:space="preserve">the </w:t>
      </w:r>
      <w:r w:rsidRPr="00AC1055">
        <w:rPr>
          <w:rFonts w:cs="Times New Roman"/>
        </w:rPr>
        <w:t>growth rate of GDP per capita.</w:t>
      </w:r>
      <w:r w:rsidRPr="00AC1055">
        <w:rPr>
          <w:rStyle w:val="FootnoteReference"/>
          <w:rFonts w:cs="Times New Roman"/>
        </w:rPr>
        <w:footnoteReference w:id="124"/>
      </w:r>
      <w:r w:rsidRPr="00AC1055">
        <w:rPr>
          <w:rFonts w:cs="Times New Roman"/>
        </w:rPr>
        <w:t xml:space="preserve"> Therefore</w:t>
      </w:r>
      <w:r w:rsidR="00561F9C">
        <w:rPr>
          <w:rFonts w:cs="Times New Roman"/>
        </w:rPr>
        <w:t>,</w:t>
      </w:r>
      <w:r w:rsidRPr="00AC1055">
        <w:rPr>
          <w:rFonts w:cs="Times New Roman"/>
        </w:rPr>
        <w:t xml:space="preserve"> information </w:t>
      </w:r>
      <w:r w:rsidR="00561F9C">
        <w:rPr>
          <w:rFonts w:cs="Times New Roman"/>
        </w:rPr>
        <w:t xml:space="preserve">on </w:t>
      </w:r>
      <w:r w:rsidRPr="00AC1055">
        <w:rPr>
          <w:rFonts w:cs="Times New Roman"/>
        </w:rPr>
        <w:t xml:space="preserve">inclusion measured by </w:t>
      </w:r>
      <w:r w:rsidR="00561F9C">
        <w:rPr>
          <w:rFonts w:cs="Times New Roman"/>
        </w:rPr>
        <w:t xml:space="preserve">the </w:t>
      </w:r>
      <w:r w:rsidRPr="00AC1055">
        <w:rPr>
          <w:rFonts w:cs="Times New Roman"/>
        </w:rPr>
        <w:t>number of internet users and the number of mobile subscription</w:t>
      </w:r>
      <w:r w:rsidR="00561F9C">
        <w:rPr>
          <w:rFonts w:cs="Times New Roman"/>
        </w:rPr>
        <w:t>s</w:t>
      </w:r>
      <w:r w:rsidRPr="00AC1055">
        <w:rPr>
          <w:rFonts w:cs="Times New Roman"/>
        </w:rPr>
        <w:t xml:space="preserve"> per 1000 inhabitants provides a general control metric for its effect on financial and economic growth.</w:t>
      </w:r>
      <w:r w:rsidRPr="00AC1055">
        <w:rPr>
          <w:rStyle w:val="FootnoteReference"/>
          <w:rFonts w:cs="Times New Roman"/>
        </w:rPr>
        <w:footnoteReference w:id="125"/>
      </w:r>
      <w:r w:rsidRPr="00AC1055">
        <w:rPr>
          <w:rFonts w:cs="Times New Roman"/>
        </w:rPr>
        <w:t xml:space="preserve"> </w:t>
      </w:r>
    </w:p>
    <w:p w14:paraId="07A91FDD" w14:textId="77777777" w:rsidR="00064B3E" w:rsidRPr="00AC1055" w:rsidRDefault="00064B3E" w:rsidP="00AC1055">
      <w:pPr>
        <w:spacing w:line="480" w:lineRule="auto"/>
        <w:rPr>
          <w:rFonts w:cs="Times New Roman"/>
        </w:rPr>
      </w:pPr>
    </w:p>
    <w:p w14:paraId="7E382744" w14:textId="4A472A75" w:rsidR="00064B3E" w:rsidRPr="00AC1055" w:rsidRDefault="00064B3E" w:rsidP="00AC1055">
      <w:pPr>
        <w:spacing w:line="480" w:lineRule="auto"/>
        <w:rPr>
          <w:rFonts w:cs="Times New Roman"/>
        </w:rPr>
      </w:pPr>
      <w:r w:rsidRPr="00AC1055">
        <w:rPr>
          <w:rFonts w:cs="Times New Roman"/>
          <w:b/>
        </w:rPr>
        <w:t>Access to electricity</w:t>
      </w:r>
      <w:r w:rsidRPr="00AC1055">
        <w:rPr>
          <w:rFonts w:cs="Times New Roman"/>
        </w:rPr>
        <w:t xml:space="preserve"> and </w:t>
      </w:r>
      <w:r w:rsidRPr="00AC1055">
        <w:rPr>
          <w:rFonts w:cs="Times New Roman"/>
          <w:b/>
        </w:rPr>
        <w:t>power consumption per capita</w:t>
      </w:r>
      <w:r w:rsidRPr="00AC1055">
        <w:rPr>
          <w:rFonts w:cs="Times New Roman"/>
        </w:rPr>
        <w:t xml:space="preserve"> – access to electricity and electricity consumption per capita is a proxy for </w:t>
      </w:r>
      <w:r w:rsidR="00561F9C">
        <w:rPr>
          <w:rFonts w:cs="Times New Roman"/>
        </w:rPr>
        <w:t xml:space="preserve">the </w:t>
      </w:r>
      <w:r w:rsidRPr="00AC1055">
        <w:rPr>
          <w:rFonts w:cs="Times New Roman"/>
        </w:rPr>
        <w:t>level of industrialisation and therefore has a direct effect on foreign direct investment and other financial market indicators.</w:t>
      </w:r>
      <w:r w:rsidRPr="00AC1055">
        <w:rPr>
          <w:rStyle w:val="FootnoteReference"/>
          <w:rFonts w:cs="Times New Roman"/>
        </w:rPr>
        <w:footnoteReference w:id="126"/>
      </w:r>
      <w:r w:rsidRPr="00AC1055">
        <w:rPr>
          <w:rFonts w:cs="Times New Roman"/>
        </w:rPr>
        <w:t xml:space="preserve"> It is thus believed that access to electricity would become a part of access to resource</w:t>
      </w:r>
      <w:r w:rsidR="00561F9C">
        <w:rPr>
          <w:rFonts w:cs="Times New Roman"/>
        </w:rPr>
        <w:t>s</w:t>
      </w:r>
      <w:r w:rsidRPr="00AC1055">
        <w:rPr>
          <w:rFonts w:cs="Times New Roman"/>
        </w:rPr>
        <w:t xml:space="preserve"> and augment the classical growth theory.</w:t>
      </w:r>
      <w:r w:rsidRPr="00AC1055">
        <w:rPr>
          <w:rStyle w:val="FootnoteReference"/>
          <w:rFonts w:cs="Times New Roman"/>
        </w:rPr>
        <w:footnoteReference w:id="127"/>
      </w:r>
      <w:r w:rsidRPr="00AC1055">
        <w:rPr>
          <w:rFonts w:cs="Times New Roman"/>
        </w:rPr>
        <w:t xml:space="preserve"> Several researcher</w:t>
      </w:r>
      <w:r w:rsidR="00561F9C">
        <w:rPr>
          <w:rFonts w:cs="Times New Roman"/>
        </w:rPr>
        <w:t>s</w:t>
      </w:r>
      <w:r w:rsidRPr="00AC1055">
        <w:rPr>
          <w:rFonts w:cs="Times New Roman"/>
        </w:rPr>
        <w:t xml:space="preserve"> have shown bi-directional causality between economic growth and power </w:t>
      </w:r>
      <w:r w:rsidRPr="00AC1055">
        <w:rPr>
          <w:rFonts w:cs="Times New Roman"/>
        </w:rPr>
        <w:lastRenderedPageBreak/>
        <w:t>consumption,</w:t>
      </w:r>
      <w:r w:rsidRPr="00AC1055">
        <w:rPr>
          <w:rStyle w:val="FootnoteReference"/>
          <w:rFonts w:cs="Times New Roman"/>
        </w:rPr>
        <w:footnoteReference w:id="128"/>
      </w:r>
      <w:r w:rsidRPr="00AC1055">
        <w:rPr>
          <w:rFonts w:cs="Times New Roman"/>
        </w:rPr>
        <w:t xml:space="preserve"> therefore</w:t>
      </w:r>
      <w:r w:rsidR="00561F9C">
        <w:rPr>
          <w:rFonts w:cs="Times New Roman"/>
        </w:rPr>
        <w:t>,</w:t>
      </w:r>
      <w:r w:rsidRPr="00AC1055">
        <w:rPr>
          <w:rFonts w:cs="Times New Roman"/>
        </w:rPr>
        <w:t xml:space="preserve"> it is imperative that access to electricity and power consumption per capita be used as a control variable to insulate the effects of corporate governance policies on </w:t>
      </w:r>
      <w:r w:rsidR="00561F9C">
        <w:rPr>
          <w:rFonts w:cs="Times New Roman"/>
        </w:rPr>
        <w:t xml:space="preserve">the </w:t>
      </w:r>
      <w:r w:rsidRPr="00AC1055">
        <w:rPr>
          <w:rFonts w:cs="Times New Roman"/>
        </w:rPr>
        <w:t xml:space="preserve">growth of </w:t>
      </w:r>
      <w:r w:rsidR="00561F9C">
        <w:rPr>
          <w:rFonts w:cs="Times New Roman"/>
        </w:rPr>
        <w:t xml:space="preserve">the </w:t>
      </w:r>
      <w:r w:rsidRPr="00AC1055">
        <w:rPr>
          <w:rFonts w:cs="Times New Roman"/>
        </w:rPr>
        <w:t xml:space="preserve">financial market. </w:t>
      </w:r>
    </w:p>
    <w:p w14:paraId="4B474E91" w14:textId="77777777" w:rsidR="00064B3E" w:rsidRPr="00AA29AF" w:rsidRDefault="00064B3E" w:rsidP="00AC1055">
      <w:pPr>
        <w:spacing w:line="480" w:lineRule="auto"/>
        <w:rPr>
          <w:rFonts w:cs="Times New Roman"/>
          <w:sz w:val="20"/>
        </w:rPr>
      </w:pPr>
    </w:p>
    <w:p w14:paraId="099DFC0D" w14:textId="7F8BB2C0" w:rsidR="00064B3E" w:rsidRPr="00AC1055" w:rsidRDefault="00064B3E" w:rsidP="00AC1055">
      <w:pPr>
        <w:spacing w:line="480" w:lineRule="auto"/>
        <w:rPr>
          <w:rFonts w:cs="Times New Roman"/>
        </w:rPr>
      </w:pPr>
      <w:r w:rsidRPr="00AC1055">
        <w:rPr>
          <w:rFonts w:cs="Times New Roman"/>
          <w:b/>
        </w:rPr>
        <w:t>Human development index</w:t>
      </w:r>
      <w:r w:rsidRPr="00AC1055">
        <w:rPr>
          <w:rFonts w:cs="Times New Roman"/>
        </w:rPr>
        <w:t xml:space="preserve"> – </w:t>
      </w:r>
      <w:r w:rsidR="00561F9C">
        <w:rPr>
          <w:rFonts w:cs="Times New Roman"/>
        </w:rPr>
        <w:t>this</w:t>
      </w:r>
      <w:r w:rsidR="00561F9C" w:rsidRPr="00AC1055">
        <w:rPr>
          <w:rFonts w:cs="Times New Roman"/>
        </w:rPr>
        <w:t xml:space="preserve"> </w:t>
      </w:r>
      <w:r w:rsidRPr="00AC1055">
        <w:rPr>
          <w:rFonts w:cs="Times New Roman"/>
        </w:rPr>
        <w:t>‘is a summary measure of average achievement in key dimensions of human development: a long and healthy life, being knowledgeable and have a decent standard of living. The HDI is the geometric mean of normalized indices for each of the three dimensions.’</w:t>
      </w:r>
      <w:r w:rsidRPr="00AC1055">
        <w:rPr>
          <w:rStyle w:val="FootnoteReference"/>
          <w:rFonts w:cs="Times New Roman"/>
        </w:rPr>
        <w:footnoteReference w:id="129"/>
      </w:r>
      <w:r w:rsidRPr="00AC1055">
        <w:rPr>
          <w:rFonts w:cs="Times New Roman"/>
        </w:rPr>
        <w:t xml:space="preserve"> HDI can therefore act as a proxy for level of education, health and general standard of living.</w:t>
      </w:r>
      <w:r w:rsidRPr="00AC1055">
        <w:rPr>
          <w:rStyle w:val="FootnoteReference"/>
          <w:rFonts w:cs="Times New Roman"/>
        </w:rPr>
        <w:footnoteReference w:id="130"/>
      </w:r>
      <w:r w:rsidRPr="00AC1055">
        <w:rPr>
          <w:rFonts w:cs="Times New Roman"/>
        </w:rPr>
        <w:t xml:space="preserve"> It is theorised that </w:t>
      </w:r>
      <w:r w:rsidR="00561F9C">
        <w:rPr>
          <w:rFonts w:cs="Times New Roman"/>
        </w:rPr>
        <w:t xml:space="preserve">the </w:t>
      </w:r>
      <w:r w:rsidRPr="00AC1055">
        <w:rPr>
          <w:rFonts w:cs="Times New Roman"/>
        </w:rPr>
        <w:t>improvement of HDI is concurrent and co-dependent on economic growth as a more educated long living population should foster more economic growth which in turn would increase spending on health and education leading to a virtuous cycle.</w:t>
      </w:r>
      <w:r w:rsidRPr="00AC1055">
        <w:rPr>
          <w:rStyle w:val="FootnoteReference"/>
          <w:rFonts w:cs="Times New Roman"/>
        </w:rPr>
        <w:footnoteReference w:id="131"/>
      </w:r>
      <w:r w:rsidR="006C4549">
        <w:rPr>
          <w:rFonts w:cs="Times New Roman"/>
        </w:rPr>
        <w:t xml:space="preserve"> Due to the relative stability of the variable over time, this </w:t>
      </w:r>
      <w:r w:rsidR="00CD4C77">
        <w:rPr>
          <w:rFonts w:cs="Times New Roman"/>
        </w:rPr>
        <w:t>variable is</w:t>
      </w:r>
      <w:r w:rsidR="006C4549">
        <w:rPr>
          <w:rFonts w:cs="Times New Roman"/>
        </w:rPr>
        <w:t xml:space="preserve"> used as a country level </w:t>
      </w:r>
      <w:r w:rsidR="00CD4C77">
        <w:rPr>
          <w:rFonts w:cs="Times New Roman"/>
        </w:rPr>
        <w:t xml:space="preserve">control </w:t>
      </w:r>
      <w:r w:rsidR="006C4549">
        <w:rPr>
          <w:rFonts w:cs="Times New Roman"/>
        </w:rPr>
        <w:t>indicator.</w:t>
      </w:r>
    </w:p>
    <w:p w14:paraId="0CDB3D5E" w14:textId="77777777" w:rsidR="00064B3E" w:rsidRPr="00AC1055" w:rsidRDefault="00064B3E" w:rsidP="00AC1055">
      <w:pPr>
        <w:spacing w:line="480" w:lineRule="auto"/>
        <w:rPr>
          <w:rFonts w:cs="Times New Roman"/>
        </w:rPr>
      </w:pPr>
    </w:p>
    <w:p w14:paraId="51CDECEE" w14:textId="67D55E33" w:rsidR="00064B3E" w:rsidRPr="00AC1055" w:rsidRDefault="00064B3E" w:rsidP="00AC1055">
      <w:pPr>
        <w:spacing w:line="480" w:lineRule="auto"/>
        <w:rPr>
          <w:rFonts w:cs="Times New Roman"/>
        </w:rPr>
      </w:pPr>
      <w:r w:rsidRPr="00AC1055">
        <w:rPr>
          <w:rFonts w:cs="Times New Roman"/>
          <w:b/>
        </w:rPr>
        <w:lastRenderedPageBreak/>
        <w:t xml:space="preserve">Gini coefficient </w:t>
      </w:r>
      <w:r w:rsidRPr="00AC1055">
        <w:rPr>
          <w:rFonts w:cs="Times New Roman"/>
        </w:rPr>
        <w:t>–is an ad hoc measure for income inequality.</w:t>
      </w:r>
      <w:r w:rsidRPr="00AC1055">
        <w:rPr>
          <w:rStyle w:val="FootnoteReference"/>
          <w:rFonts w:cs="Times New Roman"/>
        </w:rPr>
        <w:footnoteReference w:id="132"/>
      </w:r>
      <w:r w:rsidRPr="00AC1055">
        <w:rPr>
          <w:rFonts w:cs="Times New Roman"/>
        </w:rPr>
        <w:t xml:space="preserve"> It is theorised that a higher Gini coefficient denoting a higher income inequality would </w:t>
      </w:r>
      <w:r w:rsidR="00561F9C">
        <w:rPr>
          <w:rFonts w:cs="Times New Roman"/>
        </w:rPr>
        <w:t xml:space="preserve">result in </w:t>
      </w:r>
      <w:r w:rsidRPr="00AC1055">
        <w:rPr>
          <w:rFonts w:cs="Times New Roman"/>
        </w:rPr>
        <w:t>more conflicts, skewed political decisions favouring further accumulation of capital</w:t>
      </w:r>
      <w:r w:rsidR="00561F9C">
        <w:rPr>
          <w:rFonts w:cs="Times New Roman"/>
        </w:rPr>
        <w:t xml:space="preserve"> and </w:t>
      </w:r>
      <w:r w:rsidRPr="00AC1055">
        <w:rPr>
          <w:rFonts w:cs="Times New Roman"/>
        </w:rPr>
        <w:t>lower spending on developing human capital</w:t>
      </w:r>
      <w:r w:rsidRPr="00AC1055">
        <w:rPr>
          <w:rStyle w:val="FootnoteReference"/>
          <w:rFonts w:cs="Times New Roman"/>
        </w:rPr>
        <w:footnoteReference w:id="133"/>
      </w:r>
      <w:r w:rsidRPr="00AC1055">
        <w:rPr>
          <w:rFonts w:cs="Times New Roman"/>
        </w:rPr>
        <w:t xml:space="preserve"> leading to less sustainable economic growth.</w:t>
      </w:r>
      <w:r w:rsidRPr="00AC1055">
        <w:rPr>
          <w:rStyle w:val="FootnoteReference"/>
          <w:rFonts w:cs="Times New Roman"/>
        </w:rPr>
        <w:footnoteReference w:id="134"/>
      </w:r>
      <w:r w:rsidRPr="00AC1055">
        <w:rPr>
          <w:rFonts w:cs="Times New Roman"/>
        </w:rPr>
        <w:t xml:space="preserve"> However this view has been challenged by numerous scholars who argue that in </w:t>
      </w:r>
      <w:r w:rsidR="00561F9C">
        <w:rPr>
          <w:rFonts w:cs="Times New Roman"/>
        </w:rPr>
        <w:t xml:space="preserve">the </w:t>
      </w:r>
      <w:r w:rsidRPr="00AC1055">
        <w:rPr>
          <w:rFonts w:cs="Times New Roman"/>
        </w:rPr>
        <w:t>short and medium term income inequality actually fosters higher economic growth.</w:t>
      </w:r>
      <w:r w:rsidRPr="00AC1055">
        <w:rPr>
          <w:rStyle w:val="FootnoteReference"/>
          <w:rFonts w:cs="Times New Roman"/>
        </w:rPr>
        <w:footnoteReference w:id="135"/>
      </w:r>
      <w:r w:rsidRPr="00AC1055">
        <w:rPr>
          <w:rFonts w:cs="Times New Roman"/>
        </w:rPr>
        <w:t xml:space="preserve"> However a different strand of scholarship finds a direct correlative link between ‘increases in wealth inequality and stock market participation, smaller increases in consumption inequality and the fraction of indebted households, </w:t>
      </w:r>
      <w:r w:rsidR="00747F2B">
        <w:rPr>
          <w:rFonts w:cs="Times New Roman"/>
        </w:rPr>
        <w:t xml:space="preserve">and </w:t>
      </w:r>
      <w:r w:rsidRPr="00AC1055">
        <w:rPr>
          <w:rFonts w:cs="Times New Roman"/>
        </w:rPr>
        <w:t>a decline in interest rates’</w:t>
      </w:r>
      <w:r w:rsidRPr="00AC1055">
        <w:rPr>
          <w:rStyle w:val="FootnoteReference"/>
          <w:rFonts w:cs="Times New Roman"/>
        </w:rPr>
        <w:footnoteReference w:id="136"/>
      </w:r>
      <w:r w:rsidRPr="00AC1055">
        <w:rPr>
          <w:rFonts w:cs="Times New Roman"/>
        </w:rPr>
        <w:t xml:space="preserve"> especially in booming economies. Therefore</w:t>
      </w:r>
      <w:r w:rsidR="00747F2B">
        <w:rPr>
          <w:rFonts w:cs="Times New Roman"/>
        </w:rPr>
        <w:t>,</w:t>
      </w:r>
      <w:r w:rsidRPr="00AC1055">
        <w:rPr>
          <w:rFonts w:cs="Times New Roman"/>
        </w:rPr>
        <w:t xml:space="preserve"> in spite of several shortcomings</w:t>
      </w:r>
      <w:r w:rsidR="00747F2B">
        <w:rPr>
          <w:rFonts w:cs="Times New Roman"/>
        </w:rPr>
        <w:t>,</w:t>
      </w:r>
      <w:r w:rsidRPr="00AC1055">
        <w:rPr>
          <w:rFonts w:cs="Times New Roman"/>
        </w:rPr>
        <w:t xml:space="preserve"> Gini coefficient gives a proxy for poverty and inequality which is not adequately measured by HDI.</w:t>
      </w:r>
      <w:r w:rsidR="00CD4C77">
        <w:rPr>
          <w:rFonts w:cs="Times New Roman"/>
        </w:rPr>
        <w:t xml:space="preserve"> </w:t>
      </w:r>
      <w:r w:rsidR="00CD4C77" w:rsidRPr="00CD4C77">
        <w:rPr>
          <w:rFonts w:cs="Times New Roman"/>
        </w:rPr>
        <w:t>Due to the relative stability of the variable o</w:t>
      </w:r>
      <w:r w:rsidR="00CD4C77">
        <w:rPr>
          <w:rFonts w:cs="Times New Roman"/>
        </w:rPr>
        <w:t xml:space="preserve">ver time, this variable is </w:t>
      </w:r>
      <w:r w:rsidR="00CD4C77" w:rsidRPr="00CD4C77">
        <w:rPr>
          <w:rFonts w:cs="Times New Roman"/>
        </w:rPr>
        <w:t xml:space="preserve">used as a country level </w:t>
      </w:r>
      <w:r w:rsidR="00CD4C77">
        <w:rPr>
          <w:rFonts w:cs="Times New Roman"/>
        </w:rPr>
        <w:t xml:space="preserve">control </w:t>
      </w:r>
      <w:r w:rsidR="00CD4C77" w:rsidRPr="00CD4C77">
        <w:rPr>
          <w:rFonts w:cs="Times New Roman"/>
        </w:rPr>
        <w:t>indicator.</w:t>
      </w:r>
    </w:p>
    <w:p w14:paraId="64073FA0" w14:textId="77777777" w:rsidR="00064B3E" w:rsidRDefault="00064B3E" w:rsidP="00AC1055">
      <w:pPr>
        <w:spacing w:line="480" w:lineRule="auto"/>
        <w:rPr>
          <w:rFonts w:cs="Times New Roman"/>
        </w:rPr>
      </w:pPr>
    </w:p>
    <w:p w14:paraId="5CC0E4A7" w14:textId="77777777" w:rsidR="00CD4C77" w:rsidRDefault="00CD4C77" w:rsidP="00AC1055">
      <w:pPr>
        <w:spacing w:line="480" w:lineRule="auto"/>
        <w:rPr>
          <w:rFonts w:cs="Times New Roman"/>
        </w:rPr>
      </w:pPr>
    </w:p>
    <w:p w14:paraId="7255D347" w14:textId="77777777" w:rsidR="00064B3E" w:rsidRPr="001A6C14" w:rsidRDefault="001A6C14" w:rsidP="00AC1055">
      <w:pPr>
        <w:spacing w:line="480" w:lineRule="auto"/>
        <w:rPr>
          <w:rFonts w:cs="Times New Roman"/>
          <w:b/>
          <w:u w:val="single"/>
        </w:rPr>
      </w:pPr>
      <w:r>
        <w:rPr>
          <w:rFonts w:cs="Times New Roman"/>
          <w:b/>
          <w:sz w:val="26"/>
          <w:u w:val="single"/>
        </w:rPr>
        <w:lastRenderedPageBreak/>
        <w:t xml:space="preserve">2.6 </w:t>
      </w:r>
      <w:r w:rsidR="00064B3E" w:rsidRPr="001A6C14">
        <w:rPr>
          <w:rFonts w:cs="Times New Roman"/>
          <w:b/>
          <w:sz w:val="26"/>
          <w:u w:val="single"/>
        </w:rPr>
        <w:t>Enforcement quality</w:t>
      </w:r>
    </w:p>
    <w:p w14:paraId="6197363D" w14:textId="17566109" w:rsidR="00064B3E" w:rsidRDefault="00064B3E" w:rsidP="00AC1055">
      <w:pPr>
        <w:spacing w:line="480" w:lineRule="auto"/>
        <w:rPr>
          <w:rFonts w:cs="Times New Roman"/>
        </w:rPr>
      </w:pPr>
      <w:r w:rsidRPr="00AC1055">
        <w:rPr>
          <w:rFonts w:cs="Times New Roman"/>
          <w:b/>
        </w:rPr>
        <w:t>Global Peace Index</w:t>
      </w:r>
      <w:r w:rsidRPr="00AC1055">
        <w:rPr>
          <w:rFonts w:cs="Times New Roman"/>
        </w:rPr>
        <w:t xml:space="preserve"> – this index attempts to calculate the relative peace in a country. It compiles around 22 individual qualitative and quantitative indicators under ‘three broad themes: the level of safety and security in society; the extent of domestic or international conflict; and the degree of militarisation.’</w:t>
      </w:r>
      <w:r w:rsidRPr="00AC1055">
        <w:rPr>
          <w:rStyle w:val="FootnoteReference"/>
          <w:rFonts w:cs="Times New Roman"/>
        </w:rPr>
        <w:footnoteReference w:id="137"/>
      </w:r>
      <w:r w:rsidRPr="00AC1055">
        <w:rPr>
          <w:rFonts w:cs="Times New Roman"/>
        </w:rPr>
        <w:t xml:space="preserve"> Civil strife and conflict</w:t>
      </w:r>
      <w:r w:rsidR="00747F2B">
        <w:rPr>
          <w:rFonts w:cs="Times New Roman"/>
        </w:rPr>
        <w:t>s</w:t>
      </w:r>
      <w:r w:rsidRPr="00AC1055">
        <w:rPr>
          <w:rFonts w:cs="Times New Roman"/>
        </w:rPr>
        <w:t xml:space="preserve"> ha</w:t>
      </w:r>
      <w:r w:rsidR="00747F2B">
        <w:rPr>
          <w:rFonts w:cs="Times New Roman"/>
        </w:rPr>
        <w:t>ve</w:t>
      </w:r>
      <w:r w:rsidRPr="00AC1055">
        <w:rPr>
          <w:rFonts w:cs="Times New Roman"/>
        </w:rPr>
        <w:t xml:space="preserve"> significant negative economic effect</w:t>
      </w:r>
      <w:r w:rsidR="00747F2B">
        <w:rPr>
          <w:rFonts w:cs="Times New Roman"/>
        </w:rPr>
        <w:t>s</w:t>
      </w:r>
      <w:r w:rsidRPr="00AC1055">
        <w:rPr>
          <w:rFonts w:cs="Times New Roman"/>
        </w:rPr>
        <w:t xml:space="preserve"> as </w:t>
      </w:r>
      <w:r w:rsidR="00747F2B">
        <w:rPr>
          <w:rFonts w:cs="Times New Roman"/>
        </w:rPr>
        <w:t>they</w:t>
      </w:r>
      <w:r w:rsidR="00747F2B" w:rsidRPr="00AC1055">
        <w:rPr>
          <w:rFonts w:cs="Times New Roman"/>
        </w:rPr>
        <w:t xml:space="preserve"> </w:t>
      </w:r>
      <w:r w:rsidRPr="00AC1055">
        <w:rPr>
          <w:rFonts w:cs="Times New Roman"/>
        </w:rPr>
        <w:t xml:space="preserve">raise expenditure on violence containment thereby increasing </w:t>
      </w:r>
      <w:r w:rsidR="00747F2B">
        <w:rPr>
          <w:rFonts w:cs="Times New Roman"/>
        </w:rPr>
        <w:t xml:space="preserve">the </w:t>
      </w:r>
      <w:r w:rsidRPr="00AC1055">
        <w:rPr>
          <w:rFonts w:cs="Times New Roman"/>
        </w:rPr>
        <w:t xml:space="preserve">cost of business etc. Most developing countries score lower on the peace index and </w:t>
      </w:r>
      <w:r w:rsidR="00747F2B">
        <w:rPr>
          <w:rFonts w:cs="Times New Roman"/>
        </w:rPr>
        <w:t>are</w:t>
      </w:r>
      <w:r w:rsidR="00747F2B" w:rsidRPr="00AC1055">
        <w:rPr>
          <w:rFonts w:cs="Times New Roman"/>
        </w:rPr>
        <w:t xml:space="preserve"> </w:t>
      </w:r>
      <w:r w:rsidRPr="00AC1055">
        <w:rPr>
          <w:rFonts w:cs="Times New Roman"/>
        </w:rPr>
        <w:t xml:space="preserve">theorised to lose between 5%-10% of </w:t>
      </w:r>
      <w:r w:rsidR="00747F2B">
        <w:rPr>
          <w:rFonts w:cs="Times New Roman"/>
        </w:rPr>
        <w:t>their</w:t>
      </w:r>
      <w:r w:rsidR="00747F2B" w:rsidRPr="00AC1055">
        <w:rPr>
          <w:rFonts w:cs="Times New Roman"/>
        </w:rPr>
        <w:t xml:space="preserve"> </w:t>
      </w:r>
      <w:r w:rsidRPr="00AC1055">
        <w:rPr>
          <w:rFonts w:cs="Times New Roman"/>
        </w:rPr>
        <w:t>GDP on violence containment.</w:t>
      </w:r>
      <w:r w:rsidRPr="00AC1055">
        <w:rPr>
          <w:rStyle w:val="FootnoteReference"/>
          <w:rFonts w:cs="Times New Roman"/>
        </w:rPr>
        <w:footnoteReference w:id="138"/>
      </w:r>
      <w:r w:rsidRPr="00AC1055">
        <w:rPr>
          <w:rFonts w:cs="Times New Roman"/>
        </w:rPr>
        <w:t xml:space="preserve"> The link between conflicts and economic growth seems quite clear, conflicts lead to diversion of resources from economically useful ventures to more security oriented sectors with less economic return.</w:t>
      </w:r>
      <w:r w:rsidRPr="00AC1055">
        <w:rPr>
          <w:rStyle w:val="FootnoteReference"/>
          <w:rFonts w:cs="Times New Roman"/>
        </w:rPr>
        <w:footnoteReference w:id="139"/>
      </w:r>
      <w:r w:rsidRPr="00AC1055">
        <w:rPr>
          <w:rFonts w:cs="Times New Roman"/>
        </w:rPr>
        <w:t xml:space="preserve"> The peace index can also stand as a proxy for political stability.</w:t>
      </w:r>
      <w:r w:rsidRPr="00AC1055">
        <w:rPr>
          <w:rStyle w:val="FootnoteReference"/>
          <w:rFonts w:cs="Times New Roman"/>
        </w:rPr>
        <w:footnoteReference w:id="140"/>
      </w:r>
      <w:r w:rsidRPr="00AC1055">
        <w:rPr>
          <w:rFonts w:cs="Times New Roman"/>
        </w:rPr>
        <w:t xml:space="preserve"> In recent years </w:t>
      </w:r>
      <w:r w:rsidRPr="00AC1055">
        <w:rPr>
          <w:rFonts w:cs="Times New Roman"/>
        </w:rPr>
        <w:lastRenderedPageBreak/>
        <w:t>terrorism has led to short lived but major distortions in financial markets.</w:t>
      </w:r>
      <w:r w:rsidRPr="00AC1055">
        <w:rPr>
          <w:rStyle w:val="FootnoteReference"/>
          <w:rFonts w:cs="Times New Roman"/>
        </w:rPr>
        <w:footnoteReference w:id="141"/>
      </w:r>
      <w:r w:rsidRPr="00AC1055">
        <w:rPr>
          <w:rFonts w:cs="Times New Roman"/>
        </w:rPr>
        <w:t xml:space="preserve"> The peace index is available only from 2007 onwards.</w:t>
      </w:r>
      <w:r w:rsidR="00CD4C77">
        <w:rPr>
          <w:rFonts w:cs="Times New Roman"/>
        </w:rPr>
        <w:t xml:space="preserve"> The unavailability of data for the major part of the time period studied in this research, along with</w:t>
      </w:r>
      <w:r w:rsidR="00CD4C77" w:rsidRPr="00CD4C77">
        <w:rPr>
          <w:rFonts w:cs="Times New Roman"/>
        </w:rPr>
        <w:t xml:space="preserve"> the </w:t>
      </w:r>
      <w:r w:rsidR="00CD4C77">
        <w:rPr>
          <w:rFonts w:cs="Times New Roman"/>
        </w:rPr>
        <w:t xml:space="preserve">probable </w:t>
      </w:r>
      <w:r w:rsidR="00CD4C77" w:rsidRPr="00CD4C77">
        <w:rPr>
          <w:rFonts w:cs="Times New Roman"/>
        </w:rPr>
        <w:t>relative stability of the variable over time, this variable is best used as a country level indicator.</w:t>
      </w:r>
    </w:p>
    <w:p w14:paraId="2E831EE0" w14:textId="77777777" w:rsidR="00CD4C77" w:rsidRPr="00AC1055" w:rsidRDefault="00CD4C77" w:rsidP="00AC1055">
      <w:pPr>
        <w:spacing w:line="480" w:lineRule="auto"/>
        <w:rPr>
          <w:rFonts w:cs="Times New Roman"/>
        </w:rPr>
      </w:pPr>
    </w:p>
    <w:p w14:paraId="0108AE49" w14:textId="4B597603" w:rsidR="00064B3E" w:rsidRDefault="00064B3E" w:rsidP="00AC1055">
      <w:pPr>
        <w:spacing w:line="480" w:lineRule="auto"/>
        <w:rPr>
          <w:rFonts w:cs="Times New Roman"/>
        </w:rPr>
      </w:pPr>
      <w:r w:rsidRPr="00AC1055">
        <w:rPr>
          <w:rFonts w:cs="Times New Roman"/>
          <w:b/>
        </w:rPr>
        <w:t>Rule of law</w:t>
      </w:r>
      <w:r w:rsidRPr="00AC1055">
        <w:rPr>
          <w:rFonts w:cs="Times New Roman"/>
        </w:rPr>
        <w:t xml:space="preserve"> – the index is sourced from </w:t>
      </w:r>
      <w:r w:rsidR="00747F2B">
        <w:rPr>
          <w:rFonts w:cs="Times New Roman"/>
        </w:rPr>
        <w:t xml:space="preserve">the </w:t>
      </w:r>
      <w:r w:rsidRPr="00AC1055">
        <w:rPr>
          <w:rFonts w:cs="Times New Roman"/>
        </w:rPr>
        <w:t>World Justice Project, it comprises of ‘47 indicators organized around 8 themes: constraints on government powers, absence of corruption, open government, fundamental rights, order and security, regulatory enforcement, civil justice, and criminal justice.’</w:t>
      </w:r>
      <w:r w:rsidRPr="00AC1055">
        <w:rPr>
          <w:rStyle w:val="FootnoteReference"/>
          <w:rFonts w:cs="Times New Roman"/>
        </w:rPr>
        <w:footnoteReference w:id="142"/>
      </w:r>
      <w:r w:rsidRPr="00AC1055">
        <w:rPr>
          <w:rFonts w:cs="Times New Roman"/>
        </w:rPr>
        <w:t xml:space="preserve"> Rule of law is important for economic and financial growth at several levels - it repudiates crony capitalism leading to fair allocation of resources, reduces incidences of corruption like bribery etc.; a vibrant judicial system can control excesses of executive and legislature and provide a safety net for foreign investors, a perception of higher rule of law along with confidence in judicial integrity and impartial market regulator</w:t>
      </w:r>
      <w:r w:rsidR="00747F2B">
        <w:rPr>
          <w:rFonts w:cs="Times New Roman"/>
        </w:rPr>
        <w:t>s</w:t>
      </w:r>
      <w:r w:rsidRPr="00AC1055">
        <w:rPr>
          <w:rFonts w:cs="Times New Roman"/>
        </w:rPr>
        <w:t xml:space="preserve"> would thus allow for a growth in inflow of capital and more robust capital market.</w:t>
      </w:r>
      <w:r w:rsidRPr="00AC1055">
        <w:rPr>
          <w:rStyle w:val="FootnoteReference"/>
          <w:rFonts w:cs="Times New Roman"/>
        </w:rPr>
        <w:footnoteReference w:id="143"/>
      </w:r>
      <w:r w:rsidRPr="00AC1055">
        <w:rPr>
          <w:rFonts w:cs="Times New Roman"/>
        </w:rPr>
        <w:t xml:space="preserve"> </w:t>
      </w:r>
      <w:r w:rsidRPr="00AC1055">
        <w:rPr>
          <w:rFonts w:cs="Times New Roman"/>
        </w:rPr>
        <w:lastRenderedPageBreak/>
        <w:t>Therefore a country with better rule of law would have higher economic development and market growth.</w:t>
      </w:r>
      <w:r w:rsidRPr="00AC1055">
        <w:rPr>
          <w:rStyle w:val="FootnoteReference"/>
          <w:rFonts w:cs="Times New Roman"/>
        </w:rPr>
        <w:footnoteReference w:id="144"/>
      </w:r>
      <w:r w:rsidRPr="00AC1055">
        <w:rPr>
          <w:rFonts w:cs="Times New Roman"/>
        </w:rPr>
        <w:t xml:space="preserve"> Rule of law can also act as a proxy for political stability along with judicial and administrative independence.</w:t>
      </w:r>
      <w:r w:rsidRPr="00AC1055">
        <w:rPr>
          <w:rStyle w:val="FootnoteReference"/>
          <w:rFonts w:cs="Times New Roman"/>
        </w:rPr>
        <w:footnoteReference w:id="145"/>
      </w:r>
      <w:r w:rsidRPr="00AC1055">
        <w:rPr>
          <w:rFonts w:cs="Times New Roman"/>
        </w:rPr>
        <w:t xml:space="preserve"> The WJP rule of law index is available only from 2007 onwards.</w:t>
      </w:r>
      <w:r w:rsidR="00CD4C77">
        <w:rPr>
          <w:rFonts w:cs="Times New Roman"/>
        </w:rPr>
        <w:t xml:space="preserve"> </w:t>
      </w:r>
      <w:r w:rsidR="00CD4C77" w:rsidRPr="00CD4C77">
        <w:rPr>
          <w:rFonts w:cs="Times New Roman"/>
        </w:rPr>
        <w:t>The unavailability of data for the major part of the time period studied in this research, along with the probable relative stability of the variable over time, this variable is best used as a country level indicator.</w:t>
      </w:r>
    </w:p>
    <w:p w14:paraId="42113006" w14:textId="77777777" w:rsidR="00CD4C77" w:rsidRPr="00AC1055" w:rsidRDefault="00CD4C77" w:rsidP="00AC1055">
      <w:pPr>
        <w:spacing w:line="480" w:lineRule="auto"/>
        <w:rPr>
          <w:rFonts w:cs="Times New Roman"/>
        </w:rPr>
      </w:pPr>
    </w:p>
    <w:p w14:paraId="4512DE1E" w14:textId="77777777" w:rsidR="00064B3E" w:rsidRPr="001A6C14" w:rsidRDefault="001A6C14" w:rsidP="00AC1055">
      <w:pPr>
        <w:spacing w:line="480" w:lineRule="auto"/>
        <w:rPr>
          <w:rFonts w:cs="Times New Roman"/>
          <w:b/>
          <w:sz w:val="26"/>
          <w:u w:val="single"/>
        </w:rPr>
      </w:pPr>
      <w:r>
        <w:rPr>
          <w:rFonts w:cs="Times New Roman"/>
          <w:b/>
          <w:sz w:val="26"/>
          <w:u w:val="single"/>
        </w:rPr>
        <w:t xml:space="preserve">2.7 </w:t>
      </w:r>
      <w:r w:rsidR="00064B3E" w:rsidRPr="001A6C14">
        <w:rPr>
          <w:rFonts w:cs="Times New Roman"/>
          <w:b/>
          <w:sz w:val="26"/>
          <w:u w:val="single"/>
        </w:rPr>
        <w:t>Industrial value addition through R&amp;D</w:t>
      </w:r>
    </w:p>
    <w:p w14:paraId="7FDFF631" w14:textId="79B5410D" w:rsidR="00064B3E" w:rsidRPr="00AC1055" w:rsidRDefault="00064B3E" w:rsidP="00AC1055">
      <w:pPr>
        <w:spacing w:line="480" w:lineRule="auto"/>
        <w:rPr>
          <w:rFonts w:cs="Times New Roman"/>
        </w:rPr>
      </w:pPr>
      <w:r w:rsidRPr="00AC1055">
        <w:rPr>
          <w:rFonts w:cs="Times New Roman"/>
          <w:b/>
        </w:rPr>
        <w:t>High technology export</w:t>
      </w:r>
      <w:r w:rsidRPr="00AC1055">
        <w:rPr>
          <w:rFonts w:cs="Times New Roman"/>
        </w:rPr>
        <w:t xml:space="preserve"> – WB defines high-technology exports as products with high R&amp;D intensity, such as in aerospace, computers, pharmaceuticals, scientific instruments, and electrical machinery.</w:t>
      </w:r>
      <w:r w:rsidRPr="00AC1055">
        <w:rPr>
          <w:rStyle w:val="FootnoteReference"/>
          <w:rFonts w:cs="Times New Roman"/>
        </w:rPr>
        <w:footnoteReference w:id="146"/>
      </w:r>
      <w:r w:rsidRPr="00AC1055">
        <w:rPr>
          <w:rFonts w:cs="Times New Roman"/>
        </w:rPr>
        <w:t xml:space="preserve"> It can act as a proxy for </w:t>
      </w:r>
      <w:r w:rsidR="00747F2B">
        <w:rPr>
          <w:rFonts w:cs="Times New Roman"/>
        </w:rPr>
        <w:t xml:space="preserve">the </w:t>
      </w:r>
      <w:r w:rsidRPr="00AC1055">
        <w:rPr>
          <w:rFonts w:cs="Times New Roman"/>
        </w:rPr>
        <w:t xml:space="preserve">level of industrialisation in a society, as per the theories of comparative and competitive advantages of international trade, it is the ultimate goal of societies to move from low value addition to high technology exports through lowering </w:t>
      </w:r>
      <w:r w:rsidR="00747F2B">
        <w:rPr>
          <w:rFonts w:cs="Times New Roman"/>
        </w:rPr>
        <w:t xml:space="preserve">the </w:t>
      </w:r>
      <w:r w:rsidRPr="00AC1055">
        <w:rPr>
          <w:rFonts w:cs="Times New Roman"/>
        </w:rPr>
        <w:t xml:space="preserve">costs of </w:t>
      </w:r>
      <w:r w:rsidRPr="00AC1055">
        <w:rPr>
          <w:rFonts w:cs="Times New Roman"/>
        </w:rPr>
        <w:lastRenderedPageBreak/>
        <w:t>manufacture.</w:t>
      </w:r>
      <w:r w:rsidRPr="00AC1055">
        <w:rPr>
          <w:rStyle w:val="FootnoteReference"/>
          <w:rFonts w:cs="Times New Roman"/>
        </w:rPr>
        <w:footnoteReference w:id="147"/>
      </w:r>
      <w:r w:rsidRPr="00AC1055">
        <w:rPr>
          <w:rFonts w:cs="Times New Roman"/>
        </w:rPr>
        <w:t xml:space="preserve"> Thus we would expect to find mature</w:t>
      </w:r>
      <w:r w:rsidR="004B0C86" w:rsidRPr="00AC1055">
        <w:rPr>
          <w:rFonts w:cs="Times New Roman"/>
        </w:rPr>
        <w:t xml:space="preserve"> developing countries to have higher </w:t>
      </w:r>
      <w:r w:rsidR="00747F2B" w:rsidRPr="00AC1055">
        <w:rPr>
          <w:rFonts w:cs="Times New Roman"/>
        </w:rPr>
        <w:t>technolog</w:t>
      </w:r>
      <w:r w:rsidR="00747F2B">
        <w:rPr>
          <w:rFonts w:cs="Times New Roman"/>
        </w:rPr>
        <w:t>ical</w:t>
      </w:r>
      <w:r w:rsidR="00747F2B" w:rsidRPr="00AC1055">
        <w:rPr>
          <w:rFonts w:cs="Times New Roman"/>
        </w:rPr>
        <w:t xml:space="preserve"> </w:t>
      </w:r>
      <w:r w:rsidR="004B0C86" w:rsidRPr="00AC1055">
        <w:rPr>
          <w:rFonts w:cs="Times New Roman"/>
        </w:rPr>
        <w:t xml:space="preserve">exports and be recipients of </w:t>
      </w:r>
      <w:r w:rsidRPr="00AC1055">
        <w:rPr>
          <w:rFonts w:cs="Times New Roman"/>
        </w:rPr>
        <w:t>higher technology transfer.</w:t>
      </w:r>
      <w:r w:rsidRPr="00AC1055">
        <w:rPr>
          <w:rStyle w:val="FootnoteReference"/>
          <w:rFonts w:cs="Times New Roman"/>
        </w:rPr>
        <w:footnoteReference w:id="148"/>
      </w:r>
      <w:r w:rsidRPr="00AC1055">
        <w:rPr>
          <w:rFonts w:cs="Times New Roman"/>
        </w:rPr>
        <w:t xml:space="preserve"> These exports also influence </w:t>
      </w:r>
      <w:r w:rsidR="00747F2B">
        <w:rPr>
          <w:rFonts w:cs="Times New Roman"/>
        </w:rPr>
        <w:t xml:space="preserve">the </w:t>
      </w:r>
      <w:r w:rsidRPr="00AC1055">
        <w:rPr>
          <w:rFonts w:cs="Times New Roman"/>
        </w:rPr>
        <w:t>inflow of FDI</w:t>
      </w:r>
      <w:r w:rsidRPr="00AC1055">
        <w:rPr>
          <w:rStyle w:val="FootnoteReference"/>
          <w:rFonts w:cs="Times New Roman"/>
        </w:rPr>
        <w:footnoteReference w:id="149"/>
      </w:r>
      <w:r w:rsidRPr="00AC1055">
        <w:rPr>
          <w:rFonts w:cs="Times New Roman"/>
        </w:rPr>
        <w:t xml:space="preserve"> and ha</w:t>
      </w:r>
      <w:r w:rsidR="00747F2B">
        <w:rPr>
          <w:rFonts w:cs="Times New Roman"/>
        </w:rPr>
        <w:t>ve</w:t>
      </w:r>
      <w:r w:rsidRPr="00AC1055">
        <w:rPr>
          <w:rFonts w:cs="Times New Roman"/>
        </w:rPr>
        <w:t xml:space="preserve"> a bidirectional positive effect on </w:t>
      </w:r>
      <w:r w:rsidR="00747F2B">
        <w:rPr>
          <w:rFonts w:cs="Times New Roman"/>
        </w:rPr>
        <w:t xml:space="preserve">the </w:t>
      </w:r>
      <w:r w:rsidRPr="00AC1055">
        <w:rPr>
          <w:rFonts w:cs="Times New Roman"/>
        </w:rPr>
        <w:t>financial market and economic growth.</w:t>
      </w:r>
      <w:r w:rsidRPr="00AC1055">
        <w:rPr>
          <w:rStyle w:val="FootnoteReference"/>
          <w:rFonts w:cs="Times New Roman"/>
        </w:rPr>
        <w:footnoteReference w:id="150"/>
      </w:r>
    </w:p>
    <w:p w14:paraId="4DF4C48A" w14:textId="398D83DD" w:rsidR="000D4DD3" w:rsidRPr="00AC1055" w:rsidRDefault="00064B3E" w:rsidP="00AC1055">
      <w:pPr>
        <w:spacing w:line="480" w:lineRule="auto"/>
        <w:rPr>
          <w:rFonts w:cs="Times New Roman"/>
        </w:rPr>
      </w:pPr>
      <w:r w:rsidRPr="00AC1055">
        <w:rPr>
          <w:rFonts w:cs="Times New Roman"/>
          <w:b/>
        </w:rPr>
        <w:t>Number of patent and trademark applications</w:t>
      </w:r>
      <w:r w:rsidRPr="00AC1055">
        <w:rPr>
          <w:rFonts w:cs="Times New Roman"/>
        </w:rPr>
        <w:t xml:space="preserve"> –act</w:t>
      </w:r>
      <w:r w:rsidR="00747F2B">
        <w:rPr>
          <w:rFonts w:cs="Times New Roman"/>
        </w:rPr>
        <w:t>s</w:t>
      </w:r>
      <w:r w:rsidRPr="00AC1055">
        <w:rPr>
          <w:rFonts w:cs="Times New Roman"/>
        </w:rPr>
        <w:t xml:space="preserve"> as a proxy for investment in R&amp;D, level of industrialisation and as </w:t>
      </w:r>
      <w:r w:rsidR="00747F2B">
        <w:rPr>
          <w:rFonts w:cs="Times New Roman"/>
        </w:rPr>
        <w:t xml:space="preserve">an </w:t>
      </w:r>
      <w:r w:rsidRPr="00AC1055">
        <w:rPr>
          <w:rFonts w:cs="Times New Roman"/>
        </w:rPr>
        <w:t>indicator of technological activities.</w:t>
      </w:r>
      <w:r w:rsidRPr="00AC1055">
        <w:rPr>
          <w:rStyle w:val="FootnoteReference"/>
          <w:rFonts w:cs="Times New Roman"/>
        </w:rPr>
        <w:footnoteReference w:id="151"/>
      </w:r>
      <w:r w:rsidRPr="00AC1055">
        <w:rPr>
          <w:rFonts w:cs="Times New Roman"/>
        </w:rPr>
        <w:t xml:space="preserve"> </w:t>
      </w:r>
      <w:r w:rsidRPr="00AC1055">
        <w:rPr>
          <w:rFonts w:cs="Times New Roman"/>
        </w:rPr>
        <w:lastRenderedPageBreak/>
        <w:t>There is an established link between R&amp;D and economic growth,</w:t>
      </w:r>
      <w:r w:rsidRPr="00AC1055">
        <w:rPr>
          <w:rStyle w:val="FootnoteReference"/>
          <w:rFonts w:cs="Times New Roman"/>
        </w:rPr>
        <w:footnoteReference w:id="152"/>
      </w:r>
      <w:r w:rsidRPr="00AC1055">
        <w:rPr>
          <w:rFonts w:cs="Times New Roman"/>
        </w:rPr>
        <w:t xml:space="preserve"> however its effect on </w:t>
      </w:r>
      <w:r w:rsidR="00747F2B">
        <w:rPr>
          <w:rFonts w:cs="Times New Roman"/>
        </w:rPr>
        <w:t xml:space="preserve">the </w:t>
      </w:r>
      <w:r w:rsidRPr="00AC1055">
        <w:rPr>
          <w:rFonts w:cs="Times New Roman"/>
        </w:rPr>
        <w:t xml:space="preserve">financial market is </w:t>
      </w:r>
      <w:r w:rsidR="00B51A04" w:rsidRPr="00AC1055">
        <w:rPr>
          <w:rFonts w:cs="Times New Roman"/>
        </w:rPr>
        <w:t>uncertain</w:t>
      </w:r>
      <w:r w:rsidRPr="00AC1055">
        <w:rPr>
          <w:rFonts w:cs="Times New Roman"/>
        </w:rPr>
        <w:t>. Some commentators and researchers show a negative link between increased R&amp;D expenditure and stock prices</w:t>
      </w:r>
      <w:r w:rsidR="00747F2B">
        <w:rPr>
          <w:rFonts w:cs="Times New Roman"/>
        </w:rPr>
        <w:t>,</w:t>
      </w:r>
      <w:r w:rsidRPr="00AC1055">
        <w:rPr>
          <w:rFonts w:cs="Times New Roman"/>
        </w:rPr>
        <w:t xml:space="preserve"> arguing shareholder short-termism</w:t>
      </w:r>
      <w:r w:rsidRPr="00AC1055">
        <w:rPr>
          <w:rStyle w:val="FootnoteReference"/>
          <w:rFonts w:cs="Times New Roman"/>
        </w:rPr>
        <w:footnoteReference w:id="153"/>
      </w:r>
      <w:r w:rsidRPr="00AC1055">
        <w:rPr>
          <w:rFonts w:cs="Times New Roman"/>
        </w:rPr>
        <w:t xml:space="preserve"> while other scholars argue for positive long term impact.</w:t>
      </w:r>
      <w:r w:rsidRPr="00AC1055">
        <w:rPr>
          <w:rStyle w:val="FootnoteReference"/>
          <w:rFonts w:cs="Times New Roman"/>
        </w:rPr>
        <w:footnoteReference w:id="154"/>
      </w:r>
      <w:r w:rsidR="00EB577A" w:rsidRPr="00AC1055">
        <w:rPr>
          <w:rFonts w:cs="Times New Roman"/>
        </w:rPr>
        <w:t xml:space="preserve"> There is yet another branch of research which links R&amp;D and capital expenditure to corporate governance</w:t>
      </w:r>
      <w:r w:rsidR="002C7B29" w:rsidRPr="00AC1055">
        <w:rPr>
          <w:rFonts w:cs="Times New Roman"/>
        </w:rPr>
        <w:t xml:space="preserve"> and tries to explain that the transmission channel for </w:t>
      </w:r>
      <w:r w:rsidR="00747F2B">
        <w:rPr>
          <w:rFonts w:cs="Times New Roman"/>
        </w:rPr>
        <w:t xml:space="preserve">the </w:t>
      </w:r>
      <w:r w:rsidR="002C7B29" w:rsidRPr="00AC1055">
        <w:rPr>
          <w:rFonts w:cs="Times New Roman"/>
        </w:rPr>
        <w:t xml:space="preserve">effects of R&amp;D on </w:t>
      </w:r>
      <w:r w:rsidR="00747F2B">
        <w:rPr>
          <w:rFonts w:cs="Times New Roman"/>
        </w:rPr>
        <w:t xml:space="preserve">the </w:t>
      </w:r>
      <w:r w:rsidR="009E03B8" w:rsidRPr="00AC1055">
        <w:rPr>
          <w:rFonts w:cs="Times New Roman"/>
        </w:rPr>
        <w:t xml:space="preserve">financial market runs through </w:t>
      </w:r>
      <w:r w:rsidR="00747F2B">
        <w:rPr>
          <w:rFonts w:cs="Times New Roman"/>
        </w:rPr>
        <w:t xml:space="preserve">the </w:t>
      </w:r>
      <w:r w:rsidR="009E03B8" w:rsidRPr="00AC1055">
        <w:rPr>
          <w:rFonts w:cs="Times New Roman"/>
        </w:rPr>
        <w:t xml:space="preserve">emergence and pre-eminence of Anglo-American corporate governance which may focus on </w:t>
      </w:r>
      <w:r w:rsidR="009E03B8" w:rsidRPr="00AC1055">
        <w:rPr>
          <w:rFonts w:cs="Times New Roman"/>
        </w:rPr>
        <w:lastRenderedPageBreak/>
        <w:t>short term turnovers</w:t>
      </w:r>
      <w:r w:rsidR="00EB577A" w:rsidRPr="00AC1055">
        <w:rPr>
          <w:rFonts w:cs="Times New Roman"/>
        </w:rPr>
        <w:t>.</w:t>
      </w:r>
      <w:r w:rsidR="00EB577A" w:rsidRPr="00AC1055">
        <w:rPr>
          <w:rStyle w:val="FootnoteReference"/>
          <w:rFonts w:cs="Times New Roman"/>
        </w:rPr>
        <w:footnoteReference w:id="155"/>
      </w:r>
      <w:r w:rsidR="009E03B8" w:rsidRPr="00AC1055">
        <w:rPr>
          <w:rFonts w:cs="Times New Roman"/>
        </w:rPr>
        <w:t xml:space="preserve"> Thus R&amp;D stands in a unique position among the variables studied </w:t>
      </w:r>
      <w:r w:rsidR="00747F2B">
        <w:rPr>
          <w:rFonts w:cs="Times New Roman"/>
        </w:rPr>
        <w:t xml:space="preserve">in </w:t>
      </w:r>
      <w:r w:rsidR="009E03B8" w:rsidRPr="00AC1055">
        <w:rPr>
          <w:rFonts w:cs="Times New Roman"/>
        </w:rPr>
        <w:t xml:space="preserve">that it behaves as a control variable (it affects economic growth and </w:t>
      </w:r>
      <w:r w:rsidR="00747F2B">
        <w:rPr>
          <w:rFonts w:cs="Times New Roman"/>
        </w:rPr>
        <w:t xml:space="preserve">the </w:t>
      </w:r>
      <w:r w:rsidR="009E03B8" w:rsidRPr="00AC1055">
        <w:rPr>
          <w:rFonts w:cs="Times New Roman"/>
        </w:rPr>
        <w:t xml:space="preserve">financial market) and at the same time also shows characteristics of interdependent variable (it is directly affected by the type of corporate governance policies chosen by the polity). </w:t>
      </w:r>
    </w:p>
    <w:p w14:paraId="4224BD05" w14:textId="77777777" w:rsidR="000D4DD3" w:rsidRPr="00AC1055" w:rsidRDefault="000D4DD3" w:rsidP="00AC1055">
      <w:pPr>
        <w:spacing w:line="480" w:lineRule="auto"/>
        <w:rPr>
          <w:rFonts w:cs="Times New Roman"/>
        </w:rPr>
      </w:pPr>
      <w:r w:rsidRPr="00AC1055">
        <w:rPr>
          <w:rFonts w:cs="Times New Roman"/>
          <w:noProof/>
          <w:lang w:eastAsia="en-GB"/>
        </w:rPr>
        <w:drawing>
          <wp:inline distT="0" distB="0" distL="0" distR="0" wp14:anchorId="2A82F38B" wp14:editId="7CC5F3AF">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6744F52" w14:textId="31C6EE8F" w:rsidR="00064B3E" w:rsidRPr="00AC1055" w:rsidRDefault="00831987" w:rsidP="00AC1055">
      <w:pPr>
        <w:spacing w:line="480" w:lineRule="auto"/>
        <w:rPr>
          <w:rFonts w:cs="Times New Roman"/>
        </w:rPr>
      </w:pPr>
      <w:r w:rsidRPr="00AC1055">
        <w:rPr>
          <w:rFonts w:cs="Times New Roman"/>
        </w:rPr>
        <w:t>However</w:t>
      </w:r>
      <w:r w:rsidR="00747F2B">
        <w:rPr>
          <w:rFonts w:cs="Times New Roman"/>
        </w:rPr>
        <w:t>,</w:t>
      </w:r>
      <w:r w:rsidRPr="00AC1055">
        <w:rPr>
          <w:rFonts w:cs="Times New Roman"/>
        </w:rPr>
        <w:t xml:space="preserve"> on the balance of probability it would be best to use R&amp;D as a control variable and ignore the effects of corporate governance on R&amp;D to solely focus on </w:t>
      </w:r>
      <w:r w:rsidR="00747F2B">
        <w:rPr>
          <w:rFonts w:cs="Times New Roman"/>
        </w:rPr>
        <w:t xml:space="preserve">the impact of </w:t>
      </w:r>
      <w:r w:rsidRPr="00AC1055">
        <w:rPr>
          <w:rFonts w:cs="Times New Roman"/>
        </w:rPr>
        <w:t>corporate governance on financial market growth.</w:t>
      </w:r>
    </w:p>
    <w:p w14:paraId="0713C2DA" w14:textId="77777777" w:rsidR="00AC1055" w:rsidRPr="00AC1055" w:rsidRDefault="00AC1055" w:rsidP="00AC1055">
      <w:pPr>
        <w:spacing w:line="480" w:lineRule="auto"/>
        <w:rPr>
          <w:rFonts w:cs="Times New Roman"/>
        </w:rPr>
      </w:pPr>
    </w:p>
    <w:p w14:paraId="1C26D24E" w14:textId="77777777" w:rsidR="00AC1055" w:rsidRDefault="00AC1055" w:rsidP="00AC1055">
      <w:pPr>
        <w:spacing w:line="480" w:lineRule="auto"/>
        <w:rPr>
          <w:rFonts w:cs="Times New Roman"/>
        </w:rPr>
      </w:pPr>
    </w:p>
    <w:p w14:paraId="185EBB27" w14:textId="77777777" w:rsidR="00355308" w:rsidRDefault="00355308" w:rsidP="00AC1055">
      <w:pPr>
        <w:spacing w:line="480" w:lineRule="auto"/>
        <w:rPr>
          <w:rFonts w:cs="Times New Roman"/>
        </w:rPr>
      </w:pPr>
    </w:p>
    <w:p w14:paraId="053E7F38" w14:textId="77777777" w:rsidR="00355308" w:rsidRDefault="00355308" w:rsidP="00AC1055">
      <w:pPr>
        <w:spacing w:line="480" w:lineRule="auto"/>
        <w:rPr>
          <w:rFonts w:cs="Times New Roman"/>
        </w:rPr>
      </w:pPr>
    </w:p>
    <w:p w14:paraId="0C0B191B" w14:textId="77777777" w:rsidR="00083E6D" w:rsidRDefault="00083E6D" w:rsidP="00AC1055">
      <w:pPr>
        <w:spacing w:line="480" w:lineRule="auto"/>
        <w:rPr>
          <w:rFonts w:cs="Times New Roman"/>
        </w:rPr>
      </w:pPr>
    </w:p>
    <w:p w14:paraId="4FA2765B" w14:textId="5A89D95A" w:rsidR="000A5358" w:rsidRPr="00F04D1E" w:rsidRDefault="000A5358" w:rsidP="00F04D1E">
      <w:pPr>
        <w:pStyle w:val="ListParagraph"/>
        <w:numPr>
          <w:ilvl w:val="0"/>
          <w:numId w:val="11"/>
        </w:numPr>
        <w:spacing w:line="480" w:lineRule="auto"/>
        <w:jc w:val="center"/>
        <w:rPr>
          <w:rFonts w:cs="Times New Roman"/>
          <w:b/>
          <w:sz w:val="28"/>
          <w:szCs w:val="24"/>
          <w:u w:val="single"/>
        </w:rPr>
      </w:pPr>
      <w:r w:rsidRPr="00F04D1E">
        <w:rPr>
          <w:rFonts w:cs="Times New Roman"/>
          <w:b/>
          <w:sz w:val="28"/>
          <w:szCs w:val="24"/>
          <w:u w:val="single"/>
        </w:rPr>
        <w:lastRenderedPageBreak/>
        <w:t>Methodology</w:t>
      </w:r>
    </w:p>
    <w:p w14:paraId="26A35787" w14:textId="77777777" w:rsidR="000A5358" w:rsidRPr="00A07A47" w:rsidRDefault="000A5358" w:rsidP="000A5358">
      <w:pPr>
        <w:spacing w:line="480" w:lineRule="auto"/>
        <w:ind w:left="113" w:right="113"/>
        <w:rPr>
          <w:rFonts w:cs="Times New Roman"/>
          <w:i/>
          <w:szCs w:val="24"/>
        </w:rPr>
      </w:pPr>
      <w:r w:rsidRPr="00A07A47">
        <w:rPr>
          <w:rFonts w:cs="Times New Roman"/>
          <w:i/>
          <w:szCs w:val="24"/>
        </w:rPr>
        <w:t xml:space="preserve">The aim of the thesis is to quantitatively investigate if changing the corporate governance regime of a country, to make it more shareholder primacy oriented, has any proportional long term causal impact on </w:t>
      </w:r>
      <w:r>
        <w:rPr>
          <w:rFonts w:cs="Times New Roman"/>
          <w:i/>
          <w:szCs w:val="24"/>
        </w:rPr>
        <w:t xml:space="preserve">the </w:t>
      </w:r>
      <w:r w:rsidRPr="00A07A47">
        <w:rPr>
          <w:rFonts w:cs="Times New Roman"/>
          <w:i/>
          <w:szCs w:val="24"/>
        </w:rPr>
        <w:t xml:space="preserve">growth of </w:t>
      </w:r>
      <w:r>
        <w:rPr>
          <w:rFonts w:cs="Times New Roman"/>
          <w:i/>
          <w:szCs w:val="24"/>
        </w:rPr>
        <w:t xml:space="preserve">the </w:t>
      </w:r>
      <w:r w:rsidRPr="00A07A47">
        <w:rPr>
          <w:rFonts w:cs="Times New Roman"/>
          <w:i/>
          <w:szCs w:val="24"/>
        </w:rPr>
        <w:t xml:space="preserve">financial market in those countries. This is done in three steps: first, primary data is collected from jurisdictional experts on </w:t>
      </w:r>
      <w:r>
        <w:rPr>
          <w:rFonts w:cs="Times New Roman"/>
          <w:i/>
          <w:szCs w:val="24"/>
        </w:rPr>
        <w:t xml:space="preserve">the </w:t>
      </w:r>
      <w:r w:rsidRPr="00A07A47">
        <w:rPr>
          <w:rFonts w:cs="Times New Roman"/>
          <w:i/>
          <w:szCs w:val="24"/>
        </w:rPr>
        <w:t>evolution of corporate governance regulations from various</w:t>
      </w:r>
      <w:r>
        <w:rPr>
          <w:rFonts w:cs="Times New Roman"/>
          <w:i/>
          <w:szCs w:val="24"/>
        </w:rPr>
        <w:t>,</w:t>
      </w:r>
      <w:r w:rsidRPr="00A07A47">
        <w:rPr>
          <w:rFonts w:cs="Times New Roman"/>
          <w:i/>
          <w:szCs w:val="24"/>
        </w:rPr>
        <w:t xml:space="preserve"> mostly middle income</w:t>
      </w:r>
      <w:r>
        <w:rPr>
          <w:rFonts w:cs="Times New Roman"/>
          <w:i/>
          <w:szCs w:val="24"/>
        </w:rPr>
        <w:t>,</w:t>
      </w:r>
      <w:r w:rsidRPr="00A07A47">
        <w:rPr>
          <w:rFonts w:cs="Times New Roman"/>
          <w:i/>
          <w:szCs w:val="24"/>
        </w:rPr>
        <w:t xml:space="preserve"> developing countries, for the last twenty years, then financial indicator panel data for these countries for the same period is curated from various open source databases</w:t>
      </w:r>
      <w:r>
        <w:rPr>
          <w:rFonts w:cs="Times New Roman"/>
          <w:i/>
          <w:szCs w:val="24"/>
        </w:rPr>
        <w:t>.</w:t>
      </w:r>
      <w:r w:rsidRPr="00A07A47">
        <w:rPr>
          <w:rFonts w:cs="Times New Roman"/>
          <w:i/>
          <w:szCs w:val="24"/>
        </w:rPr>
        <w:t xml:space="preserve"> </w:t>
      </w:r>
      <w:r>
        <w:rPr>
          <w:rFonts w:cs="Times New Roman"/>
          <w:i/>
          <w:szCs w:val="24"/>
        </w:rPr>
        <w:t>S</w:t>
      </w:r>
      <w:r w:rsidRPr="00A07A47">
        <w:rPr>
          <w:rFonts w:cs="Times New Roman"/>
          <w:i/>
          <w:szCs w:val="24"/>
        </w:rPr>
        <w:t xml:space="preserve">econd, based on the responses by the experts a dynamic corporate governance index is created using </w:t>
      </w:r>
      <w:r>
        <w:rPr>
          <w:rFonts w:cs="Times New Roman"/>
          <w:i/>
          <w:szCs w:val="24"/>
        </w:rPr>
        <w:t xml:space="preserve">a </w:t>
      </w:r>
      <w:r w:rsidRPr="00A07A47">
        <w:rPr>
          <w:rFonts w:cs="Times New Roman"/>
          <w:i/>
          <w:szCs w:val="24"/>
        </w:rPr>
        <w:t>graded response model, and using Bayesian factor analysis a financial development index, and a control index are created from the open source financial data</w:t>
      </w:r>
      <w:r>
        <w:rPr>
          <w:rFonts w:cs="Times New Roman"/>
          <w:i/>
          <w:szCs w:val="24"/>
        </w:rPr>
        <w:t>.</w:t>
      </w:r>
      <w:r w:rsidRPr="00A07A47">
        <w:rPr>
          <w:rFonts w:cs="Times New Roman"/>
          <w:i/>
          <w:szCs w:val="24"/>
        </w:rPr>
        <w:t xml:space="preserve"> Third, a Bayesian inference for </w:t>
      </w:r>
      <w:r>
        <w:rPr>
          <w:rFonts w:cs="Times New Roman"/>
          <w:i/>
          <w:szCs w:val="24"/>
        </w:rPr>
        <w:t xml:space="preserve">the </w:t>
      </w:r>
      <w:r w:rsidRPr="00A07A47">
        <w:rPr>
          <w:rFonts w:cs="Times New Roman"/>
          <w:i/>
          <w:szCs w:val="24"/>
        </w:rPr>
        <w:t xml:space="preserve">panel data regression model with a hierarchical model for unobserved unit level heterogeneity is used on the three indices – corporate governance, financial development and control along with country level indicators, to check if the change in corporate governance has any causal impact on </w:t>
      </w:r>
      <w:r>
        <w:rPr>
          <w:rFonts w:cs="Times New Roman"/>
          <w:i/>
          <w:szCs w:val="24"/>
        </w:rPr>
        <w:t xml:space="preserve">the </w:t>
      </w:r>
      <w:r w:rsidRPr="00A07A47">
        <w:rPr>
          <w:rFonts w:cs="Times New Roman"/>
          <w:i/>
          <w:szCs w:val="24"/>
        </w:rPr>
        <w:t xml:space="preserve">long term growth of </w:t>
      </w:r>
      <w:r>
        <w:rPr>
          <w:rFonts w:cs="Times New Roman"/>
          <w:i/>
          <w:szCs w:val="24"/>
        </w:rPr>
        <w:t xml:space="preserve">the </w:t>
      </w:r>
      <w:r w:rsidRPr="00A07A47">
        <w:rPr>
          <w:rFonts w:cs="Times New Roman"/>
          <w:i/>
          <w:szCs w:val="24"/>
        </w:rPr>
        <w:t>financial market. The entire operation is computed within a single JAGS model so as to allow for the errors to fully propagate within the model and thereby increase the overall robustness of the model.</w:t>
      </w:r>
    </w:p>
    <w:p w14:paraId="6361A10B" w14:textId="77777777" w:rsidR="000A5358" w:rsidRPr="00AC1055" w:rsidRDefault="000A5358" w:rsidP="000A5358">
      <w:pPr>
        <w:spacing w:line="480" w:lineRule="auto"/>
        <w:rPr>
          <w:rFonts w:cs="Times New Roman"/>
          <w:szCs w:val="24"/>
        </w:rPr>
      </w:pPr>
    </w:p>
    <w:p w14:paraId="336C1C62" w14:textId="77777777" w:rsidR="000A5358" w:rsidRPr="00A07A47" w:rsidRDefault="000A5358" w:rsidP="000A5358">
      <w:pPr>
        <w:spacing w:line="480" w:lineRule="auto"/>
        <w:rPr>
          <w:rFonts w:cs="Times New Roman"/>
          <w:b/>
          <w:szCs w:val="24"/>
          <w:u w:val="single"/>
        </w:rPr>
      </w:pPr>
      <w:r>
        <w:rPr>
          <w:rFonts w:cs="Times New Roman"/>
          <w:b/>
          <w:szCs w:val="24"/>
          <w:u w:val="single"/>
        </w:rPr>
        <w:t xml:space="preserve">3.1 </w:t>
      </w:r>
      <w:r w:rsidRPr="00A07A47">
        <w:rPr>
          <w:rFonts w:cs="Times New Roman"/>
          <w:b/>
          <w:szCs w:val="24"/>
          <w:u w:val="single"/>
        </w:rPr>
        <w:t xml:space="preserve">Collection of corporate governance data: </w:t>
      </w:r>
      <w:r>
        <w:rPr>
          <w:rFonts w:cs="Times New Roman"/>
          <w:b/>
          <w:szCs w:val="24"/>
          <w:u w:val="single"/>
        </w:rPr>
        <w:t>q</w:t>
      </w:r>
      <w:r w:rsidRPr="00A07A47">
        <w:rPr>
          <w:rFonts w:cs="Times New Roman"/>
          <w:b/>
          <w:szCs w:val="24"/>
          <w:u w:val="single"/>
        </w:rPr>
        <w:t>uestionnaire survey</w:t>
      </w:r>
    </w:p>
    <w:p w14:paraId="558998F8" w14:textId="223EB5EB" w:rsidR="000A5358" w:rsidRPr="00AC1055" w:rsidRDefault="000A5358" w:rsidP="000A5358">
      <w:pPr>
        <w:spacing w:line="480" w:lineRule="auto"/>
        <w:rPr>
          <w:rFonts w:cs="Times New Roman"/>
          <w:szCs w:val="24"/>
        </w:rPr>
      </w:pPr>
      <w:r w:rsidRPr="00AC1055">
        <w:rPr>
          <w:rFonts w:cs="Times New Roman"/>
          <w:szCs w:val="24"/>
        </w:rPr>
        <w:t xml:space="preserve">Unlike most previous research which focused on countries in a cross-sectional manner (data </w:t>
      </w:r>
      <w:r>
        <w:rPr>
          <w:rFonts w:cs="Times New Roman"/>
          <w:szCs w:val="24"/>
        </w:rPr>
        <w:t xml:space="preserve">is analysed </w:t>
      </w:r>
      <w:r w:rsidRPr="00AC1055">
        <w:rPr>
          <w:rFonts w:cs="Times New Roman"/>
          <w:szCs w:val="24"/>
        </w:rPr>
        <w:t>for one year), the present study takes into account the dynamic nature of law and its effect on financial and economic indicator</w:t>
      </w:r>
      <w:r>
        <w:rPr>
          <w:rFonts w:cs="Times New Roman"/>
          <w:szCs w:val="24"/>
        </w:rPr>
        <w:t>s</w:t>
      </w:r>
      <w:r w:rsidRPr="00AC1055">
        <w:rPr>
          <w:rFonts w:cs="Times New Roman"/>
          <w:szCs w:val="24"/>
        </w:rPr>
        <w:t xml:space="preserve">, wholly in </w:t>
      </w:r>
      <w:r w:rsidRPr="00AC1055">
        <w:rPr>
          <w:rFonts w:cs="Times New Roman"/>
          <w:szCs w:val="24"/>
        </w:rPr>
        <w:lastRenderedPageBreak/>
        <w:t xml:space="preserve">a time series or panel data manner, retrospectively analysing data for twenty years. The first obstruction to such an approach was </w:t>
      </w:r>
      <w:r>
        <w:rPr>
          <w:rFonts w:cs="Times New Roman"/>
          <w:szCs w:val="24"/>
        </w:rPr>
        <w:t xml:space="preserve">the </w:t>
      </w:r>
      <w:r w:rsidRPr="00AC1055">
        <w:rPr>
          <w:rFonts w:cs="Times New Roman"/>
          <w:szCs w:val="24"/>
        </w:rPr>
        <w:t>unavailability of time series data on corporate governance evolution.</w:t>
      </w:r>
      <w:r w:rsidRPr="00AC1055">
        <w:rPr>
          <w:rFonts w:cs="Times New Roman"/>
          <w:szCs w:val="24"/>
          <w:vertAlign w:val="superscript"/>
        </w:rPr>
        <w:footnoteReference w:id="156"/>
      </w:r>
      <w:r w:rsidRPr="00AC1055">
        <w:rPr>
          <w:rFonts w:cs="Times New Roman"/>
          <w:szCs w:val="24"/>
        </w:rPr>
        <w:t xml:space="preserve"> One way to solve this could have been standardising the scores and pooling them in a time series format from various multi-c</w:t>
      </w:r>
      <w:r w:rsidR="009B0DA6">
        <w:rPr>
          <w:rFonts w:cs="Times New Roman"/>
          <w:szCs w:val="24"/>
        </w:rPr>
        <w:t xml:space="preserve">ountry studies conducted by </w:t>
      </w:r>
      <w:r w:rsidR="009B0DA6" w:rsidRPr="009B0DA6">
        <w:rPr>
          <w:rFonts w:cs="Times New Roman"/>
          <w:szCs w:val="24"/>
        </w:rPr>
        <w:t>La Porta et al.</w:t>
      </w:r>
      <w:r w:rsidRPr="00AC1055">
        <w:rPr>
          <w:rFonts w:cs="Times New Roman"/>
          <w:szCs w:val="24"/>
        </w:rPr>
        <w:t xml:space="preserve">, </w:t>
      </w:r>
      <w:proofErr w:type="spellStart"/>
      <w:r w:rsidRPr="00AC1055">
        <w:rPr>
          <w:rFonts w:cs="Times New Roman"/>
          <w:szCs w:val="24"/>
        </w:rPr>
        <w:t>Djankov</w:t>
      </w:r>
      <w:proofErr w:type="spellEnd"/>
      <w:r w:rsidRPr="00AC1055">
        <w:rPr>
          <w:rFonts w:cs="Times New Roman"/>
          <w:szCs w:val="24"/>
        </w:rPr>
        <w:t xml:space="preserve"> et al., </w:t>
      </w:r>
      <w:proofErr w:type="spellStart"/>
      <w:r w:rsidRPr="00AC1055">
        <w:rPr>
          <w:rFonts w:cs="Times New Roman"/>
          <w:szCs w:val="24"/>
        </w:rPr>
        <w:t>Spamann</w:t>
      </w:r>
      <w:proofErr w:type="spellEnd"/>
      <w:r w:rsidRPr="00AC1055">
        <w:rPr>
          <w:rFonts w:cs="Times New Roman"/>
          <w:szCs w:val="24"/>
        </w:rPr>
        <w:t>, Armour</w:t>
      </w:r>
      <w:r w:rsidR="009B0DA6">
        <w:rPr>
          <w:rFonts w:cs="Times New Roman"/>
          <w:szCs w:val="24"/>
        </w:rPr>
        <w:t>, Deakin</w:t>
      </w:r>
      <w:r w:rsidRPr="00AC1055">
        <w:rPr>
          <w:rFonts w:cs="Times New Roman"/>
          <w:szCs w:val="24"/>
        </w:rPr>
        <w:t xml:space="preserve"> et al., ROSC etc. at different time period/gap over the last twenty years. This can be further supported by numerous single country studies, again in different time periods. However</w:t>
      </w:r>
      <w:r>
        <w:rPr>
          <w:rFonts w:cs="Times New Roman"/>
          <w:szCs w:val="24"/>
        </w:rPr>
        <w:t>,</w:t>
      </w:r>
      <w:r w:rsidRPr="00AC1055">
        <w:rPr>
          <w:rFonts w:cs="Times New Roman"/>
          <w:szCs w:val="24"/>
        </w:rPr>
        <w:t xml:space="preserve"> this approach has certain obvious limitations </w:t>
      </w:r>
      <w:r>
        <w:rPr>
          <w:rFonts w:cs="Times New Roman"/>
          <w:szCs w:val="24"/>
        </w:rPr>
        <w:t>such as</w:t>
      </w:r>
      <w:r w:rsidRPr="00AC1055">
        <w:rPr>
          <w:rFonts w:cs="Times New Roman"/>
          <w:szCs w:val="24"/>
        </w:rPr>
        <w:t xml:space="preserve"> differences in </w:t>
      </w:r>
      <w:r>
        <w:rPr>
          <w:rFonts w:cs="Times New Roman"/>
          <w:szCs w:val="24"/>
        </w:rPr>
        <w:t xml:space="preserve">the </w:t>
      </w:r>
      <w:r w:rsidRPr="00AC1055">
        <w:rPr>
          <w:rFonts w:cs="Times New Roman"/>
          <w:szCs w:val="24"/>
        </w:rPr>
        <w:t xml:space="preserve">number, type and consistency of variables, inter-rater reliability in coding, incorrect statistical assumptions of </w:t>
      </w:r>
      <w:proofErr w:type="spellStart"/>
      <w:r w:rsidRPr="00AC1055">
        <w:rPr>
          <w:rFonts w:cs="Times New Roman"/>
          <w:szCs w:val="24"/>
        </w:rPr>
        <w:t>changepoints</w:t>
      </w:r>
      <w:proofErr w:type="spellEnd"/>
      <w:r w:rsidRPr="00AC1055">
        <w:rPr>
          <w:rFonts w:cs="Times New Roman"/>
          <w:szCs w:val="24"/>
        </w:rPr>
        <w:t xml:space="preserve">/breakpoints in indices etc. The other would be to use some of the existing panel data on corporate governance evolution, however the lack of comprehensiveness of the items both in </w:t>
      </w:r>
      <w:r>
        <w:rPr>
          <w:rFonts w:cs="Times New Roman"/>
          <w:szCs w:val="24"/>
        </w:rPr>
        <w:t xml:space="preserve">the </w:t>
      </w:r>
      <w:r w:rsidRPr="00AC1055">
        <w:rPr>
          <w:rFonts w:cs="Times New Roman"/>
          <w:szCs w:val="24"/>
        </w:rPr>
        <w:t>number and definition of such items, made them inappropriate for use in this present research. Therefore</w:t>
      </w:r>
      <w:r>
        <w:rPr>
          <w:rFonts w:cs="Times New Roman"/>
          <w:szCs w:val="24"/>
        </w:rPr>
        <w:t>,</w:t>
      </w:r>
      <w:r w:rsidRPr="00AC1055">
        <w:rPr>
          <w:rFonts w:cs="Times New Roman"/>
          <w:szCs w:val="24"/>
        </w:rPr>
        <w:t xml:space="preserve"> the only reliable way to </w:t>
      </w:r>
      <w:r>
        <w:rPr>
          <w:rFonts w:cs="Times New Roman"/>
          <w:szCs w:val="24"/>
        </w:rPr>
        <w:t>obtain</w:t>
      </w:r>
      <w:r w:rsidRPr="00AC1055">
        <w:rPr>
          <w:rFonts w:cs="Times New Roman"/>
          <w:szCs w:val="24"/>
        </w:rPr>
        <w:t xml:space="preserve"> robust panel data on </w:t>
      </w:r>
      <w:r>
        <w:rPr>
          <w:rFonts w:cs="Times New Roman"/>
          <w:szCs w:val="24"/>
        </w:rPr>
        <w:t xml:space="preserve">the </w:t>
      </w:r>
      <w:r w:rsidRPr="00AC1055">
        <w:rPr>
          <w:rFonts w:cs="Times New Roman"/>
          <w:szCs w:val="24"/>
        </w:rPr>
        <w:t>evolution of corporate governance was to collect it directly from primary sources like stock exchanges, corporate governance organisations, business practitioners, scholars, academics and subject experts etc.</w:t>
      </w:r>
    </w:p>
    <w:p w14:paraId="1ABE32DE" w14:textId="439229D5" w:rsidR="000A5358" w:rsidRPr="00AC1055" w:rsidRDefault="000A5358" w:rsidP="000A5358">
      <w:pPr>
        <w:spacing w:line="480" w:lineRule="auto"/>
        <w:rPr>
          <w:rFonts w:cs="Times New Roman"/>
          <w:szCs w:val="24"/>
        </w:rPr>
      </w:pPr>
      <w:r w:rsidRPr="00AC1055">
        <w:rPr>
          <w:rFonts w:cs="Times New Roman"/>
          <w:szCs w:val="24"/>
        </w:rPr>
        <w:t xml:space="preserve">A questionnaire was created to investigate the presence, absence and the levels of enforceability (compulsory or optional) of over fifty corporate governance parameters, as explained in the previous chapter. This questionnaire tried to look for the changes in these variables in the last twenty years from 1994 to 2014. It would have become extremely tiresome for expert respondents to check and conduct </w:t>
      </w:r>
      <w:r w:rsidRPr="00AC1055">
        <w:rPr>
          <w:rFonts w:cs="Times New Roman"/>
          <w:szCs w:val="24"/>
        </w:rPr>
        <w:lastRenderedPageBreak/>
        <w:t>archival research for changes every year in the past twenty years, so the questionnaire was constructed along the lines of Pagano-</w:t>
      </w:r>
      <w:proofErr w:type="spellStart"/>
      <w:r w:rsidRPr="00AC1055">
        <w:rPr>
          <w:rFonts w:cs="Times New Roman"/>
          <w:szCs w:val="24"/>
        </w:rPr>
        <w:t>Volpin</w:t>
      </w:r>
      <w:proofErr w:type="spellEnd"/>
      <w:r w:rsidRPr="00AC1055">
        <w:rPr>
          <w:rFonts w:cs="Times New Roman"/>
          <w:szCs w:val="24"/>
        </w:rPr>
        <w:t xml:space="preserve"> bunch up model;</w:t>
      </w:r>
      <w:r w:rsidRPr="00AC1055">
        <w:rPr>
          <w:rFonts w:cs="Times New Roman"/>
          <w:szCs w:val="24"/>
          <w:vertAlign w:val="superscript"/>
        </w:rPr>
        <w:footnoteReference w:id="157"/>
      </w:r>
      <w:r w:rsidRPr="00AC1055">
        <w:rPr>
          <w:rFonts w:cs="Times New Roman"/>
          <w:szCs w:val="24"/>
        </w:rPr>
        <w:t xml:space="preserve"> where the respondents are first asked to check the regulation</w:t>
      </w:r>
      <w:r>
        <w:rPr>
          <w:rFonts w:cs="Times New Roman"/>
          <w:szCs w:val="24"/>
        </w:rPr>
        <w:t>s</w:t>
      </w:r>
      <w:r w:rsidRPr="00AC1055">
        <w:rPr>
          <w:rFonts w:cs="Times New Roman"/>
          <w:szCs w:val="24"/>
        </w:rPr>
        <w:t xml:space="preserve"> </w:t>
      </w:r>
      <w:r>
        <w:rPr>
          <w:rFonts w:cs="Times New Roman"/>
          <w:szCs w:val="24"/>
        </w:rPr>
        <w:t>of</w:t>
      </w:r>
      <w:r w:rsidRPr="00AC1055">
        <w:rPr>
          <w:rFonts w:cs="Times New Roman"/>
          <w:szCs w:val="24"/>
        </w:rPr>
        <w:t xml:space="preserve"> the nearest time point (which for this research was 2014) and are then asked to check whether the regulation was similar five years ago. If the regulation was similar then the respondent </w:t>
      </w:r>
      <w:r>
        <w:rPr>
          <w:rFonts w:cs="Times New Roman"/>
          <w:szCs w:val="24"/>
        </w:rPr>
        <w:t>could</w:t>
      </w:r>
      <w:r w:rsidRPr="00AC1055">
        <w:rPr>
          <w:rFonts w:cs="Times New Roman"/>
          <w:szCs w:val="24"/>
        </w:rPr>
        <w:t xml:space="preserve"> move back another five years and check again. This process </w:t>
      </w:r>
      <w:r>
        <w:rPr>
          <w:rFonts w:cs="Times New Roman"/>
          <w:szCs w:val="24"/>
        </w:rPr>
        <w:t>could</w:t>
      </w:r>
      <w:r w:rsidRPr="00AC1055">
        <w:rPr>
          <w:rFonts w:cs="Times New Roman"/>
          <w:szCs w:val="24"/>
        </w:rPr>
        <w:t xml:space="preserve"> be repeated </w:t>
      </w:r>
      <w:r>
        <w:rPr>
          <w:rFonts w:cs="Times New Roman"/>
          <w:szCs w:val="24"/>
        </w:rPr>
        <w:t>according to</w:t>
      </w:r>
      <w:r w:rsidRPr="00AC1055">
        <w:rPr>
          <w:rFonts w:cs="Times New Roman"/>
          <w:szCs w:val="24"/>
        </w:rPr>
        <w:t xml:space="preserve"> need and </w:t>
      </w:r>
      <w:r>
        <w:rPr>
          <w:rFonts w:cs="Times New Roman"/>
          <w:szCs w:val="24"/>
        </w:rPr>
        <w:t xml:space="preserve">the </w:t>
      </w:r>
      <w:r w:rsidRPr="00AC1055">
        <w:rPr>
          <w:rFonts w:cs="Times New Roman"/>
          <w:szCs w:val="24"/>
        </w:rPr>
        <w:t xml:space="preserve">retrospective depth of the research. </w:t>
      </w:r>
      <w:r>
        <w:rPr>
          <w:rFonts w:cs="Times New Roman"/>
          <w:szCs w:val="24"/>
        </w:rPr>
        <w:t>In the case of a</w:t>
      </w:r>
      <w:r w:rsidRPr="00AC1055">
        <w:rPr>
          <w:rFonts w:cs="Times New Roman"/>
          <w:szCs w:val="24"/>
        </w:rPr>
        <w:t xml:space="preserve"> regulation change</w:t>
      </w:r>
      <w:r>
        <w:rPr>
          <w:rFonts w:cs="Times New Roman"/>
          <w:szCs w:val="24"/>
        </w:rPr>
        <w:t>,</w:t>
      </w:r>
      <w:r w:rsidRPr="00AC1055">
        <w:rPr>
          <w:rFonts w:cs="Times New Roman"/>
          <w:szCs w:val="24"/>
        </w:rPr>
        <w:t xml:space="preserve"> the respondent </w:t>
      </w:r>
      <w:r>
        <w:rPr>
          <w:rFonts w:cs="Times New Roman"/>
          <w:szCs w:val="24"/>
        </w:rPr>
        <w:t>was required to determine</w:t>
      </w:r>
      <w:r w:rsidRPr="00AC1055">
        <w:rPr>
          <w:rFonts w:cs="Times New Roman"/>
          <w:szCs w:val="24"/>
        </w:rPr>
        <w:t xml:space="preserve"> which year it had taken place</w:t>
      </w:r>
      <w:r>
        <w:rPr>
          <w:rFonts w:cs="Times New Roman"/>
          <w:szCs w:val="24"/>
        </w:rPr>
        <w:t>,</w:t>
      </w:r>
      <w:r w:rsidRPr="00AC1055">
        <w:rPr>
          <w:rFonts w:cs="Times New Roman"/>
          <w:szCs w:val="24"/>
        </w:rPr>
        <w:t xml:space="preserve"> </w:t>
      </w:r>
      <w:r>
        <w:rPr>
          <w:rFonts w:cs="Times New Roman"/>
          <w:szCs w:val="24"/>
        </w:rPr>
        <w:t>state</w:t>
      </w:r>
      <w:r w:rsidRPr="00AC1055">
        <w:rPr>
          <w:rFonts w:cs="Times New Roman"/>
          <w:szCs w:val="24"/>
        </w:rPr>
        <w:t xml:space="preserve"> the year and explain the change briefly. Thus for the purpose of </w:t>
      </w:r>
      <w:r>
        <w:rPr>
          <w:rFonts w:cs="Times New Roman"/>
          <w:szCs w:val="24"/>
        </w:rPr>
        <w:t>this</w:t>
      </w:r>
      <w:r w:rsidRPr="00AC1055">
        <w:rPr>
          <w:rFonts w:cs="Times New Roman"/>
          <w:szCs w:val="24"/>
        </w:rPr>
        <w:t xml:space="preserve"> research</w:t>
      </w:r>
      <w:r>
        <w:rPr>
          <w:rFonts w:cs="Times New Roman"/>
          <w:szCs w:val="24"/>
        </w:rPr>
        <w:t>,</w:t>
      </w:r>
      <w:r w:rsidRPr="00AC1055">
        <w:rPr>
          <w:rFonts w:cs="Times New Roman"/>
          <w:szCs w:val="24"/>
        </w:rPr>
        <w:t xml:space="preserve"> instead of filling out twenty columns the respondents were first asked to check, for each variable, whether it was present in their jurisdiction in 2014 and if it was present then whether it was compulsory or optional. The respondents were then asked to state the legal source </w:t>
      </w:r>
      <w:r>
        <w:rPr>
          <w:rFonts w:cs="Times New Roman"/>
          <w:szCs w:val="24"/>
        </w:rPr>
        <w:t xml:space="preserve">of </w:t>
      </w:r>
      <w:r w:rsidRPr="00AC1055">
        <w:rPr>
          <w:rFonts w:cs="Times New Roman"/>
          <w:szCs w:val="24"/>
        </w:rPr>
        <w:t xml:space="preserve">their response, then they were asked if the regulation was </w:t>
      </w:r>
      <w:r>
        <w:rPr>
          <w:rFonts w:cs="Times New Roman"/>
          <w:szCs w:val="24"/>
        </w:rPr>
        <w:t xml:space="preserve">the </w:t>
      </w:r>
      <w:r w:rsidRPr="00AC1055">
        <w:rPr>
          <w:rFonts w:cs="Times New Roman"/>
          <w:szCs w:val="24"/>
        </w:rPr>
        <w:t xml:space="preserve">same in 2009 in comparison to 2014 and if not when it </w:t>
      </w:r>
      <w:r>
        <w:rPr>
          <w:rFonts w:cs="Times New Roman"/>
          <w:szCs w:val="24"/>
        </w:rPr>
        <w:t xml:space="preserve">had </w:t>
      </w:r>
      <w:r w:rsidRPr="00AC1055">
        <w:rPr>
          <w:rFonts w:cs="Times New Roman"/>
          <w:szCs w:val="24"/>
        </w:rPr>
        <w:t>change</w:t>
      </w:r>
      <w:r>
        <w:rPr>
          <w:rFonts w:cs="Times New Roman"/>
          <w:szCs w:val="24"/>
        </w:rPr>
        <w:t>d</w:t>
      </w:r>
      <w:r w:rsidRPr="00AC1055">
        <w:rPr>
          <w:rFonts w:cs="Times New Roman"/>
          <w:szCs w:val="24"/>
        </w:rPr>
        <w:t xml:space="preserve"> between</w:t>
      </w:r>
      <w:r>
        <w:rPr>
          <w:rFonts w:cs="Times New Roman"/>
          <w:szCs w:val="24"/>
        </w:rPr>
        <w:t xml:space="preserve"> </w:t>
      </w:r>
      <w:r w:rsidRPr="00AC1055">
        <w:rPr>
          <w:rFonts w:cs="Times New Roman"/>
          <w:szCs w:val="24"/>
        </w:rPr>
        <w:t>2009</w:t>
      </w:r>
      <w:r>
        <w:rPr>
          <w:rFonts w:cs="Times New Roman"/>
          <w:szCs w:val="24"/>
        </w:rPr>
        <w:t xml:space="preserve"> and </w:t>
      </w:r>
      <w:r w:rsidRPr="00AC1055">
        <w:rPr>
          <w:rFonts w:cs="Times New Roman"/>
          <w:szCs w:val="24"/>
        </w:rPr>
        <w:t>2014 and how was it different. This was repeated for three time periods</w:t>
      </w:r>
      <w:r>
        <w:rPr>
          <w:rFonts w:cs="Times New Roman"/>
          <w:szCs w:val="24"/>
        </w:rPr>
        <w:t>:</w:t>
      </w:r>
      <w:r w:rsidRPr="00AC1055">
        <w:rPr>
          <w:rFonts w:cs="Times New Roman"/>
          <w:szCs w:val="24"/>
        </w:rPr>
        <w:t xml:space="preserve"> 2009-2004, 2004-1999 and 1999-1994. Thus</w:t>
      </w:r>
      <w:r>
        <w:rPr>
          <w:rFonts w:cs="Times New Roman"/>
          <w:szCs w:val="24"/>
        </w:rPr>
        <w:t>,</w:t>
      </w:r>
      <w:r w:rsidRPr="00AC1055">
        <w:rPr>
          <w:rFonts w:cs="Times New Roman"/>
          <w:szCs w:val="24"/>
        </w:rPr>
        <w:t xml:space="preserve"> to </w:t>
      </w:r>
      <w:r>
        <w:rPr>
          <w:rFonts w:cs="Times New Roman"/>
          <w:szCs w:val="24"/>
        </w:rPr>
        <w:t>obtain data for a</w:t>
      </w:r>
      <w:r w:rsidRPr="00AC1055">
        <w:rPr>
          <w:rFonts w:cs="Times New Roman"/>
          <w:szCs w:val="24"/>
        </w:rPr>
        <w:t xml:space="preserve"> twenty year </w:t>
      </w:r>
      <w:r>
        <w:rPr>
          <w:rFonts w:cs="Times New Roman"/>
          <w:szCs w:val="24"/>
        </w:rPr>
        <w:t>period,</w:t>
      </w:r>
      <w:r w:rsidRPr="00AC1055">
        <w:rPr>
          <w:rFonts w:cs="Times New Roman"/>
          <w:szCs w:val="24"/>
        </w:rPr>
        <w:t xml:space="preserve"> the respondents had to fill up only four columns. The respondents were also asked to </w:t>
      </w:r>
      <w:r>
        <w:rPr>
          <w:rFonts w:cs="Times New Roman"/>
          <w:szCs w:val="24"/>
        </w:rPr>
        <w:t>add</w:t>
      </w:r>
      <w:r w:rsidRPr="00AC1055">
        <w:rPr>
          <w:rFonts w:cs="Times New Roman"/>
          <w:szCs w:val="24"/>
        </w:rPr>
        <w:t xml:space="preserve"> a small comment about the level of enforceability of each regulation/parameter in their jurisdiction. Please refer to </w:t>
      </w:r>
      <w:r w:rsidR="00442FF0">
        <w:rPr>
          <w:rFonts w:cs="Times New Roman"/>
          <w:szCs w:val="24"/>
        </w:rPr>
        <w:t>Appendix I</w:t>
      </w:r>
      <w:r w:rsidRPr="00AC1055">
        <w:rPr>
          <w:rFonts w:cs="Times New Roman"/>
          <w:szCs w:val="24"/>
        </w:rPr>
        <w:t xml:space="preserve"> for a copy of the questionnaire</w:t>
      </w:r>
      <w:r w:rsidR="009C75FF">
        <w:rPr>
          <w:rFonts w:cs="Times New Roman"/>
          <w:szCs w:val="24"/>
        </w:rPr>
        <w:t>, coded data for each country</w:t>
      </w:r>
      <w:r w:rsidRPr="00AC1055">
        <w:rPr>
          <w:rFonts w:cs="Times New Roman"/>
          <w:szCs w:val="24"/>
        </w:rPr>
        <w:t xml:space="preserve"> and </w:t>
      </w:r>
      <w:r w:rsidR="00442FF0">
        <w:rPr>
          <w:rFonts w:cs="Times New Roman"/>
          <w:szCs w:val="24"/>
        </w:rPr>
        <w:t xml:space="preserve">DVD1 for </w:t>
      </w:r>
      <w:r w:rsidRPr="00AC1055">
        <w:rPr>
          <w:rFonts w:cs="Times New Roman"/>
          <w:szCs w:val="24"/>
        </w:rPr>
        <w:t xml:space="preserve">the original </w:t>
      </w:r>
      <w:r w:rsidR="009C75FF">
        <w:rPr>
          <w:rFonts w:cs="Times New Roman"/>
          <w:szCs w:val="24"/>
        </w:rPr>
        <w:t>response</w:t>
      </w:r>
      <w:r w:rsidR="004775ED">
        <w:rPr>
          <w:rFonts w:cs="Times New Roman"/>
          <w:szCs w:val="24"/>
        </w:rPr>
        <w:t>s</w:t>
      </w:r>
      <w:r w:rsidRPr="00AC1055">
        <w:rPr>
          <w:rFonts w:cs="Times New Roman"/>
          <w:szCs w:val="24"/>
        </w:rPr>
        <w:t>.</w:t>
      </w:r>
    </w:p>
    <w:p w14:paraId="0DB24126" w14:textId="77777777" w:rsidR="000A5358" w:rsidRPr="00AC1055" w:rsidRDefault="000A5358" w:rsidP="000A5358">
      <w:pPr>
        <w:spacing w:line="480" w:lineRule="auto"/>
        <w:rPr>
          <w:rFonts w:cs="Times New Roman"/>
          <w:szCs w:val="24"/>
        </w:rPr>
      </w:pPr>
      <w:r w:rsidRPr="00AC1055">
        <w:rPr>
          <w:rFonts w:cs="Times New Roman"/>
          <w:szCs w:val="24"/>
        </w:rPr>
        <w:t>The questionnaire was trialled multiple times in 2013 on three respondents from two different countries. Initially there were over sixty individual parameters, however</w:t>
      </w:r>
      <w:r>
        <w:rPr>
          <w:rFonts w:cs="Times New Roman"/>
          <w:szCs w:val="24"/>
        </w:rPr>
        <w:t xml:space="preserve">, </w:t>
      </w:r>
      <w:r w:rsidRPr="00AC1055">
        <w:rPr>
          <w:rFonts w:cs="Times New Roman"/>
          <w:szCs w:val="24"/>
        </w:rPr>
        <w:t xml:space="preserve">during the trial it was found that the data can be more effectively collated if the </w:t>
      </w:r>
      <w:r w:rsidRPr="00AC1055">
        <w:rPr>
          <w:rFonts w:cs="Times New Roman"/>
          <w:szCs w:val="24"/>
        </w:rPr>
        <w:lastRenderedPageBreak/>
        <w:t xml:space="preserve">variables are reduced to around fifty. The trial process also streamlined the feedback loop processes and led to more consistent coding. Some of the variables were modified to take polynomial values, and give more explanatory power to capture the legal variations across different jurisdictions. The trial respondents were sometimes asked to provide incorrect responses so as to stress test the questionnaire and gather data about </w:t>
      </w:r>
      <w:r>
        <w:rPr>
          <w:rFonts w:cs="Times New Roman"/>
          <w:szCs w:val="24"/>
        </w:rPr>
        <w:t xml:space="preserve">respondent </w:t>
      </w:r>
      <w:r w:rsidRPr="00AC1055">
        <w:rPr>
          <w:rFonts w:cs="Times New Roman"/>
          <w:szCs w:val="24"/>
        </w:rPr>
        <w:t>reliability. The trial process helped in drafting more effective explanatory notes for the variables for future respondents and draft an efficient questionnaire.</w:t>
      </w:r>
    </w:p>
    <w:p w14:paraId="0A7A01C2" w14:textId="1185D059" w:rsidR="000A5358" w:rsidRPr="00AC1055" w:rsidRDefault="000A5358" w:rsidP="000A5358">
      <w:pPr>
        <w:spacing w:line="480" w:lineRule="auto"/>
        <w:rPr>
          <w:rFonts w:cs="Times New Roman"/>
          <w:szCs w:val="24"/>
        </w:rPr>
      </w:pPr>
      <w:r>
        <w:rPr>
          <w:rFonts w:cs="Times New Roman"/>
          <w:szCs w:val="24"/>
        </w:rPr>
        <w:t>In keeping</w:t>
      </w:r>
      <w:r w:rsidRPr="00AC1055">
        <w:rPr>
          <w:rFonts w:cs="Times New Roman"/>
          <w:szCs w:val="24"/>
        </w:rPr>
        <w:t xml:space="preserve"> with the data collection philosophy of recruiting jurisdictional expert</w:t>
      </w:r>
      <w:r>
        <w:rPr>
          <w:rFonts w:cs="Times New Roman"/>
          <w:szCs w:val="24"/>
        </w:rPr>
        <w:t>s</w:t>
      </w:r>
      <w:r w:rsidRPr="00AC1055">
        <w:rPr>
          <w:rFonts w:cs="Times New Roman"/>
          <w:szCs w:val="24"/>
        </w:rPr>
        <w:t>, to avoid inter-jurisdictional bias, the questionnaire was sent to stock exchanges, financial regulators, academics, practitioners and corporate governance organisations across over fifty developing countries. Althoug</w:t>
      </w:r>
      <w:r w:rsidR="009B0DA6">
        <w:rPr>
          <w:rFonts w:cs="Times New Roman"/>
          <w:szCs w:val="24"/>
        </w:rPr>
        <w:t xml:space="preserve">h previous researchers like </w:t>
      </w:r>
      <w:r w:rsidR="009B0DA6" w:rsidRPr="009B0DA6">
        <w:rPr>
          <w:rFonts w:cs="Times New Roman"/>
          <w:szCs w:val="24"/>
        </w:rPr>
        <w:t>La Porta et al.</w:t>
      </w:r>
      <w:r w:rsidRPr="00AC1055">
        <w:rPr>
          <w:rFonts w:cs="Times New Roman"/>
          <w:szCs w:val="24"/>
        </w:rPr>
        <w:t xml:space="preserve">, </w:t>
      </w:r>
      <w:proofErr w:type="spellStart"/>
      <w:r w:rsidRPr="00AC1055">
        <w:rPr>
          <w:rFonts w:cs="Times New Roman"/>
          <w:szCs w:val="24"/>
        </w:rPr>
        <w:t>Djankov</w:t>
      </w:r>
      <w:proofErr w:type="spellEnd"/>
      <w:r w:rsidRPr="00AC1055">
        <w:rPr>
          <w:rFonts w:cs="Times New Roman"/>
          <w:szCs w:val="24"/>
        </w:rPr>
        <w:t xml:space="preserve"> et al., etc. had employed Lex Mundi law firms for their 2008 papers, given the paucity of fund </w:t>
      </w:r>
      <w:r>
        <w:rPr>
          <w:rFonts w:cs="Times New Roman"/>
          <w:szCs w:val="24"/>
        </w:rPr>
        <w:t>it was only possible</w:t>
      </w:r>
      <w:r w:rsidRPr="00AC1055">
        <w:rPr>
          <w:rFonts w:cs="Times New Roman"/>
          <w:szCs w:val="24"/>
        </w:rPr>
        <w:t xml:space="preserve"> offer a small financial benefit of around £100</w:t>
      </w:r>
      <w:r w:rsidR="009C75FF">
        <w:rPr>
          <w:rFonts w:cs="Times New Roman"/>
          <w:szCs w:val="24"/>
        </w:rPr>
        <w:t xml:space="preserve"> per country</w:t>
      </w:r>
      <w:r w:rsidRPr="00AC1055">
        <w:rPr>
          <w:rFonts w:cs="Times New Roman"/>
          <w:szCs w:val="24"/>
        </w:rPr>
        <w:t>, which would not be sufficient for recruiting formal help from any reputed law firms. Therefore we requested help gratis, with £100 as only a small token of acknowledgment and not compensation. We approached close to two hundred experts, got around forty responses. The wide breadth of the data collection with deep archival research challenges and professionally inadequate monetary compensation had led to a supermajority of respondents declining the request. Among the respondents who agreed to participate in the data collection process - the Karachi Stock Exchange agreed to help with the corporate governance data for Pakistan, Tehran Stock Exchange helped to liaise with their corporate governance bureau to acquire the necessary data</w:t>
      </w:r>
      <w:r>
        <w:rPr>
          <w:rFonts w:cs="Times New Roman"/>
          <w:szCs w:val="24"/>
        </w:rPr>
        <w:t xml:space="preserve"> for Iran</w:t>
      </w:r>
      <w:r w:rsidRPr="00AC1055">
        <w:rPr>
          <w:rFonts w:cs="Times New Roman"/>
          <w:szCs w:val="24"/>
        </w:rPr>
        <w:t>, the Financial Services Board of South Africa also provided the same</w:t>
      </w:r>
      <w:r>
        <w:rPr>
          <w:rFonts w:cs="Times New Roman"/>
          <w:szCs w:val="24"/>
        </w:rPr>
        <w:t xml:space="preserve"> for South Africa</w:t>
      </w:r>
      <w:r w:rsidRPr="00AC1055">
        <w:rPr>
          <w:rFonts w:cs="Times New Roman"/>
          <w:szCs w:val="24"/>
        </w:rPr>
        <w:t xml:space="preserve">. Several individual academics and </w:t>
      </w:r>
      <w:r w:rsidRPr="00AC1055">
        <w:rPr>
          <w:rFonts w:cs="Times New Roman"/>
          <w:szCs w:val="24"/>
        </w:rPr>
        <w:lastRenderedPageBreak/>
        <w:t xml:space="preserve">practitioners were approached through European Corporate Governance Institute (ECGI), the International Corporate Governance Network (ICGN) and the International Finance Corporation (IFC) of the World Bank Group. </w:t>
      </w:r>
      <w:r>
        <w:rPr>
          <w:rFonts w:cs="Times New Roman"/>
          <w:szCs w:val="24"/>
        </w:rPr>
        <w:t>The</w:t>
      </w:r>
      <w:r w:rsidRPr="00AC1055">
        <w:rPr>
          <w:rFonts w:cs="Times New Roman"/>
          <w:szCs w:val="24"/>
        </w:rPr>
        <w:t xml:space="preserve"> World University Network, the university alumni network and many social and professional networks </w:t>
      </w:r>
      <w:r>
        <w:rPr>
          <w:rFonts w:cs="Times New Roman"/>
          <w:szCs w:val="24"/>
        </w:rPr>
        <w:t xml:space="preserve">were also used </w:t>
      </w:r>
      <w:r w:rsidRPr="00AC1055">
        <w:rPr>
          <w:rFonts w:cs="Times New Roman"/>
          <w:szCs w:val="24"/>
        </w:rPr>
        <w:t xml:space="preserve">to recruit respondents from around the world. We sought to recruit various LPOs, on the hope that they would be a more economical alternative to law firms, but the quote for the work was several order of magnitude higher that what the research funds could afford. </w:t>
      </w:r>
      <w:r>
        <w:rPr>
          <w:rFonts w:cs="Times New Roman"/>
          <w:szCs w:val="24"/>
        </w:rPr>
        <w:t>L</w:t>
      </w:r>
      <w:r w:rsidRPr="00AC1055">
        <w:rPr>
          <w:rFonts w:cs="Times New Roman"/>
          <w:szCs w:val="24"/>
        </w:rPr>
        <w:t>ecturers and research assistants at law and management departments in various universities</w:t>
      </w:r>
      <w:r>
        <w:rPr>
          <w:rFonts w:cs="Times New Roman"/>
          <w:szCs w:val="24"/>
        </w:rPr>
        <w:t xml:space="preserve"> were also contacted</w:t>
      </w:r>
      <w:r w:rsidRPr="00AC1055">
        <w:rPr>
          <w:rFonts w:cs="Times New Roman"/>
          <w:szCs w:val="24"/>
        </w:rPr>
        <w:t xml:space="preserve">, </w:t>
      </w:r>
      <w:r>
        <w:rPr>
          <w:rFonts w:cs="Times New Roman"/>
          <w:szCs w:val="24"/>
        </w:rPr>
        <w:t xml:space="preserve">as were </w:t>
      </w:r>
      <w:r w:rsidRPr="00AC1055">
        <w:rPr>
          <w:rFonts w:cs="Times New Roman"/>
          <w:szCs w:val="24"/>
        </w:rPr>
        <w:t xml:space="preserve">board members of </w:t>
      </w:r>
      <w:r>
        <w:rPr>
          <w:rFonts w:cs="Times New Roman"/>
          <w:szCs w:val="24"/>
        </w:rPr>
        <w:t xml:space="preserve">public and </w:t>
      </w:r>
      <w:r w:rsidRPr="00AC1055">
        <w:rPr>
          <w:rFonts w:cs="Times New Roman"/>
          <w:szCs w:val="24"/>
        </w:rPr>
        <w:t xml:space="preserve">private corporate governance institutes. </w:t>
      </w:r>
      <w:proofErr w:type="spellStart"/>
      <w:r w:rsidRPr="00AC1055">
        <w:rPr>
          <w:rFonts w:cs="Times New Roman"/>
          <w:szCs w:val="24"/>
        </w:rPr>
        <w:t>Cefeidas</w:t>
      </w:r>
      <w:proofErr w:type="spellEnd"/>
      <w:r w:rsidRPr="00AC1055">
        <w:rPr>
          <w:rFonts w:cs="Times New Roman"/>
          <w:szCs w:val="24"/>
        </w:rPr>
        <w:t xml:space="preserve"> Group</w:t>
      </w:r>
      <w:r>
        <w:rPr>
          <w:rFonts w:cs="Times New Roman"/>
          <w:szCs w:val="24"/>
        </w:rPr>
        <w:t>,</w:t>
      </w:r>
      <w:r w:rsidRPr="00AC1055">
        <w:rPr>
          <w:rFonts w:cs="Times New Roman"/>
          <w:szCs w:val="24"/>
        </w:rPr>
        <w:t xml:space="preserve"> an international advisory firm based out of Buenos Aires, Argentina coordinated data from six South and Central American countries, </w:t>
      </w:r>
      <w:r>
        <w:rPr>
          <w:rFonts w:cs="Times New Roman"/>
          <w:szCs w:val="24"/>
        </w:rPr>
        <w:t xml:space="preserve">the </w:t>
      </w:r>
      <w:r w:rsidRPr="00AC1055">
        <w:rPr>
          <w:rFonts w:cs="Times New Roman"/>
          <w:szCs w:val="24"/>
        </w:rPr>
        <w:t xml:space="preserve">Institute of Corporate Directors helped with countries in South East Asia. </w:t>
      </w:r>
      <w:r>
        <w:rPr>
          <w:rFonts w:cs="Times New Roman"/>
          <w:szCs w:val="24"/>
        </w:rPr>
        <w:t>D</w:t>
      </w:r>
      <w:r w:rsidRPr="00AC1055">
        <w:rPr>
          <w:rFonts w:cs="Times New Roman"/>
          <w:szCs w:val="24"/>
        </w:rPr>
        <w:t xml:space="preserve">ata </w:t>
      </w:r>
      <w:r>
        <w:rPr>
          <w:rFonts w:cs="Times New Roman"/>
          <w:szCs w:val="24"/>
        </w:rPr>
        <w:t xml:space="preserve">was finally obtained </w:t>
      </w:r>
      <w:r w:rsidRPr="00AC1055">
        <w:rPr>
          <w:rFonts w:cs="Times New Roman"/>
          <w:szCs w:val="24"/>
        </w:rPr>
        <w:t>from twenty one countries – Argentina, Brazil, Chile, China, Colombia, El Salvador, Germany, Hong Kong, India, Indonesia, Iran, Kenya, Nigeria, Pakistan, Peru, Philippines, Poland, Russia, South Africa, United Kingdom and Vietnam. Below please find a brief description of the expert respondents:</w:t>
      </w:r>
    </w:p>
    <w:tbl>
      <w:tblPr>
        <w:tblStyle w:val="TableGrid"/>
        <w:tblW w:w="0" w:type="auto"/>
        <w:tblLook w:val="04A0" w:firstRow="1" w:lastRow="0" w:firstColumn="1" w:lastColumn="0" w:noHBand="0" w:noVBand="1"/>
      </w:tblPr>
      <w:tblGrid>
        <w:gridCol w:w="1475"/>
        <w:gridCol w:w="2543"/>
        <w:gridCol w:w="4396"/>
      </w:tblGrid>
      <w:tr w:rsidR="000A5358" w:rsidRPr="00AC1055" w14:paraId="43753FE5" w14:textId="77777777" w:rsidTr="000A5358">
        <w:tc>
          <w:tcPr>
            <w:tcW w:w="1526" w:type="dxa"/>
          </w:tcPr>
          <w:p w14:paraId="05A236BD" w14:textId="77777777" w:rsidR="000A5358" w:rsidRPr="00AC1055" w:rsidRDefault="000A5358" w:rsidP="000A5358">
            <w:pPr>
              <w:jc w:val="center"/>
              <w:rPr>
                <w:rFonts w:cs="Times New Roman"/>
                <w:szCs w:val="24"/>
              </w:rPr>
            </w:pPr>
            <w:r w:rsidRPr="00AC1055">
              <w:rPr>
                <w:rFonts w:cs="Times New Roman"/>
                <w:szCs w:val="24"/>
              </w:rPr>
              <w:t>Country</w:t>
            </w:r>
          </w:p>
        </w:tc>
        <w:tc>
          <w:tcPr>
            <w:tcW w:w="2835" w:type="dxa"/>
          </w:tcPr>
          <w:p w14:paraId="3B1A9A2C" w14:textId="77777777" w:rsidR="000A5358" w:rsidRPr="00AC1055" w:rsidRDefault="000A5358" w:rsidP="000A5358">
            <w:pPr>
              <w:jc w:val="center"/>
              <w:rPr>
                <w:rFonts w:cs="Times New Roman"/>
                <w:szCs w:val="24"/>
              </w:rPr>
            </w:pPr>
            <w:r w:rsidRPr="00AC1055">
              <w:rPr>
                <w:rFonts w:cs="Times New Roman"/>
                <w:szCs w:val="24"/>
              </w:rPr>
              <w:t>Name of expert</w:t>
            </w:r>
          </w:p>
        </w:tc>
        <w:tc>
          <w:tcPr>
            <w:tcW w:w="5215" w:type="dxa"/>
          </w:tcPr>
          <w:p w14:paraId="06995597" w14:textId="77777777" w:rsidR="000A5358" w:rsidRPr="00AC1055" w:rsidRDefault="000A5358" w:rsidP="000A5358">
            <w:pPr>
              <w:jc w:val="center"/>
              <w:rPr>
                <w:rFonts w:cs="Times New Roman"/>
                <w:szCs w:val="24"/>
              </w:rPr>
            </w:pPr>
            <w:r w:rsidRPr="00AC1055">
              <w:rPr>
                <w:rFonts w:cs="Times New Roman"/>
                <w:szCs w:val="24"/>
              </w:rPr>
              <w:t>Description</w:t>
            </w:r>
          </w:p>
        </w:tc>
      </w:tr>
      <w:tr w:rsidR="000A5358" w:rsidRPr="00AC1055" w14:paraId="4F30AB1F" w14:textId="77777777" w:rsidTr="000A5358">
        <w:tc>
          <w:tcPr>
            <w:tcW w:w="1526" w:type="dxa"/>
          </w:tcPr>
          <w:p w14:paraId="04211D52" w14:textId="77777777" w:rsidR="000A5358" w:rsidRPr="00AC1055" w:rsidRDefault="000A5358" w:rsidP="000A5358">
            <w:pPr>
              <w:rPr>
                <w:rFonts w:cs="Times New Roman"/>
                <w:szCs w:val="24"/>
              </w:rPr>
            </w:pPr>
            <w:r w:rsidRPr="00AC1055">
              <w:rPr>
                <w:rFonts w:cs="Times New Roman"/>
                <w:szCs w:val="24"/>
              </w:rPr>
              <w:t>Argentina</w:t>
            </w:r>
          </w:p>
        </w:tc>
        <w:tc>
          <w:tcPr>
            <w:tcW w:w="2835" w:type="dxa"/>
          </w:tcPr>
          <w:p w14:paraId="056E8033" w14:textId="77777777" w:rsidR="000A5358" w:rsidRPr="00AC1055" w:rsidRDefault="000A5358" w:rsidP="000A5358">
            <w:pPr>
              <w:rPr>
                <w:rFonts w:cs="Times New Roman"/>
                <w:szCs w:val="24"/>
              </w:rPr>
            </w:pPr>
            <w:r w:rsidRPr="00AC1055">
              <w:rPr>
                <w:rFonts w:cs="Times New Roman"/>
                <w:szCs w:val="24"/>
              </w:rPr>
              <w:t xml:space="preserve">Santiago </w:t>
            </w:r>
            <w:proofErr w:type="spellStart"/>
            <w:r w:rsidRPr="00AC1055">
              <w:rPr>
                <w:rFonts w:cs="Times New Roman"/>
                <w:szCs w:val="24"/>
              </w:rPr>
              <w:t>Chaher</w:t>
            </w:r>
            <w:proofErr w:type="spellEnd"/>
            <w:r w:rsidRPr="00AC1055">
              <w:rPr>
                <w:rFonts w:cs="Times New Roman"/>
                <w:szCs w:val="24"/>
              </w:rPr>
              <w:t xml:space="preserve"> and Soledad </w:t>
            </w:r>
            <w:proofErr w:type="spellStart"/>
            <w:r w:rsidRPr="00AC1055">
              <w:rPr>
                <w:rFonts w:cs="Times New Roman"/>
                <w:szCs w:val="24"/>
              </w:rPr>
              <w:t>Aroz</w:t>
            </w:r>
            <w:proofErr w:type="spellEnd"/>
          </w:p>
        </w:tc>
        <w:tc>
          <w:tcPr>
            <w:tcW w:w="5215" w:type="dxa"/>
          </w:tcPr>
          <w:p w14:paraId="7B38DAD9" w14:textId="77777777" w:rsidR="000A5358" w:rsidRPr="00AC1055" w:rsidRDefault="000A5358" w:rsidP="000A5358">
            <w:pPr>
              <w:rPr>
                <w:rFonts w:cs="Times New Roman"/>
                <w:szCs w:val="24"/>
              </w:rPr>
            </w:pPr>
            <w:r w:rsidRPr="00AC1055">
              <w:rPr>
                <w:rFonts w:cs="Times New Roman"/>
                <w:szCs w:val="24"/>
              </w:rPr>
              <w:t xml:space="preserve">Santiago is the Managing Director at </w:t>
            </w:r>
            <w:proofErr w:type="spellStart"/>
            <w:r w:rsidRPr="00AC1055">
              <w:rPr>
                <w:rFonts w:cs="Times New Roman"/>
                <w:szCs w:val="24"/>
              </w:rPr>
              <w:t>Cefeidas</w:t>
            </w:r>
            <w:proofErr w:type="spellEnd"/>
            <w:r w:rsidRPr="00AC1055">
              <w:rPr>
                <w:rFonts w:cs="Times New Roman"/>
                <w:szCs w:val="24"/>
              </w:rPr>
              <w:t xml:space="preserve"> Group, Buenos Aires &amp; Partner at </w:t>
            </w:r>
            <w:proofErr w:type="spellStart"/>
            <w:r w:rsidRPr="00AC1055">
              <w:rPr>
                <w:rFonts w:cs="Times New Roman"/>
                <w:szCs w:val="24"/>
              </w:rPr>
              <w:t>Díaz</w:t>
            </w:r>
            <w:proofErr w:type="spellEnd"/>
            <w:r w:rsidRPr="00AC1055">
              <w:rPr>
                <w:rFonts w:cs="Times New Roman"/>
                <w:szCs w:val="24"/>
              </w:rPr>
              <w:t xml:space="preserve">, Elias &amp; </w:t>
            </w:r>
            <w:proofErr w:type="spellStart"/>
            <w:r w:rsidRPr="00AC1055">
              <w:rPr>
                <w:rFonts w:cs="Times New Roman"/>
                <w:szCs w:val="24"/>
              </w:rPr>
              <w:t>Chaher</w:t>
            </w:r>
            <w:proofErr w:type="spellEnd"/>
            <w:r w:rsidRPr="00AC1055">
              <w:rPr>
                <w:rFonts w:cs="Times New Roman"/>
                <w:szCs w:val="24"/>
              </w:rPr>
              <w:t xml:space="preserve"> (DECH Law), Soledad is an analyst at </w:t>
            </w:r>
            <w:proofErr w:type="spellStart"/>
            <w:r w:rsidRPr="00AC1055">
              <w:rPr>
                <w:rFonts w:cs="Times New Roman"/>
                <w:szCs w:val="24"/>
              </w:rPr>
              <w:t>Cefeidas</w:t>
            </w:r>
            <w:proofErr w:type="spellEnd"/>
            <w:r w:rsidRPr="00AC1055">
              <w:rPr>
                <w:rFonts w:cs="Times New Roman"/>
                <w:szCs w:val="24"/>
              </w:rPr>
              <w:t xml:space="preserve"> Group.</w:t>
            </w:r>
          </w:p>
        </w:tc>
      </w:tr>
      <w:tr w:rsidR="000A5358" w:rsidRPr="00AC1055" w14:paraId="00789861" w14:textId="77777777" w:rsidTr="000A5358">
        <w:tc>
          <w:tcPr>
            <w:tcW w:w="1526" w:type="dxa"/>
          </w:tcPr>
          <w:p w14:paraId="19219A82" w14:textId="77777777" w:rsidR="000A5358" w:rsidRPr="00AC1055" w:rsidRDefault="000A5358" w:rsidP="000A5358">
            <w:pPr>
              <w:rPr>
                <w:rFonts w:cs="Times New Roman"/>
                <w:szCs w:val="24"/>
              </w:rPr>
            </w:pPr>
            <w:r w:rsidRPr="00AC1055">
              <w:rPr>
                <w:rFonts w:cs="Times New Roman"/>
                <w:szCs w:val="24"/>
              </w:rPr>
              <w:t>Brazil</w:t>
            </w:r>
          </w:p>
        </w:tc>
        <w:tc>
          <w:tcPr>
            <w:tcW w:w="2835" w:type="dxa"/>
          </w:tcPr>
          <w:p w14:paraId="39312353" w14:textId="77777777" w:rsidR="000A5358" w:rsidRPr="00AC1055" w:rsidRDefault="000A5358" w:rsidP="000A5358">
            <w:pPr>
              <w:rPr>
                <w:rFonts w:cs="Times New Roman"/>
                <w:szCs w:val="24"/>
              </w:rPr>
            </w:pPr>
            <w:r w:rsidRPr="00AC1055">
              <w:rPr>
                <w:rFonts w:cs="Times New Roman"/>
                <w:szCs w:val="24"/>
              </w:rPr>
              <w:t xml:space="preserve">Bruno C.H. </w:t>
            </w:r>
            <w:proofErr w:type="spellStart"/>
            <w:r w:rsidRPr="00AC1055">
              <w:rPr>
                <w:rFonts w:cs="Times New Roman"/>
                <w:szCs w:val="24"/>
              </w:rPr>
              <w:t>Bastit</w:t>
            </w:r>
            <w:proofErr w:type="spellEnd"/>
          </w:p>
        </w:tc>
        <w:tc>
          <w:tcPr>
            <w:tcW w:w="5215" w:type="dxa"/>
          </w:tcPr>
          <w:p w14:paraId="2D25068A" w14:textId="77777777" w:rsidR="000A5358" w:rsidRPr="00AC1055" w:rsidRDefault="000A5358" w:rsidP="000A5358">
            <w:pPr>
              <w:rPr>
                <w:rFonts w:cs="Times New Roman"/>
                <w:szCs w:val="24"/>
              </w:rPr>
            </w:pPr>
            <w:r w:rsidRPr="00AC1055">
              <w:rPr>
                <w:rFonts w:cs="Times New Roman"/>
                <w:szCs w:val="24"/>
              </w:rPr>
              <w:t>Senior SRI &amp; Sustainability Analyst for Emerging Markets team, Hermes EOS, London.</w:t>
            </w:r>
          </w:p>
        </w:tc>
      </w:tr>
      <w:tr w:rsidR="000A5358" w:rsidRPr="00AC1055" w14:paraId="6F44FB6A" w14:textId="77777777" w:rsidTr="000A5358">
        <w:tc>
          <w:tcPr>
            <w:tcW w:w="1526" w:type="dxa"/>
          </w:tcPr>
          <w:p w14:paraId="2D7A7637" w14:textId="77777777" w:rsidR="000A5358" w:rsidRPr="00AC1055" w:rsidRDefault="000A5358" w:rsidP="000A5358">
            <w:pPr>
              <w:rPr>
                <w:rFonts w:cs="Times New Roman"/>
                <w:szCs w:val="24"/>
              </w:rPr>
            </w:pPr>
            <w:r w:rsidRPr="00AC1055">
              <w:rPr>
                <w:rFonts w:cs="Times New Roman"/>
                <w:szCs w:val="24"/>
              </w:rPr>
              <w:t>Chile</w:t>
            </w:r>
          </w:p>
        </w:tc>
        <w:tc>
          <w:tcPr>
            <w:tcW w:w="2835" w:type="dxa"/>
          </w:tcPr>
          <w:p w14:paraId="4E15DF91" w14:textId="77777777" w:rsidR="000A5358" w:rsidRPr="00AC1055" w:rsidRDefault="000A5358" w:rsidP="000A5358">
            <w:pPr>
              <w:rPr>
                <w:rFonts w:cs="Times New Roman"/>
                <w:szCs w:val="24"/>
              </w:rPr>
            </w:pPr>
            <w:proofErr w:type="spellStart"/>
            <w:r w:rsidRPr="00AC1055">
              <w:rPr>
                <w:rFonts w:cs="Times New Roman"/>
                <w:szCs w:val="24"/>
              </w:rPr>
              <w:t>Matías</w:t>
            </w:r>
            <w:proofErr w:type="spellEnd"/>
            <w:r w:rsidRPr="00AC1055">
              <w:rPr>
                <w:rFonts w:cs="Times New Roman"/>
                <w:szCs w:val="24"/>
              </w:rPr>
              <w:t xml:space="preserve"> </w:t>
            </w:r>
            <w:proofErr w:type="spellStart"/>
            <w:r w:rsidRPr="00AC1055">
              <w:rPr>
                <w:rFonts w:cs="Times New Roman"/>
                <w:szCs w:val="24"/>
              </w:rPr>
              <w:t>Zegers</w:t>
            </w:r>
            <w:proofErr w:type="spellEnd"/>
            <w:r w:rsidRPr="00AC1055">
              <w:rPr>
                <w:rFonts w:cs="Times New Roman"/>
                <w:szCs w:val="24"/>
              </w:rPr>
              <w:t xml:space="preserve"> Ruiz-</w:t>
            </w:r>
            <w:proofErr w:type="spellStart"/>
            <w:r w:rsidRPr="00AC1055">
              <w:rPr>
                <w:rFonts w:cs="Times New Roman"/>
                <w:szCs w:val="24"/>
              </w:rPr>
              <w:t>Tagle</w:t>
            </w:r>
            <w:proofErr w:type="spellEnd"/>
            <w:r w:rsidRPr="00AC1055">
              <w:rPr>
                <w:rFonts w:cs="Times New Roman"/>
                <w:szCs w:val="24"/>
              </w:rPr>
              <w:t xml:space="preserve">  </w:t>
            </w:r>
          </w:p>
        </w:tc>
        <w:tc>
          <w:tcPr>
            <w:tcW w:w="5215" w:type="dxa"/>
          </w:tcPr>
          <w:p w14:paraId="382E9CDF" w14:textId="77777777" w:rsidR="000A5358" w:rsidRPr="00AC1055" w:rsidRDefault="000A5358" w:rsidP="000A5358">
            <w:pPr>
              <w:rPr>
                <w:rFonts w:cs="Times New Roman"/>
                <w:szCs w:val="24"/>
              </w:rPr>
            </w:pPr>
            <w:proofErr w:type="spellStart"/>
            <w:r w:rsidRPr="00AC1055">
              <w:rPr>
                <w:rFonts w:cs="Times New Roman"/>
                <w:szCs w:val="24"/>
              </w:rPr>
              <w:t>Matías</w:t>
            </w:r>
            <w:proofErr w:type="spellEnd"/>
            <w:r w:rsidRPr="00AC1055">
              <w:rPr>
                <w:rFonts w:cs="Times New Roman"/>
                <w:szCs w:val="24"/>
              </w:rPr>
              <w:t xml:space="preserve"> is a board member of the UC Centre for Corporate Governance and Professor of Commercial Law at the Faculty of Law of the Catholic University of Chile. He is also partner of the law firm </w:t>
            </w:r>
            <w:proofErr w:type="spellStart"/>
            <w:r w:rsidRPr="00AC1055">
              <w:rPr>
                <w:rFonts w:cs="Times New Roman"/>
                <w:szCs w:val="24"/>
              </w:rPr>
              <w:t>Bahamondez</w:t>
            </w:r>
            <w:proofErr w:type="spellEnd"/>
            <w:r w:rsidRPr="00AC1055">
              <w:rPr>
                <w:rFonts w:cs="Times New Roman"/>
                <w:szCs w:val="24"/>
              </w:rPr>
              <w:t xml:space="preserve">, Alvarez &amp; </w:t>
            </w:r>
            <w:proofErr w:type="spellStart"/>
            <w:r w:rsidRPr="00AC1055">
              <w:rPr>
                <w:rFonts w:cs="Times New Roman"/>
                <w:szCs w:val="24"/>
              </w:rPr>
              <w:t>Zegers</w:t>
            </w:r>
            <w:proofErr w:type="spellEnd"/>
            <w:r w:rsidRPr="00AC1055">
              <w:rPr>
                <w:rFonts w:cs="Times New Roman"/>
                <w:szCs w:val="24"/>
              </w:rPr>
              <w:t xml:space="preserve"> Ltda. </w:t>
            </w:r>
          </w:p>
        </w:tc>
      </w:tr>
      <w:tr w:rsidR="000A5358" w:rsidRPr="00AC1055" w14:paraId="41A1AF98" w14:textId="77777777" w:rsidTr="000A5358">
        <w:tc>
          <w:tcPr>
            <w:tcW w:w="1526" w:type="dxa"/>
          </w:tcPr>
          <w:p w14:paraId="446DFAA2" w14:textId="77777777" w:rsidR="000A5358" w:rsidRPr="00AC1055" w:rsidRDefault="000A5358" w:rsidP="000A5358">
            <w:pPr>
              <w:rPr>
                <w:rFonts w:cs="Times New Roman"/>
                <w:szCs w:val="24"/>
              </w:rPr>
            </w:pPr>
            <w:r w:rsidRPr="00AC1055">
              <w:rPr>
                <w:rFonts w:cs="Times New Roman"/>
                <w:szCs w:val="24"/>
              </w:rPr>
              <w:t>China</w:t>
            </w:r>
          </w:p>
        </w:tc>
        <w:tc>
          <w:tcPr>
            <w:tcW w:w="2835" w:type="dxa"/>
          </w:tcPr>
          <w:p w14:paraId="4A34ECB2" w14:textId="77777777" w:rsidR="000A5358" w:rsidRPr="00AC1055" w:rsidRDefault="000A5358" w:rsidP="000A5358">
            <w:pPr>
              <w:rPr>
                <w:rFonts w:cs="Times New Roman"/>
                <w:szCs w:val="24"/>
              </w:rPr>
            </w:pPr>
            <w:r w:rsidRPr="00AC1055">
              <w:rPr>
                <w:rFonts w:cs="Times New Roman"/>
                <w:szCs w:val="24"/>
              </w:rPr>
              <w:t xml:space="preserve">Dr. </w:t>
            </w:r>
            <w:proofErr w:type="spellStart"/>
            <w:r w:rsidRPr="00AC1055">
              <w:rPr>
                <w:rFonts w:cs="Times New Roman"/>
                <w:szCs w:val="24"/>
              </w:rPr>
              <w:t>Zhong</w:t>
            </w:r>
            <w:proofErr w:type="spellEnd"/>
            <w:r w:rsidRPr="00AC1055">
              <w:rPr>
                <w:rFonts w:cs="Times New Roman"/>
                <w:szCs w:val="24"/>
              </w:rPr>
              <w:t xml:space="preserve"> Zhang; Xiao </w:t>
            </w:r>
            <w:proofErr w:type="spellStart"/>
            <w:r w:rsidRPr="00AC1055">
              <w:rPr>
                <w:rFonts w:cs="Times New Roman"/>
                <w:szCs w:val="24"/>
              </w:rPr>
              <w:t>Xun</w:t>
            </w:r>
            <w:proofErr w:type="spellEnd"/>
          </w:p>
        </w:tc>
        <w:tc>
          <w:tcPr>
            <w:tcW w:w="5215" w:type="dxa"/>
          </w:tcPr>
          <w:p w14:paraId="6B694C51" w14:textId="77777777" w:rsidR="000A5358" w:rsidRPr="00AC1055" w:rsidRDefault="000A5358" w:rsidP="000A5358">
            <w:pPr>
              <w:rPr>
                <w:rFonts w:cs="Times New Roman"/>
                <w:szCs w:val="24"/>
              </w:rPr>
            </w:pPr>
            <w:r w:rsidRPr="00AC1055">
              <w:rPr>
                <w:rFonts w:cs="Times New Roman"/>
                <w:szCs w:val="24"/>
              </w:rPr>
              <w:t xml:space="preserve">Lecturer, School of East Asian Studies, University of Sheffield; Xiao is a PhD </w:t>
            </w:r>
            <w:r w:rsidRPr="00AC1055">
              <w:rPr>
                <w:rFonts w:cs="Times New Roman"/>
                <w:szCs w:val="24"/>
              </w:rPr>
              <w:lastRenderedPageBreak/>
              <w:t>candidate at Rotterdam Institute of Law and Economics.</w:t>
            </w:r>
          </w:p>
        </w:tc>
      </w:tr>
      <w:tr w:rsidR="000A5358" w:rsidRPr="00AC1055" w14:paraId="1EF3CF61" w14:textId="77777777" w:rsidTr="000A5358">
        <w:tc>
          <w:tcPr>
            <w:tcW w:w="1526" w:type="dxa"/>
          </w:tcPr>
          <w:p w14:paraId="72DA30E8" w14:textId="77777777" w:rsidR="000A5358" w:rsidRPr="00AC1055" w:rsidRDefault="000A5358" w:rsidP="000A5358">
            <w:pPr>
              <w:rPr>
                <w:rFonts w:cs="Times New Roman"/>
                <w:szCs w:val="24"/>
              </w:rPr>
            </w:pPr>
            <w:r w:rsidRPr="00AC1055">
              <w:rPr>
                <w:rFonts w:cs="Times New Roman"/>
                <w:szCs w:val="24"/>
              </w:rPr>
              <w:lastRenderedPageBreak/>
              <w:t>Colombia</w:t>
            </w:r>
          </w:p>
        </w:tc>
        <w:tc>
          <w:tcPr>
            <w:tcW w:w="2835" w:type="dxa"/>
          </w:tcPr>
          <w:p w14:paraId="37933A8E" w14:textId="77777777" w:rsidR="000A5358" w:rsidRPr="00AC1055" w:rsidRDefault="000A5358" w:rsidP="000A5358">
            <w:pPr>
              <w:rPr>
                <w:rFonts w:cs="Times New Roman"/>
                <w:szCs w:val="24"/>
              </w:rPr>
            </w:pPr>
            <w:r w:rsidRPr="00AC1055">
              <w:rPr>
                <w:rFonts w:cs="Times New Roman"/>
                <w:szCs w:val="24"/>
              </w:rPr>
              <w:t>Daniel Davila</w:t>
            </w:r>
          </w:p>
        </w:tc>
        <w:tc>
          <w:tcPr>
            <w:tcW w:w="5215" w:type="dxa"/>
          </w:tcPr>
          <w:p w14:paraId="263A203F" w14:textId="77777777" w:rsidR="000A5358" w:rsidRPr="00AC1055" w:rsidRDefault="000A5358" w:rsidP="000A5358">
            <w:pPr>
              <w:rPr>
                <w:rFonts w:cs="Times New Roman"/>
                <w:szCs w:val="24"/>
              </w:rPr>
            </w:pPr>
            <w:r w:rsidRPr="00AC1055">
              <w:rPr>
                <w:rFonts w:cs="Times New Roman"/>
                <w:szCs w:val="24"/>
              </w:rPr>
              <w:t>Managing Director, DHD Consultants SAS, Bogota</w:t>
            </w:r>
          </w:p>
        </w:tc>
      </w:tr>
      <w:tr w:rsidR="000A5358" w:rsidRPr="00AC1055" w14:paraId="39D4B4DE" w14:textId="77777777" w:rsidTr="000A5358">
        <w:tc>
          <w:tcPr>
            <w:tcW w:w="1526" w:type="dxa"/>
          </w:tcPr>
          <w:p w14:paraId="0A678273" w14:textId="77777777" w:rsidR="000A5358" w:rsidRPr="00AC1055" w:rsidRDefault="000A5358" w:rsidP="000A5358">
            <w:pPr>
              <w:rPr>
                <w:rFonts w:cs="Times New Roman"/>
                <w:szCs w:val="24"/>
              </w:rPr>
            </w:pPr>
            <w:r w:rsidRPr="00AC1055">
              <w:rPr>
                <w:rFonts w:cs="Times New Roman"/>
                <w:szCs w:val="24"/>
              </w:rPr>
              <w:t>El Salvador</w:t>
            </w:r>
          </w:p>
        </w:tc>
        <w:tc>
          <w:tcPr>
            <w:tcW w:w="2835" w:type="dxa"/>
          </w:tcPr>
          <w:p w14:paraId="400430D2" w14:textId="77777777" w:rsidR="000A5358" w:rsidRPr="00AC1055" w:rsidRDefault="000A5358" w:rsidP="000A5358">
            <w:pPr>
              <w:rPr>
                <w:rFonts w:cs="Times New Roman"/>
                <w:szCs w:val="24"/>
              </w:rPr>
            </w:pPr>
            <w:r w:rsidRPr="00AC1055">
              <w:rPr>
                <w:rFonts w:cs="Times New Roman"/>
                <w:szCs w:val="24"/>
              </w:rPr>
              <w:t>Douglas Hernandez</w:t>
            </w:r>
          </w:p>
        </w:tc>
        <w:tc>
          <w:tcPr>
            <w:tcW w:w="5215" w:type="dxa"/>
          </w:tcPr>
          <w:p w14:paraId="7BD1C738" w14:textId="77777777" w:rsidR="000A5358" w:rsidRPr="00AC1055" w:rsidRDefault="000A5358" w:rsidP="000A5358">
            <w:pPr>
              <w:rPr>
                <w:rFonts w:cs="Times New Roman"/>
                <w:szCs w:val="24"/>
              </w:rPr>
            </w:pPr>
            <w:r w:rsidRPr="00AC1055">
              <w:rPr>
                <w:rFonts w:cs="Times New Roman"/>
                <w:szCs w:val="24"/>
              </w:rPr>
              <w:t>Lawyer, Supreme Court (CSJ) of El Salvador.</w:t>
            </w:r>
          </w:p>
        </w:tc>
      </w:tr>
      <w:tr w:rsidR="000A5358" w:rsidRPr="00AC1055" w14:paraId="17B4AF32" w14:textId="77777777" w:rsidTr="000A5358">
        <w:tc>
          <w:tcPr>
            <w:tcW w:w="1526" w:type="dxa"/>
          </w:tcPr>
          <w:p w14:paraId="302B765A" w14:textId="77777777" w:rsidR="000A5358" w:rsidRPr="00AC1055" w:rsidRDefault="000A5358" w:rsidP="000A5358">
            <w:pPr>
              <w:rPr>
                <w:rFonts w:cs="Times New Roman"/>
                <w:szCs w:val="24"/>
              </w:rPr>
            </w:pPr>
            <w:r w:rsidRPr="00AC1055">
              <w:rPr>
                <w:rFonts w:cs="Times New Roman"/>
                <w:szCs w:val="24"/>
              </w:rPr>
              <w:t>Germany</w:t>
            </w:r>
          </w:p>
        </w:tc>
        <w:tc>
          <w:tcPr>
            <w:tcW w:w="2835" w:type="dxa"/>
          </w:tcPr>
          <w:p w14:paraId="0E681C09" w14:textId="77777777" w:rsidR="000A5358" w:rsidRPr="00AC1055" w:rsidRDefault="000A5358" w:rsidP="000A5358">
            <w:pPr>
              <w:rPr>
                <w:rFonts w:cs="Times New Roman"/>
                <w:szCs w:val="24"/>
              </w:rPr>
            </w:pPr>
            <w:r w:rsidRPr="00AC1055">
              <w:rPr>
                <w:rFonts w:cs="Times New Roman"/>
                <w:szCs w:val="24"/>
              </w:rPr>
              <w:t xml:space="preserve">Dr. Andreas </w:t>
            </w:r>
            <w:proofErr w:type="spellStart"/>
            <w:r w:rsidRPr="00AC1055">
              <w:rPr>
                <w:rFonts w:cs="Times New Roman"/>
                <w:szCs w:val="24"/>
              </w:rPr>
              <w:t>Ruhmkorf</w:t>
            </w:r>
            <w:proofErr w:type="spellEnd"/>
          </w:p>
        </w:tc>
        <w:tc>
          <w:tcPr>
            <w:tcW w:w="5215" w:type="dxa"/>
          </w:tcPr>
          <w:p w14:paraId="4B0847BB" w14:textId="77777777" w:rsidR="000A5358" w:rsidRPr="00AC1055" w:rsidRDefault="000A5358" w:rsidP="000A5358">
            <w:pPr>
              <w:rPr>
                <w:rFonts w:cs="Times New Roman"/>
                <w:szCs w:val="24"/>
              </w:rPr>
            </w:pPr>
            <w:r w:rsidRPr="00AC1055">
              <w:rPr>
                <w:rFonts w:cs="Times New Roman"/>
                <w:szCs w:val="24"/>
              </w:rPr>
              <w:t>Lecturer, School of Law, University of Sheffield</w:t>
            </w:r>
          </w:p>
        </w:tc>
      </w:tr>
      <w:tr w:rsidR="000A5358" w:rsidRPr="00AC1055" w14:paraId="7E5B071D" w14:textId="77777777" w:rsidTr="000A5358">
        <w:tc>
          <w:tcPr>
            <w:tcW w:w="1526" w:type="dxa"/>
          </w:tcPr>
          <w:p w14:paraId="09B1D7FA" w14:textId="77777777" w:rsidR="000A5358" w:rsidRPr="00AC1055" w:rsidRDefault="000A5358" w:rsidP="000A5358">
            <w:pPr>
              <w:rPr>
                <w:rFonts w:cs="Times New Roman"/>
                <w:szCs w:val="24"/>
              </w:rPr>
            </w:pPr>
            <w:r w:rsidRPr="00AC1055">
              <w:rPr>
                <w:rFonts w:cs="Times New Roman"/>
                <w:szCs w:val="24"/>
              </w:rPr>
              <w:t>Hong Kong</w:t>
            </w:r>
          </w:p>
        </w:tc>
        <w:tc>
          <w:tcPr>
            <w:tcW w:w="2835" w:type="dxa"/>
          </w:tcPr>
          <w:p w14:paraId="06B737E3" w14:textId="77777777" w:rsidR="000A5358" w:rsidRPr="00AC1055" w:rsidRDefault="000A5358" w:rsidP="000A5358">
            <w:pPr>
              <w:rPr>
                <w:rFonts w:cs="Times New Roman"/>
                <w:szCs w:val="24"/>
              </w:rPr>
            </w:pPr>
            <w:r w:rsidRPr="00AC1055">
              <w:rPr>
                <w:rFonts w:cs="Times New Roman"/>
                <w:szCs w:val="24"/>
              </w:rPr>
              <w:t>In Wai Lee</w:t>
            </w:r>
          </w:p>
        </w:tc>
        <w:tc>
          <w:tcPr>
            <w:tcW w:w="5215" w:type="dxa"/>
          </w:tcPr>
          <w:p w14:paraId="3DE7BD6E" w14:textId="77777777" w:rsidR="000A5358" w:rsidRPr="00AC1055" w:rsidRDefault="000A5358" w:rsidP="000A5358">
            <w:pPr>
              <w:rPr>
                <w:rFonts w:cs="Times New Roman"/>
                <w:szCs w:val="24"/>
              </w:rPr>
            </w:pPr>
            <w:r w:rsidRPr="00AC1055">
              <w:rPr>
                <w:rFonts w:cs="Times New Roman"/>
                <w:szCs w:val="24"/>
              </w:rPr>
              <w:t>JD final year student, School of Law, City University of Hong Kong</w:t>
            </w:r>
          </w:p>
        </w:tc>
      </w:tr>
      <w:tr w:rsidR="000A5358" w:rsidRPr="00AC1055" w14:paraId="2B469AE9" w14:textId="77777777" w:rsidTr="000A5358">
        <w:tc>
          <w:tcPr>
            <w:tcW w:w="1526" w:type="dxa"/>
          </w:tcPr>
          <w:p w14:paraId="052CE1CB" w14:textId="77777777" w:rsidR="000A5358" w:rsidRPr="00AC1055" w:rsidRDefault="000A5358" w:rsidP="000A5358">
            <w:pPr>
              <w:rPr>
                <w:rFonts w:cs="Times New Roman"/>
                <w:szCs w:val="24"/>
              </w:rPr>
            </w:pPr>
            <w:r w:rsidRPr="00AC1055">
              <w:rPr>
                <w:rFonts w:cs="Times New Roman"/>
                <w:szCs w:val="24"/>
              </w:rPr>
              <w:t>India</w:t>
            </w:r>
          </w:p>
        </w:tc>
        <w:tc>
          <w:tcPr>
            <w:tcW w:w="2835" w:type="dxa"/>
          </w:tcPr>
          <w:p w14:paraId="25DEDEC5" w14:textId="77777777" w:rsidR="000A5358" w:rsidRPr="00AC1055" w:rsidRDefault="000A5358" w:rsidP="000A5358">
            <w:pPr>
              <w:rPr>
                <w:rFonts w:cs="Times New Roman"/>
                <w:szCs w:val="24"/>
              </w:rPr>
            </w:pPr>
            <w:r w:rsidRPr="00AC1055">
              <w:rPr>
                <w:rFonts w:cs="Times New Roman"/>
                <w:szCs w:val="24"/>
              </w:rPr>
              <w:t>Rohan Mukherjee</w:t>
            </w:r>
          </w:p>
        </w:tc>
        <w:tc>
          <w:tcPr>
            <w:tcW w:w="5215" w:type="dxa"/>
          </w:tcPr>
          <w:p w14:paraId="721503FB" w14:textId="77777777" w:rsidR="000A5358" w:rsidRPr="00AC1055" w:rsidRDefault="000A5358" w:rsidP="000A5358">
            <w:pPr>
              <w:rPr>
                <w:rFonts w:cs="Times New Roman"/>
                <w:szCs w:val="24"/>
              </w:rPr>
            </w:pPr>
            <w:r w:rsidRPr="00AC1055">
              <w:rPr>
                <w:rFonts w:cs="Times New Roman"/>
                <w:szCs w:val="24"/>
              </w:rPr>
              <w:t>Director, Grayscale Legal (LPO)</w:t>
            </w:r>
          </w:p>
        </w:tc>
      </w:tr>
      <w:tr w:rsidR="000A5358" w:rsidRPr="00AC1055" w14:paraId="232FAF45" w14:textId="77777777" w:rsidTr="000A5358">
        <w:tc>
          <w:tcPr>
            <w:tcW w:w="1526" w:type="dxa"/>
          </w:tcPr>
          <w:p w14:paraId="4EB1B7AF" w14:textId="77777777" w:rsidR="000A5358" w:rsidRPr="00AC1055" w:rsidRDefault="000A5358" w:rsidP="000A5358">
            <w:pPr>
              <w:rPr>
                <w:rFonts w:cs="Times New Roman"/>
                <w:szCs w:val="24"/>
              </w:rPr>
            </w:pPr>
            <w:r w:rsidRPr="00AC1055">
              <w:rPr>
                <w:rFonts w:cs="Times New Roman"/>
                <w:szCs w:val="24"/>
              </w:rPr>
              <w:t>Indonesia</w:t>
            </w:r>
          </w:p>
        </w:tc>
        <w:tc>
          <w:tcPr>
            <w:tcW w:w="2835" w:type="dxa"/>
          </w:tcPr>
          <w:p w14:paraId="12E082A7" w14:textId="77777777" w:rsidR="000A5358" w:rsidRPr="00AC1055" w:rsidRDefault="000A5358" w:rsidP="000A5358">
            <w:pPr>
              <w:rPr>
                <w:rFonts w:cs="Times New Roman"/>
                <w:szCs w:val="24"/>
              </w:rPr>
            </w:pPr>
            <w:proofErr w:type="spellStart"/>
            <w:r w:rsidRPr="00AC1055">
              <w:rPr>
                <w:rFonts w:cs="Times New Roman"/>
                <w:szCs w:val="24"/>
              </w:rPr>
              <w:t>Yuni</w:t>
            </w:r>
            <w:proofErr w:type="spellEnd"/>
            <w:r w:rsidRPr="00AC1055">
              <w:rPr>
                <w:rFonts w:cs="Times New Roman"/>
                <w:szCs w:val="24"/>
              </w:rPr>
              <w:t xml:space="preserve"> </w:t>
            </w:r>
            <w:proofErr w:type="spellStart"/>
            <w:r w:rsidRPr="00AC1055">
              <w:rPr>
                <w:rFonts w:cs="Times New Roman"/>
                <w:szCs w:val="24"/>
              </w:rPr>
              <w:t>Arti</w:t>
            </w:r>
            <w:proofErr w:type="spellEnd"/>
          </w:p>
        </w:tc>
        <w:tc>
          <w:tcPr>
            <w:tcW w:w="5215" w:type="dxa"/>
          </w:tcPr>
          <w:p w14:paraId="4A00FE7C" w14:textId="77777777" w:rsidR="000A5358" w:rsidRPr="00AC1055" w:rsidRDefault="000A5358" w:rsidP="000A5358">
            <w:pPr>
              <w:rPr>
                <w:rFonts w:cs="Times New Roman"/>
                <w:szCs w:val="24"/>
              </w:rPr>
            </w:pPr>
            <w:r w:rsidRPr="00AC1055">
              <w:rPr>
                <w:rFonts w:cs="Times New Roman"/>
                <w:szCs w:val="24"/>
              </w:rPr>
              <w:t xml:space="preserve">Lecturer at Faculty of Law, </w:t>
            </w:r>
            <w:proofErr w:type="spellStart"/>
            <w:r w:rsidRPr="00AC1055">
              <w:rPr>
                <w:rFonts w:cs="Times New Roman"/>
                <w:szCs w:val="24"/>
              </w:rPr>
              <w:t>Airlangga</w:t>
            </w:r>
            <w:proofErr w:type="spellEnd"/>
            <w:r w:rsidRPr="00AC1055">
              <w:rPr>
                <w:rFonts w:cs="Times New Roman"/>
                <w:szCs w:val="24"/>
              </w:rPr>
              <w:t xml:space="preserve"> University</w:t>
            </w:r>
          </w:p>
        </w:tc>
      </w:tr>
      <w:tr w:rsidR="000A5358" w:rsidRPr="00AC1055" w14:paraId="70CF3858" w14:textId="77777777" w:rsidTr="000A5358">
        <w:tc>
          <w:tcPr>
            <w:tcW w:w="1526" w:type="dxa"/>
          </w:tcPr>
          <w:p w14:paraId="7763A3D5" w14:textId="77777777" w:rsidR="000A5358" w:rsidRPr="00AC1055" w:rsidRDefault="000A5358" w:rsidP="000A5358">
            <w:pPr>
              <w:rPr>
                <w:rFonts w:cs="Times New Roman"/>
                <w:szCs w:val="24"/>
              </w:rPr>
            </w:pPr>
            <w:r w:rsidRPr="00AC1055">
              <w:rPr>
                <w:rFonts w:cs="Times New Roman"/>
                <w:szCs w:val="24"/>
              </w:rPr>
              <w:t>Iran</w:t>
            </w:r>
          </w:p>
        </w:tc>
        <w:tc>
          <w:tcPr>
            <w:tcW w:w="2835" w:type="dxa"/>
          </w:tcPr>
          <w:p w14:paraId="4491244E" w14:textId="77777777" w:rsidR="000A5358" w:rsidRPr="00AC1055" w:rsidRDefault="000A5358" w:rsidP="000A5358">
            <w:pPr>
              <w:rPr>
                <w:rFonts w:cs="Times New Roman"/>
                <w:szCs w:val="24"/>
              </w:rPr>
            </w:pPr>
            <w:proofErr w:type="spellStart"/>
            <w:r w:rsidRPr="00AC1055">
              <w:rPr>
                <w:rFonts w:cs="Times New Roman"/>
                <w:szCs w:val="24"/>
              </w:rPr>
              <w:t>Seyed</w:t>
            </w:r>
            <w:proofErr w:type="spellEnd"/>
            <w:r w:rsidRPr="00AC1055">
              <w:rPr>
                <w:rFonts w:cs="Times New Roman"/>
                <w:szCs w:val="24"/>
              </w:rPr>
              <w:t xml:space="preserve"> </w:t>
            </w:r>
            <w:proofErr w:type="spellStart"/>
            <w:r w:rsidRPr="00AC1055">
              <w:rPr>
                <w:rFonts w:cs="Times New Roman"/>
                <w:szCs w:val="24"/>
              </w:rPr>
              <w:t>Rouhollah</w:t>
            </w:r>
            <w:proofErr w:type="spellEnd"/>
            <w:r w:rsidRPr="00AC1055">
              <w:rPr>
                <w:rFonts w:cs="Times New Roman"/>
                <w:szCs w:val="24"/>
              </w:rPr>
              <w:t xml:space="preserve"> Hosseini </w:t>
            </w:r>
          </w:p>
        </w:tc>
        <w:tc>
          <w:tcPr>
            <w:tcW w:w="5215" w:type="dxa"/>
          </w:tcPr>
          <w:p w14:paraId="0F2A9CD4" w14:textId="77777777" w:rsidR="000A5358" w:rsidRPr="00AC1055" w:rsidRDefault="000A5358" w:rsidP="000A5358">
            <w:pPr>
              <w:rPr>
                <w:rFonts w:cs="Times New Roman"/>
                <w:szCs w:val="24"/>
              </w:rPr>
            </w:pPr>
            <w:r w:rsidRPr="00AC1055">
              <w:rPr>
                <w:rFonts w:cs="Times New Roman"/>
                <w:szCs w:val="24"/>
              </w:rPr>
              <w:t>Director of Listed Companies Affairs, Tehran Stock Exchange</w:t>
            </w:r>
          </w:p>
        </w:tc>
      </w:tr>
      <w:tr w:rsidR="000A5358" w:rsidRPr="00AC1055" w14:paraId="7AA5263C" w14:textId="77777777" w:rsidTr="000A5358">
        <w:tc>
          <w:tcPr>
            <w:tcW w:w="1526" w:type="dxa"/>
          </w:tcPr>
          <w:p w14:paraId="58B1852C" w14:textId="77777777" w:rsidR="000A5358" w:rsidRPr="00AC1055" w:rsidRDefault="000A5358" w:rsidP="000A5358">
            <w:pPr>
              <w:rPr>
                <w:rFonts w:cs="Times New Roman"/>
                <w:szCs w:val="24"/>
              </w:rPr>
            </w:pPr>
            <w:r w:rsidRPr="00AC1055">
              <w:rPr>
                <w:rFonts w:cs="Times New Roman"/>
                <w:szCs w:val="24"/>
              </w:rPr>
              <w:t>Kenya</w:t>
            </w:r>
          </w:p>
        </w:tc>
        <w:tc>
          <w:tcPr>
            <w:tcW w:w="2835" w:type="dxa"/>
          </w:tcPr>
          <w:p w14:paraId="2D4ED6E8" w14:textId="77777777" w:rsidR="000A5358" w:rsidRPr="00AC1055" w:rsidRDefault="000A5358" w:rsidP="000A5358">
            <w:pPr>
              <w:rPr>
                <w:rFonts w:cs="Times New Roman"/>
                <w:szCs w:val="24"/>
              </w:rPr>
            </w:pPr>
            <w:proofErr w:type="spellStart"/>
            <w:r w:rsidRPr="00AC1055">
              <w:rPr>
                <w:rFonts w:cs="Times New Roman"/>
                <w:szCs w:val="24"/>
              </w:rPr>
              <w:t>Loice</w:t>
            </w:r>
            <w:proofErr w:type="spellEnd"/>
            <w:r w:rsidRPr="00AC1055">
              <w:rPr>
                <w:rFonts w:cs="Times New Roman"/>
                <w:szCs w:val="24"/>
              </w:rPr>
              <w:t xml:space="preserve"> </w:t>
            </w:r>
            <w:proofErr w:type="spellStart"/>
            <w:r w:rsidRPr="00AC1055">
              <w:rPr>
                <w:rFonts w:cs="Times New Roman"/>
                <w:szCs w:val="24"/>
              </w:rPr>
              <w:t>Shuma</w:t>
            </w:r>
            <w:proofErr w:type="spellEnd"/>
          </w:p>
        </w:tc>
        <w:tc>
          <w:tcPr>
            <w:tcW w:w="5215" w:type="dxa"/>
          </w:tcPr>
          <w:p w14:paraId="449747AA" w14:textId="77777777" w:rsidR="000A5358" w:rsidRPr="00AC1055" w:rsidRDefault="000A5358" w:rsidP="000A5358">
            <w:pPr>
              <w:rPr>
                <w:rFonts w:cs="Times New Roman"/>
                <w:szCs w:val="24"/>
              </w:rPr>
            </w:pPr>
            <w:r w:rsidRPr="00AC1055">
              <w:rPr>
                <w:rFonts w:cs="Times New Roman"/>
                <w:szCs w:val="24"/>
              </w:rPr>
              <w:t>Analyst, Africa Corporate Governance Advisory Services Ltd.</w:t>
            </w:r>
          </w:p>
        </w:tc>
      </w:tr>
      <w:tr w:rsidR="000A5358" w:rsidRPr="00AC1055" w14:paraId="4C27A83F" w14:textId="77777777" w:rsidTr="000A5358">
        <w:tc>
          <w:tcPr>
            <w:tcW w:w="1526" w:type="dxa"/>
          </w:tcPr>
          <w:p w14:paraId="2CB8D810" w14:textId="77777777" w:rsidR="000A5358" w:rsidRPr="00AC1055" w:rsidRDefault="000A5358" w:rsidP="000A5358">
            <w:pPr>
              <w:rPr>
                <w:rFonts w:cs="Times New Roman"/>
                <w:szCs w:val="24"/>
              </w:rPr>
            </w:pPr>
            <w:r w:rsidRPr="00AC1055">
              <w:rPr>
                <w:rFonts w:cs="Times New Roman"/>
                <w:szCs w:val="24"/>
              </w:rPr>
              <w:t>Nigeria</w:t>
            </w:r>
          </w:p>
        </w:tc>
        <w:tc>
          <w:tcPr>
            <w:tcW w:w="2835" w:type="dxa"/>
          </w:tcPr>
          <w:p w14:paraId="4A45B8DA" w14:textId="77777777" w:rsidR="000A5358" w:rsidRPr="00AC1055" w:rsidRDefault="000A5358" w:rsidP="000A5358">
            <w:pPr>
              <w:rPr>
                <w:rFonts w:cs="Times New Roman"/>
                <w:szCs w:val="24"/>
              </w:rPr>
            </w:pPr>
            <w:r w:rsidRPr="00AC1055">
              <w:rPr>
                <w:rFonts w:cs="Times New Roman"/>
                <w:szCs w:val="24"/>
              </w:rPr>
              <w:t xml:space="preserve">Dr. </w:t>
            </w:r>
            <w:proofErr w:type="spellStart"/>
            <w:r w:rsidRPr="00AC1055">
              <w:rPr>
                <w:rFonts w:cs="Times New Roman"/>
                <w:szCs w:val="24"/>
              </w:rPr>
              <w:t>Simisola</w:t>
            </w:r>
            <w:proofErr w:type="spellEnd"/>
            <w:r w:rsidRPr="00AC1055">
              <w:rPr>
                <w:rFonts w:cs="Times New Roman"/>
                <w:szCs w:val="24"/>
              </w:rPr>
              <w:t xml:space="preserve"> </w:t>
            </w:r>
            <w:proofErr w:type="spellStart"/>
            <w:r w:rsidRPr="00AC1055">
              <w:rPr>
                <w:rFonts w:cs="Times New Roman"/>
                <w:szCs w:val="24"/>
              </w:rPr>
              <w:t>Iyaniwura</w:t>
            </w:r>
            <w:proofErr w:type="spellEnd"/>
          </w:p>
        </w:tc>
        <w:tc>
          <w:tcPr>
            <w:tcW w:w="5215" w:type="dxa"/>
          </w:tcPr>
          <w:p w14:paraId="6FD15145" w14:textId="77777777" w:rsidR="000A5358" w:rsidRPr="00AC1055" w:rsidRDefault="000A5358" w:rsidP="000A5358">
            <w:pPr>
              <w:rPr>
                <w:rFonts w:cs="Times New Roman"/>
                <w:szCs w:val="24"/>
              </w:rPr>
            </w:pPr>
            <w:r w:rsidRPr="00AC1055">
              <w:rPr>
                <w:rFonts w:cs="Times New Roman"/>
                <w:szCs w:val="24"/>
              </w:rPr>
              <w:t>Lecturer at Manchester Trinity College</w:t>
            </w:r>
          </w:p>
        </w:tc>
      </w:tr>
      <w:tr w:rsidR="000A5358" w:rsidRPr="00AC1055" w14:paraId="4434FA3A" w14:textId="77777777" w:rsidTr="000A5358">
        <w:tc>
          <w:tcPr>
            <w:tcW w:w="1526" w:type="dxa"/>
          </w:tcPr>
          <w:p w14:paraId="286E4D2F" w14:textId="77777777" w:rsidR="000A5358" w:rsidRPr="00AC1055" w:rsidRDefault="000A5358" w:rsidP="000A5358">
            <w:pPr>
              <w:rPr>
                <w:rFonts w:cs="Times New Roman"/>
                <w:szCs w:val="24"/>
              </w:rPr>
            </w:pPr>
            <w:r w:rsidRPr="00AC1055">
              <w:rPr>
                <w:rFonts w:cs="Times New Roman"/>
                <w:szCs w:val="24"/>
              </w:rPr>
              <w:t>Pakistan</w:t>
            </w:r>
          </w:p>
        </w:tc>
        <w:tc>
          <w:tcPr>
            <w:tcW w:w="2835" w:type="dxa"/>
          </w:tcPr>
          <w:p w14:paraId="2A93C4D0" w14:textId="77777777" w:rsidR="000A5358" w:rsidRPr="00AC1055" w:rsidRDefault="000A5358" w:rsidP="000A5358">
            <w:pPr>
              <w:rPr>
                <w:rFonts w:cs="Times New Roman"/>
                <w:szCs w:val="24"/>
              </w:rPr>
            </w:pPr>
            <w:r w:rsidRPr="00AC1055">
              <w:rPr>
                <w:rFonts w:cs="Times New Roman"/>
                <w:szCs w:val="24"/>
              </w:rPr>
              <w:t xml:space="preserve">Asif </w:t>
            </w:r>
            <w:proofErr w:type="spellStart"/>
            <w:r w:rsidRPr="00AC1055">
              <w:rPr>
                <w:rFonts w:cs="Times New Roman"/>
                <w:szCs w:val="24"/>
              </w:rPr>
              <w:t>Paryani</w:t>
            </w:r>
            <w:proofErr w:type="spellEnd"/>
          </w:p>
        </w:tc>
        <w:tc>
          <w:tcPr>
            <w:tcW w:w="5215" w:type="dxa"/>
          </w:tcPr>
          <w:p w14:paraId="01F23702" w14:textId="77777777" w:rsidR="000A5358" w:rsidRPr="00AC1055" w:rsidRDefault="000A5358" w:rsidP="000A5358">
            <w:pPr>
              <w:rPr>
                <w:rFonts w:cs="Times New Roman"/>
                <w:szCs w:val="24"/>
              </w:rPr>
            </w:pPr>
            <w:r w:rsidRPr="00AC1055">
              <w:rPr>
                <w:rFonts w:cs="Times New Roman"/>
                <w:szCs w:val="24"/>
              </w:rPr>
              <w:t>Joint Director, Securities &amp; Exchange Commission of Pakistan</w:t>
            </w:r>
          </w:p>
        </w:tc>
      </w:tr>
      <w:tr w:rsidR="000A5358" w:rsidRPr="00A02B86" w14:paraId="696D5CC9" w14:textId="77777777" w:rsidTr="000A5358">
        <w:tc>
          <w:tcPr>
            <w:tcW w:w="1526" w:type="dxa"/>
          </w:tcPr>
          <w:p w14:paraId="3F706D3F" w14:textId="77777777" w:rsidR="000A5358" w:rsidRPr="00AC1055" w:rsidRDefault="000A5358" w:rsidP="000A5358">
            <w:pPr>
              <w:rPr>
                <w:rFonts w:cs="Times New Roman"/>
                <w:szCs w:val="24"/>
              </w:rPr>
            </w:pPr>
            <w:r w:rsidRPr="00AC1055">
              <w:rPr>
                <w:rFonts w:cs="Times New Roman"/>
                <w:szCs w:val="24"/>
              </w:rPr>
              <w:t>Peru</w:t>
            </w:r>
          </w:p>
        </w:tc>
        <w:tc>
          <w:tcPr>
            <w:tcW w:w="2835" w:type="dxa"/>
          </w:tcPr>
          <w:p w14:paraId="571BE320" w14:textId="77777777" w:rsidR="000A5358" w:rsidRPr="00AC1055" w:rsidRDefault="000A5358" w:rsidP="000A5358">
            <w:pPr>
              <w:rPr>
                <w:rFonts w:cs="Times New Roman"/>
                <w:szCs w:val="24"/>
              </w:rPr>
            </w:pPr>
            <w:r w:rsidRPr="00AC1055">
              <w:rPr>
                <w:rFonts w:cs="Times New Roman"/>
                <w:szCs w:val="24"/>
              </w:rPr>
              <w:t>Dr. Edison Ochoa</w:t>
            </w:r>
          </w:p>
        </w:tc>
        <w:tc>
          <w:tcPr>
            <w:tcW w:w="5215" w:type="dxa"/>
          </w:tcPr>
          <w:p w14:paraId="63E52946" w14:textId="77777777" w:rsidR="000A5358" w:rsidRPr="00D830D0" w:rsidRDefault="000A5358" w:rsidP="000A5358">
            <w:pPr>
              <w:rPr>
                <w:rFonts w:cs="Times New Roman"/>
                <w:szCs w:val="24"/>
                <w:lang w:val="es-ES_tradnl"/>
              </w:rPr>
            </w:pPr>
            <w:proofErr w:type="spellStart"/>
            <w:r w:rsidRPr="00D830D0">
              <w:rPr>
                <w:rFonts w:cs="Times New Roman"/>
                <w:szCs w:val="24"/>
                <w:lang w:val="es-ES_tradnl"/>
              </w:rPr>
              <w:t>Lecturer</w:t>
            </w:r>
            <w:proofErr w:type="spellEnd"/>
            <w:r w:rsidRPr="00D830D0">
              <w:rPr>
                <w:rFonts w:cs="Times New Roman"/>
                <w:szCs w:val="24"/>
                <w:lang w:val="es-ES_tradnl"/>
              </w:rPr>
              <w:t xml:space="preserve"> at Universidad San Ignacio de Loyola</w:t>
            </w:r>
          </w:p>
        </w:tc>
      </w:tr>
      <w:tr w:rsidR="000A5358" w:rsidRPr="00AC1055" w14:paraId="058F642E" w14:textId="77777777" w:rsidTr="000A5358">
        <w:tc>
          <w:tcPr>
            <w:tcW w:w="1526" w:type="dxa"/>
          </w:tcPr>
          <w:p w14:paraId="238D7C9D" w14:textId="77777777" w:rsidR="000A5358" w:rsidRPr="00AC1055" w:rsidRDefault="000A5358" w:rsidP="000A5358">
            <w:pPr>
              <w:rPr>
                <w:rFonts w:cs="Times New Roman"/>
                <w:szCs w:val="24"/>
              </w:rPr>
            </w:pPr>
            <w:r w:rsidRPr="00AC1055">
              <w:rPr>
                <w:rFonts w:cs="Times New Roman"/>
                <w:szCs w:val="24"/>
              </w:rPr>
              <w:t>Philippines</w:t>
            </w:r>
          </w:p>
        </w:tc>
        <w:tc>
          <w:tcPr>
            <w:tcW w:w="2835" w:type="dxa"/>
          </w:tcPr>
          <w:p w14:paraId="05F2549A" w14:textId="77777777" w:rsidR="000A5358" w:rsidRPr="00AC1055" w:rsidRDefault="000A5358" w:rsidP="000A5358">
            <w:pPr>
              <w:rPr>
                <w:rFonts w:cs="Times New Roman"/>
                <w:szCs w:val="24"/>
              </w:rPr>
            </w:pPr>
            <w:proofErr w:type="spellStart"/>
            <w:r w:rsidRPr="00AC1055">
              <w:rPr>
                <w:rFonts w:cs="Times New Roman"/>
                <w:szCs w:val="24"/>
              </w:rPr>
              <w:t>Nelvi</w:t>
            </w:r>
            <w:proofErr w:type="spellEnd"/>
            <w:r w:rsidRPr="00AC1055">
              <w:rPr>
                <w:rFonts w:cs="Times New Roman"/>
                <w:szCs w:val="24"/>
              </w:rPr>
              <w:t xml:space="preserve"> </w:t>
            </w:r>
            <w:proofErr w:type="spellStart"/>
            <w:r w:rsidRPr="00AC1055">
              <w:rPr>
                <w:rFonts w:cs="Times New Roman"/>
                <w:szCs w:val="24"/>
              </w:rPr>
              <w:t>Myn</w:t>
            </w:r>
            <w:proofErr w:type="spellEnd"/>
            <w:r w:rsidRPr="00AC1055">
              <w:rPr>
                <w:rFonts w:cs="Times New Roman"/>
                <w:szCs w:val="24"/>
              </w:rPr>
              <w:t xml:space="preserve"> </w:t>
            </w:r>
            <w:proofErr w:type="spellStart"/>
            <w:r w:rsidRPr="00AC1055">
              <w:rPr>
                <w:rFonts w:cs="Times New Roman"/>
                <w:szCs w:val="24"/>
              </w:rPr>
              <w:t>Palomata</w:t>
            </w:r>
            <w:proofErr w:type="spellEnd"/>
          </w:p>
        </w:tc>
        <w:tc>
          <w:tcPr>
            <w:tcW w:w="5215" w:type="dxa"/>
          </w:tcPr>
          <w:p w14:paraId="3CA448F3" w14:textId="77777777" w:rsidR="000A5358" w:rsidRPr="00AC1055" w:rsidRDefault="000A5358" w:rsidP="000A5358">
            <w:pPr>
              <w:rPr>
                <w:rFonts w:cs="Times New Roman"/>
                <w:szCs w:val="24"/>
              </w:rPr>
            </w:pPr>
            <w:r w:rsidRPr="00AC1055">
              <w:rPr>
                <w:rFonts w:cs="Times New Roman"/>
                <w:szCs w:val="24"/>
              </w:rPr>
              <w:t>CG Scorecards Specialist at Institute of Corporate Directors</w:t>
            </w:r>
          </w:p>
        </w:tc>
      </w:tr>
      <w:tr w:rsidR="000A5358" w:rsidRPr="00AC1055" w14:paraId="03127815" w14:textId="77777777" w:rsidTr="000A5358">
        <w:tc>
          <w:tcPr>
            <w:tcW w:w="1526" w:type="dxa"/>
          </w:tcPr>
          <w:p w14:paraId="6902DA47" w14:textId="77777777" w:rsidR="000A5358" w:rsidRPr="00AC1055" w:rsidRDefault="000A5358" w:rsidP="000A5358">
            <w:pPr>
              <w:rPr>
                <w:rFonts w:cs="Times New Roman"/>
                <w:szCs w:val="24"/>
              </w:rPr>
            </w:pPr>
            <w:r w:rsidRPr="00AC1055">
              <w:rPr>
                <w:rFonts w:cs="Times New Roman"/>
                <w:szCs w:val="24"/>
              </w:rPr>
              <w:t>Poland</w:t>
            </w:r>
          </w:p>
        </w:tc>
        <w:tc>
          <w:tcPr>
            <w:tcW w:w="2835" w:type="dxa"/>
          </w:tcPr>
          <w:p w14:paraId="2D7CBE05" w14:textId="77777777" w:rsidR="000A5358" w:rsidRPr="00AC1055" w:rsidRDefault="000A5358" w:rsidP="000A5358">
            <w:pPr>
              <w:rPr>
                <w:rFonts w:cs="Times New Roman"/>
                <w:szCs w:val="24"/>
              </w:rPr>
            </w:pPr>
            <w:r w:rsidRPr="00AC1055">
              <w:rPr>
                <w:rFonts w:cs="Times New Roman"/>
                <w:szCs w:val="24"/>
              </w:rPr>
              <w:t xml:space="preserve">Tomasz </w:t>
            </w:r>
            <w:proofErr w:type="spellStart"/>
            <w:r w:rsidRPr="00AC1055">
              <w:rPr>
                <w:rFonts w:cs="Times New Roman"/>
                <w:szCs w:val="24"/>
              </w:rPr>
              <w:t>Regucki</w:t>
            </w:r>
            <w:proofErr w:type="spellEnd"/>
          </w:p>
        </w:tc>
        <w:tc>
          <w:tcPr>
            <w:tcW w:w="5215" w:type="dxa"/>
          </w:tcPr>
          <w:p w14:paraId="259292B2" w14:textId="77777777" w:rsidR="000A5358" w:rsidRPr="00AC1055" w:rsidRDefault="000A5358" w:rsidP="000A5358">
            <w:pPr>
              <w:rPr>
                <w:rFonts w:cs="Times New Roman"/>
                <w:szCs w:val="24"/>
              </w:rPr>
            </w:pPr>
            <w:r w:rsidRPr="00AC1055">
              <w:rPr>
                <w:rFonts w:cs="Times New Roman"/>
                <w:szCs w:val="24"/>
              </w:rPr>
              <w:t xml:space="preserve">PhD candidate, </w:t>
            </w:r>
            <w:proofErr w:type="spellStart"/>
            <w:r w:rsidRPr="00AC1055">
              <w:rPr>
                <w:rFonts w:cs="Times New Roman"/>
                <w:szCs w:val="24"/>
              </w:rPr>
              <w:t>Allerhand</w:t>
            </w:r>
            <w:proofErr w:type="spellEnd"/>
            <w:r w:rsidRPr="00AC1055">
              <w:rPr>
                <w:rFonts w:cs="Times New Roman"/>
                <w:szCs w:val="24"/>
              </w:rPr>
              <w:t xml:space="preserve"> Institute</w:t>
            </w:r>
          </w:p>
        </w:tc>
      </w:tr>
      <w:tr w:rsidR="000A5358" w:rsidRPr="00AC1055" w14:paraId="15E06506" w14:textId="77777777" w:rsidTr="000A5358">
        <w:tc>
          <w:tcPr>
            <w:tcW w:w="1526" w:type="dxa"/>
          </w:tcPr>
          <w:p w14:paraId="769560B1" w14:textId="77777777" w:rsidR="000A5358" w:rsidRPr="00AC1055" w:rsidRDefault="000A5358" w:rsidP="000A5358">
            <w:pPr>
              <w:rPr>
                <w:rFonts w:cs="Times New Roman"/>
                <w:szCs w:val="24"/>
              </w:rPr>
            </w:pPr>
            <w:r w:rsidRPr="00AC1055">
              <w:rPr>
                <w:rFonts w:cs="Times New Roman"/>
                <w:szCs w:val="24"/>
              </w:rPr>
              <w:t>Russia</w:t>
            </w:r>
          </w:p>
        </w:tc>
        <w:tc>
          <w:tcPr>
            <w:tcW w:w="2835" w:type="dxa"/>
          </w:tcPr>
          <w:p w14:paraId="5BAB66CE" w14:textId="77777777" w:rsidR="000A5358" w:rsidRPr="00AC1055" w:rsidRDefault="000A5358" w:rsidP="000A5358">
            <w:pPr>
              <w:rPr>
                <w:rFonts w:cs="Times New Roman"/>
                <w:szCs w:val="24"/>
              </w:rPr>
            </w:pPr>
            <w:r w:rsidRPr="00AC1055">
              <w:rPr>
                <w:rFonts w:cs="Times New Roman"/>
                <w:szCs w:val="24"/>
              </w:rPr>
              <w:t xml:space="preserve">Peter </w:t>
            </w:r>
            <w:proofErr w:type="spellStart"/>
            <w:r w:rsidRPr="00AC1055">
              <w:rPr>
                <w:rFonts w:cs="Times New Roman"/>
                <w:szCs w:val="24"/>
              </w:rPr>
              <w:t>Vishnevskiy</w:t>
            </w:r>
            <w:proofErr w:type="spellEnd"/>
          </w:p>
        </w:tc>
        <w:tc>
          <w:tcPr>
            <w:tcW w:w="5215" w:type="dxa"/>
          </w:tcPr>
          <w:p w14:paraId="5993CB05" w14:textId="77777777" w:rsidR="000A5358" w:rsidRPr="00AC1055" w:rsidRDefault="000A5358" w:rsidP="000A5358">
            <w:pPr>
              <w:rPr>
                <w:rFonts w:cs="Times New Roman"/>
                <w:szCs w:val="24"/>
              </w:rPr>
            </w:pPr>
            <w:r w:rsidRPr="00AC1055">
              <w:rPr>
                <w:rFonts w:cs="Times New Roman"/>
                <w:szCs w:val="24"/>
              </w:rPr>
              <w:t>Lecturer, Faculty of Law, Department of Public and Private International Law, National Research University Higher School of Economics, Moscow</w:t>
            </w:r>
          </w:p>
        </w:tc>
      </w:tr>
      <w:tr w:rsidR="000A5358" w:rsidRPr="00AC1055" w14:paraId="2ED317BD" w14:textId="77777777" w:rsidTr="000A5358">
        <w:tc>
          <w:tcPr>
            <w:tcW w:w="1526" w:type="dxa"/>
          </w:tcPr>
          <w:p w14:paraId="5C90415D" w14:textId="77777777" w:rsidR="000A5358" w:rsidRPr="00AC1055" w:rsidRDefault="000A5358" w:rsidP="000A5358">
            <w:pPr>
              <w:rPr>
                <w:rFonts w:cs="Times New Roman"/>
                <w:szCs w:val="24"/>
              </w:rPr>
            </w:pPr>
            <w:r w:rsidRPr="00AC1055">
              <w:rPr>
                <w:rFonts w:cs="Times New Roman"/>
                <w:szCs w:val="24"/>
              </w:rPr>
              <w:t xml:space="preserve">South Africa </w:t>
            </w:r>
          </w:p>
        </w:tc>
        <w:tc>
          <w:tcPr>
            <w:tcW w:w="2835" w:type="dxa"/>
          </w:tcPr>
          <w:p w14:paraId="252870BE" w14:textId="77777777" w:rsidR="000A5358" w:rsidRPr="00AC1055" w:rsidRDefault="000A5358" w:rsidP="000A5358">
            <w:pPr>
              <w:rPr>
                <w:rFonts w:cs="Times New Roman"/>
                <w:szCs w:val="24"/>
              </w:rPr>
            </w:pPr>
            <w:proofErr w:type="spellStart"/>
            <w:r w:rsidRPr="00AC1055">
              <w:rPr>
                <w:rFonts w:cs="Times New Roman"/>
                <w:szCs w:val="24"/>
              </w:rPr>
              <w:t>Mabulenyana</w:t>
            </w:r>
            <w:proofErr w:type="spellEnd"/>
            <w:r w:rsidRPr="00AC1055">
              <w:rPr>
                <w:rFonts w:cs="Times New Roman"/>
                <w:szCs w:val="24"/>
              </w:rPr>
              <w:t xml:space="preserve"> </w:t>
            </w:r>
            <w:proofErr w:type="spellStart"/>
            <w:r w:rsidRPr="00AC1055">
              <w:rPr>
                <w:rFonts w:cs="Times New Roman"/>
                <w:szCs w:val="24"/>
              </w:rPr>
              <w:t>Marweshe</w:t>
            </w:r>
            <w:proofErr w:type="spellEnd"/>
          </w:p>
        </w:tc>
        <w:tc>
          <w:tcPr>
            <w:tcW w:w="5215" w:type="dxa"/>
          </w:tcPr>
          <w:p w14:paraId="1B79E857" w14:textId="77777777" w:rsidR="000A5358" w:rsidRPr="00AC1055" w:rsidRDefault="000A5358" w:rsidP="000A5358">
            <w:pPr>
              <w:rPr>
                <w:rFonts w:cs="Times New Roman"/>
                <w:szCs w:val="24"/>
              </w:rPr>
            </w:pPr>
            <w:r w:rsidRPr="00AC1055">
              <w:rPr>
                <w:rFonts w:cs="Times New Roman"/>
                <w:szCs w:val="24"/>
              </w:rPr>
              <w:t>Analyst, Financial Services Board, Pretoria</w:t>
            </w:r>
          </w:p>
        </w:tc>
      </w:tr>
      <w:tr w:rsidR="000A5358" w:rsidRPr="00AC1055" w14:paraId="593862B9" w14:textId="77777777" w:rsidTr="000A5358">
        <w:tc>
          <w:tcPr>
            <w:tcW w:w="1526" w:type="dxa"/>
          </w:tcPr>
          <w:p w14:paraId="73428819" w14:textId="77777777" w:rsidR="000A5358" w:rsidRPr="00AC1055" w:rsidRDefault="000A5358" w:rsidP="000A5358">
            <w:pPr>
              <w:rPr>
                <w:rFonts w:cs="Times New Roman"/>
                <w:szCs w:val="24"/>
              </w:rPr>
            </w:pPr>
            <w:r w:rsidRPr="00AC1055">
              <w:rPr>
                <w:rFonts w:cs="Times New Roman"/>
                <w:szCs w:val="24"/>
              </w:rPr>
              <w:t>UK</w:t>
            </w:r>
          </w:p>
        </w:tc>
        <w:tc>
          <w:tcPr>
            <w:tcW w:w="2835" w:type="dxa"/>
          </w:tcPr>
          <w:p w14:paraId="5A6C0A23" w14:textId="77777777" w:rsidR="000A5358" w:rsidRPr="00AC1055" w:rsidRDefault="000A5358" w:rsidP="000A5358">
            <w:pPr>
              <w:rPr>
                <w:rFonts w:cs="Times New Roman"/>
                <w:szCs w:val="24"/>
              </w:rPr>
            </w:pPr>
            <w:r w:rsidRPr="00AC1055">
              <w:rPr>
                <w:rFonts w:cs="Times New Roman"/>
                <w:szCs w:val="24"/>
              </w:rPr>
              <w:t xml:space="preserve">Luke </w:t>
            </w:r>
            <w:proofErr w:type="spellStart"/>
            <w:r w:rsidRPr="00AC1055">
              <w:rPr>
                <w:rFonts w:cs="Times New Roman"/>
                <w:szCs w:val="24"/>
              </w:rPr>
              <w:t>Blindell</w:t>
            </w:r>
            <w:proofErr w:type="spellEnd"/>
          </w:p>
        </w:tc>
        <w:tc>
          <w:tcPr>
            <w:tcW w:w="5215" w:type="dxa"/>
          </w:tcPr>
          <w:p w14:paraId="7DCDBF7F" w14:textId="77777777" w:rsidR="000A5358" w:rsidRPr="00AC1055" w:rsidRDefault="000A5358" w:rsidP="000A5358">
            <w:pPr>
              <w:rPr>
                <w:rFonts w:cs="Times New Roman"/>
                <w:szCs w:val="24"/>
              </w:rPr>
            </w:pPr>
            <w:r w:rsidRPr="00AC1055">
              <w:rPr>
                <w:rFonts w:cs="Times New Roman"/>
                <w:szCs w:val="24"/>
              </w:rPr>
              <w:t>PhD candidate, School of Law, University of Sheffield</w:t>
            </w:r>
          </w:p>
        </w:tc>
      </w:tr>
      <w:tr w:rsidR="000A5358" w:rsidRPr="00AC1055" w14:paraId="6EB3324A" w14:textId="77777777" w:rsidTr="000A5358">
        <w:tc>
          <w:tcPr>
            <w:tcW w:w="1526" w:type="dxa"/>
          </w:tcPr>
          <w:p w14:paraId="63302926" w14:textId="77777777" w:rsidR="000A5358" w:rsidRPr="00AC1055" w:rsidRDefault="000A5358" w:rsidP="000A5358">
            <w:pPr>
              <w:rPr>
                <w:rFonts w:cs="Times New Roman"/>
                <w:szCs w:val="24"/>
              </w:rPr>
            </w:pPr>
            <w:r w:rsidRPr="00AC1055">
              <w:rPr>
                <w:rFonts w:cs="Times New Roman"/>
                <w:szCs w:val="24"/>
              </w:rPr>
              <w:t>Vietnam</w:t>
            </w:r>
          </w:p>
        </w:tc>
        <w:tc>
          <w:tcPr>
            <w:tcW w:w="2835" w:type="dxa"/>
          </w:tcPr>
          <w:p w14:paraId="49A77DC2" w14:textId="77777777" w:rsidR="000A5358" w:rsidRPr="00AC1055" w:rsidRDefault="000A5358" w:rsidP="000A5358">
            <w:pPr>
              <w:rPr>
                <w:rFonts w:cs="Times New Roman"/>
                <w:szCs w:val="24"/>
              </w:rPr>
            </w:pPr>
            <w:r w:rsidRPr="00AC1055">
              <w:rPr>
                <w:rFonts w:cs="Times New Roman"/>
                <w:szCs w:val="24"/>
              </w:rPr>
              <w:t>Anh Linh Nguyen</w:t>
            </w:r>
          </w:p>
        </w:tc>
        <w:tc>
          <w:tcPr>
            <w:tcW w:w="5215" w:type="dxa"/>
          </w:tcPr>
          <w:p w14:paraId="399044FB" w14:textId="77777777" w:rsidR="000A5358" w:rsidRPr="00AC1055" w:rsidRDefault="000A5358" w:rsidP="000A5358">
            <w:pPr>
              <w:rPr>
                <w:rFonts w:cs="Times New Roman"/>
                <w:szCs w:val="24"/>
              </w:rPr>
            </w:pPr>
            <w:r w:rsidRPr="00AC1055">
              <w:rPr>
                <w:rFonts w:cs="Times New Roman"/>
                <w:szCs w:val="24"/>
              </w:rPr>
              <w:t>Lawyer</w:t>
            </w:r>
          </w:p>
        </w:tc>
      </w:tr>
    </w:tbl>
    <w:p w14:paraId="6B9D2A4E" w14:textId="77777777" w:rsidR="000A5358" w:rsidRPr="00AC1055" w:rsidRDefault="000A5358" w:rsidP="000A5358">
      <w:pPr>
        <w:spacing w:line="480" w:lineRule="auto"/>
        <w:rPr>
          <w:rFonts w:cs="Times New Roman"/>
          <w:szCs w:val="24"/>
        </w:rPr>
      </w:pPr>
    </w:p>
    <w:p w14:paraId="076CE20F" w14:textId="2EBA5FB4" w:rsidR="000A5358" w:rsidRPr="00AC1055" w:rsidRDefault="000A5358" w:rsidP="000A5358">
      <w:pPr>
        <w:spacing w:line="480" w:lineRule="auto"/>
        <w:rPr>
          <w:rFonts w:cs="Times New Roman"/>
          <w:szCs w:val="24"/>
        </w:rPr>
      </w:pPr>
      <w:r w:rsidRPr="00AC1055">
        <w:rPr>
          <w:rFonts w:cs="Times New Roman"/>
          <w:szCs w:val="24"/>
        </w:rPr>
        <w:t xml:space="preserve">Although </w:t>
      </w:r>
      <w:r>
        <w:rPr>
          <w:rFonts w:cs="Times New Roman"/>
          <w:szCs w:val="24"/>
        </w:rPr>
        <w:t>the researcher fell</w:t>
      </w:r>
      <w:r w:rsidRPr="00AC1055">
        <w:rPr>
          <w:rFonts w:cs="Times New Roman"/>
          <w:szCs w:val="24"/>
        </w:rPr>
        <w:t xml:space="preserve"> short </w:t>
      </w:r>
      <w:r>
        <w:rPr>
          <w:rFonts w:cs="Times New Roman"/>
          <w:szCs w:val="24"/>
        </w:rPr>
        <w:t xml:space="preserve">of </w:t>
      </w:r>
      <w:r w:rsidRPr="00AC1055">
        <w:rPr>
          <w:rFonts w:cs="Times New Roman"/>
          <w:szCs w:val="24"/>
        </w:rPr>
        <w:t>the original goal</w:t>
      </w:r>
      <w:r>
        <w:rPr>
          <w:rFonts w:cs="Times New Roman"/>
          <w:szCs w:val="24"/>
        </w:rPr>
        <w:t>,</w:t>
      </w:r>
      <w:r w:rsidRPr="00AC1055">
        <w:rPr>
          <w:rFonts w:cs="Times New Roman"/>
          <w:szCs w:val="24"/>
        </w:rPr>
        <w:t xml:space="preserve"> a good and wide sample of developing countries</w:t>
      </w:r>
      <w:r>
        <w:rPr>
          <w:rFonts w:cs="Times New Roman"/>
          <w:szCs w:val="24"/>
        </w:rPr>
        <w:t xml:space="preserve"> was </w:t>
      </w:r>
      <w:r w:rsidRPr="0048543B">
        <w:rPr>
          <w:rFonts w:cs="Times New Roman"/>
          <w:szCs w:val="24"/>
        </w:rPr>
        <w:t>still managed</w:t>
      </w:r>
      <w:r w:rsidRPr="00AC1055">
        <w:rPr>
          <w:rFonts w:cs="Times New Roman"/>
          <w:szCs w:val="24"/>
        </w:rPr>
        <w:t xml:space="preserve">; </w:t>
      </w:r>
      <w:r>
        <w:rPr>
          <w:rFonts w:cs="Times New Roman"/>
          <w:szCs w:val="24"/>
        </w:rPr>
        <w:t>obtaining data from</w:t>
      </w:r>
      <w:r w:rsidRPr="00AC1055">
        <w:rPr>
          <w:rFonts w:cs="Times New Roman"/>
          <w:szCs w:val="24"/>
        </w:rPr>
        <w:t xml:space="preserve"> the BRICS nations, Eastern European countr</w:t>
      </w:r>
      <w:r>
        <w:rPr>
          <w:rFonts w:cs="Times New Roman"/>
          <w:szCs w:val="24"/>
        </w:rPr>
        <w:t>ies</w:t>
      </w:r>
      <w:r w:rsidRPr="00AC1055">
        <w:rPr>
          <w:rFonts w:cs="Times New Roman"/>
          <w:szCs w:val="24"/>
        </w:rPr>
        <w:t xml:space="preserve"> like Poland which is still transitioning into shareholder primac</w:t>
      </w:r>
      <w:r>
        <w:rPr>
          <w:rFonts w:cs="Times New Roman"/>
          <w:szCs w:val="24"/>
        </w:rPr>
        <w:t>y systems, Germany and UK</w:t>
      </w:r>
      <w:r w:rsidRPr="00AC1055">
        <w:rPr>
          <w:rFonts w:cs="Times New Roman"/>
          <w:szCs w:val="24"/>
        </w:rPr>
        <w:t xml:space="preserve"> as the </w:t>
      </w:r>
      <w:r>
        <w:rPr>
          <w:rFonts w:cs="Times New Roman"/>
          <w:szCs w:val="24"/>
        </w:rPr>
        <w:t>dual</w:t>
      </w:r>
      <w:r w:rsidRPr="00AC1055">
        <w:rPr>
          <w:rFonts w:cs="Times New Roman"/>
          <w:szCs w:val="24"/>
        </w:rPr>
        <w:t xml:space="preserve"> poles of </w:t>
      </w:r>
      <w:r>
        <w:rPr>
          <w:rFonts w:cs="Times New Roman"/>
          <w:szCs w:val="24"/>
        </w:rPr>
        <w:t xml:space="preserve">the </w:t>
      </w:r>
      <w:r w:rsidRPr="00AC1055">
        <w:rPr>
          <w:rFonts w:cs="Times New Roman"/>
          <w:szCs w:val="24"/>
        </w:rPr>
        <w:t xml:space="preserve">European corporate governance system, the </w:t>
      </w:r>
      <w:r>
        <w:rPr>
          <w:rFonts w:cs="Times New Roman"/>
          <w:szCs w:val="24"/>
        </w:rPr>
        <w:t>‘</w:t>
      </w:r>
      <w:r w:rsidRPr="00AC1055">
        <w:rPr>
          <w:rFonts w:cs="Times New Roman"/>
          <w:szCs w:val="24"/>
        </w:rPr>
        <w:t>Asian Tiger</w:t>
      </w:r>
      <w:r>
        <w:rPr>
          <w:rFonts w:cs="Times New Roman"/>
          <w:szCs w:val="24"/>
        </w:rPr>
        <w:t>’</w:t>
      </w:r>
      <w:r w:rsidRPr="00AC1055">
        <w:rPr>
          <w:rFonts w:cs="Times New Roman"/>
          <w:szCs w:val="24"/>
        </w:rPr>
        <w:t xml:space="preserve"> economy of Hong Kong, Indonesia where the original structural reforms o</w:t>
      </w:r>
      <w:r>
        <w:rPr>
          <w:rFonts w:cs="Times New Roman"/>
          <w:szCs w:val="24"/>
        </w:rPr>
        <w:t>f</w:t>
      </w:r>
      <w:r w:rsidRPr="00AC1055">
        <w:rPr>
          <w:rFonts w:cs="Times New Roman"/>
          <w:szCs w:val="24"/>
        </w:rPr>
        <w:t xml:space="preserve"> corporate governance </w:t>
      </w:r>
      <w:r>
        <w:rPr>
          <w:rFonts w:cs="Times New Roman"/>
          <w:szCs w:val="24"/>
        </w:rPr>
        <w:t>were</w:t>
      </w:r>
      <w:r w:rsidRPr="00AC1055">
        <w:rPr>
          <w:rFonts w:cs="Times New Roman"/>
          <w:szCs w:val="24"/>
        </w:rPr>
        <w:t xml:space="preserve"> carried out in the aftermath of </w:t>
      </w:r>
      <w:r>
        <w:rPr>
          <w:rFonts w:cs="Times New Roman"/>
          <w:szCs w:val="24"/>
        </w:rPr>
        <w:t xml:space="preserve">the </w:t>
      </w:r>
      <w:r w:rsidRPr="00AC1055">
        <w:rPr>
          <w:rFonts w:cs="Times New Roman"/>
          <w:szCs w:val="24"/>
        </w:rPr>
        <w:t xml:space="preserve">1997 Asian financial crisis, Africa’s second and third best performing </w:t>
      </w:r>
      <w:r w:rsidRPr="00AC1055">
        <w:rPr>
          <w:rFonts w:cs="Times New Roman"/>
          <w:szCs w:val="24"/>
        </w:rPr>
        <w:lastRenderedPageBreak/>
        <w:t xml:space="preserve">economies by GDP – Nigeria and Kenya. We tried several networks to get data from the MENA region but though we got several responses the quality of work was not suitable for using it in a time series study. </w:t>
      </w:r>
      <w:r w:rsidR="009C75FF">
        <w:rPr>
          <w:rFonts w:cs="Times New Roman"/>
          <w:szCs w:val="24"/>
        </w:rPr>
        <w:t>Responses w</w:t>
      </w:r>
      <w:r w:rsidRPr="00AC1055">
        <w:rPr>
          <w:rFonts w:cs="Times New Roman"/>
          <w:szCs w:val="24"/>
        </w:rPr>
        <w:t>e</w:t>
      </w:r>
      <w:r w:rsidR="009C75FF">
        <w:rPr>
          <w:rFonts w:cs="Times New Roman"/>
          <w:szCs w:val="24"/>
        </w:rPr>
        <w:t>re</w:t>
      </w:r>
      <w:r w:rsidRPr="00AC1055">
        <w:rPr>
          <w:rFonts w:cs="Times New Roman"/>
          <w:szCs w:val="24"/>
        </w:rPr>
        <w:t xml:space="preserve"> also received from Singapore, Bangladesh, Sri Lanka, Thailand, Greece and Turkey but they were in smaller time scales and hence have not been used in this research. </w:t>
      </w:r>
    </w:p>
    <w:p w14:paraId="77290654" w14:textId="77777777" w:rsidR="000A5358" w:rsidRPr="00AC1055" w:rsidRDefault="000A5358" w:rsidP="000A5358">
      <w:pPr>
        <w:spacing w:line="480" w:lineRule="auto"/>
        <w:rPr>
          <w:rFonts w:cs="Times New Roman"/>
          <w:szCs w:val="24"/>
        </w:rPr>
      </w:pPr>
      <w:r w:rsidRPr="00AC1055">
        <w:rPr>
          <w:rFonts w:cs="Times New Roman"/>
          <w:szCs w:val="24"/>
        </w:rPr>
        <w:t>There were several feedback and feedforward rounds between the expert respondents and the research group, variables were clarified, the most common being the variables on self</w:t>
      </w:r>
      <w:r>
        <w:rPr>
          <w:rFonts w:cs="Times New Roman"/>
          <w:szCs w:val="24"/>
        </w:rPr>
        <w:t>-</w:t>
      </w:r>
      <w:r w:rsidRPr="00AC1055">
        <w:rPr>
          <w:rFonts w:cs="Times New Roman"/>
          <w:szCs w:val="24"/>
        </w:rPr>
        <w:t xml:space="preserve">dealing adapted from </w:t>
      </w:r>
      <w:proofErr w:type="spellStart"/>
      <w:r w:rsidRPr="00AC1055">
        <w:rPr>
          <w:rFonts w:cs="Times New Roman"/>
          <w:szCs w:val="24"/>
        </w:rPr>
        <w:t>Djankov</w:t>
      </w:r>
      <w:proofErr w:type="spellEnd"/>
      <w:r w:rsidRPr="00AC1055">
        <w:rPr>
          <w:rFonts w:cs="Times New Roman"/>
          <w:szCs w:val="24"/>
        </w:rPr>
        <w:t xml:space="preserve"> et al.</w:t>
      </w:r>
      <w:r>
        <w:rPr>
          <w:rStyle w:val="FootnoteReference"/>
          <w:rFonts w:cs="Times New Roman"/>
          <w:szCs w:val="24"/>
        </w:rPr>
        <w:footnoteReference w:id="158"/>
      </w:r>
      <w:r w:rsidRPr="00AC1055">
        <w:rPr>
          <w:rFonts w:cs="Times New Roman"/>
          <w:szCs w:val="24"/>
        </w:rPr>
        <w:t xml:space="preserve"> The data was codified as soon as the </w:t>
      </w:r>
      <w:r>
        <w:rPr>
          <w:rFonts w:cs="Times New Roman"/>
          <w:szCs w:val="24"/>
        </w:rPr>
        <w:t>completed</w:t>
      </w:r>
      <w:r w:rsidRPr="00AC1055">
        <w:rPr>
          <w:rFonts w:cs="Times New Roman"/>
          <w:szCs w:val="24"/>
        </w:rPr>
        <w:t xml:space="preserve"> questionnaire</w:t>
      </w:r>
      <w:r>
        <w:rPr>
          <w:rFonts w:cs="Times New Roman"/>
          <w:szCs w:val="24"/>
        </w:rPr>
        <w:t>s</w:t>
      </w:r>
      <w:r w:rsidRPr="00AC1055">
        <w:rPr>
          <w:rFonts w:cs="Times New Roman"/>
          <w:szCs w:val="24"/>
        </w:rPr>
        <w:t xml:space="preserve"> were received </w:t>
      </w:r>
      <w:r>
        <w:rPr>
          <w:rFonts w:cs="Times New Roman"/>
          <w:szCs w:val="24"/>
        </w:rPr>
        <w:t xml:space="preserve">in order </w:t>
      </w:r>
      <w:r w:rsidRPr="00AC1055">
        <w:rPr>
          <w:rFonts w:cs="Times New Roman"/>
          <w:szCs w:val="24"/>
        </w:rPr>
        <w:t xml:space="preserve">to shorten feedback time and provide follow up questions. The respondents were also provided with a participant information sheet to explain the aims of the research and a consent form; the respondents were </w:t>
      </w:r>
      <w:r>
        <w:rPr>
          <w:rFonts w:cs="Times New Roman"/>
          <w:szCs w:val="24"/>
        </w:rPr>
        <w:t>asked</w:t>
      </w:r>
      <w:r w:rsidRPr="00AC1055">
        <w:rPr>
          <w:rFonts w:cs="Times New Roman"/>
          <w:szCs w:val="24"/>
        </w:rPr>
        <w:t xml:space="preserve"> to provide scanned copies of signed consent form</w:t>
      </w:r>
      <w:r>
        <w:rPr>
          <w:rFonts w:cs="Times New Roman"/>
          <w:szCs w:val="24"/>
        </w:rPr>
        <w:t>s</w:t>
      </w:r>
      <w:r w:rsidRPr="00AC1055">
        <w:rPr>
          <w:rFonts w:cs="Times New Roman"/>
          <w:szCs w:val="24"/>
        </w:rPr>
        <w:t xml:space="preserve"> </w:t>
      </w:r>
      <w:r>
        <w:rPr>
          <w:rFonts w:cs="Times New Roman"/>
          <w:szCs w:val="24"/>
        </w:rPr>
        <w:t>in accordance with</w:t>
      </w:r>
      <w:r w:rsidRPr="00AC1055">
        <w:rPr>
          <w:rFonts w:cs="Times New Roman"/>
          <w:szCs w:val="24"/>
        </w:rPr>
        <w:t xml:space="preserve"> the university research guidelines.  </w:t>
      </w:r>
    </w:p>
    <w:p w14:paraId="7BE4BD26" w14:textId="77777777" w:rsidR="000A5358" w:rsidRPr="00AC1055" w:rsidRDefault="000A5358" w:rsidP="000A5358">
      <w:pPr>
        <w:spacing w:line="480" w:lineRule="auto"/>
        <w:rPr>
          <w:rFonts w:cs="Times New Roman"/>
          <w:szCs w:val="24"/>
          <w:u w:val="single"/>
        </w:rPr>
      </w:pPr>
    </w:p>
    <w:p w14:paraId="11394595" w14:textId="77777777" w:rsidR="000A5358" w:rsidRPr="00AC1055" w:rsidRDefault="000A5358" w:rsidP="000A5358">
      <w:pPr>
        <w:spacing w:line="480" w:lineRule="auto"/>
        <w:rPr>
          <w:rFonts w:cs="Times New Roman"/>
          <w:szCs w:val="24"/>
        </w:rPr>
      </w:pPr>
      <w:r>
        <w:rPr>
          <w:rFonts w:cs="Times New Roman"/>
          <w:szCs w:val="24"/>
          <w:u w:val="single"/>
        </w:rPr>
        <w:t xml:space="preserve">3.1.1 </w:t>
      </w:r>
      <w:r w:rsidRPr="00AC1055">
        <w:rPr>
          <w:rFonts w:cs="Times New Roman"/>
          <w:szCs w:val="24"/>
          <w:u w:val="single"/>
        </w:rPr>
        <w:t>Collection of financial data for control and dependent variables</w:t>
      </w:r>
    </w:p>
    <w:p w14:paraId="5D2F1276" w14:textId="77777777" w:rsidR="000A5358" w:rsidRPr="00AC1055" w:rsidRDefault="000A5358" w:rsidP="000A5358">
      <w:pPr>
        <w:spacing w:line="480" w:lineRule="auto"/>
        <w:rPr>
          <w:rFonts w:cs="Times New Roman"/>
          <w:szCs w:val="24"/>
        </w:rPr>
      </w:pPr>
      <w:r w:rsidRPr="00AC1055">
        <w:rPr>
          <w:rFonts w:cs="Times New Roman"/>
          <w:szCs w:val="24"/>
        </w:rPr>
        <w:t xml:space="preserve">As explained in the </w:t>
      </w:r>
      <w:r>
        <w:rPr>
          <w:rFonts w:cs="Times New Roman"/>
          <w:szCs w:val="24"/>
        </w:rPr>
        <w:t>preceding</w:t>
      </w:r>
      <w:r w:rsidRPr="00AC1055">
        <w:rPr>
          <w:rFonts w:cs="Times New Roman"/>
          <w:szCs w:val="24"/>
        </w:rPr>
        <w:t xml:space="preserve"> chapter</w:t>
      </w:r>
      <w:r>
        <w:rPr>
          <w:rFonts w:cs="Times New Roman"/>
          <w:szCs w:val="24"/>
        </w:rPr>
        <w:t>,</w:t>
      </w:r>
      <w:r w:rsidRPr="00AC1055">
        <w:rPr>
          <w:rFonts w:cs="Times New Roman"/>
          <w:szCs w:val="24"/>
        </w:rPr>
        <w:t xml:space="preserve"> there are several financial variables which are used as control and dependent variables. The majority of these data were sourc</w:t>
      </w:r>
      <w:r>
        <w:rPr>
          <w:rFonts w:cs="Times New Roman"/>
          <w:szCs w:val="24"/>
        </w:rPr>
        <w:t>ed from WB WDI databases. The trademark and patent</w:t>
      </w:r>
      <w:r w:rsidRPr="00AC1055">
        <w:rPr>
          <w:rFonts w:cs="Times New Roman"/>
          <w:szCs w:val="24"/>
        </w:rPr>
        <w:t xml:space="preserve"> data was sourced from USPTO. Unlike corporate governance data which does not have any missing data, the financial data has quite a large </w:t>
      </w:r>
      <w:r>
        <w:rPr>
          <w:rFonts w:cs="Times New Roman"/>
          <w:szCs w:val="24"/>
        </w:rPr>
        <w:t>amount</w:t>
      </w:r>
      <w:r w:rsidRPr="00AC1055">
        <w:rPr>
          <w:rFonts w:cs="Times New Roman"/>
          <w:szCs w:val="24"/>
        </w:rPr>
        <w:t xml:space="preserve"> of missing data. Some of the stock exchanges provide</w:t>
      </w:r>
      <w:r>
        <w:rPr>
          <w:rFonts w:cs="Times New Roman"/>
          <w:szCs w:val="24"/>
        </w:rPr>
        <w:t>d</w:t>
      </w:r>
      <w:r w:rsidRPr="00AC1055">
        <w:rPr>
          <w:rFonts w:cs="Times New Roman"/>
          <w:szCs w:val="24"/>
        </w:rPr>
        <w:t xml:space="preserve"> IPO data but as the majority did not provide data </w:t>
      </w:r>
      <w:r>
        <w:rPr>
          <w:rFonts w:cs="Times New Roman"/>
          <w:szCs w:val="24"/>
        </w:rPr>
        <w:t>and high correlation with number of listed companies (which was another dependent variable) it was necessary</w:t>
      </w:r>
      <w:r w:rsidRPr="00AC1055">
        <w:rPr>
          <w:rFonts w:cs="Times New Roman"/>
          <w:szCs w:val="24"/>
        </w:rPr>
        <w:t xml:space="preserve"> to drop it from the main statistical inferences.</w:t>
      </w:r>
      <w:r w:rsidRPr="00AC1055">
        <w:rPr>
          <w:rFonts w:cs="Times New Roman"/>
          <w:szCs w:val="24"/>
          <w:vertAlign w:val="superscript"/>
        </w:rPr>
        <w:footnoteReference w:id="159"/>
      </w:r>
    </w:p>
    <w:p w14:paraId="71E40E95" w14:textId="77777777" w:rsidR="000A5358" w:rsidRPr="00A07A47" w:rsidRDefault="000A5358" w:rsidP="000A5358">
      <w:pPr>
        <w:spacing w:line="480" w:lineRule="auto"/>
        <w:rPr>
          <w:rFonts w:cs="Times New Roman"/>
          <w:b/>
          <w:szCs w:val="24"/>
          <w:u w:val="single"/>
        </w:rPr>
      </w:pPr>
      <w:r w:rsidRPr="0082152B">
        <w:rPr>
          <w:rFonts w:cs="Times New Roman"/>
          <w:b/>
          <w:sz w:val="26"/>
          <w:szCs w:val="24"/>
          <w:u w:val="single"/>
        </w:rPr>
        <w:lastRenderedPageBreak/>
        <w:t>3.2</w:t>
      </w:r>
      <w:r>
        <w:rPr>
          <w:rFonts w:cs="Times New Roman"/>
          <w:b/>
          <w:szCs w:val="24"/>
          <w:u w:val="single"/>
        </w:rPr>
        <w:t xml:space="preserve"> </w:t>
      </w:r>
      <w:r w:rsidRPr="0082152B">
        <w:rPr>
          <w:rFonts w:cs="Times New Roman"/>
          <w:b/>
          <w:sz w:val="26"/>
          <w:szCs w:val="24"/>
          <w:u w:val="single"/>
        </w:rPr>
        <w:t xml:space="preserve">Construction of </w:t>
      </w:r>
      <w:r>
        <w:rPr>
          <w:rFonts w:cs="Times New Roman"/>
          <w:b/>
          <w:sz w:val="26"/>
          <w:szCs w:val="24"/>
          <w:u w:val="single"/>
        </w:rPr>
        <w:t xml:space="preserve">a </w:t>
      </w:r>
      <w:r w:rsidRPr="0082152B">
        <w:rPr>
          <w:rFonts w:cs="Times New Roman"/>
          <w:b/>
          <w:sz w:val="26"/>
          <w:szCs w:val="24"/>
          <w:u w:val="single"/>
        </w:rPr>
        <w:t>dynamic corporate governance index using item response theory (IRT)</w:t>
      </w:r>
    </w:p>
    <w:p w14:paraId="5510628A" w14:textId="77777777" w:rsidR="000A5358" w:rsidRPr="00AC1055" w:rsidRDefault="000A5358" w:rsidP="000A5358">
      <w:pPr>
        <w:spacing w:line="480" w:lineRule="auto"/>
        <w:rPr>
          <w:rFonts w:cs="Times New Roman"/>
          <w:szCs w:val="24"/>
        </w:rPr>
      </w:pPr>
      <w:r w:rsidRPr="00AC1055">
        <w:rPr>
          <w:rFonts w:cs="Times New Roman"/>
          <w:szCs w:val="24"/>
        </w:rPr>
        <w:t xml:space="preserve">The questionnaire on quantifying the shareholder primacy traits of </w:t>
      </w:r>
      <w:r>
        <w:rPr>
          <w:rFonts w:cs="Times New Roman"/>
          <w:szCs w:val="24"/>
        </w:rPr>
        <w:t xml:space="preserve">the </w:t>
      </w:r>
      <w:r w:rsidRPr="00AC1055">
        <w:rPr>
          <w:rFonts w:cs="Times New Roman"/>
          <w:szCs w:val="24"/>
        </w:rPr>
        <w:t>corporate governance of developing countries gives us around fifty polytomous response categories. Traditional approaches followed by most quantitative scholars use the classical test theory where the responses are usually averaged or summed up. However</w:t>
      </w:r>
      <w:r>
        <w:rPr>
          <w:rFonts w:cs="Times New Roman"/>
          <w:szCs w:val="24"/>
        </w:rPr>
        <w:t>,</w:t>
      </w:r>
      <w:r w:rsidRPr="00AC1055">
        <w:rPr>
          <w:rFonts w:cs="Times New Roman"/>
          <w:szCs w:val="24"/>
        </w:rPr>
        <w:t xml:space="preserve"> due to the inherent </w:t>
      </w:r>
      <w:proofErr w:type="spellStart"/>
      <w:r w:rsidRPr="00AC1055">
        <w:rPr>
          <w:rFonts w:cs="Times New Roman"/>
          <w:szCs w:val="24"/>
        </w:rPr>
        <w:t>multiscalarity</w:t>
      </w:r>
      <w:proofErr w:type="spellEnd"/>
      <w:r w:rsidRPr="00AC1055">
        <w:rPr>
          <w:rFonts w:cs="Times New Roman"/>
          <w:szCs w:val="24"/>
        </w:rPr>
        <w:t xml:space="preserve"> of the variables this may mislead researchers. For example</w:t>
      </w:r>
      <w:r>
        <w:rPr>
          <w:rFonts w:cs="Times New Roman"/>
          <w:szCs w:val="24"/>
        </w:rPr>
        <w:t>,</w:t>
      </w:r>
      <w:r w:rsidRPr="00AC1055">
        <w:rPr>
          <w:rFonts w:cs="Times New Roman"/>
          <w:szCs w:val="24"/>
        </w:rPr>
        <w:t xml:space="preserve"> </w:t>
      </w:r>
      <w:r>
        <w:rPr>
          <w:rFonts w:cs="Times New Roman"/>
          <w:szCs w:val="24"/>
        </w:rPr>
        <w:t>the</w:t>
      </w:r>
      <w:r w:rsidRPr="00AC1055">
        <w:rPr>
          <w:rFonts w:cs="Times New Roman"/>
          <w:szCs w:val="24"/>
        </w:rPr>
        <w:t xml:space="preserve"> questionnaire for each country </w:t>
      </w:r>
      <w:r>
        <w:rPr>
          <w:rFonts w:cs="Times New Roman"/>
          <w:szCs w:val="24"/>
        </w:rPr>
        <w:t>checks</w:t>
      </w:r>
      <w:r w:rsidRPr="00AC1055">
        <w:rPr>
          <w:rFonts w:cs="Times New Roman"/>
          <w:szCs w:val="24"/>
        </w:rPr>
        <w:t xml:space="preserve"> if it follows financial reporting based on International Financial Reporting Standards (IFRS) and International Standards on Auditing (ISA) and if such reporting is compulsory or optional</w:t>
      </w:r>
      <w:r>
        <w:rPr>
          <w:rFonts w:cs="Times New Roman"/>
          <w:szCs w:val="24"/>
        </w:rPr>
        <w:t>,</w:t>
      </w:r>
      <w:r w:rsidRPr="00AC1055">
        <w:rPr>
          <w:rFonts w:cs="Times New Roman"/>
          <w:szCs w:val="24"/>
        </w:rPr>
        <w:t xml:space="preserve"> then the response is marked as two or one or zero, while if external auditors are changed after 1-5 years and some cooling off period is envisaged and depending on the level of enforcement it is also marked as two or one or zero. If classical test theory</w:t>
      </w:r>
      <w:r>
        <w:rPr>
          <w:rFonts w:cs="Times New Roman"/>
          <w:szCs w:val="24"/>
        </w:rPr>
        <w:t xml:space="preserve"> was followed</w:t>
      </w:r>
      <w:r w:rsidRPr="00AC1055">
        <w:rPr>
          <w:rFonts w:cs="Times New Roman"/>
          <w:szCs w:val="24"/>
        </w:rPr>
        <w:t xml:space="preserve"> </w:t>
      </w:r>
      <w:r>
        <w:rPr>
          <w:rFonts w:cs="Times New Roman"/>
          <w:szCs w:val="24"/>
        </w:rPr>
        <w:t>it would have been necessary to add</w:t>
      </w:r>
      <w:r w:rsidRPr="00AC1055">
        <w:rPr>
          <w:rFonts w:cs="Times New Roman"/>
          <w:szCs w:val="24"/>
        </w:rPr>
        <w:t xml:space="preserve"> the responses to both the variables and </w:t>
      </w:r>
      <w:r>
        <w:rPr>
          <w:rFonts w:cs="Times New Roman"/>
          <w:szCs w:val="24"/>
        </w:rPr>
        <w:t xml:space="preserve">to </w:t>
      </w:r>
      <w:r w:rsidRPr="00AC1055">
        <w:rPr>
          <w:rFonts w:cs="Times New Roman"/>
          <w:szCs w:val="24"/>
        </w:rPr>
        <w:t xml:space="preserve">prepare the index, but this would mean that compulsorily following the IFRS and the ISA standard and the change of external auditors are given same or equal significance in the index. From experience </w:t>
      </w:r>
      <w:r>
        <w:rPr>
          <w:rFonts w:cs="Times New Roman"/>
          <w:szCs w:val="24"/>
        </w:rPr>
        <w:t>it is known</w:t>
      </w:r>
      <w:r w:rsidRPr="00AC1055">
        <w:rPr>
          <w:rFonts w:cs="Times New Roman"/>
          <w:szCs w:val="24"/>
        </w:rPr>
        <w:t xml:space="preserve"> that each variable has different discriminating power</w:t>
      </w:r>
      <w:r>
        <w:rPr>
          <w:rFonts w:cs="Times New Roman"/>
          <w:szCs w:val="24"/>
        </w:rPr>
        <w:t>s</w:t>
      </w:r>
      <w:r w:rsidRPr="00AC1055">
        <w:rPr>
          <w:rFonts w:cs="Times New Roman"/>
          <w:szCs w:val="24"/>
        </w:rPr>
        <w:t xml:space="preserve"> and it would be difficult to quantify the importance of each variable by itself. Hence</w:t>
      </w:r>
      <w:r>
        <w:rPr>
          <w:rFonts w:cs="Times New Roman"/>
          <w:szCs w:val="24"/>
        </w:rPr>
        <w:t>,</w:t>
      </w:r>
      <w:r w:rsidRPr="00AC1055">
        <w:rPr>
          <w:rFonts w:cs="Times New Roman"/>
          <w:szCs w:val="24"/>
        </w:rPr>
        <w:t xml:space="preserve"> any such parameter bias arising out of classical test theory would only enlarge with the increase in the number of variables and lead to </w:t>
      </w:r>
      <w:r>
        <w:rPr>
          <w:rFonts w:cs="Times New Roman"/>
          <w:szCs w:val="24"/>
        </w:rPr>
        <w:t xml:space="preserve">an </w:t>
      </w:r>
      <w:r w:rsidRPr="00AC1055">
        <w:rPr>
          <w:rFonts w:cs="Times New Roman"/>
          <w:szCs w:val="24"/>
        </w:rPr>
        <w:t>erroneous conclusion. Item Response Theory (IRT) on the other hand refers to a mathematical model to describe in probabilistic term</w:t>
      </w:r>
      <w:r>
        <w:rPr>
          <w:rFonts w:cs="Times New Roman"/>
          <w:szCs w:val="24"/>
        </w:rPr>
        <w:t>s</w:t>
      </w:r>
      <w:r w:rsidRPr="00AC1055">
        <w:rPr>
          <w:rFonts w:cs="Times New Roman"/>
          <w:szCs w:val="24"/>
        </w:rPr>
        <w:t xml:space="preserve"> the relationship between the responses to the survey variables and the latent variable being measured by the scale or index. IRT thus does away with </w:t>
      </w:r>
      <w:r>
        <w:rPr>
          <w:rFonts w:cs="Times New Roman"/>
          <w:szCs w:val="24"/>
        </w:rPr>
        <w:t xml:space="preserve">the </w:t>
      </w:r>
      <w:r w:rsidRPr="00AC1055">
        <w:rPr>
          <w:rFonts w:cs="Times New Roman"/>
          <w:szCs w:val="24"/>
        </w:rPr>
        <w:t xml:space="preserve">arbitrary imposition of equal values to each </w:t>
      </w:r>
      <w:r w:rsidRPr="00AC1055">
        <w:rPr>
          <w:rFonts w:cs="Times New Roman"/>
          <w:szCs w:val="24"/>
        </w:rPr>
        <w:lastRenderedPageBreak/>
        <w:t>variable and builds a more inclusive and robust quantitative index using a local and class dependence distribution.</w:t>
      </w:r>
    </w:p>
    <w:p w14:paraId="70A11E13" w14:textId="77777777" w:rsidR="000A5358" w:rsidRPr="00AC1055" w:rsidRDefault="000A5358" w:rsidP="000A5358">
      <w:pPr>
        <w:spacing w:line="480" w:lineRule="auto"/>
        <w:rPr>
          <w:rFonts w:cs="Times New Roman"/>
          <w:szCs w:val="24"/>
        </w:rPr>
      </w:pPr>
      <w:r w:rsidRPr="00AC1055">
        <w:rPr>
          <w:rFonts w:cs="Times New Roman"/>
          <w:szCs w:val="24"/>
        </w:rPr>
        <w:t xml:space="preserve">IRT owes its early development to the evolving need of </w:t>
      </w:r>
      <w:proofErr w:type="spellStart"/>
      <w:r w:rsidRPr="00AC1055">
        <w:rPr>
          <w:rFonts w:cs="Times New Roman"/>
          <w:szCs w:val="24"/>
        </w:rPr>
        <w:t>psychometrians</w:t>
      </w:r>
      <w:proofErr w:type="spellEnd"/>
      <w:r w:rsidRPr="00AC1055">
        <w:rPr>
          <w:rFonts w:cs="Times New Roman"/>
          <w:szCs w:val="24"/>
        </w:rPr>
        <w:t xml:space="preserve"> for a more robust index to test children’s mental development on an age graded scale.</w:t>
      </w:r>
      <w:r w:rsidRPr="00AC1055">
        <w:rPr>
          <w:rFonts w:cs="Times New Roman"/>
          <w:szCs w:val="24"/>
          <w:vertAlign w:val="superscript"/>
        </w:rPr>
        <w:footnoteReference w:id="160"/>
      </w:r>
      <w:r w:rsidRPr="00AC1055">
        <w:rPr>
          <w:rFonts w:cs="Times New Roman"/>
          <w:szCs w:val="24"/>
        </w:rPr>
        <w:t xml:space="preserve"> In 1905 psychologist Alfred </w:t>
      </w:r>
      <w:proofErr w:type="spellStart"/>
      <w:r w:rsidRPr="00AC1055">
        <w:rPr>
          <w:rFonts w:cs="Times New Roman"/>
          <w:szCs w:val="24"/>
        </w:rPr>
        <w:t>Binet</w:t>
      </w:r>
      <w:proofErr w:type="spellEnd"/>
      <w:r w:rsidRPr="00AC1055">
        <w:rPr>
          <w:rFonts w:cs="Times New Roman"/>
          <w:szCs w:val="24"/>
        </w:rPr>
        <w:t xml:space="preserve"> and Theodore Simon published a scale assessing </w:t>
      </w:r>
      <w:r>
        <w:rPr>
          <w:rFonts w:cs="Times New Roman"/>
          <w:szCs w:val="24"/>
        </w:rPr>
        <w:t xml:space="preserve">the </w:t>
      </w:r>
      <w:r w:rsidRPr="00AC1055">
        <w:rPr>
          <w:rFonts w:cs="Times New Roman"/>
          <w:szCs w:val="24"/>
        </w:rPr>
        <w:t>attention, memory and verbal skills of students in a French school to study and predict their latent trait</w:t>
      </w:r>
      <w:r>
        <w:rPr>
          <w:rFonts w:cs="Times New Roman"/>
          <w:szCs w:val="24"/>
        </w:rPr>
        <w:t>s</w:t>
      </w:r>
      <w:r w:rsidRPr="00AC1055">
        <w:rPr>
          <w:rFonts w:cs="Times New Roman"/>
          <w:szCs w:val="24"/>
        </w:rPr>
        <w:t xml:space="preserve"> of intelligence.</w:t>
      </w:r>
      <w:r w:rsidRPr="00AC1055">
        <w:rPr>
          <w:rFonts w:cs="Times New Roman"/>
          <w:szCs w:val="24"/>
          <w:vertAlign w:val="superscript"/>
        </w:rPr>
        <w:footnoteReference w:id="161"/>
      </w:r>
      <w:r w:rsidRPr="00AC1055">
        <w:rPr>
          <w:rFonts w:cs="Times New Roman"/>
          <w:szCs w:val="24"/>
        </w:rPr>
        <w:t xml:space="preserve"> This pioneering study led to widespread research on </w:t>
      </w:r>
      <w:r>
        <w:rPr>
          <w:rFonts w:cs="Times New Roman"/>
          <w:szCs w:val="24"/>
        </w:rPr>
        <w:t xml:space="preserve">the </w:t>
      </w:r>
      <w:r w:rsidRPr="00AC1055">
        <w:rPr>
          <w:rFonts w:cs="Times New Roman"/>
          <w:szCs w:val="24"/>
        </w:rPr>
        <w:t>ability to predict a hidden or latent trait from evaluating directly observable or assessable characteristics. Several similar studies were conducted in other countries and refinements to the scale were proposed.</w:t>
      </w:r>
      <w:r w:rsidRPr="00AC1055">
        <w:rPr>
          <w:rFonts w:cs="Times New Roman"/>
          <w:szCs w:val="24"/>
          <w:vertAlign w:val="superscript"/>
        </w:rPr>
        <w:footnoteReference w:id="162"/>
      </w:r>
      <w:r w:rsidRPr="00AC1055">
        <w:rPr>
          <w:rFonts w:cs="Times New Roman"/>
          <w:szCs w:val="24"/>
        </w:rPr>
        <w:t xml:space="preserve"> While reviewing the aggregate results of </w:t>
      </w:r>
      <w:r>
        <w:rPr>
          <w:rFonts w:cs="Times New Roman"/>
          <w:szCs w:val="24"/>
        </w:rPr>
        <w:t xml:space="preserve">the </w:t>
      </w:r>
      <w:proofErr w:type="spellStart"/>
      <w:r w:rsidRPr="00AC1055">
        <w:rPr>
          <w:rFonts w:cs="Times New Roman"/>
          <w:szCs w:val="24"/>
        </w:rPr>
        <w:t>Binet</w:t>
      </w:r>
      <w:proofErr w:type="spellEnd"/>
      <w:r w:rsidRPr="00AC1055">
        <w:rPr>
          <w:rFonts w:cs="Times New Roman"/>
          <w:szCs w:val="24"/>
        </w:rPr>
        <w:t xml:space="preserve"> scale on British school children, in 1925 American psychologist Louis Leon </w:t>
      </w:r>
      <w:proofErr w:type="spellStart"/>
      <w:r w:rsidRPr="00AC1055">
        <w:rPr>
          <w:rFonts w:cs="Times New Roman"/>
          <w:szCs w:val="24"/>
        </w:rPr>
        <w:t>Thurstone</w:t>
      </w:r>
      <w:proofErr w:type="spellEnd"/>
      <w:r w:rsidRPr="00AC1055">
        <w:rPr>
          <w:rFonts w:cs="Times New Roman"/>
          <w:szCs w:val="24"/>
        </w:rPr>
        <w:t xml:space="preserve"> used a cumulative normal distribution as illustrated in Figure 1. He thus inferred the distribution of proficiency for a standard age.</w:t>
      </w:r>
      <w:r w:rsidRPr="00AC1055">
        <w:rPr>
          <w:rFonts w:cs="Times New Roman"/>
          <w:szCs w:val="24"/>
          <w:vertAlign w:val="superscript"/>
        </w:rPr>
        <w:footnoteReference w:id="163"/>
      </w:r>
      <w:r w:rsidRPr="00AC1055">
        <w:rPr>
          <w:rFonts w:cs="Times New Roman"/>
          <w:szCs w:val="24"/>
        </w:rPr>
        <w:t xml:space="preserve"> This allowed for basic standardisation and provided ‘a basis for administering the items in order of increasing difficulty and determining from the responses the child’s approximate mental age as defined by the </w:t>
      </w:r>
      <w:proofErr w:type="spellStart"/>
      <w:r w:rsidRPr="00AC1055">
        <w:rPr>
          <w:rFonts w:cs="Times New Roman"/>
          <w:szCs w:val="24"/>
        </w:rPr>
        <w:t>Binet</w:t>
      </w:r>
      <w:proofErr w:type="spellEnd"/>
      <w:r w:rsidRPr="00AC1055">
        <w:rPr>
          <w:rFonts w:cs="Times New Roman"/>
          <w:szCs w:val="24"/>
        </w:rPr>
        <w:t>.’</w:t>
      </w:r>
      <w:r w:rsidRPr="00AC1055">
        <w:rPr>
          <w:rFonts w:cs="Times New Roman"/>
          <w:szCs w:val="24"/>
          <w:vertAlign w:val="superscript"/>
        </w:rPr>
        <w:footnoteReference w:id="164"/>
      </w:r>
      <w:r w:rsidRPr="00AC1055">
        <w:rPr>
          <w:rFonts w:cs="Times New Roman"/>
          <w:szCs w:val="24"/>
        </w:rPr>
        <w:t xml:space="preserve"> </w:t>
      </w:r>
    </w:p>
    <w:p w14:paraId="700BA5DA" w14:textId="77777777" w:rsidR="000A5358" w:rsidRPr="00AC1055" w:rsidRDefault="000A5358" w:rsidP="000A5358">
      <w:pPr>
        <w:spacing w:line="480" w:lineRule="auto"/>
        <w:rPr>
          <w:rFonts w:cs="Times New Roman"/>
          <w:szCs w:val="24"/>
        </w:rPr>
      </w:pPr>
      <w:r w:rsidRPr="00AC1055">
        <w:rPr>
          <w:rFonts w:cs="Times New Roman"/>
          <w:sz w:val="18"/>
          <w:szCs w:val="24"/>
        </w:rPr>
        <w:lastRenderedPageBreak/>
        <w:t xml:space="preserve">Figure 1. As illustrated by David </w:t>
      </w:r>
      <w:proofErr w:type="spellStart"/>
      <w:r w:rsidRPr="00AC1055">
        <w:rPr>
          <w:rFonts w:cs="Times New Roman"/>
          <w:sz w:val="18"/>
          <w:szCs w:val="24"/>
        </w:rPr>
        <w:t>Thissen</w:t>
      </w:r>
      <w:proofErr w:type="spellEnd"/>
      <w:r w:rsidRPr="00AC1055">
        <w:rPr>
          <w:rFonts w:cs="Times New Roman"/>
          <w:sz w:val="18"/>
          <w:szCs w:val="24"/>
        </w:rPr>
        <w:t xml:space="preserve"> and Lynne Steinberg.</w:t>
      </w:r>
      <w:r w:rsidRPr="00AC1055">
        <w:rPr>
          <w:rFonts w:cs="Times New Roman"/>
          <w:sz w:val="18"/>
          <w:szCs w:val="24"/>
          <w:vertAlign w:val="superscript"/>
        </w:rPr>
        <w:footnoteReference w:id="165"/>
      </w:r>
      <w:r w:rsidRPr="00AC1055">
        <w:rPr>
          <w:rFonts w:cs="Times New Roman"/>
          <w:sz w:val="18"/>
          <w:szCs w:val="24"/>
        </w:rPr>
        <w:t xml:space="preserve"> </w:t>
      </w:r>
      <w:r w:rsidRPr="00AC1055">
        <w:rPr>
          <w:rFonts w:cs="Times New Roman"/>
          <w:i/>
          <w:sz w:val="18"/>
          <w:szCs w:val="24"/>
        </w:rPr>
        <w:t>Upper panel</w:t>
      </w:r>
      <w:r w:rsidRPr="00AC1055">
        <w:rPr>
          <w:rFonts w:cs="Times New Roman"/>
          <w:sz w:val="18"/>
          <w:szCs w:val="24"/>
        </w:rPr>
        <w:t xml:space="preserve">: Two normal curves representing the distribution of mental age for 7- and 8-year-old children [modelled after </w:t>
      </w:r>
      <w:proofErr w:type="spellStart"/>
      <w:r w:rsidRPr="00AC1055">
        <w:rPr>
          <w:rFonts w:cs="Times New Roman"/>
          <w:sz w:val="18"/>
          <w:szCs w:val="24"/>
        </w:rPr>
        <w:t>Thurstone</w:t>
      </w:r>
      <w:proofErr w:type="spellEnd"/>
      <w:r w:rsidRPr="00AC1055">
        <w:rPr>
          <w:rFonts w:cs="Times New Roman"/>
          <w:sz w:val="18"/>
          <w:szCs w:val="24"/>
        </w:rPr>
        <w:t>]</w:t>
      </w:r>
      <w:r w:rsidRPr="00AC1055">
        <w:rPr>
          <w:rFonts w:cs="Times New Roman"/>
          <w:sz w:val="18"/>
          <w:szCs w:val="24"/>
          <w:vertAlign w:val="superscript"/>
        </w:rPr>
        <w:footnoteReference w:id="166"/>
      </w:r>
      <w:r w:rsidRPr="00AC1055">
        <w:rPr>
          <w:rFonts w:cs="Times New Roman"/>
          <w:sz w:val="18"/>
          <w:szCs w:val="24"/>
        </w:rPr>
        <w:t xml:space="preserve">, with dots on the </w:t>
      </w:r>
      <w:r w:rsidRPr="00AC1055">
        <w:rPr>
          <w:rFonts w:cs="Times New Roman"/>
          <w:i/>
          <w:iCs/>
          <w:sz w:val="18"/>
          <w:szCs w:val="24"/>
        </w:rPr>
        <w:t>x</w:t>
      </w:r>
      <w:r w:rsidRPr="00AC1055">
        <w:rPr>
          <w:rFonts w:cs="Times New Roman"/>
          <w:sz w:val="18"/>
          <w:szCs w:val="24"/>
        </w:rPr>
        <w:t xml:space="preserve">-axis indicating the ‘location’ of seven of the items [in a style similar to that of </w:t>
      </w:r>
      <w:proofErr w:type="spellStart"/>
      <w:r w:rsidRPr="00AC1055">
        <w:rPr>
          <w:rFonts w:cs="Times New Roman"/>
          <w:sz w:val="18"/>
          <w:szCs w:val="24"/>
        </w:rPr>
        <w:t>Thurstone</w:t>
      </w:r>
      <w:proofErr w:type="spellEnd"/>
      <w:r w:rsidRPr="00AC1055">
        <w:rPr>
          <w:rFonts w:cs="Times New Roman"/>
          <w:sz w:val="18"/>
          <w:szCs w:val="24"/>
        </w:rPr>
        <w:t>],</w:t>
      </w:r>
      <w:r w:rsidRPr="00AC1055">
        <w:rPr>
          <w:rFonts w:cs="Times New Roman"/>
          <w:sz w:val="18"/>
          <w:szCs w:val="24"/>
          <w:vertAlign w:val="superscript"/>
        </w:rPr>
        <w:footnoteReference w:id="167"/>
      </w:r>
      <w:r w:rsidRPr="00AC1055">
        <w:rPr>
          <w:rFonts w:cs="Times New Roman"/>
          <w:sz w:val="18"/>
          <w:szCs w:val="24"/>
        </w:rPr>
        <w:t xml:space="preserve"> with the corresponding item numbers in boxes below the axis. </w:t>
      </w:r>
      <w:r w:rsidRPr="00AC1055">
        <w:rPr>
          <w:rFonts w:cs="Times New Roman"/>
          <w:i/>
          <w:sz w:val="18"/>
          <w:szCs w:val="24"/>
        </w:rPr>
        <w:t>Lower panel</w:t>
      </w:r>
      <w:r w:rsidRPr="00AC1055">
        <w:rPr>
          <w:rFonts w:cs="Times New Roman"/>
          <w:sz w:val="18"/>
          <w:szCs w:val="24"/>
        </w:rPr>
        <w:t xml:space="preserve">: The observed percentages correct for eleven of the </w:t>
      </w:r>
      <w:proofErr w:type="spellStart"/>
      <w:r w:rsidRPr="00AC1055">
        <w:rPr>
          <w:rFonts w:cs="Times New Roman"/>
          <w:sz w:val="18"/>
          <w:szCs w:val="24"/>
        </w:rPr>
        <w:t>Binet</w:t>
      </w:r>
      <w:proofErr w:type="spellEnd"/>
      <w:r w:rsidRPr="00AC1055">
        <w:rPr>
          <w:rFonts w:cs="Times New Roman"/>
          <w:sz w:val="18"/>
          <w:szCs w:val="24"/>
        </w:rPr>
        <w:t xml:space="preserve"> items in Burt’s data,</w:t>
      </w:r>
      <w:r w:rsidRPr="00AC1055">
        <w:rPr>
          <w:rFonts w:cs="Times New Roman"/>
          <w:sz w:val="18"/>
          <w:szCs w:val="24"/>
          <w:vertAlign w:val="superscript"/>
        </w:rPr>
        <w:footnoteReference w:id="168"/>
      </w:r>
      <w:r w:rsidRPr="00AC1055">
        <w:rPr>
          <w:rFonts w:cs="Times New Roman"/>
          <w:sz w:val="18"/>
          <w:szCs w:val="24"/>
        </w:rPr>
        <w:t xml:space="preserve"> plotted as a function of age in a graphic modelled after </w:t>
      </w:r>
      <w:proofErr w:type="spellStart"/>
      <w:r w:rsidRPr="00AC1055">
        <w:rPr>
          <w:rFonts w:cs="Times New Roman"/>
          <w:sz w:val="18"/>
          <w:szCs w:val="24"/>
        </w:rPr>
        <w:t>Thurstone</w:t>
      </w:r>
      <w:proofErr w:type="spellEnd"/>
      <w:r w:rsidRPr="00AC1055">
        <w:rPr>
          <w:rFonts w:cs="Times New Roman"/>
          <w:sz w:val="18"/>
          <w:szCs w:val="24"/>
        </w:rPr>
        <w:t>.</w:t>
      </w:r>
      <w:r w:rsidRPr="00AC1055">
        <w:rPr>
          <w:rFonts w:cs="Times New Roman"/>
          <w:sz w:val="18"/>
          <w:szCs w:val="24"/>
          <w:vertAlign w:val="superscript"/>
        </w:rPr>
        <w:footnoteReference w:id="169"/>
      </w:r>
      <w:r w:rsidRPr="00AC1055">
        <w:rPr>
          <w:rFonts w:cs="Times New Roman"/>
          <w:sz w:val="18"/>
          <w:szCs w:val="24"/>
        </w:rPr>
        <w:t xml:space="preserve"> The arrows show the correspondence between the percentage of 7 and 8 year-old children to the right of the location of item 41 and the observed percentage correct.</w:t>
      </w:r>
      <w:r w:rsidRPr="00AC1055">
        <w:rPr>
          <w:rFonts w:cs="Times New Roman"/>
          <w:noProof/>
          <w:szCs w:val="24"/>
          <w:lang w:eastAsia="en-GB"/>
        </w:rPr>
        <w:drawing>
          <wp:anchor distT="0" distB="0" distL="114300" distR="114300" simplePos="0" relativeHeight="251663360" behindDoc="0" locked="0" layoutInCell="1" allowOverlap="1" wp14:anchorId="15AB80CC" wp14:editId="6F78D205">
            <wp:simplePos x="0" y="0"/>
            <wp:positionH relativeFrom="column">
              <wp:posOffset>0</wp:posOffset>
            </wp:positionH>
            <wp:positionV relativeFrom="paragraph">
              <wp:posOffset>3810</wp:posOffset>
            </wp:positionV>
            <wp:extent cx="4057650" cy="4676775"/>
            <wp:effectExtent l="0" t="0" r="0" b="9525"/>
            <wp:wrapSquare wrapText="bothSides"/>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68C11" w14:textId="77777777" w:rsidR="000A5358" w:rsidRPr="00AC1055" w:rsidRDefault="000A5358" w:rsidP="000A5358">
      <w:pPr>
        <w:spacing w:line="480" w:lineRule="auto"/>
        <w:rPr>
          <w:rFonts w:cs="Times New Roman"/>
          <w:szCs w:val="24"/>
        </w:rPr>
      </w:pPr>
    </w:p>
    <w:p w14:paraId="6C9822FE" w14:textId="77777777" w:rsidR="000A5358" w:rsidRPr="00AC1055" w:rsidRDefault="000A5358" w:rsidP="000A5358">
      <w:pPr>
        <w:spacing w:line="480" w:lineRule="auto"/>
        <w:rPr>
          <w:rFonts w:cs="Times New Roman"/>
          <w:szCs w:val="24"/>
        </w:rPr>
      </w:pPr>
      <w:r w:rsidRPr="00AC1055">
        <w:rPr>
          <w:rFonts w:cs="Times New Roman"/>
          <w:szCs w:val="24"/>
        </w:rPr>
        <w:t xml:space="preserve">Although this is rudimentarily similar to modern IRT, yet further work by </w:t>
      </w:r>
      <w:proofErr w:type="spellStart"/>
      <w:r w:rsidRPr="00AC1055">
        <w:rPr>
          <w:rFonts w:cs="Times New Roman"/>
          <w:szCs w:val="24"/>
        </w:rPr>
        <w:t>Thurstone</w:t>
      </w:r>
      <w:proofErr w:type="spellEnd"/>
      <w:r w:rsidRPr="00AC1055">
        <w:rPr>
          <w:rFonts w:cs="Times New Roman"/>
          <w:szCs w:val="24"/>
        </w:rPr>
        <w:t xml:space="preserve"> then was hampered by </w:t>
      </w:r>
      <w:r>
        <w:rPr>
          <w:rFonts w:cs="Times New Roman"/>
          <w:szCs w:val="24"/>
        </w:rPr>
        <w:t xml:space="preserve">the </w:t>
      </w:r>
      <w:r w:rsidRPr="00AC1055">
        <w:rPr>
          <w:rFonts w:cs="Times New Roman"/>
          <w:szCs w:val="24"/>
        </w:rPr>
        <w:t>inadequacy of appropriate statistical tools.</w:t>
      </w:r>
      <w:r w:rsidRPr="00AC1055">
        <w:rPr>
          <w:rFonts w:cs="Times New Roman"/>
          <w:szCs w:val="24"/>
          <w:vertAlign w:val="superscript"/>
        </w:rPr>
        <w:footnoteReference w:id="170"/>
      </w:r>
      <w:r w:rsidRPr="00AC1055">
        <w:rPr>
          <w:rFonts w:cs="Times New Roman"/>
          <w:szCs w:val="24"/>
        </w:rPr>
        <w:t xml:space="preserve"> However</w:t>
      </w:r>
      <w:r>
        <w:rPr>
          <w:rFonts w:cs="Times New Roman"/>
          <w:szCs w:val="24"/>
        </w:rPr>
        <w:t>,</w:t>
      </w:r>
      <w:r w:rsidRPr="00AC1055">
        <w:rPr>
          <w:rFonts w:cs="Times New Roman"/>
          <w:szCs w:val="24"/>
        </w:rPr>
        <w:t xml:space="preserve"> with the introduction of </w:t>
      </w:r>
      <w:r>
        <w:rPr>
          <w:rFonts w:cs="Times New Roman"/>
          <w:szCs w:val="24"/>
        </w:rPr>
        <w:t xml:space="preserve">a </w:t>
      </w:r>
      <w:r w:rsidRPr="00AC1055">
        <w:rPr>
          <w:rFonts w:cs="Times New Roman"/>
          <w:szCs w:val="24"/>
        </w:rPr>
        <w:t xml:space="preserve">maximum likelihood estimator and </w:t>
      </w:r>
      <w:r>
        <w:rPr>
          <w:rFonts w:cs="Times New Roman"/>
          <w:szCs w:val="24"/>
        </w:rPr>
        <w:t xml:space="preserve">a </w:t>
      </w:r>
      <w:r w:rsidRPr="00AC1055">
        <w:rPr>
          <w:rFonts w:cs="Times New Roman"/>
          <w:szCs w:val="24"/>
        </w:rPr>
        <w:t xml:space="preserve">logistic item response </w:t>
      </w:r>
      <w:r w:rsidRPr="00AC1055">
        <w:rPr>
          <w:rFonts w:cs="Times New Roman"/>
          <w:szCs w:val="24"/>
        </w:rPr>
        <w:lastRenderedPageBreak/>
        <w:t>function by Ronald Fisher,</w:t>
      </w:r>
      <w:r w:rsidRPr="00AC1055">
        <w:rPr>
          <w:rFonts w:cs="Times New Roman"/>
          <w:szCs w:val="24"/>
          <w:vertAlign w:val="superscript"/>
        </w:rPr>
        <w:footnoteReference w:id="171"/>
      </w:r>
      <w:r w:rsidRPr="00AC1055">
        <w:rPr>
          <w:rFonts w:cs="Times New Roman"/>
          <w:szCs w:val="24"/>
        </w:rPr>
        <w:t xml:space="preserve"> a series of research papers in the field of psychometric testing gave gradual shape </w:t>
      </w:r>
      <w:r>
        <w:rPr>
          <w:rFonts w:cs="Times New Roman"/>
          <w:szCs w:val="24"/>
        </w:rPr>
        <w:t>for</w:t>
      </w:r>
      <w:r w:rsidRPr="00AC1055">
        <w:rPr>
          <w:rFonts w:cs="Times New Roman"/>
          <w:szCs w:val="24"/>
        </w:rPr>
        <w:t xml:space="preserve"> IRT to move beyond normal distribution estimation.</w:t>
      </w:r>
      <w:r w:rsidRPr="00AC1055">
        <w:rPr>
          <w:rFonts w:cs="Times New Roman"/>
          <w:szCs w:val="24"/>
          <w:vertAlign w:val="superscript"/>
        </w:rPr>
        <w:footnoteReference w:id="172"/>
      </w:r>
      <w:r w:rsidRPr="00AC1055">
        <w:rPr>
          <w:rFonts w:cs="Times New Roman"/>
          <w:szCs w:val="24"/>
        </w:rPr>
        <w:t xml:space="preserve"> </w:t>
      </w:r>
    </w:p>
    <w:p w14:paraId="23835AAB" w14:textId="77777777" w:rsidR="000A5358" w:rsidRPr="00AC1055" w:rsidRDefault="000A5358" w:rsidP="000A5358">
      <w:pPr>
        <w:spacing w:line="480" w:lineRule="auto"/>
        <w:rPr>
          <w:rFonts w:cs="Times New Roman"/>
          <w:szCs w:val="24"/>
        </w:rPr>
      </w:pPr>
      <w:r w:rsidRPr="00AC1055">
        <w:rPr>
          <w:rFonts w:cs="Times New Roman"/>
          <w:szCs w:val="24"/>
        </w:rPr>
        <w:t xml:space="preserve">Under the IRT measurement philosophy, we can only measure the expression of the property sought to be measured. Thus we can only estimate the corporate governance of a country based on the presence or absence and levels of implementation of certain observable corporate governance parameters. Let us assume that the corporate governance of a country (t) is </w:t>
      </w:r>
      <w:proofErr w:type="spellStart"/>
      <w:r w:rsidRPr="00AC1055">
        <w:rPr>
          <w:rFonts w:cs="Times New Roman"/>
          <w:szCs w:val="24"/>
        </w:rPr>
        <w:t>θ</w:t>
      </w:r>
      <w:r w:rsidRPr="00AC1055">
        <w:rPr>
          <w:rFonts w:cs="Times New Roman"/>
          <w:szCs w:val="24"/>
          <w:vertAlign w:val="subscript"/>
        </w:rPr>
        <w:t>t</w:t>
      </w:r>
      <w:proofErr w:type="spellEnd"/>
      <w:r w:rsidRPr="00AC1055">
        <w:rPr>
          <w:rFonts w:cs="Times New Roman"/>
          <w:szCs w:val="24"/>
        </w:rPr>
        <w:t xml:space="preserve">. </w:t>
      </w:r>
      <w:r>
        <w:rPr>
          <w:rFonts w:cs="Times New Roman"/>
          <w:szCs w:val="24"/>
        </w:rPr>
        <w:t>In attempting to</w:t>
      </w:r>
      <w:r w:rsidRPr="00AC1055">
        <w:rPr>
          <w:rFonts w:cs="Times New Roman"/>
          <w:szCs w:val="24"/>
        </w:rPr>
        <w:t xml:space="preserve"> estimate the unknown value of </w:t>
      </w:r>
      <w:proofErr w:type="spellStart"/>
      <w:r w:rsidRPr="00AC1055">
        <w:rPr>
          <w:rFonts w:cs="Times New Roman"/>
          <w:szCs w:val="24"/>
        </w:rPr>
        <w:t>θ</w:t>
      </w:r>
      <w:r w:rsidRPr="00AC1055">
        <w:rPr>
          <w:rFonts w:cs="Times New Roman"/>
          <w:szCs w:val="24"/>
          <w:vertAlign w:val="subscript"/>
        </w:rPr>
        <w:t>t</w:t>
      </w:r>
      <w:proofErr w:type="spellEnd"/>
      <w:r w:rsidRPr="00AC1055">
        <w:rPr>
          <w:rFonts w:cs="Times New Roman"/>
          <w:szCs w:val="24"/>
        </w:rPr>
        <w:t xml:space="preserve">, in </w:t>
      </w:r>
      <w:r>
        <w:rPr>
          <w:rFonts w:cs="Times New Roman"/>
          <w:szCs w:val="24"/>
        </w:rPr>
        <w:t>this</w:t>
      </w:r>
      <w:r w:rsidRPr="00AC1055">
        <w:rPr>
          <w:rFonts w:cs="Times New Roman"/>
          <w:szCs w:val="24"/>
        </w:rPr>
        <w:t xml:space="preserve"> scale we </w:t>
      </w:r>
      <w:r>
        <w:rPr>
          <w:rFonts w:cs="Times New Roman"/>
          <w:szCs w:val="24"/>
        </w:rPr>
        <w:t>assume</w:t>
      </w:r>
      <w:r w:rsidRPr="00AC1055">
        <w:rPr>
          <w:rFonts w:cs="Times New Roman"/>
          <w:szCs w:val="24"/>
        </w:rPr>
        <w:t xml:space="preserve"> that </w:t>
      </w:r>
      <w:r>
        <w:rPr>
          <w:rFonts w:cs="Times New Roman"/>
          <w:szCs w:val="24"/>
        </w:rPr>
        <w:t xml:space="preserve">the </w:t>
      </w:r>
      <w:r w:rsidRPr="00AC1055">
        <w:rPr>
          <w:rFonts w:cs="Times New Roman"/>
          <w:szCs w:val="24"/>
        </w:rPr>
        <w:t xml:space="preserve">higher the shareholder primacy leaning of </w:t>
      </w:r>
      <w:r>
        <w:rPr>
          <w:rFonts w:cs="Times New Roman"/>
          <w:szCs w:val="24"/>
        </w:rPr>
        <w:t xml:space="preserve">a </w:t>
      </w:r>
      <w:r w:rsidRPr="00AC1055">
        <w:rPr>
          <w:rFonts w:cs="Times New Roman"/>
          <w:szCs w:val="24"/>
        </w:rPr>
        <w:t>country</w:t>
      </w:r>
      <w:r>
        <w:rPr>
          <w:rFonts w:cs="Times New Roman"/>
          <w:szCs w:val="24"/>
        </w:rPr>
        <w:t>,</w:t>
      </w:r>
      <w:r w:rsidRPr="00AC1055">
        <w:rPr>
          <w:rFonts w:cs="Times New Roman"/>
          <w:szCs w:val="24"/>
        </w:rPr>
        <w:t xml:space="preserve"> </w:t>
      </w:r>
      <w:r>
        <w:rPr>
          <w:rFonts w:cs="Times New Roman"/>
          <w:szCs w:val="24"/>
        </w:rPr>
        <w:t xml:space="preserve">the </w:t>
      </w:r>
      <w:r w:rsidRPr="00AC1055">
        <w:rPr>
          <w:rFonts w:cs="Times New Roman"/>
          <w:szCs w:val="24"/>
        </w:rPr>
        <w:t xml:space="preserve">higher the value of </w:t>
      </w:r>
      <w:proofErr w:type="spellStart"/>
      <w:r w:rsidRPr="00AC1055">
        <w:rPr>
          <w:rFonts w:cs="Times New Roman"/>
          <w:szCs w:val="24"/>
        </w:rPr>
        <w:t>θ</w:t>
      </w:r>
      <w:r w:rsidRPr="00AC1055">
        <w:rPr>
          <w:rFonts w:cs="Times New Roman"/>
          <w:szCs w:val="24"/>
          <w:vertAlign w:val="subscript"/>
        </w:rPr>
        <w:t>t</w:t>
      </w:r>
      <w:proofErr w:type="spellEnd"/>
      <w:r w:rsidRPr="00CA689A">
        <w:rPr>
          <w:rFonts w:cs="Times New Roman"/>
          <w:szCs w:val="24"/>
          <w:vertAlign w:val="subscript"/>
        </w:rPr>
        <w:t>,</w:t>
      </w:r>
      <w:r w:rsidRPr="00AC1055">
        <w:rPr>
          <w:rFonts w:cs="Times New Roman"/>
          <w:szCs w:val="24"/>
        </w:rPr>
        <w:t xml:space="preserve"> and hence deduce that </w:t>
      </w:r>
      <w:r>
        <w:rPr>
          <w:rFonts w:cs="Times New Roman"/>
          <w:szCs w:val="24"/>
        </w:rPr>
        <w:t xml:space="preserve">also the </w:t>
      </w:r>
      <w:r w:rsidRPr="00AC1055">
        <w:rPr>
          <w:rFonts w:cs="Times New Roman"/>
          <w:szCs w:val="24"/>
        </w:rPr>
        <w:t>higher its influences</w:t>
      </w:r>
      <w:r>
        <w:rPr>
          <w:rFonts w:cs="Times New Roman"/>
          <w:szCs w:val="24"/>
        </w:rPr>
        <w:t xml:space="preserve"> are</w:t>
      </w:r>
      <w:r w:rsidRPr="00AC1055">
        <w:rPr>
          <w:rFonts w:cs="Times New Roman"/>
          <w:szCs w:val="24"/>
        </w:rPr>
        <w:t xml:space="preserve"> over other observable parameters to make them </w:t>
      </w:r>
      <w:r>
        <w:rPr>
          <w:rFonts w:cs="Times New Roman"/>
          <w:szCs w:val="24"/>
        </w:rPr>
        <w:t xml:space="preserve">more </w:t>
      </w:r>
      <w:r w:rsidRPr="00AC1055">
        <w:rPr>
          <w:rFonts w:cs="Times New Roman"/>
          <w:szCs w:val="24"/>
        </w:rPr>
        <w:t>pro</w:t>
      </w:r>
      <w:r>
        <w:rPr>
          <w:rFonts w:cs="Times New Roman"/>
          <w:szCs w:val="24"/>
        </w:rPr>
        <w:t>-</w:t>
      </w:r>
      <w:r w:rsidRPr="00AC1055">
        <w:rPr>
          <w:rFonts w:cs="Times New Roman"/>
          <w:szCs w:val="24"/>
        </w:rPr>
        <w:t xml:space="preserve">shareholder. </w:t>
      </w:r>
      <w:r>
        <w:rPr>
          <w:rFonts w:cs="Times New Roman"/>
          <w:szCs w:val="24"/>
        </w:rPr>
        <w:t>For example, if there are</w:t>
      </w:r>
      <w:r w:rsidRPr="00AC1055">
        <w:rPr>
          <w:rFonts w:cs="Times New Roman"/>
          <w:szCs w:val="24"/>
        </w:rPr>
        <w:t xml:space="preserve"> two observable parameters</w:t>
      </w:r>
      <w:r>
        <w:rPr>
          <w:rFonts w:cs="Times New Roman"/>
          <w:szCs w:val="24"/>
        </w:rPr>
        <w:t>;</w:t>
      </w:r>
      <w:r w:rsidRPr="00AC1055">
        <w:rPr>
          <w:rFonts w:cs="Times New Roman"/>
          <w:szCs w:val="24"/>
        </w:rPr>
        <w:t xml:space="preserve"> whether shareholders have a right to decide on executive compensation and if stakeholders other than shareholders find remedies within company law. If a country has more shareholder primacy corporate governance leanings then it should have regulations which would give shareholders veto power over executive remuneration and should keep stakeholders out of company law. On the other hand if a country has weak shareholder primacy corporate governance then intuitively we expect to find that this particular country would not have regulations which favour giving shareholders the power to decide how much managers should be paid and in </w:t>
      </w:r>
      <w:r>
        <w:rPr>
          <w:rFonts w:cs="Times New Roman"/>
          <w:szCs w:val="24"/>
        </w:rPr>
        <w:t xml:space="preserve">the </w:t>
      </w:r>
      <w:r w:rsidRPr="00AC1055">
        <w:rPr>
          <w:rFonts w:cs="Times New Roman"/>
          <w:szCs w:val="24"/>
        </w:rPr>
        <w:t xml:space="preserve">case of </w:t>
      </w:r>
      <w:r>
        <w:rPr>
          <w:rFonts w:cs="Times New Roman"/>
          <w:szCs w:val="24"/>
        </w:rPr>
        <w:t xml:space="preserve">a </w:t>
      </w:r>
      <w:r w:rsidRPr="00AC1055">
        <w:rPr>
          <w:rFonts w:cs="Times New Roman"/>
          <w:szCs w:val="24"/>
        </w:rPr>
        <w:t xml:space="preserve">country with very poor shareholder primacy corporate governance the company law may </w:t>
      </w:r>
      <w:r w:rsidRPr="00AC1055">
        <w:rPr>
          <w:rFonts w:cs="Times New Roman"/>
          <w:szCs w:val="24"/>
        </w:rPr>
        <w:lastRenderedPageBreak/>
        <w:t>specify that stakeholders like employees may be represented within the board and find remedies within the company law</w:t>
      </w:r>
      <w:r>
        <w:rPr>
          <w:rFonts w:cs="Times New Roman"/>
          <w:szCs w:val="24"/>
        </w:rPr>
        <w:t>s</w:t>
      </w:r>
      <w:r w:rsidRPr="00AC1055">
        <w:rPr>
          <w:rFonts w:cs="Times New Roman"/>
          <w:szCs w:val="24"/>
        </w:rPr>
        <w:t>. So far it seems that IRT is just an inverse form of classical test theory, however IRT does add varying difficulty and discriminatory powers to each parameter.</w:t>
      </w:r>
    </w:p>
    <w:p w14:paraId="013A1749" w14:textId="77777777" w:rsidR="000A5358" w:rsidRPr="00AC1055" w:rsidRDefault="000A5358" w:rsidP="000A5358">
      <w:pPr>
        <w:spacing w:line="480" w:lineRule="auto"/>
        <w:rPr>
          <w:rFonts w:cs="Times New Roman"/>
          <w:szCs w:val="24"/>
        </w:rPr>
      </w:pPr>
      <w:r>
        <w:rPr>
          <w:rFonts w:cs="Times New Roman"/>
          <w:szCs w:val="24"/>
        </w:rPr>
        <w:t>Momentarily moving</w:t>
      </w:r>
      <w:r w:rsidRPr="00AC1055">
        <w:rPr>
          <w:rFonts w:cs="Times New Roman"/>
          <w:szCs w:val="24"/>
        </w:rPr>
        <w:t xml:space="preserve"> back to the early works of </w:t>
      </w:r>
      <w:proofErr w:type="spellStart"/>
      <w:r w:rsidRPr="00AC1055">
        <w:rPr>
          <w:rFonts w:cs="Times New Roman"/>
          <w:szCs w:val="24"/>
        </w:rPr>
        <w:t>Thurstone</w:t>
      </w:r>
      <w:proofErr w:type="spellEnd"/>
      <w:r w:rsidRPr="00AC1055">
        <w:rPr>
          <w:rFonts w:cs="Times New Roman"/>
          <w:szCs w:val="24"/>
        </w:rPr>
        <w:t xml:space="preserve">, </w:t>
      </w:r>
      <w:r>
        <w:rPr>
          <w:rFonts w:cs="Times New Roman"/>
          <w:szCs w:val="24"/>
        </w:rPr>
        <w:t xml:space="preserve">it is possible to note </w:t>
      </w:r>
      <w:r w:rsidRPr="00AC1055">
        <w:rPr>
          <w:rFonts w:cs="Times New Roman"/>
          <w:szCs w:val="24"/>
        </w:rPr>
        <w:t>that he inferred that</w:t>
      </w:r>
      <w:r>
        <w:rPr>
          <w:rFonts w:cs="Times New Roman"/>
          <w:szCs w:val="24"/>
        </w:rPr>
        <w:t>,</w:t>
      </w:r>
      <w:r w:rsidRPr="00AC1055">
        <w:rPr>
          <w:rFonts w:cs="Times New Roman"/>
          <w:szCs w:val="24"/>
        </w:rPr>
        <w:t xml:space="preserve"> based on the number of correct responses to the same question given by different age groups</w:t>
      </w:r>
      <w:r>
        <w:rPr>
          <w:rFonts w:cs="Times New Roman"/>
          <w:szCs w:val="24"/>
        </w:rPr>
        <w:t>,</w:t>
      </w:r>
      <w:r w:rsidRPr="00AC1055">
        <w:rPr>
          <w:rFonts w:cs="Times New Roman"/>
          <w:szCs w:val="24"/>
        </w:rPr>
        <w:t xml:space="preserve"> it is possible to deduce the mental ability test scores within a single age group, he called it developmental scaling or vertical linking.</w:t>
      </w:r>
      <w:r w:rsidRPr="00AC1055">
        <w:rPr>
          <w:rFonts w:cs="Times New Roman"/>
          <w:szCs w:val="24"/>
          <w:vertAlign w:val="superscript"/>
        </w:rPr>
        <w:footnoteReference w:id="173"/>
      </w:r>
      <w:r w:rsidRPr="00AC1055">
        <w:rPr>
          <w:rFonts w:cs="Times New Roman"/>
          <w:szCs w:val="24"/>
        </w:rPr>
        <w:t xml:space="preserve"> He found that the ability of students to answer each question correctly when plotted more or less fi</w:t>
      </w:r>
      <w:r>
        <w:rPr>
          <w:rFonts w:cs="Times New Roman"/>
          <w:szCs w:val="24"/>
        </w:rPr>
        <w:t>ts with the normal ogive model.</w:t>
      </w:r>
    </w:p>
    <w:p w14:paraId="2C9BF1BC" w14:textId="77777777" w:rsidR="000A5358" w:rsidRPr="00AC1055" w:rsidRDefault="000A5358" w:rsidP="000A5358">
      <w:pPr>
        <w:spacing w:line="480" w:lineRule="auto"/>
        <w:rPr>
          <w:rFonts w:cs="Times New Roman"/>
          <w:szCs w:val="24"/>
        </w:rPr>
      </w:pPr>
      <w:r w:rsidRPr="00AC1055">
        <w:rPr>
          <w:rFonts w:cs="Times New Roman"/>
          <w:szCs w:val="24"/>
        </w:rPr>
        <w:t>This remained the central idea for around two and half decade</w:t>
      </w:r>
      <w:r>
        <w:rPr>
          <w:rFonts w:cs="Times New Roman"/>
          <w:szCs w:val="24"/>
        </w:rPr>
        <w:t>s</w:t>
      </w:r>
      <w:r w:rsidRPr="00AC1055">
        <w:rPr>
          <w:rFonts w:cs="Times New Roman"/>
          <w:szCs w:val="24"/>
        </w:rPr>
        <w:t>, finally</w:t>
      </w:r>
      <w:r>
        <w:rPr>
          <w:rFonts w:cs="Times New Roman"/>
          <w:szCs w:val="24"/>
        </w:rPr>
        <w:t>,</w:t>
      </w:r>
      <w:r w:rsidRPr="00AC1055">
        <w:rPr>
          <w:rFonts w:cs="Times New Roman"/>
          <w:szCs w:val="24"/>
        </w:rPr>
        <w:t xml:space="preserve"> in 1950 Paul Felix </w:t>
      </w:r>
      <w:proofErr w:type="spellStart"/>
      <w:r w:rsidRPr="00AC1055">
        <w:rPr>
          <w:rFonts w:cs="Times New Roman"/>
          <w:szCs w:val="24"/>
        </w:rPr>
        <w:t>Lazarsfeld</w:t>
      </w:r>
      <w:proofErr w:type="spellEnd"/>
      <w:r w:rsidRPr="00AC1055">
        <w:rPr>
          <w:rFonts w:cs="Times New Roman"/>
          <w:szCs w:val="24"/>
        </w:rPr>
        <w:t xml:space="preserve"> one of the major figures in 20</w:t>
      </w:r>
      <w:r w:rsidRPr="00AC1055">
        <w:rPr>
          <w:rFonts w:cs="Times New Roman"/>
          <w:szCs w:val="24"/>
          <w:vertAlign w:val="superscript"/>
        </w:rPr>
        <w:t>th</w:t>
      </w:r>
      <w:r w:rsidRPr="00AC1055">
        <w:rPr>
          <w:rFonts w:cs="Times New Roman"/>
          <w:szCs w:val="24"/>
        </w:rPr>
        <w:t xml:space="preserve"> century quantitative sociology and the founder of Columbia University’s Bureau of Applied Social Research, posited that ‘all interrelationships between the items should be accounted for by the way in which each item alone is related to the latent continuum.’</w:t>
      </w:r>
      <w:r w:rsidRPr="00AC1055">
        <w:rPr>
          <w:rFonts w:cs="Times New Roman"/>
          <w:szCs w:val="24"/>
          <w:vertAlign w:val="superscript"/>
        </w:rPr>
        <w:footnoteReference w:id="174"/>
      </w:r>
      <w:r w:rsidRPr="00AC1055">
        <w:rPr>
          <w:rFonts w:cs="Times New Roman"/>
          <w:szCs w:val="24"/>
        </w:rPr>
        <w:t xml:space="preserve"> He showed that every item or parameter which manifests the underlying latent trait has its own difficulty and discriminatory power and therefore even with the same latent trait</w:t>
      </w:r>
      <w:r>
        <w:rPr>
          <w:rFonts w:cs="Times New Roman"/>
          <w:szCs w:val="24"/>
        </w:rPr>
        <w:t>,</w:t>
      </w:r>
      <w:r w:rsidRPr="00AC1055">
        <w:rPr>
          <w:rFonts w:cs="Times New Roman"/>
          <w:szCs w:val="24"/>
        </w:rPr>
        <w:t xml:space="preserve"> different parameters would have different expression</w:t>
      </w:r>
      <w:r>
        <w:rPr>
          <w:rFonts w:cs="Times New Roman"/>
          <w:szCs w:val="24"/>
        </w:rPr>
        <w:t>s</w:t>
      </w:r>
      <w:r w:rsidRPr="00AC1055">
        <w:rPr>
          <w:rFonts w:cs="Times New Roman"/>
          <w:szCs w:val="24"/>
        </w:rPr>
        <w:t>. He called it the latent structure analysis and helped to estimate the underlying latent trait based on the expression of the observable parameters using a distribution. This led to the creation of the item characteristics curve, which distinguished the difficulty and discriminat</w:t>
      </w:r>
      <w:r>
        <w:rPr>
          <w:rFonts w:cs="Times New Roman"/>
          <w:szCs w:val="24"/>
        </w:rPr>
        <w:t>ory</w:t>
      </w:r>
      <w:r w:rsidRPr="00AC1055">
        <w:rPr>
          <w:rFonts w:cs="Times New Roman"/>
          <w:szCs w:val="24"/>
        </w:rPr>
        <w:t xml:space="preserve"> powers of </w:t>
      </w:r>
      <w:r w:rsidRPr="00AC1055">
        <w:rPr>
          <w:rFonts w:cs="Times New Roman"/>
          <w:szCs w:val="24"/>
        </w:rPr>
        <w:lastRenderedPageBreak/>
        <w:t xml:space="preserve">the parameters. Baker describes </w:t>
      </w:r>
      <w:r>
        <w:rPr>
          <w:rFonts w:cs="Times New Roman"/>
          <w:szCs w:val="24"/>
        </w:rPr>
        <w:t xml:space="preserve">the </w:t>
      </w:r>
      <w:r w:rsidRPr="00AC1055">
        <w:rPr>
          <w:rFonts w:cs="Times New Roman"/>
          <w:szCs w:val="24"/>
        </w:rPr>
        <w:t>difficulty of the item as the position where ‘the item functions along the ability scale. […] Discrimination, describes how well an item can differentiate between examinees having abilities below the item location and those having abilities above the item location.’</w:t>
      </w:r>
      <w:r w:rsidRPr="00AC1055">
        <w:rPr>
          <w:rFonts w:cs="Times New Roman"/>
          <w:szCs w:val="24"/>
          <w:vertAlign w:val="superscript"/>
        </w:rPr>
        <w:footnoteReference w:id="175"/>
      </w:r>
      <w:r w:rsidRPr="00AC1055">
        <w:rPr>
          <w:rFonts w:cs="Times New Roman"/>
          <w:szCs w:val="24"/>
        </w:rPr>
        <w:t xml:space="preserve">  </w:t>
      </w:r>
    </w:p>
    <w:p w14:paraId="75958533" w14:textId="77777777" w:rsidR="000A5358" w:rsidRPr="00AC1055" w:rsidRDefault="000A5358" w:rsidP="000A5358">
      <w:pPr>
        <w:spacing w:line="480" w:lineRule="auto"/>
        <w:rPr>
          <w:rFonts w:cs="Times New Roman"/>
          <w:szCs w:val="24"/>
        </w:rPr>
      </w:pPr>
      <w:r w:rsidRPr="00AC1055">
        <w:rPr>
          <w:rFonts w:cs="Times New Roman"/>
          <w:szCs w:val="24"/>
        </w:rPr>
        <w:t>To explain, we know intuitively that for example in an exam an easy question would be answered by more students than a difficult question, this is the difficulty parameter.</w:t>
      </w:r>
    </w:p>
    <w:p w14:paraId="0423DAF2" w14:textId="77777777" w:rsidR="000A5358" w:rsidRPr="00AC1055" w:rsidRDefault="000A5358" w:rsidP="000A5358">
      <w:pPr>
        <w:spacing w:line="480" w:lineRule="auto"/>
        <w:rPr>
          <w:rFonts w:cs="Times New Roman"/>
          <w:szCs w:val="24"/>
        </w:rPr>
      </w:pPr>
      <w:r w:rsidRPr="00AC1055">
        <w:rPr>
          <w:rFonts w:cs="Times New Roman"/>
          <w:noProof/>
          <w:szCs w:val="24"/>
          <w:lang w:eastAsia="en-GB"/>
        </w:rPr>
        <w:drawing>
          <wp:inline distT="0" distB="0" distL="0" distR="0" wp14:anchorId="091E07B3" wp14:editId="601A177F">
            <wp:extent cx="4505325" cy="3021042"/>
            <wp:effectExtent l="19050" t="19050" r="9525" b="2730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325" cy="3021042"/>
                    </a:xfrm>
                    <a:prstGeom prst="rect">
                      <a:avLst/>
                    </a:prstGeom>
                    <a:noFill/>
                    <a:ln w="3175">
                      <a:solidFill>
                        <a:sysClr val="window" lastClr="FFFFFF">
                          <a:lumMod val="85000"/>
                        </a:sysClr>
                      </a:solidFill>
                    </a:ln>
                  </pic:spPr>
                </pic:pic>
              </a:graphicData>
            </a:graphic>
          </wp:inline>
        </w:drawing>
      </w:r>
    </w:p>
    <w:p w14:paraId="6E9336E0" w14:textId="77777777" w:rsidR="000A5358" w:rsidRPr="00AC1055" w:rsidRDefault="000A5358" w:rsidP="000A5358">
      <w:pPr>
        <w:spacing w:line="480" w:lineRule="auto"/>
        <w:rPr>
          <w:rFonts w:cs="Times New Roman"/>
          <w:szCs w:val="24"/>
        </w:rPr>
      </w:pPr>
      <w:r>
        <w:rPr>
          <w:rFonts w:cs="Times New Roman"/>
          <w:szCs w:val="24"/>
        </w:rPr>
        <w:t>It can be represented</w:t>
      </w:r>
      <w:r w:rsidRPr="00AC1055">
        <w:rPr>
          <w:rFonts w:cs="Times New Roman"/>
          <w:szCs w:val="24"/>
        </w:rPr>
        <w:t xml:space="preserve"> graphically as above, thus </w:t>
      </w:r>
      <w:proofErr w:type="spellStart"/>
      <w:r w:rsidRPr="00AC1055">
        <w:rPr>
          <w:rFonts w:cs="Times New Roman"/>
          <w:i/>
          <w:szCs w:val="24"/>
        </w:rPr>
        <w:t>pari</w:t>
      </w:r>
      <w:proofErr w:type="spellEnd"/>
      <w:r w:rsidRPr="00AC1055">
        <w:rPr>
          <w:rFonts w:cs="Times New Roman"/>
          <w:i/>
          <w:szCs w:val="24"/>
        </w:rPr>
        <w:t xml:space="preserve"> </w:t>
      </w:r>
      <w:proofErr w:type="spellStart"/>
      <w:r w:rsidRPr="00AC1055">
        <w:rPr>
          <w:rFonts w:cs="Times New Roman"/>
          <w:i/>
          <w:szCs w:val="24"/>
        </w:rPr>
        <w:t>passu</w:t>
      </w:r>
      <w:proofErr w:type="spellEnd"/>
      <w:r w:rsidRPr="00AC1055">
        <w:rPr>
          <w:rFonts w:cs="Times New Roman"/>
          <w:szCs w:val="24"/>
        </w:rPr>
        <w:t xml:space="preserve"> the </w:t>
      </w:r>
      <w:r>
        <w:rPr>
          <w:rFonts w:cs="Times New Roman"/>
          <w:szCs w:val="24"/>
        </w:rPr>
        <w:t>item characteristic</w:t>
      </w:r>
      <w:r w:rsidRPr="00AC1055">
        <w:rPr>
          <w:rFonts w:cs="Times New Roman"/>
          <w:szCs w:val="24"/>
        </w:rPr>
        <w:t xml:space="preserve"> curve of </w:t>
      </w:r>
      <w:r>
        <w:rPr>
          <w:rFonts w:cs="Times New Roman"/>
          <w:szCs w:val="24"/>
        </w:rPr>
        <w:t xml:space="preserve">the </w:t>
      </w:r>
      <w:r w:rsidRPr="00AC1055">
        <w:rPr>
          <w:rFonts w:cs="Times New Roman"/>
          <w:szCs w:val="24"/>
        </w:rPr>
        <w:t xml:space="preserve">easier question would be </w:t>
      </w:r>
      <w:r>
        <w:rPr>
          <w:rFonts w:cs="Times New Roman"/>
          <w:szCs w:val="24"/>
        </w:rPr>
        <w:t xml:space="preserve">to </w:t>
      </w:r>
      <w:r w:rsidRPr="00AC1055">
        <w:rPr>
          <w:rFonts w:cs="Times New Roman"/>
          <w:szCs w:val="24"/>
        </w:rPr>
        <w:t>the left of more difficult questions.</w:t>
      </w:r>
    </w:p>
    <w:p w14:paraId="20AD1BB9" w14:textId="77777777" w:rsidR="000A5358" w:rsidRPr="00AC1055" w:rsidRDefault="000A5358" w:rsidP="000A5358">
      <w:pPr>
        <w:spacing w:line="480" w:lineRule="auto"/>
        <w:rPr>
          <w:rFonts w:cs="Times New Roman"/>
          <w:szCs w:val="24"/>
        </w:rPr>
      </w:pPr>
      <w:r w:rsidRPr="00AC1055">
        <w:rPr>
          <w:rFonts w:cs="Times New Roman"/>
          <w:szCs w:val="24"/>
        </w:rPr>
        <w:t>The second character is the discrimination of parameters, so</w:t>
      </w:r>
      <w:r>
        <w:rPr>
          <w:rFonts w:cs="Times New Roman"/>
          <w:szCs w:val="24"/>
        </w:rPr>
        <w:t xml:space="preserve">, </w:t>
      </w:r>
      <w:r w:rsidRPr="00AC1055">
        <w:rPr>
          <w:rFonts w:cs="Times New Roman"/>
          <w:szCs w:val="24"/>
        </w:rPr>
        <w:t xml:space="preserve">questions which make it easier to distinguish between abilities, it can refer to trick questions which </w:t>
      </w:r>
      <w:r>
        <w:rPr>
          <w:rFonts w:cs="Times New Roman"/>
          <w:szCs w:val="24"/>
        </w:rPr>
        <w:t>are</w:t>
      </w:r>
      <w:r w:rsidRPr="00AC1055">
        <w:rPr>
          <w:rFonts w:cs="Times New Roman"/>
          <w:szCs w:val="24"/>
        </w:rPr>
        <w:t xml:space="preserve"> expected to </w:t>
      </w:r>
      <w:r>
        <w:rPr>
          <w:rFonts w:cs="Times New Roman"/>
          <w:szCs w:val="24"/>
        </w:rPr>
        <w:t xml:space="preserve">be </w:t>
      </w:r>
      <w:r w:rsidRPr="00AC1055">
        <w:rPr>
          <w:rFonts w:cs="Times New Roman"/>
          <w:szCs w:val="24"/>
        </w:rPr>
        <w:t>answered correctly by higher ability students. It is represented in the item characteristic curve</w:t>
      </w:r>
      <w:r>
        <w:rPr>
          <w:rFonts w:cs="Times New Roman"/>
          <w:szCs w:val="24"/>
        </w:rPr>
        <w:t>d</w:t>
      </w:r>
      <w:r w:rsidRPr="00AC1055">
        <w:rPr>
          <w:rFonts w:cs="Times New Roman"/>
          <w:szCs w:val="24"/>
        </w:rPr>
        <w:t xml:space="preserve"> as </w:t>
      </w:r>
      <w:r>
        <w:rPr>
          <w:rFonts w:cs="Times New Roman"/>
          <w:szCs w:val="24"/>
        </w:rPr>
        <w:t>a</w:t>
      </w:r>
      <w:r w:rsidRPr="00AC1055">
        <w:rPr>
          <w:rFonts w:cs="Times New Roman"/>
          <w:szCs w:val="24"/>
        </w:rPr>
        <w:t xml:space="preserve"> slope.</w:t>
      </w:r>
    </w:p>
    <w:p w14:paraId="2C0D54B6" w14:textId="77777777" w:rsidR="000A5358" w:rsidRPr="00AC1055" w:rsidRDefault="000A5358" w:rsidP="000A5358">
      <w:pPr>
        <w:spacing w:line="480" w:lineRule="auto"/>
        <w:rPr>
          <w:rFonts w:cs="Times New Roman"/>
          <w:szCs w:val="24"/>
        </w:rPr>
      </w:pPr>
      <w:r w:rsidRPr="00AC1055">
        <w:rPr>
          <w:rFonts w:cs="Times New Roman"/>
          <w:noProof/>
          <w:szCs w:val="24"/>
          <w:lang w:eastAsia="en-GB"/>
        </w:rPr>
        <w:lastRenderedPageBreak/>
        <w:drawing>
          <wp:inline distT="0" distB="0" distL="0" distR="0" wp14:anchorId="64044930" wp14:editId="13789F6A">
            <wp:extent cx="5088507" cy="34575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507" cy="3457575"/>
                    </a:xfrm>
                    <a:prstGeom prst="rect">
                      <a:avLst/>
                    </a:prstGeom>
                    <a:noFill/>
                    <a:ln>
                      <a:noFill/>
                    </a:ln>
                  </pic:spPr>
                </pic:pic>
              </a:graphicData>
            </a:graphic>
          </wp:inline>
        </w:drawing>
      </w:r>
      <w:r w:rsidRPr="00AC1055">
        <w:rPr>
          <w:rFonts w:cs="Times New Roman"/>
          <w:szCs w:val="24"/>
          <w:vertAlign w:val="superscript"/>
        </w:rPr>
        <w:footnoteReference w:id="176"/>
      </w:r>
    </w:p>
    <w:p w14:paraId="16778F0E" w14:textId="77777777" w:rsidR="000A5358" w:rsidRPr="00AC1055" w:rsidRDefault="000A5358" w:rsidP="000A5358">
      <w:pPr>
        <w:spacing w:line="480" w:lineRule="auto"/>
        <w:rPr>
          <w:rFonts w:cs="Times New Roman"/>
          <w:szCs w:val="24"/>
        </w:rPr>
      </w:pPr>
      <w:r w:rsidRPr="00AC1055">
        <w:rPr>
          <w:rFonts w:cs="Times New Roman"/>
          <w:szCs w:val="24"/>
        </w:rPr>
        <w:t xml:space="preserve">To import these elements to corporate governance, we can describe </w:t>
      </w:r>
      <w:r>
        <w:rPr>
          <w:rFonts w:cs="Times New Roman"/>
          <w:szCs w:val="24"/>
        </w:rPr>
        <w:t xml:space="preserve">the </w:t>
      </w:r>
      <w:r w:rsidRPr="00AC1055">
        <w:rPr>
          <w:rFonts w:cs="Times New Roman"/>
          <w:szCs w:val="24"/>
        </w:rPr>
        <w:t xml:space="preserve">difficulty parameter as how difficult it is for a country in comparison to other regulations/parameters to have a particular regulation, say shareholder control on executive pay; while </w:t>
      </w:r>
      <w:r>
        <w:rPr>
          <w:rFonts w:cs="Times New Roman"/>
          <w:szCs w:val="24"/>
        </w:rPr>
        <w:t xml:space="preserve">a </w:t>
      </w:r>
      <w:r w:rsidRPr="00AC1055">
        <w:rPr>
          <w:rFonts w:cs="Times New Roman"/>
          <w:szCs w:val="24"/>
        </w:rPr>
        <w:t>discrimination parameter can be explained as how important it is for a country to have that particular regulation.</w:t>
      </w:r>
    </w:p>
    <w:p w14:paraId="03B7C3C3" w14:textId="3EF64E4A" w:rsidR="000A5358" w:rsidRPr="00AC1055" w:rsidRDefault="000A5358" w:rsidP="000A5358">
      <w:pPr>
        <w:spacing w:line="480" w:lineRule="auto"/>
        <w:rPr>
          <w:rFonts w:cs="Times New Roman"/>
          <w:sz w:val="22"/>
        </w:rPr>
      </w:pPr>
      <w:r w:rsidRPr="00AC1055">
        <w:rPr>
          <w:rFonts w:cs="Times New Roman"/>
          <w:szCs w:val="24"/>
        </w:rPr>
        <w:t>So</w:t>
      </w:r>
      <w:r>
        <w:rPr>
          <w:rFonts w:cs="Times New Roman"/>
          <w:szCs w:val="24"/>
        </w:rPr>
        <w:t xml:space="preserve">, assuming </w:t>
      </w:r>
      <w:r w:rsidRPr="00AC1055">
        <w:rPr>
          <w:rFonts w:cs="Times New Roman"/>
          <w:szCs w:val="24"/>
        </w:rPr>
        <w:t xml:space="preserve">that for a country </w:t>
      </w:r>
      <w:proofErr w:type="spellStart"/>
      <w:r w:rsidRPr="00AC1055">
        <w:rPr>
          <w:rFonts w:cs="Times New Roman"/>
          <w:szCs w:val="24"/>
        </w:rPr>
        <w:t>i</w:t>
      </w:r>
      <w:proofErr w:type="spellEnd"/>
      <w:r w:rsidRPr="00AC1055">
        <w:rPr>
          <w:rFonts w:cs="Times New Roman"/>
          <w:szCs w:val="24"/>
        </w:rPr>
        <w:t xml:space="preserve"> </w:t>
      </w:r>
      <w:r>
        <w:rPr>
          <w:rFonts w:cs="Times New Roman"/>
          <w:szCs w:val="24"/>
        </w:rPr>
        <w:t>there is</w:t>
      </w:r>
      <w:r w:rsidRPr="00AC1055">
        <w:rPr>
          <w:rFonts w:cs="Times New Roman"/>
          <w:szCs w:val="24"/>
        </w:rPr>
        <w:t xml:space="preserve"> an unknown corporate governance trait measure of </w:t>
      </w:r>
      <w:proofErr w:type="spellStart"/>
      <w:r w:rsidRPr="00AC1055">
        <w:rPr>
          <w:rFonts w:cs="Times New Roman"/>
          <w:szCs w:val="24"/>
        </w:rPr>
        <w:t>θ</w:t>
      </w:r>
      <w:r w:rsidRPr="00AC1055">
        <w:rPr>
          <w:rFonts w:cs="Times New Roman"/>
          <w:szCs w:val="24"/>
          <w:vertAlign w:val="subscript"/>
        </w:rPr>
        <w:t>i</w:t>
      </w:r>
      <w:proofErr w:type="spellEnd"/>
      <w:r w:rsidRPr="00AC1055">
        <w:rPr>
          <w:rFonts w:cs="Times New Roman"/>
          <w:szCs w:val="24"/>
          <w:vertAlign w:val="subscript"/>
        </w:rPr>
        <w:t xml:space="preserve"> </w:t>
      </w:r>
      <w:r w:rsidRPr="00AC1055">
        <w:rPr>
          <w:rFonts w:cs="Times New Roman"/>
          <w:szCs w:val="24"/>
        </w:rPr>
        <w:t>and fifty observable parameters</w:t>
      </w:r>
      <w:r>
        <w:rPr>
          <w:rFonts w:cs="Times New Roman"/>
          <w:szCs w:val="24"/>
        </w:rPr>
        <w:t>,</w:t>
      </w:r>
      <w:r w:rsidRPr="00AC1055">
        <w:rPr>
          <w:rFonts w:cs="Times New Roman"/>
          <w:szCs w:val="24"/>
        </w:rPr>
        <w:t xml:space="preserve"> one of which is shareholder control over executive remuneration (denoted by a variable S/</w:t>
      </w:r>
      <w:proofErr w:type="spellStart"/>
      <w:r w:rsidRPr="00AC1055">
        <w:rPr>
          <w:rFonts w:cs="Times New Roman"/>
          <w:szCs w:val="24"/>
        </w:rPr>
        <w:t>hexecp</w:t>
      </w:r>
      <w:proofErr w:type="spellEnd"/>
      <w:r w:rsidRPr="00AC1055">
        <w:rPr>
          <w:rFonts w:cs="Times New Roman"/>
          <w:szCs w:val="24"/>
        </w:rPr>
        <w:t>)</w:t>
      </w:r>
      <w:r w:rsidRPr="00AC1055">
        <w:rPr>
          <w:rFonts w:cs="Times New Roman"/>
          <w:sz w:val="22"/>
        </w:rPr>
        <w:t xml:space="preserve">. </w:t>
      </w:r>
      <w:r w:rsidRPr="003B3A89">
        <w:rPr>
          <w:rFonts w:cs="Times New Roman"/>
          <w:szCs w:val="24"/>
        </w:rPr>
        <w:t>A two parameter IRT model for this single observed variable can be mathematically represented as:</w:t>
      </w:r>
      <w:r w:rsidRPr="003B3A89">
        <w:rPr>
          <w:rFonts w:cs="Times New Roman"/>
          <w:szCs w:val="24"/>
          <w:vertAlign w:val="superscript"/>
        </w:rPr>
        <w:footnoteReference w:id="177"/>
      </w:r>
    </w:p>
    <w:p w14:paraId="3BDDC1BE" w14:textId="77777777" w:rsidR="000A5358" w:rsidRPr="00AC1055" w:rsidRDefault="000A5358" w:rsidP="000A5358">
      <w:pPr>
        <w:spacing w:line="480" w:lineRule="auto"/>
        <w:jc w:val="left"/>
        <w:rPr>
          <w:rFonts w:cs="Times New Roman"/>
          <w:sz w:val="22"/>
        </w:rPr>
      </w:pPr>
      <m:oMath>
        <m:r>
          <w:rPr>
            <w:rFonts w:ascii="Cambria Math" w:hAnsi="Cambria Math" w:cs="Times New Roman"/>
            <w:sz w:val="22"/>
          </w:rPr>
          <m:t xml:space="preserve">                    P</m:t>
        </m:r>
        <m:d>
          <m:dPr>
            <m:ctrlPr>
              <w:rPr>
                <w:rFonts w:ascii="Cambria Math" w:hAnsi="Cambria Math" w:cs="Times New Roman"/>
                <w:i/>
                <w:sz w:val="22"/>
              </w:rPr>
            </m:ctrlPr>
          </m:dPr>
          <m:e>
            <m:r>
              <w:rPr>
                <w:rFonts w:ascii="Cambria Math" w:hAnsi="Cambria Math" w:cs="Times New Roman"/>
                <w:sz w:val="22"/>
              </w:rPr>
              <m:t>S/hexecp=1|</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i</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S/hexecp</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β</m:t>
                </m:r>
              </m:e>
              <m:sub>
                <m:r>
                  <w:rPr>
                    <w:rFonts w:ascii="Cambria Math" w:hAnsi="Cambria Math" w:cs="Times New Roman"/>
                    <w:sz w:val="22"/>
                  </w:rPr>
                  <m:t>S/hexecp</m:t>
                </m:r>
              </m:sub>
            </m:sSub>
          </m:e>
        </m:d>
        <m:r>
          <w:rPr>
            <w:rFonts w:ascii="Cambria Math" w:hAnsi="Cambria Math" w:cs="Times New Roman"/>
            <w:sz w:val="22"/>
          </w:rPr>
          <m:t xml:space="preserve">= </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 xml:space="preserve">1+ </m:t>
            </m:r>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S/hexecp</m:t>
                    </m:r>
                  </m:sub>
                </m:sSub>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i</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β</m:t>
                        </m:r>
                      </m:e>
                      <m:sub>
                        <m:r>
                          <w:rPr>
                            <w:rFonts w:ascii="Cambria Math" w:hAnsi="Cambria Math" w:cs="Times New Roman"/>
                            <w:sz w:val="22"/>
                          </w:rPr>
                          <m:t>S/hexecp</m:t>
                        </m:r>
                      </m:sub>
                    </m:sSub>
                  </m:e>
                </m:d>
              </m:sup>
            </m:sSup>
          </m:den>
        </m:f>
      </m:oMath>
      <w:r w:rsidRPr="00AC1055">
        <w:rPr>
          <w:rFonts w:eastAsiaTheme="minorEastAsia" w:cs="Times New Roman"/>
          <w:sz w:val="22"/>
        </w:rPr>
        <w:t xml:space="preserve">         </w:t>
      </w:r>
      <w:r>
        <w:rPr>
          <w:rFonts w:eastAsiaTheme="minorEastAsia" w:cs="Times New Roman"/>
          <w:sz w:val="22"/>
        </w:rPr>
        <w:t xml:space="preserve"> </w:t>
      </w:r>
      <w:r w:rsidRPr="00AC1055">
        <w:rPr>
          <w:rFonts w:eastAsiaTheme="minorEastAsia" w:cs="Times New Roman"/>
          <w:sz w:val="22"/>
        </w:rPr>
        <w:t>(1)</w:t>
      </w:r>
    </w:p>
    <w:p w14:paraId="455E6ED0" w14:textId="77777777" w:rsidR="000A5358" w:rsidRPr="00AC1055" w:rsidRDefault="000A5358" w:rsidP="000A5358">
      <w:pPr>
        <w:spacing w:line="480" w:lineRule="auto"/>
        <w:rPr>
          <w:rFonts w:cs="Times New Roman"/>
          <w:szCs w:val="24"/>
        </w:rPr>
      </w:pPr>
      <w:r w:rsidRPr="00AC1055">
        <w:rPr>
          <w:rFonts w:cs="Times New Roman"/>
          <w:szCs w:val="24"/>
        </w:rPr>
        <w:t>Where α</w:t>
      </w:r>
      <w:r w:rsidRPr="00AC1055">
        <w:rPr>
          <w:rFonts w:cs="Times New Roman"/>
          <w:szCs w:val="24"/>
          <w:vertAlign w:val="subscript"/>
        </w:rPr>
        <w:t>S/</w:t>
      </w:r>
      <w:proofErr w:type="spellStart"/>
      <w:r w:rsidRPr="00AC1055">
        <w:rPr>
          <w:rFonts w:cs="Times New Roman"/>
          <w:szCs w:val="24"/>
          <w:vertAlign w:val="subscript"/>
        </w:rPr>
        <w:t>hexecp</w:t>
      </w:r>
      <w:proofErr w:type="spellEnd"/>
      <w:r w:rsidRPr="00AC1055">
        <w:rPr>
          <w:rFonts w:cs="Times New Roman"/>
          <w:szCs w:val="24"/>
        </w:rPr>
        <w:t xml:space="preserve"> is the discrimination parameter and β</w:t>
      </w:r>
      <w:r w:rsidRPr="00AC1055">
        <w:rPr>
          <w:rFonts w:cs="Times New Roman"/>
          <w:szCs w:val="24"/>
          <w:vertAlign w:val="subscript"/>
        </w:rPr>
        <w:t>S/</w:t>
      </w:r>
      <w:proofErr w:type="spellStart"/>
      <w:r w:rsidRPr="00AC1055">
        <w:rPr>
          <w:rFonts w:cs="Times New Roman"/>
          <w:szCs w:val="24"/>
          <w:vertAlign w:val="subscript"/>
        </w:rPr>
        <w:t>hexecp</w:t>
      </w:r>
      <w:proofErr w:type="spellEnd"/>
      <w:r w:rsidRPr="00AC1055">
        <w:rPr>
          <w:rFonts w:cs="Times New Roman"/>
          <w:szCs w:val="24"/>
        </w:rPr>
        <w:t xml:space="preserve"> is the difficulty parameter. So</w:t>
      </w:r>
      <w:r>
        <w:rPr>
          <w:rFonts w:cs="Times New Roman"/>
          <w:szCs w:val="24"/>
        </w:rPr>
        <w:t>,</w:t>
      </w:r>
      <w:r w:rsidRPr="00AC1055">
        <w:rPr>
          <w:rFonts w:cs="Times New Roman"/>
          <w:szCs w:val="24"/>
        </w:rPr>
        <w:t xml:space="preserve"> in other words, in a corporate governance context </w:t>
      </w:r>
      <w:r>
        <w:rPr>
          <w:rFonts w:cs="Times New Roman"/>
          <w:szCs w:val="24"/>
        </w:rPr>
        <w:t xml:space="preserve">the </w:t>
      </w:r>
      <w:r w:rsidRPr="00AC1055">
        <w:rPr>
          <w:rFonts w:cs="Times New Roman"/>
          <w:szCs w:val="24"/>
        </w:rPr>
        <w:t xml:space="preserve">probability for </w:t>
      </w:r>
      <w:r w:rsidRPr="00AC1055">
        <w:rPr>
          <w:rFonts w:cs="Times New Roman"/>
          <w:szCs w:val="24"/>
        </w:rPr>
        <w:lastRenderedPageBreak/>
        <w:t>item S/</w:t>
      </w:r>
      <w:proofErr w:type="spellStart"/>
      <w:r w:rsidRPr="00AC1055">
        <w:rPr>
          <w:rFonts w:cs="Times New Roman"/>
          <w:szCs w:val="24"/>
        </w:rPr>
        <w:t>hexecp</w:t>
      </w:r>
      <w:proofErr w:type="spellEnd"/>
      <w:r w:rsidRPr="00AC1055">
        <w:rPr>
          <w:rFonts w:cs="Times New Roman"/>
          <w:szCs w:val="24"/>
        </w:rPr>
        <w:t xml:space="preserve"> (which is the observed variable </w:t>
      </w:r>
      <w:r>
        <w:rPr>
          <w:rFonts w:cs="Times New Roman"/>
          <w:szCs w:val="24"/>
        </w:rPr>
        <w:t xml:space="preserve">regarding </w:t>
      </w:r>
      <w:r w:rsidRPr="00AC1055">
        <w:rPr>
          <w:rFonts w:cs="Times New Roman"/>
          <w:szCs w:val="24"/>
        </w:rPr>
        <w:t>whether the country has rules relating to shareholder control over executive remuneration) to have either the value of 1 or 0 would depend on the unknown discrimination parameter α</w:t>
      </w:r>
      <w:r w:rsidRPr="00AC1055">
        <w:rPr>
          <w:rFonts w:cs="Times New Roman"/>
          <w:szCs w:val="24"/>
          <w:vertAlign w:val="subscript"/>
        </w:rPr>
        <w:t>S/</w:t>
      </w:r>
      <w:proofErr w:type="spellStart"/>
      <w:r w:rsidRPr="00AC1055">
        <w:rPr>
          <w:rFonts w:cs="Times New Roman"/>
          <w:szCs w:val="24"/>
          <w:vertAlign w:val="subscript"/>
        </w:rPr>
        <w:t>hexecp</w:t>
      </w:r>
      <w:proofErr w:type="spellEnd"/>
      <w:r w:rsidRPr="00AC1055">
        <w:rPr>
          <w:rFonts w:cs="Times New Roman"/>
          <w:szCs w:val="24"/>
        </w:rPr>
        <w:t xml:space="preserve"> and the unknown difficulty parameter β</w:t>
      </w:r>
      <w:r w:rsidRPr="00AC1055">
        <w:rPr>
          <w:rFonts w:cs="Times New Roman"/>
          <w:szCs w:val="24"/>
          <w:vertAlign w:val="subscript"/>
        </w:rPr>
        <w:t>S/</w:t>
      </w:r>
      <w:proofErr w:type="spellStart"/>
      <w:r w:rsidRPr="00AC1055">
        <w:rPr>
          <w:rFonts w:cs="Times New Roman"/>
          <w:szCs w:val="24"/>
          <w:vertAlign w:val="subscript"/>
        </w:rPr>
        <w:t>hexecp</w:t>
      </w:r>
      <w:proofErr w:type="spellEnd"/>
      <w:r w:rsidRPr="00AC1055">
        <w:rPr>
          <w:rFonts w:cs="Times New Roman"/>
          <w:szCs w:val="24"/>
        </w:rPr>
        <w:t xml:space="preserve"> of the observed variable. It can also be tentatively explained as [Probability of whether this country </w:t>
      </w:r>
      <w:proofErr w:type="spellStart"/>
      <w:r w:rsidRPr="00AC1055">
        <w:rPr>
          <w:rFonts w:cs="Times New Roman"/>
          <w:szCs w:val="24"/>
        </w:rPr>
        <w:t>i</w:t>
      </w:r>
      <w:proofErr w:type="spellEnd"/>
      <w:r w:rsidRPr="00AC1055">
        <w:rPr>
          <w:rFonts w:cs="Times New Roman"/>
          <w:szCs w:val="24"/>
        </w:rPr>
        <w:t xml:space="preserve"> would have a regulation that shareholders can control executive remuneration = 1/(1 + </w:t>
      </w:r>
      <w:proofErr w:type="spellStart"/>
      <w:r w:rsidRPr="00AC1055">
        <w:rPr>
          <w:rFonts w:cs="Times New Roman"/>
          <w:szCs w:val="24"/>
        </w:rPr>
        <w:t>exp</w:t>
      </w:r>
      <w:proofErr w:type="spellEnd"/>
      <w:r w:rsidRPr="00AC1055">
        <w:rPr>
          <w:rFonts w:cs="Times New Roman"/>
          <w:szCs w:val="24"/>
        </w:rPr>
        <w:t xml:space="preserve">^( – how </w:t>
      </w:r>
      <w:r w:rsidRPr="00AC1055">
        <w:rPr>
          <w:rFonts w:cs="Times New Roman"/>
          <w:i/>
          <w:szCs w:val="24"/>
        </w:rPr>
        <w:t>important</w:t>
      </w:r>
      <w:r w:rsidRPr="00AC1055">
        <w:rPr>
          <w:rFonts w:cs="Times New Roman"/>
          <w:szCs w:val="24"/>
        </w:rPr>
        <w:t xml:space="preserve"> is it to have a regulation that shareholders can control executive remuneration for a good corporate governance * (corporate governance index of country </w:t>
      </w:r>
      <w:proofErr w:type="spellStart"/>
      <w:r w:rsidRPr="00AC1055">
        <w:rPr>
          <w:rFonts w:cs="Times New Roman"/>
          <w:szCs w:val="24"/>
        </w:rPr>
        <w:t>i</w:t>
      </w:r>
      <w:proofErr w:type="spellEnd"/>
      <w:r w:rsidRPr="00AC1055">
        <w:rPr>
          <w:rFonts w:cs="Times New Roman"/>
          <w:szCs w:val="24"/>
        </w:rPr>
        <w:t xml:space="preserve"> – </w:t>
      </w:r>
      <w:r w:rsidRPr="00AC1055">
        <w:rPr>
          <w:rFonts w:cs="Times New Roman"/>
          <w:i/>
          <w:szCs w:val="24"/>
        </w:rPr>
        <w:t>difficulty</w:t>
      </w:r>
      <w:r w:rsidRPr="00AC1055">
        <w:rPr>
          <w:rFonts w:cs="Times New Roman"/>
          <w:szCs w:val="24"/>
        </w:rPr>
        <w:t xml:space="preserve"> in legislating a regulation that shareholders can control executive remuneration))]</w:t>
      </w:r>
    </w:p>
    <w:p w14:paraId="52CE04C4" w14:textId="77777777" w:rsidR="000A5358" w:rsidRPr="00AC1055" w:rsidRDefault="000A5358" w:rsidP="000A5358">
      <w:pPr>
        <w:spacing w:line="480" w:lineRule="auto"/>
        <w:rPr>
          <w:rFonts w:cs="Times New Roman"/>
          <w:szCs w:val="24"/>
        </w:rPr>
      </w:pPr>
      <w:r w:rsidRPr="00AC1055">
        <w:rPr>
          <w:rFonts w:cs="Times New Roman"/>
          <w:szCs w:val="24"/>
        </w:rPr>
        <w:t>However</w:t>
      </w:r>
      <w:r>
        <w:rPr>
          <w:rFonts w:cs="Times New Roman"/>
          <w:szCs w:val="24"/>
        </w:rPr>
        <w:t>,</w:t>
      </w:r>
      <w:r w:rsidRPr="00AC1055">
        <w:rPr>
          <w:rFonts w:cs="Times New Roman"/>
          <w:szCs w:val="24"/>
        </w:rPr>
        <w:t xml:space="preserve"> merely the presence of a law or policy does not mean that it is going to be implemented, in other words a binomial system may not work adequately in the real world. So </w:t>
      </w:r>
      <w:r>
        <w:rPr>
          <w:rFonts w:cs="Times New Roman"/>
          <w:szCs w:val="24"/>
        </w:rPr>
        <w:t>it is necessary</w:t>
      </w:r>
      <w:r w:rsidRPr="00AC1055">
        <w:rPr>
          <w:rFonts w:cs="Times New Roman"/>
          <w:szCs w:val="24"/>
        </w:rPr>
        <w:t xml:space="preserve"> to increase the ability for the variable to take more than two response</w:t>
      </w:r>
      <w:r>
        <w:rPr>
          <w:rFonts w:cs="Times New Roman"/>
          <w:szCs w:val="24"/>
        </w:rPr>
        <w:t>s,</w:t>
      </w:r>
      <w:r w:rsidRPr="00AC1055">
        <w:rPr>
          <w:rFonts w:cs="Times New Roman"/>
          <w:szCs w:val="24"/>
        </w:rPr>
        <w:t xml:space="preserve"> so instead of S/</w:t>
      </w:r>
      <w:proofErr w:type="spellStart"/>
      <w:r w:rsidRPr="00AC1055">
        <w:rPr>
          <w:rFonts w:cs="Times New Roman"/>
          <w:szCs w:val="24"/>
        </w:rPr>
        <w:t>hexecp</w:t>
      </w:r>
      <w:proofErr w:type="spellEnd"/>
      <w:r w:rsidRPr="00AC1055">
        <w:rPr>
          <w:rFonts w:cs="Times New Roman"/>
          <w:szCs w:val="24"/>
        </w:rPr>
        <w:t xml:space="preserve"> Є {0, 1} we have S/</w:t>
      </w:r>
      <w:proofErr w:type="spellStart"/>
      <w:r w:rsidRPr="00AC1055">
        <w:rPr>
          <w:rFonts w:cs="Times New Roman"/>
          <w:szCs w:val="24"/>
        </w:rPr>
        <w:t>hexecp</w:t>
      </w:r>
      <w:proofErr w:type="spellEnd"/>
      <w:r w:rsidRPr="00AC1055">
        <w:rPr>
          <w:rFonts w:cs="Times New Roman"/>
          <w:szCs w:val="24"/>
        </w:rPr>
        <w:t xml:space="preserve"> Є {0, 1, 2} where 0 would mean that a regulation is absent, 1 can mean that the regulation is present but not generally implemented or is optional and 2 would mean that the regulation is compulsory and strictly implemented. This required certain changes to equation (1). This was done by Fumiko </w:t>
      </w:r>
      <w:proofErr w:type="spellStart"/>
      <w:r w:rsidRPr="00AC1055">
        <w:rPr>
          <w:rFonts w:cs="Times New Roman"/>
          <w:szCs w:val="24"/>
        </w:rPr>
        <w:t>Samejima</w:t>
      </w:r>
      <w:proofErr w:type="spellEnd"/>
      <w:r w:rsidRPr="00AC1055">
        <w:rPr>
          <w:rFonts w:cs="Times New Roman"/>
          <w:szCs w:val="24"/>
        </w:rPr>
        <w:t xml:space="preserve"> who provided a way to estimate the latent trait based on more than two ordered categorical responses, this resulting polytomous item response model was called the Graded Response Model.</w:t>
      </w:r>
      <w:r w:rsidRPr="00AC1055">
        <w:rPr>
          <w:rFonts w:cs="Times New Roman"/>
          <w:szCs w:val="24"/>
          <w:vertAlign w:val="superscript"/>
        </w:rPr>
        <w:footnoteReference w:id="178"/>
      </w:r>
      <w:r w:rsidRPr="00AC1055">
        <w:rPr>
          <w:rFonts w:cs="Times New Roman"/>
          <w:szCs w:val="24"/>
        </w:rPr>
        <w:t xml:space="preserve"> </w:t>
      </w:r>
    </w:p>
    <w:p w14:paraId="4499BFED" w14:textId="77777777" w:rsidR="000A5358" w:rsidRPr="00AC1055" w:rsidRDefault="000A5358" w:rsidP="000A5358">
      <w:pPr>
        <w:spacing w:line="480" w:lineRule="auto"/>
        <w:rPr>
          <w:rFonts w:cs="Times New Roman"/>
          <w:szCs w:val="24"/>
        </w:rPr>
      </w:pPr>
      <w:r w:rsidRPr="00AC1055">
        <w:rPr>
          <w:rFonts w:cs="Times New Roman"/>
          <w:szCs w:val="24"/>
        </w:rPr>
        <w:t>The item response curve for dichotomous and polytomous 2PL IRT model can be graphically compared as below.</w:t>
      </w:r>
    </w:p>
    <w:p w14:paraId="5964B014" w14:textId="77777777" w:rsidR="000A5358" w:rsidRPr="00AC1055" w:rsidRDefault="000A5358" w:rsidP="000A5358">
      <w:pPr>
        <w:spacing w:line="480" w:lineRule="auto"/>
        <w:rPr>
          <w:rFonts w:cs="Times New Roman"/>
          <w:szCs w:val="24"/>
        </w:rPr>
      </w:pPr>
      <w:r w:rsidRPr="00AC1055">
        <w:rPr>
          <w:rFonts w:cs="Times New Roman"/>
          <w:noProof/>
          <w:szCs w:val="24"/>
          <w:lang w:eastAsia="en-GB"/>
        </w:rPr>
        <w:lastRenderedPageBreak/>
        <w:drawing>
          <wp:inline distT="0" distB="0" distL="0" distR="0" wp14:anchorId="15886B58" wp14:editId="2D8ACD89">
            <wp:extent cx="5934075" cy="233362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14:paraId="06C3C5F6" w14:textId="77777777" w:rsidR="000A5358" w:rsidRPr="00AC1055" w:rsidRDefault="000A5358" w:rsidP="000A5358">
      <w:pPr>
        <w:spacing w:line="480" w:lineRule="auto"/>
        <w:rPr>
          <w:rFonts w:cs="Times New Roman"/>
          <w:szCs w:val="24"/>
        </w:rPr>
      </w:pPr>
      <w:r w:rsidRPr="00AC1055">
        <w:rPr>
          <w:rFonts w:cs="Times New Roman"/>
          <w:szCs w:val="24"/>
        </w:rPr>
        <w:t>The graph on the left shows that the probability of the response to S/</w:t>
      </w:r>
      <w:proofErr w:type="spellStart"/>
      <w:r w:rsidRPr="00AC1055">
        <w:rPr>
          <w:rFonts w:cs="Times New Roman"/>
          <w:szCs w:val="24"/>
        </w:rPr>
        <w:t>hexecp</w:t>
      </w:r>
      <w:proofErr w:type="spellEnd"/>
      <w:r w:rsidRPr="00AC1055">
        <w:rPr>
          <w:rFonts w:cs="Times New Roman"/>
          <w:szCs w:val="24"/>
        </w:rPr>
        <w:t xml:space="preserve"> varies on the item curve, thus it can be 0 or 1 depending on the latent ability of the country. However on the left three options are possible</w:t>
      </w:r>
      <w:r>
        <w:rPr>
          <w:rFonts w:cs="Times New Roman"/>
          <w:szCs w:val="24"/>
        </w:rPr>
        <w:t>,</w:t>
      </w:r>
      <w:r w:rsidRPr="00AC1055">
        <w:rPr>
          <w:rFonts w:cs="Times New Roman"/>
          <w:szCs w:val="24"/>
        </w:rPr>
        <w:t xml:space="preserve"> so depending on the latent ability of the corporate governance of the country </w:t>
      </w:r>
      <w:proofErr w:type="spellStart"/>
      <w:r w:rsidRPr="00AC1055">
        <w:rPr>
          <w:rFonts w:cs="Times New Roman"/>
          <w:szCs w:val="24"/>
        </w:rPr>
        <w:t>i</w:t>
      </w:r>
      <w:proofErr w:type="spellEnd"/>
      <w:r w:rsidRPr="00AC1055">
        <w:rPr>
          <w:rFonts w:cs="Times New Roman"/>
          <w:szCs w:val="24"/>
        </w:rPr>
        <w:t xml:space="preserve"> the value of S/</w:t>
      </w:r>
      <w:proofErr w:type="spellStart"/>
      <w:r w:rsidRPr="00AC1055">
        <w:rPr>
          <w:rFonts w:cs="Times New Roman"/>
          <w:szCs w:val="24"/>
        </w:rPr>
        <w:t>hexecp</w:t>
      </w:r>
      <w:proofErr w:type="spellEnd"/>
      <w:r w:rsidRPr="00AC1055">
        <w:rPr>
          <w:rFonts w:cs="Times New Roman"/>
          <w:szCs w:val="24"/>
        </w:rPr>
        <w:t xml:space="preserve"> denoted in the graph </w:t>
      </w:r>
      <w:proofErr w:type="spellStart"/>
      <w:r w:rsidRPr="00AC1055">
        <w:rPr>
          <w:rFonts w:cs="Times New Roman"/>
          <w:szCs w:val="24"/>
        </w:rPr>
        <w:t>as k</w:t>
      </w:r>
      <w:proofErr w:type="spellEnd"/>
      <w:r w:rsidRPr="00AC1055">
        <w:rPr>
          <w:rFonts w:cs="Times New Roman"/>
          <w:szCs w:val="24"/>
        </w:rPr>
        <w:t xml:space="preserve"> can be 0 or 1 or 2, and each value would have its own separate item characteristics curve. This is also called </w:t>
      </w:r>
      <w:r>
        <w:rPr>
          <w:rFonts w:cs="Times New Roman"/>
          <w:szCs w:val="24"/>
        </w:rPr>
        <w:t xml:space="preserve">a </w:t>
      </w:r>
      <w:r w:rsidRPr="00AC1055">
        <w:rPr>
          <w:rFonts w:cs="Times New Roman"/>
          <w:szCs w:val="24"/>
        </w:rPr>
        <w:t xml:space="preserve">difference model as it breaks the single item curve into hierarchical category boundaries and probabilities are set as differences between cumulative probabilities. </w:t>
      </w:r>
    </w:p>
    <w:p w14:paraId="1F8E27EA" w14:textId="77777777" w:rsidR="000A5358" w:rsidRPr="00AC1055" w:rsidRDefault="000A5358" w:rsidP="000A5358">
      <w:pPr>
        <w:spacing w:line="480" w:lineRule="auto"/>
        <w:rPr>
          <w:rFonts w:cs="Times New Roman"/>
          <w:szCs w:val="24"/>
        </w:rPr>
      </w:pPr>
      <w:r w:rsidRPr="00AC1055">
        <w:rPr>
          <w:rFonts w:cs="Times New Roman"/>
          <w:szCs w:val="24"/>
        </w:rPr>
        <w:t>Therefore the probability of item j (which as per our example is S/</w:t>
      </w:r>
      <w:proofErr w:type="spellStart"/>
      <w:r w:rsidRPr="00AC1055">
        <w:rPr>
          <w:rFonts w:cs="Times New Roman"/>
          <w:szCs w:val="24"/>
        </w:rPr>
        <w:t>hexecp</w:t>
      </w:r>
      <w:proofErr w:type="spellEnd"/>
      <w:r w:rsidRPr="00AC1055">
        <w:rPr>
          <w:rFonts w:cs="Times New Roman"/>
          <w:szCs w:val="24"/>
        </w:rPr>
        <w:t xml:space="preserve">) to take each of the three values {0, 1, 2} for country </w:t>
      </w:r>
      <w:proofErr w:type="spellStart"/>
      <w:r w:rsidRPr="00AC1055">
        <w:rPr>
          <w:rFonts w:cs="Times New Roman"/>
          <w:szCs w:val="24"/>
        </w:rPr>
        <w:t>i</w:t>
      </w:r>
      <w:proofErr w:type="spellEnd"/>
      <w:r w:rsidRPr="00AC1055">
        <w:rPr>
          <w:rFonts w:cs="Times New Roman"/>
          <w:szCs w:val="24"/>
        </w:rPr>
        <w:t xml:space="preserve"> (therefore sharing a common trait of </w:t>
      </w:r>
      <w:proofErr w:type="spellStart"/>
      <w:r w:rsidRPr="00AC1055">
        <w:rPr>
          <w:rFonts w:cs="Times New Roman"/>
          <w:szCs w:val="24"/>
        </w:rPr>
        <w:t>θ</w:t>
      </w:r>
      <w:r w:rsidRPr="00AC1055">
        <w:rPr>
          <w:rFonts w:cs="Times New Roman"/>
          <w:szCs w:val="24"/>
          <w:vertAlign w:val="subscript"/>
        </w:rPr>
        <w:t>i</w:t>
      </w:r>
      <w:proofErr w:type="spellEnd"/>
      <w:r w:rsidRPr="00AC1055">
        <w:rPr>
          <w:rFonts w:cs="Times New Roman"/>
          <w:szCs w:val="24"/>
        </w:rPr>
        <w:t>) can be mathematically represented as:</w:t>
      </w:r>
      <w:r w:rsidRPr="00AC1055">
        <w:rPr>
          <w:rFonts w:cs="Times New Roman"/>
          <w:szCs w:val="24"/>
          <w:vertAlign w:val="superscript"/>
        </w:rPr>
        <w:footnoteReference w:id="179"/>
      </w:r>
    </w:p>
    <w:p w14:paraId="2B9E02AB" w14:textId="77777777" w:rsidR="000A5358" w:rsidRPr="00AC1055" w:rsidRDefault="000A5358" w:rsidP="000A5358">
      <w:pPr>
        <w:spacing w:line="480" w:lineRule="auto"/>
        <w:rPr>
          <w:rFonts w:cs="Times New Roman"/>
          <w:szCs w:val="24"/>
        </w:rPr>
      </w:pPr>
      <w:r>
        <w:rPr>
          <w:rFonts w:cs="Times New Roman"/>
          <w:szCs w:val="24"/>
        </w:rPr>
        <w:t xml:space="preserve">                  </w:t>
      </w:r>
      <w:r w:rsidRPr="00AC1055">
        <w:rPr>
          <w:rFonts w:cs="Times New Roman"/>
          <w:szCs w:val="24"/>
        </w:rPr>
        <w:t>P (S/</w:t>
      </w:r>
      <w:proofErr w:type="spellStart"/>
      <w:r w:rsidRPr="00AC1055">
        <w:rPr>
          <w:rFonts w:cs="Times New Roman"/>
          <w:szCs w:val="24"/>
        </w:rPr>
        <w:t>hexecp</w:t>
      </w:r>
      <w:proofErr w:type="spellEnd"/>
      <w:r w:rsidRPr="00AC1055">
        <w:rPr>
          <w:rFonts w:cs="Times New Roman"/>
          <w:szCs w:val="24"/>
        </w:rPr>
        <w:t xml:space="preserve"> = 0| </w:t>
      </w:r>
      <w:proofErr w:type="spellStart"/>
      <w:r w:rsidRPr="00AC1055">
        <w:rPr>
          <w:rFonts w:cs="Times New Roman"/>
          <w:szCs w:val="24"/>
        </w:rPr>
        <w:t>θ</w:t>
      </w:r>
      <w:r w:rsidRPr="00AC1055">
        <w:rPr>
          <w:rFonts w:cs="Times New Roman"/>
          <w:szCs w:val="24"/>
          <w:vertAlign w:val="subscript"/>
        </w:rPr>
        <w:t>i</w:t>
      </w:r>
      <w:proofErr w:type="spellEnd"/>
      <w:r w:rsidRPr="00AC1055">
        <w:rPr>
          <w:rFonts w:cs="Times New Roman"/>
          <w:szCs w:val="24"/>
        </w:rPr>
        <w:t>)= 1 - P</w:t>
      </w:r>
      <w:r w:rsidRPr="00AC1055">
        <w:rPr>
          <w:rFonts w:cs="Times New Roman"/>
          <w:szCs w:val="24"/>
          <w:vertAlign w:val="superscript"/>
        </w:rPr>
        <w:t>*</w:t>
      </w:r>
      <w:r w:rsidRPr="00AC1055">
        <w:rPr>
          <w:rFonts w:cs="Times New Roman"/>
          <w:szCs w:val="24"/>
        </w:rPr>
        <w:t xml:space="preserve"> (S/</w:t>
      </w:r>
      <w:proofErr w:type="spellStart"/>
      <w:r w:rsidRPr="00AC1055">
        <w:rPr>
          <w:rFonts w:cs="Times New Roman"/>
          <w:szCs w:val="24"/>
        </w:rPr>
        <w:t>hexecp</w:t>
      </w:r>
      <w:proofErr w:type="spellEnd"/>
      <w:r w:rsidRPr="00AC1055">
        <w:rPr>
          <w:rFonts w:cs="Times New Roman"/>
          <w:szCs w:val="24"/>
        </w:rPr>
        <w:t xml:space="preserve"> = 1| </w:t>
      </w:r>
      <w:proofErr w:type="spellStart"/>
      <w:r w:rsidRPr="00AC1055">
        <w:rPr>
          <w:rFonts w:cs="Times New Roman"/>
          <w:szCs w:val="24"/>
        </w:rPr>
        <w:t>θ</w:t>
      </w:r>
      <w:r w:rsidRPr="00AC1055">
        <w:rPr>
          <w:rFonts w:cs="Times New Roman"/>
          <w:szCs w:val="24"/>
          <w:vertAlign w:val="subscript"/>
        </w:rPr>
        <w:t>i</w:t>
      </w:r>
      <w:proofErr w:type="spellEnd"/>
      <w:r w:rsidRPr="00AC1055">
        <w:rPr>
          <w:rFonts w:cs="Times New Roman"/>
          <w:szCs w:val="24"/>
        </w:rPr>
        <w:t xml:space="preserve">) </w:t>
      </w:r>
    </w:p>
    <w:p w14:paraId="67D9189C" w14:textId="77777777" w:rsidR="000A5358" w:rsidRPr="00AC1055" w:rsidRDefault="000A5358" w:rsidP="000A5358">
      <w:pPr>
        <w:spacing w:line="480" w:lineRule="auto"/>
        <w:rPr>
          <w:rFonts w:cs="Times New Roman"/>
          <w:szCs w:val="24"/>
        </w:rPr>
      </w:pPr>
      <w:r w:rsidRPr="00AC1055">
        <w:rPr>
          <w:rFonts w:cs="Times New Roman"/>
          <w:szCs w:val="24"/>
        </w:rPr>
        <w:t xml:space="preserve"> </w:t>
      </w:r>
      <w:r>
        <w:rPr>
          <w:rFonts w:cs="Times New Roman"/>
          <w:szCs w:val="24"/>
        </w:rPr>
        <w:t xml:space="preserve"> </w:t>
      </w:r>
      <w:r w:rsidRPr="00AC1055">
        <w:rPr>
          <w:rFonts w:cs="Times New Roman"/>
          <w:szCs w:val="24"/>
        </w:rPr>
        <w:t xml:space="preserve">                P (S/</w:t>
      </w:r>
      <w:proofErr w:type="spellStart"/>
      <w:r w:rsidRPr="00AC1055">
        <w:rPr>
          <w:rFonts w:cs="Times New Roman"/>
          <w:szCs w:val="24"/>
        </w:rPr>
        <w:t>hexecp</w:t>
      </w:r>
      <w:proofErr w:type="spellEnd"/>
      <w:r w:rsidRPr="00AC1055">
        <w:rPr>
          <w:rFonts w:cs="Times New Roman"/>
          <w:szCs w:val="24"/>
        </w:rPr>
        <w:t xml:space="preserve"> = 1| </w:t>
      </w:r>
      <w:proofErr w:type="spellStart"/>
      <w:r w:rsidRPr="00AC1055">
        <w:rPr>
          <w:rFonts w:cs="Times New Roman"/>
          <w:szCs w:val="24"/>
        </w:rPr>
        <w:t>θ</w:t>
      </w:r>
      <w:r w:rsidRPr="00AC1055">
        <w:rPr>
          <w:rFonts w:cs="Times New Roman"/>
          <w:szCs w:val="24"/>
          <w:vertAlign w:val="subscript"/>
        </w:rPr>
        <w:t>i</w:t>
      </w:r>
      <w:proofErr w:type="spellEnd"/>
      <w:r w:rsidRPr="00AC1055">
        <w:rPr>
          <w:rFonts w:cs="Times New Roman"/>
          <w:szCs w:val="24"/>
        </w:rPr>
        <w:t>)= P</w:t>
      </w:r>
      <w:r w:rsidRPr="00AC1055">
        <w:rPr>
          <w:rFonts w:cs="Times New Roman"/>
          <w:szCs w:val="24"/>
          <w:vertAlign w:val="superscript"/>
        </w:rPr>
        <w:t>*</w:t>
      </w:r>
      <w:r w:rsidRPr="00AC1055">
        <w:rPr>
          <w:rFonts w:cs="Times New Roman"/>
          <w:szCs w:val="24"/>
        </w:rPr>
        <w:t xml:space="preserve"> (S/</w:t>
      </w:r>
      <w:proofErr w:type="spellStart"/>
      <w:r w:rsidRPr="00AC1055">
        <w:rPr>
          <w:rFonts w:cs="Times New Roman"/>
          <w:szCs w:val="24"/>
        </w:rPr>
        <w:t>hexecp</w:t>
      </w:r>
      <w:proofErr w:type="spellEnd"/>
      <w:r w:rsidRPr="00AC1055">
        <w:rPr>
          <w:rFonts w:cs="Times New Roman"/>
          <w:szCs w:val="24"/>
        </w:rPr>
        <w:t xml:space="preserve"> = 1| </w:t>
      </w:r>
      <w:proofErr w:type="spellStart"/>
      <w:r w:rsidRPr="00AC1055">
        <w:rPr>
          <w:rFonts w:cs="Times New Roman"/>
          <w:szCs w:val="24"/>
        </w:rPr>
        <w:t>θ</w:t>
      </w:r>
      <w:r w:rsidRPr="00AC1055">
        <w:rPr>
          <w:rFonts w:cs="Times New Roman"/>
          <w:szCs w:val="24"/>
          <w:vertAlign w:val="subscript"/>
        </w:rPr>
        <w:t>i</w:t>
      </w:r>
      <w:proofErr w:type="spellEnd"/>
      <w:r w:rsidRPr="00AC1055">
        <w:rPr>
          <w:rFonts w:cs="Times New Roman"/>
          <w:szCs w:val="24"/>
        </w:rPr>
        <w:t>) - P</w:t>
      </w:r>
      <w:r w:rsidRPr="00AC1055">
        <w:rPr>
          <w:rFonts w:cs="Times New Roman"/>
          <w:szCs w:val="24"/>
          <w:vertAlign w:val="superscript"/>
        </w:rPr>
        <w:t>*</w:t>
      </w:r>
      <w:r w:rsidRPr="00AC1055">
        <w:rPr>
          <w:rFonts w:cs="Times New Roman"/>
          <w:szCs w:val="24"/>
        </w:rPr>
        <w:t xml:space="preserve"> (S/</w:t>
      </w:r>
      <w:proofErr w:type="spellStart"/>
      <w:r w:rsidRPr="00AC1055">
        <w:rPr>
          <w:rFonts w:cs="Times New Roman"/>
          <w:szCs w:val="24"/>
        </w:rPr>
        <w:t>hexecp</w:t>
      </w:r>
      <w:proofErr w:type="spellEnd"/>
      <w:r w:rsidRPr="00AC1055">
        <w:rPr>
          <w:rFonts w:cs="Times New Roman"/>
          <w:szCs w:val="24"/>
        </w:rPr>
        <w:t xml:space="preserve"> = 2| </w:t>
      </w:r>
      <w:proofErr w:type="spellStart"/>
      <w:r w:rsidRPr="00AC1055">
        <w:rPr>
          <w:rFonts w:cs="Times New Roman"/>
          <w:szCs w:val="24"/>
        </w:rPr>
        <w:t>θ</w:t>
      </w:r>
      <w:r w:rsidRPr="00AC1055">
        <w:rPr>
          <w:rFonts w:cs="Times New Roman"/>
          <w:szCs w:val="24"/>
          <w:vertAlign w:val="subscript"/>
        </w:rPr>
        <w:t>i</w:t>
      </w:r>
      <w:proofErr w:type="spellEnd"/>
      <w:r w:rsidRPr="00AC1055">
        <w:rPr>
          <w:rFonts w:cs="Times New Roman"/>
          <w:szCs w:val="24"/>
        </w:rPr>
        <w:t>)</w:t>
      </w:r>
    </w:p>
    <w:p w14:paraId="0E92053F" w14:textId="77777777" w:rsidR="000A5358" w:rsidRPr="00AC1055" w:rsidRDefault="000A5358" w:rsidP="000A5358">
      <w:pPr>
        <w:spacing w:line="480" w:lineRule="auto"/>
        <w:rPr>
          <w:rFonts w:cs="Times New Roman"/>
          <w:szCs w:val="24"/>
        </w:rPr>
      </w:pPr>
      <w:r>
        <w:rPr>
          <w:rFonts w:cs="Times New Roman"/>
          <w:szCs w:val="24"/>
        </w:rPr>
        <w:t xml:space="preserve"> </w:t>
      </w:r>
      <w:r w:rsidRPr="00AC1055">
        <w:rPr>
          <w:rFonts w:cs="Times New Roman"/>
          <w:szCs w:val="24"/>
        </w:rPr>
        <w:t xml:space="preserve">                 P (S/</w:t>
      </w:r>
      <w:proofErr w:type="spellStart"/>
      <w:r w:rsidRPr="00AC1055">
        <w:rPr>
          <w:rFonts w:cs="Times New Roman"/>
          <w:szCs w:val="24"/>
        </w:rPr>
        <w:t>hexecp</w:t>
      </w:r>
      <w:proofErr w:type="spellEnd"/>
      <w:r w:rsidRPr="00AC1055">
        <w:rPr>
          <w:rFonts w:cs="Times New Roman"/>
          <w:szCs w:val="24"/>
        </w:rPr>
        <w:t xml:space="preserve"> = 2| </w:t>
      </w:r>
      <w:proofErr w:type="spellStart"/>
      <w:r w:rsidRPr="00AC1055">
        <w:rPr>
          <w:rFonts w:cs="Times New Roman"/>
          <w:szCs w:val="24"/>
        </w:rPr>
        <w:t>θ</w:t>
      </w:r>
      <w:r w:rsidRPr="00AC1055">
        <w:rPr>
          <w:rFonts w:cs="Times New Roman"/>
          <w:szCs w:val="24"/>
          <w:vertAlign w:val="subscript"/>
        </w:rPr>
        <w:t>i</w:t>
      </w:r>
      <w:proofErr w:type="spellEnd"/>
      <w:r w:rsidRPr="00AC1055">
        <w:rPr>
          <w:rFonts w:cs="Times New Roman"/>
          <w:szCs w:val="24"/>
        </w:rPr>
        <w:t>)= P</w:t>
      </w:r>
      <w:r w:rsidRPr="00AC1055">
        <w:rPr>
          <w:rFonts w:cs="Times New Roman"/>
          <w:szCs w:val="24"/>
          <w:vertAlign w:val="superscript"/>
        </w:rPr>
        <w:t>*</w:t>
      </w:r>
      <w:r w:rsidRPr="00AC1055">
        <w:rPr>
          <w:rFonts w:cs="Times New Roman"/>
          <w:szCs w:val="24"/>
        </w:rPr>
        <w:t xml:space="preserve"> (S/</w:t>
      </w:r>
      <w:proofErr w:type="spellStart"/>
      <w:r w:rsidRPr="00AC1055">
        <w:rPr>
          <w:rFonts w:cs="Times New Roman"/>
          <w:szCs w:val="24"/>
        </w:rPr>
        <w:t>hexecp</w:t>
      </w:r>
      <w:proofErr w:type="spellEnd"/>
      <w:r w:rsidRPr="00AC1055">
        <w:rPr>
          <w:rFonts w:cs="Times New Roman"/>
          <w:szCs w:val="24"/>
        </w:rPr>
        <w:t xml:space="preserve"> = 2| </w:t>
      </w:r>
      <w:proofErr w:type="spellStart"/>
      <w:r w:rsidRPr="00AC1055">
        <w:rPr>
          <w:rFonts w:cs="Times New Roman"/>
          <w:szCs w:val="24"/>
        </w:rPr>
        <w:t>θ</w:t>
      </w:r>
      <w:r w:rsidRPr="00AC1055">
        <w:rPr>
          <w:rFonts w:cs="Times New Roman"/>
          <w:szCs w:val="24"/>
          <w:vertAlign w:val="subscript"/>
        </w:rPr>
        <w:t>i</w:t>
      </w:r>
      <w:proofErr w:type="spellEnd"/>
      <w:r w:rsidRPr="00AC1055">
        <w:rPr>
          <w:rFonts w:cs="Times New Roman"/>
          <w:szCs w:val="24"/>
        </w:rPr>
        <w:t xml:space="preserve">)                  </w:t>
      </w:r>
      <w:r>
        <w:rPr>
          <w:rFonts w:cs="Times New Roman"/>
          <w:szCs w:val="24"/>
        </w:rPr>
        <w:t xml:space="preserve">                            </w:t>
      </w:r>
      <w:r w:rsidRPr="00AC1055">
        <w:rPr>
          <w:rFonts w:cs="Times New Roman"/>
          <w:szCs w:val="24"/>
        </w:rPr>
        <w:t>(2)</w:t>
      </w:r>
    </w:p>
    <w:p w14:paraId="12DFFCEF" w14:textId="77777777" w:rsidR="000A5358" w:rsidRPr="00AC1055" w:rsidRDefault="000A5358" w:rsidP="000A5358">
      <w:pPr>
        <w:spacing w:line="480" w:lineRule="auto"/>
        <w:rPr>
          <w:rFonts w:cs="Times New Roman"/>
          <w:szCs w:val="24"/>
        </w:rPr>
      </w:pPr>
      <w:r w:rsidRPr="00AC1055">
        <w:rPr>
          <w:rFonts w:cs="Times New Roman"/>
          <w:szCs w:val="24"/>
        </w:rPr>
        <w:lastRenderedPageBreak/>
        <w:t xml:space="preserve">This basically represents that </w:t>
      </w:r>
      <w:r>
        <w:rPr>
          <w:rFonts w:cs="Times New Roman"/>
          <w:szCs w:val="24"/>
        </w:rPr>
        <w:t xml:space="preserve">the </w:t>
      </w:r>
      <w:r w:rsidRPr="00AC1055">
        <w:rPr>
          <w:rFonts w:cs="Times New Roman"/>
          <w:szCs w:val="24"/>
        </w:rPr>
        <w:t xml:space="preserve">probability of </w:t>
      </w:r>
      <w:r>
        <w:rPr>
          <w:rFonts w:cs="Times New Roman"/>
          <w:szCs w:val="24"/>
        </w:rPr>
        <w:t xml:space="preserve">a </w:t>
      </w:r>
      <w:r w:rsidRPr="00AC1055">
        <w:rPr>
          <w:rFonts w:cs="Times New Roman"/>
          <w:szCs w:val="24"/>
        </w:rPr>
        <w:t>positive response in a category is calculated as the probability of responding positively at a category boundary less the probability of responding positively to the next category boundary. Therefore to sum up</w:t>
      </w:r>
      <w:r>
        <w:rPr>
          <w:rFonts w:cs="Times New Roman"/>
          <w:szCs w:val="24"/>
        </w:rPr>
        <w:t>,</w:t>
      </w:r>
      <w:r w:rsidRPr="00AC1055">
        <w:rPr>
          <w:rFonts w:cs="Times New Roman"/>
          <w:szCs w:val="24"/>
        </w:rPr>
        <w:t xml:space="preserve"> in general the Graded Response Model Category Boundary Response Function would be:</w:t>
      </w:r>
    </w:p>
    <w:p w14:paraId="35F71565" w14:textId="77777777" w:rsidR="000A5358" w:rsidRPr="00AC1055" w:rsidRDefault="005A260F" w:rsidP="000A5358">
      <w:pPr>
        <w:spacing w:line="480" w:lineRule="auto"/>
        <w:rPr>
          <w:rFonts w:cs="Times New Roman"/>
          <w:szCs w:val="24"/>
        </w:rPr>
      </w:pPr>
      <m:oMath>
        <m:sSubSup>
          <m:sSubSupPr>
            <m:ctrlPr>
              <w:rPr>
                <w:rFonts w:ascii="Cambria Math" w:hAnsi="Cambria Math" w:cs="Times New Roman"/>
                <w:i/>
                <w:sz w:val="28"/>
                <w:szCs w:val="28"/>
              </w:rPr>
            </m:ctrlPr>
          </m:sSubSupPr>
          <m:e>
            <m:r>
              <w:rPr>
                <w:rFonts w:ascii="Cambria Math" w:hAnsi="Cambria Math" w:cs="Times New Roman"/>
                <w:sz w:val="28"/>
                <w:szCs w:val="28"/>
              </w:rPr>
              <m:t xml:space="preserve">                                       P</m:t>
            </m:r>
          </m:e>
          <m:sub>
            <m:r>
              <w:rPr>
                <w:rFonts w:ascii="Cambria Math" w:hAnsi="Cambria Math" w:cs="Times New Roman"/>
                <w:sz w:val="28"/>
                <w:szCs w:val="28"/>
              </w:rPr>
              <m:t>jk</m:t>
            </m:r>
          </m:sub>
          <m:sup>
            <m:r>
              <w:rPr>
                <w:rFonts w:ascii="Cambria Math" w:hAnsi="Cambria Math" w:cs="Times New Roman"/>
                <w:sz w:val="28"/>
                <w:szCs w:val="28"/>
              </w:rPr>
              <m:t>*</m:t>
            </m:r>
          </m:sup>
        </m:sSubSup>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j</m:t>
                    </m:r>
                  </m:sub>
                </m:sSub>
                <m:r>
                  <w:rPr>
                    <w:rFonts w:ascii="Cambria Math" w:hAnsi="Cambria Math" w:cs="Times New Roman"/>
                    <w:sz w:val="28"/>
                    <w:szCs w:val="28"/>
                  </w:rPr>
                  <m:t xml:space="preserve">(θ-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jk</m:t>
                    </m:r>
                  </m:sub>
                </m:sSub>
                <m:r>
                  <w:rPr>
                    <w:rFonts w:ascii="Cambria Math" w:hAnsi="Cambria Math" w:cs="Times New Roman"/>
                    <w:sz w:val="28"/>
                    <w:szCs w:val="28"/>
                  </w:rPr>
                  <m:t>)</m:t>
                </m:r>
              </m:sup>
            </m:sSup>
          </m:num>
          <m:den>
            <m:r>
              <w:rPr>
                <w:rFonts w:ascii="Cambria Math" w:hAnsi="Cambria Math" w:cs="Times New Roman"/>
                <w:sz w:val="28"/>
                <w:szCs w:val="28"/>
              </w:rPr>
              <m:t xml:space="preserve">1+ </m:t>
            </m:r>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j</m:t>
                    </m:r>
                  </m:sub>
                </m:sSub>
                <m:r>
                  <w:rPr>
                    <w:rFonts w:ascii="Cambria Math" w:hAnsi="Cambria Math" w:cs="Times New Roman"/>
                    <w:sz w:val="28"/>
                    <w:szCs w:val="28"/>
                  </w:rPr>
                  <m:t xml:space="preserve">(θ-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jk</m:t>
                    </m:r>
                  </m:sub>
                </m:sSub>
                <m:r>
                  <w:rPr>
                    <w:rFonts w:ascii="Cambria Math" w:hAnsi="Cambria Math" w:cs="Times New Roman"/>
                    <w:sz w:val="28"/>
                    <w:szCs w:val="28"/>
                  </w:rPr>
                  <m:t>)</m:t>
                </m:r>
              </m:sup>
            </m:sSup>
          </m:den>
        </m:f>
      </m:oMath>
      <w:r w:rsidR="000A5358" w:rsidRPr="00AC1055">
        <w:rPr>
          <w:rFonts w:eastAsiaTheme="minorEastAsia" w:cs="Times New Roman"/>
          <w:szCs w:val="24"/>
        </w:rPr>
        <w:t xml:space="preserve">                                                        (3)                            </w:t>
      </w:r>
    </w:p>
    <w:p w14:paraId="62FCA2D9" w14:textId="77777777" w:rsidR="000A5358" w:rsidRPr="00AC1055" w:rsidRDefault="000A5358" w:rsidP="000A5358">
      <w:pPr>
        <w:spacing w:line="480" w:lineRule="auto"/>
        <w:rPr>
          <w:rFonts w:cs="Times New Roman"/>
          <w:sz w:val="22"/>
        </w:rPr>
      </w:pPr>
      <w:r w:rsidRPr="00AC1055">
        <w:rPr>
          <w:rFonts w:cs="Times New Roman"/>
          <w:szCs w:val="24"/>
        </w:rPr>
        <w:t xml:space="preserve">Here θ is constant for country </w:t>
      </w:r>
      <w:proofErr w:type="spellStart"/>
      <w:r w:rsidRPr="00AC1055">
        <w:rPr>
          <w:rFonts w:cs="Times New Roman"/>
          <w:szCs w:val="24"/>
        </w:rPr>
        <w:t>i</w:t>
      </w:r>
      <w:proofErr w:type="spellEnd"/>
      <w:r w:rsidRPr="00AC1055">
        <w:rPr>
          <w:rFonts w:cs="Times New Roman"/>
          <w:szCs w:val="24"/>
        </w:rPr>
        <w:t>, α</w:t>
      </w:r>
      <w:r w:rsidRPr="00AC1055">
        <w:rPr>
          <w:rFonts w:cs="Times New Roman"/>
          <w:szCs w:val="24"/>
          <w:vertAlign w:val="subscript"/>
        </w:rPr>
        <w:t>j</w:t>
      </w:r>
      <w:r w:rsidRPr="00AC1055">
        <w:rPr>
          <w:rFonts w:cs="Times New Roman"/>
          <w:szCs w:val="24"/>
        </w:rPr>
        <w:t xml:space="preserve"> is the item discrimination parameter and β</w:t>
      </w:r>
      <w:proofErr w:type="spellStart"/>
      <w:r w:rsidRPr="00AC1055">
        <w:rPr>
          <w:rFonts w:cs="Times New Roman"/>
          <w:szCs w:val="24"/>
          <w:vertAlign w:val="subscript"/>
        </w:rPr>
        <w:t>jk</w:t>
      </w:r>
      <w:proofErr w:type="spellEnd"/>
      <w:r w:rsidRPr="00AC1055">
        <w:rPr>
          <w:rFonts w:cs="Times New Roman"/>
          <w:szCs w:val="24"/>
        </w:rPr>
        <w:t xml:space="preserve"> is the boundary location parameter.</w:t>
      </w:r>
      <w:r w:rsidRPr="00AC1055">
        <w:rPr>
          <w:rFonts w:cs="Times New Roman"/>
          <w:szCs w:val="24"/>
          <w:vertAlign w:val="superscript"/>
        </w:rPr>
        <w:footnoteReference w:id="180"/>
      </w:r>
      <w:r w:rsidRPr="00AC1055">
        <w:rPr>
          <w:rFonts w:cs="Times New Roman"/>
          <w:szCs w:val="24"/>
        </w:rPr>
        <w:t xml:space="preserve"> We repeat this process for each item for all the countries. </w:t>
      </w:r>
      <w:r w:rsidRPr="00AC1055">
        <w:rPr>
          <w:rFonts w:cs="Times New Roman"/>
          <w:sz w:val="22"/>
        </w:rPr>
        <w:t xml:space="preserve">So finally for </w:t>
      </w:r>
      <w:proofErr w:type="spellStart"/>
      <w:r w:rsidRPr="00AC1055">
        <w:rPr>
          <w:rFonts w:cs="Times New Roman"/>
          <w:sz w:val="22"/>
        </w:rPr>
        <w:t>i</w:t>
      </w:r>
      <w:proofErr w:type="spellEnd"/>
      <w:r w:rsidRPr="00AC1055">
        <w:rPr>
          <w:rFonts w:cs="Times New Roman"/>
          <w:sz w:val="22"/>
        </w:rPr>
        <w:t xml:space="preserve"> number of countries, for each country </w:t>
      </w:r>
      <w:r>
        <w:rPr>
          <w:rFonts w:cs="Times New Roman"/>
          <w:sz w:val="22"/>
        </w:rPr>
        <w:t>there are</w:t>
      </w:r>
      <w:r w:rsidRPr="00AC1055">
        <w:rPr>
          <w:rFonts w:cs="Times New Roman"/>
          <w:sz w:val="22"/>
        </w:rPr>
        <w:t xml:space="preserve"> the observed response pattern</w:t>
      </w:r>
      <w:r>
        <w:rPr>
          <w:rFonts w:cs="Times New Roman"/>
          <w:sz w:val="22"/>
        </w:rPr>
        <w:t>s</w:t>
      </w:r>
      <w:r w:rsidRPr="00AC1055">
        <w:rPr>
          <w:rFonts w:cs="Times New Roman"/>
          <w:sz w:val="22"/>
        </w:rPr>
        <w:t xml:space="preserve"> of corporate governance indicators Y</w:t>
      </w:r>
      <w:r w:rsidRPr="00AC1055">
        <w:rPr>
          <w:rFonts w:cs="Times New Roman"/>
          <w:sz w:val="22"/>
          <w:vertAlign w:val="subscript"/>
        </w:rPr>
        <w:t>i</w:t>
      </w:r>
      <w:r w:rsidRPr="00AC1055">
        <w:rPr>
          <w:rFonts w:cs="Times New Roman"/>
          <w:sz w:val="22"/>
        </w:rPr>
        <w:t xml:space="preserve">, </w:t>
      </w:r>
      <w:r>
        <w:rPr>
          <w:rFonts w:cs="Times New Roman"/>
          <w:sz w:val="22"/>
        </w:rPr>
        <w:t xml:space="preserve">the </w:t>
      </w:r>
      <w:r w:rsidRPr="00AC1055">
        <w:rPr>
          <w:rFonts w:cs="Times New Roman"/>
          <w:sz w:val="22"/>
        </w:rPr>
        <w:t>overall pattern is denoted by Y, j denotes the individual corporate governance items, α</w:t>
      </w:r>
      <w:r w:rsidRPr="00AC1055">
        <w:rPr>
          <w:rFonts w:cs="Times New Roman"/>
          <w:sz w:val="22"/>
          <w:vertAlign w:val="subscript"/>
        </w:rPr>
        <w:t>j</w:t>
      </w:r>
      <w:r w:rsidRPr="00AC1055">
        <w:rPr>
          <w:rFonts w:cs="Times New Roman"/>
          <w:sz w:val="22"/>
        </w:rPr>
        <w:t xml:space="preserve"> denotes the discrimination for item j, β</w:t>
      </w:r>
      <w:r w:rsidRPr="00AC1055">
        <w:rPr>
          <w:rFonts w:cs="Times New Roman"/>
          <w:sz w:val="22"/>
          <w:vertAlign w:val="subscript"/>
        </w:rPr>
        <w:t>j</w:t>
      </w:r>
      <w:r w:rsidRPr="00AC1055">
        <w:rPr>
          <w:rFonts w:cs="Times New Roman"/>
          <w:sz w:val="22"/>
        </w:rPr>
        <w:t xml:space="preserve"> denotes the difficulty for item j, then the ability or trait </w:t>
      </w:r>
      <w:proofErr w:type="spellStart"/>
      <w:r w:rsidRPr="00AC1055">
        <w:rPr>
          <w:rFonts w:cs="Times New Roman"/>
          <w:sz w:val="22"/>
        </w:rPr>
        <w:t>θ</w:t>
      </w:r>
      <w:r w:rsidRPr="00AC1055">
        <w:rPr>
          <w:rFonts w:cs="Times New Roman"/>
          <w:sz w:val="22"/>
          <w:vertAlign w:val="subscript"/>
        </w:rPr>
        <w:t>i</w:t>
      </w:r>
      <w:proofErr w:type="spellEnd"/>
      <w:r w:rsidRPr="00AC1055">
        <w:rPr>
          <w:rFonts w:cs="Times New Roman"/>
          <w:sz w:val="22"/>
        </w:rPr>
        <w:t xml:space="preserve"> can be estimated as:</w:t>
      </w:r>
      <w:r w:rsidRPr="00AC1055">
        <w:rPr>
          <w:rFonts w:cs="Times New Roman"/>
          <w:sz w:val="22"/>
          <w:vertAlign w:val="superscript"/>
        </w:rPr>
        <w:footnoteReference w:id="181"/>
      </w:r>
      <w:r w:rsidRPr="00AC1055">
        <w:rPr>
          <w:rFonts w:cs="Times New Roman"/>
          <w:sz w:val="22"/>
        </w:rPr>
        <w:t xml:space="preserve"> </w:t>
      </w:r>
    </w:p>
    <w:p w14:paraId="110052E6" w14:textId="77777777" w:rsidR="000A5358" w:rsidRPr="00AC1055" w:rsidRDefault="000A5358" w:rsidP="000A5358">
      <w:pPr>
        <w:spacing w:line="480" w:lineRule="auto"/>
        <w:rPr>
          <w:rFonts w:cs="Times New Roman"/>
          <w:sz w:val="22"/>
        </w:rPr>
      </w:pPr>
      <m:oMath>
        <m:r>
          <m:rPr>
            <m:scr m:val="script"/>
          </m:rPr>
          <w:rPr>
            <w:rFonts w:ascii="Cambria Math" w:hAnsi="Cambria Math" w:cs="Times New Roman"/>
            <w:sz w:val="22"/>
          </w:rPr>
          <m:t xml:space="preserve">                         l</m:t>
        </m:r>
        <m:d>
          <m:dPr>
            <m:ctrlPr>
              <w:rPr>
                <w:rFonts w:ascii="Cambria Math" w:hAnsi="Cambria Math" w:cs="Times New Roman"/>
                <w:i/>
                <w:sz w:val="22"/>
              </w:rPr>
            </m:ctrlPr>
          </m:dPr>
          <m:e>
            <m:r>
              <w:rPr>
                <w:rFonts w:ascii="Cambria Math" w:hAnsi="Cambria Math" w:cs="Times New Roman"/>
                <w:sz w:val="22"/>
              </w:rPr>
              <m:t>Y</m:t>
            </m:r>
          </m:e>
          <m:e>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i</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ij</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β</m:t>
                </m:r>
              </m:e>
              <m:sub>
                <m:r>
                  <w:rPr>
                    <w:rFonts w:ascii="Cambria Math" w:hAnsi="Cambria Math" w:cs="Times New Roman"/>
                    <w:sz w:val="22"/>
                  </w:rPr>
                  <m:t>ij</m:t>
                </m:r>
              </m:sub>
            </m:sSub>
          </m:e>
        </m:d>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j=1</m:t>
            </m:r>
          </m:sub>
          <m:sup>
            <m:r>
              <w:rPr>
                <w:rFonts w:ascii="Cambria Math" w:hAnsi="Cambria Math" w:cs="Times New Roman"/>
                <w:sz w:val="22"/>
              </w:rPr>
              <m:t>j</m:t>
            </m:r>
          </m:sup>
          <m:e>
            <m:nary>
              <m:naryPr>
                <m:chr m:val="∏"/>
                <m:limLoc m:val="undOvr"/>
                <m:ctrlPr>
                  <w:rPr>
                    <w:rFonts w:ascii="Cambria Math" w:hAnsi="Cambria Math" w:cs="Times New Roman"/>
                    <w:i/>
                    <w:sz w:val="22"/>
                  </w:rPr>
                </m:ctrlPr>
              </m:naryPr>
              <m:sub>
                <m:r>
                  <w:rPr>
                    <w:rFonts w:ascii="Cambria Math" w:hAnsi="Cambria Math" w:cs="Times New Roman"/>
                    <w:sz w:val="22"/>
                  </w:rPr>
                  <m:t>i=1</m:t>
                </m:r>
              </m:sub>
              <m:sup>
                <m:r>
                  <w:rPr>
                    <w:rFonts w:ascii="Cambria Math" w:hAnsi="Cambria Math" w:cs="Times New Roman"/>
                    <w:sz w:val="22"/>
                  </w:rPr>
                  <m:t>i</m:t>
                </m:r>
              </m:sup>
              <m:e>
                <m:r>
                  <w:rPr>
                    <w:rFonts w:ascii="Cambria Math" w:hAnsi="Cambria Math" w:cs="Times New Roman"/>
                    <w:sz w:val="22"/>
                  </w:rPr>
                  <m:t>P(</m:t>
                </m:r>
                <m:sSub>
                  <m:sSubPr>
                    <m:ctrlPr>
                      <w:rPr>
                        <w:rFonts w:ascii="Cambria Math" w:hAnsi="Cambria Math" w:cs="Times New Roman"/>
                        <w:i/>
                        <w:sz w:val="22"/>
                      </w:rPr>
                    </m:ctrlPr>
                  </m:sSubPr>
                  <m:e>
                    <m:r>
                      <w:rPr>
                        <w:rFonts w:ascii="Cambria Math" w:hAnsi="Cambria Math" w:cs="Times New Roman"/>
                        <w:sz w:val="22"/>
                      </w:rPr>
                      <m:t>Y</m:t>
                    </m:r>
                  </m:e>
                  <m:sub>
                    <m:r>
                      <w:rPr>
                        <w:rFonts w:ascii="Cambria Math" w:hAnsi="Cambria Math" w:cs="Times New Roman"/>
                        <w:sz w:val="22"/>
                      </w:rPr>
                      <m:t>ij</m:t>
                    </m:r>
                  </m:sub>
                </m:sSub>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i</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ij</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β</m:t>
                    </m:r>
                  </m:e>
                  <m:sub>
                    <m:r>
                      <w:rPr>
                        <w:rFonts w:ascii="Cambria Math" w:hAnsi="Cambria Math" w:cs="Times New Roman"/>
                        <w:sz w:val="22"/>
                      </w:rPr>
                      <m:t>ij</m:t>
                    </m:r>
                  </m:sub>
                </m:sSub>
                <m:r>
                  <w:rPr>
                    <w:rFonts w:ascii="Cambria Math" w:hAnsi="Cambria Math" w:cs="Times New Roman"/>
                    <w:sz w:val="22"/>
                  </w:rPr>
                  <m:t>)</m:t>
                </m:r>
              </m:e>
            </m:nary>
          </m:e>
        </m:nary>
      </m:oMath>
      <w:r w:rsidRPr="00AC1055">
        <w:rPr>
          <w:rFonts w:eastAsiaTheme="minorEastAsia" w:cs="Times New Roman"/>
          <w:sz w:val="22"/>
        </w:rPr>
        <w:t xml:space="preserve">                                     </w:t>
      </w:r>
      <w:r>
        <w:rPr>
          <w:rFonts w:eastAsiaTheme="minorEastAsia" w:cs="Times New Roman"/>
          <w:sz w:val="22"/>
        </w:rPr>
        <w:t>(</w:t>
      </w:r>
      <w:r w:rsidRPr="00AC1055">
        <w:rPr>
          <w:rFonts w:eastAsiaTheme="minorEastAsia" w:cs="Times New Roman"/>
          <w:sz w:val="22"/>
        </w:rPr>
        <w:t>4)</w:t>
      </w:r>
    </w:p>
    <w:p w14:paraId="547902E4" w14:textId="77777777" w:rsidR="000A5358" w:rsidRPr="00AC1055" w:rsidRDefault="000A5358" w:rsidP="000A5358">
      <w:pPr>
        <w:spacing w:line="480" w:lineRule="auto"/>
        <w:rPr>
          <w:rFonts w:cs="Times New Roman"/>
          <w:szCs w:val="24"/>
        </w:rPr>
      </w:pPr>
      <w:r w:rsidRPr="00AC1055">
        <w:rPr>
          <w:rFonts w:cs="Times New Roman"/>
          <w:szCs w:val="24"/>
        </w:rPr>
        <w:t>This can be represented as a fully Bayesian process or through marginal maximum likelihood given a marginal prior distribution P(</w:t>
      </w:r>
      <w:proofErr w:type="spellStart"/>
      <w:r w:rsidRPr="00AC1055">
        <w:rPr>
          <w:rFonts w:cs="Times New Roman"/>
          <w:sz w:val="22"/>
        </w:rPr>
        <w:t>θ</w:t>
      </w:r>
      <w:r w:rsidRPr="00AC1055">
        <w:rPr>
          <w:rFonts w:cs="Times New Roman"/>
          <w:sz w:val="22"/>
          <w:vertAlign w:val="subscript"/>
        </w:rPr>
        <w:t>i</w:t>
      </w:r>
      <w:proofErr w:type="spellEnd"/>
      <w:r w:rsidRPr="00AC1055">
        <w:rPr>
          <w:rFonts w:cs="Times New Roman"/>
          <w:szCs w:val="24"/>
        </w:rPr>
        <w:t xml:space="preserve">) for each value of the latent variable, the posterior distribution of </w:t>
      </w:r>
      <w:proofErr w:type="spellStart"/>
      <w:r w:rsidRPr="00AC1055">
        <w:rPr>
          <w:rFonts w:cs="Times New Roman"/>
          <w:sz w:val="22"/>
        </w:rPr>
        <w:t>θ</w:t>
      </w:r>
      <w:r w:rsidRPr="00AC1055">
        <w:rPr>
          <w:rFonts w:cs="Times New Roman"/>
          <w:sz w:val="22"/>
          <w:vertAlign w:val="subscript"/>
        </w:rPr>
        <w:t>i</w:t>
      </w:r>
      <w:proofErr w:type="spellEnd"/>
      <w:r w:rsidRPr="00AC1055">
        <w:rPr>
          <w:rFonts w:cs="Times New Roman"/>
          <w:szCs w:val="24"/>
        </w:rPr>
        <w:t xml:space="preserve"> as:</w:t>
      </w:r>
      <w:r w:rsidRPr="00AC1055">
        <w:rPr>
          <w:rFonts w:cs="Times New Roman"/>
          <w:szCs w:val="24"/>
          <w:vertAlign w:val="superscript"/>
        </w:rPr>
        <w:footnoteReference w:id="182"/>
      </w:r>
    </w:p>
    <w:p w14:paraId="4170CDA7" w14:textId="77777777" w:rsidR="000A5358" w:rsidRPr="00AC1055" w:rsidRDefault="000A5358" w:rsidP="000A5358">
      <w:pPr>
        <w:spacing w:line="480" w:lineRule="auto"/>
        <w:rPr>
          <w:rFonts w:cs="Times New Roman"/>
          <w:szCs w:val="24"/>
        </w:rPr>
      </w:pPr>
      <m:oMath>
        <m:r>
          <w:rPr>
            <w:rFonts w:ascii="Cambria Math" w:hAnsi="Cambria Math" w:cs="Times New Roman"/>
            <w:szCs w:val="24"/>
          </w:rPr>
          <m:t xml:space="preserve">        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e>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e>
        </m:d>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m:t>
                </m:r>
              </m:sup>
              <m:e>
                <m:sSup>
                  <m:sSupPr>
                    <m:ctrlPr>
                      <w:rPr>
                        <w:rFonts w:ascii="Cambria Math" w:hAnsi="Cambria Math" w:cs="Times New Roman"/>
                        <w:i/>
                        <w:szCs w:val="24"/>
                      </w:rPr>
                    </m:ctrlPr>
                  </m:sSupPr>
                  <m:e>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e>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j</m:t>
                            </m:r>
                          </m:sub>
                        </m:sSub>
                      </m:e>
                    </m:d>
                  </m:e>
                  <m:sup>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ij</m:t>
                        </m:r>
                      </m:sub>
                    </m:sSub>
                  </m:sup>
                </m:sSup>
                <m:sSup>
                  <m:sSupPr>
                    <m:ctrlPr>
                      <w:rPr>
                        <w:rFonts w:ascii="Cambria Math" w:hAnsi="Cambria Math" w:cs="Times New Roman"/>
                        <w:i/>
                        <w:szCs w:val="24"/>
                      </w:rPr>
                    </m:ctrlPr>
                  </m:sSupPr>
                  <m:e>
                    <m:r>
                      <w:rPr>
                        <w:rFonts w:ascii="Cambria Math" w:hAnsi="Cambria Math" w:cs="Times New Roman"/>
                        <w:szCs w:val="24"/>
                      </w:rPr>
                      <m:t>(1- 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e>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j</m:t>
                            </m:r>
                          </m:sub>
                        </m:sSub>
                      </m:e>
                    </m:d>
                    <m:r>
                      <w:rPr>
                        <w:rFonts w:ascii="Cambria Math" w:hAnsi="Cambria Math" w:cs="Times New Roman"/>
                        <w:szCs w:val="24"/>
                      </w:rPr>
                      <m:t>)</m:t>
                    </m:r>
                  </m:e>
                  <m:sup>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ij</m:t>
                        </m:r>
                      </m:sub>
                    </m:sSub>
                  </m:sup>
                </m:sSup>
              </m:e>
            </m:nary>
          </m:e>
        </m:nary>
      </m:oMath>
      <w:r>
        <w:rPr>
          <w:rFonts w:eastAsiaTheme="minorEastAsia" w:cs="Times New Roman"/>
          <w:szCs w:val="24"/>
        </w:rPr>
        <w:t xml:space="preserve">    </w:t>
      </w:r>
      <w:r w:rsidRPr="00AC1055">
        <w:rPr>
          <w:rFonts w:eastAsiaTheme="minorEastAsia" w:cs="Times New Roman"/>
          <w:szCs w:val="24"/>
        </w:rPr>
        <w:t>(5)</w:t>
      </w:r>
    </w:p>
    <w:p w14:paraId="1F8E5DEE" w14:textId="77777777" w:rsidR="000A5358" w:rsidRPr="00AC1055" w:rsidRDefault="000A5358" w:rsidP="000A5358">
      <w:pPr>
        <w:spacing w:line="480" w:lineRule="auto"/>
        <w:rPr>
          <w:rFonts w:cs="Times New Roman"/>
          <w:szCs w:val="24"/>
        </w:rPr>
      </w:pPr>
      <w:r w:rsidRPr="00AC1055">
        <w:rPr>
          <w:rFonts w:cs="Times New Roman"/>
          <w:szCs w:val="24"/>
        </w:rPr>
        <w:t>This falls squarely within the Bayesian function of prior times</w:t>
      </w:r>
      <w:r>
        <w:rPr>
          <w:rFonts w:cs="Times New Roman"/>
          <w:szCs w:val="24"/>
        </w:rPr>
        <w:t>, the</w:t>
      </w:r>
      <w:r w:rsidRPr="00AC1055">
        <w:rPr>
          <w:rFonts w:cs="Times New Roman"/>
          <w:szCs w:val="24"/>
        </w:rPr>
        <w:t xml:space="preserve"> likelihood is proportional to the posterior. However as a time series analysis </w:t>
      </w:r>
      <w:r>
        <w:rPr>
          <w:rFonts w:cs="Times New Roman"/>
          <w:szCs w:val="24"/>
        </w:rPr>
        <w:t xml:space="preserve">is also considered, it is necessary </w:t>
      </w:r>
      <w:r w:rsidRPr="00AC1055">
        <w:rPr>
          <w:rFonts w:cs="Times New Roman"/>
          <w:szCs w:val="24"/>
        </w:rPr>
        <w:t xml:space="preserve">to include a time component as well, the Martin and Quinn dynamic </w:t>
      </w:r>
      <w:r w:rsidRPr="00AC1055">
        <w:rPr>
          <w:rFonts w:cs="Times New Roman"/>
          <w:szCs w:val="24"/>
        </w:rPr>
        <w:lastRenderedPageBreak/>
        <w:t>ideal point estimation</w:t>
      </w:r>
      <w:r w:rsidRPr="00AC1055">
        <w:rPr>
          <w:rFonts w:cs="Times New Roman"/>
          <w:szCs w:val="24"/>
          <w:vertAlign w:val="superscript"/>
        </w:rPr>
        <w:footnoteReference w:id="183"/>
      </w:r>
      <w:r w:rsidRPr="00AC1055">
        <w:rPr>
          <w:rFonts w:cs="Times New Roman"/>
          <w:szCs w:val="24"/>
        </w:rPr>
        <w:t xml:space="preserve"> </w:t>
      </w:r>
      <w:r>
        <w:rPr>
          <w:rFonts w:cs="Times New Roman"/>
          <w:szCs w:val="24"/>
        </w:rPr>
        <w:t xml:space="preserve">can be used </w:t>
      </w:r>
      <w:r w:rsidRPr="00AC1055">
        <w:rPr>
          <w:rFonts w:cs="Times New Roman"/>
          <w:szCs w:val="24"/>
        </w:rPr>
        <w:t xml:space="preserve">to estimate the dynamic corporate governance of each country over each year. So a joint derivation of proportionality function (5) of item and trait parameters </w:t>
      </w:r>
      <w:r>
        <w:rPr>
          <w:rFonts w:cs="Times New Roman"/>
          <w:szCs w:val="24"/>
        </w:rPr>
        <w:t>gives</w:t>
      </w:r>
      <w:r w:rsidRPr="00AC1055">
        <w:rPr>
          <w:rFonts w:cs="Times New Roman"/>
          <w:szCs w:val="24"/>
        </w:rPr>
        <w:t>:</w:t>
      </w:r>
    </w:p>
    <w:p w14:paraId="33B63A45" w14:textId="77777777" w:rsidR="000A5358" w:rsidRPr="00AC1055" w:rsidRDefault="000A5358" w:rsidP="000A5358">
      <w:pPr>
        <w:spacing w:line="480" w:lineRule="auto"/>
        <w:rPr>
          <w:rFonts w:cs="Times New Roman"/>
          <w:szCs w:val="24"/>
        </w:rPr>
      </w:pPr>
      <m:oMath>
        <m:r>
          <w:rPr>
            <w:rFonts w:ascii="Cambria Math" w:hAnsi="Cambria Math" w:cs="Times New Roman"/>
            <w:szCs w:val="24"/>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it</m:t>
                </m:r>
              </m:sub>
            </m:sSub>
          </m:e>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e>
        </m:d>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it</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t=1</m:t>
            </m:r>
          </m:sub>
          <m:sup>
            <m:r>
              <w:rPr>
                <w:rFonts w:ascii="Cambria Math" w:hAnsi="Cambria Math" w:cs="Times New Roman"/>
                <w:szCs w:val="24"/>
              </w:rPr>
              <m:t>T</m:t>
            </m:r>
          </m:sup>
          <m:e>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m:t>
                    </m:r>
                  </m:sup>
                  <m:e>
                    <m:sSup>
                      <m:sSupPr>
                        <m:ctrlPr>
                          <w:rPr>
                            <w:rFonts w:ascii="Cambria Math" w:hAnsi="Cambria Math" w:cs="Times New Roman"/>
                            <w:i/>
                            <w:szCs w:val="24"/>
                          </w:rPr>
                        </m:ctrlPr>
                      </m:sSupPr>
                      <m:e>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it</m:t>
                                </m:r>
                              </m:sub>
                            </m:sSub>
                          </m:e>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j</m:t>
                                </m:r>
                              </m:sub>
                            </m:sSub>
                          </m:e>
                        </m:d>
                      </m:e>
                      <m:sup>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itj</m:t>
                            </m:r>
                          </m:sub>
                        </m:sSub>
                      </m:sup>
                    </m:sSup>
                    <m:sSup>
                      <m:sSupPr>
                        <m:ctrlPr>
                          <w:rPr>
                            <w:rFonts w:ascii="Cambria Math" w:hAnsi="Cambria Math" w:cs="Times New Roman"/>
                            <w:i/>
                            <w:szCs w:val="24"/>
                          </w:rPr>
                        </m:ctrlPr>
                      </m:sSupPr>
                      <m:e>
                        <m:r>
                          <w:rPr>
                            <w:rFonts w:ascii="Cambria Math" w:hAnsi="Cambria Math" w:cs="Times New Roman"/>
                            <w:szCs w:val="24"/>
                          </w:rPr>
                          <m:t>(1- 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it</m:t>
                                </m:r>
                              </m:sub>
                            </m:sSub>
                          </m:e>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j</m:t>
                                </m:r>
                              </m:sub>
                            </m:sSub>
                          </m:e>
                        </m:d>
                        <m:r>
                          <w:rPr>
                            <w:rFonts w:ascii="Cambria Math" w:hAnsi="Cambria Math" w:cs="Times New Roman"/>
                            <w:szCs w:val="24"/>
                          </w:rPr>
                          <m:t>)</m:t>
                        </m:r>
                      </m:e>
                      <m:sup>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itj</m:t>
                            </m:r>
                          </m:sub>
                        </m:sSub>
                      </m:sup>
                    </m:sSup>
                  </m:e>
                </m:nary>
              </m:e>
            </m:nary>
            <m:r>
              <w:rPr>
                <w:rFonts w:ascii="Cambria Math" w:hAnsi="Cambria Math" w:cs="Times New Roman"/>
                <w:szCs w:val="24"/>
              </w:rPr>
              <m:t xml:space="preserve"> </m:t>
            </m:r>
          </m:e>
        </m:nary>
      </m:oMath>
      <w:r>
        <w:rPr>
          <w:rFonts w:eastAsiaTheme="minorEastAsia" w:cs="Times New Roman"/>
          <w:szCs w:val="24"/>
        </w:rPr>
        <w:t xml:space="preserve">                           </w:t>
      </w:r>
      <w:r w:rsidRPr="00AC1055">
        <w:rPr>
          <w:rFonts w:eastAsiaTheme="minorEastAsia" w:cs="Times New Roman"/>
          <w:szCs w:val="24"/>
        </w:rPr>
        <w:t>(6)</w:t>
      </w:r>
    </w:p>
    <w:p w14:paraId="70E6357E" w14:textId="77777777" w:rsidR="000A5358" w:rsidRPr="00AC1055" w:rsidRDefault="000A5358" w:rsidP="000A5358">
      <w:pPr>
        <w:spacing w:line="480" w:lineRule="auto"/>
        <w:rPr>
          <w:rFonts w:cs="Times New Roman"/>
          <w:szCs w:val="24"/>
        </w:rPr>
      </w:pPr>
      <w:r>
        <w:rPr>
          <w:rFonts w:cs="Times New Roman"/>
          <w:szCs w:val="24"/>
        </w:rPr>
        <w:t>Until</w:t>
      </w:r>
      <w:r w:rsidRPr="00AC1055">
        <w:rPr>
          <w:rFonts w:cs="Times New Roman"/>
          <w:szCs w:val="24"/>
        </w:rPr>
        <w:t xml:space="preserve"> the turn of the last century</w:t>
      </w:r>
      <w:r>
        <w:rPr>
          <w:rFonts w:cs="Times New Roman"/>
          <w:szCs w:val="24"/>
        </w:rPr>
        <w:t xml:space="preserve">, a </w:t>
      </w:r>
      <w:r w:rsidRPr="00AC1055">
        <w:rPr>
          <w:rFonts w:cs="Times New Roman"/>
          <w:szCs w:val="24"/>
        </w:rPr>
        <w:t>major breakthrough in Bayesian</w:t>
      </w:r>
      <w:r>
        <w:rPr>
          <w:rFonts w:cs="Times New Roman"/>
          <w:szCs w:val="24"/>
        </w:rPr>
        <w:t>-</w:t>
      </w:r>
      <w:r w:rsidRPr="00AC1055">
        <w:rPr>
          <w:rFonts w:cs="Times New Roman"/>
          <w:szCs w:val="24"/>
        </w:rPr>
        <w:t xml:space="preserve">based social science research was hampered by </w:t>
      </w:r>
      <w:r>
        <w:rPr>
          <w:rFonts w:cs="Times New Roman"/>
          <w:szCs w:val="24"/>
        </w:rPr>
        <w:t xml:space="preserve">the </w:t>
      </w:r>
      <w:r w:rsidRPr="00AC1055">
        <w:rPr>
          <w:rFonts w:cs="Times New Roman"/>
          <w:szCs w:val="24"/>
        </w:rPr>
        <w:t xml:space="preserve">absence of </w:t>
      </w:r>
      <w:r>
        <w:rPr>
          <w:rFonts w:cs="Times New Roman"/>
          <w:szCs w:val="24"/>
        </w:rPr>
        <w:t xml:space="preserve">the computing power </w:t>
      </w:r>
      <w:r w:rsidRPr="00AC1055">
        <w:rPr>
          <w:rFonts w:cs="Times New Roman"/>
          <w:szCs w:val="24"/>
        </w:rPr>
        <w:t>necessary to accurately test the estimation theories of IRT. Hence</w:t>
      </w:r>
      <w:r>
        <w:rPr>
          <w:rFonts w:cs="Times New Roman"/>
          <w:szCs w:val="24"/>
        </w:rPr>
        <w:t>,</w:t>
      </w:r>
      <w:r w:rsidRPr="00AC1055">
        <w:rPr>
          <w:rFonts w:cs="Times New Roman"/>
          <w:szCs w:val="24"/>
        </w:rPr>
        <w:t xml:space="preserve"> scholars used maximum likelihood estimator</w:t>
      </w:r>
      <w:r>
        <w:rPr>
          <w:rFonts w:cs="Times New Roman"/>
          <w:szCs w:val="24"/>
        </w:rPr>
        <w:t>s</w:t>
      </w:r>
      <w:r w:rsidRPr="00AC1055">
        <w:rPr>
          <w:rFonts w:cs="Times New Roman"/>
          <w:szCs w:val="24"/>
        </w:rPr>
        <w:t xml:space="preserve"> to infer latent trait</w:t>
      </w:r>
      <w:r>
        <w:rPr>
          <w:rFonts w:cs="Times New Roman"/>
          <w:szCs w:val="24"/>
        </w:rPr>
        <w:t>s</w:t>
      </w:r>
      <w:r w:rsidRPr="00AC1055">
        <w:rPr>
          <w:rFonts w:cs="Times New Roman"/>
          <w:szCs w:val="24"/>
        </w:rPr>
        <w:t xml:space="preserve"> based on a distribution model. By </w:t>
      </w:r>
      <w:r>
        <w:rPr>
          <w:rFonts w:cs="Times New Roman"/>
          <w:szCs w:val="24"/>
        </w:rPr>
        <w:t xml:space="preserve">the </w:t>
      </w:r>
      <w:r w:rsidRPr="00AC1055">
        <w:rPr>
          <w:rFonts w:cs="Times New Roman"/>
          <w:szCs w:val="24"/>
        </w:rPr>
        <w:t>mid</w:t>
      </w:r>
      <w:r>
        <w:rPr>
          <w:rFonts w:cs="Times New Roman"/>
          <w:szCs w:val="24"/>
        </w:rPr>
        <w:t>-</w:t>
      </w:r>
      <w:r w:rsidRPr="00AC1055">
        <w:rPr>
          <w:rFonts w:cs="Times New Roman"/>
          <w:szCs w:val="24"/>
        </w:rPr>
        <w:t xml:space="preserve">1990s there were several technological leaps which allowed for solving a fully Bayesian function. The only way to adequately test </w:t>
      </w:r>
      <w:r>
        <w:rPr>
          <w:rFonts w:cs="Times New Roman"/>
          <w:szCs w:val="24"/>
        </w:rPr>
        <w:t xml:space="preserve">the </w:t>
      </w:r>
      <w:r w:rsidRPr="00AC1055">
        <w:rPr>
          <w:rFonts w:cs="Times New Roman"/>
          <w:szCs w:val="24"/>
        </w:rPr>
        <w:t>Bayesian process was through simulation, to generate thousands of probable solution</w:t>
      </w:r>
      <w:r>
        <w:rPr>
          <w:rFonts w:cs="Times New Roman"/>
          <w:szCs w:val="24"/>
        </w:rPr>
        <w:t>s</w:t>
      </w:r>
      <w:r w:rsidRPr="00AC1055">
        <w:rPr>
          <w:rFonts w:cs="Times New Roman"/>
          <w:szCs w:val="24"/>
        </w:rPr>
        <w:t xml:space="preserve"> and check which fits best. The most commonly available computer simulation technique is the Monte Carlo method which was invented in the 1940s and was initially used to help develop the nuclear bomb in the Manhattan Project.</w:t>
      </w:r>
      <w:r w:rsidRPr="00AC1055">
        <w:rPr>
          <w:rFonts w:cs="Times New Roman"/>
          <w:szCs w:val="24"/>
          <w:vertAlign w:val="superscript"/>
        </w:rPr>
        <w:footnoteReference w:id="184"/>
      </w:r>
      <w:r w:rsidRPr="00AC1055">
        <w:rPr>
          <w:rFonts w:cs="Times New Roman"/>
          <w:szCs w:val="24"/>
        </w:rPr>
        <w:t xml:space="preserve"> However</w:t>
      </w:r>
      <w:r>
        <w:rPr>
          <w:rFonts w:cs="Times New Roman"/>
          <w:szCs w:val="24"/>
        </w:rPr>
        <w:t>,</w:t>
      </w:r>
      <w:r w:rsidRPr="00AC1055">
        <w:rPr>
          <w:rFonts w:cs="Times New Roman"/>
          <w:szCs w:val="24"/>
        </w:rPr>
        <w:t xml:space="preserve"> low computing power could not fully exploit the large probability distribution for large numbers of unknown parameters as is often the case with IRT.</w:t>
      </w:r>
      <w:r w:rsidRPr="00AC1055">
        <w:rPr>
          <w:rFonts w:cs="Times New Roman"/>
          <w:szCs w:val="24"/>
          <w:vertAlign w:val="superscript"/>
        </w:rPr>
        <w:footnoteReference w:id="185"/>
      </w:r>
      <w:r w:rsidRPr="00AC1055">
        <w:rPr>
          <w:rFonts w:cs="Times New Roman"/>
          <w:szCs w:val="24"/>
        </w:rPr>
        <w:t xml:space="preserve"> This required constraints or </w:t>
      </w:r>
      <w:r w:rsidRPr="00AC1055">
        <w:rPr>
          <w:rFonts w:cs="Times New Roman"/>
          <w:szCs w:val="24"/>
        </w:rPr>
        <w:lastRenderedPageBreak/>
        <w:t xml:space="preserve">boundaries to make </w:t>
      </w:r>
      <w:r>
        <w:rPr>
          <w:rFonts w:cs="Times New Roman"/>
          <w:szCs w:val="24"/>
        </w:rPr>
        <w:t xml:space="preserve">the </w:t>
      </w:r>
      <w:r w:rsidRPr="00AC1055">
        <w:rPr>
          <w:rFonts w:cs="Times New Roman"/>
          <w:szCs w:val="24"/>
        </w:rPr>
        <w:t>Monte Carlo method more efficient, this was provided by Markov Chain processes. Put very simpl</w:t>
      </w:r>
      <w:r>
        <w:rPr>
          <w:rFonts w:cs="Times New Roman"/>
          <w:szCs w:val="24"/>
        </w:rPr>
        <w:t>y,</w:t>
      </w:r>
      <w:r w:rsidRPr="00AC1055">
        <w:rPr>
          <w:rFonts w:cs="Times New Roman"/>
          <w:szCs w:val="24"/>
        </w:rPr>
        <w:t xml:space="preserve"> in a Markov Chain the conditional probability distribution of </w:t>
      </w:r>
      <w:r>
        <w:rPr>
          <w:rFonts w:cs="Times New Roman"/>
          <w:szCs w:val="24"/>
        </w:rPr>
        <w:t xml:space="preserve">a </w:t>
      </w:r>
      <w:r w:rsidRPr="00AC1055">
        <w:rPr>
          <w:rFonts w:cs="Times New Roman"/>
          <w:szCs w:val="24"/>
        </w:rPr>
        <w:t>future draw depends only on the current state of the system.</w:t>
      </w:r>
      <w:r w:rsidRPr="00AC1055">
        <w:rPr>
          <w:rFonts w:cs="Times New Roman"/>
          <w:szCs w:val="24"/>
          <w:vertAlign w:val="superscript"/>
        </w:rPr>
        <w:footnoteReference w:id="186"/>
      </w:r>
      <w:r w:rsidRPr="00AC1055">
        <w:rPr>
          <w:rFonts w:cs="Times New Roman"/>
          <w:szCs w:val="24"/>
        </w:rPr>
        <w:t xml:space="preserve"> </w:t>
      </w:r>
      <w:r>
        <w:rPr>
          <w:rFonts w:cs="Times New Roman"/>
          <w:szCs w:val="24"/>
        </w:rPr>
        <w:t xml:space="preserve">The </w:t>
      </w:r>
      <w:r w:rsidRPr="00AC1055">
        <w:rPr>
          <w:rFonts w:cs="Times New Roman"/>
          <w:szCs w:val="24"/>
        </w:rPr>
        <w:t>Markov Chain Monte Carlo gave powerful computational tools to solve multidimensional integration problems like in equation (5). MCMC has several advantages over the maximum likelihood or maximum a posteriori methods, first MCMC allowed for a ‘fully Bayesian estimation involving computing the mean of the posterior distribution of the parameters, as opposed to the mode of the likelihood, which is located using an ML algorithm.’</w:t>
      </w:r>
      <w:r w:rsidRPr="00AC1055">
        <w:rPr>
          <w:rFonts w:cs="Times New Roman"/>
          <w:szCs w:val="24"/>
          <w:vertAlign w:val="superscript"/>
        </w:rPr>
        <w:footnoteReference w:id="187"/>
      </w:r>
    </w:p>
    <w:p w14:paraId="4A9F071A" w14:textId="77777777" w:rsidR="000A5358" w:rsidRPr="00AC1055" w:rsidRDefault="000A5358" w:rsidP="000A5358">
      <w:pPr>
        <w:spacing w:line="480" w:lineRule="auto"/>
        <w:rPr>
          <w:rFonts w:cs="Times New Roman"/>
          <w:szCs w:val="24"/>
        </w:rPr>
      </w:pPr>
      <w:r w:rsidRPr="00AC1055">
        <w:rPr>
          <w:rFonts w:cs="Times New Roman"/>
          <w:szCs w:val="24"/>
        </w:rPr>
        <w:t xml:space="preserve">Second, </w:t>
      </w:r>
      <w:r>
        <w:rPr>
          <w:rFonts w:cs="Times New Roman"/>
          <w:szCs w:val="24"/>
        </w:rPr>
        <w:t xml:space="preserve">the </w:t>
      </w:r>
      <w:r w:rsidRPr="00AC1055">
        <w:rPr>
          <w:rFonts w:cs="Times New Roman"/>
          <w:szCs w:val="24"/>
        </w:rPr>
        <w:t>Bayesian MCMC, after an initial steep learning curve, is comparatively easier to</w:t>
      </w:r>
      <w:r>
        <w:rPr>
          <w:rFonts w:cs="Times New Roman"/>
          <w:szCs w:val="24"/>
        </w:rPr>
        <w:t xml:space="preserve"> use to</w:t>
      </w:r>
      <w:r w:rsidRPr="00AC1055">
        <w:rPr>
          <w:rFonts w:cs="Times New Roman"/>
          <w:szCs w:val="24"/>
        </w:rPr>
        <w:t xml:space="preserve"> handle parameters of more complex models over frequentist ML estimation.</w:t>
      </w:r>
      <w:r w:rsidRPr="00AC1055">
        <w:rPr>
          <w:rFonts w:cs="Times New Roman"/>
          <w:szCs w:val="24"/>
          <w:vertAlign w:val="superscript"/>
        </w:rPr>
        <w:footnoteReference w:id="188"/>
      </w:r>
      <w:r w:rsidRPr="00AC1055">
        <w:rPr>
          <w:rFonts w:cs="Times New Roman"/>
          <w:szCs w:val="24"/>
        </w:rPr>
        <w:t xml:space="preserve"> Finally, MCMC provides a representation of the complete posterior distribution of the parameters, which gives researchers invaluable tool</w:t>
      </w:r>
      <w:r>
        <w:rPr>
          <w:rFonts w:cs="Times New Roman"/>
          <w:szCs w:val="24"/>
        </w:rPr>
        <w:t>s</w:t>
      </w:r>
      <w:r w:rsidRPr="00AC1055">
        <w:rPr>
          <w:rFonts w:cs="Times New Roman"/>
          <w:szCs w:val="24"/>
        </w:rPr>
        <w:t xml:space="preserve"> to qualitatively inspect the model.</w:t>
      </w:r>
      <w:r w:rsidRPr="00AC1055">
        <w:rPr>
          <w:rFonts w:cs="Times New Roman"/>
          <w:szCs w:val="24"/>
          <w:vertAlign w:val="superscript"/>
        </w:rPr>
        <w:footnoteReference w:id="189"/>
      </w:r>
      <w:r w:rsidRPr="00AC1055">
        <w:rPr>
          <w:rFonts w:cs="Times New Roman"/>
          <w:szCs w:val="24"/>
        </w:rPr>
        <w:t xml:space="preserve"> The only limitation left for wide adoption was </w:t>
      </w:r>
      <w:r>
        <w:rPr>
          <w:rFonts w:cs="Times New Roman"/>
          <w:szCs w:val="24"/>
        </w:rPr>
        <w:t xml:space="preserve">the </w:t>
      </w:r>
      <w:r w:rsidRPr="00AC1055">
        <w:rPr>
          <w:rFonts w:cs="Times New Roman"/>
          <w:szCs w:val="24"/>
        </w:rPr>
        <w:t xml:space="preserve">availability of easy computational language. In </w:t>
      </w:r>
      <w:r>
        <w:rPr>
          <w:rFonts w:cs="Times New Roman"/>
          <w:szCs w:val="24"/>
        </w:rPr>
        <w:t xml:space="preserve">the </w:t>
      </w:r>
      <w:r w:rsidRPr="00AC1055">
        <w:rPr>
          <w:rFonts w:cs="Times New Roman"/>
          <w:szCs w:val="24"/>
        </w:rPr>
        <w:t>mid</w:t>
      </w:r>
      <w:r>
        <w:rPr>
          <w:rFonts w:cs="Times New Roman"/>
          <w:szCs w:val="24"/>
        </w:rPr>
        <w:t>-</w:t>
      </w:r>
      <w:r w:rsidRPr="00AC1055">
        <w:rPr>
          <w:rFonts w:cs="Times New Roman"/>
          <w:szCs w:val="24"/>
        </w:rPr>
        <w:t xml:space="preserve">1980s Stuart and Donald </w:t>
      </w:r>
      <w:proofErr w:type="spellStart"/>
      <w:r w:rsidRPr="00AC1055">
        <w:rPr>
          <w:rFonts w:cs="Times New Roman"/>
          <w:szCs w:val="24"/>
        </w:rPr>
        <w:t>Geman</w:t>
      </w:r>
      <w:proofErr w:type="spellEnd"/>
      <w:r w:rsidRPr="00AC1055">
        <w:rPr>
          <w:rFonts w:cs="Times New Roman"/>
          <w:szCs w:val="24"/>
        </w:rPr>
        <w:t xml:space="preserve"> created a functional computer algorithm based on </w:t>
      </w:r>
      <w:r>
        <w:rPr>
          <w:rFonts w:cs="Times New Roman"/>
          <w:szCs w:val="24"/>
        </w:rPr>
        <w:t xml:space="preserve">a </w:t>
      </w:r>
      <w:r w:rsidRPr="00AC1055">
        <w:rPr>
          <w:rFonts w:cs="Times New Roman"/>
          <w:szCs w:val="24"/>
        </w:rPr>
        <w:t>sampling method first inferred by Josiah Willard Gibbs at the turn of the 20</w:t>
      </w:r>
      <w:r w:rsidRPr="00AC1055">
        <w:rPr>
          <w:rFonts w:cs="Times New Roman"/>
          <w:szCs w:val="24"/>
          <w:vertAlign w:val="superscript"/>
        </w:rPr>
        <w:t>th</w:t>
      </w:r>
      <w:r w:rsidRPr="00AC1055">
        <w:rPr>
          <w:rFonts w:cs="Times New Roman"/>
          <w:szCs w:val="24"/>
        </w:rPr>
        <w:t xml:space="preserve"> century, the model was called </w:t>
      </w:r>
      <w:r w:rsidRPr="00AC1055">
        <w:rPr>
          <w:rFonts w:cs="Times New Roman"/>
          <w:szCs w:val="24"/>
        </w:rPr>
        <w:lastRenderedPageBreak/>
        <w:t>Gibbs sampling.</w:t>
      </w:r>
      <w:r w:rsidRPr="00AC1055">
        <w:rPr>
          <w:rFonts w:cs="Times New Roman"/>
          <w:szCs w:val="24"/>
          <w:vertAlign w:val="superscript"/>
        </w:rPr>
        <w:footnoteReference w:id="190"/>
      </w:r>
      <w:r w:rsidRPr="00AC1055">
        <w:rPr>
          <w:rFonts w:cs="Times New Roman"/>
          <w:szCs w:val="24"/>
        </w:rPr>
        <w:t xml:space="preserve"> This was a special case of single component Metropolis-Hastings algorithm, it was extensively used in statistical physics and was called </w:t>
      </w:r>
      <w:r>
        <w:rPr>
          <w:rFonts w:cs="Times New Roman"/>
          <w:szCs w:val="24"/>
        </w:rPr>
        <w:t xml:space="preserve">a </w:t>
      </w:r>
      <w:r w:rsidRPr="00AC1055">
        <w:rPr>
          <w:rFonts w:cs="Times New Roman"/>
          <w:szCs w:val="24"/>
        </w:rPr>
        <w:t>heat bath algorithm.</w:t>
      </w:r>
      <w:r w:rsidRPr="00AC1055">
        <w:rPr>
          <w:rFonts w:cs="Times New Roman"/>
          <w:szCs w:val="24"/>
          <w:vertAlign w:val="superscript"/>
        </w:rPr>
        <w:footnoteReference w:id="191"/>
      </w:r>
      <w:r w:rsidRPr="00AC1055">
        <w:rPr>
          <w:rFonts w:cs="Times New Roman"/>
          <w:szCs w:val="24"/>
        </w:rPr>
        <w:t xml:space="preserve"> Gibbs sampling makes it possible to obtain samples from probability distributions without having to explicitly calculate the values for their marginalizing integrals.</w:t>
      </w:r>
      <w:r w:rsidRPr="00AC1055">
        <w:rPr>
          <w:rFonts w:cs="Times New Roman"/>
          <w:szCs w:val="24"/>
          <w:vertAlign w:val="superscript"/>
        </w:rPr>
        <w:footnoteReference w:id="192"/>
      </w:r>
      <w:r w:rsidRPr="00AC1055">
        <w:rPr>
          <w:rFonts w:cs="Times New Roman"/>
          <w:szCs w:val="24"/>
        </w:rPr>
        <w:t xml:space="preserve"> This sampling method was later introduced to R programming language through another language called Just </w:t>
      </w:r>
      <w:r>
        <w:rPr>
          <w:rFonts w:cs="Times New Roman"/>
          <w:szCs w:val="24"/>
        </w:rPr>
        <w:t>A</w:t>
      </w:r>
      <w:r w:rsidRPr="00AC1055">
        <w:rPr>
          <w:rFonts w:cs="Times New Roman"/>
          <w:szCs w:val="24"/>
        </w:rPr>
        <w:t xml:space="preserve">nother Gibbs </w:t>
      </w:r>
      <w:r>
        <w:rPr>
          <w:rFonts w:cs="Times New Roman"/>
          <w:szCs w:val="24"/>
        </w:rPr>
        <w:t>S</w:t>
      </w:r>
      <w:r w:rsidRPr="00AC1055">
        <w:rPr>
          <w:rFonts w:cs="Times New Roman"/>
          <w:szCs w:val="24"/>
        </w:rPr>
        <w:t xml:space="preserve">ampler (JAGS) in 2007. When MCMC was combined with JAGS it created an immensely powerful tool for social scientists to check Bayesian theories which </w:t>
      </w:r>
      <w:r>
        <w:rPr>
          <w:rFonts w:cs="Times New Roman"/>
          <w:szCs w:val="24"/>
        </w:rPr>
        <w:t>had been</w:t>
      </w:r>
      <w:r w:rsidRPr="00AC1055">
        <w:rPr>
          <w:rFonts w:cs="Times New Roman"/>
          <w:szCs w:val="24"/>
        </w:rPr>
        <w:t xml:space="preserve"> impossible only a decade ago.</w:t>
      </w:r>
    </w:p>
    <w:p w14:paraId="51E052AD" w14:textId="76C4F7C9" w:rsidR="000A5358" w:rsidRPr="00AC1055" w:rsidRDefault="000A5358" w:rsidP="000A5358">
      <w:pPr>
        <w:spacing w:line="480" w:lineRule="auto"/>
        <w:rPr>
          <w:rFonts w:cs="Times New Roman"/>
          <w:szCs w:val="24"/>
        </w:rPr>
      </w:pPr>
      <w:r w:rsidRPr="00AC1055">
        <w:rPr>
          <w:rFonts w:cs="Times New Roman"/>
          <w:szCs w:val="24"/>
        </w:rPr>
        <w:t xml:space="preserve">In this research MCMC in JAGS </w:t>
      </w:r>
      <w:r w:rsidR="005C6036">
        <w:rPr>
          <w:rFonts w:cs="Times New Roman"/>
          <w:szCs w:val="24"/>
        </w:rPr>
        <w:t xml:space="preserve">is used </w:t>
      </w:r>
      <w:r w:rsidRPr="00AC1055">
        <w:rPr>
          <w:rFonts w:cs="Times New Roman"/>
          <w:szCs w:val="24"/>
        </w:rPr>
        <w:t xml:space="preserve">to estimate the dynamic corporate governance index for the twenty-one countries. So </w:t>
      </w:r>
      <w:r w:rsidR="005C6036">
        <w:rPr>
          <w:rFonts w:cs="Times New Roman"/>
          <w:szCs w:val="24"/>
        </w:rPr>
        <w:t>there is</w:t>
      </w:r>
      <w:r w:rsidRPr="00AC1055">
        <w:rPr>
          <w:rFonts w:cs="Times New Roman"/>
          <w:szCs w:val="24"/>
        </w:rPr>
        <w:t xml:space="preserve"> a I X J X T matrix where I stands for number of countries, K stands for number of corporate governance variables and T stands for the time period. So we have a data matrix of 21 X 52 X 20 totalling approximately 21,840 elements.    </w:t>
      </w:r>
    </w:p>
    <w:p w14:paraId="25D095B5" w14:textId="7D62CD41" w:rsidR="000A5358" w:rsidRPr="00AC1055" w:rsidRDefault="000A5358" w:rsidP="000A5358">
      <w:pPr>
        <w:spacing w:line="480" w:lineRule="auto"/>
        <w:rPr>
          <w:rFonts w:cs="Times New Roman"/>
          <w:szCs w:val="24"/>
        </w:rPr>
      </w:pPr>
      <w:r w:rsidRPr="00AC1055">
        <w:rPr>
          <w:rFonts w:cs="Times New Roman"/>
          <w:szCs w:val="24"/>
        </w:rPr>
        <w:t xml:space="preserve">BUGS code </w:t>
      </w:r>
      <w:r>
        <w:rPr>
          <w:rFonts w:cs="Times New Roman"/>
          <w:szCs w:val="24"/>
        </w:rPr>
        <w:t>by</w:t>
      </w:r>
      <w:r w:rsidRPr="00AC1055">
        <w:rPr>
          <w:rFonts w:cs="Times New Roman"/>
          <w:szCs w:val="24"/>
        </w:rPr>
        <w:t xml:space="preserve"> S. McKay Curtis</w:t>
      </w:r>
      <w:r w:rsidRPr="00AC1055">
        <w:rPr>
          <w:rFonts w:cs="Times New Roman"/>
          <w:szCs w:val="24"/>
          <w:vertAlign w:val="superscript"/>
        </w:rPr>
        <w:footnoteReference w:id="193"/>
      </w:r>
      <w:r w:rsidRPr="00AC1055">
        <w:rPr>
          <w:rFonts w:cs="Times New Roman"/>
          <w:szCs w:val="24"/>
        </w:rPr>
        <w:t xml:space="preserve"> </w:t>
      </w:r>
      <w:r w:rsidR="00CB2390">
        <w:rPr>
          <w:rFonts w:cs="Times New Roman"/>
          <w:szCs w:val="24"/>
        </w:rPr>
        <w:t xml:space="preserve">is adapted </w:t>
      </w:r>
      <w:r w:rsidRPr="00AC1055">
        <w:rPr>
          <w:rFonts w:cs="Times New Roman"/>
          <w:szCs w:val="24"/>
        </w:rPr>
        <w:t>into JAGS. First, as JAGS is unable to deal with zero we add +1 to all the elements of our I X J X T matrix. So where the input was 0 in the original response sheet, now it become</w:t>
      </w:r>
      <w:r>
        <w:rPr>
          <w:rFonts w:cs="Times New Roman"/>
          <w:szCs w:val="24"/>
        </w:rPr>
        <w:t>s</w:t>
      </w:r>
      <w:r w:rsidRPr="00AC1055">
        <w:rPr>
          <w:rFonts w:cs="Times New Roman"/>
          <w:szCs w:val="24"/>
        </w:rPr>
        <w:t xml:space="preserve"> 1 and so on. As the increase is across the board this is only for computational ease and does not have any effect on the final result and analysis. Next, the algorithm</w:t>
      </w:r>
      <w:r>
        <w:rPr>
          <w:rFonts w:cs="Times New Roman"/>
          <w:szCs w:val="24"/>
        </w:rPr>
        <w:t xml:space="preserve"> is implemented</w:t>
      </w:r>
      <w:r w:rsidRPr="00AC1055">
        <w:rPr>
          <w:rFonts w:cs="Times New Roman"/>
          <w:szCs w:val="24"/>
        </w:rPr>
        <w:t xml:space="preserve"> as described in equation (2), specifying the categorical distribution. </w:t>
      </w:r>
    </w:p>
    <w:p w14:paraId="4E0C18F2" w14:textId="77777777" w:rsidR="000A5358" w:rsidRPr="00AC1055" w:rsidRDefault="000A5358" w:rsidP="000A5358">
      <w:pPr>
        <w:spacing w:line="480" w:lineRule="auto"/>
        <w:rPr>
          <w:rFonts w:cs="Times New Roman"/>
          <w:szCs w:val="24"/>
        </w:rPr>
      </w:pPr>
      <w:r w:rsidRPr="00AC1055">
        <w:rPr>
          <w:rFonts w:cs="Times New Roman"/>
          <w:szCs w:val="24"/>
        </w:rPr>
        <w:t xml:space="preserve">So there are n =(1 to </w:t>
      </w:r>
      <w:proofErr w:type="spellStart"/>
      <w:r w:rsidRPr="00AC1055">
        <w:rPr>
          <w:rFonts w:cs="Times New Roman"/>
          <w:szCs w:val="24"/>
        </w:rPr>
        <w:t>i</w:t>
      </w:r>
      <w:proofErr w:type="spellEnd"/>
      <w:r w:rsidRPr="00AC1055">
        <w:rPr>
          <w:rFonts w:cs="Times New Roman"/>
          <w:szCs w:val="24"/>
        </w:rPr>
        <w:t xml:space="preserve">) countries (in </w:t>
      </w:r>
      <w:r>
        <w:rPr>
          <w:rFonts w:cs="Times New Roman"/>
          <w:szCs w:val="24"/>
        </w:rPr>
        <w:t>this</w:t>
      </w:r>
      <w:r w:rsidRPr="00AC1055">
        <w:rPr>
          <w:rFonts w:cs="Times New Roman"/>
          <w:szCs w:val="24"/>
        </w:rPr>
        <w:t xml:space="preserve"> case n=21), p = (1 to j) items (in </w:t>
      </w:r>
      <w:r>
        <w:rPr>
          <w:rFonts w:cs="Times New Roman"/>
          <w:szCs w:val="24"/>
        </w:rPr>
        <w:t>this</w:t>
      </w:r>
      <w:r w:rsidRPr="00AC1055">
        <w:rPr>
          <w:rFonts w:cs="Times New Roman"/>
          <w:szCs w:val="24"/>
        </w:rPr>
        <w:t xml:space="preserve"> case p=51), each item </w:t>
      </w:r>
      <w:r>
        <w:rPr>
          <w:rFonts w:cs="Times New Roman"/>
          <w:szCs w:val="24"/>
        </w:rPr>
        <w:t xml:space="preserve">has </w:t>
      </w:r>
      <w:r w:rsidRPr="00AC1055">
        <w:rPr>
          <w:rFonts w:cs="Times New Roman"/>
          <w:szCs w:val="24"/>
        </w:rPr>
        <w:t xml:space="preserve">three </w:t>
      </w:r>
      <w:r>
        <w:rPr>
          <w:rFonts w:cs="Times New Roman"/>
          <w:szCs w:val="24"/>
        </w:rPr>
        <w:t xml:space="preserve">possible </w:t>
      </w:r>
      <w:r w:rsidRPr="00AC1055">
        <w:rPr>
          <w:rFonts w:cs="Times New Roman"/>
          <w:szCs w:val="24"/>
        </w:rPr>
        <w:t>responses</w:t>
      </w:r>
      <w:r>
        <w:rPr>
          <w:rFonts w:cs="Times New Roman"/>
          <w:szCs w:val="24"/>
        </w:rPr>
        <w:t>;</w:t>
      </w:r>
      <w:r w:rsidRPr="00AC1055">
        <w:rPr>
          <w:rFonts w:cs="Times New Roman"/>
          <w:szCs w:val="24"/>
        </w:rPr>
        <w:t xml:space="preserve"> k = {1 or 2 or 3}. ‘The probability </w:t>
      </w:r>
      <w:r w:rsidRPr="00AC1055">
        <w:rPr>
          <w:rFonts w:cs="Times New Roman"/>
          <w:szCs w:val="24"/>
        </w:rPr>
        <w:lastRenderedPageBreak/>
        <w:t xml:space="preserve">that the </w:t>
      </w:r>
      <w:proofErr w:type="spellStart"/>
      <w:r w:rsidRPr="00AC1055">
        <w:rPr>
          <w:rFonts w:cs="Times New Roman"/>
          <w:szCs w:val="24"/>
        </w:rPr>
        <w:t>i-th</w:t>
      </w:r>
      <w:proofErr w:type="spellEnd"/>
      <w:r w:rsidRPr="00AC1055">
        <w:rPr>
          <w:rFonts w:cs="Times New Roman"/>
          <w:szCs w:val="24"/>
        </w:rPr>
        <w:t xml:space="preserve"> subject will select the k-</w:t>
      </w:r>
      <w:proofErr w:type="spellStart"/>
      <w:r w:rsidRPr="00AC1055">
        <w:rPr>
          <w:rFonts w:cs="Times New Roman"/>
          <w:szCs w:val="24"/>
        </w:rPr>
        <w:t>th</w:t>
      </w:r>
      <w:proofErr w:type="spellEnd"/>
      <w:r w:rsidRPr="00AC1055">
        <w:rPr>
          <w:rFonts w:cs="Times New Roman"/>
          <w:szCs w:val="24"/>
        </w:rPr>
        <w:t xml:space="preserve"> category on the j-</w:t>
      </w:r>
      <w:proofErr w:type="spellStart"/>
      <w:r w:rsidRPr="00AC1055">
        <w:rPr>
          <w:rFonts w:cs="Times New Roman"/>
          <w:szCs w:val="24"/>
        </w:rPr>
        <w:t>th</w:t>
      </w:r>
      <w:proofErr w:type="spellEnd"/>
      <w:r w:rsidRPr="00AC1055">
        <w:rPr>
          <w:rFonts w:cs="Times New Roman"/>
          <w:szCs w:val="24"/>
        </w:rPr>
        <w:t xml:space="preserve"> item is constructed by first considering the cumulative probabilities:</w:t>
      </w:r>
      <w:r w:rsidRPr="00AC1055">
        <w:rPr>
          <w:rFonts w:cs="Times New Roman"/>
          <w:szCs w:val="24"/>
          <w:vertAlign w:val="superscript"/>
        </w:rPr>
        <w:footnoteReference w:id="194"/>
      </w:r>
    </w:p>
    <w:p w14:paraId="4125CDBC" w14:textId="77777777" w:rsidR="000A5358" w:rsidRPr="00AC1055" w:rsidRDefault="000A5358" w:rsidP="000A5358">
      <w:pPr>
        <w:spacing w:line="480" w:lineRule="auto"/>
        <w:rPr>
          <w:rFonts w:cs="Times New Roman"/>
          <w:szCs w:val="24"/>
        </w:rPr>
      </w:pP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ijk</m:t>
            </m:r>
          </m:sub>
        </m:sSub>
        <m:r>
          <w:rPr>
            <w:rFonts w:ascii="Cambria Math" w:hAnsi="Cambria Math" w:cs="Times New Roman"/>
            <w:szCs w:val="24"/>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ij</m:t>
                </m:r>
              </m:sub>
            </m:sSub>
            <m:r>
              <w:rPr>
                <w:rFonts w:ascii="Cambria Math" w:hAnsi="Cambria Math" w:cs="Times New Roman"/>
                <w:szCs w:val="24"/>
              </w:rPr>
              <m:t>&lt;k</m:t>
            </m:r>
          </m:e>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e>
        </m:d>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L</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jk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j</m:t>
                </m:r>
              </m:sub>
            </m:sSub>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e>
        </m:d>
        <m:r>
          <w:rPr>
            <w:rFonts w:ascii="Cambria Math" w:hAnsi="Cambria Math" w:cs="Times New Roman"/>
            <w:szCs w:val="24"/>
          </w:rPr>
          <m:t xml:space="preserve">                  </m:t>
        </m:r>
      </m:oMath>
      <w:r w:rsidRPr="00AC1055">
        <w:rPr>
          <w:rFonts w:eastAsiaTheme="minorEastAsia" w:cs="Times New Roman"/>
          <w:szCs w:val="24"/>
        </w:rPr>
        <w:t xml:space="preserve">         </w:t>
      </w:r>
      <w:r>
        <w:rPr>
          <w:rFonts w:eastAsiaTheme="minorEastAsia" w:cs="Times New Roman"/>
          <w:szCs w:val="24"/>
        </w:rPr>
        <w:t xml:space="preserve">   </w:t>
      </w:r>
      <w:r w:rsidRPr="00AC1055">
        <w:rPr>
          <w:rFonts w:eastAsiaTheme="minorEastAsia" w:cs="Times New Roman"/>
          <w:szCs w:val="24"/>
        </w:rPr>
        <w:t>(6.1)</w:t>
      </w:r>
    </w:p>
    <w:p w14:paraId="62528C9F" w14:textId="77777777" w:rsidR="000A5358" w:rsidRPr="00AC1055" w:rsidRDefault="000A5358" w:rsidP="000A5358">
      <w:pPr>
        <w:spacing w:line="480" w:lineRule="auto"/>
        <w:rPr>
          <w:rFonts w:eastAsiaTheme="minorEastAsia" w:cs="Times New Roman"/>
          <w:szCs w:val="24"/>
        </w:rPr>
      </w:pPr>
      <w:r w:rsidRPr="00AC1055">
        <w:rPr>
          <w:rFonts w:cs="Times New Roman"/>
          <w:szCs w:val="24"/>
        </w:rPr>
        <w:t>Where F</w:t>
      </w:r>
      <w:r w:rsidRPr="00AC1055">
        <w:rPr>
          <w:rFonts w:cs="Times New Roman"/>
          <w:szCs w:val="24"/>
          <w:vertAlign w:val="subscript"/>
        </w:rPr>
        <w:t>L</w:t>
      </w:r>
      <w:r w:rsidRPr="00AC1055">
        <w:rPr>
          <w:rFonts w:cs="Times New Roman"/>
          <w:szCs w:val="24"/>
        </w:rPr>
        <w:t xml:space="preserve">(.) is the cumulative density function of the logistic distribution and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jk</m:t>
            </m:r>
          </m:sub>
        </m:sSub>
      </m:oMath>
      <w:r w:rsidRPr="00AC1055">
        <w:rPr>
          <w:rFonts w:eastAsiaTheme="minorEastAsia" w:cs="Times New Roman"/>
          <w:szCs w:val="24"/>
        </w:rPr>
        <w:t xml:space="preserve">is the threshold. Therefore depending on the value, each item will have a maximum of 2 thresholds. The probability </w:t>
      </w:r>
      <w:proofErr w:type="spellStart"/>
      <w:r w:rsidRPr="00AC1055">
        <w:rPr>
          <w:rFonts w:eastAsiaTheme="minorEastAsia" w:cs="Times New Roman"/>
          <w:szCs w:val="24"/>
        </w:rPr>
        <w:t>p</w:t>
      </w:r>
      <w:r w:rsidRPr="00AC1055">
        <w:rPr>
          <w:rFonts w:eastAsiaTheme="minorEastAsia" w:cs="Times New Roman"/>
          <w:szCs w:val="24"/>
          <w:vertAlign w:val="subscript"/>
        </w:rPr>
        <w:t>ijk</w:t>
      </w:r>
      <w:proofErr w:type="spellEnd"/>
      <w:r w:rsidRPr="00AC1055">
        <w:rPr>
          <w:rFonts w:eastAsiaTheme="minorEastAsia" w:cs="Times New Roman"/>
          <w:szCs w:val="24"/>
        </w:rPr>
        <w:t xml:space="preserve"> that the </w:t>
      </w:r>
      <w:proofErr w:type="spellStart"/>
      <w:r w:rsidRPr="00AC1055">
        <w:rPr>
          <w:rFonts w:eastAsiaTheme="minorEastAsia" w:cs="Times New Roman"/>
          <w:szCs w:val="24"/>
        </w:rPr>
        <w:t>i-th</w:t>
      </w:r>
      <w:proofErr w:type="spellEnd"/>
      <w:r w:rsidRPr="00AC1055">
        <w:rPr>
          <w:rFonts w:eastAsiaTheme="minorEastAsia" w:cs="Times New Roman"/>
          <w:szCs w:val="24"/>
        </w:rPr>
        <w:t xml:space="preserve"> subject will select the k-</w:t>
      </w:r>
      <w:proofErr w:type="spellStart"/>
      <w:r w:rsidRPr="00AC1055">
        <w:rPr>
          <w:rFonts w:eastAsiaTheme="minorEastAsia" w:cs="Times New Roman"/>
          <w:szCs w:val="24"/>
        </w:rPr>
        <w:t>th</w:t>
      </w:r>
      <w:proofErr w:type="spellEnd"/>
      <w:r w:rsidRPr="00AC1055">
        <w:rPr>
          <w:rFonts w:eastAsiaTheme="minorEastAsia" w:cs="Times New Roman"/>
          <w:szCs w:val="24"/>
        </w:rPr>
        <w:t xml:space="preserve"> category on item j is expressed in equation (2). They can also be written as:</w:t>
      </w:r>
    </w:p>
    <w:p w14:paraId="13E99C1C" w14:textId="77777777" w:rsidR="000A5358" w:rsidRPr="00AC1055" w:rsidRDefault="005A260F" w:rsidP="000A5358">
      <w:pPr>
        <w:spacing w:line="480" w:lineRule="auto"/>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ij1</m:t>
              </m:r>
            </m:sub>
          </m:sSub>
        </m:oMath>
      </m:oMathPara>
    </w:p>
    <w:p w14:paraId="0416AAAD" w14:textId="77777777" w:rsidR="000A5358" w:rsidRPr="00AC1055" w:rsidRDefault="005A260F" w:rsidP="000A5358">
      <w:pPr>
        <w:spacing w:line="480"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 xml:space="preserve">                                                                  p</m:t>
            </m:r>
          </m:e>
          <m:sub>
            <m:r>
              <w:rPr>
                <w:rFonts w:ascii="Cambria Math" w:hAnsi="Cambria Math" w:cs="Times New Roman"/>
                <w:szCs w:val="24"/>
              </w:rPr>
              <m:t>ijk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ijk-1</m:t>
            </m:r>
          </m:sub>
        </m:sSub>
        <m:r>
          <w:rPr>
            <w:rFonts w:ascii="Cambria Math" w:hAnsi="Cambria Math" w:cs="Times New Roman"/>
            <w:szCs w:val="24"/>
          </w:rPr>
          <m:t xml:space="preserve">         </m:t>
        </m:r>
      </m:oMath>
      <w:r w:rsidR="000A5358" w:rsidRPr="00AC1055">
        <w:rPr>
          <w:rFonts w:eastAsiaTheme="minorEastAsia" w:cs="Times New Roman"/>
          <w:szCs w:val="24"/>
        </w:rPr>
        <w:t>for k = 2, ….., K</w:t>
      </w:r>
      <w:r w:rsidR="000A5358" w:rsidRPr="00AC1055">
        <w:rPr>
          <w:rFonts w:eastAsiaTheme="minorEastAsia" w:cs="Times New Roman"/>
          <w:szCs w:val="24"/>
          <w:vertAlign w:val="subscript"/>
        </w:rPr>
        <w:t>j</w:t>
      </w:r>
      <w:r w:rsidR="000A5358" w:rsidRPr="00AC1055">
        <w:rPr>
          <w:rFonts w:eastAsiaTheme="minorEastAsia" w:cs="Times New Roman"/>
          <w:szCs w:val="24"/>
        </w:rPr>
        <w:t xml:space="preserve"> – 1 </w:t>
      </w:r>
    </w:p>
    <w:p w14:paraId="749E73C7" w14:textId="77777777" w:rsidR="000A5358" w:rsidRPr="00AC1055" w:rsidRDefault="005A260F" w:rsidP="000A5358">
      <w:pPr>
        <w:spacing w:line="480" w:lineRule="auto"/>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 xml:space="preserve">                                                             p</m:t>
            </m:r>
          </m:e>
          <m:sub>
            <m:r>
              <w:rPr>
                <w:rFonts w:ascii="Cambria Math" w:hAnsi="Cambria Math" w:cs="Times New Roman"/>
                <w:szCs w:val="24"/>
              </w:rPr>
              <m:t>ij</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j</m:t>
                </m:r>
              </m:sub>
            </m:sSub>
          </m:sub>
        </m:sSub>
        <m:r>
          <w:rPr>
            <w:rFonts w:ascii="Cambria Math" w:hAnsi="Cambria Math" w:cs="Times New Roman"/>
            <w:szCs w:val="24"/>
          </w:rPr>
          <m:t xml:space="preserve">=1- </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j</m:t>
                </m:r>
              </m:sub>
            </m:sSub>
            <m:r>
              <w:rPr>
                <w:rFonts w:ascii="Cambria Math" w:hAnsi="Cambria Math" w:cs="Times New Roman"/>
                <w:szCs w:val="24"/>
              </w:rPr>
              <m:t>-1</m:t>
            </m:r>
          </m:sub>
        </m:sSub>
      </m:oMath>
      <w:r w:rsidR="000A5358" w:rsidRPr="00AC1055">
        <w:rPr>
          <w:rFonts w:eastAsiaTheme="minorEastAsia" w:cs="Times New Roman"/>
          <w:szCs w:val="24"/>
        </w:rPr>
        <w:t xml:space="preserve">              </w:t>
      </w:r>
      <w:r w:rsidR="000A5358">
        <w:rPr>
          <w:rFonts w:eastAsiaTheme="minorEastAsia" w:cs="Times New Roman"/>
          <w:szCs w:val="24"/>
        </w:rPr>
        <w:t xml:space="preserve">                       </w:t>
      </w:r>
      <w:r w:rsidR="000A5358" w:rsidRPr="00AC1055">
        <w:rPr>
          <w:rFonts w:eastAsiaTheme="minorEastAsia" w:cs="Times New Roman"/>
          <w:szCs w:val="24"/>
        </w:rPr>
        <w:t>(6.2)</w:t>
      </w:r>
    </w:p>
    <w:p w14:paraId="7DCC9DB0" w14:textId="77777777" w:rsidR="000A5358" w:rsidRPr="00AC1055" w:rsidRDefault="000A5358" w:rsidP="000A5358">
      <w:pPr>
        <w:spacing w:line="480" w:lineRule="auto"/>
        <w:rPr>
          <w:rFonts w:cs="Times New Roman"/>
          <w:szCs w:val="24"/>
        </w:rPr>
      </w:pPr>
      <w:r w:rsidRPr="00AC1055">
        <w:rPr>
          <w:rFonts w:cs="Times New Roman"/>
          <w:szCs w:val="24"/>
        </w:rPr>
        <w:t xml:space="preserve">Where </w:t>
      </w:r>
      <w:proofErr w:type="spellStart"/>
      <w:r w:rsidRPr="00AC1055">
        <w:rPr>
          <w:rFonts w:cs="Times New Roman"/>
          <w:szCs w:val="24"/>
        </w:rPr>
        <w:t>K</w:t>
      </w:r>
      <w:r w:rsidRPr="00AC1055">
        <w:rPr>
          <w:rFonts w:cs="Times New Roman"/>
          <w:szCs w:val="24"/>
          <w:vertAlign w:val="subscript"/>
        </w:rPr>
        <w:t>j</w:t>
      </w:r>
      <w:proofErr w:type="spellEnd"/>
      <w:r w:rsidRPr="00AC1055">
        <w:rPr>
          <w:rFonts w:cs="Times New Roman"/>
          <w:szCs w:val="24"/>
          <w:vertAlign w:val="subscript"/>
        </w:rPr>
        <w:t xml:space="preserve"> </w:t>
      </w:r>
      <w:r w:rsidRPr="00AC1055">
        <w:rPr>
          <w:rFonts w:cs="Times New Roman"/>
          <w:szCs w:val="24"/>
        </w:rPr>
        <w:t xml:space="preserve">is the largest category, in </w:t>
      </w:r>
      <w:r>
        <w:rPr>
          <w:rFonts w:cs="Times New Roman"/>
          <w:szCs w:val="24"/>
        </w:rPr>
        <w:t>the</w:t>
      </w:r>
      <w:r w:rsidRPr="00AC1055">
        <w:rPr>
          <w:rFonts w:cs="Times New Roman"/>
          <w:szCs w:val="24"/>
        </w:rPr>
        <w:t xml:space="preserve"> data </w:t>
      </w:r>
      <w:proofErr w:type="spellStart"/>
      <w:r w:rsidRPr="00AC1055">
        <w:rPr>
          <w:rFonts w:cs="Times New Roman"/>
          <w:szCs w:val="24"/>
        </w:rPr>
        <w:t>K</w:t>
      </w:r>
      <w:r w:rsidRPr="00AC1055">
        <w:rPr>
          <w:rFonts w:cs="Times New Roman"/>
          <w:szCs w:val="24"/>
          <w:vertAlign w:val="subscript"/>
        </w:rPr>
        <w:t>j</w:t>
      </w:r>
      <w:proofErr w:type="spellEnd"/>
      <w:r w:rsidRPr="00AC1055">
        <w:rPr>
          <w:rFonts w:cs="Times New Roman"/>
          <w:szCs w:val="24"/>
        </w:rPr>
        <w:t xml:space="preserve"> = 3. </w:t>
      </w:r>
      <w:r>
        <w:rPr>
          <w:rFonts w:cs="Times New Roman"/>
          <w:szCs w:val="24"/>
        </w:rPr>
        <w:t>A</w:t>
      </w:r>
      <w:r w:rsidRPr="00AC1055">
        <w:rPr>
          <w:rFonts w:cs="Times New Roman"/>
          <w:szCs w:val="24"/>
        </w:rPr>
        <w:t xml:space="preserve"> general distribution function of N(0,1) </w:t>
      </w:r>
      <w:r>
        <w:rPr>
          <w:rFonts w:cs="Times New Roman"/>
          <w:szCs w:val="24"/>
        </w:rPr>
        <w:t xml:space="preserve">is used </w:t>
      </w:r>
      <w:r w:rsidRPr="00AC1055">
        <w:rPr>
          <w:rFonts w:cs="Times New Roman"/>
          <w:szCs w:val="24"/>
        </w:rPr>
        <w:t>for estimates of trait parameters. MCMC</w:t>
      </w:r>
      <w:r>
        <w:rPr>
          <w:rFonts w:cs="Times New Roman"/>
          <w:szCs w:val="24"/>
        </w:rPr>
        <w:t xml:space="preserve"> is then used</w:t>
      </w:r>
      <w:r w:rsidRPr="00AC1055">
        <w:rPr>
          <w:rFonts w:cs="Times New Roman"/>
          <w:szCs w:val="24"/>
        </w:rPr>
        <w:t xml:space="preserve"> to simulate the data for discrimination and difficulty parameters along with the latent trait, to create a prior distribution which best fits the observed responses.</w:t>
      </w:r>
      <w:r w:rsidRPr="00AC1055">
        <w:rPr>
          <w:rFonts w:cs="Times New Roman"/>
          <w:szCs w:val="24"/>
          <w:vertAlign w:val="superscript"/>
        </w:rPr>
        <w:footnoteReference w:id="195"/>
      </w:r>
      <w:r w:rsidRPr="00AC1055">
        <w:rPr>
          <w:rFonts w:cs="Times New Roman"/>
          <w:szCs w:val="24"/>
        </w:rPr>
        <w:t xml:space="preserve"> The JAGS code is as below:</w:t>
      </w:r>
    </w:p>
    <w:bookmarkStart w:id="0" w:name="_MON_1499529161"/>
    <w:bookmarkEnd w:id="0"/>
    <w:p w14:paraId="2DCA67A5" w14:textId="55D3DF2B" w:rsidR="000A5358" w:rsidRDefault="00012336" w:rsidP="000A5358">
      <w:pPr>
        <w:keepNext/>
        <w:spacing w:line="480" w:lineRule="auto"/>
      </w:pPr>
      <w:r w:rsidRPr="00AC1055">
        <w:rPr>
          <w:rFonts w:cs="Times New Roman"/>
          <w:szCs w:val="24"/>
        </w:rPr>
        <w:object w:dxaOrig="10466" w:dyaOrig="15198" w14:anchorId="2EB9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69.25pt" o:ole="">
            <v:imagedata r:id="rId19" o:title=""/>
          </v:shape>
          <o:OLEObject Type="Embed" ProgID="Word.OpenDocumentText.12" ShapeID="_x0000_i1025" DrawAspect="Content" ObjectID="_1523373323" r:id="rId20"/>
        </w:object>
      </w:r>
    </w:p>
    <w:p w14:paraId="48F6DE69" w14:textId="77777777" w:rsidR="000A5358" w:rsidRPr="00AC1055" w:rsidRDefault="000A5358" w:rsidP="000A5358">
      <w:pPr>
        <w:pStyle w:val="Caption"/>
        <w:jc w:val="center"/>
        <w:rPr>
          <w:rFonts w:cs="Times New Roman"/>
          <w:szCs w:val="24"/>
        </w:rPr>
      </w:pPr>
      <w:r>
        <w:t xml:space="preserve">Code snippet </w:t>
      </w:r>
      <w:fldSimple w:instr=" SEQ Code_snippet \* ARABIC ">
        <w:r w:rsidR="005A260F">
          <w:rPr>
            <w:noProof/>
          </w:rPr>
          <w:t>1</w:t>
        </w:r>
      </w:fldSimple>
    </w:p>
    <w:p w14:paraId="41BF4832" w14:textId="77777777" w:rsidR="000A5358" w:rsidRPr="00AC1055" w:rsidRDefault="000A5358" w:rsidP="000A5358">
      <w:pPr>
        <w:spacing w:line="480" w:lineRule="auto"/>
        <w:rPr>
          <w:rFonts w:cs="Times New Roman"/>
          <w:szCs w:val="24"/>
        </w:rPr>
      </w:pPr>
      <w:r w:rsidRPr="00AC1055">
        <w:rPr>
          <w:rFonts w:cs="Times New Roman"/>
          <w:szCs w:val="24"/>
        </w:rPr>
        <w:t>Equation (2) and (6.2) is represented by lines 27-41, the prior distribution is set by lines 43-59, the GRM category boundary function as described in equation (3) and (6) is set by lines 5-25.</w:t>
      </w:r>
    </w:p>
    <w:p w14:paraId="62418F23" w14:textId="77777777" w:rsidR="000A5358" w:rsidRPr="00AC1055" w:rsidRDefault="000A5358" w:rsidP="000A5358">
      <w:pPr>
        <w:spacing w:line="480" w:lineRule="auto"/>
        <w:rPr>
          <w:rFonts w:cs="Times New Roman"/>
          <w:szCs w:val="24"/>
        </w:rPr>
      </w:pPr>
      <w:r w:rsidRPr="00AC1055">
        <w:rPr>
          <w:rFonts w:cs="Times New Roman"/>
          <w:szCs w:val="24"/>
        </w:rPr>
        <w:lastRenderedPageBreak/>
        <w:t>After the best fit trait values</w:t>
      </w:r>
      <w:r>
        <w:rPr>
          <w:rFonts w:cs="Times New Roman"/>
          <w:szCs w:val="24"/>
        </w:rPr>
        <w:t xml:space="preserve"> were obtained,</w:t>
      </w:r>
      <w:r w:rsidRPr="00AC1055">
        <w:rPr>
          <w:rFonts w:cs="Times New Roman"/>
          <w:szCs w:val="24"/>
        </w:rPr>
        <w:t xml:space="preserve"> a Kalman filter </w:t>
      </w:r>
      <w:r>
        <w:rPr>
          <w:rFonts w:cs="Times New Roman"/>
          <w:szCs w:val="24"/>
        </w:rPr>
        <w:t xml:space="preserve">was run </w:t>
      </w:r>
      <w:r w:rsidRPr="00AC1055">
        <w:rPr>
          <w:rFonts w:cs="Times New Roman"/>
          <w:szCs w:val="24"/>
        </w:rPr>
        <w:t xml:space="preserve">to account for the dynamic nature of the corporate governance evolution. </w:t>
      </w:r>
      <w:r>
        <w:rPr>
          <w:rFonts w:cs="Times New Roman"/>
          <w:szCs w:val="24"/>
        </w:rPr>
        <w:t xml:space="preserve">A </w:t>
      </w:r>
      <w:r w:rsidRPr="00AC1055">
        <w:rPr>
          <w:rFonts w:cs="Times New Roman"/>
          <w:szCs w:val="24"/>
        </w:rPr>
        <w:t>Kalman filter is an algorithm which allows for exact inference in a linear dynamical system (like in the present research where the corporate governance trait of countries might change every year but the shift only occurs over an extended period of time), which is a Bayesian model but where the state space of the latent variable is continuous and where all latent and observed variables have a Gaussian distribution (as has been assumed in this research).</w:t>
      </w:r>
      <w:r w:rsidRPr="00AC1055">
        <w:rPr>
          <w:rFonts w:cs="Times New Roman"/>
          <w:szCs w:val="24"/>
          <w:vertAlign w:val="superscript"/>
        </w:rPr>
        <w:footnoteReference w:id="196"/>
      </w:r>
      <w:r w:rsidRPr="00AC1055">
        <w:rPr>
          <w:rFonts w:cs="Times New Roman"/>
          <w:szCs w:val="24"/>
        </w:rPr>
        <w:t xml:space="preserve"> </w:t>
      </w:r>
      <w:r>
        <w:rPr>
          <w:rFonts w:cs="Times New Roman"/>
          <w:szCs w:val="24"/>
        </w:rPr>
        <w:t xml:space="preserve">A </w:t>
      </w:r>
      <w:r w:rsidRPr="00AC1055">
        <w:rPr>
          <w:rFonts w:cs="Times New Roman"/>
          <w:szCs w:val="24"/>
        </w:rPr>
        <w:t>Kalman filter is mathematically represented as:</w:t>
      </w:r>
    </w:p>
    <w:p w14:paraId="081D1DEA" w14:textId="77777777" w:rsidR="000A5358" w:rsidRPr="00AC1055" w:rsidRDefault="000A5358" w:rsidP="000A5358">
      <w:pPr>
        <w:spacing w:line="480" w:lineRule="auto"/>
        <w:rPr>
          <w:rFonts w:cs="Times New Roman"/>
          <w:szCs w:val="24"/>
        </w:rPr>
      </w:pPr>
      <w:r w:rsidRPr="00AC1055">
        <w:rPr>
          <w:rFonts w:eastAsiaTheme="minorEastAsia" w:cs="Times New Roman"/>
          <w:szCs w:val="24"/>
        </w:rPr>
        <w:t xml:space="preserve">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t-1</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t</m:t>
            </m:r>
          </m:sub>
        </m:sSub>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t</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t</m:t>
            </m:r>
          </m:sub>
        </m:sSub>
      </m:oMath>
      <w:r w:rsidRPr="00AC1055">
        <w:rPr>
          <w:rFonts w:eastAsiaTheme="minorEastAsia" w:cs="Times New Roman"/>
          <w:szCs w:val="24"/>
        </w:rPr>
        <w:t xml:space="preserve">                                              </w:t>
      </w:r>
      <w:r>
        <w:rPr>
          <w:rFonts w:eastAsiaTheme="minorEastAsia" w:cs="Times New Roman"/>
          <w:szCs w:val="24"/>
        </w:rPr>
        <w:t xml:space="preserve"> </w:t>
      </w:r>
      <w:r w:rsidRPr="00AC1055">
        <w:rPr>
          <w:rFonts w:eastAsiaTheme="minorEastAsia" w:cs="Times New Roman"/>
          <w:szCs w:val="24"/>
        </w:rPr>
        <w:t>(7)</w:t>
      </w:r>
    </w:p>
    <w:p w14:paraId="60115892" w14:textId="77777777" w:rsidR="000A5358" w:rsidRPr="00AC1055" w:rsidRDefault="000A5358" w:rsidP="000A5358">
      <w:pPr>
        <w:spacing w:line="480" w:lineRule="auto"/>
        <w:rPr>
          <w:rFonts w:cs="Times New Roman"/>
          <w:szCs w:val="24"/>
        </w:rPr>
      </w:pPr>
      <w:r w:rsidRPr="00AC1055">
        <w:rPr>
          <w:rFonts w:cs="Times New Roman"/>
          <w:szCs w:val="24"/>
        </w:rPr>
        <w:t>Where x</w:t>
      </w:r>
      <w:r w:rsidRPr="00AC1055">
        <w:rPr>
          <w:rFonts w:cs="Times New Roman"/>
          <w:szCs w:val="24"/>
          <w:vertAlign w:val="subscript"/>
        </w:rPr>
        <w:t>t</w:t>
      </w:r>
      <w:r w:rsidRPr="00AC1055">
        <w:rPr>
          <w:rFonts w:cs="Times New Roman"/>
          <w:szCs w:val="24"/>
        </w:rPr>
        <w:t xml:space="preserve"> is the state in time t, F</w:t>
      </w:r>
      <w:r w:rsidRPr="00AC1055">
        <w:rPr>
          <w:rFonts w:cs="Times New Roman"/>
          <w:szCs w:val="24"/>
          <w:vertAlign w:val="subscript"/>
        </w:rPr>
        <w:t>t</w:t>
      </w:r>
      <w:r w:rsidRPr="00AC1055">
        <w:rPr>
          <w:rFonts w:cs="Times New Roman"/>
          <w:szCs w:val="24"/>
        </w:rPr>
        <w:t xml:space="preserve"> is the state transitional model in time applied to previous state x</w:t>
      </w:r>
      <w:r w:rsidRPr="00AC1055">
        <w:rPr>
          <w:rFonts w:cs="Times New Roman"/>
          <w:szCs w:val="24"/>
          <w:vertAlign w:val="subscript"/>
        </w:rPr>
        <w:t>t-1</w:t>
      </w:r>
      <w:r w:rsidRPr="00AC1055">
        <w:rPr>
          <w:rFonts w:cs="Times New Roman"/>
          <w:szCs w:val="24"/>
        </w:rPr>
        <w:t>, B</w:t>
      </w:r>
      <w:r w:rsidRPr="00AC1055">
        <w:rPr>
          <w:rFonts w:cs="Times New Roman"/>
          <w:szCs w:val="24"/>
          <w:vertAlign w:val="subscript"/>
        </w:rPr>
        <w:t xml:space="preserve">t </w:t>
      </w:r>
      <w:r w:rsidRPr="00AC1055">
        <w:rPr>
          <w:rFonts w:cs="Times New Roman"/>
          <w:szCs w:val="24"/>
        </w:rPr>
        <w:t>is the control model applied to control vector u</w:t>
      </w:r>
      <w:r w:rsidRPr="00AC1055">
        <w:rPr>
          <w:rFonts w:cs="Times New Roman"/>
          <w:szCs w:val="24"/>
          <w:vertAlign w:val="subscript"/>
        </w:rPr>
        <w:t>t</w:t>
      </w:r>
      <w:r w:rsidRPr="00AC1055">
        <w:rPr>
          <w:rFonts w:cs="Times New Roman"/>
          <w:szCs w:val="24"/>
        </w:rPr>
        <w:t xml:space="preserve"> and w</w:t>
      </w:r>
      <w:r w:rsidRPr="00AC1055">
        <w:rPr>
          <w:rFonts w:cs="Times New Roman"/>
          <w:szCs w:val="24"/>
          <w:vertAlign w:val="subscript"/>
        </w:rPr>
        <w:t>t</w:t>
      </w:r>
      <w:r w:rsidRPr="00AC1055">
        <w:rPr>
          <w:rFonts w:cs="Times New Roman"/>
          <w:szCs w:val="24"/>
        </w:rPr>
        <w:t xml:space="preserve"> is the process noise which is assumed to be multivariate normal with mean 0.</w:t>
      </w:r>
      <w:r w:rsidRPr="00AC1055">
        <w:rPr>
          <w:rFonts w:cs="Times New Roman"/>
          <w:szCs w:val="24"/>
          <w:vertAlign w:val="superscript"/>
        </w:rPr>
        <w:footnoteReference w:id="197"/>
      </w:r>
      <w:r w:rsidRPr="00AC1055">
        <w:rPr>
          <w:rFonts w:cs="Times New Roman"/>
          <w:szCs w:val="24"/>
        </w:rPr>
        <w:t xml:space="preserve"> The JAGS code for </w:t>
      </w:r>
      <w:r>
        <w:rPr>
          <w:rFonts w:cs="Times New Roman"/>
          <w:szCs w:val="24"/>
        </w:rPr>
        <w:t xml:space="preserve">the </w:t>
      </w:r>
      <w:r w:rsidRPr="00AC1055">
        <w:rPr>
          <w:rFonts w:cs="Times New Roman"/>
          <w:szCs w:val="24"/>
        </w:rPr>
        <w:t>Kalman filter is as below:</w:t>
      </w:r>
    </w:p>
    <w:bookmarkStart w:id="1" w:name="_MON_1499528270"/>
    <w:bookmarkEnd w:id="1"/>
    <w:p w14:paraId="147FCC95" w14:textId="4002ADBC" w:rsidR="000A5358" w:rsidRDefault="00012336" w:rsidP="000A5358">
      <w:pPr>
        <w:keepNext/>
        <w:spacing w:line="480" w:lineRule="auto"/>
      </w:pPr>
      <w:r w:rsidRPr="00AC1055">
        <w:rPr>
          <w:rFonts w:cs="Times New Roman"/>
          <w:szCs w:val="24"/>
        </w:rPr>
        <w:object w:dxaOrig="10466" w:dyaOrig="3606" w14:anchorId="19FDF40D">
          <v:shape id="_x0000_i1026" type="#_x0000_t75" style="width:412.5pt;height:159pt" o:ole="">
            <v:imagedata r:id="rId21" o:title=""/>
          </v:shape>
          <o:OLEObject Type="Embed" ProgID="Word.OpenDocumentText.12" ShapeID="_x0000_i1026" DrawAspect="Content" ObjectID="_1523373324" r:id="rId22"/>
        </w:object>
      </w:r>
    </w:p>
    <w:p w14:paraId="05D8270E" w14:textId="77777777" w:rsidR="000A5358" w:rsidRPr="00AC1055" w:rsidRDefault="000A5358" w:rsidP="000A5358">
      <w:pPr>
        <w:pStyle w:val="Caption"/>
        <w:jc w:val="center"/>
        <w:rPr>
          <w:rFonts w:cs="Times New Roman"/>
          <w:szCs w:val="24"/>
        </w:rPr>
      </w:pPr>
      <w:r>
        <w:t xml:space="preserve">Code snippet </w:t>
      </w:r>
      <w:fldSimple w:instr=" SEQ Code_snippet \* ARABIC ">
        <w:r w:rsidR="005A260F">
          <w:rPr>
            <w:noProof/>
          </w:rPr>
          <w:t>2</w:t>
        </w:r>
      </w:fldSimple>
    </w:p>
    <w:p w14:paraId="505EFD08" w14:textId="77777777" w:rsidR="000A5358" w:rsidRPr="00AC1055" w:rsidRDefault="000A5358" w:rsidP="000A5358">
      <w:pPr>
        <w:spacing w:line="480" w:lineRule="auto"/>
        <w:rPr>
          <w:rFonts w:cs="Times New Roman"/>
          <w:szCs w:val="24"/>
        </w:rPr>
      </w:pPr>
      <w:r>
        <w:rPr>
          <w:rFonts w:cs="Times New Roman"/>
          <w:szCs w:val="24"/>
        </w:rPr>
        <w:lastRenderedPageBreak/>
        <w:t>E</w:t>
      </w:r>
      <w:r w:rsidRPr="00AC1055">
        <w:rPr>
          <w:rFonts w:cs="Times New Roman"/>
          <w:szCs w:val="24"/>
        </w:rPr>
        <w:t xml:space="preserve">quation (7) in line 10 </w:t>
      </w:r>
      <w:r>
        <w:rPr>
          <w:rFonts w:cs="Times New Roman"/>
          <w:szCs w:val="24"/>
        </w:rPr>
        <w:t xml:space="preserve">is modified </w:t>
      </w:r>
      <w:r w:rsidRPr="00AC1055">
        <w:rPr>
          <w:rFonts w:cs="Times New Roman"/>
          <w:szCs w:val="24"/>
        </w:rPr>
        <w:t xml:space="preserve">such that </w:t>
      </w:r>
      <w:r>
        <w:rPr>
          <w:rFonts w:cs="Times New Roman"/>
          <w:szCs w:val="24"/>
        </w:rPr>
        <w:t xml:space="preserve">the </w:t>
      </w:r>
      <w:r w:rsidRPr="00AC1055">
        <w:rPr>
          <w:rFonts w:cs="Times New Roman"/>
          <w:szCs w:val="24"/>
        </w:rPr>
        <w:t xml:space="preserve">corporate governance of a country for time t varies normally over the corporate governance of the same country in time t-1 with the process noise as variance. </w:t>
      </w:r>
      <w:r>
        <w:rPr>
          <w:rFonts w:cs="Times New Roman"/>
          <w:szCs w:val="24"/>
        </w:rPr>
        <w:t xml:space="preserve">The </w:t>
      </w:r>
      <w:r w:rsidRPr="00AC1055">
        <w:rPr>
          <w:rFonts w:cs="Times New Roman"/>
          <w:szCs w:val="24"/>
        </w:rPr>
        <w:t xml:space="preserve">Kalman filter ‘dampens’ yearly variations and helps to discern the overall trend in the evolution of corporate governance. A by-product of ignoring yearly variations would be a more robust analysis of </w:t>
      </w:r>
      <w:r>
        <w:rPr>
          <w:rFonts w:cs="Times New Roman"/>
          <w:szCs w:val="24"/>
        </w:rPr>
        <w:t xml:space="preserve">the </w:t>
      </w:r>
      <w:r w:rsidRPr="00AC1055">
        <w:rPr>
          <w:rFonts w:cs="Times New Roman"/>
          <w:szCs w:val="24"/>
        </w:rPr>
        <w:t xml:space="preserve">long term effects of change in corporate governance on </w:t>
      </w:r>
      <w:r>
        <w:rPr>
          <w:rFonts w:cs="Times New Roman"/>
          <w:szCs w:val="24"/>
        </w:rPr>
        <w:t xml:space="preserve">the </w:t>
      </w:r>
      <w:r w:rsidRPr="00AC1055">
        <w:rPr>
          <w:rFonts w:cs="Times New Roman"/>
          <w:szCs w:val="24"/>
        </w:rPr>
        <w:t xml:space="preserve">growth of </w:t>
      </w:r>
      <w:r>
        <w:rPr>
          <w:rFonts w:cs="Times New Roman"/>
          <w:szCs w:val="24"/>
        </w:rPr>
        <w:t xml:space="preserve">the </w:t>
      </w:r>
      <w:r w:rsidRPr="00AC1055">
        <w:rPr>
          <w:rFonts w:cs="Times New Roman"/>
          <w:szCs w:val="24"/>
        </w:rPr>
        <w:t xml:space="preserve">financial market and any other economic parameter. </w:t>
      </w:r>
    </w:p>
    <w:p w14:paraId="671DF78B" w14:textId="77777777" w:rsidR="000A5358" w:rsidRPr="00AC1055" w:rsidRDefault="000A5358" w:rsidP="000A5358">
      <w:pPr>
        <w:spacing w:line="480" w:lineRule="auto"/>
        <w:rPr>
          <w:rFonts w:cs="Times New Roman"/>
          <w:szCs w:val="24"/>
        </w:rPr>
      </w:pPr>
    </w:p>
    <w:p w14:paraId="03AE6EF5" w14:textId="77777777" w:rsidR="000A5358" w:rsidRPr="00A07A47" w:rsidRDefault="000A5358" w:rsidP="000A5358">
      <w:pPr>
        <w:spacing w:line="480" w:lineRule="auto"/>
        <w:rPr>
          <w:rFonts w:cs="Times New Roman"/>
          <w:b/>
          <w:szCs w:val="24"/>
          <w:u w:val="single"/>
        </w:rPr>
      </w:pPr>
      <w:r w:rsidRPr="0082152B">
        <w:rPr>
          <w:rFonts w:cs="Times New Roman"/>
          <w:b/>
          <w:sz w:val="26"/>
          <w:szCs w:val="24"/>
          <w:u w:val="single"/>
        </w:rPr>
        <w:t xml:space="preserve">3.3 Construction of </w:t>
      </w:r>
      <w:r>
        <w:rPr>
          <w:rFonts w:cs="Times New Roman"/>
          <w:b/>
          <w:sz w:val="26"/>
          <w:szCs w:val="24"/>
          <w:u w:val="single"/>
        </w:rPr>
        <w:t xml:space="preserve">a </w:t>
      </w:r>
      <w:r w:rsidRPr="0082152B">
        <w:rPr>
          <w:rFonts w:cs="Times New Roman"/>
          <w:b/>
          <w:sz w:val="26"/>
          <w:szCs w:val="24"/>
          <w:u w:val="single"/>
        </w:rPr>
        <w:t>dependent financial index and control index using Bayesian factor analysis</w:t>
      </w:r>
    </w:p>
    <w:p w14:paraId="55E37037" w14:textId="77777777" w:rsidR="000A5358" w:rsidRPr="00AC1055" w:rsidRDefault="000A5358" w:rsidP="000A5358">
      <w:pPr>
        <w:spacing w:line="480" w:lineRule="auto"/>
        <w:rPr>
          <w:rFonts w:cs="Times New Roman"/>
          <w:szCs w:val="24"/>
        </w:rPr>
      </w:pPr>
      <w:r w:rsidRPr="00AC1055">
        <w:rPr>
          <w:rFonts w:cs="Times New Roman"/>
          <w:szCs w:val="24"/>
        </w:rPr>
        <w:t xml:space="preserve">The present research uses five variables to measure and construct the financial growth index and fourteen variables to create the control index for financial growth. Out of the control variables four are country level indicators, which means the variable is time independent i.e. there is little variation in these variables over time, while the </w:t>
      </w:r>
      <w:r>
        <w:rPr>
          <w:rFonts w:cs="Times New Roman"/>
          <w:szCs w:val="24"/>
        </w:rPr>
        <w:t>remaining</w:t>
      </w:r>
      <w:r w:rsidRPr="00AC1055">
        <w:rPr>
          <w:rFonts w:cs="Times New Roman"/>
          <w:szCs w:val="24"/>
        </w:rPr>
        <w:t xml:space="preserve"> ten vary for each country per year. </w:t>
      </w:r>
      <w:r>
        <w:rPr>
          <w:rFonts w:cs="Times New Roman"/>
          <w:szCs w:val="24"/>
        </w:rPr>
        <w:t>Until</w:t>
      </w:r>
      <w:r w:rsidRPr="00AC1055">
        <w:rPr>
          <w:rFonts w:cs="Times New Roman"/>
          <w:szCs w:val="24"/>
        </w:rPr>
        <w:t xml:space="preserve"> now most researchers have used one variable as a proxy for financial growth or ha</w:t>
      </w:r>
      <w:r>
        <w:rPr>
          <w:rFonts w:cs="Times New Roman"/>
          <w:szCs w:val="24"/>
        </w:rPr>
        <w:t>ve</w:t>
      </w:r>
      <w:r w:rsidRPr="00AC1055">
        <w:rPr>
          <w:rFonts w:cs="Times New Roman"/>
          <w:szCs w:val="24"/>
        </w:rPr>
        <w:t xml:space="preserve"> performed multiple regression analysis with different dependent variables to analyse the link between change in corporate governance and financial growth. This type of analysis fails to take into account </w:t>
      </w:r>
      <w:r>
        <w:rPr>
          <w:rFonts w:cs="Times New Roman"/>
          <w:szCs w:val="24"/>
        </w:rPr>
        <w:t xml:space="preserve">the </w:t>
      </w:r>
      <w:r w:rsidRPr="00AC1055">
        <w:rPr>
          <w:rFonts w:cs="Times New Roman"/>
          <w:szCs w:val="24"/>
        </w:rPr>
        <w:t>latent nature of financial growth which can only be expressed or measured by a factor analysis of several variables thereby adequately ‘explain[ing] the observed relationship among a set of observed variables in terms of a smaller number of unobserved variables’</w:t>
      </w:r>
      <w:r w:rsidRPr="00AC1055">
        <w:rPr>
          <w:rFonts w:cs="Times New Roman"/>
          <w:szCs w:val="24"/>
          <w:vertAlign w:val="superscript"/>
        </w:rPr>
        <w:footnoteReference w:id="198"/>
      </w:r>
      <w:r w:rsidRPr="00AC1055">
        <w:rPr>
          <w:rFonts w:cs="Times New Roman"/>
          <w:szCs w:val="24"/>
        </w:rPr>
        <w:t xml:space="preserve">. </w:t>
      </w:r>
    </w:p>
    <w:p w14:paraId="1154C533" w14:textId="77777777" w:rsidR="000A5358" w:rsidRPr="00AC1055" w:rsidRDefault="000A5358" w:rsidP="000A5358">
      <w:pPr>
        <w:spacing w:line="480" w:lineRule="auto"/>
        <w:rPr>
          <w:rFonts w:cs="Times New Roman"/>
          <w:szCs w:val="24"/>
        </w:rPr>
      </w:pPr>
      <w:r w:rsidRPr="00AC1055">
        <w:rPr>
          <w:rFonts w:cs="Times New Roman"/>
          <w:szCs w:val="24"/>
        </w:rPr>
        <w:t xml:space="preserve">As discussed in the previous chapter five variables </w:t>
      </w:r>
      <w:r>
        <w:rPr>
          <w:rFonts w:cs="Times New Roman"/>
          <w:szCs w:val="24"/>
        </w:rPr>
        <w:t xml:space="preserve">were chosen for this study </w:t>
      </w:r>
      <w:r w:rsidRPr="00AC1055">
        <w:rPr>
          <w:rFonts w:cs="Times New Roman"/>
          <w:szCs w:val="24"/>
        </w:rPr>
        <w:t xml:space="preserve">- Foreign Direct Investment (FDI), Market capitalisation of listed companies, S&amp;P </w:t>
      </w:r>
      <w:r w:rsidRPr="00AC1055">
        <w:rPr>
          <w:rFonts w:cs="Times New Roman"/>
          <w:szCs w:val="24"/>
        </w:rPr>
        <w:lastRenderedPageBreak/>
        <w:t>global equity index, traded volume of stocks traded and number of listed domestic companies to represent the financial growth of countries. To construct this financial market index similar methodological issue</w:t>
      </w:r>
      <w:r>
        <w:rPr>
          <w:rFonts w:cs="Times New Roman"/>
          <w:szCs w:val="24"/>
        </w:rPr>
        <w:t>s</w:t>
      </w:r>
      <w:r w:rsidRPr="00AC1055">
        <w:rPr>
          <w:rFonts w:cs="Times New Roman"/>
          <w:szCs w:val="24"/>
        </w:rPr>
        <w:t xml:space="preserve"> of measurement </w:t>
      </w:r>
      <w:r>
        <w:rPr>
          <w:rFonts w:cs="Times New Roman"/>
          <w:szCs w:val="24"/>
        </w:rPr>
        <w:t xml:space="preserve">are faced </w:t>
      </w:r>
      <w:r w:rsidRPr="00AC1055">
        <w:rPr>
          <w:rFonts w:cs="Times New Roman"/>
          <w:szCs w:val="24"/>
        </w:rPr>
        <w:t xml:space="preserve">as </w:t>
      </w:r>
      <w:r>
        <w:rPr>
          <w:rFonts w:cs="Times New Roman"/>
          <w:szCs w:val="24"/>
        </w:rPr>
        <w:t xml:space="preserve">were encountered </w:t>
      </w:r>
      <w:r w:rsidRPr="00AC1055">
        <w:rPr>
          <w:rFonts w:cs="Times New Roman"/>
          <w:szCs w:val="24"/>
        </w:rPr>
        <w:t>while constructing the index for corporate governance development. IRT would not be the proper solution as the financial market growth variables are continuous in nature. Therefore a factor analysis model would ‘provide a flexible framework for modelling multivariate [financial] data by a […] latent factor.’</w:t>
      </w:r>
      <w:r w:rsidRPr="00AC1055">
        <w:rPr>
          <w:rFonts w:cs="Times New Roman"/>
          <w:szCs w:val="24"/>
          <w:vertAlign w:val="superscript"/>
        </w:rPr>
        <w:footnoteReference w:id="199"/>
      </w:r>
      <w:r w:rsidRPr="00AC1055">
        <w:rPr>
          <w:rFonts w:cs="Times New Roman"/>
          <w:szCs w:val="24"/>
        </w:rPr>
        <w:t xml:space="preserve"> The traditional method of performing factor analysis is using the Maximum likelihood factor analysis which ‘relies on large sample theory, and it is consequently often recommended to use it only in large samples (e.g. N=200 or more). In smaller samples, Maximum likelihood factor analysis can run into problems like model non-convergence, negative residual variances etc. Bayesian statistics typically perform better in small samples, and may therefore be useful in studies that rely on smaller sample sizes.’</w:t>
      </w:r>
      <w:r w:rsidRPr="00AC1055">
        <w:rPr>
          <w:rFonts w:cs="Times New Roman"/>
          <w:szCs w:val="24"/>
          <w:vertAlign w:val="superscript"/>
        </w:rPr>
        <w:footnoteReference w:id="200"/>
      </w:r>
      <w:r w:rsidRPr="00AC1055">
        <w:rPr>
          <w:rFonts w:cs="Times New Roman"/>
          <w:szCs w:val="24"/>
        </w:rPr>
        <w:t xml:space="preserve"> As data </w:t>
      </w:r>
      <w:r>
        <w:rPr>
          <w:rFonts w:cs="Times New Roman"/>
          <w:szCs w:val="24"/>
        </w:rPr>
        <w:t xml:space="preserve">is available </w:t>
      </w:r>
      <w:r w:rsidRPr="00AC1055">
        <w:rPr>
          <w:rFonts w:cs="Times New Roman"/>
          <w:szCs w:val="24"/>
        </w:rPr>
        <w:t>for 17-20 years per country, a Bayesian factor analysis will give a better fit index than using</w:t>
      </w:r>
      <w:r>
        <w:rPr>
          <w:rFonts w:cs="Times New Roman"/>
          <w:szCs w:val="24"/>
        </w:rPr>
        <w:t xml:space="preserve"> a</w:t>
      </w:r>
      <w:r w:rsidRPr="00AC1055">
        <w:rPr>
          <w:rFonts w:cs="Times New Roman"/>
          <w:szCs w:val="24"/>
        </w:rPr>
        <w:t xml:space="preserve"> Maximum likelihood estimator.</w:t>
      </w:r>
    </w:p>
    <w:p w14:paraId="7C1DF97C" w14:textId="77777777" w:rsidR="000A5358" w:rsidRPr="00AC1055" w:rsidRDefault="000A5358" w:rsidP="000A5358">
      <w:pPr>
        <w:spacing w:line="480" w:lineRule="auto"/>
        <w:rPr>
          <w:rFonts w:cs="Times New Roman"/>
          <w:szCs w:val="24"/>
        </w:rPr>
      </w:pPr>
      <w:r w:rsidRPr="00AC1055">
        <w:rPr>
          <w:rFonts w:cs="Times New Roman"/>
          <w:szCs w:val="24"/>
        </w:rPr>
        <w:t>The classical factor model can be defined as below:</w:t>
      </w:r>
    </w:p>
    <w:p w14:paraId="24F90096" w14:textId="77777777" w:rsidR="000A5358" w:rsidRPr="00AC1055" w:rsidRDefault="000A5358" w:rsidP="000A5358">
      <w:pPr>
        <w:spacing w:line="480" w:lineRule="auto"/>
        <w:jc w:val="center"/>
        <w:rPr>
          <w:rFonts w:cs="Times New Roman"/>
          <w:szCs w:val="24"/>
        </w:rPr>
      </w:pPr>
      <w:r w:rsidRPr="00AC1055">
        <w:rPr>
          <w:rFonts w:eastAsiaTheme="minorEastAsia" w:cs="Times New Roman"/>
          <w:szCs w:val="24"/>
        </w:rPr>
        <w:t xml:space="preserve">                                 </w:t>
      </w:r>
      <w:r>
        <w:rPr>
          <w:rFonts w:eastAsiaTheme="minorEastAsia" w:cs="Times New Roman"/>
          <w:szCs w:val="24"/>
        </w:rPr>
        <w:t xml:space="preserve">                  </w:t>
      </w:r>
      <m:oMath>
        <m:r>
          <m:rPr>
            <m:sty m:val="p"/>
          </m:rPr>
          <w:rPr>
            <w:rFonts w:ascii="Cambria Math" w:hAnsi="Cambria Math" w:cs="Times New Roman"/>
            <w:szCs w:val="24"/>
          </w:rPr>
          <m:t>Σ</m:t>
        </m:r>
        <m:r>
          <w:rPr>
            <w:rFonts w:ascii="Cambria Math" w:hAnsi="Cambria Math" w:cs="Times New Roman"/>
            <w:szCs w:val="24"/>
          </w:rPr>
          <m:t>=</m:t>
        </m:r>
        <m: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ΛΦ</m:t>
        </m:r>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Λ</m:t>
            </m:r>
            <m:ctrlPr>
              <w:rPr>
                <w:rFonts w:ascii="Cambria Math" w:eastAsiaTheme="minorEastAsia" w:hAnsi="Cambria Math" w:cs="Times New Roman"/>
                <w:szCs w:val="24"/>
              </w:rPr>
            </m:ctrlPr>
          </m:e>
          <m:sup>
            <m:r>
              <w:rPr>
                <w:rFonts w:ascii="Cambria Math" w:eastAsiaTheme="minorEastAsia" w:hAnsi="Cambria Math" w:cs="Times New Roman"/>
                <w:szCs w:val="24"/>
              </w:rPr>
              <m:t>'</m:t>
            </m:r>
          </m:sup>
        </m:sSup>
        <m: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Ψ</m:t>
        </m:r>
      </m:oMath>
      <w:r w:rsidRPr="00AC1055">
        <w:rPr>
          <w:rFonts w:eastAsiaTheme="minorEastAsia" w:cs="Times New Roman"/>
          <w:szCs w:val="24"/>
        </w:rPr>
        <w:t xml:space="preserve">                                              </w:t>
      </w:r>
      <w:r>
        <w:rPr>
          <w:rFonts w:eastAsiaTheme="minorEastAsia" w:cs="Times New Roman"/>
          <w:szCs w:val="24"/>
        </w:rPr>
        <w:t xml:space="preserve">        </w:t>
      </w:r>
      <w:r w:rsidRPr="00AC1055">
        <w:rPr>
          <w:rFonts w:eastAsiaTheme="minorEastAsia" w:cs="Times New Roman"/>
          <w:szCs w:val="24"/>
        </w:rPr>
        <w:t>(8)</w:t>
      </w:r>
    </w:p>
    <w:p w14:paraId="7F983B9A" w14:textId="77777777" w:rsidR="000A5358" w:rsidRPr="00AC1055" w:rsidRDefault="000A5358" w:rsidP="000A5358">
      <w:pPr>
        <w:spacing w:line="480" w:lineRule="auto"/>
        <w:rPr>
          <w:rFonts w:cs="Times New Roman"/>
          <w:szCs w:val="24"/>
        </w:rPr>
      </w:pPr>
      <w:r w:rsidRPr="00AC1055">
        <w:rPr>
          <w:rFonts w:cs="Times New Roman"/>
          <w:szCs w:val="24"/>
        </w:rPr>
        <w:t>Where Λ is a p x k matrix of factor loading i.e. the contribution of each variable to the final index, p is the number of observed indicators or variables, k is the number of latent trait factors being measured, and Ψ is the diagonal p x p matrix with uniqueness on the diagonal.</w:t>
      </w:r>
      <w:r w:rsidRPr="00AC1055">
        <w:rPr>
          <w:rFonts w:cs="Times New Roman"/>
          <w:szCs w:val="24"/>
          <w:vertAlign w:val="superscript"/>
        </w:rPr>
        <w:footnoteReference w:id="201"/>
      </w:r>
      <w:r w:rsidRPr="00AC1055">
        <w:rPr>
          <w:rFonts w:cs="Times New Roman"/>
          <w:szCs w:val="24"/>
        </w:rPr>
        <w:t xml:space="preserve"> </w:t>
      </w:r>
    </w:p>
    <w:p w14:paraId="0E337D3B" w14:textId="77777777" w:rsidR="000A5358" w:rsidRPr="00AC1055" w:rsidRDefault="000A5358" w:rsidP="000A5358">
      <w:pPr>
        <w:spacing w:line="480" w:lineRule="auto"/>
        <w:rPr>
          <w:rFonts w:cs="Times New Roman"/>
          <w:szCs w:val="24"/>
        </w:rPr>
      </w:pPr>
      <w:r w:rsidRPr="00AC1055">
        <w:rPr>
          <w:rFonts w:cs="Times New Roman"/>
          <w:szCs w:val="24"/>
        </w:rPr>
        <w:lastRenderedPageBreak/>
        <w:t>This can also be represented in terms of observed variable y as:</w:t>
      </w:r>
    </w:p>
    <w:p w14:paraId="685804B1" w14:textId="77777777" w:rsidR="000A5358" w:rsidRPr="00AC1055" w:rsidRDefault="000A5358" w:rsidP="000A5358">
      <w:pPr>
        <w:spacing w:line="480" w:lineRule="auto"/>
        <w:jc w:val="center"/>
        <w:rPr>
          <w:rFonts w:cs="Times New Roman"/>
          <w:szCs w:val="24"/>
        </w:rPr>
      </w:pPr>
      <w:r w:rsidRPr="00AC1055">
        <w:rPr>
          <w:rFonts w:eastAsiaTheme="minorEastAsia" w:cs="Times New Roman"/>
          <w:szCs w:val="24"/>
        </w:rPr>
        <w:t xml:space="preserve">                         </w:t>
      </w:r>
      <w:r>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Λ</m:t>
        </m:r>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i</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 xml:space="preserve"> ε</m:t>
            </m:r>
          </m:e>
          <m:sub>
            <m:r>
              <w:rPr>
                <w:rFonts w:ascii="Cambria Math" w:hAnsi="Cambria Math" w:cs="Times New Roman"/>
                <w:szCs w:val="24"/>
              </w:rPr>
              <m:t>i</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p</m:t>
            </m:r>
          </m:sub>
        </m:sSub>
        <m:r>
          <w:rPr>
            <w:rFonts w:ascii="Cambria Math" w:hAnsi="Cambria Math" w:cs="Times New Roman"/>
            <w:szCs w:val="24"/>
          </w:rPr>
          <m:t xml:space="preserve">(0, </m:t>
        </m:r>
        <m:r>
          <m:rPr>
            <m:sty m:val="p"/>
          </m:rPr>
          <w:rPr>
            <w:rFonts w:ascii="Cambria Math" w:hAnsi="Cambria Math" w:cs="Times New Roman"/>
            <w:szCs w:val="24"/>
          </w:rPr>
          <m:t>Σ</m:t>
        </m:r>
        <m:r>
          <w:rPr>
            <w:rFonts w:ascii="Cambria Math" w:hAnsi="Cambria Math" w:cs="Times New Roman"/>
            <w:szCs w:val="24"/>
          </w:rPr>
          <m:t>)</m:t>
        </m:r>
      </m:oMath>
      <w:r w:rsidRPr="00AC1055">
        <w:rPr>
          <w:rFonts w:eastAsiaTheme="minorEastAsia" w:cs="Times New Roman"/>
          <w:szCs w:val="24"/>
        </w:rPr>
        <w:t xml:space="preserve">                                         (9)</w:t>
      </w:r>
    </w:p>
    <w:p w14:paraId="13B8E65A" w14:textId="77777777" w:rsidR="000A5358" w:rsidRPr="00AC1055" w:rsidRDefault="000A5358" w:rsidP="000A5358">
      <w:pPr>
        <w:spacing w:line="480" w:lineRule="auto"/>
        <w:rPr>
          <w:rFonts w:eastAsiaTheme="minorEastAsia" w:cs="Times New Roman"/>
          <w:szCs w:val="24"/>
        </w:rPr>
      </w:pPr>
      <w:r w:rsidRPr="00AC1055">
        <w:rPr>
          <w:rFonts w:cs="Times New Roman"/>
          <w:szCs w:val="24"/>
        </w:rPr>
        <w:t>Where Λ is a p x k matrix of factor loading, p is the number of observed indicators or variables (j = 1,…,p), k is the number of latent trait factors being measured, i is the number of observation per indicator (i = 1,…,n),</w:t>
      </w:r>
      <m:oMath>
        <m:sSub>
          <m:sSubPr>
            <m:ctrlPr>
              <w:rPr>
                <w:rFonts w:ascii="Cambria Math" w:hAnsi="Cambria Math" w:cs="Times New Roman"/>
                <w:i/>
                <w:szCs w:val="24"/>
              </w:rPr>
            </m:ctrlPr>
          </m:sSubPr>
          <m:e>
            <m:r>
              <w:rPr>
                <w:rFonts w:ascii="Cambria Math" w:hAnsi="Cambria Math" w:cs="Times New Roman"/>
                <w:szCs w:val="24"/>
              </w:rPr>
              <m:t xml:space="preserve"> ε</m:t>
            </m:r>
          </m:e>
          <m:sub>
            <m:r>
              <w:rPr>
                <w:rFonts w:ascii="Cambria Math" w:hAnsi="Cambria Math" w:cs="Times New Roman"/>
                <w:szCs w:val="24"/>
              </w:rPr>
              <m:t>i</m:t>
            </m:r>
          </m:sub>
        </m:sSub>
      </m:oMath>
      <w:r w:rsidRPr="00AC1055">
        <w:rPr>
          <w:rFonts w:eastAsiaTheme="minorEastAsia" w:cs="Times New Roman"/>
          <w:szCs w:val="24"/>
        </w:rPr>
        <w:t xml:space="preserve"> is the residual with a diagonal covariance matrix Σ and </w:t>
      </w: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i</m:t>
            </m:r>
          </m:sub>
        </m:sSub>
        <m:r>
          <w:rPr>
            <w:rFonts w:ascii="Cambria Math" w:eastAsiaTheme="minorEastAsia" w:hAnsi="Cambria Math" w:cs="Times New Roman"/>
            <w:szCs w:val="24"/>
          </w:rPr>
          <m:t xml:space="preserve"> ~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k</m:t>
            </m:r>
          </m:sub>
        </m:sSub>
        <m:r>
          <w:rPr>
            <w:rFonts w:ascii="Cambria Math" w:eastAsiaTheme="minorEastAsia" w:hAnsi="Cambria Math" w:cs="Times New Roman"/>
            <w:szCs w:val="24"/>
          </w:rPr>
          <m:t xml:space="preserve">(0,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I</m:t>
            </m:r>
          </m:e>
          <m:sub>
            <m:r>
              <w:rPr>
                <w:rFonts w:ascii="Cambria Math" w:eastAsiaTheme="minorEastAsia" w:hAnsi="Cambria Math" w:cs="Times New Roman"/>
                <w:szCs w:val="24"/>
              </w:rPr>
              <m:t>k</m:t>
            </m:r>
          </m:sub>
        </m:sSub>
        <m:r>
          <w:rPr>
            <w:rFonts w:ascii="Cambria Math" w:eastAsiaTheme="minorEastAsia" w:hAnsi="Cambria Math" w:cs="Times New Roman"/>
            <w:szCs w:val="24"/>
          </w:rPr>
          <m:t>)</m:t>
        </m:r>
      </m:oMath>
      <w:r w:rsidRPr="00AC1055">
        <w:rPr>
          <w:rFonts w:eastAsiaTheme="minorEastAsia" w:cs="Times New Roman"/>
          <w:szCs w:val="24"/>
        </w:rPr>
        <w:t xml:space="preserve"> which is a vector of standard normal latent factors.</w:t>
      </w:r>
      <w:r w:rsidRPr="00AC1055">
        <w:rPr>
          <w:rFonts w:eastAsiaTheme="minorEastAsia" w:cs="Times New Roman"/>
          <w:szCs w:val="24"/>
          <w:vertAlign w:val="superscript"/>
        </w:rPr>
        <w:footnoteReference w:id="202"/>
      </w:r>
      <w:r w:rsidRPr="00AC1055">
        <w:rPr>
          <w:rFonts w:eastAsiaTheme="minorEastAsia" w:cs="Times New Roman"/>
          <w:szCs w:val="24"/>
        </w:rPr>
        <w:t xml:space="preserve"> In our research p=5 (number of variables), k=1 (number of latent trait, which in this research is the financial development index) and i=18 (number of observation which is the time period).</w:t>
      </w:r>
    </w:p>
    <w:p w14:paraId="3769BB53" w14:textId="77777777" w:rsidR="000A5358" w:rsidRPr="00AC1055" w:rsidRDefault="000A5358" w:rsidP="000A5358">
      <w:pPr>
        <w:spacing w:line="480" w:lineRule="auto"/>
        <w:rPr>
          <w:rFonts w:cs="Times New Roman"/>
          <w:szCs w:val="24"/>
        </w:rPr>
      </w:pPr>
      <w:r w:rsidRPr="00AC1055">
        <w:rPr>
          <w:rFonts w:cs="Times New Roman"/>
          <w:szCs w:val="24"/>
        </w:rPr>
        <w:t xml:space="preserve">To convert equation (9) into a fully Bayesian approach </w:t>
      </w:r>
      <w:r>
        <w:rPr>
          <w:rFonts w:cs="Times New Roman"/>
          <w:szCs w:val="24"/>
        </w:rPr>
        <w:t>it is necessary</w:t>
      </w:r>
      <w:r w:rsidRPr="00AC1055">
        <w:rPr>
          <w:rFonts w:cs="Times New Roman"/>
          <w:szCs w:val="24"/>
        </w:rPr>
        <w:t xml:space="preserve"> to ‘compute the posterior density over all unknown parameters in the model conditional on the observable indicators and any prior information.’</w:t>
      </w:r>
      <w:r w:rsidRPr="00AC1055">
        <w:rPr>
          <w:rFonts w:cs="Times New Roman"/>
          <w:szCs w:val="24"/>
          <w:vertAlign w:val="superscript"/>
        </w:rPr>
        <w:footnoteReference w:id="203"/>
      </w:r>
      <w:r w:rsidRPr="00AC1055">
        <w:rPr>
          <w:rFonts w:cs="Times New Roman"/>
          <w:szCs w:val="24"/>
        </w:rPr>
        <w:t xml:space="preserve"> To do this </w:t>
      </w:r>
      <w:r>
        <w:rPr>
          <w:rFonts w:cs="Times New Roman"/>
          <w:szCs w:val="24"/>
        </w:rPr>
        <w:t>the equation (9) can be rewritten</w:t>
      </w:r>
      <w:r w:rsidRPr="00AC1055">
        <w:rPr>
          <w:rFonts w:cs="Times New Roman"/>
          <w:szCs w:val="24"/>
        </w:rPr>
        <w:t xml:space="preserve"> as:</w:t>
      </w:r>
    </w:p>
    <w:p w14:paraId="6E443491" w14:textId="77777777" w:rsidR="000A5358" w:rsidRPr="00AC1055" w:rsidRDefault="000A5358" w:rsidP="000A5358">
      <w:pPr>
        <w:spacing w:line="480" w:lineRule="auto"/>
        <w:jc w:val="center"/>
        <w:rPr>
          <w:rFonts w:cs="Times New Roman"/>
          <w:szCs w:val="24"/>
        </w:rPr>
      </w:pPr>
      <w:r w:rsidRPr="00AC1055">
        <w:rPr>
          <w:rFonts w:eastAsiaTheme="minorEastAsia" w:cs="Times New Roman"/>
          <w:szCs w:val="24"/>
        </w:rPr>
        <w:t xml:space="preserve">                        </w:t>
      </w:r>
      <w:r>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ij</m:t>
            </m:r>
          </m:sub>
        </m:sSub>
        <m:r>
          <w:rPr>
            <w:rFonts w:ascii="Cambria Math" w:hAnsi="Cambria Math" w:cs="Times New Roman"/>
            <w:szCs w:val="24"/>
          </w:rPr>
          <m:t xml:space="preserve"> ~ N(</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j0</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j1</m:t>
            </m:r>
          </m:sub>
        </m:sSub>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i</m:t>
            </m:r>
          </m:sub>
        </m:sSub>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j</m:t>
            </m:r>
          </m:sub>
          <m:sup>
            <m:r>
              <w:rPr>
                <w:rFonts w:ascii="Cambria Math" w:hAnsi="Cambria Math" w:cs="Times New Roman"/>
                <w:szCs w:val="24"/>
              </w:rPr>
              <m:t>2</m:t>
            </m:r>
          </m:sup>
        </m:sSubSup>
        <m:r>
          <w:rPr>
            <w:rFonts w:ascii="Cambria Math" w:hAnsi="Cambria Math" w:cs="Times New Roman"/>
            <w:szCs w:val="24"/>
          </w:rPr>
          <m:t>)</m:t>
        </m:r>
      </m:oMath>
      <w:r w:rsidRPr="00AC1055">
        <w:rPr>
          <w:rFonts w:eastAsiaTheme="minorEastAsia" w:cs="Times New Roman"/>
          <w:szCs w:val="24"/>
        </w:rPr>
        <w:t xml:space="preserve">                                              (10)</w:t>
      </w:r>
    </w:p>
    <w:p w14:paraId="49A1A193" w14:textId="77777777" w:rsidR="000A5358" w:rsidRPr="00AC1055" w:rsidRDefault="000A5358" w:rsidP="000A5358">
      <w:pPr>
        <w:spacing w:line="480" w:lineRule="auto"/>
        <w:rPr>
          <w:rFonts w:cs="Times New Roman"/>
          <w:szCs w:val="24"/>
        </w:rPr>
      </w:pPr>
      <w:r w:rsidRPr="00AC1055">
        <w:rPr>
          <w:rFonts w:cs="Times New Roman"/>
          <w:szCs w:val="24"/>
        </w:rPr>
        <w:t>Where γ is the factor loading, ξ is the single latent factor and ω</w:t>
      </w:r>
      <w:r w:rsidRPr="00AC1055">
        <w:rPr>
          <w:rFonts w:cs="Times New Roman"/>
          <w:szCs w:val="24"/>
          <w:vertAlign w:val="superscript"/>
        </w:rPr>
        <w:t>2</w:t>
      </w:r>
      <w:r w:rsidRPr="00AC1055">
        <w:rPr>
          <w:rFonts w:cs="Times New Roman"/>
          <w:szCs w:val="24"/>
        </w:rPr>
        <w:t xml:space="preserve"> is the measurement error variances. This can expressed as a likelihood function as:</w:t>
      </w:r>
    </w:p>
    <w:p w14:paraId="58C06AD4" w14:textId="77777777" w:rsidR="000A5358" w:rsidRPr="00AC1055" w:rsidRDefault="000A5358" w:rsidP="000A5358">
      <w:pPr>
        <w:spacing w:line="480" w:lineRule="auto"/>
        <w:jc w:val="center"/>
        <w:rPr>
          <w:rFonts w:cs="Times New Roman"/>
          <w:szCs w:val="24"/>
        </w:rPr>
      </w:pPr>
      <w:r w:rsidRPr="00AC1055">
        <w:rPr>
          <w:rFonts w:eastAsiaTheme="minorEastAsia" w:cs="Times New Roman"/>
          <w:szCs w:val="24"/>
        </w:rPr>
        <w:t xml:space="preserve">              </w:t>
      </w:r>
      <w:r>
        <w:rPr>
          <w:rFonts w:eastAsiaTheme="minorEastAsia" w:cs="Times New Roman"/>
          <w:szCs w:val="24"/>
        </w:rPr>
        <w:t xml:space="preserve">                   </w:t>
      </w:r>
      <m:oMath>
        <m:r>
          <m:rPr>
            <m:scr m:val="script"/>
          </m:rPr>
          <w:rPr>
            <w:rFonts w:ascii="Cambria Math" w:hAnsi="Cambria Math" w:cs="Times New Roman"/>
            <w:szCs w:val="24"/>
          </w:rPr>
          <m:t>L≡</m:t>
        </m:r>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Y</m:t>
            </m:r>
          </m:e>
          <m:e>
            <m:r>
              <w:rPr>
                <w:rFonts w:ascii="Cambria Math" w:hAnsi="Cambria Math" w:cs="Times New Roman"/>
                <w:szCs w:val="24"/>
              </w:rPr>
              <m:t>θ</m:t>
            </m:r>
          </m:e>
        </m:d>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n</m:t>
            </m:r>
          </m:sup>
          <m:e>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p</m:t>
                </m:r>
              </m:sup>
              <m:e>
                <m:r>
                  <w:rPr>
                    <w:rFonts w:ascii="Cambria Math" w:hAnsi="Cambria Math" w:cs="Times New Roman"/>
                    <w:szCs w:val="24"/>
                  </w:rPr>
                  <m:t>ϕ(</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ij</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j0</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j1</m:t>
                        </m:r>
                      </m:sub>
                    </m:sSub>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i</m:t>
                        </m:r>
                      </m:sub>
                    </m:sSub>
                  </m:num>
                  <m:den>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j</m:t>
                        </m:r>
                      </m:sub>
                    </m:sSub>
                  </m:den>
                </m:f>
                <m:r>
                  <w:rPr>
                    <w:rFonts w:ascii="Cambria Math" w:hAnsi="Cambria Math" w:cs="Times New Roman"/>
                    <w:szCs w:val="24"/>
                  </w:rPr>
                  <m:t>)</m:t>
                </m:r>
              </m:e>
            </m:nary>
          </m:e>
        </m:nary>
      </m:oMath>
      <w:r w:rsidRPr="00AC1055">
        <w:rPr>
          <w:rFonts w:eastAsiaTheme="minorEastAsia" w:cs="Times New Roman"/>
          <w:szCs w:val="24"/>
        </w:rPr>
        <w:t xml:space="preserve">                           (11)</w:t>
      </w:r>
    </w:p>
    <w:p w14:paraId="68CF2C77" w14:textId="77777777" w:rsidR="000A5358" w:rsidRPr="00AC1055" w:rsidRDefault="000A5358" w:rsidP="000A5358">
      <w:pPr>
        <w:spacing w:line="480" w:lineRule="auto"/>
        <w:rPr>
          <w:rFonts w:cs="Times New Roman"/>
          <w:szCs w:val="24"/>
        </w:rPr>
      </w:pPr>
      <w:r w:rsidRPr="00AC1055">
        <w:rPr>
          <w:rFonts w:cs="Times New Roman"/>
          <w:szCs w:val="24"/>
        </w:rPr>
        <w:t>Where Y is the n x p matrix of observed indicators, θ = {Γ, ψ, ξ} is the matrix set of unknown parameters comprising of factor loading [Γ = (</w:t>
      </w:r>
      <m:oMath>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10</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p1</m:t>
            </m:r>
          </m:sub>
        </m:sSub>
      </m:oMath>
      <w:r w:rsidRPr="00AC1055">
        <w:rPr>
          <w:rFonts w:eastAsiaTheme="minorEastAsia" w:cs="Times New Roman"/>
          <w:szCs w:val="24"/>
        </w:rPr>
        <w:t>)’</w:t>
      </w:r>
      <w:r w:rsidRPr="00AC1055">
        <w:rPr>
          <w:rFonts w:cs="Times New Roman"/>
          <w:szCs w:val="24"/>
        </w:rPr>
        <w:t>], measurement error [ψ = (</w:t>
      </w:r>
      <m:oMath>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1</m:t>
            </m:r>
          </m:sub>
          <m:sup>
            <m:r>
              <w:rPr>
                <w:rFonts w:ascii="Cambria Math" w:hAnsi="Cambria Math" w:cs="Times New Roman"/>
                <w:szCs w:val="24"/>
              </w:rPr>
              <m:t>2</m:t>
            </m:r>
          </m:sup>
        </m:sSubSup>
      </m:oMath>
      <w:r w:rsidRPr="00AC1055">
        <w:rPr>
          <w:rFonts w:eastAsiaTheme="minorEastAsia" w:cs="Times New Roman"/>
          <w:szCs w:val="24"/>
        </w:rPr>
        <w:t>, …,</w:t>
      </w:r>
      <w:r w:rsidRPr="00AC1055">
        <w:rPr>
          <w:rFonts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p</m:t>
            </m:r>
          </m:sub>
          <m:sup>
            <m:r>
              <w:rPr>
                <w:rFonts w:ascii="Cambria Math" w:hAnsi="Cambria Math" w:cs="Times New Roman"/>
                <w:szCs w:val="24"/>
              </w:rPr>
              <m:t>2</m:t>
            </m:r>
          </m:sup>
        </m:sSubSup>
      </m:oMath>
      <w:r w:rsidRPr="00AC1055">
        <w:rPr>
          <w:rFonts w:cs="Times New Roman"/>
          <w:szCs w:val="24"/>
        </w:rPr>
        <w:t xml:space="preserve">)'] and latent factor variable [ξ =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n</m:t>
            </m:r>
          </m:sub>
        </m:sSub>
        <m:r>
          <w:rPr>
            <w:rFonts w:ascii="Cambria Math" w:hAnsi="Cambria Math" w:cs="Times New Roman"/>
            <w:szCs w:val="24"/>
          </w:rPr>
          <m:t>)'</m:t>
        </m:r>
      </m:oMath>
      <w:r w:rsidRPr="00AC1055">
        <w:rPr>
          <w:rFonts w:cs="Times New Roman"/>
          <w:szCs w:val="24"/>
        </w:rPr>
        <w:t xml:space="preserve">], and ϕ is the standard normal density. </w:t>
      </w:r>
    </w:p>
    <w:p w14:paraId="6EE9CF2F" w14:textId="77777777" w:rsidR="000A5358" w:rsidRPr="00AC1055" w:rsidRDefault="000A5358" w:rsidP="000A5358">
      <w:pPr>
        <w:spacing w:line="480" w:lineRule="auto"/>
        <w:rPr>
          <w:rFonts w:cs="Times New Roman"/>
          <w:szCs w:val="24"/>
        </w:rPr>
      </w:pPr>
      <w:r w:rsidRPr="00AC1055">
        <w:rPr>
          <w:rFonts w:cs="Times New Roman"/>
          <w:szCs w:val="24"/>
        </w:rPr>
        <w:lastRenderedPageBreak/>
        <w:t>Extrapolating prior distribution over the components of θ from equation (11) can be represented as:</w:t>
      </w:r>
    </w:p>
    <w:p w14:paraId="1ABE24E1" w14:textId="77777777" w:rsidR="000A5358" w:rsidRPr="00AC1055" w:rsidRDefault="000A5358" w:rsidP="000A5358">
      <w:pPr>
        <w:spacing w:line="480" w:lineRule="auto"/>
        <w:rPr>
          <w:rFonts w:eastAsiaTheme="minorEastAsia" w:cs="Times New Roman"/>
          <w:szCs w:val="24"/>
        </w:rPr>
      </w:pPr>
      <m:oMathPara>
        <m:oMath>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θ</m:t>
              </m:r>
            </m:e>
          </m:d>
          <m:r>
            <w:rPr>
              <w:rFonts w:ascii="Cambria Math" w:hAnsi="Cambria Math" w:cs="Times New Roman"/>
              <w:szCs w:val="24"/>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n</m:t>
                  </m:r>
                </m:sub>
              </m:sSub>
            </m:e>
          </m:d>
          <m:r>
            <w:rPr>
              <w:rFonts w:ascii="Cambria Math" w:hAnsi="Cambria Math" w:cs="Times New Roman"/>
              <w:szCs w:val="24"/>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1</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1</m:t>
                  </m:r>
                </m:sub>
                <m:sup>
                  <m:r>
                    <w:rPr>
                      <w:rFonts w:ascii="Cambria Math" w:hAnsi="Cambria Math" w:cs="Times New Roman"/>
                      <w:szCs w:val="24"/>
                    </w:rPr>
                    <m:t>2</m:t>
                  </m:r>
                </m:sup>
              </m:sSubSup>
            </m:e>
          </m:d>
          <m:r>
            <w:rPr>
              <w:rFonts w:ascii="Cambria Math" w:hAnsi="Cambria Math" w:cs="Times New Roman"/>
              <w:szCs w:val="24"/>
            </w:rPr>
            <m:t>p</m:t>
          </m:r>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1</m:t>
                  </m:r>
                </m:sub>
                <m:sup>
                  <m:r>
                    <w:rPr>
                      <w:rFonts w:ascii="Cambria Math" w:hAnsi="Cambria Math" w:cs="Times New Roman"/>
                      <w:szCs w:val="24"/>
                    </w:rPr>
                    <m:t>2</m:t>
                  </m:r>
                </m:sup>
              </m:sSubSup>
            </m:e>
          </m:d>
          <m:r>
            <w:rPr>
              <w:rFonts w:ascii="Cambria Math" w:hAnsi="Cambria Math" w:cs="Times New Roman"/>
              <w:szCs w:val="24"/>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p</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p</m:t>
                  </m:r>
                </m:sub>
                <m:sup>
                  <m:r>
                    <w:rPr>
                      <w:rFonts w:ascii="Cambria Math" w:hAnsi="Cambria Math" w:cs="Times New Roman"/>
                      <w:szCs w:val="24"/>
                    </w:rPr>
                    <m:t>2</m:t>
                  </m:r>
                </m:sup>
              </m:sSubSup>
            </m:e>
          </m:d>
          <m:r>
            <w:rPr>
              <w:rFonts w:ascii="Cambria Math" w:hAnsi="Cambria Math" w:cs="Times New Roman"/>
              <w:szCs w:val="24"/>
            </w:rPr>
            <m:t>p</m:t>
          </m:r>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p</m:t>
                  </m:r>
                </m:sub>
                <m:sup>
                  <m:r>
                    <w:rPr>
                      <w:rFonts w:ascii="Cambria Math" w:hAnsi="Cambria Math" w:cs="Times New Roman"/>
                      <w:szCs w:val="24"/>
                    </w:rPr>
                    <m:t>2</m:t>
                  </m:r>
                </m:sup>
              </m:sSubSup>
            </m:e>
          </m:d>
        </m:oMath>
      </m:oMathPara>
    </w:p>
    <w:p w14:paraId="0B99874F" w14:textId="77777777" w:rsidR="000A5358" w:rsidRPr="00AC1055" w:rsidRDefault="000A5358" w:rsidP="000A5358">
      <w:pPr>
        <w:spacing w:line="480" w:lineRule="auto"/>
        <w:rPr>
          <w:rFonts w:eastAsiaTheme="minorEastAsia" w:cs="Times New Roman"/>
          <w:szCs w:val="24"/>
        </w:rPr>
      </w:pPr>
      <w:r w:rsidRPr="00AC1055">
        <w:rPr>
          <w:rFonts w:eastAsiaTheme="minorEastAsia" w:cs="Times New Roman"/>
          <w:szCs w:val="24"/>
        </w:rPr>
        <w:t xml:space="preserve">                                           </w:t>
      </w:r>
      <m:oMath>
        <m: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r>
              <w:rPr>
                <w:rFonts w:ascii="Cambria Math" w:eastAsiaTheme="minorEastAsia" w:hAnsi="Cambria Math" w:cs="Times New Roman"/>
                <w:szCs w:val="24"/>
              </w:rPr>
              <m:t>p(</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ξ</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e>
        </m:nary>
        <m:nary>
          <m:naryPr>
            <m:chr m:val="∏"/>
            <m:limLoc m:val="subSup"/>
            <m:ctrlPr>
              <w:rPr>
                <w:rFonts w:ascii="Cambria Math" w:eastAsiaTheme="minorEastAsia" w:hAnsi="Cambria Math" w:cs="Times New Roman"/>
                <w:i/>
                <w:szCs w:val="24"/>
              </w:rPr>
            </m:ctrlPr>
          </m:naryPr>
          <m:sub>
            <m:r>
              <w:rPr>
                <w:rFonts w:ascii="Cambria Math" w:eastAsiaTheme="minorEastAsia" w:hAnsi="Cambria Math" w:cs="Times New Roman"/>
                <w:szCs w:val="24"/>
              </w:rPr>
              <m:t>j=1</m:t>
            </m:r>
          </m:sub>
          <m:sup>
            <m:r>
              <w:rPr>
                <w:rFonts w:ascii="Cambria Math" w:eastAsiaTheme="minorEastAsia" w:hAnsi="Cambria Math" w:cs="Times New Roman"/>
                <w:szCs w:val="24"/>
              </w:rPr>
              <m:t>p</m:t>
            </m:r>
          </m:sup>
          <m:e>
            <m:r>
              <w:rPr>
                <w:rFonts w:ascii="Cambria Math" w:hAnsi="Cambria Math" w:cs="Times New Roman"/>
                <w:szCs w:val="24"/>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j</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j</m:t>
                    </m:r>
                  </m:sub>
                  <m:sup>
                    <m:r>
                      <w:rPr>
                        <w:rFonts w:ascii="Cambria Math" w:hAnsi="Cambria Math" w:cs="Times New Roman"/>
                        <w:szCs w:val="24"/>
                      </w:rPr>
                      <m:t>2</m:t>
                    </m:r>
                  </m:sup>
                </m:sSubSup>
              </m:e>
            </m:d>
            <m:r>
              <w:rPr>
                <w:rFonts w:ascii="Cambria Math" w:hAnsi="Cambria Math" w:cs="Times New Roman"/>
                <w:szCs w:val="24"/>
              </w:rPr>
              <m:t>p</m:t>
            </m:r>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j</m:t>
                    </m:r>
                  </m:sub>
                  <m:sup>
                    <m:r>
                      <w:rPr>
                        <w:rFonts w:ascii="Cambria Math" w:hAnsi="Cambria Math" w:cs="Times New Roman"/>
                        <w:szCs w:val="24"/>
                      </w:rPr>
                      <m:t>2</m:t>
                    </m:r>
                  </m:sup>
                </m:sSubSup>
              </m:e>
            </m:d>
          </m:e>
        </m:nary>
      </m:oMath>
      <w:r w:rsidRPr="00AC1055">
        <w:rPr>
          <w:rFonts w:eastAsiaTheme="minorEastAsia" w:cs="Times New Roman"/>
          <w:szCs w:val="24"/>
        </w:rPr>
        <w:t xml:space="preserve">          </w:t>
      </w:r>
      <w:r>
        <w:rPr>
          <w:rFonts w:eastAsiaTheme="minorEastAsia" w:cs="Times New Roman"/>
          <w:szCs w:val="24"/>
        </w:rPr>
        <w:t xml:space="preserve">                   </w:t>
      </w:r>
      <w:r w:rsidRPr="00AC1055">
        <w:rPr>
          <w:rFonts w:eastAsiaTheme="minorEastAsia" w:cs="Times New Roman"/>
          <w:szCs w:val="24"/>
        </w:rPr>
        <w:t>(12)</w:t>
      </w:r>
    </w:p>
    <w:p w14:paraId="1BE8A4B0" w14:textId="77777777" w:rsidR="000A5358" w:rsidRPr="00AC1055" w:rsidRDefault="000A5358" w:rsidP="000A5358">
      <w:pPr>
        <w:spacing w:line="480" w:lineRule="auto"/>
        <w:rPr>
          <w:rFonts w:cs="Times New Roman"/>
          <w:szCs w:val="24"/>
        </w:rPr>
      </w:pPr>
      <w:r w:rsidRPr="00AC1055">
        <w:rPr>
          <w:rFonts w:cs="Times New Roman"/>
          <w:szCs w:val="24"/>
        </w:rPr>
        <w:t>Equation (12) fits the Bayes rule of posterior density being proportional to the prior times likelihood. This factorial equation can be operationalised as:</w:t>
      </w:r>
    </w:p>
    <w:p w14:paraId="4702B640" w14:textId="77777777" w:rsidR="000A5358" w:rsidRPr="00AC1055" w:rsidRDefault="005A260F" w:rsidP="000A5358">
      <w:pPr>
        <w:spacing w:line="480"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 xml:space="preserve">                                                           ξ</m:t>
            </m:r>
          </m:e>
          <m:sub>
            <m:r>
              <w:rPr>
                <w:rFonts w:ascii="Cambria Math" w:hAnsi="Cambria Math" w:cs="Times New Roman"/>
                <w:szCs w:val="24"/>
              </w:rPr>
              <m:t>i</m:t>
            </m:r>
          </m:sub>
        </m:sSub>
        <m:r>
          <w:rPr>
            <w:rFonts w:ascii="Cambria Math" w:hAnsi="Cambria Math" w:cs="Times New Roman"/>
            <w:szCs w:val="24"/>
          </w:rPr>
          <m:t xml:space="preserve"> ~ 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ξ</m:t>
                </m:r>
              </m:sub>
            </m:sSub>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σ</m:t>
                </m:r>
              </m:e>
              <m:sup>
                <m:r>
                  <w:rPr>
                    <w:rFonts w:ascii="Cambria Math" w:hAnsi="Cambria Math" w:cs="Times New Roman"/>
                    <w:szCs w:val="24"/>
                  </w:rPr>
                  <m:t>2</m:t>
                </m:r>
              </m:sup>
            </m:sSup>
          </m:e>
        </m:d>
        <m:r>
          <w:rPr>
            <w:rFonts w:ascii="Cambria Math" w:hAnsi="Cambria Math" w:cs="Times New Roman"/>
            <w:szCs w:val="24"/>
          </w:rPr>
          <m:t>,                     i=1,…,n</m:t>
        </m:r>
      </m:oMath>
      <w:r w:rsidR="000A5358">
        <w:rPr>
          <w:rFonts w:eastAsiaTheme="minorEastAsia" w:cs="Times New Roman"/>
          <w:szCs w:val="24"/>
        </w:rPr>
        <w:t xml:space="preserve">                </w:t>
      </w:r>
      <w:r w:rsidR="000A5358" w:rsidRPr="00AC1055">
        <w:rPr>
          <w:rFonts w:eastAsiaTheme="minorEastAsia" w:cs="Times New Roman"/>
          <w:szCs w:val="24"/>
        </w:rPr>
        <w:t>(13)</w:t>
      </w:r>
    </w:p>
    <w:p w14:paraId="4E168593" w14:textId="77777777" w:rsidR="000A5358" w:rsidRPr="00AC1055" w:rsidRDefault="005A260F" w:rsidP="000A5358">
      <w:pPr>
        <w:spacing w:line="480"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 xml:space="preserve">                                                  γ</m:t>
            </m:r>
          </m:e>
          <m:sub>
            <m:r>
              <w:rPr>
                <w:rFonts w:ascii="Cambria Math" w:hAnsi="Cambria Math" w:cs="Times New Roman"/>
                <w:szCs w:val="24"/>
              </w:rPr>
              <m:t>j</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j</m:t>
            </m:r>
          </m:sub>
          <m:sup>
            <m:r>
              <w:rPr>
                <w:rFonts w:ascii="Cambria Math" w:hAnsi="Cambria Math" w:cs="Times New Roman"/>
                <w:szCs w:val="24"/>
              </w:rPr>
              <m:t>2</m:t>
            </m:r>
          </m:sup>
        </m:sSubSup>
        <m:r>
          <w:rPr>
            <w:rFonts w:ascii="Cambria Math" w:hAnsi="Cambria Math" w:cs="Times New Roman"/>
            <w:szCs w:val="24"/>
          </w:rPr>
          <m:t xml:space="preserve"> ~ 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j0</m:t>
                </m:r>
              </m:sub>
            </m:sSub>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j</m:t>
                </m:r>
              </m:sub>
              <m:sup>
                <m:r>
                  <w:rPr>
                    <w:rFonts w:ascii="Cambria Math" w:hAnsi="Cambria Math" w:cs="Times New Roman"/>
                    <w:szCs w:val="24"/>
                  </w:rPr>
                  <m:t>2</m:t>
                </m:r>
              </m:sup>
            </m:sSubSup>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j0</m:t>
                </m:r>
              </m:sub>
            </m:sSub>
          </m:e>
        </m:d>
        <m:r>
          <w:rPr>
            <w:rFonts w:ascii="Cambria Math" w:hAnsi="Cambria Math" w:cs="Times New Roman"/>
            <w:szCs w:val="24"/>
          </w:rPr>
          <m:t>,               j=1,…,p</m:t>
        </m:r>
      </m:oMath>
      <w:r w:rsidR="000A5358">
        <w:rPr>
          <w:rFonts w:eastAsiaTheme="minorEastAsia" w:cs="Times New Roman"/>
          <w:szCs w:val="24"/>
        </w:rPr>
        <w:t xml:space="preserve">                </w:t>
      </w:r>
      <w:r w:rsidR="000A5358" w:rsidRPr="00AC1055">
        <w:rPr>
          <w:rFonts w:eastAsiaTheme="minorEastAsia" w:cs="Times New Roman"/>
          <w:szCs w:val="24"/>
        </w:rPr>
        <w:t>(14)</w:t>
      </w:r>
    </w:p>
    <w:p w14:paraId="510F2773" w14:textId="77777777" w:rsidR="000A5358" w:rsidRPr="00AC1055" w:rsidRDefault="005A260F" w:rsidP="000A5358">
      <w:pPr>
        <w:spacing w:line="480" w:lineRule="auto"/>
        <w:rPr>
          <w:rFonts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 xml:space="preserve">                                    ω</m:t>
            </m:r>
          </m:e>
          <m:sub>
            <m:r>
              <w:rPr>
                <w:rFonts w:ascii="Cambria Math" w:hAnsi="Cambria Math" w:cs="Times New Roman"/>
                <w:szCs w:val="24"/>
              </w:rPr>
              <m:t>j</m:t>
            </m:r>
          </m:sub>
          <m:sup>
            <m:r>
              <w:rPr>
                <w:rFonts w:ascii="Cambria Math" w:hAnsi="Cambria Math" w:cs="Times New Roman"/>
                <w:szCs w:val="24"/>
              </w:rPr>
              <m:t>2</m:t>
            </m:r>
          </m:sup>
        </m:sSubSup>
        <m:r>
          <w:rPr>
            <w:rFonts w:ascii="Cambria Math" w:hAnsi="Cambria Math" w:cs="Times New Roman"/>
            <w:szCs w:val="24"/>
          </w:rPr>
          <m:t xml:space="preserve"> ~ inverse-Gamma</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ν</m:t>
                    </m:r>
                  </m:e>
                  <m:sub>
                    <m:r>
                      <w:rPr>
                        <w:rFonts w:ascii="Cambria Math" w:hAnsi="Cambria Math" w:cs="Times New Roman"/>
                        <w:szCs w:val="24"/>
                      </w:rPr>
                      <m:t>j0</m:t>
                    </m:r>
                  </m:sub>
                </m:sSub>
              </m:num>
              <m:den>
                <m:r>
                  <w:rPr>
                    <w:rFonts w:ascii="Cambria Math" w:hAnsi="Cambria Math" w:cs="Times New Roman"/>
                    <w:szCs w:val="24"/>
                  </w:rPr>
                  <m:t>2</m:t>
                </m:r>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ν</m:t>
                    </m:r>
                  </m:e>
                  <m:sub>
                    <m:r>
                      <w:rPr>
                        <w:rFonts w:ascii="Cambria Math" w:hAnsi="Cambria Math" w:cs="Times New Roman"/>
                        <w:szCs w:val="24"/>
                      </w:rPr>
                      <m:t>j0</m:t>
                    </m:r>
                  </m:sub>
                </m:sSub>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j0</m:t>
                    </m:r>
                  </m:sub>
                  <m:sup>
                    <m:r>
                      <w:rPr>
                        <w:rFonts w:ascii="Cambria Math" w:hAnsi="Cambria Math" w:cs="Times New Roman"/>
                        <w:szCs w:val="24"/>
                      </w:rPr>
                      <m:t>2</m:t>
                    </m:r>
                  </m:sup>
                </m:sSubSup>
              </m:num>
              <m:den>
                <m:r>
                  <w:rPr>
                    <w:rFonts w:ascii="Cambria Math" w:hAnsi="Cambria Math" w:cs="Times New Roman"/>
                    <w:szCs w:val="24"/>
                  </w:rPr>
                  <m:t>2</m:t>
                </m:r>
              </m:den>
            </m:f>
          </m:e>
        </m:d>
        <m:r>
          <w:rPr>
            <w:rFonts w:ascii="Cambria Math" w:hAnsi="Cambria Math" w:cs="Times New Roman"/>
            <w:szCs w:val="24"/>
          </w:rPr>
          <m:t>, j=1,…, p</m:t>
        </m:r>
      </m:oMath>
      <w:r w:rsidR="000A5358" w:rsidRPr="00AC1055">
        <w:rPr>
          <w:rFonts w:eastAsiaTheme="minorEastAsia" w:cs="Times New Roman"/>
          <w:szCs w:val="24"/>
        </w:rPr>
        <w:t xml:space="preserve">              </w:t>
      </w:r>
      <w:r w:rsidR="000A5358">
        <w:rPr>
          <w:rFonts w:eastAsiaTheme="minorEastAsia" w:cs="Times New Roman"/>
          <w:szCs w:val="24"/>
        </w:rPr>
        <w:t xml:space="preserve"> </w:t>
      </w:r>
      <w:r w:rsidR="000A5358" w:rsidRPr="00AC1055">
        <w:rPr>
          <w:rFonts w:eastAsiaTheme="minorEastAsia" w:cs="Times New Roman"/>
          <w:szCs w:val="24"/>
        </w:rPr>
        <w:t xml:space="preserve"> (15)</w:t>
      </w:r>
    </w:p>
    <w:p w14:paraId="4D6958D1" w14:textId="77777777" w:rsidR="000A5358" w:rsidRPr="00AC1055" w:rsidRDefault="000A5358" w:rsidP="000A5358">
      <w:pPr>
        <w:spacing w:line="480" w:lineRule="auto"/>
        <w:rPr>
          <w:rFonts w:cs="Times New Roman"/>
          <w:szCs w:val="24"/>
        </w:rPr>
      </w:pPr>
      <w:r w:rsidRPr="00AC1055">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j0</m:t>
            </m:r>
          </m:sub>
        </m:sSub>
      </m:oMath>
      <w:r w:rsidRPr="00AC1055">
        <w:rPr>
          <w:rFonts w:eastAsiaTheme="minorEastAsia"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j0</m:t>
            </m:r>
          </m:sub>
        </m:sSub>
        <m:r>
          <w:rPr>
            <w:rFonts w:ascii="Cambria Math" w:hAnsi="Cambria Math" w:cs="Times New Roman"/>
            <w:szCs w:val="24"/>
          </w:rPr>
          <m:t xml:space="preserve"> </m:t>
        </m:r>
      </m:oMath>
      <w:r w:rsidRPr="00AC1055">
        <w:rPr>
          <w:rFonts w:eastAsiaTheme="minorEastAsia" w:cs="Times New Roman"/>
          <w:szCs w:val="24"/>
        </w:rPr>
        <w:t xml:space="preserve">are user specified hyper-parameters of initial values for intercept and slope for the simulations. As stated earlier </w:t>
      </w:r>
      <m:oMath>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j0</m:t>
            </m:r>
          </m:sub>
          <m:sup>
            <m:r>
              <w:rPr>
                <w:rFonts w:ascii="Cambria Math" w:hAnsi="Cambria Math" w:cs="Times New Roman"/>
                <w:szCs w:val="24"/>
              </w:rPr>
              <m:t>2</m:t>
            </m:r>
          </m:sup>
        </m:sSubSup>
      </m:oMath>
      <w:r w:rsidRPr="00AC1055">
        <w:rPr>
          <w:rFonts w:cs="Times New Roman"/>
          <w:szCs w:val="24"/>
        </w:rPr>
        <w:t xml:space="preserve"> is the measurement error variances. </w:t>
      </w:r>
      <w:r>
        <w:rPr>
          <w:rFonts w:cs="Times New Roman"/>
          <w:szCs w:val="24"/>
        </w:rPr>
        <w:t>T</w:t>
      </w:r>
      <w:r w:rsidRPr="00AC1055">
        <w:rPr>
          <w:rFonts w:cs="Times New Roman"/>
          <w:szCs w:val="24"/>
        </w:rPr>
        <w:t>he mean, standard deviation and the initial values for the common priors for the inverse Gamma densities</w:t>
      </w:r>
      <w:r>
        <w:rPr>
          <w:rFonts w:cs="Times New Roman"/>
          <w:szCs w:val="24"/>
        </w:rPr>
        <w:t xml:space="preserve"> are provided</w:t>
      </w:r>
      <w:r w:rsidRPr="00AC1055">
        <w:rPr>
          <w:rFonts w:cs="Times New Roman"/>
          <w:szCs w:val="24"/>
        </w:rPr>
        <w:t xml:space="preserve">. As Simon Jackmann envisages, in </w:t>
      </w:r>
      <w:r>
        <w:rPr>
          <w:rFonts w:cs="Times New Roman"/>
          <w:szCs w:val="24"/>
        </w:rPr>
        <w:t xml:space="preserve">the </w:t>
      </w:r>
      <w:r w:rsidRPr="00AC1055">
        <w:rPr>
          <w:rFonts w:cs="Times New Roman"/>
          <w:szCs w:val="24"/>
        </w:rPr>
        <w:t>absence of prior information about factor loading large values</w:t>
      </w:r>
      <w:r>
        <w:rPr>
          <w:rFonts w:cs="Times New Roman"/>
          <w:szCs w:val="24"/>
        </w:rPr>
        <w:t xml:space="preserve"> are set </w:t>
      </w:r>
      <w:r w:rsidRPr="00AC1055">
        <w:rPr>
          <w:rFonts w:cs="Times New Roman"/>
          <w:szCs w:val="24"/>
        </w:rPr>
        <w:t xml:space="preserve">for the elements of </w:t>
      </w:r>
      <w:r>
        <w:rPr>
          <w:rFonts w:cs="Times New Roman"/>
          <w:szCs w:val="24"/>
        </w:rPr>
        <w:t xml:space="preserve">the </w:t>
      </w:r>
      <w:r w:rsidRPr="00AC1055">
        <w:rPr>
          <w:rFonts w:cs="Times New Roman"/>
          <w:szCs w:val="24"/>
        </w:rPr>
        <w:t>prior sum of square matrices</w:t>
      </w:r>
      <w:r w:rsidRPr="00AC1055">
        <w:rPr>
          <w:rFonts w:cs="Times New Roman"/>
          <w:szCs w:val="24"/>
          <w:vertAlign w:val="superscript"/>
        </w:rPr>
        <w:footnoteReference w:id="204"/>
      </w:r>
      <w:r w:rsidRPr="00AC1055">
        <w:rPr>
          <w:rFonts w:cs="Times New Roman"/>
          <w:szCs w:val="24"/>
        </w:rPr>
        <w:t xml:space="preserve"> and run the simulations for a longer period of time until the model converges. It is a resource</w:t>
      </w:r>
      <w:r>
        <w:rPr>
          <w:rFonts w:cs="Times New Roman"/>
          <w:szCs w:val="24"/>
        </w:rPr>
        <w:t>-</w:t>
      </w:r>
      <w:r w:rsidRPr="00AC1055">
        <w:rPr>
          <w:rFonts w:cs="Times New Roman"/>
          <w:szCs w:val="24"/>
        </w:rPr>
        <w:t xml:space="preserve">intensive method but is simpler to execute. </w:t>
      </w:r>
    </w:p>
    <w:p w14:paraId="5D81354C" w14:textId="77777777" w:rsidR="000A5358" w:rsidRPr="00AC1055" w:rsidRDefault="000A5358" w:rsidP="000A5358">
      <w:pPr>
        <w:spacing w:line="480" w:lineRule="auto"/>
        <w:rPr>
          <w:rFonts w:cs="Times New Roman"/>
          <w:szCs w:val="24"/>
        </w:rPr>
      </w:pPr>
      <w:r>
        <w:rPr>
          <w:rFonts w:cs="Times New Roman"/>
          <w:szCs w:val="24"/>
        </w:rPr>
        <w:t xml:space="preserve">A </w:t>
      </w:r>
      <w:r w:rsidRPr="00AC1055">
        <w:rPr>
          <w:rFonts w:cs="Times New Roman"/>
          <w:szCs w:val="24"/>
        </w:rPr>
        <w:t xml:space="preserve">one dimension latent variable model for financial growth </w:t>
      </w:r>
      <w:r>
        <w:rPr>
          <w:rFonts w:cs="Times New Roman"/>
          <w:szCs w:val="24"/>
        </w:rPr>
        <w:t xml:space="preserve">is fitted, </w:t>
      </w:r>
      <w:r w:rsidRPr="00AC1055">
        <w:rPr>
          <w:rFonts w:cs="Times New Roman"/>
          <w:szCs w:val="24"/>
        </w:rPr>
        <w:t xml:space="preserve">with p=5 set of underlying indicators, using </w:t>
      </w:r>
      <w:r>
        <w:rPr>
          <w:rFonts w:cs="Times New Roman"/>
          <w:szCs w:val="24"/>
        </w:rPr>
        <w:t xml:space="preserve">a </w:t>
      </w:r>
      <w:r w:rsidRPr="00AC1055">
        <w:rPr>
          <w:rFonts w:cs="Times New Roman"/>
          <w:szCs w:val="24"/>
        </w:rPr>
        <w:t xml:space="preserve">Byesian model and </w:t>
      </w:r>
      <w:r>
        <w:rPr>
          <w:rFonts w:cs="Times New Roman"/>
          <w:szCs w:val="24"/>
        </w:rPr>
        <w:t xml:space="preserve">a </w:t>
      </w:r>
      <w:r w:rsidRPr="00AC1055">
        <w:rPr>
          <w:rFonts w:cs="Times New Roman"/>
          <w:szCs w:val="24"/>
        </w:rPr>
        <w:t xml:space="preserve">Gibbs sampler. </w:t>
      </w:r>
      <w:r>
        <w:rPr>
          <w:rFonts w:cs="Times New Roman"/>
          <w:szCs w:val="24"/>
        </w:rPr>
        <w:t>The</w:t>
      </w:r>
      <w:r w:rsidRPr="00AC1055">
        <w:rPr>
          <w:rFonts w:cs="Times New Roman"/>
          <w:szCs w:val="24"/>
        </w:rPr>
        <w:t xml:space="preserve"> initial value of </w:t>
      </w: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j0</m:t>
            </m:r>
          </m:sub>
        </m:sSub>
      </m:oMath>
      <w:r w:rsidRPr="00AC1055">
        <w:rPr>
          <w:rFonts w:eastAsiaTheme="minorEastAsia"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j0</m:t>
            </m:r>
          </m:sub>
        </m:sSub>
      </m:oMath>
      <w:r w:rsidRPr="00AC1055">
        <w:rPr>
          <w:rFonts w:eastAsiaTheme="minorEastAsia" w:cs="Times New Roman"/>
          <w:szCs w:val="24"/>
        </w:rPr>
        <w:t xml:space="preserve"> as 0.5 </w:t>
      </w:r>
      <w:r>
        <w:rPr>
          <w:rFonts w:eastAsiaTheme="minorEastAsia" w:cs="Times New Roman"/>
          <w:szCs w:val="24"/>
        </w:rPr>
        <w:t xml:space="preserve">is taken </w:t>
      </w:r>
      <w:r w:rsidRPr="00AC1055">
        <w:rPr>
          <w:rFonts w:eastAsiaTheme="minorEastAsia" w:cs="Times New Roman"/>
          <w:szCs w:val="24"/>
        </w:rPr>
        <w:t>as a halfway point between 0 and 1 and for latent variable ξ</w:t>
      </w:r>
      <w:r w:rsidRPr="00AC1055">
        <w:rPr>
          <w:rFonts w:eastAsiaTheme="minorEastAsia" w:cs="Times New Roman"/>
          <w:szCs w:val="24"/>
          <w:vertAlign w:val="subscript"/>
        </w:rPr>
        <w:t>i</w:t>
      </w:r>
      <w:r w:rsidRPr="00AC1055">
        <w:rPr>
          <w:rFonts w:cs="Times New Roman"/>
          <w:szCs w:val="24"/>
          <w:vertAlign w:val="subscript"/>
        </w:rPr>
        <w:t xml:space="preserve"> </w:t>
      </w:r>
      <w:r w:rsidRPr="00AC1055">
        <w:rPr>
          <w:rFonts w:cs="Times New Roman"/>
          <w:szCs w:val="24"/>
        </w:rPr>
        <w:t xml:space="preserve">and the item parameters the lack of identification by imposing normalisation. Thus restrictions </w:t>
      </w:r>
      <w:r>
        <w:rPr>
          <w:rFonts w:cs="Times New Roman"/>
          <w:szCs w:val="24"/>
        </w:rPr>
        <w:t xml:space="preserve">are imposed </w:t>
      </w:r>
      <w:r w:rsidRPr="00AC1055">
        <w:rPr>
          <w:rFonts w:cs="Times New Roman"/>
          <w:szCs w:val="24"/>
        </w:rPr>
        <w:t>on the latent variable with fixed mean and variance and thereby induc</w:t>
      </w:r>
      <w:r>
        <w:rPr>
          <w:rFonts w:cs="Times New Roman"/>
          <w:szCs w:val="24"/>
        </w:rPr>
        <w:t>ing</w:t>
      </w:r>
      <w:r w:rsidRPr="00AC1055">
        <w:rPr>
          <w:rFonts w:cs="Times New Roman"/>
          <w:szCs w:val="24"/>
        </w:rPr>
        <w:t xml:space="preserve"> local identification; similarly for </w:t>
      </w:r>
      <w:r>
        <w:rPr>
          <w:rFonts w:cs="Times New Roman"/>
          <w:szCs w:val="24"/>
        </w:rPr>
        <w:t>i</w:t>
      </w:r>
      <w:r w:rsidRPr="00AC1055">
        <w:rPr>
          <w:rFonts w:cs="Times New Roman"/>
          <w:szCs w:val="24"/>
        </w:rPr>
        <w:t xml:space="preserve">tem parameters </w:t>
      </w:r>
      <w:r w:rsidRPr="00AC1055">
        <w:rPr>
          <w:rFonts w:cs="Times New Roman"/>
          <w:szCs w:val="24"/>
        </w:rPr>
        <w:lastRenderedPageBreak/>
        <w:t>a restriction on sign will rule out invariance to rotation and provide global identification. Moreover</w:t>
      </w:r>
      <w:r>
        <w:rPr>
          <w:rFonts w:cs="Times New Roman"/>
          <w:szCs w:val="24"/>
        </w:rPr>
        <w:t>,</w:t>
      </w:r>
      <w:r w:rsidRPr="00AC1055">
        <w:rPr>
          <w:rFonts w:cs="Times New Roman"/>
          <w:szCs w:val="24"/>
        </w:rPr>
        <w:t xml:space="preserve"> normalising latent variable</w:t>
      </w:r>
      <w:r>
        <w:rPr>
          <w:rFonts w:cs="Times New Roman"/>
          <w:szCs w:val="24"/>
        </w:rPr>
        <w:t>s</w:t>
      </w:r>
      <w:r w:rsidRPr="00AC1055">
        <w:rPr>
          <w:rFonts w:cs="Times New Roman"/>
          <w:szCs w:val="24"/>
        </w:rPr>
        <w:t xml:space="preserve"> to a fixed location eliminates translations and ensures that the latent variable and item parameters are jointly identified. This will also ensure </w:t>
      </w:r>
      <w:r>
        <w:rPr>
          <w:rFonts w:cs="Times New Roman"/>
          <w:szCs w:val="24"/>
        </w:rPr>
        <w:t xml:space="preserve">the </w:t>
      </w:r>
      <w:r w:rsidRPr="00AC1055">
        <w:rPr>
          <w:rFonts w:cs="Times New Roman"/>
          <w:szCs w:val="24"/>
        </w:rPr>
        <w:t>identification of measurement error variance parameters. Therefore</w:t>
      </w:r>
      <w:r>
        <w:rPr>
          <w:rFonts w:cs="Times New Roman"/>
          <w:szCs w:val="24"/>
        </w:rPr>
        <w:t>,</w:t>
      </w:r>
      <w:r w:rsidRPr="00AC1055">
        <w:rPr>
          <w:rFonts w:cs="Times New Roman"/>
          <w:szCs w:val="24"/>
        </w:rPr>
        <w:t xml:space="preserve"> a Bayesian rule for the financial development index can be written as:</w:t>
      </w:r>
    </w:p>
    <w:p w14:paraId="40E6899D" w14:textId="77777777" w:rsidR="000A5358" w:rsidRPr="00AC1055" w:rsidRDefault="000A5358" w:rsidP="000A5358">
      <w:pPr>
        <w:spacing w:line="480" w:lineRule="auto"/>
        <w:jc w:val="center"/>
        <w:rPr>
          <w:rFonts w:cs="Times New Roman"/>
          <w:szCs w:val="24"/>
        </w:rPr>
      </w:pPr>
      <w:r w:rsidRPr="00AC1055">
        <w:rPr>
          <w:rFonts w:cs="Times New Roman"/>
          <w:szCs w:val="24"/>
        </w:rPr>
        <w:t xml:space="preserve">                          </w:t>
      </w:r>
      <w:r>
        <w:rPr>
          <w:rFonts w:cs="Times New Roman"/>
          <w:szCs w:val="24"/>
        </w:rPr>
        <w:t xml:space="preserve">                  </w:t>
      </w:r>
      <w:r w:rsidRPr="00AC1055">
        <w:rPr>
          <w:rFonts w:cs="Times New Roman"/>
          <w:szCs w:val="24"/>
        </w:rPr>
        <w:t xml:space="preserve">p(θ|Y) α p(θ).p(Y|θ)                                                    </w:t>
      </w:r>
      <w:r>
        <w:rPr>
          <w:rFonts w:cs="Times New Roman"/>
          <w:szCs w:val="24"/>
        </w:rPr>
        <w:t xml:space="preserve"> </w:t>
      </w:r>
      <w:r w:rsidRPr="00AC1055">
        <w:rPr>
          <w:rFonts w:cs="Times New Roman"/>
          <w:szCs w:val="24"/>
        </w:rPr>
        <w:t>(16)</w:t>
      </w:r>
    </w:p>
    <w:p w14:paraId="673A202D" w14:textId="77777777" w:rsidR="000A5358" w:rsidRPr="00AC1055" w:rsidRDefault="000A5358" w:rsidP="000A5358">
      <w:pPr>
        <w:spacing w:line="480" w:lineRule="auto"/>
        <w:rPr>
          <w:rFonts w:cs="Times New Roman"/>
          <w:szCs w:val="24"/>
        </w:rPr>
      </w:pPr>
      <w:r>
        <w:rPr>
          <w:rFonts w:cs="Times New Roman"/>
          <w:szCs w:val="24"/>
        </w:rPr>
        <w:t>which obtains</w:t>
      </w:r>
      <w:r w:rsidRPr="00AC1055">
        <w:rPr>
          <w:rFonts w:cs="Times New Roman"/>
          <w:szCs w:val="24"/>
        </w:rPr>
        <w:t xml:space="preserve"> the prior value of the index from p(θ) – </w:t>
      </w:r>
      <w:r>
        <w:rPr>
          <w:rFonts w:cs="Times New Roman"/>
          <w:szCs w:val="24"/>
        </w:rPr>
        <w:t xml:space="preserve">the </w:t>
      </w:r>
      <w:r w:rsidRPr="00AC1055">
        <w:rPr>
          <w:rFonts w:cs="Times New Roman"/>
          <w:szCs w:val="24"/>
        </w:rPr>
        <w:t xml:space="preserve">probability of </w:t>
      </w:r>
      <w:r>
        <w:rPr>
          <w:rFonts w:cs="Times New Roman"/>
          <w:szCs w:val="24"/>
        </w:rPr>
        <w:t xml:space="preserve">a </w:t>
      </w:r>
      <w:r w:rsidRPr="00AC1055">
        <w:rPr>
          <w:rFonts w:cs="Times New Roman"/>
          <w:szCs w:val="24"/>
        </w:rPr>
        <w:t>set of unknown parameters compris</w:t>
      </w:r>
      <w:r>
        <w:rPr>
          <w:rFonts w:cs="Times New Roman"/>
          <w:szCs w:val="24"/>
        </w:rPr>
        <w:t>ed</w:t>
      </w:r>
      <w:r w:rsidRPr="00AC1055">
        <w:rPr>
          <w:rFonts w:cs="Times New Roman"/>
          <w:szCs w:val="24"/>
        </w:rPr>
        <w:t xml:space="preserve"> of factor loading, measurement error and latent factors, from equation (12) and likelihood of p(Y|θ), i.e. probability of </w:t>
      </w:r>
      <w:r>
        <w:rPr>
          <w:rFonts w:cs="Times New Roman"/>
          <w:szCs w:val="24"/>
        </w:rPr>
        <w:t xml:space="preserve">the </w:t>
      </w:r>
      <w:r w:rsidRPr="00AC1055">
        <w:rPr>
          <w:rFonts w:cs="Times New Roman"/>
          <w:szCs w:val="24"/>
        </w:rPr>
        <w:t xml:space="preserve">observed value given the probability of unknown parameters, from equation (11). As there are multiple unknown parameters it is not possible to solve them algebraically. To compute this </w:t>
      </w:r>
      <w:r>
        <w:rPr>
          <w:rFonts w:cs="Times New Roman"/>
          <w:szCs w:val="24"/>
        </w:rPr>
        <w:t>it is necessary</w:t>
      </w:r>
      <w:r w:rsidRPr="00AC1055">
        <w:rPr>
          <w:rFonts w:cs="Times New Roman"/>
          <w:szCs w:val="24"/>
        </w:rPr>
        <w:t xml:space="preserve"> to rely on Gibbs sampler, ‘building up a Monte Carlo based approximation to the posterior density by sequentially sampling from low dimensional conditional densities’.</w:t>
      </w:r>
      <w:r w:rsidRPr="00AC1055">
        <w:rPr>
          <w:rFonts w:cs="Times New Roman"/>
          <w:szCs w:val="24"/>
          <w:vertAlign w:val="superscript"/>
        </w:rPr>
        <w:footnoteReference w:id="205"/>
      </w:r>
      <w:r w:rsidRPr="00AC1055">
        <w:rPr>
          <w:rFonts w:cs="Times New Roman"/>
          <w:szCs w:val="24"/>
        </w:rPr>
        <w:t xml:space="preserve"> </w:t>
      </w:r>
    </w:p>
    <w:p w14:paraId="3BF15DE0" w14:textId="77777777" w:rsidR="000A5358" w:rsidRPr="00AC1055" w:rsidRDefault="000A5358" w:rsidP="000A5358">
      <w:pPr>
        <w:spacing w:line="480" w:lineRule="auto"/>
        <w:rPr>
          <w:rFonts w:cs="Times New Roman"/>
          <w:szCs w:val="24"/>
        </w:rPr>
      </w:pPr>
      <w:r w:rsidRPr="00AC1055">
        <w:rPr>
          <w:rFonts w:cs="Times New Roman"/>
          <w:szCs w:val="24"/>
        </w:rPr>
        <w:t>From equation (16) a total of n+3p parameters</w:t>
      </w:r>
      <w:r>
        <w:rPr>
          <w:rFonts w:cs="Times New Roman"/>
          <w:szCs w:val="24"/>
        </w:rPr>
        <w:t xml:space="preserve"> are obtained,</w:t>
      </w:r>
      <w:r w:rsidRPr="00AC1055">
        <w:rPr>
          <w:rFonts w:cs="Times New Roman"/>
          <w:szCs w:val="24"/>
        </w:rPr>
        <w:t xml:space="preserve"> so to approximate the value of latent variable output </w:t>
      </w:r>
      <w:r>
        <w:rPr>
          <w:rFonts w:cs="Times New Roman"/>
          <w:szCs w:val="24"/>
        </w:rPr>
        <w:t>it is necessary</w:t>
      </w:r>
      <w:r w:rsidRPr="00AC1055">
        <w:rPr>
          <w:rFonts w:cs="Times New Roman"/>
          <w:szCs w:val="24"/>
        </w:rPr>
        <w:t xml:space="preserve"> to simulate the values across n+3p dimensional distribution. </w:t>
      </w:r>
      <w:r>
        <w:rPr>
          <w:rFonts w:cs="Times New Roman"/>
          <w:szCs w:val="24"/>
        </w:rPr>
        <w:t>A</w:t>
      </w:r>
      <w:r w:rsidRPr="00AC1055">
        <w:rPr>
          <w:rFonts w:cs="Times New Roman"/>
          <w:szCs w:val="24"/>
        </w:rPr>
        <w:t xml:space="preserve"> N(0,1) prior for latent variable output</w:t>
      </w:r>
      <w:r>
        <w:rPr>
          <w:rFonts w:cs="Times New Roman"/>
          <w:szCs w:val="24"/>
        </w:rPr>
        <w:t xml:space="preserve"> is specified</w:t>
      </w:r>
      <w:r w:rsidRPr="00AC1055">
        <w:rPr>
          <w:rFonts w:cs="Times New Roman"/>
          <w:szCs w:val="24"/>
        </w:rPr>
        <w:t xml:space="preserve">, thereby </w:t>
      </w:r>
      <w:r>
        <w:rPr>
          <w:rFonts w:cs="Times New Roman"/>
          <w:szCs w:val="24"/>
        </w:rPr>
        <w:t>imposing</w:t>
      </w:r>
      <w:r w:rsidRPr="00AC1055">
        <w:rPr>
          <w:rFonts w:cs="Times New Roman"/>
          <w:szCs w:val="24"/>
        </w:rPr>
        <w:t xml:space="preserve"> normalising restrictions, inverse Gamma priors of (0.01, 0.01) </w:t>
      </w:r>
      <w:r>
        <w:rPr>
          <w:rFonts w:cs="Times New Roman"/>
          <w:szCs w:val="24"/>
        </w:rPr>
        <w:t xml:space="preserve">are also specified </w:t>
      </w:r>
      <w:r w:rsidRPr="00AC1055">
        <w:rPr>
          <w:rFonts w:cs="Times New Roman"/>
          <w:szCs w:val="24"/>
        </w:rPr>
        <w:t xml:space="preserve">for the measurement error variance parameters. The JAGS code implementing these for preparing </w:t>
      </w:r>
      <w:r>
        <w:rPr>
          <w:rFonts w:cs="Times New Roman"/>
          <w:szCs w:val="24"/>
        </w:rPr>
        <w:t xml:space="preserve">the </w:t>
      </w:r>
      <w:r w:rsidRPr="00AC1055">
        <w:rPr>
          <w:rFonts w:cs="Times New Roman"/>
          <w:szCs w:val="24"/>
        </w:rPr>
        <w:t>control index is as below:</w:t>
      </w:r>
    </w:p>
    <w:bookmarkStart w:id="2" w:name="_MON_1499678539"/>
    <w:bookmarkEnd w:id="2"/>
    <w:p w14:paraId="35AB3A0F" w14:textId="2A7DF070" w:rsidR="000A5358" w:rsidRDefault="00012336" w:rsidP="000A5358">
      <w:pPr>
        <w:keepNext/>
        <w:spacing w:line="480" w:lineRule="auto"/>
      </w:pPr>
      <w:r w:rsidRPr="00AC1055">
        <w:rPr>
          <w:rFonts w:cs="Times New Roman"/>
          <w:szCs w:val="24"/>
        </w:rPr>
        <w:object w:dxaOrig="9026" w:dyaOrig="10561" w14:anchorId="3E886267">
          <v:shape id="_x0000_i1027" type="#_x0000_t75" style="width:411.75pt;height:488.25pt" o:ole="">
            <v:imagedata r:id="rId23" o:title=""/>
          </v:shape>
          <o:OLEObject Type="Embed" ProgID="Word.OpenDocumentText.12" ShapeID="_x0000_i1027" DrawAspect="Content" ObjectID="_1523373325" r:id="rId24"/>
        </w:object>
      </w:r>
    </w:p>
    <w:p w14:paraId="04DF2992" w14:textId="77777777" w:rsidR="000A5358" w:rsidRPr="00AC1055" w:rsidRDefault="000A5358" w:rsidP="000A5358">
      <w:pPr>
        <w:pStyle w:val="Caption"/>
        <w:jc w:val="center"/>
        <w:rPr>
          <w:rFonts w:cs="Times New Roman"/>
          <w:szCs w:val="24"/>
        </w:rPr>
      </w:pPr>
      <w:r>
        <w:t xml:space="preserve">Code snippet </w:t>
      </w:r>
      <w:fldSimple w:instr=" SEQ Code_snippet \* ARABIC ">
        <w:r w:rsidR="005A260F">
          <w:rPr>
            <w:noProof/>
          </w:rPr>
          <w:t>3</w:t>
        </w:r>
      </w:fldSimple>
    </w:p>
    <w:p w14:paraId="4AEB3534" w14:textId="7AE000A7" w:rsidR="001E5718" w:rsidRDefault="000A5358" w:rsidP="000A5358">
      <w:pPr>
        <w:spacing w:line="480" w:lineRule="auto"/>
        <w:rPr>
          <w:rFonts w:cs="Times New Roman"/>
          <w:szCs w:val="24"/>
        </w:rPr>
      </w:pPr>
      <w:r w:rsidRPr="00AC1055">
        <w:rPr>
          <w:rFonts w:cs="Times New Roman"/>
          <w:szCs w:val="24"/>
        </w:rPr>
        <w:t xml:space="preserve">Please note that we follow similar codes for preparing the financial development index which is the factor analysis of five variables; however as the financial development index is on the left hand side of the final regression analysis, [please refer to equation (17)], there is a clash between setting the prior for latent variables for </w:t>
      </w:r>
      <w:r>
        <w:rPr>
          <w:rFonts w:cs="Times New Roman"/>
          <w:szCs w:val="24"/>
        </w:rPr>
        <w:t xml:space="preserve">the </w:t>
      </w:r>
      <w:r w:rsidRPr="00AC1055">
        <w:rPr>
          <w:rFonts w:cs="Times New Roman"/>
          <w:szCs w:val="24"/>
        </w:rPr>
        <w:t xml:space="preserve">financial development index [refer to lines 19-27 in the codes above] in the Bayesian factor analysis model and the regression model. Hence the prior for </w:t>
      </w:r>
      <w:r w:rsidRPr="00AC1055">
        <w:rPr>
          <w:rFonts w:cs="Times New Roman"/>
          <w:szCs w:val="24"/>
        </w:rPr>
        <w:lastRenderedPageBreak/>
        <w:t xml:space="preserve">computing the Bayesian factor analysis to produce the financial development index is provided by a nested prior from the regression model. </w:t>
      </w:r>
      <w:r w:rsidR="006E2191">
        <w:rPr>
          <w:rFonts w:cs="Times New Roman"/>
          <w:szCs w:val="24"/>
        </w:rPr>
        <w:t>However this leads to convergence problems, therefore dependent index is calculated externally.</w:t>
      </w:r>
    </w:p>
    <w:p w14:paraId="41E5A87E" w14:textId="77777777" w:rsidR="000A5358" w:rsidRPr="0082152B" w:rsidRDefault="000A5358" w:rsidP="000A5358">
      <w:pPr>
        <w:spacing w:line="480" w:lineRule="auto"/>
        <w:rPr>
          <w:rFonts w:cs="Times New Roman"/>
          <w:b/>
          <w:sz w:val="26"/>
          <w:szCs w:val="24"/>
          <w:u w:val="single"/>
        </w:rPr>
      </w:pPr>
      <w:r>
        <w:rPr>
          <w:rFonts w:cs="Times New Roman"/>
          <w:b/>
          <w:sz w:val="26"/>
          <w:szCs w:val="24"/>
          <w:u w:val="single"/>
        </w:rPr>
        <w:t xml:space="preserve">3.4 </w:t>
      </w:r>
      <w:r w:rsidRPr="0082152B">
        <w:rPr>
          <w:rFonts w:cs="Times New Roman"/>
          <w:b/>
          <w:sz w:val="26"/>
          <w:szCs w:val="24"/>
          <w:u w:val="single"/>
        </w:rPr>
        <w:t>Structural models</w:t>
      </w:r>
    </w:p>
    <w:p w14:paraId="227DAF63" w14:textId="77777777" w:rsidR="000A5358" w:rsidRPr="00AC1055" w:rsidRDefault="000A5358" w:rsidP="000A5358">
      <w:pPr>
        <w:spacing w:line="480" w:lineRule="auto"/>
        <w:rPr>
          <w:rFonts w:cs="Times New Roman"/>
          <w:szCs w:val="24"/>
          <w:u w:val="single"/>
        </w:rPr>
      </w:pPr>
      <w:r>
        <w:rPr>
          <w:rFonts w:cs="Times New Roman"/>
          <w:szCs w:val="24"/>
          <w:u w:val="single"/>
        </w:rPr>
        <w:t>3.4.1 R</w:t>
      </w:r>
      <w:r w:rsidRPr="00AC1055">
        <w:rPr>
          <w:rFonts w:cs="Times New Roman"/>
          <w:szCs w:val="24"/>
          <w:u w:val="single"/>
        </w:rPr>
        <w:t>egression analysis</w:t>
      </w:r>
    </w:p>
    <w:p w14:paraId="4ABE2103" w14:textId="77777777" w:rsidR="000A5358" w:rsidRPr="00AC1055" w:rsidRDefault="000A5358" w:rsidP="000A5358">
      <w:pPr>
        <w:spacing w:line="480" w:lineRule="auto"/>
        <w:rPr>
          <w:rFonts w:cs="Times New Roman"/>
          <w:szCs w:val="24"/>
        </w:rPr>
      </w:pPr>
      <w:r w:rsidRPr="00AC1055">
        <w:rPr>
          <w:rFonts w:cs="Times New Roman"/>
          <w:szCs w:val="24"/>
        </w:rPr>
        <w:t>Once the panel data</w:t>
      </w:r>
      <w:r w:rsidRPr="00AC1055">
        <w:rPr>
          <w:rFonts w:cs="Times New Roman"/>
          <w:szCs w:val="24"/>
          <w:vertAlign w:val="superscript"/>
        </w:rPr>
        <w:footnoteReference w:id="206"/>
      </w:r>
      <w:r w:rsidRPr="00AC1055">
        <w:rPr>
          <w:rFonts w:cs="Times New Roman"/>
          <w:szCs w:val="24"/>
        </w:rPr>
        <w:t xml:space="preserve"> for financial development index, control index and the corporate governance index</w:t>
      </w:r>
      <w:r>
        <w:rPr>
          <w:rFonts w:cs="Times New Roman"/>
          <w:szCs w:val="24"/>
        </w:rPr>
        <w:t xml:space="preserve"> is obtained</w:t>
      </w:r>
      <w:r w:rsidRPr="00AC1055">
        <w:rPr>
          <w:rFonts w:cs="Times New Roman"/>
          <w:szCs w:val="24"/>
        </w:rPr>
        <w:t xml:space="preserve">, the next step would be to ascertain the relationship between the variables, especially whether there is a causal effect of change in corporate governance on financial development. Regression techniques have become quite common in law and economics literature and </w:t>
      </w:r>
      <w:r>
        <w:rPr>
          <w:rFonts w:cs="Times New Roman"/>
          <w:szCs w:val="24"/>
        </w:rPr>
        <w:t>are a</w:t>
      </w:r>
      <w:r w:rsidRPr="00AC1055">
        <w:rPr>
          <w:rFonts w:cs="Times New Roman"/>
          <w:szCs w:val="24"/>
        </w:rPr>
        <w:t xml:space="preserve"> useful tool to estimate quantitatively the effect of causal variables on dependent variable</w:t>
      </w:r>
      <w:r>
        <w:rPr>
          <w:rFonts w:cs="Times New Roman"/>
          <w:szCs w:val="24"/>
        </w:rPr>
        <w:t>s</w:t>
      </w:r>
      <w:r w:rsidRPr="00AC1055">
        <w:rPr>
          <w:rFonts w:cs="Times New Roman"/>
          <w:szCs w:val="24"/>
        </w:rPr>
        <w:t>.</w:t>
      </w:r>
      <w:r w:rsidRPr="00AC1055">
        <w:rPr>
          <w:rFonts w:cs="Times New Roman"/>
          <w:szCs w:val="24"/>
          <w:vertAlign w:val="superscript"/>
        </w:rPr>
        <w:footnoteReference w:id="207"/>
      </w:r>
      <w:r w:rsidRPr="00AC1055">
        <w:rPr>
          <w:rFonts w:cs="Times New Roman"/>
          <w:szCs w:val="24"/>
        </w:rPr>
        <w:t xml:space="preserve"> </w:t>
      </w:r>
    </w:p>
    <w:p w14:paraId="7B0544D5" w14:textId="77777777" w:rsidR="000A5358" w:rsidRPr="00AC1055" w:rsidRDefault="000A5358" w:rsidP="000A5358">
      <w:pPr>
        <w:spacing w:line="480" w:lineRule="auto"/>
        <w:rPr>
          <w:rFonts w:cs="Times New Roman"/>
          <w:szCs w:val="24"/>
        </w:rPr>
      </w:pPr>
      <w:r w:rsidRPr="00AC1055">
        <w:rPr>
          <w:rFonts w:cs="Times New Roman"/>
          <w:szCs w:val="24"/>
        </w:rPr>
        <w:t>A simple regression model can be represented mathematically as:</w:t>
      </w:r>
    </w:p>
    <w:p w14:paraId="142E89EE" w14:textId="77777777" w:rsidR="000A5358" w:rsidRPr="00D830D0" w:rsidRDefault="000A5358" w:rsidP="000A5358">
      <w:pPr>
        <w:spacing w:line="480" w:lineRule="auto"/>
        <w:rPr>
          <w:rFonts w:cs="Times New Roman"/>
          <w:szCs w:val="24"/>
          <w:lang w:val="pt-PT"/>
        </w:rPr>
      </w:pPr>
      <w:r w:rsidRPr="00A02B86">
        <w:rPr>
          <w:rFonts w:cs="Times New Roman"/>
          <w:szCs w:val="24"/>
        </w:rPr>
        <w:t xml:space="preserve">                                            </w:t>
      </w:r>
      <w:r w:rsidRPr="00D830D0">
        <w:rPr>
          <w:rFonts w:cs="Times New Roman"/>
          <w:szCs w:val="24"/>
          <w:lang w:val="pt-PT"/>
        </w:rPr>
        <w:t>Y</w:t>
      </w:r>
      <w:r w:rsidRPr="00D830D0">
        <w:rPr>
          <w:rFonts w:cs="Times New Roman"/>
          <w:szCs w:val="24"/>
          <w:vertAlign w:val="subscript"/>
          <w:lang w:val="pt-PT"/>
        </w:rPr>
        <w:t>i</w:t>
      </w:r>
      <w:r w:rsidRPr="00D830D0">
        <w:rPr>
          <w:rFonts w:cs="Times New Roman"/>
          <w:szCs w:val="24"/>
          <w:lang w:val="pt-PT"/>
        </w:rPr>
        <w:t xml:space="preserve"> = </w:t>
      </w:r>
      <w:r w:rsidRPr="00AC1055">
        <w:rPr>
          <w:rFonts w:cs="Times New Roman"/>
          <w:szCs w:val="24"/>
        </w:rPr>
        <w:t>β</w:t>
      </w:r>
      <w:r w:rsidRPr="00D830D0">
        <w:rPr>
          <w:rFonts w:cs="Times New Roman"/>
          <w:szCs w:val="24"/>
          <w:lang w:val="pt-PT"/>
        </w:rPr>
        <w:t xml:space="preserve">0 + </w:t>
      </w:r>
      <w:r w:rsidRPr="00AC1055">
        <w:rPr>
          <w:rFonts w:cs="Times New Roman"/>
          <w:szCs w:val="24"/>
        </w:rPr>
        <w:t>β</w:t>
      </w:r>
      <w:r w:rsidRPr="00D830D0">
        <w:rPr>
          <w:rFonts w:cs="Times New Roman"/>
          <w:szCs w:val="24"/>
          <w:lang w:val="pt-PT"/>
        </w:rPr>
        <w:t>1X</w:t>
      </w:r>
      <w:r w:rsidRPr="00D830D0">
        <w:rPr>
          <w:rFonts w:cs="Times New Roman"/>
          <w:szCs w:val="24"/>
          <w:vertAlign w:val="subscript"/>
          <w:lang w:val="pt-PT"/>
        </w:rPr>
        <w:t>i</w:t>
      </w:r>
      <w:r w:rsidRPr="00D830D0">
        <w:rPr>
          <w:rFonts w:cs="Times New Roman"/>
          <w:szCs w:val="24"/>
          <w:lang w:val="pt-PT"/>
        </w:rPr>
        <w:t xml:space="preserve"> + </w:t>
      </w:r>
      <w:r w:rsidRPr="00AC1055">
        <w:rPr>
          <w:rFonts w:cs="Times New Roman"/>
          <w:szCs w:val="24"/>
        </w:rPr>
        <w:t>ε</w:t>
      </w:r>
      <w:r w:rsidRPr="00D830D0">
        <w:rPr>
          <w:rFonts w:cs="Times New Roman"/>
          <w:szCs w:val="24"/>
          <w:vertAlign w:val="subscript"/>
          <w:lang w:val="pt-PT"/>
        </w:rPr>
        <w:t xml:space="preserve">i  </w:t>
      </w:r>
      <w:r w:rsidRPr="00D830D0">
        <w:rPr>
          <w:rFonts w:cs="Times New Roman"/>
          <w:szCs w:val="24"/>
          <w:lang w:val="pt-PT"/>
        </w:rPr>
        <w:t xml:space="preserve">                 for i = 1,….,n,              (17)</w:t>
      </w:r>
    </w:p>
    <w:p w14:paraId="586E2E2D" w14:textId="77777777" w:rsidR="000A5358" w:rsidRPr="00AC1055" w:rsidRDefault="000A5358" w:rsidP="000A5358">
      <w:pPr>
        <w:spacing w:line="480" w:lineRule="auto"/>
        <w:rPr>
          <w:rFonts w:cs="Times New Roman"/>
          <w:szCs w:val="24"/>
        </w:rPr>
      </w:pPr>
      <w:r w:rsidRPr="00AC1055">
        <w:rPr>
          <w:rFonts w:cs="Times New Roman"/>
          <w:szCs w:val="24"/>
        </w:rPr>
        <w:t>where Y</w:t>
      </w:r>
      <w:r w:rsidRPr="00AC1055">
        <w:rPr>
          <w:rFonts w:cs="Times New Roman"/>
          <w:szCs w:val="24"/>
          <w:vertAlign w:val="subscript"/>
        </w:rPr>
        <w:t>i</w:t>
      </w:r>
      <w:r w:rsidRPr="00AC1055">
        <w:rPr>
          <w:rFonts w:cs="Times New Roman"/>
          <w:szCs w:val="24"/>
        </w:rPr>
        <w:t xml:space="preserve"> is the dependent or outcome variable for individual/count i, similarly X</w:t>
      </w:r>
      <w:r w:rsidRPr="00AC1055">
        <w:rPr>
          <w:rFonts w:cs="Times New Roman"/>
          <w:szCs w:val="24"/>
          <w:vertAlign w:val="subscript"/>
        </w:rPr>
        <w:t>i</w:t>
      </w:r>
      <w:r w:rsidRPr="00AC1055">
        <w:rPr>
          <w:rFonts w:cs="Times New Roman"/>
          <w:szCs w:val="24"/>
        </w:rPr>
        <w:t xml:space="preserve"> is the independent or explanatory variable for individual i, β0 is the constant or the intercept value, i.e. the estimated value of Y</w:t>
      </w:r>
      <w:r w:rsidRPr="00AC1055">
        <w:rPr>
          <w:rFonts w:cs="Times New Roman"/>
          <w:szCs w:val="24"/>
          <w:vertAlign w:val="subscript"/>
        </w:rPr>
        <w:t>i</w:t>
      </w:r>
      <w:r w:rsidRPr="00AC1055">
        <w:rPr>
          <w:rFonts w:cs="Times New Roman"/>
          <w:szCs w:val="24"/>
        </w:rPr>
        <w:t xml:space="preserve"> if X</w:t>
      </w:r>
      <w:r w:rsidRPr="00AC1055">
        <w:rPr>
          <w:rFonts w:cs="Times New Roman"/>
          <w:szCs w:val="24"/>
          <w:vertAlign w:val="subscript"/>
        </w:rPr>
        <w:t>i</w:t>
      </w:r>
      <w:r w:rsidRPr="00AC1055">
        <w:rPr>
          <w:rFonts w:cs="Times New Roman"/>
          <w:szCs w:val="24"/>
        </w:rPr>
        <w:t xml:space="preserve"> is 0, β1 is the regression coefficient which would provide a quantitative estimation of effect of X</w:t>
      </w:r>
      <w:r w:rsidRPr="00AC1055">
        <w:rPr>
          <w:rFonts w:cs="Times New Roman"/>
          <w:szCs w:val="24"/>
          <w:vertAlign w:val="subscript"/>
        </w:rPr>
        <w:t>i</w:t>
      </w:r>
      <w:r w:rsidRPr="00AC1055">
        <w:rPr>
          <w:rFonts w:cs="Times New Roman"/>
          <w:szCs w:val="24"/>
        </w:rPr>
        <w:t xml:space="preserve"> on Y</w:t>
      </w:r>
      <w:r w:rsidRPr="00AC1055">
        <w:rPr>
          <w:rFonts w:cs="Times New Roman"/>
          <w:szCs w:val="24"/>
          <w:vertAlign w:val="subscript"/>
        </w:rPr>
        <w:t>i</w:t>
      </w:r>
      <w:r w:rsidRPr="00AC1055">
        <w:rPr>
          <w:rFonts w:cs="Times New Roman"/>
          <w:szCs w:val="24"/>
        </w:rPr>
        <w:t xml:space="preserve"> and ε</w:t>
      </w:r>
      <w:r w:rsidRPr="00AC1055">
        <w:rPr>
          <w:rFonts w:cs="Times New Roman"/>
          <w:szCs w:val="24"/>
          <w:vertAlign w:val="subscript"/>
        </w:rPr>
        <w:t>i</w:t>
      </w:r>
      <w:r w:rsidRPr="00AC1055">
        <w:rPr>
          <w:rFonts w:cs="Times New Roman"/>
          <w:szCs w:val="24"/>
        </w:rPr>
        <w:t xml:space="preserve"> is the error term. </w:t>
      </w:r>
    </w:p>
    <w:p w14:paraId="15EE4F77" w14:textId="77777777" w:rsidR="000A5358" w:rsidRPr="00AC1055" w:rsidRDefault="000A5358" w:rsidP="000A5358">
      <w:pPr>
        <w:spacing w:line="480" w:lineRule="auto"/>
        <w:rPr>
          <w:rFonts w:cs="Times New Roman"/>
          <w:szCs w:val="24"/>
        </w:rPr>
      </w:pPr>
      <w:r w:rsidRPr="00AC1055">
        <w:rPr>
          <w:rFonts w:cs="Times New Roman"/>
          <w:szCs w:val="24"/>
        </w:rPr>
        <w:t xml:space="preserve">In a regression model, like in equation (17), where there is a single explanatory variable, the model is referred to as a simple regression model. In social sciences literature it is difficult to find simple regression models as we know from qualitative experience that outcomes are often determined by more than one factor. So </w:t>
      </w:r>
      <w:r>
        <w:rPr>
          <w:rFonts w:cs="Times New Roman"/>
          <w:szCs w:val="24"/>
        </w:rPr>
        <w:t xml:space="preserve">it is </w:t>
      </w:r>
      <w:r>
        <w:rPr>
          <w:rFonts w:cs="Times New Roman"/>
          <w:szCs w:val="24"/>
        </w:rPr>
        <w:lastRenderedPageBreak/>
        <w:t>necessary</w:t>
      </w:r>
      <w:r w:rsidRPr="00AC1055">
        <w:rPr>
          <w:rFonts w:cs="Times New Roman"/>
          <w:szCs w:val="24"/>
        </w:rPr>
        <w:t xml:space="preserve"> to introduce more variables on the right hand side of the equation (17) to isolate the effect that </w:t>
      </w:r>
      <w:r>
        <w:rPr>
          <w:rFonts w:cs="Times New Roman"/>
          <w:szCs w:val="24"/>
        </w:rPr>
        <w:t xml:space="preserve">the </w:t>
      </w:r>
      <w:r w:rsidRPr="00AC1055">
        <w:rPr>
          <w:rFonts w:cs="Times New Roman"/>
          <w:szCs w:val="24"/>
        </w:rPr>
        <w:t>explanatory variable has on the outcome variable:</w:t>
      </w:r>
    </w:p>
    <w:p w14:paraId="726B36E8" w14:textId="77777777" w:rsidR="000A5358" w:rsidRPr="00D830D0" w:rsidRDefault="000A5358" w:rsidP="000A5358">
      <w:pPr>
        <w:spacing w:line="480" w:lineRule="auto"/>
        <w:rPr>
          <w:rFonts w:cs="Times New Roman"/>
          <w:szCs w:val="24"/>
          <w:lang w:val="pt-PT"/>
        </w:rPr>
      </w:pPr>
      <w:r w:rsidRPr="00A02B86">
        <w:rPr>
          <w:rFonts w:cs="Times New Roman"/>
          <w:szCs w:val="24"/>
        </w:rPr>
        <w:t xml:space="preserve">                                          </w:t>
      </w:r>
      <w:r w:rsidRPr="00D830D0">
        <w:rPr>
          <w:rFonts w:cs="Times New Roman"/>
          <w:szCs w:val="24"/>
          <w:lang w:val="pt-PT"/>
        </w:rPr>
        <w:t>Y</w:t>
      </w:r>
      <w:r w:rsidRPr="00D830D0">
        <w:rPr>
          <w:rFonts w:cs="Times New Roman"/>
          <w:szCs w:val="24"/>
          <w:vertAlign w:val="subscript"/>
          <w:lang w:val="pt-PT"/>
        </w:rPr>
        <w:t>i</w:t>
      </w:r>
      <w:r w:rsidRPr="00D830D0">
        <w:rPr>
          <w:rFonts w:cs="Times New Roman"/>
          <w:szCs w:val="24"/>
          <w:lang w:val="pt-PT"/>
        </w:rPr>
        <w:t xml:space="preserve"> = </w:t>
      </w:r>
      <w:r w:rsidRPr="00AC1055">
        <w:rPr>
          <w:rFonts w:cs="Times New Roman"/>
          <w:szCs w:val="24"/>
        </w:rPr>
        <w:t>β</w:t>
      </w:r>
      <w:r w:rsidRPr="00D830D0">
        <w:rPr>
          <w:rFonts w:cs="Times New Roman"/>
          <w:szCs w:val="24"/>
          <w:lang w:val="pt-PT"/>
        </w:rPr>
        <w:t xml:space="preserve">0 + </w:t>
      </w:r>
      <w:r w:rsidRPr="00AC1055">
        <w:rPr>
          <w:rFonts w:cs="Times New Roman"/>
          <w:szCs w:val="24"/>
        </w:rPr>
        <w:t>β</w:t>
      </w:r>
      <w:r w:rsidRPr="00D830D0">
        <w:rPr>
          <w:rFonts w:cs="Times New Roman"/>
          <w:szCs w:val="24"/>
          <w:lang w:val="pt-PT"/>
        </w:rPr>
        <w:t>1X1</w:t>
      </w:r>
      <w:r w:rsidRPr="00D830D0">
        <w:rPr>
          <w:rFonts w:cs="Times New Roman"/>
          <w:szCs w:val="24"/>
          <w:vertAlign w:val="subscript"/>
          <w:lang w:val="pt-PT"/>
        </w:rPr>
        <w:t>i</w:t>
      </w:r>
      <w:r w:rsidRPr="00D830D0">
        <w:rPr>
          <w:rFonts w:cs="Times New Roman"/>
          <w:szCs w:val="24"/>
          <w:lang w:val="pt-PT"/>
        </w:rPr>
        <w:t xml:space="preserve"> + </w:t>
      </w:r>
      <w:r w:rsidRPr="00AC1055">
        <w:rPr>
          <w:rFonts w:cs="Times New Roman"/>
          <w:szCs w:val="24"/>
        </w:rPr>
        <w:t>β</w:t>
      </w:r>
      <w:r w:rsidRPr="00D830D0">
        <w:rPr>
          <w:rFonts w:cs="Times New Roman"/>
          <w:szCs w:val="24"/>
          <w:lang w:val="pt-PT"/>
        </w:rPr>
        <w:t>2X2</w:t>
      </w:r>
      <w:r w:rsidRPr="00D830D0">
        <w:rPr>
          <w:rFonts w:cs="Times New Roman"/>
          <w:szCs w:val="24"/>
          <w:vertAlign w:val="subscript"/>
          <w:lang w:val="pt-PT"/>
        </w:rPr>
        <w:t>i</w:t>
      </w:r>
      <w:r w:rsidRPr="00D830D0">
        <w:rPr>
          <w:rFonts w:cs="Times New Roman"/>
          <w:szCs w:val="24"/>
          <w:lang w:val="pt-PT"/>
        </w:rPr>
        <w:t xml:space="preserve"> + </w:t>
      </w:r>
      <w:r w:rsidRPr="00AC1055">
        <w:rPr>
          <w:rFonts w:cs="Times New Roman"/>
          <w:szCs w:val="24"/>
        </w:rPr>
        <w:t>ε</w:t>
      </w:r>
      <w:r w:rsidRPr="00D830D0">
        <w:rPr>
          <w:rFonts w:cs="Times New Roman"/>
          <w:szCs w:val="24"/>
          <w:vertAlign w:val="subscript"/>
          <w:lang w:val="pt-PT"/>
        </w:rPr>
        <w:t xml:space="preserve">i             </w:t>
      </w:r>
      <w:r w:rsidRPr="00D830D0">
        <w:rPr>
          <w:rFonts w:cs="Times New Roman"/>
          <w:szCs w:val="24"/>
          <w:lang w:val="pt-PT"/>
        </w:rPr>
        <w:t>for i = 1,….,n          (18)</w:t>
      </w:r>
    </w:p>
    <w:p w14:paraId="162668B5" w14:textId="77777777" w:rsidR="000A5358" w:rsidRPr="00AC1055" w:rsidRDefault="000A5358" w:rsidP="000A5358">
      <w:pPr>
        <w:spacing w:line="480" w:lineRule="auto"/>
        <w:rPr>
          <w:rFonts w:cs="Times New Roman"/>
          <w:szCs w:val="24"/>
        </w:rPr>
      </w:pPr>
      <w:r w:rsidRPr="00AC1055">
        <w:rPr>
          <w:rFonts w:cs="Times New Roman"/>
          <w:szCs w:val="24"/>
        </w:rPr>
        <w:t xml:space="preserve">In this equation </w:t>
      </w:r>
      <w:r>
        <w:rPr>
          <w:rFonts w:cs="Times New Roman"/>
          <w:szCs w:val="24"/>
        </w:rPr>
        <w:t>there are</w:t>
      </w:r>
      <w:r w:rsidRPr="00AC1055">
        <w:rPr>
          <w:rFonts w:cs="Times New Roman"/>
          <w:szCs w:val="24"/>
        </w:rPr>
        <w:t xml:space="preserve"> two sets of independent variables on the right hand side, X1</w:t>
      </w:r>
      <w:r w:rsidRPr="00AC1055">
        <w:rPr>
          <w:rFonts w:cs="Times New Roman"/>
          <w:szCs w:val="24"/>
          <w:vertAlign w:val="subscript"/>
        </w:rPr>
        <w:t>i</w:t>
      </w:r>
      <w:r w:rsidRPr="00AC1055">
        <w:rPr>
          <w:rFonts w:cs="Times New Roman"/>
          <w:szCs w:val="24"/>
        </w:rPr>
        <w:t xml:space="preserve"> can be designated as the explanatory variable or the variable whose effect on Y</w:t>
      </w:r>
      <w:r w:rsidRPr="00AC1055">
        <w:rPr>
          <w:rFonts w:cs="Times New Roman"/>
          <w:szCs w:val="24"/>
          <w:vertAlign w:val="subscript"/>
        </w:rPr>
        <w:t>i</w:t>
      </w:r>
      <w:r w:rsidRPr="00AC1055">
        <w:rPr>
          <w:rFonts w:cs="Times New Roman"/>
          <w:szCs w:val="24"/>
        </w:rPr>
        <w:t xml:space="preserve"> is being investigated and X2</w:t>
      </w:r>
      <w:r w:rsidRPr="00AC1055">
        <w:rPr>
          <w:rFonts w:cs="Times New Roman"/>
          <w:szCs w:val="24"/>
          <w:vertAlign w:val="subscript"/>
        </w:rPr>
        <w:t>i</w:t>
      </w:r>
      <w:r w:rsidRPr="00AC1055">
        <w:rPr>
          <w:rFonts w:cs="Times New Roman"/>
          <w:szCs w:val="24"/>
        </w:rPr>
        <w:t xml:space="preserve"> is the control variable, i.e. any other independent variable which also affects Y</w:t>
      </w:r>
      <w:r w:rsidRPr="00AC1055">
        <w:rPr>
          <w:rFonts w:cs="Times New Roman"/>
          <w:szCs w:val="24"/>
          <w:vertAlign w:val="subscript"/>
        </w:rPr>
        <w:t>i</w:t>
      </w:r>
      <w:r w:rsidRPr="00AC1055">
        <w:rPr>
          <w:rFonts w:cs="Times New Roman"/>
          <w:szCs w:val="24"/>
        </w:rPr>
        <w:t>. Equation (18) is an example of multiple regression as there are more than one variable whose effects are being estimate on the outcome variable. Equation (18) can also be written as:</w:t>
      </w:r>
    </w:p>
    <w:p w14:paraId="5A8B95FC" w14:textId="77777777" w:rsidR="000A5358" w:rsidRPr="00A02B86" w:rsidRDefault="000A5358" w:rsidP="000A5358">
      <w:pPr>
        <w:spacing w:line="480" w:lineRule="auto"/>
        <w:rPr>
          <w:rFonts w:cs="Times New Roman"/>
          <w:szCs w:val="24"/>
        </w:rPr>
      </w:pPr>
      <w:r w:rsidRPr="00A02B86">
        <w:rPr>
          <w:rFonts w:cs="Times New Roman"/>
          <w:szCs w:val="24"/>
        </w:rPr>
        <w:t xml:space="preserve">                                            Y</w:t>
      </w:r>
      <w:r w:rsidRPr="00A02B86">
        <w:rPr>
          <w:rFonts w:cs="Times New Roman"/>
          <w:szCs w:val="24"/>
          <w:vertAlign w:val="subscript"/>
        </w:rPr>
        <w:t>i</w:t>
      </w:r>
      <w:r w:rsidRPr="00A02B86">
        <w:rPr>
          <w:rFonts w:cs="Times New Roman"/>
          <w:szCs w:val="24"/>
        </w:rPr>
        <w:t xml:space="preserve"> ~ (</w:t>
      </w:r>
      <w:r w:rsidRPr="00AC1055">
        <w:rPr>
          <w:rFonts w:cs="Times New Roman"/>
          <w:szCs w:val="24"/>
        </w:rPr>
        <w:t>β</w:t>
      </w:r>
      <w:r w:rsidRPr="00A02B86">
        <w:rPr>
          <w:rFonts w:cs="Times New Roman"/>
          <w:szCs w:val="24"/>
        </w:rPr>
        <w:t xml:space="preserve">0 + </w:t>
      </w:r>
      <w:r w:rsidRPr="00AC1055">
        <w:rPr>
          <w:rFonts w:cs="Times New Roman"/>
          <w:szCs w:val="24"/>
        </w:rPr>
        <w:t>β</w:t>
      </w:r>
      <w:r w:rsidRPr="00A02B86">
        <w:rPr>
          <w:rFonts w:cs="Times New Roman"/>
          <w:szCs w:val="24"/>
        </w:rPr>
        <w:t>X</w:t>
      </w:r>
      <w:r w:rsidRPr="00A02B86">
        <w:rPr>
          <w:rFonts w:cs="Times New Roman"/>
          <w:szCs w:val="24"/>
          <w:vertAlign w:val="subscript"/>
        </w:rPr>
        <w:t xml:space="preserve">i, </w:t>
      </w:r>
      <w:r w:rsidRPr="00AC1055">
        <w:rPr>
          <w:rFonts w:cs="Times New Roman"/>
          <w:szCs w:val="24"/>
        </w:rPr>
        <w:t>σ</w:t>
      </w:r>
      <w:r w:rsidRPr="00A02B86">
        <w:rPr>
          <w:rFonts w:cs="Times New Roman"/>
          <w:szCs w:val="24"/>
          <w:vertAlign w:val="superscript"/>
        </w:rPr>
        <w:t>2</w:t>
      </w:r>
      <w:r w:rsidRPr="00A02B86">
        <w:rPr>
          <w:rFonts w:cs="Times New Roman"/>
          <w:szCs w:val="24"/>
        </w:rPr>
        <w:t>),                   for i = 1, …., n,</w:t>
      </w:r>
      <w:r w:rsidRPr="00A02B86">
        <w:rPr>
          <w:rFonts w:cs="Times New Roman"/>
          <w:szCs w:val="24"/>
          <w:vertAlign w:val="subscript"/>
        </w:rPr>
        <w:t xml:space="preserve">            </w:t>
      </w:r>
      <w:r w:rsidRPr="00A02B86">
        <w:rPr>
          <w:rFonts w:cs="Times New Roman"/>
          <w:szCs w:val="24"/>
        </w:rPr>
        <w:t>(18.1)</w:t>
      </w:r>
      <w:r w:rsidRPr="00A02B86">
        <w:rPr>
          <w:rFonts w:cs="Times New Roman"/>
          <w:szCs w:val="24"/>
          <w:vertAlign w:val="subscript"/>
        </w:rPr>
        <w:t xml:space="preserve">            </w:t>
      </w:r>
    </w:p>
    <w:p w14:paraId="3805C129" w14:textId="77777777" w:rsidR="000A5358" w:rsidRPr="00AC1055" w:rsidRDefault="000A5358" w:rsidP="000A5358">
      <w:pPr>
        <w:spacing w:line="480" w:lineRule="auto"/>
        <w:rPr>
          <w:rFonts w:cs="Times New Roman"/>
          <w:szCs w:val="24"/>
        </w:rPr>
      </w:pPr>
      <w:r w:rsidRPr="00AC1055">
        <w:rPr>
          <w:rFonts w:cs="Times New Roman"/>
          <w:szCs w:val="24"/>
        </w:rPr>
        <w:t>where X is an n by 2 matrix (as there are two independent variables) with i</w:t>
      </w:r>
      <w:r w:rsidRPr="00AC1055">
        <w:rPr>
          <w:rFonts w:cs="Times New Roman"/>
          <w:szCs w:val="24"/>
          <w:vertAlign w:val="superscript"/>
        </w:rPr>
        <w:t>th</w:t>
      </w:r>
      <w:r w:rsidRPr="00AC1055">
        <w:rPr>
          <w:rFonts w:cs="Times New Roman"/>
          <w:szCs w:val="24"/>
        </w:rPr>
        <w:t xml:space="preserve"> row X</w:t>
      </w:r>
      <w:r w:rsidRPr="00AC1055">
        <w:rPr>
          <w:rFonts w:cs="Times New Roman"/>
          <w:szCs w:val="24"/>
          <w:vertAlign w:val="subscript"/>
        </w:rPr>
        <w:t>i</w:t>
      </w:r>
      <w:r w:rsidRPr="00AC1055">
        <w:rPr>
          <w:rFonts w:cs="Times New Roman"/>
          <w:szCs w:val="24"/>
        </w:rPr>
        <w:t xml:space="preserve"> or using multivariate notation, </w:t>
      </w:r>
    </w:p>
    <w:p w14:paraId="4FD008DA" w14:textId="77777777" w:rsidR="000A5358" w:rsidRPr="00AC1055" w:rsidRDefault="000A5358" w:rsidP="000A5358">
      <w:pPr>
        <w:spacing w:line="480" w:lineRule="auto"/>
        <w:rPr>
          <w:rFonts w:cs="Times New Roman"/>
          <w:szCs w:val="24"/>
        </w:rPr>
      </w:pPr>
      <w:r w:rsidRPr="00AC1055">
        <w:rPr>
          <w:rFonts w:cs="Times New Roman"/>
          <w:szCs w:val="24"/>
        </w:rPr>
        <w:t xml:space="preserve">                                                            Y</w:t>
      </w:r>
      <w:r w:rsidRPr="00AC1055">
        <w:rPr>
          <w:rFonts w:cs="Times New Roman"/>
          <w:szCs w:val="24"/>
          <w:vertAlign w:val="subscript"/>
        </w:rPr>
        <w:t>i</w:t>
      </w:r>
      <w:r w:rsidRPr="00AC1055">
        <w:rPr>
          <w:rFonts w:cs="Times New Roman"/>
          <w:szCs w:val="24"/>
        </w:rPr>
        <w:t xml:space="preserve"> ~ (β0 + βX, σ</w:t>
      </w:r>
      <w:r w:rsidRPr="00AC1055">
        <w:rPr>
          <w:rFonts w:cs="Times New Roman"/>
          <w:szCs w:val="24"/>
          <w:vertAlign w:val="superscript"/>
        </w:rPr>
        <w:t>2</w:t>
      </w:r>
      <w:r w:rsidRPr="00AC1055">
        <w:rPr>
          <w:rFonts w:cs="Times New Roman"/>
          <w:szCs w:val="24"/>
        </w:rPr>
        <w:t>I),</w:t>
      </w:r>
    </w:p>
    <w:p w14:paraId="7AF06D8E" w14:textId="77777777" w:rsidR="000A5358" w:rsidRPr="00AC1055" w:rsidRDefault="000A5358" w:rsidP="000A5358">
      <w:pPr>
        <w:spacing w:line="480" w:lineRule="auto"/>
        <w:rPr>
          <w:rFonts w:cs="Times New Roman"/>
          <w:szCs w:val="24"/>
        </w:rPr>
      </w:pPr>
      <w:r w:rsidRPr="00AC1055">
        <w:rPr>
          <w:rFonts w:cs="Times New Roman"/>
          <w:szCs w:val="24"/>
        </w:rPr>
        <w:t>where Y is a vector of length n, X is a n by 2 matrix of predictors, β is a column vector of length 2 and I is the n by n identity matrix.</w:t>
      </w:r>
      <w:r w:rsidRPr="00AC1055">
        <w:rPr>
          <w:rFonts w:cs="Times New Roman"/>
          <w:szCs w:val="24"/>
          <w:vertAlign w:val="superscript"/>
        </w:rPr>
        <w:footnoteReference w:id="208"/>
      </w:r>
    </w:p>
    <w:p w14:paraId="74A7E309" w14:textId="77777777" w:rsidR="000A5358" w:rsidRPr="00AC1055" w:rsidRDefault="000A5358" w:rsidP="000A5358">
      <w:pPr>
        <w:spacing w:line="480" w:lineRule="auto"/>
        <w:rPr>
          <w:rFonts w:cs="Times New Roman"/>
          <w:szCs w:val="24"/>
          <w:u w:val="single"/>
        </w:rPr>
      </w:pPr>
      <w:r>
        <w:rPr>
          <w:rFonts w:cs="Times New Roman"/>
          <w:szCs w:val="24"/>
          <w:u w:val="single"/>
        </w:rPr>
        <w:t xml:space="preserve">3.4.1.1 </w:t>
      </w:r>
      <w:r w:rsidRPr="00AC1055">
        <w:rPr>
          <w:rFonts w:cs="Times New Roman"/>
          <w:szCs w:val="24"/>
          <w:u w:val="single"/>
        </w:rPr>
        <w:t>Pooled regression</w:t>
      </w:r>
    </w:p>
    <w:p w14:paraId="67BDB33F" w14:textId="77777777" w:rsidR="000A5358" w:rsidRPr="00AC1055" w:rsidRDefault="000A5358" w:rsidP="000A5358">
      <w:pPr>
        <w:spacing w:line="480" w:lineRule="auto"/>
        <w:rPr>
          <w:rFonts w:cs="Times New Roman"/>
          <w:szCs w:val="24"/>
        </w:rPr>
      </w:pPr>
      <w:r w:rsidRPr="00AC1055">
        <w:rPr>
          <w:rFonts w:cs="Times New Roman"/>
          <w:szCs w:val="24"/>
        </w:rPr>
        <w:t xml:space="preserve">In the present research </w:t>
      </w:r>
      <w:r>
        <w:rPr>
          <w:rFonts w:cs="Times New Roman"/>
          <w:szCs w:val="24"/>
        </w:rPr>
        <w:t>the</w:t>
      </w:r>
      <w:r w:rsidRPr="00AC1055">
        <w:rPr>
          <w:rFonts w:cs="Times New Roman"/>
          <w:szCs w:val="24"/>
        </w:rPr>
        <w:t xml:space="preserve"> individual countries can be denoted as j, </w:t>
      </w:r>
      <w:r>
        <w:rPr>
          <w:rFonts w:cs="Times New Roman"/>
          <w:szCs w:val="24"/>
        </w:rPr>
        <w:t>there are</w:t>
      </w:r>
      <w:r w:rsidRPr="00AC1055">
        <w:rPr>
          <w:rFonts w:cs="Times New Roman"/>
          <w:szCs w:val="24"/>
        </w:rPr>
        <w:t xml:space="preserve"> 21 countries, so j = 1 to 21, Y the outcome variable is the financial development index prepared by the Bayesian factor analysis of five factors, X1 the explanatory variable is the corporate governance index prepared by utilising the graded response model on fifty two variables, X2 the control variable is the control index created from fourteen variables. However in addition to individual countries j </w:t>
      </w:r>
      <w:r>
        <w:rPr>
          <w:rFonts w:cs="Times New Roman"/>
          <w:szCs w:val="24"/>
        </w:rPr>
        <w:t>it is necessary</w:t>
      </w:r>
      <w:r w:rsidRPr="00AC1055">
        <w:rPr>
          <w:rFonts w:cs="Times New Roman"/>
          <w:szCs w:val="24"/>
        </w:rPr>
        <w:t xml:space="preserve"> to also add a factor for time, as </w:t>
      </w:r>
      <w:r>
        <w:rPr>
          <w:rFonts w:cs="Times New Roman"/>
          <w:szCs w:val="24"/>
        </w:rPr>
        <w:t xml:space="preserve">the </w:t>
      </w:r>
      <w:r w:rsidRPr="00AC1055">
        <w:rPr>
          <w:rFonts w:cs="Times New Roman"/>
          <w:szCs w:val="24"/>
        </w:rPr>
        <w:t>study is longitudinal in nature, so equation (18) can be rewritten as:</w:t>
      </w:r>
    </w:p>
    <w:p w14:paraId="73927623" w14:textId="77777777" w:rsidR="000A5358" w:rsidRPr="00AC1055" w:rsidRDefault="000A5358" w:rsidP="000A5358">
      <w:pPr>
        <w:spacing w:line="480" w:lineRule="auto"/>
        <w:rPr>
          <w:rFonts w:cs="Times New Roman"/>
          <w:szCs w:val="24"/>
        </w:rPr>
      </w:pPr>
      <w:r w:rsidRPr="00AC1055">
        <w:rPr>
          <w:rFonts w:cs="Times New Roman"/>
          <w:szCs w:val="24"/>
        </w:rPr>
        <w:lastRenderedPageBreak/>
        <w:t xml:space="preserve">        </w:t>
      </w:r>
      <w:r>
        <w:rPr>
          <w:rFonts w:cs="Times New Roman"/>
          <w:szCs w:val="24"/>
        </w:rPr>
        <w:t xml:space="preserve">                  </w:t>
      </w:r>
      <w:r w:rsidRPr="00AC1055">
        <w:rPr>
          <w:rFonts w:cs="Times New Roman"/>
          <w:szCs w:val="24"/>
        </w:rPr>
        <w:t xml:space="preserve">    Y</w:t>
      </w:r>
      <w:r w:rsidRPr="00AC1055">
        <w:rPr>
          <w:rFonts w:cs="Times New Roman"/>
          <w:szCs w:val="24"/>
          <w:vertAlign w:val="subscript"/>
        </w:rPr>
        <w:t>jt</w:t>
      </w:r>
      <w:r w:rsidRPr="00AC1055">
        <w:rPr>
          <w:rFonts w:cs="Times New Roman"/>
          <w:szCs w:val="24"/>
        </w:rPr>
        <w:t xml:space="preserve"> = β0 + β1X1</w:t>
      </w:r>
      <w:r w:rsidRPr="00AC1055">
        <w:rPr>
          <w:rFonts w:cs="Times New Roman"/>
          <w:szCs w:val="24"/>
          <w:vertAlign w:val="subscript"/>
        </w:rPr>
        <w:t>jt</w:t>
      </w:r>
      <w:r w:rsidRPr="00AC1055">
        <w:rPr>
          <w:rFonts w:cs="Times New Roman"/>
          <w:szCs w:val="24"/>
        </w:rPr>
        <w:t xml:space="preserve"> + β2X2</w:t>
      </w:r>
      <w:r w:rsidRPr="00AC1055">
        <w:rPr>
          <w:rFonts w:cs="Times New Roman"/>
          <w:szCs w:val="24"/>
          <w:vertAlign w:val="subscript"/>
        </w:rPr>
        <w:t>jt</w:t>
      </w:r>
      <w:r w:rsidRPr="00AC1055">
        <w:rPr>
          <w:rFonts w:cs="Times New Roman"/>
          <w:szCs w:val="24"/>
        </w:rPr>
        <w:t xml:space="preserve"> + ε</w:t>
      </w:r>
      <w:r w:rsidRPr="00AC1055">
        <w:rPr>
          <w:rFonts w:cs="Times New Roman"/>
          <w:szCs w:val="24"/>
          <w:vertAlign w:val="subscript"/>
        </w:rPr>
        <w:t xml:space="preserve">jt     </w:t>
      </w:r>
      <w:r w:rsidRPr="00AC1055">
        <w:rPr>
          <w:rFonts w:cs="Times New Roman"/>
          <w:szCs w:val="24"/>
        </w:rPr>
        <w:t xml:space="preserve">                                              </w:t>
      </w:r>
      <w:r>
        <w:rPr>
          <w:rFonts w:cs="Times New Roman"/>
          <w:szCs w:val="24"/>
        </w:rPr>
        <w:t xml:space="preserve"> </w:t>
      </w:r>
      <w:r w:rsidRPr="00AC1055">
        <w:rPr>
          <w:rFonts w:cs="Times New Roman"/>
          <w:szCs w:val="24"/>
        </w:rPr>
        <w:t>(19)</w:t>
      </w:r>
    </w:p>
    <w:p w14:paraId="54CB1F64" w14:textId="77777777" w:rsidR="000A5358" w:rsidRPr="00AC1055" w:rsidRDefault="000A5358" w:rsidP="000A5358">
      <w:pPr>
        <w:spacing w:line="480" w:lineRule="auto"/>
        <w:rPr>
          <w:rFonts w:cs="Times New Roman"/>
          <w:szCs w:val="24"/>
        </w:rPr>
      </w:pPr>
      <w:r w:rsidRPr="00AC1055">
        <w:rPr>
          <w:rFonts w:cs="Times New Roman"/>
          <w:szCs w:val="24"/>
        </w:rPr>
        <w:t xml:space="preserve">For </w:t>
      </w:r>
      <w:r>
        <w:rPr>
          <w:rFonts w:cs="Times New Roman"/>
          <w:szCs w:val="24"/>
        </w:rPr>
        <w:t>this</w:t>
      </w:r>
      <w:r w:rsidRPr="00AC1055">
        <w:rPr>
          <w:rFonts w:cs="Times New Roman"/>
          <w:szCs w:val="24"/>
        </w:rPr>
        <w:t xml:space="preserve"> research t = 1 to 20, to account for twenty year period</w:t>
      </w:r>
      <w:r>
        <w:rPr>
          <w:rFonts w:cs="Times New Roman"/>
          <w:szCs w:val="24"/>
        </w:rPr>
        <w:t>,</w:t>
      </w:r>
      <w:r w:rsidRPr="00AC1055">
        <w:rPr>
          <w:rFonts w:cs="Times New Roman"/>
          <w:szCs w:val="24"/>
        </w:rPr>
        <w:t xml:space="preserve"> and as stated earlier</w:t>
      </w:r>
      <w:r>
        <w:rPr>
          <w:rFonts w:cs="Times New Roman"/>
          <w:szCs w:val="24"/>
        </w:rPr>
        <w:t>,</w:t>
      </w:r>
      <w:r w:rsidRPr="00AC1055">
        <w:rPr>
          <w:rFonts w:cs="Times New Roman"/>
          <w:szCs w:val="24"/>
        </w:rPr>
        <w:t xml:space="preserve"> j = 1 to 21 for twenty-one countries. Equation (19) can also be represented as a distribution in terms of:</w:t>
      </w:r>
    </w:p>
    <w:p w14:paraId="0F8010C7" w14:textId="77777777" w:rsidR="000A5358" w:rsidRPr="00AC1055" w:rsidRDefault="000A5358" w:rsidP="000A5358">
      <w:pPr>
        <w:spacing w:line="480" w:lineRule="auto"/>
        <w:rPr>
          <w:rFonts w:cs="Times New Roman"/>
          <w:szCs w:val="24"/>
        </w:rPr>
      </w:pPr>
      <w:r w:rsidRPr="00AC1055">
        <w:rPr>
          <w:rFonts w:cs="Times New Roman"/>
          <w:szCs w:val="24"/>
        </w:rPr>
        <w:t xml:space="preserve">         </w:t>
      </w:r>
      <w:r>
        <w:rPr>
          <w:rFonts w:cs="Times New Roman"/>
          <w:szCs w:val="24"/>
        </w:rPr>
        <w:t xml:space="preserve">                  </w:t>
      </w:r>
      <w:r w:rsidRPr="00AC1055">
        <w:rPr>
          <w:rFonts w:cs="Times New Roman"/>
          <w:szCs w:val="24"/>
        </w:rPr>
        <w:t xml:space="preserve">    Y</w:t>
      </w:r>
      <w:r w:rsidRPr="00AC1055">
        <w:rPr>
          <w:rFonts w:cs="Times New Roman"/>
          <w:szCs w:val="24"/>
          <w:vertAlign w:val="subscript"/>
        </w:rPr>
        <w:t>jt</w:t>
      </w:r>
      <w:r w:rsidRPr="00AC1055">
        <w:rPr>
          <w:rFonts w:cs="Times New Roman"/>
          <w:szCs w:val="24"/>
        </w:rPr>
        <w:t xml:space="preserve"> ~ N(β0 + β1X1</w:t>
      </w:r>
      <w:r w:rsidRPr="00AC1055">
        <w:rPr>
          <w:rFonts w:cs="Times New Roman"/>
          <w:szCs w:val="24"/>
          <w:vertAlign w:val="subscript"/>
        </w:rPr>
        <w:t>jt</w:t>
      </w:r>
      <w:r w:rsidRPr="00AC1055">
        <w:rPr>
          <w:rFonts w:cs="Times New Roman"/>
          <w:szCs w:val="24"/>
        </w:rPr>
        <w:t xml:space="preserve"> + β2X2</w:t>
      </w:r>
      <w:r w:rsidRPr="00AC1055">
        <w:rPr>
          <w:rFonts w:cs="Times New Roman"/>
          <w:szCs w:val="24"/>
          <w:vertAlign w:val="subscript"/>
        </w:rPr>
        <w:t>jt</w:t>
      </w:r>
      <w:r w:rsidRPr="00AC1055">
        <w:rPr>
          <w:rFonts w:cs="Times New Roman"/>
          <w:szCs w:val="24"/>
        </w:rPr>
        <w:t xml:space="preserve"> + ε</w:t>
      </w:r>
      <w:r w:rsidRPr="00AC1055">
        <w:rPr>
          <w:rFonts w:cs="Times New Roman"/>
          <w:szCs w:val="24"/>
          <w:vertAlign w:val="subscript"/>
        </w:rPr>
        <w:t>i</w:t>
      </w:r>
      <w:r w:rsidRPr="00AC1055">
        <w:rPr>
          <w:rFonts w:cs="Times New Roman"/>
          <w:szCs w:val="24"/>
        </w:rPr>
        <w:t>, σ</w:t>
      </w:r>
      <w:r w:rsidRPr="00AC1055">
        <w:rPr>
          <w:rFonts w:cs="Times New Roman"/>
          <w:szCs w:val="24"/>
          <w:vertAlign w:val="superscript"/>
        </w:rPr>
        <w:t>2</w:t>
      </w:r>
      <w:r w:rsidRPr="00AC1055">
        <w:rPr>
          <w:rFonts w:cs="Times New Roman"/>
          <w:szCs w:val="24"/>
        </w:rPr>
        <w:t>)</w:t>
      </w:r>
      <w:r w:rsidRPr="00AC1055">
        <w:rPr>
          <w:rFonts w:cs="Times New Roman"/>
          <w:szCs w:val="24"/>
          <w:vertAlign w:val="subscript"/>
        </w:rPr>
        <w:t xml:space="preserve">                   </w:t>
      </w:r>
      <w:r w:rsidRPr="00AC1055">
        <w:rPr>
          <w:rFonts w:cs="Times New Roman"/>
          <w:szCs w:val="24"/>
        </w:rPr>
        <w:t xml:space="preserve">                </w:t>
      </w:r>
    </w:p>
    <w:p w14:paraId="3F1066C7" w14:textId="77777777" w:rsidR="000A5358" w:rsidRPr="00AC1055" w:rsidRDefault="000A5358" w:rsidP="000A5358">
      <w:pPr>
        <w:spacing w:line="480" w:lineRule="auto"/>
        <w:rPr>
          <w:rFonts w:cs="Times New Roman"/>
          <w:szCs w:val="24"/>
        </w:rPr>
      </w:pPr>
      <w:r w:rsidRPr="00AC1055">
        <w:rPr>
          <w:rFonts w:cs="Times New Roman"/>
          <w:szCs w:val="24"/>
        </w:rPr>
        <w:t xml:space="preserve">                </w:t>
      </w:r>
      <w:r>
        <w:rPr>
          <w:rFonts w:cs="Times New Roman"/>
          <w:szCs w:val="24"/>
        </w:rPr>
        <w:t xml:space="preserve">  </w:t>
      </w:r>
      <w:r w:rsidRPr="00AC1055">
        <w:rPr>
          <w:rFonts w:cs="Times New Roman"/>
          <w:szCs w:val="24"/>
        </w:rPr>
        <w:t xml:space="preserve">              σ</w:t>
      </w:r>
      <w:r w:rsidRPr="00AC1055">
        <w:rPr>
          <w:rFonts w:cs="Times New Roman"/>
          <w:szCs w:val="24"/>
          <w:vertAlign w:val="superscript"/>
        </w:rPr>
        <w:t>2</w:t>
      </w:r>
      <w:r w:rsidRPr="00AC1055">
        <w:rPr>
          <w:rFonts w:cs="Times New Roman"/>
          <w:szCs w:val="24"/>
        </w:rPr>
        <w:t xml:space="preserve"> ~ N(0, ω</w:t>
      </w:r>
      <w:r w:rsidRPr="00AC1055">
        <w:rPr>
          <w:rFonts w:cs="Times New Roman"/>
          <w:szCs w:val="24"/>
          <w:vertAlign w:val="superscript"/>
        </w:rPr>
        <w:t>2</w:t>
      </w:r>
      <w:r w:rsidRPr="00AC1055">
        <w:rPr>
          <w:rFonts w:cs="Times New Roman"/>
          <w:szCs w:val="24"/>
        </w:rPr>
        <w:t xml:space="preserve">)                                                                         (19.1)      </w:t>
      </w:r>
    </w:p>
    <w:p w14:paraId="7343BAE1" w14:textId="77777777" w:rsidR="000A5358" w:rsidRPr="00AC1055" w:rsidRDefault="000A5358" w:rsidP="000A5358">
      <w:pPr>
        <w:spacing w:line="480" w:lineRule="auto"/>
        <w:rPr>
          <w:rFonts w:cs="Times New Roman"/>
          <w:szCs w:val="24"/>
        </w:rPr>
      </w:pPr>
      <w:r w:rsidRPr="00AC1055">
        <w:rPr>
          <w:rFonts w:cs="Times New Roman"/>
          <w:szCs w:val="24"/>
        </w:rPr>
        <w:t>The model as described in equation (19) and (19.1) can also be designated as a complete pooling model as group indicators are not included in the model,</w:t>
      </w:r>
      <w:r w:rsidRPr="00AC1055">
        <w:rPr>
          <w:rFonts w:cs="Times New Roman"/>
          <w:szCs w:val="24"/>
          <w:vertAlign w:val="superscript"/>
        </w:rPr>
        <w:footnoteReference w:id="209"/>
      </w:r>
      <w:r w:rsidRPr="00AC1055">
        <w:rPr>
          <w:rFonts w:cs="Times New Roman"/>
          <w:szCs w:val="24"/>
        </w:rPr>
        <w:t xml:space="preserve"> in other words the coefficients β0, β1 and β2 do not vary across countries and time period. This is computed using the following JAGS code:</w:t>
      </w:r>
    </w:p>
    <w:bookmarkStart w:id="3" w:name="_MON_1499515918"/>
    <w:bookmarkEnd w:id="3"/>
    <w:p w14:paraId="08653ABC" w14:textId="07871971" w:rsidR="000A5358" w:rsidRDefault="00012336" w:rsidP="000A5358">
      <w:pPr>
        <w:keepNext/>
        <w:spacing w:line="480" w:lineRule="auto"/>
      </w:pPr>
      <w:r w:rsidRPr="00AC1055">
        <w:rPr>
          <w:rFonts w:cs="Times New Roman"/>
          <w:szCs w:val="24"/>
        </w:rPr>
        <w:object w:dxaOrig="9026" w:dyaOrig="2061" w14:anchorId="1133CE6E">
          <v:shape id="_x0000_i1028" type="#_x0000_t75" style="width:416.25pt;height:102.75pt" o:ole="">
            <v:imagedata r:id="rId25" o:title=""/>
          </v:shape>
          <o:OLEObject Type="Embed" ProgID="Word.OpenDocumentText.12" ShapeID="_x0000_i1028" DrawAspect="Content" ObjectID="_1523373326" r:id="rId26"/>
        </w:object>
      </w:r>
    </w:p>
    <w:p w14:paraId="2E8AEE7A" w14:textId="77777777" w:rsidR="000A5358" w:rsidRPr="00AC1055" w:rsidRDefault="000A5358" w:rsidP="000A5358">
      <w:pPr>
        <w:pStyle w:val="Caption"/>
        <w:jc w:val="center"/>
        <w:rPr>
          <w:rFonts w:cs="Times New Roman"/>
          <w:szCs w:val="24"/>
        </w:rPr>
      </w:pPr>
      <w:r>
        <w:t xml:space="preserve">Code snippet </w:t>
      </w:r>
      <w:fldSimple w:instr=" SEQ Code_snippet \* ARABIC ">
        <w:r w:rsidR="005A260F">
          <w:rPr>
            <w:noProof/>
          </w:rPr>
          <w:t>4</w:t>
        </w:r>
      </w:fldSimple>
    </w:p>
    <w:p w14:paraId="22EB904B" w14:textId="3C64CED7" w:rsidR="000A5358" w:rsidRPr="00AC1055" w:rsidRDefault="000A5358" w:rsidP="000A5358">
      <w:pPr>
        <w:spacing w:line="480" w:lineRule="auto"/>
        <w:rPr>
          <w:rFonts w:cs="Times New Roman"/>
          <w:szCs w:val="24"/>
        </w:rPr>
      </w:pPr>
      <w:r w:rsidRPr="00AC1055">
        <w:rPr>
          <w:rFonts w:cs="Times New Roman"/>
          <w:szCs w:val="24"/>
        </w:rPr>
        <w:t>The code in line 2 and 3 executes the simple OLS equation (19.1). The prior distribution is set between line 5 to 8. The o</w:t>
      </w:r>
      <w:r w:rsidR="001F07A4">
        <w:rPr>
          <w:rFonts w:cs="Times New Roman"/>
          <w:szCs w:val="24"/>
        </w:rPr>
        <w:t>utput in a 3d format is as below</w:t>
      </w:r>
      <w:r w:rsidRPr="00AC1055">
        <w:rPr>
          <w:rFonts w:cs="Times New Roman"/>
          <w:szCs w:val="24"/>
        </w:rPr>
        <w:t xml:space="preserve">: </w:t>
      </w:r>
    </w:p>
    <w:p w14:paraId="420B5C25" w14:textId="77777777" w:rsidR="000A5358" w:rsidRPr="00AC1055" w:rsidRDefault="000A5358" w:rsidP="000A5358">
      <w:pPr>
        <w:spacing w:line="480" w:lineRule="auto"/>
        <w:rPr>
          <w:rFonts w:cs="Times New Roman"/>
          <w:szCs w:val="24"/>
        </w:rPr>
      </w:pPr>
    </w:p>
    <w:p w14:paraId="48DADB8C" w14:textId="77777777" w:rsidR="000A5358" w:rsidRPr="00AC1055" w:rsidRDefault="000A5358" w:rsidP="000A5358">
      <w:pPr>
        <w:spacing w:line="480" w:lineRule="auto"/>
        <w:rPr>
          <w:rFonts w:cs="Times New Roman"/>
          <w:szCs w:val="24"/>
        </w:rPr>
      </w:pPr>
      <w:r w:rsidRPr="00AC1055">
        <w:rPr>
          <w:rFonts w:cs="Times New Roman"/>
          <w:noProof/>
          <w:szCs w:val="24"/>
          <w:lang w:eastAsia="en-GB"/>
        </w:rPr>
        <w:lastRenderedPageBreak/>
        <w:drawing>
          <wp:inline distT="0" distB="0" distL="0" distR="0" wp14:anchorId="40FBCDF2" wp14:editId="17189A34">
            <wp:extent cx="3235300" cy="2847975"/>
            <wp:effectExtent l="0" t="0" r="381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424" cy="2850725"/>
                    </a:xfrm>
                    <a:prstGeom prst="rect">
                      <a:avLst/>
                    </a:prstGeom>
                    <a:noFill/>
                    <a:ln>
                      <a:noFill/>
                    </a:ln>
                  </pic:spPr>
                </pic:pic>
              </a:graphicData>
            </a:graphic>
          </wp:inline>
        </w:drawing>
      </w:r>
      <w:r w:rsidRPr="00AC1055">
        <w:rPr>
          <w:rFonts w:cs="Times New Roman"/>
          <w:szCs w:val="24"/>
        </w:rPr>
        <w:t xml:space="preserve">  </w:t>
      </w:r>
    </w:p>
    <w:p w14:paraId="25A9D29E" w14:textId="77777777" w:rsidR="001E5718" w:rsidRDefault="000A5358" w:rsidP="000A5358">
      <w:pPr>
        <w:spacing w:line="480" w:lineRule="auto"/>
        <w:rPr>
          <w:rFonts w:cs="Times New Roman"/>
          <w:szCs w:val="24"/>
        </w:rPr>
      </w:pPr>
      <w:r w:rsidRPr="00AC1055">
        <w:rPr>
          <w:rFonts w:cs="Times New Roman"/>
          <w:szCs w:val="24"/>
        </w:rPr>
        <w:t xml:space="preserve">The graph shows that there is </w:t>
      </w:r>
      <w:r>
        <w:rPr>
          <w:rFonts w:cs="Times New Roman"/>
          <w:szCs w:val="24"/>
        </w:rPr>
        <w:t xml:space="preserve">a </w:t>
      </w:r>
      <w:r w:rsidRPr="00AC1055">
        <w:rPr>
          <w:rFonts w:cs="Times New Roman"/>
          <w:szCs w:val="24"/>
        </w:rPr>
        <w:t>low correlation between corporate governance and financial growth, however</w:t>
      </w:r>
      <w:r>
        <w:rPr>
          <w:rFonts w:cs="Times New Roman"/>
          <w:szCs w:val="24"/>
        </w:rPr>
        <w:t>,</w:t>
      </w:r>
      <w:r w:rsidRPr="00AC1055">
        <w:rPr>
          <w:rFonts w:cs="Times New Roman"/>
          <w:szCs w:val="24"/>
        </w:rPr>
        <w:t xml:space="preserve"> there is also high dispersion, it suggests that the model can be refined further. </w:t>
      </w:r>
    </w:p>
    <w:p w14:paraId="01637E41" w14:textId="24813993" w:rsidR="001E5718" w:rsidRDefault="00012336" w:rsidP="000A5358">
      <w:pPr>
        <w:spacing w:line="480" w:lineRule="auto"/>
        <w:rPr>
          <w:rFonts w:cs="Times New Roman"/>
          <w:szCs w:val="24"/>
        </w:rPr>
      </w:pPr>
      <w:r>
        <w:rPr>
          <w:rFonts w:cs="Times New Roman"/>
          <w:szCs w:val="24"/>
        </w:rPr>
        <w:t>A</w:t>
      </w:r>
      <w:r w:rsidR="001E5718">
        <w:rPr>
          <w:rFonts w:cs="Times New Roman"/>
          <w:szCs w:val="24"/>
        </w:rPr>
        <w:t xml:space="preserve"> visual check for convergence in a Bayesian model is to </w:t>
      </w:r>
      <w:r w:rsidR="00BE15A8">
        <w:rPr>
          <w:rFonts w:cs="Times New Roman"/>
          <w:szCs w:val="24"/>
        </w:rPr>
        <w:t>inspect the trace plot, if a model has converged then the trace plot moves along a central line and the density plot is usually uniform. Trace and density plot of a single chain of converged variable usually looks as below:</w:t>
      </w:r>
    </w:p>
    <w:p w14:paraId="4ACCD9B4" w14:textId="34F77D54" w:rsidR="00BE15A8" w:rsidRDefault="00BE15A8" w:rsidP="000A5358">
      <w:pPr>
        <w:spacing w:line="480" w:lineRule="auto"/>
        <w:rPr>
          <w:rFonts w:cs="Times New Roman"/>
          <w:szCs w:val="24"/>
        </w:rPr>
      </w:pPr>
      <w:r>
        <w:rPr>
          <w:rFonts w:cs="Times New Roman"/>
          <w:noProof/>
          <w:szCs w:val="24"/>
          <w:lang w:eastAsia="en-GB"/>
        </w:rPr>
        <w:drawing>
          <wp:inline distT="0" distB="0" distL="0" distR="0" wp14:anchorId="68CB9A4D" wp14:editId="61C09A97">
            <wp:extent cx="5200650" cy="9620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962025"/>
                    </a:xfrm>
                    <a:prstGeom prst="rect">
                      <a:avLst/>
                    </a:prstGeom>
                    <a:noFill/>
                    <a:ln>
                      <a:noFill/>
                    </a:ln>
                  </pic:spPr>
                </pic:pic>
              </a:graphicData>
            </a:graphic>
          </wp:inline>
        </w:drawing>
      </w:r>
    </w:p>
    <w:p w14:paraId="0F25571D" w14:textId="414D6D0B" w:rsidR="000A5358" w:rsidRPr="00AC1055" w:rsidRDefault="000A5358" w:rsidP="000A5358">
      <w:pPr>
        <w:spacing w:line="480" w:lineRule="auto"/>
        <w:rPr>
          <w:rFonts w:cs="Times New Roman"/>
          <w:szCs w:val="24"/>
        </w:rPr>
      </w:pPr>
      <w:r w:rsidRPr="00AC1055">
        <w:rPr>
          <w:rFonts w:cs="Times New Roman"/>
          <w:szCs w:val="24"/>
        </w:rPr>
        <w:t>The</w:t>
      </w:r>
      <w:r w:rsidR="00012336">
        <w:rPr>
          <w:rFonts w:cs="Times New Roman"/>
          <w:szCs w:val="24"/>
        </w:rPr>
        <w:t>refore the</w:t>
      </w:r>
      <w:r w:rsidRPr="00AC1055">
        <w:rPr>
          <w:rFonts w:cs="Times New Roman"/>
          <w:szCs w:val="24"/>
        </w:rPr>
        <w:t xml:space="preserve"> trace plot </w:t>
      </w:r>
      <w:r w:rsidR="00012336">
        <w:rPr>
          <w:rFonts w:cs="Times New Roman"/>
          <w:szCs w:val="24"/>
        </w:rPr>
        <w:t xml:space="preserve">below </w:t>
      </w:r>
      <w:r w:rsidRPr="00AC1055">
        <w:rPr>
          <w:rFonts w:cs="Times New Roman"/>
          <w:szCs w:val="24"/>
        </w:rPr>
        <w:t xml:space="preserve">of </w:t>
      </w:r>
      <w:r>
        <w:rPr>
          <w:rFonts w:cs="Times New Roman"/>
          <w:szCs w:val="24"/>
        </w:rPr>
        <w:t xml:space="preserve">the </w:t>
      </w:r>
      <w:r w:rsidR="00012336">
        <w:rPr>
          <w:rFonts w:cs="Times New Roman"/>
          <w:szCs w:val="24"/>
        </w:rPr>
        <w:t xml:space="preserve">intercept </w:t>
      </w:r>
      <w:r w:rsidRPr="00AC1055">
        <w:rPr>
          <w:rFonts w:cs="Times New Roman"/>
          <w:szCs w:val="24"/>
        </w:rPr>
        <w:t>suggests that the model had not stabilised even after 50,000 iterations and is likely to be biased, inefficient and/or inconsistent:</w:t>
      </w:r>
    </w:p>
    <w:p w14:paraId="268BB16E" w14:textId="77777777" w:rsidR="000A5358" w:rsidRPr="00AC1055" w:rsidRDefault="000A5358" w:rsidP="000A5358">
      <w:pPr>
        <w:spacing w:line="480" w:lineRule="auto"/>
        <w:rPr>
          <w:rFonts w:cs="Times New Roman"/>
          <w:szCs w:val="24"/>
        </w:rPr>
      </w:pPr>
      <w:r w:rsidRPr="00AC1055">
        <w:rPr>
          <w:rFonts w:cs="Times New Roman"/>
          <w:noProof/>
          <w:szCs w:val="24"/>
          <w:lang w:eastAsia="en-GB"/>
        </w:rPr>
        <w:drawing>
          <wp:inline distT="0" distB="0" distL="0" distR="0" wp14:anchorId="25E075D7" wp14:editId="37DF4DC9">
            <wp:extent cx="5219700" cy="117157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1171575"/>
                    </a:xfrm>
                    <a:prstGeom prst="rect">
                      <a:avLst/>
                    </a:prstGeom>
                    <a:noFill/>
                    <a:ln>
                      <a:noFill/>
                    </a:ln>
                  </pic:spPr>
                </pic:pic>
              </a:graphicData>
            </a:graphic>
          </wp:inline>
        </w:drawing>
      </w:r>
    </w:p>
    <w:p w14:paraId="58227DC9" w14:textId="77777777" w:rsidR="000A5358" w:rsidRPr="00AC1055" w:rsidRDefault="000A5358" w:rsidP="000A5358">
      <w:pPr>
        <w:spacing w:line="480" w:lineRule="auto"/>
        <w:rPr>
          <w:rFonts w:cs="Times New Roman"/>
          <w:szCs w:val="24"/>
        </w:rPr>
      </w:pPr>
      <w:r w:rsidRPr="00AC1055">
        <w:rPr>
          <w:rFonts w:cs="Times New Roman"/>
          <w:szCs w:val="24"/>
        </w:rPr>
        <w:lastRenderedPageBreak/>
        <w:t>The density plot on the above right shows that there are at least three distinct intercept categories. This indicates that despite relative convergence (as shown below) in the coefficients the groups are not homogenous and the model needs to be explored further to fully explain the link</w:t>
      </w:r>
      <w:r>
        <w:rPr>
          <w:rFonts w:cs="Times New Roman"/>
          <w:szCs w:val="24"/>
        </w:rPr>
        <w:t xml:space="preserve">s </w:t>
      </w:r>
      <w:r w:rsidRPr="00AC1055">
        <w:rPr>
          <w:rFonts w:cs="Times New Roman"/>
          <w:szCs w:val="24"/>
        </w:rPr>
        <w:t>between corporate governance and financial growth. Thus although OLS pooled regression ‘captures not only the variation of what emerges through time or space, but [also] the variation of these two dimensions simultaneously’</w:t>
      </w:r>
      <w:r w:rsidRPr="00AC1055">
        <w:rPr>
          <w:rFonts w:cs="Times New Roman"/>
          <w:szCs w:val="24"/>
          <w:vertAlign w:val="superscript"/>
        </w:rPr>
        <w:footnoteReference w:id="210"/>
      </w:r>
      <w:r w:rsidRPr="00AC1055">
        <w:rPr>
          <w:rFonts w:cs="Times New Roman"/>
          <w:szCs w:val="24"/>
        </w:rPr>
        <w:t>, our analysis shows that errors may not be independent and homoscedastic over time, and hence pooled OLS regression leads to erroneous results.</w:t>
      </w:r>
      <w:r w:rsidRPr="00AC1055">
        <w:rPr>
          <w:rFonts w:cs="Times New Roman"/>
          <w:szCs w:val="24"/>
          <w:vertAlign w:val="superscript"/>
        </w:rPr>
        <w:footnoteReference w:id="211"/>
      </w:r>
      <w:r w:rsidRPr="00AC1055">
        <w:rPr>
          <w:rFonts w:cs="Times New Roman"/>
          <w:szCs w:val="24"/>
        </w:rPr>
        <w:t xml:space="preserve"> </w:t>
      </w:r>
    </w:p>
    <w:p w14:paraId="3E406408" w14:textId="77777777" w:rsidR="000A5358" w:rsidRPr="00AC1055" w:rsidRDefault="000A5358" w:rsidP="000A5358">
      <w:pPr>
        <w:spacing w:line="480" w:lineRule="auto"/>
        <w:rPr>
          <w:rFonts w:cs="Times New Roman"/>
          <w:szCs w:val="24"/>
        </w:rPr>
      </w:pPr>
      <w:r w:rsidRPr="00AC1055">
        <w:rPr>
          <w:rFonts w:cs="Times New Roman"/>
          <w:noProof/>
          <w:szCs w:val="24"/>
          <w:lang w:eastAsia="en-GB"/>
        </w:rPr>
        <w:drawing>
          <wp:inline distT="0" distB="0" distL="0" distR="0" wp14:anchorId="64385EB2" wp14:editId="31778694">
            <wp:extent cx="5086350" cy="223837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8120" cy="2239154"/>
                    </a:xfrm>
                    <a:prstGeom prst="rect">
                      <a:avLst/>
                    </a:prstGeom>
                    <a:noFill/>
                    <a:ln>
                      <a:noFill/>
                    </a:ln>
                  </pic:spPr>
                </pic:pic>
              </a:graphicData>
            </a:graphic>
          </wp:inline>
        </w:drawing>
      </w:r>
    </w:p>
    <w:p w14:paraId="474A62D8" w14:textId="77777777" w:rsidR="000A5358" w:rsidRDefault="000A5358" w:rsidP="000A5358">
      <w:pPr>
        <w:spacing w:line="480" w:lineRule="auto"/>
        <w:rPr>
          <w:rFonts w:cs="Times New Roman"/>
          <w:szCs w:val="24"/>
        </w:rPr>
      </w:pPr>
    </w:p>
    <w:p w14:paraId="63FC1D02" w14:textId="77777777" w:rsidR="000A5358" w:rsidRPr="00AC1055" w:rsidRDefault="000A5358" w:rsidP="000A5358">
      <w:pPr>
        <w:spacing w:line="480" w:lineRule="auto"/>
        <w:rPr>
          <w:rFonts w:cs="Times New Roman"/>
          <w:szCs w:val="24"/>
          <w:u w:val="single"/>
        </w:rPr>
      </w:pPr>
      <w:r>
        <w:rPr>
          <w:rFonts w:cs="Times New Roman"/>
          <w:szCs w:val="24"/>
          <w:u w:val="single"/>
        </w:rPr>
        <w:t xml:space="preserve">3.4.1.2 </w:t>
      </w:r>
      <w:r w:rsidRPr="00AC1055">
        <w:rPr>
          <w:rFonts w:cs="Times New Roman"/>
          <w:szCs w:val="24"/>
          <w:u w:val="single"/>
        </w:rPr>
        <w:t>Unpooled regression</w:t>
      </w:r>
    </w:p>
    <w:p w14:paraId="59F1B1F6" w14:textId="77777777" w:rsidR="000A5358" w:rsidRPr="00AC1055" w:rsidRDefault="000A5358" w:rsidP="000A5358">
      <w:pPr>
        <w:spacing w:line="480" w:lineRule="auto"/>
        <w:rPr>
          <w:rFonts w:cs="Times New Roman"/>
          <w:szCs w:val="24"/>
        </w:rPr>
      </w:pPr>
      <w:r w:rsidRPr="00AC1055">
        <w:rPr>
          <w:rFonts w:cs="Times New Roman"/>
          <w:szCs w:val="24"/>
        </w:rPr>
        <w:t>Therefore the next step of model building would be to let the intercept vary with the country.</w:t>
      </w:r>
    </w:p>
    <w:p w14:paraId="28451B36" w14:textId="77777777" w:rsidR="000A5358" w:rsidRPr="00AC1055" w:rsidRDefault="000A5358" w:rsidP="000A5358">
      <w:pPr>
        <w:spacing w:line="480" w:lineRule="auto"/>
        <w:rPr>
          <w:rFonts w:cs="Times New Roman"/>
          <w:szCs w:val="24"/>
        </w:rPr>
      </w:pPr>
      <w:r w:rsidRPr="00AC1055">
        <w:rPr>
          <w:rFonts w:cs="Times New Roman"/>
          <w:szCs w:val="24"/>
        </w:rPr>
        <w:t>The new derived equation will be:</w:t>
      </w:r>
    </w:p>
    <w:p w14:paraId="7E31AF38" w14:textId="77777777" w:rsidR="000A5358" w:rsidRPr="00AC1055" w:rsidRDefault="000A5358" w:rsidP="000A5358">
      <w:pPr>
        <w:spacing w:line="480" w:lineRule="auto"/>
        <w:rPr>
          <w:rFonts w:cs="Times New Roman"/>
          <w:szCs w:val="24"/>
        </w:rPr>
      </w:pPr>
      <w:r w:rsidRPr="00AC1055">
        <w:rPr>
          <w:rFonts w:cs="Times New Roman"/>
          <w:szCs w:val="24"/>
        </w:rPr>
        <w:t xml:space="preserve">                                   Y</w:t>
      </w:r>
      <w:r w:rsidRPr="00AC1055">
        <w:rPr>
          <w:rFonts w:cs="Times New Roman"/>
          <w:szCs w:val="24"/>
          <w:vertAlign w:val="subscript"/>
        </w:rPr>
        <w:t>jt</w:t>
      </w:r>
      <w:r w:rsidRPr="00AC1055">
        <w:rPr>
          <w:rFonts w:cs="Times New Roman"/>
          <w:szCs w:val="24"/>
        </w:rPr>
        <w:t xml:space="preserve"> = β0</w:t>
      </w:r>
      <w:r w:rsidRPr="00AC1055">
        <w:rPr>
          <w:rFonts w:cs="Times New Roman"/>
          <w:szCs w:val="24"/>
          <w:vertAlign w:val="subscript"/>
        </w:rPr>
        <w:t>j</w:t>
      </w:r>
      <w:r w:rsidRPr="00AC1055">
        <w:rPr>
          <w:rFonts w:cs="Times New Roman"/>
          <w:szCs w:val="24"/>
        </w:rPr>
        <w:t xml:space="preserve"> + β1X1</w:t>
      </w:r>
      <w:r w:rsidRPr="00AC1055">
        <w:rPr>
          <w:rFonts w:cs="Times New Roman"/>
          <w:szCs w:val="24"/>
          <w:vertAlign w:val="subscript"/>
        </w:rPr>
        <w:t>jt</w:t>
      </w:r>
      <w:r w:rsidRPr="00AC1055">
        <w:rPr>
          <w:rFonts w:cs="Times New Roman"/>
          <w:szCs w:val="24"/>
        </w:rPr>
        <w:t xml:space="preserve"> + β2X2</w:t>
      </w:r>
      <w:r w:rsidRPr="00AC1055">
        <w:rPr>
          <w:rFonts w:cs="Times New Roman"/>
          <w:szCs w:val="24"/>
          <w:vertAlign w:val="subscript"/>
        </w:rPr>
        <w:t>jt</w:t>
      </w:r>
      <w:r w:rsidRPr="00AC1055">
        <w:rPr>
          <w:rFonts w:cs="Times New Roman"/>
          <w:szCs w:val="24"/>
        </w:rPr>
        <w:t xml:space="preserve"> + ε</w:t>
      </w:r>
      <w:r w:rsidRPr="00AC1055">
        <w:rPr>
          <w:rFonts w:cs="Times New Roman"/>
          <w:szCs w:val="24"/>
          <w:vertAlign w:val="subscript"/>
        </w:rPr>
        <w:t xml:space="preserve">jt     </w:t>
      </w:r>
      <w:r w:rsidRPr="00AC1055">
        <w:rPr>
          <w:rFonts w:cs="Times New Roman"/>
          <w:szCs w:val="24"/>
        </w:rPr>
        <w:t xml:space="preserve">                                        (20)          </w:t>
      </w:r>
    </w:p>
    <w:p w14:paraId="531BF7EB" w14:textId="77777777" w:rsidR="000A5358" w:rsidRPr="00AC1055" w:rsidRDefault="000A5358" w:rsidP="000A5358">
      <w:pPr>
        <w:spacing w:line="480" w:lineRule="auto"/>
        <w:rPr>
          <w:rFonts w:cs="Times New Roman"/>
          <w:szCs w:val="24"/>
        </w:rPr>
      </w:pPr>
      <w:r w:rsidRPr="00AC1055">
        <w:rPr>
          <w:rFonts w:cs="Times New Roman"/>
          <w:szCs w:val="24"/>
        </w:rPr>
        <w:t xml:space="preserve">       </w:t>
      </w:r>
      <w:r>
        <w:rPr>
          <w:rFonts w:cs="Times New Roman"/>
          <w:szCs w:val="24"/>
        </w:rPr>
        <w:t xml:space="preserve"> </w:t>
      </w:r>
      <w:r w:rsidRPr="00AC1055">
        <w:rPr>
          <w:rFonts w:cs="Times New Roman"/>
          <w:szCs w:val="24"/>
        </w:rPr>
        <w:t xml:space="preserve">                       Y</w:t>
      </w:r>
      <w:r w:rsidRPr="00AC1055">
        <w:rPr>
          <w:rFonts w:cs="Times New Roman"/>
          <w:szCs w:val="24"/>
          <w:vertAlign w:val="subscript"/>
        </w:rPr>
        <w:t>jt</w:t>
      </w:r>
      <w:r w:rsidRPr="00AC1055">
        <w:rPr>
          <w:rFonts w:cs="Times New Roman"/>
          <w:szCs w:val="24"/>
        </w:rPr>
        <w:t xml:space="preserve"> ~ N(β0</w:t>
      </w:r>
      <w:r w:rsidRPr="00AC1055">
        <w:rPr>
          <w:rFonts w:cs="Times New Roman"/>
          <w:szCs w:val="24"/>
          <w:vertAlign w:val="subscript"/>
        </w:rPr>
        <w:t>j</w:t>
      </w:r>
      <w:r w:rsidRPr="00AC1055">
        <w:rPr>
          <w:rFonts w:cs="Times New Roman"/>
          <w:szCs w:val="24"/>
        </w:rPr>
        <w:t xml:space="preserve"> + β1X1</w:t>
      </w:r>
      <w:r w:rsidRPr="00AC1055">
        <w:rPr>
          <w:rFonts w:cs="Times New Roman"/>
          <w:szCs w:val="24"/>
          <w:vertAlign w:val="subscript"/>
        </w:rPr>
        <w:t>jt</w:t>
      </w:r>
      <w:r w:rsidRPr="00AC1055">
        <w:rPr>
          <w:rFonts w:cs="Times New Roman"/>
          <w:szCs w:val="24"/>
        </w:rPr>
        <w:t xml:space="preserve"> + β2X2</w:t>
      </w:r>
      <w:r w:rsidRPr="00AC1055">
        <w:rPr>
          <w:rFonts w:cs="Times New Roman"/>
          <w:szCs w:val="24"/>
          <w:vertAlign w:val="subscript"/>
        </w:rPr>
        <w:t>jt</w:t>
      </w:r>
      <w:r w:rsidRPr="00AC1055">
        <w:rPr>
          <w:rFonts w:cs="Times New Roman"/>
          <w:szCs w:val="24"/>
        </w:rPr>
        <w:t xml:space="preserve"> + ε</w:t>
      </w:r>
      <w:r w:rsidRPr="00AC1055">
        <w:rPr>
          <w:rFonts w:cs="Times New Roman"/>
          <w:szCs w:val="24"/>
          <w:vertAlign w:val="subscript"/>
        </w:rPr>
        <w:t>i</w:t>
      </w:r>
      <w:r w:rsidRPr="00AC1055">
        <w:rPr>
          <w:rFonts w:cs="Times New Roman"/>
          <w:szCs w:val="24"/>
        </w:rPr>
        <w:t>, σ</w:t>
      </w:r>
      <w:r w:rsidRPr="00AC1055">
        <w:rPr>
          <w:rFonts w:cs="Times New Roman"/>
          <w:szCs w:val="24"/>
          <w:vertAlign w:val="superscript"/>
        </w:rPr>
        <w:t>2</w:t>
      </w:r>
      <w:r w:rsidRPr="00AC1055">
        <w:rPr>
          <w:rFonts w:cs="Times New Roman"/>
          <w:szCs w:val="24"/>
        </w:rPr>
        <w:t>)</w:t>
      </w:r>
      <w:r w:rsidRPr="00AC1055">
        <w:rPr>
          <w:rFonts w:cs="Times New Roman"/>
          <w:szCs w:val="24"/>
          <w:vertAlign w:val="subscript"/>
        </w:rPr>
        <w:t xml:space="preserve">                   </w:t>
      </w:r>
      <w:r w:rsidRPr="00AC1055">
        <w:rPr>
          <w:rFonts w:cs="Times New Roman"/>
          <w:szCs w:val="24"/>
        </w:rPr>
        <w:t xml:space="preserve">                      (20.1)</w:t>
      </w:r>
    </w:p>
    <w:p w14:paraId="7302E6E2" w14:textId="77777777" w:rsidR="000A5358" w:rsidRPr="00AC1055" w:rsidRDefault="000A5358" w:rsidP="000A5358">
      <w:pPr>
        <w:spacing w:line="480" w:lineRule="auto"/>
        <w:rPr>
          <w:rFonts w:cs="Times New Roman"/>
          <w:szCs w:val="24"/>
        </w:rPr>
      </w:pPr>
      <w:r w:rsidRPr="00AC1055">
        <w:rPr>
          <w:rFonts w:cs="Times New Roman"/>
          <w:szCs w:val="24"/>
        </w:rPr>
        <w:t xml:space="preserve">where j is the country and t is the time period. This model can also be referred </w:t>
      </w:r>
      <w:r>
        <w:rPr>
          <w:rFonts w:cs="Times New Roman"/>
          <w:szCs w:val="24"/>
        </w:rPr>
        <w:t xml:space="preserve">to </w:t>
      </w:r>
      <w:r w:rsidRPr="00AC1055">
        <w:rPr>
          <w:rFonts w:cs="Times New Roman"/>
          <w:szCs w:val="24"/>
        </w:rPr>
        <w:t xml:space="preserve">as no pooling as separate models are fit within </w:t>
      </w:r>
      <w:r>
        <w:rPr>
          <w:rFonts w:cs="Times New Roman"/>
          <w:szCs w:val="24"/>
        </w:rPr>
        <w:t xml:space="preserve">it </w:t>
      </w:r>
      <w:r w:rsidRPr="00AC1055">
        <w:rPr>
          <w:rFonts w:cs="Times New Roman"/>
          <w:szCs w:val="24"/>
        </w:rPr>
        <w:t>for each country.</w:t>
      </w:r>
      <w:r w:rsidRPr="00AC1055">
        <w:rPr>
          <w:rFonts w:cs="Times New Roman"/>
          <w:szCs w:val="24"/>
          <w:vertAlign w:val="superscript"/>
        </w:rPr>
        <w:footnoteReference w:id="212"/>
      </w:r>
      <w:r w:rsidRPr="00AC1055">
        <w:rPr>
          <w:rFonts w:cs="Times New Roman"/>
          <w:szCs w:val="24"/>
        </w:rPr>
        <w:t xml:space="preserve"> In computation </w:t>
      </w:r>
      <w:r>
        <w:rPr>
          <w:rFonts w:cs="Times New Roman"/>
          <w:szCs w:val="24"/>
        </w:rPr>
        <w:t xml:space="preserve">terms </w:t>
      </w:r>
      <w:r w:rsidRPr="00AC1055">
        <w:rPr>
          <w:rFonts w:cs="Times New Roman"/>
          <w:szCs w:val="24"/>
        </w:rPr>
        <w:t xml:space="preserve">this model </w:t>
      </w:r>
      <w:r>
        <w:rPr>
          <w:rFonts w:cs="Times New Roman"/>
          <w:szCs w:val="24"/>
        </w:rPr>
        <w:t xml:space="preserve">is referred to </w:t>
      </w:r>
      <w:r w:rsidRPr="00AC1055">
        <w:rPr>
          <w:rFonts w:cs="Times New Roman"/>
          <w:szCs w:val="24"/>
        </w:rPr>
        <w:t xml:space="preserve">as </w:t>
      </w:r>
      <w:r>
        <w:rPr>
          <w:rFonts w:cs="Times New Roman"/>
          <w:szCs w:val="24"/>
        </w:rPr>
        <w:t xml:space="preserve">a </w:t>
      </w:r>
      <w:r w:rsidRPr="00AC1055">
        <w:rPr>
          <w:rFonts w:cs="Times New Roman"/>
          <w:szCs w:val="24"/>
        </w:rPr>
        <w:t>Bayesian Inference for Panel Data Regression Model with a Non-Hierarchical model for Unobserved Unit Level Heterogeneity. This is better than letting the slopes (the regression coefficients) vary as well, because then cross validation cannot be performed at country level.</w:t>
      </w:r>
      <w:r w:rsidRPr="00AC1055">
        <w:rPr>
          <w:rFonts w:cs="Times New Roman"/>
          <w:szCs w:val="24"/>
          <w:vertAlign w:val="superscript"/>
        </w:rPr>
        <w:footnoteReference w:id="213"/>
      </w:r>
      <w:r w:rsidRPr="00AC1055">
        <w:rPr>
          <w:rFonts w:cs="Times New Roman"/>
          <w:szCs w:val="24"/>
        </w:rPr>
        <w:t xml:space="preserve"> </w:t>
      </w:r>
      <w:r>
        <w:rPr>
          <w:rFonts w:cs="Times New Roman"/>
          <w:szCs w:val="24"/>
        </w:rPr>
        <w:t>T</w:t>
      </w:r>
      <w:r w:rsidRPr="00AC1055">
        <w:rPr>
          <w:rFonts w:cs="Times New Roman"/>
          <w:szCs w:val="24"/>
        </w:rPr>
        <w:t>he following JAGS code</w:t>
      </w:r>
      <w:r>
        <w:rPr>
          <w:rFonts w:cs="Times New Roman"/>
          <w:szCs w:val="24"/>
        </w:rPr>
        <w:t xml:space="preserve"> is used</w:t>
      </w:r>
      <w:r w:rsidRPr="00AC1055">
        <w:rPr>
          <w:rFonts w:cs="Times New Roman"/>
          <w:szCs w:val="24"/>
        </w:rPr>
        <w:t>:</w:t>
      </w:r>
    </w:p>
    <w:bookmarkStart w:id="4" w:name="_MON_1499514757"/>
    <w:bookmarkEnd w:id="4"/>
    <w:p w14:paraId="51605740" w14:textId="34D6B936" w:rsidR="000A5358" w:rsidRDefault="005F32A2" w:rsidP="000A5358">
      <w:pPr>
        <w:keepNext/>
        <w:spacing w:line="480" w:lineRule="auto"/>
      </w:pPr>
      <w:r w:rsidRPr="00AC1055">
        <w:rPr>
          <w:rFonts w:cs="Times New Roman"/>
          <w:szCs w:val="24"/>
        </w:rPr>
        <w:object w:dxaOrig="9026" w:dyaOrig="5072" w14:anchorId="0B83109B">
          <v:shape id="_x0000_i1029" type="#_x0000_t75" style="width:385.5pt;height:236.25pt" o:ole="">
            <v:imagedata r:id="rId31" o:title=""/>
          </v:shape>
          <o:OLEObject Type="Embed" ProgID="Word.OpenDocumentText.12" ShapeID="_x0000_i1029" DrawAspect="Content" ObjectID="_1523373327" r:id="rId32"/>
        </w:object>
      </w:r>
    </w:p>
    <w:p w14:paraId="78000258" w14:textId="77777777" w:rsidR="000A5358" w:rsidRPr="00AC1055" w:rsidRDefault="000A5358" w:rsidP="000A5358">
      <w:pPr>
        <w:pStyle w:val="Caption"/>
        <w:jc w:val="center"/>
        <w:rPr>
          <w:rFonts w:cs="Times New Roman"/>
          <w:szCs w:val="24"/>
        </w:rPr>
      </w:pPr>
      <w:r>
        <w:t xml:space="preserve">Code snippet </w:t>
      </w:r>
      <w:fldSimple w:instr=" SEQ Code_snippet \* ARABIC ">
        <w:r w:rsidR="005A260F">
          <w:rPr>
            <w:noProof/>
          </w:rPr>
          <w:t>5</w:t>
        </w:r>
      </w:fldSimple>
    </w:p>
    <w:p w14:paraId="3366F0D7" w14:textId="14F5C140" w:rsidR="000A5358" w:rsidRPr="00AC1055" w:rsidRDefault="000A5358" w:rsidP="000A5358">
      <w:pPr>
        <w:spacing w:line="480" w:lineRule="auto"/>
        <w:rPr>
          <w:rFonts w:cs="Times New Roman"/>
          <w:szCs w:val="24"/>
        </w:rPr>
      </w:pPr>
      <w:r w:rsidRPr="00AC1055">
        <w:rPr>
          <w:rFonts w:cs="Times New Roman"/>
          <w:szCs w:val="24"/>
        </w:rPr>
        <w:lastRenderedPageBreak/>
        <w:t xml:space="preserve">Line 1 to 9 sets out the main argument, Yxi is the financial development index for each country, it is in a 420 by 1 matrix, each cell represents one country and one year. Similarly there is a 420 by 1 matrix for Z.theta which is the corporate governance index and X2xi which is the control index. Line 7 provides the distribution of financial development which is normal over mean Rmu and standard deviation Rtau. Rmu is bounded by the regression equation as stated in equation (20). So Rmu is a function of an intercept β0 which is allowed to float across countries and a constant coefficient β1 across all countries for corporate governance and β2 for control index. So we get 21 intercepts, the convergence and density plots for </w:t>
      </w:r>
      <w:r w:rsidR="005F32A2">
        <w:rPr>
          <w:rFonts w:cs="Times New Roman"/>
          <w:szCs w:val="24"/>
        </w:rPr>
        <w:t>couple</w:t>
      </w:r>
      <w:r w:rsidR="00012336">
        <w:rPr>
          <w:rFonts w:cs="Times New Roman"/>
          <w:szCs w:val="24"/>
        </w:rPr>
        <w:t xml:space="preserve"> of </w:t>
      </w:r>
      <w:r w:rsidRPr="00AC1055">
        <w:rPr>
          <w:rFonts w:cs="Times New Roman"/>
          <w:szCs w:val="24"/>
        </w:rPr>
        <w:t>β0</w:t>
      </w:r>
      <w:r w:rsidRPr="00AC1055">
        <w:rPr>
          <w:rFonts w:cs="Times New Roman"/>
          <w:szCs w:val="24"/>
          <w:vertAlign w:val="subscript"/>
        </w:rPr>
        <w:t>1</w:t>
      </w:r>
      <w:r w:rsidRPr="00AC1055">
        <w:rPr>
          <w:rFonts w:cs="Times New Roman"/>
          <w:szCs w:val="24"/>
        </w:rPr>
        <w:t xml:space="preserve"> ,…., β0</w:t>
      </w:r>
      <w:r w:rsidRPr="00AC1055">
        <w:rPr>
          <w:rFonts w:cs="Times New Roman"/>
          <w:szCs w:val="24"/>
          <w:vertAlign w:val="subscript"/>
        </w:rPr>
        <w:t>21</w:t>
      </w:r>
      <w:r w:rsidRPr="00AC1055">
        <w:rPr>
          <w:rFonts w:cs="Times New Roman"/>
          <w:szCs w:val="24"/>
        </w:rPr>
        <w:t xml:space="preserve"> is as below:</w:t>
      </w:r>
    </w:p>
    <w:p w14:paraId="0F324026" w14:textId="2C3EA29E" w:rsidR="000A5358" w:rsidRPr="00AC1055" w:rsidRDefault="005F32A2" w:rsidP="000A5358">
      <w:pPr>
        <w:spacing w:line="480" w:lineRule="auto"/>
        <w:rPr>
          <w:rFonts w:cs="Times New Roman"/>
          <w:szCs w:val="24"/>
        </w:rPr>
      </w:pPr>
      <w:r>
        <w:rPr>
          <w:rFonts w:cs="Times New Roman"/>
          <w:noProof/>
          <w:szCs w:val="24"/>
          <w:lang w:eastAsia="en-GB"/>
        </w:rPr>
        <w:drawing>
          <wp:inline distT="0" distB="0" distL="0" distR="0" wp14:anchorId="2F7C3C95" wp14:editId="13EAA813">
            <wp:extent cx="5200650" cy="2066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0" cy="2066925"/>
                    </a:xfrm>
                    <a:prstGeom prst="rect">
                      <a:avLst/>
                    </a:prstGeom>
                    <a:noFill/>
                    <a:ln>
                      <a:noFill/>
                    </a:ln>
                  </pic:spPr>
                </pic:pic>
              </a:graphicData>
            </a:graphic>
          </wp:inline>
        </w:drawing>
      </w:r>
    </w:p>
    <w:p w14:paraId="0910526A" w14:textId="1F8C2295" w:rsidR="000A5358" w:rsidRPr="00AC1055" w:rsidRDefault="000A5358" w:rsidP="000A5358">
      <w:pPr>
        <w:spacing w:line="480" w:lineRule="auto"/>
        <w:rPr>
          <w:rFonts w:cs="Times New Roman"/>
          <w:szCs w:val="24"/>
        </w:rPr>
      </w:pPr>
    </w:p>
    <w:p w14:paraId="0E18152D" w14:textId="176905CB" w:rsidR="000A5358" w:rsidRPr="00AC1055" w:rsidRDefault="000A5358" w:rsidP="000A5358">
      <w:pPr>
        <w:spacing w:line="480" w:lineRule="auto"/>
        <w:rPr>
          <w:rFonts w:cs="Times New Roman"/>
          <w:szCs w:val="24"/>
        </w:rPr>
      </w:pPr>
      <w:r w:rsidRPr="00AC1055">
        <w:rPr>
          <w:rFonts w:cs="Times New Roman"/>
          <w:szCs w:val="24"/>
        </w:rPr>
        <w:t>Almost all of them show instability and from the density plot and bandwidth</w:t>
      </w:r>
      <w:r w:rsidRPr="00AC1055">
        <w:rPr>
          <w:rFonts w:cs="Times New Roman"/>
          <w:szCs w:val="24"/>
          <w:vertAlign w:val="superscript"/>
        </w:rPr>
        <w:footnoteReference w:id="214"/>
      </w:r>
      <w:r w:rsidRPr="00AC1055">
        <w:rPr>
          <w:rFonts w:cs="Times New Roman"/>
          <w:szCs w:val="24"/>
        </w:rPr>
        <w:t xml:space="preserve"> we find that coefficient for corporate governance index and control index have </w:t>
      </w:r>
      <w:r w:rsidR="005F32A2">
        <w:rPr>
          <w:rFonts w:cs="Times New Roman"/>
          <w:szCs w:val="24"/>
        </w:rPr>
        <w:t xml:space="preserve">also </w:t>
      </w:r>
      <w:r w:rsidRPr="00AC1055">
        <w:rPr>
          <w:rFonts w:cs="Times New Roman"/>
          <w:szCs w:val="24"/>
        </w:rPr>
        <w:t>become less stable.</w:t>
      </w:r>
      <w:r w:rsidR="005F32A2">
        <w:rPr>
          <w:rStyle w:val="FootnoteReference"/>
          <w:rFonts w:cs="Times New Roman"/>
          <w:szCs w:val="24"/>
        </w:rPr>
        <w:footnoteReference w:id="215"/>
      </w:r>
    </w:p>
    <w:p w14:paraId="45B8B4F2" w14:textId="61130A06" w:rsidR="000A5358" w:rsidRPr="00012336" w:rsidRDefault="000A5358" w:rsidP="000A5358">
      <w:pPr>
        <w:spacing w:line="480" w:lineRule="auto"/>
        <w:rPr>
          <w:rFonts w:cs="Times New Roman"/>
          <w:szCs w:val="24"/>
        </w:rPr>
      </w:pPr>
      <w:r w:rsidRPr="00AC1055">
        <w:rPr>
          <w:rFonts w:cs="Times New Roman"/>
          <w:noProof/>
          <w:szCs w:val="24"/>
          <w:lang w:eastAsia="en-GB"/>
        </w:rPr>
        <w:lastRenderedPageBreak/>
        <w:drawing>
          <wp:inline distT="0" distB="0" distL="0" distR="0" wp14:anchorId="6087F799" wp14:editId="2D2130DF">
            <wp:extent cx="5259584" cy="25908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9584" cy="2590800"/>
                    </a:xfrm>
                    <a:prstGeom prst="rect">
                      <a:avLst/>
                    </a:prstGeom>
                    <a:noFill/>
                    <a:ln>
                      <a:noFill/>
                    </a:ln>
                  </pic:spPr>
                </pic:pic>
              </a:graphicData>
            </a:graphic>
          </wp:inline>
        </w:drawing>
      </w:r>
    </w:p>
    <w:p w14:paraId="5A0291B6" w14:textId="77777777" w:rsidR="000A5358" w:rsidRPr="00AC1055" w:rsidRDefault="000A5358" w:rsidP="000A5358">
      <w:pPr>
        <w:spacing w:line="480" w:lineRule="auto"/>
        <w:rPr>
          <w:rFonts w:cs="Times New Roman"/>
          <w:szCs w:val="24"/>
          <w:u w:val="single"/>
        </w:rPr>
      </w:pPr>
      <w:r>
        <w:rPr>
          <w:rFonts w:cs="Times New Roman"/>
          <w:szCs w:val="24"/>
          <w:u w:val="single"/>
        </w:rPr>
        <w:t xml:space="preserve">3.4.2 </w:t>
      </w:r>
      <w:r w:rsidRPr="00AC1055">
        <w:rPr>
          <w:rFonts w:cs="Times New Roman"/>
          <w:szCs w:val="24"/>
          <w:u w:val="single"/>
        </w:rPr>
        <w:t>Random unpooled</w:t>
      </w:r>
    </w:p>
    <w:p w14:paraId="2F9CDF3D" w14:textId="77777777" w:rsidR="000A5358" w:rsidRPr="00AC1055" w:rsidRDefault="000A5358" w:rsidP="000A5358">
      <w:pPr>
        <w:spacing w:line="480" w:lineRule="auto"/>
        <w:rPr>
          <w:rFonts w:cs="Times New Roman"/>
          <w:szCs w:val="24"/>
        </w:rPr>
      </w:pPr>
      <w:r w:rsidRPr="00AC1055">
        <w:rPr>
          <w:rFonts w:cs="Times New Roman"/>
          <w:szCs w:val="24"/>
        </w:rPr>
        <w:t>The relative instability of β0 shows that the model is a random effects model, so the next step will be to introduce unit specific heterogeneity and reduce standard deviation of the priors. As we see from the previous JAGS code lines 10-14, there is a fixed normal prior, we would let this prior to vary.</w:t>
      </w:r>
      <w:r w:rsidRPr="00AC1055">
        <w:rPr>
          <w:rFonts w:cs="Times New Roman"/>
          <w:szCs w:val="24"/>
          <w:vertAlign w:val="superscript"/>
        </w:rPr>
        <w:footnoteReference w:id="216"/>
      </w:r>
      <w:r w:rsidRPr="00AC1055">
        <w:rPr>
          <w:rFonts w:cs="Times New Roman"/>
          <w:szCs w:val="24"/>
        </w:rPr>
        <w:t xml:space="preserve"> </w:t>
      </w:r>
    </w:p>
    <w:bookmarkStart w:id="5" w:name="_MON_1499763702"/>
    <w:bookmarkEnd w:id="5"/>
    <w:p w14:paraId="302D051F" w14:textId="503F9CA9" w:rsidR="000A5358" w:rsidRDefault="005F32A2" w:rsidP="000A5358">
      <w:pPr>
        <w:keepNext/>
        <w:spacing w:line="480" w:lineRule="auto"/>
      </w:pPr>
      <w:r w:rsidRPr="00AC1055">
        <w:rPr>
          <w:rFonts w:cs="Times New Roman"/>
          <w:szCs w:val="24"/>
        </w:rPr>
        <w:object w:dxaOrig="9026" w:dyaOrig="5410" w14:anchorId="3E20B817">
          <v:shape id="_x0000_i1030" type="#_x0000_t75" style="width:406.5pt;height:231.75pt" o:ole="">
            <v:imagedata r:id="rId35" o:title=""/>
          </v:shape>
          <o:OLEObject Type="Embed" ProgID="Word.OpenDocumentText.12" ShapeID="_x0000_i1030" DrawAspect="Content" ObjectID="_1523373328" r:id="rId36"/>
        </w:object>
      </w:r>
    </w:p>
    <w:p w14:paraId="4A2A478F" w14:textId="64426392" w:rsidR="000A5358" w:rsidRPr="00AC1055" w:rsidRDefault="00BD6CDD" w:rsidP="00BD6CDD">
      <w:pPr>
        <w:pStyle w:val="Caption"/>
        <w:tabs>
          <w:tab w:val="center" w:pos="4099"/>
          <w:tab w:val="left" w:pos="7395"/>
        </w:tabs>
        <w:jc w:val="left"/>
        <w:rPr>
          <w:rFonts w:cs="Times New Roman"/>
          <w:szCs w:val="24"/>
        </w:rPr>
      </w:pPr>
      <w:r>
        <w:tab/>
      </w:r>
      <w:r w:rsidR="000A5358">
        <w:t xml:space="preserve">Code snippet </w:t>
      </w:r>
      <w:fldSimple w:instr=" SEQ Code_snippet \* ARABIC ">
        <w:r w:rsidR="005A260F">
          <w:rPr>
            <w:noProof/>
          </w:rPr>
          <w:t>6</w:t>
        </w:r>
      </w:fldSimple>
      <w:r>
        <w:rPr>
          <w:noProof/>
        </w:rPr>
        <w:tab/>
      </w:r>
    </w:p>
    <w:p w14:paraId="530815DC" w14:textId="77777777" w:rsidR="000A5358" w:rsidRPr="00AC1055" w:rsidRDefault="000A5358" w:rsidP="000A5358">
      <w:pPr>
        <w:spacing w:line="480" w:lineRule="auto"/>
        <w:rPr>
          <w:rFonts w:cs="Times New Roman"/>
          <w:szCs w:val="24"/>
        </w:rPr>
      </w:pPr>
      <w:r w:rsidRPr="00AC1055">
        <w:rPr>
          <w:rFonts w:cs="Times New Roman"/>
          <w:szCs w:val="24"/>
        </w:rPr>
        <w:lastRenderedPageBreak/>
        <w:t>The new model lets the standard deviation float to account for unobserved unit level heterogeneity. We find that there is comparatively more convergence for β0</w:t>
      </w:r>
      <w:r w:rsidRPr="00AC1055">
        <w:rPr>
          <w:rFonts w:cs="Times New Roman"/>
          <w:szCs w:val="24"/>
          <w:vertAlign w:val="subscript"/>
        </w:rPr>
        <w:t>1</w:t>
      </w:r>
      <w:r w:rsidRPr="00AC1055">
        <w:rPr>
          <w:rFonts w:cs="Times New Roman"/>
          <w:szCs w:val="24"/>
        </w:rPr>
        <w:t xml:space="preserve"> ,…., β0</w:t>
      </w:r>
      <w:r w:rsidRPr="00AC1055">
        <w:rPr>
          <w:rFonts w:cs="Times New Roman"/>
          <w:szCs w:val="24"/>
          <w:vertAlign w:val="subscript"/>
        </w:rPr>
        <w:t>21</w:t>
      </w:r>
      <w:r w:rsidRPr="00AC1055">
        <w:rPr>
          <w:rFonts w:cs="Times New Roman"/>
          <w:szCs w:val="24"/>
        </w:rPr>
        <w:t>, as depicted below:</w:t>
      </w:r>
    </w:p>
    <w:p w14:paraId="5B13D32C" w14:textId="6B8793CA" w:rsidR="000A5358" w:rsidRPr="00AC1055" w:rsidRDefault="005F32A2" w:rsidP="005F32A2">
      <w:pPr>
        <w:spacing w:line="480" w:lineRule="auto"/>
        <w:rPr>
          <w:rFonts w:cs="Times New Roman"/>
          <w:szCs w:val="24"/>
        </w:rPr>
      </w:pPr>
      <w:r>
        <w:rPr>
          <w:rFonts w:cs="Times New Roman"/>
          <w:noProof/>
          <w:szCs w:val="24"/>
          <w:lang w:eastAsia="en-GB"/>
        </w:rPr>
        <w:drawing>
          <wp:inline distT="0" distB="0" distL="0" distR="0" wp14:anchorId="030C8364" wp14:editId="5B4F8E35">
            <wp:extent cx="5200650" cy="2505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0650" cy="2505075"/>
                    </a:xfrm>
                    <a:prstGeom prst="rect">
                      <a:avLst/>
                    </a:prstGeom>
                    <a:noFill/>
                    <a:ln>
                      <a:noFill/>
                    </a:ln>
                  </pic:spPr>
                </pic:pic>
              </a:graphicData>
            </a:graphic>
          </wp:inline>
        </w:drawing>
      </w:r>
    </w:p>
    <w:p w14:paraId="229930CD" w14:textId="499810B2" w:rsidR="000A5358" w:rsidRPr="00AC1055" w:rsidRDefault="000A5358" w:rsidP="000A5358">
      <w:pPr>
        <w:spacing w:line="480" w:lineRule="auto"/>
        <w:rPr>
          <w:rFonts w:cs="Times New Roman"/>
          <w:szCs w:val="24"/>
        </w:rPr>
      </w:pPr>
      <w:r w:rsidRPr="00AC1055">
        <w:rPr>
          <w:rFonts w:cs="Times New Roman"/>
          <w:szCs w:val="24"/>
        </w:rPr>
        <w:t>and the coefficient for corporate governance and control index becomes relatively stable with some strong variations in the tail.</w:t>
      </w:r>
      <w:r w:rsidR="005F32A2">
        <w:rPr>
          <w:rStyle w:val="FootnoteReference"/>
          <w:rFonts w:cs="Times New Roman"/>
          <w:szCs w:val="24"/>
        </w:rPr>
        <w:footnoteReference w:id="217"/>
      </w:r>
    </w:p>
    <w:p w14:paraId="69F1FEF0" w14:textId="77777777" w:rsidR="000A5358" w:rsidRPr="00AC1055" w:rsidRDefault="000A5358" w:rsidP="000A5358">
      <w:pPr>
        <w:spacing w:line="480" w:lineRule="auto"/>
        <w:rPr>
          <w:rFonts w:cs="Times New Roman"/>
          <w:szCs w:val="24"/>
        </w:rPr>
      </w:pPr>
      <w:r w:rsidRPr="00AC1055">
        <w:rPr>
          <w:rFonts w:cs="Times New Roman"/>
          <w:noProof/>
          <w:szCs w:val="24"/>
          <w:lang w:eastAsia="en-GB"/>
        </w:rPr>
        <w:drawing>
          <wp:inline distT="0" distB="0" distL="0" distR="0" wp14:anchorId="0B08125F" wp14:editId="16A2E786">
            <wp:extent cx="5248275" cy="2628461"/>
            <wp:effectExtent l="0" t="0" r="0" b="63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275" cy="2628461"/>
                    </a:xfrm>
                    <a:prstGeom prst="rect">
                      <a:avLst/>
                    </a:prstGeom>
                    <a:noFill/>
                    <a:ln>
                      <a:noFill/>
                    </a:ln>
                  </pic:spPr>
                </pic:pic>
              </a:graphicData>
            </a:graphic>
          </wp:inline>
        </w:drawing>
      </w:r>
    </w:p>
    <w:p w14:paraId="17DCD09C" w14:textId="77777777" w:rsidR="000A5358" w:rsidRPr="00AC1055" w:rsidRDefault="000A5358" w:rsidP="000A5358">
      <w:pPr>
        <w:spacing w:line="480" w:lineRule="auto"/>
        <w:rPr>
          <w:rFonts w:cs="Times New Roman"/>
          <w:szCs w:val="24"/>
          <w:u w:val="single"/>
        </w:rPr>
      </w:pPr>
      <w:r>
        <w:rPr>
          <w:rFonts w:cs="Times New Roman"/>
          <w:szCs w:val="24"/>
          <w:u w:val="single"/>
        </w:rPr>
        <w:t xml:space="preserve">3.4.3 </w:t>
      </w:r>
      <w:r w:rsidRPr="00AC1055">
        <w:rPr>
          <w:rFonts w:cs="Times New Roman"/>
          <w:szCs w:val="24"/>
          <w:u w:val="single"/>
        </w:rPr>
        <w:t>Multilevel hierarchical</w:t>
      </w:r>
    </w:p>
    <w:p w14:paraId="0D3BAE0B" w14:textId="77777777" w:rsidR="000A5358" w:rsidRPr="00AC1055" w:rsidRDefault="000A5358" w:rsidP="000A5358">
      <w:pPr>
        <w:spacing w:line="480" w:lineRule="auto"/>
        <w:rPr>
          <w:rFonts w:cs="Times New Roman"/>
          <w:szCs w:val="24"/>
        </w:rPr>
      </w:pPr>
      <w:r w:rsidRPr="00AC1055">
        <w:rPr>
          <w:rFonts w:cs="Times New Roman"/>
          <w:szCs w:val="24"/>
        </w:rPr>
        <w:t xml:space="preserve">This proves that the next step to further converge the model would be to pick up variables from the control data set which do not vary much over the entire dataset </w:t>
      </w:r>
      <w:r w:rsidRPr="00AC1055">
        <w:rPr>
          <w:rFonts w:cs="Times New Roman"/>
          <w:szCs w:val="24"/>
        </w:rPr>
        <w:lastRenderedPageBreak/>
        <w:t>and is not uniformly available. Also ‘the multilevel model gives more accurate predictions than the no-pooling and complete-pooling regressions, especially when predicting group averages.’</w:t>
      </w:r>
      <w:r w:rsidRPr="00AC1055">
        <w:rPr>
          <w:rFonts w:cs="Times New Roman"/>
          <w:szCs w:val="24"/>
          <w:vertAlign w:val="superscript"/>
        </w:rPr>
        <w:footnoteReference w:id="218"/>
      </w:r>
      <w:r w:rsidRPr="00AC1055">
        <w:rPr>
          <w:rFonts w:cs="Times New Roman"/>
          <w:szCs w:val="24"/>
        </w:rPr>
        <w:t xml:space="preserve"> We take out GINI coefficient, HDI indicator, rule of law and peace coefficient from the Bayesian factor analysis to act as a country level indicator with its own prior distribution. </w:t>
      </w:r>
    </w:p>
    <w:p w14:paraId="45908668" w14:textId="77777777" w:rsidR="000A5358" w:rsidRPr="00AC1055" w:rsidRDefault="000A5358" w:rsidP="000A5358">
      <w:pPr>
        <w:spacing w:line="480" w:lineRule="auto"/>
        <w:rPr>
          <w:rFonts w:cs="Times New Roman"/>
          <w:szCs w:val="24"/>
        </w:rPr>
      </w:pPr>
      <w:r w:rsidRPr="00AC1055">
        <w:rPr>
          <w:rFonts w:cs="Times New Roman"/>
          <w:szCs w:val="24"/>
        </w:rPr>
        <w:t xml:space="preserve">So algebraically we can represent the new relationship drawing from equation (21.1) as:                                              </w:t>
      </w:r>
    </w:p>
    <w:p w14:paraId="54811647" w14:textId="77777777" w:rsidR="000A5358" w:rsidRPr="00AC1055" w:rsidRDefault="000A5358" w:rsidP="000A5358">
      <w:pPr>
        <w:spacing w:line="480" w:lineRule="auto"/>
        <w:rPr>
          <w:rFonts w:cs="Times New Roman"/>
          <w:szCs w:val="24"/>
        </w:rPr>
      </w:pPr>
      <w:r>
        <w:rPr>
          <w:rFonts w:cs="Times New Roman"/>
          <w:szCs w:val="24"/>
        </w:rPr>
        <w:t xml:space="preserve">                         </w:t>
      </w:r>
      <w:r w:rsidRPr="00AC1055">
        <w:rPr>
          <w:rFonts w:cs="Times New Roman"/>
          <w:szCs w:val="24"/>
        </w:rPr>
        <w:t xml:space="preserve"> Y</w:t>
      </w:r>
      <w:r w:rsidRPr="00AC1055">
        <w:rPr>
          <w:rFonts w:cs="Times New Roman"/>
          <w:szCs w:val="24"/>
          <w:vertAlign w:val="subscript"/>
        </w:rPr>
        <w:t>jt</w:t>
      </w:r>
      <w:r w:rsidRPr="00AC1055">
        <w:rPr>
          <w:rFonts w:cs="Times New Roman"/>
          <w:szCs w:val="24"/>
        </w:rPr>
        <w:t xml:space="preserve"> ~ N(β0</w:t>
      </w:r>
      <w:r w:rsidRPr="00AC1055">
        <w:rPr>
          <w:rFonts w:cs="Times New Roman"/>
          <w:szCs w:val="24"/>
          <w:vertAlign w:val="subscript"/>
        </w:rPr>
        <w:t>j</w:t>
      </w:r>
      <w:r w:rsidRPr="00AC1055">
        <w:rPr>
          <w:rFonts w:cs="Times New Roman"/>
          <w:szCs w:val="24"/>
        </w:rPr>
        <w:t xml:space="preserve"> + β1X1</w:t>
      </w:r>
      <w:r w:rsidRPr="00AC1055">
        <w:rPr>
          <w:rFonts w:cs="Times New Roman"/>
          <w:szCs w:val="24"/>
          <w:vertAlign w:val="subscript"/>
        </w:rPr>
        <w:t>jt</w:t>
      </w:r>
      <w:r w:rsidRPr="00AC1055">
        <w:rPr>
          <w:rFonts w:cs="Times New Roman"/>
          <w:szCs w:val="24"/>
        </w:rPr>
        <w:t xml:space="preserve"> + β2X2</w:t>
      </w:r>
      <w:r w:rsidRPr="00AC1055">
        <w:rPr>
          <w:rFonts w:cs="Times New Roman"/>
          <w:szCs w:val="24"/>
          <w:vertAlign w:val="subscript"/>
        </w:rPr>
        <w:t>jt</w:t>
      </w:r>
      <w:r w:rsidRPr="00AC1055">
        <w:rPr>
          <w:rFonts w:cs="Times New Roman"/>
          <w:szCs w:val="24"/>
        </w:rPr>
        <w:t xml:space="preserve"> + ε</w:t>
      </w:r>
      <w:r w:rsidRPr="00AC1055">
        <w:rPr>
          <w:rFonts w:cs="Times New Roman"/>
          <w:szCs w:val="24"/>
          <w:vertAlign w:val="subscript"/>
        </w:rPr>
        <w:t>i</w:t>
      </w:r>
      <w:r w:rsidRPr="00AC1055">
        <w:rPr>
          <w:rFonts w:cs="Times New Roman"/>
          <w:szCs w:val="24"/>
        </w:rPr>
        <w:t>, σ</w:t>
      </w:r>
      <w:r w:rsidRPr="00AC1055">
        <w:rPr>
          <w:rFonts w:cs="Times New Roman"/>
          <w:szCs w:val="24"/>
          <w:vertAlign w:val="superscript"/>
        </w:rPr>
        <w:t>2</w:t>
      </w:r>
      <w:r w:rsidRPr="00AC1055">
        <w:rPr>
          <w:rFonts w:cs="Times New Roman"/>
          <w:szCs w:val="24"/>
          <w:vertAlign w:val="subscript"/>
        </w:rPr>
        <w:t>j</w:t>
      </w:r>
      <w:r w:rsidRPr="00AC1055">
        <w:rPr>
          <w:rFonts w:cs="Times New Roman"/>
          <w:szCs w:val="24"/>
        </w:rPr>
        <w:t>)</w:t>
      </w:r>
      <w:r w:rsidRPr="00AC1055">
        <w:rPr>
          <w:rFonts w:cs="Times New Roman"/>
          <w:szCs w:val="24"/>
          <w:vertAlign w:val="subscript"/>
        </w:rPr>
        <w:t xml:space="preserve">      </w:t>
      </w:r>
      <w:r w:rsidRPr="00AC1055">
        <w:rPr>
          <w:rFonts w:cs="Times New Roman"/>
          <w:szCs w:val="24"/>
        </w:rPr>
        <w:t xml:space="preserve">                                      (21)</w:t>
      </w:r>
    </w:p>
    <w:p w14:paraId="77407B1B" w14:textId="77777777" w:rsidR="000A5358" w:rsidRPr="00AC1055" w:rsidRDefault="000A5358" w:rsidP="000A5358">
      <w:pPr>
        <w:spacing w:line="480" w:lineRule="auto"/>
        <w:rPr>
          <w:rFonts w:cs="Times New Roman"/>
          <w:szCs w:val="24"/>
        </w:rPr>
      </w:pPr>
      <w:r w:rsidRPr="00AC1055">
        <w:rPr>
          <w:rFonts w:cs="Times New Roman"/>
          <w:szCs w:val="24"/>
        </w:rPr>
        <w:t>this gives us the first level model, then we have a second level regression fit for each country,</w:t>
      </w:r>
    </w:p>
    <w:p w14:paraId="7FBFA86D" w14:textId="77777777" w:rsidR="000A5358" w:rsidRPr="00AC1055" w:rsidRDefault="000A5358" w:rsidP="000A5358">
      <w:pPr>
        <w:spacing w:line="480" w:lineRule="auto"/>
        <w:rPr>
          <w:rFonts w:cs="Times New Roman"/>
          <w:szCs w:val="24"/>
        </w:rPr>
      </w:pPr>
      <w:r w:rsidRPr="00AC1055">
        <w:rPr>
          <w:rFonts w:cs="Times New Roman"/>
          <w:szCs w:val="24"/>
        </w:rPr>
        <w:t xml:space="preserve">            </w:t>
      </w:r>
      <w:r>
        <w:rPr>
          <w:rFonts w:cs="Times New Roman"/>
          <w:szCs w:val="24"/>
        </w:rPr>
        <w:t xml:space="preserve">    </w:t>
      </w:r>
      <w:r w:rsidRPr="00AC1055">
        <w:rPr>
          <w:rFonts w:cs="Times New Roman"/>
          <w:szCs w:val="24"/>
        </w:rPr>
        <w:t xml:space="preserve">          β0</w:t>
      </w:r>
      <w:r w:rsidRPr="00AC1055">
        <w:rPr>
          <w:rFonts w:cs="Times New Roman"/>
          <w:szCs w:val="24"/>
          <w:vertAlign w:val="subscript"/>
        </w:rPr>
        <w:t>j</w:t>
      </w:r>
      <w:r w:rsidRPr="00AC1055">
        <w:rPr>
          <w:rFonts w:cs="Times New Roman"/>
          <w:szCs w:val="24"/>
        </w:rPr>
        <w:t xml:space="preserve"> ~ N(γ</w:t>
      </w:r>
      <w:r w:rsidRPr="00AC1055">
        <w:rPr>
          <w:rFonts w:cs="Times New Roman"/>
          <w:szCs w:val="24"/>
          <w:vertAlign w:val="subscript"/>
        </w:rPr>
        <w:t>0</w:t>
      </w:r>
      <w:r w:rsidRPr="00AC1055">
        <w:rPr>
          <w:rFonts w:cs="Times New Roman"/>
          <w:szCs w:val="24"/>
        </w:rPr>
        <w:t xml:space="preserve"> + γ</w:t>
      </w:r>
      <w:r w:rsidRPr="00AC1055">
        <w:rPr>
          <w:rFonts w:cs="Times New Roman"/>
          <w:szCs w:val="24"/>
          <w:vertAlign w:val="subscript"/>
        </w:rPr>
        <w:t>g</w:t>
      </w:r>
      <w:r w:rsidRPr="00AC1055">
        <w:rPr>
          <w:rFonts w:cs="Times New Roman"/>
          <w:szCs w:val="24"/>
        </w:rPr>
        <w:t>X3j, σ</w:t>
      </w:r>
      <w:r w:rsidRPr="00AC1055">
        <w:rPr>
          <w:rFonts w:cs="Times New Roman"/>
          <w:szCs w:val="24"/>
          <w:vertAlign w:val="superscript"/>
        </w:rPr>
        <w:t>2</w:t>
      </w:r>
      <w:r w:rsidRPr="00AC1055">
        <w:rPr>
          <w:rFonts w:cs="Times New Roman"/>
          <w:szCs w:val="24"/>
          <w:vertAlign w:val="subscript"/>
        </w:rPr>
        <w:t>β</w:t>
      </w:r>
      <w:r w:rsidRPr="00AC1055">
        <w:rPr>
          <w:rFonts w:cs="Times New Roman"/>
          <w:szCs w:val="24"/>
        </w:rPr>
        <w:t xml:space="preserve">)                            </w:t>
      </w:r>
      <w:r w:rsidRPr="00AC1055">
        <w:rPr>
          <w:rFonts w:cs="Times New Roman"/>
          <w:szCs w:val="24"/>
          <w:vertAlign w:val="subscript"/>
        </w:rPr>
        <w:t xml:space="preserve">                  </w:t>
      </w:r>
      <w:r w:rsidRPr="00AC1055">
        <w:rPr>
          <w:rFonts w:cs="Times New Roman"/>
          <w:szCs w:val="24"/>
        </w:rPr>
        <w:t xml:space="preserve">                       (21.1)</w:t>
      </w:r>
    </w:p>
    <w:p w14:paraId="76AD53E8" w14:textId="77777777" w:rsidR="000A5358" w:rsidRPr="00AC1055" w:rsidRDefault="000A5358" w:rsidP="000A5358">
      <w:pPr>
        <w:spacing w:line="480" w:lineRule="auto"/>
        <w:rPr>
          <w:rFonts w:cs="Times New Roman"/>
          <w:szCs w:val="24"/>
        </w:rPr>
      </w:pPr>
      <w:r w:rsidRPr="00AC1055">
        <w:rPr>
          <w:rFonts w:cs="Times New Roman"/>
          <w:szCs w:val="24"/>
        </w:rPr>
        <w:t>where j represents the country and t represents the year, X3 is the country level indicators, g represents the number of country level indicator, in our research it is 4, and γ represents the country level indicator coefficient γ</w:t>
      </w:r>
      <w:r w:rsidRPr="00AC1055">
        <w:rPr>
          <w:rFonts w:cs="Times New Roman"/>
          <w:szCs w:val="24"/>
          <w:vertAlign w:val="subscript"/>
        </w:rPr>
        <w:t>0</w:t>
      </w:r>
      <w:r w:rsidRPr="00AC1055">
        <w:rPr>
          <w:rFonts w:cs="Times New Roman"/>
          <w:szCs w:val="24"/>
        </w:rPr>
        <w:t>,…, γ</w:t>
      </w:r>
      <w:r w:rsidRPr="00AC1055">
        <w:rPr>
          <w:rFonts w:cs="Times New Roman"/>
          <w:szCs w:val="24"/>
          <w:vertAlign w:val="subscript"/>
        </w:rPr>
        <w:t>4</w:t>
      </w:r>
      <w:r w:rsidRPr="00AC1055">
        <w:rPr>
          <w:rFonts w:cs="Times New Roman"/>
          <w:szCs w:val="24"/>
        </w:rPr>
        <w:t>. We assume that the errors in the second level regression is distributed normally over mean 0 and standard deviation σ</w:t>
      </w:r>
      <w:r w:rsidRPr="00AC1055">
        <w:rPr>
          <w:rFonts w:cs="Times New Roman"/>
          <w:szCs w:val="24"/>
          <w:vertAlign w:val="subscript"/>
        </w:rPr>
        <w:t>β</w:t>
      </w:r>
      <w:r w:rsidRPr="00AC1055">
        <w:rPr>
          <w:rFonts w:cs="Times New Roman"/>
          <w:szCs w:val="24"/>
        </w:rPr>
        <w:t>.</w:t>
      </w:r>
    </w:p>
    <w:p w14:paraId="7278E44A" w14:textId="77777777" w:rsidR="000A5358" w:rsidRPr="00AC1055" w:rsidRDefault="000A5358" w:rsidP="000A5358">
      <w:pPr>
        <w:spacing w:line="480" w:lineRule="auto"/>
        <w:rPr>
          <w:rFonts w:cs="Times New Roman"/>
          <w:szCs w:val="24"/>
        </w:rPr>
      </w:pPr>
      <w:r w:rsidRPr="00AC1055">
        <w:rPr>
          <w:rFonts w:cs="Times New Roman"/>
          <w:szCs w:val="24"/>
        </w:rPr>
        <w:t>The JAGS code for implementing equations (21) and (21.1) is as below:</w:t>
      </w:r>
    </w:p>
    <w:bookmarkStart w:id="6" w:name="_MON_1499772632"/>
    <w:bookmarkEnd w:id="6"/>
    <w:p w14:paraId="22DAD236" w14:textId="2BAD8A91" w:rsidR="000A5358" w:rsidRDefault="00012336" w:rsidP="000A5358">
      <w:pPr>
        <w:keepNext/>
        <w:spacing w:line="480" w:lineRule="auto"/>
      </w:pPr>
      <w:r w:rsidRPr="00AC1055">
        <w:rPr>
          <w:rFonts w:cs="Times New Roman"/>
          <w:szCs w:val="24"/>
        </w:rPr>
        <w:object w:dxaOrig="9026" w:dyaOrig="7470" w14:anchorId="08432386">
          <v:shape id="_x0000_i1031" type="#_x0000_t75" style="width:411.75pt;height:375pt" o:ole="">
            <v:imagedata r:id="rId39" o:title=""/>
          </v:shape>
          <o:OLEObject Type="Embed" ProgID="Word.OpenDocumentText.12" ShapeID="_x0000_i1031" DrawAspect="Content" ObjectID="_1523373329" r:id="rId40"/>
        </w:object>
      </w:r>
    </w:p>
    <w:p w14:paraId="3FBF27AD" w14:textId="77777777" w:rsidR="000A5358" w:rsidRPr="00AC1055" w:rsidRDefault="000A5358" w:rsidP="000A5358">
      <w:pPr>
        <w:pStyle w:val="Caption"/>
        <w:jc w:val="center"/>
        <w:rPr>
          <w:rFonts w:cs="Times New Roman"/>
          <w:szCs w:val="24"/>
        </w:rPr>
      </w:pPr>
      <w:r>
        <w:t xml:space="preserve">Code snippet </w:t>
      </w:r>
      <w:fldSimple w:instr=" SEQ Code_snippet \* ARABIC ">
        <w:r w:rsidR="005A260F">
          <w:rPr>
            <w:noProof/>
          </w:rPr>
          <w:t>7</w:t>
        </w:r>
      </w:fldSimple>
    </w:p>
    <w:p w14:paraId="2361EB52" w14:textId="77777777" w:rsidR="000A5358" w:rsidRPr="00AC1055" w:rsidRDefault="000A5358" w:rsidP="000A5358">
      <w:pPr>
        <w:spacing w:line="480" w:lineRule="auto"/>
        <w:rPr>
          <w:rFonts w:cs="Times New Roman"/>
          <w:szCs w:val="24"/>
        </w:rPr>
      </w:pPr>
      <w:r w:rsidRPr="00AC1055">
        <w:rPr>
          <w:rFonts w:cs="Times New Roman"/>
          <w:szCs w:val="24"/>
        </w:rPr>
        <w:t>We can try two different priors strategy – one favoured by Gelman and Hill giving a uniform distribution</w:t>
      </w:r>
      <w:r w:rsidRPr="00AC1055">
        <w:rPr>
          <w:rFonts w:cs="Times New Roman"/>
          <w:szCs w:val="24"/>
          <w:vertAlign w:val="superscript"/>
        </w:rPr>
        <w:footnoteReference w:id="219"/>
      </w:r>
    </w:p>
    <w:bookmarkStart w:id="7" w:name="_MON_1499776763"/>
    <w:bookmarkEnd w:id="7"/>
    <w:p w14:paraId="7E8D6999" w14:textId="767012C8" w:rsidR="000A5358" w:rsidRDefault="00012336" w:rsidP="000A5358">
      <w:pPr>
        <w:keepNext/>
        <w:spacing w:line="480" w:lineRule="auto"/>
      </w:pPr>
      <w:r w:rsidRPr="00AC1055">
        <w:rPr>
          <w:rFonts w:cs="Times New Roman"/>
          <w:szCs w:val="24"/>
        </w:rPr>
        <w:object w:dxaOrig="9026" w:dyaOrig="1288" w14:anchorId="12B68501">
          <v:shape id="_x0000_i1032" type="#_x0000_t75" style="width:416.25pt;height:66.75pt" o:ole="">
            <v:imagedata r:id="rId41" o:title=""/>
          </v:shape>
          <o:OLEObject Type="Embed" ProgID="Word.OpenDocumentText.12" ShapeID="_x0000_i1032" DrawAspect="Content" ObjectID="_1523373330" r:id="rId42"/>
        </w:object>
      </w:r>
    </w:p>
    <w:p w14:paraId="1219175C" w14:textId="77777777" w:rsidR="000A5358" w:rsidRPr="00AC1055" w:rsidRDefault="000A5358" w:rsidP="000A5358">
      <w:pPr>
        <w:pStyle w:val="Caption"/>
        <w:jc w:val="center"/>
        <w:rPr>
          <w:rFonts w:cs="Times New Roman"/>
          <w:szCs w:val="24"/>
        </w:rPr>
      </w:pPr>
      <w:r>
        <w:t xml:space="preserve">Code snippet </w:t>
      </w:r>
      <w:fldSimple w:instr=" SEQ Code_snippet \* ARABIC ">
        <w:r w:rsidR="005A260F">
          <w:rPr>
            <w:noProof/>
          </w:rPr>
          <w:t>8</w:t>
        </w:r>
      </w:fldSimple>
    </w:p>
    <w:p w14:paraId="67A1D2CD" w14:textId="77777777" w:rsidR="000A5358" w:rsidRPr="00AC1055" w:rsidRDefault="000A5358" w:rsidP="000A5358">
      <w:pPr>
        <w:spacing w:line="480" w:lineRule="auto"/>
        <w:rPr>
          <w:rFonts w:cs="Times New Roman"/>
          <w:szCs w:val="24"/>
        </w:rPr>
      </w:pPr>
      <w:r w:rsidRPr="00AC1055">
        <w:rPr>
          <w:rFonts w:cs="Times New Roman"/>
          <w:szCs w:val="24"/>
        </w:rPr>
        <w:t>and the other by Simon Jackmann favouring a Gamma distribution computed via the Poisson density</w:t>
      </w:r>
      <w:r w:rsidRPr="00AC1055">
        <w:rPr>
          <w:rFonts w:cs="Times New Roman"/>
          <w:szCs w:val="24"/>
          <w:vertAlign w:val="superscript"/>
        </w:rPr>
        <w:footnoteReference w:id="220"/>
      </w:r>
    </w:p>
    <w:bookmarkStart w:id="8" w:name="_MON_1499776650"/>
    <w:bookmarkEnd w:id="8"/>
    <w:p w14:paraId="4620ED05" w14:textId="014721AD" w:rsidR="000A5358" w:rsidRDefault="00012336" w:rsidP="000A5358">
      <w:pPr>
        <w:keepNext/>
        <w:spacing w:line="480" w:lineRule="auto"/>
      </w:pPr>
      <w:r w:rsidRPr="00AC1055">
        <w:rPr>
          <w:rFonts w:cs="Times New Roman"/>
          <w:szCs w:val="24"/>
        </w:rPr>
        <w:object w:dxaOrig="9026" w:dyaOrig="1288" w14:anchorId="7F19291D">
          <v:shape id="_x0000_i1033" type="#_x0000_t75" style="width:406.5pt;height:66.75pt" o:ole="">
            <v:imagedata r:id="rId43" o:title=""/>
          </v:shape>
          <o:OLEObject Type="Embed" ProgID="Word.OpenDocumentText.12" ShapeID="_x0000_i1033" DrawAspect="Content" ObjectID="_1523373331" r:id="rId44"/>
        </w:object>
      </w:r>
    </w:p>
    <w:p w14:paraId="7831BDE4" w14:textId="77777777" w:rsidR="000A5358" w:rsidRPr="00AC1055" w:rsidRDefault="000A5358" w:rsidP="000A5358">
      <w:pPr>
        <w:pStyle w:val="Caption"/>
        <w:jc w:val="center"/>
        <w:rPr>
          <w:rFonts w:cs="Times New Roman"/>
          <w:szCs w:val="24"/>
        </w:rPr>
      </w:pPr>
      <w:r>
        <w:t xml:space="preserve">Code snippet </w:t>
      </w:r>
      <w:fldSimple w:instr=" SEQ Code_snippet \* ARABIC ">
        <w:r w:rsidR="005A260F">
          <w:rPr>
            <w:noProof/>
          </w:rPr>
          <w:t>9</w:t>
        </w:r>
      </w:fldSimple>
    </w:p>
    <w:p w14:paraId="0B06F335" w14:textId="7D602DD8" w:rsidR="000A5358" w:rsidRPr="00AC1055" w:rsidRDefault="000A5358" w:rsidP="000A5358">
      <w:pPr>
        <w:spacing w:line="480" w:lineRule="auto"/>
        <w:rPr>
          <w:rFonts w:cs="Times New Roman"/>
          <w:szCs w:val="24"/>
        </w:rPr>
      </w:pPr>
      <w:r w:rsidRPr="00AC1055">
        <w:rPr>
          <w:rFonts w:cs="Times New Roman"/>
          <w:szCs w:val="24"/>
        </w:rPr>
        <w:t>Both give very similar results, however Gamma distribution is found to</w:t>
      </w:r>
      <w:r w:rsidR="00BD6CDD">
        <w:rPr>
          <w:rFonts w:cs="Times New Roman"/>
          <w:szCs w:val="24"/>
        </w:rPr>
        <w:t xml:space="preserve"> take a bit longer to converge.</w:t>
      </w:r>
    </w:p>
    <w:p w14:paraId="194691D3" w14:textId="79AD1BEF" w:rsidR="000A5358" w:rsidRPr="00AC1055" w:rsidRDefault="000A5358" w:rsidP="000A5358">
      <w:pPr>
        <w:spacing w:line="480" w:lineRule="auto"/>
        <w:rPr>
          <w:rFonts w:cs="Times New Roman"/>
          <w:szCs w:val="24"/>
        </w:rPr>
      </w:pPr>
      <w:r w:rsidRPr="00AC1055">
        <w:rPr>
          <w:rFonts w:cs="Times New Roman"/>
          <w:szCs w:val="24"/>
        </w:rPr>
        <w:t>Comparison of coefficient for corporate governanc</w:t>
      </w:r>
      <w:r w:rsidR="00012336">
        <w:rPr>
          <w:rFonts w:cs="Times New Roman"/>
          <w:szCs w:val="24"/>
        </w:rPr>
        <w:t>e and control index is as below</w:t>
      </w:r>
    </w:p>
    <w:p w14:paraId="4354FFA7" w14:textId="77777777" w:rsidR="000A5358" w:rsidRDefault="000A5358" w:rsidP="000A5358">
      <w:pPr>
        <w:spacing w:line="480" w:lineRule="auto"/>
        <w:rPr>
          <w:rFonts w:cs="Times New Roman"/>
          <w:szCs w:val="24"/>
        </w:rPr>
      </w:pPr>
      <w:r>
        <w:rPr>
          <w:rFonts w:cs="Times New Roman"/>
          <w:noProof/>
          <w:szCs w:val="24"/>
          <w:lang w:eastAsia="en-GB"/>
        </w:rPr>
        <w:drawing>
          <wp:inline distT="0" distB="0" distL="0" distR="0" wp14:anchorId="0DC015B6" wp14:editId="713B9B29">
            <wp:extent cx="4905375" cy="2435292"/>
            <wp:effectExtent l="0" t="0" r="0" b="317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8051" cy="2436621"/>
                    </a:xfrm>
                    <a:prstGeom prst="rect">
                      <a:avLst/>
                    </a:prstGeom>
                    <a:noFill/>
                    <a:ln>
                      <a:noFill/>
                    </a:ln>
                  </pic:spPr>
                </pic:pic>
              </a:graphicData>
            </a:graphic>
          </wp:inline>
        </w:drawing>
      </w:r>
    </w:p>
    <w:p w14:paraId="2EE085C2" w14:textId="77777777" w:rsidR="000A5358" w:rsidRDefault="000A5358" w:rsidP="000A5358">
      <w:pPr>
        <w:spacing w:line="480" w:lineRule="auto"/>
        <w:rPr>
          <w:rFonts w:cs="Times New Roman"/>
          <w:szCs w:val="24"/>
        </w:rPr>
      </w:pPr>
      <w:r>
        <w:rPr>
          <w:rFonts w:cs="Times New Roman"/>
          <w:noProof/>
          <w:szCs w:val="24"/>
          <w:lang w:eastAsia="en-GB"/>
        </w:rPr>
        <w:drawing>
          <wp:inline distT="0" distB="0" distL="0" distR="0" wp14:anchorId="2E32A7EB" wp14:editId="29C8E368">
            <wp:extent cx="4905375" cy="1241867"/>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5375" cy="1241867"/>
                    </a:xfrm>
                    <a:prstGeom prst="rect">
                      <a:avLst/>
                    </a:prstGeom>
                    <a:noFill/>
                    <a:ln>
                      <a:noFill/>
                    </a:ln>
                  </pic:spPr>
                </pic:pic>
              </a:graphicData>
            </a:graphic>
          </wp:inline>
        </w:drawing>
      </w:r>
      <w:r>
        <w:rPr>
          <w:rFonts w:cs="Times New Roman"/>
          <w:noProof/>
          <w:szCs w:val="24"/>
          <w:lang w:eastAsia="en-GB"/>
        </w:rPr>
        <w:drawing>
          <wp:inline distT="0" distB="0" distL="0" distR="0" wp14:anchorId="5F5B353B" wp14:editId="1567529F">
            <wp:extent cx="4905375" cy="1364110"/>
            <wp:effectExtent l="0" t="0" r="0" b="762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8218" cy="1367682"/>
                    </a:xfrm>
                    <a:prstGeom prst="rect">
                      <a:avLst/>
                    </a:prstGeom>
                    <a:noFill/>
                    <a:ln>
                      <a:noFill/>
                    </a:ln>
                  </pic:spPr>
                </pic:pic>
              </a:graphicData>
            </a:graphic>
          </wp:inline>
        </w:drawing>
      </w:r>
    </w:p>
    <w:p w14:paraId="726A4D4F" w14:textId="62F938AE" w:rsidR="000A5358" w:rsidRPr="00012336" w:rsidRDefault="000A5358" w:rsidP="000A5358">
      <w:pPr>
        <w:spacing w:line="480" w:lineRule="auto"/>
        <w:rPr>
          <w:rFonts w:cs="Times New Roman"/>
          <w:szCs w:val="24"/>
        </w:rPr>
      </w:pPr>
      <w:r>
        <w:rPr>
          <w:rFonts w:cs="Times New Roman"/>
          <w:szCs w:val="24"/>
        </w:rPr>
        <w:t>It shows that the model has not yet converged.</w:t>
      </w:r>
      <w:r w:rsidR="005F32A2">
        <w:rPr>
          <w:rStyle w:val="FootnoteReference"/>
          <w:rFonts w:cs="Times New Roman"/>
          <w:szCs w:val="24"/>
        </w:rPr>
        <w:footnoteReference w:id="221"/>
      </w:r>
    </w:p>
    <w:p w14:paraId="7324BEAA" w14:textId="77777777" w:rsidR="000A5358" w:rsidRPr="00AC1055" w:rsidRDefault="000A5358" w:rsidP="000A5358">
      <w:pPr>
        <w:spacing w:line="480" w:lineRule="auto"/>
        <w:rPr>
          <w:rFonts w:cs="Times New Roman"/>
          <w:szCs w:val="24"/>
          <w:u w:val="single"/>
        </w:rPr>
      </w:pPr>
      <w:r>
        <w:rPr>
          <w:rFonts w:cs="Times New Roman"/>
          <w:szCs w:val="24"/>
          <w:u w:val="single"/>
        </w:rPr>
        <w:lastRenderedPageBreak/>
        <w:t xml:space="preserve">3.4.4 </w:t>
      </w:r>
      <w:r w:rsidRPr="00AC1055">
        <w:rPr>
          <w:rFonts w:cs="Times New Roman"/>
          <w:szCs w:val="24"/>
          <w:u w:val="single"/>
        </w:rPr>
        <w:t>Multilevel hierarchical with lag</w:t>
      </w:r>
    </w:p>
    <w:p w14:paraId="63B38068" w14:textId="77777777" w:rsidR="000A5358" w:rsidRPr="00AC1055" w:rsidRDefault="000A5358" w:rsidP="000A5358">
      <w:pPr>
        <w:spacing w:line="480" w:lineRule="auto"/>
        <w:rPr>
          <w:rFonts w:cs="Times New Roman"/>
          <w:szCs w:val="24"/>
        </w:rPr>
      </w:pPr>
      <w:r>
        <w:rPr>
          <w:rFonts w:cs="Times New Roman"/>
          <w:szCs w:val="24"/>
        </w:rPr>
        <w:t>As evidenced by experience</w:t>
      </w:r>
      <w:r w:rsidRPr="00AC1055">
        <w:rPr>
          <w:rFonts w:cs="Times New Roman"/>
          <w:szCs w:val="24"/>
        </w:rPr>
        <w:t xml:space="preserve">, </w:t>
      </w:r>
      <w:r>
        <w:rPr>
          <w:rFonts w:cs="Times New Roman"/>
          <w:szCs w:val="24"/>
        </w:rPr>
        <w:t>the</w:t>
      </w:r>
      <w:r w:rsidRPr="00AC1055">
        <w:rPr>
          <w:rFonts w:cs="Times New Roman"/>
          <w:szCs w:val="24"/>
        </w:rPr>
        <w:t xml:space="preserve"> effect of </w:t>
      </w:r>
      <w:r>
        <w:rPr>
          <w:rFonts w:cs="Times New Roman"/>
          <w:szCs w:val="24"/>
        </w:rPr>
        <w:t xml:space="preserve">the </w:t>
      </w:r>
      <w:r w:rsidRPr="00AC1055">
        <w:rPr>
          <w:rFonts w:cs="Times New Roman"/>
          <w:szCs w:val="24"/>
        </w:rPr>
        <w:t>change in corporate governance on financial development</w:t>
      </w:r>
      <w:r>
        <w:rPr>
          <w:rFonts w:cs="Times New Roman"/>
          <w:szCs w:val="24"/>
        </w:rPr>
        <w:t xml:space="preserve"> is gradual</w:t>
      </w:r>
      <w:r w:rsidRPr="00AC1055">
        <w:rPr>
          <w:rFonts w:cs="Times New Roman"/>
          <w:szCs w:val="24"/>
        </w:rPr>
        <w:t>, this is called lag effect.</w:t>
      </w:r>
      <w:r w:rsidRPr="00AC1055">
        <w:rPr>
          <w:rFonts w:cs="Times New Roman"/>
          <w:szCs w:val="24"/>
          <w:vertAlign w:val="superscript"/>
        </w:rPr>
        <w:footnoteReference w:id="222"/>
      </w:r>
      <w:r w:rsidRPr="00AC1055">
        <w:rPr>
          <w:rFonts w:cs="Times New Roman"/>
          <w:szCs w:val="24"/>
        </w:rPr>
        <w:t xml:space="preserve"> We compensate for this lag effect by regressing the outcome at a later time period. So varying the time component we have: </w:t>
      </w:r>
    </w:p>
    <w:p w14:paraId="7F6FFE3C" w14:textId="62C2468E" w:rsidR="000A5358" w:rsidRPr="00AC1055" w:rsidRDefault="000A5358" w:rsidP="000A5358">
      <w:pPr>
        <w:spacing w:line="480" w:lineRule="auto"/>
        <w:rPr>
          <w:rFonts w:cs="Times New Roman"/>
          <w:szCs w:val="24"/>
        </w:rPr>
      </w:pPr>
      <w:r w:rsidRPr="00AC1055">
        <w:rPr>
          <w:rFonts w:cs="Times New Roman"/>
          <w:szCs w:val="24"/>
        </w:rPr>
        <w:t xml:space="preserve">    </w:t>
      </w:r>
      <w:r>
        <w:rPr>
          <w:rFonts w:cs="Times New Roman"/>
          <w:szCs w:val="24"/>
        </w:rPr>
        <w:t xml:space="preserve">                          </w:t>
      </w:r>
      <w:r w:rsidRPr="00AC1055">
        <w:rPr>
          <w:rFonts w:cs="Times New Roman"/>
          <w:szCs w:val="24"/>
        </w:rPr>
        <w:t>Y</w:t>
      </w:r>
      <w:r w:rsidRPr="00AC1055">
        <w:rPr>
          <w:rFonts w:cs="Times New Roman"/>
          <w:szCs w:val="24"/>
          <w:vertAlign w:val="subscript"/>
        </w:rPr>
        <w:t>jt+1</w:t>
      </w:r>
      <w:r w:rsidRPr="00AC1055">
        <w:rPr>
          <w:rFonts w:cs="Times New Roman"/>
          <w:szCs w:val="24"/>
        </w:rPr>
        <w:t xml:space="preserve"> ~ N(β0</w:t>
      </w:r>
      <w:r w:rsidRPr="00AC1055">
        <w:rPr>
          <w:rFonts w:cs="Times New Roman"/>
          <w:szCs w:val="24"/>
          <w:vertAlign w:val="subscript"/>
        </w:rPr>
        <w:t>j</w:t>
      </w:r>
      <w:r w:rsidRPr="00AC1055">
        <w:rPr>
          <w:rFonts w:cs="Times New Roman"/>
          <w:szCs w:val="24"/>
        </w:rPr>
        <w:t xml:space="preserve"> + β1X1</w:t>
      </w:r>
      <w:r w:rsidRPr="00AC1055">
        <w:rPr>
          <w:rFonts w:cs="Times New Roman"/>
          <w:szCs w:val="24"/>
          <w:vertAlign w:val="subscript"/>
        </w:rPr>
        <w:t>jt</w:t>
      </w:r>
      <w:r w:rsidRPr="00AC1055">
        <w:rPr>
          <w:rFonts w:cs="Times New Roman"/>
          <w:szCs w:val="24"/>
        </w:rPr>
        <w:t xml:space="preserve"> + β2X2</w:t>
      </w:r>
      <w:r w:rsidRPr="00AC1055">
        <w:rPr>
          <w:rFonts w:cs="Times New Roman"/>
          <w:szCs w:val="24"/>
          <w:vertAlign w:val="subscript"/>
        </w:rPr>
        <w:t>jt+1</w:t>
      </w:r>
      <w:r w:rsidRPr="00AC1055">
        <w:rPr>
          <w:rFonts w:cs="Times New Roman"/>
          <w:szCs w:val="24"/>
        </w:rPr>
        <w:t xml:space="preserve"> + ε</w:t>
      </w:r>
      <w:r w:rsidRPr="00AC1055">
        <w:rPr>
          <w:rFonts w:cs="Times New Roman"/>
          <w:szCs w:val="24"/>
          <w:vertAlign w:val="subscript"/>
        </w:rPr>
        <w:t>i</w:t>
      </w:r>
      <w:r w:rsidRPr="00AC1055">
        <w:rPr>
          <w:rFonts w:cs="Times New Roman"/>
          <w:szCs w:val="24"/>
        </w:rPr>
        <w:t>, σ</w:t>
      </w:r>
      <w:r w:rsidRPr="00AC1055">
        <w:rPr>
          <w:rFonts w:cs="Times New Roman"/>
          <w:szCs w:val="24"/>
          <w:vertAlign w:val="superscript"/>
        </w:rPr>
        <w:t>2</w:t>
      </w:r>
      <w:r w:rsidRPr="00AC1055">
        <w:rPr>
          <w:rFonts w:cs="Times New Roman"/>
          <w:szCs w:val="24"/>
          <w:vertAlign w:val="subscript"/>
        </w:rPr>
        <w:t>j</w:t>
      </w:r>
      <w:r w:rsidRPr="00AC1055">
        <w:rPr>
          <w:rFonts w:cs="Times New Roman"/>
          <w:szCs w:val="24"/>
        </w:rPr>
        <w:t>)</w:t>
      </w:r>
      <w:r w:rsidRPr="00AC1055">
        <w:rPr>
          <w:rFonts w:cs="Times New Roman"/>
          <w:szCs w:val="24"/>
          <w:vertAlign w:val="subscript"/>
        </w:rPr>
        <w:t xml:space="preserve">    </w:t>
      </w:r>
      <w:r w:rsidRPr="00AC1055">
        <w:rPr>
          <w:rFonts w:cs="Times New Roman"/>
          <w:szCs w:val="24"/>
        </w:rPr>
        <w:t xml:space="preserve">   </w:t>
      </w:r>
      <w:r w:rsidR="00012336">
        <w:rPr>
          <w:rFonts w:cs="Times New Roman"/>
          <w:szCs w:val="24"/>
        </w:rPr>
        <w:t xml:space="preserve">                           (22)</w:t>
      </w:r>
    </w:p>
    <w:p w14:paraId="06793684" w14:textId="16BC78BF" w:rsidR="000A5358" w:rsidRPr="00AC1055" w:rsidRDefault="000A5358" w:rsidP="000A5358">
      <w:pPr>
        <w:spacing w:line="480" w:lineRule="auto"/>
        <w:rPr>
          <w:rFonts w:cs="Times New Roman"/>
          <w:szCs w:val="24"/>
        </w:rPr>
      </w:pPr>
      <w:r>
        <w:rPr>
          <w:rFonts w:cs="Times New Roman"/>
          <w:szCs w:val="24"/>
        </w:rPr>
        <w:t>The</w:t>
      </w:r>
      <w:r w:rsidRPr="00AC1055">
        <w:rPr>
          <w:rFonts w:cs="Times New Roman"/>
          <w:szCs w:val="24"/>
        </w:rPr>
        <w:t xml:space="preserve"> corporate governance index ranges from 1995-2014, however the financial index and control index data for 2013-14 is incomplete. So for corporate governance the time period 1995-2011 (17 years) </w:t>
      </w:r>
      <w:r>
        <w:rPr>
          <w:rFonts w:cs="Times New Roman"/>
          <w:szCs w:val="24"/>
        </w:rPr>
        <w:t>is used with</w:t>
      </w:r>
      <w:r w:rsidRPr="00AC1055">
        <w:rPr>
          <w:rFonts w:cs="Times New Roman"/>
          <w:szCs w:val="24"/>
        </w:rPr>
        <w:t xml:space="preserve"> the corresponding financial and control index for time period 1996-2012. Thus the financial and control index lags one year </w:t>
      </w:r>
      <w:r>
        <w:rPr>
          <w:rFonts w:cs="Times New Roman"/>
          <w:szCs w:val="24"/>
        </w:rPr>
        <w:t>behind the</w:t>
      </w:r>
      <w:r w:rsidRPr="00AC1055">
        <w:rPr>
          <w:rFonts w:cs="Times New Roman"/>
          <w:szCs w:val="24"/>
        </w:rPr>
        <w:t xml:space="preserve"> corporate governance index. </w:t>
      </w:r>
      <w:r>
        <w:rPr>
          <w:rFonts w:cs="Times New Roman"/>
          <w:szCs w:val="24"/>
        </w:rPr>
        <w:t>The c</w:t>
      </w:r>
      <w:r w:rsidRPr="00AC1055">
        <w:rPr>
          <w:rFonts w:cs="Times New Roman"/>
          <w:szCs w:val="24"/>
        </w:rPr>
        <w:t>oefficient for corporate governance and control index is as below:</w:t>
      </w:r>
      <w:r w:rsidR="005F32A2">
        <w:rPr>
          <w:rStyle w:val="FootnoteReference"/>
          <w:rFonts w:cs="Times New Roman"/>
          <w:szCs w:val="24"/>
        </w:rPr>
        <w:footnoteReference w:id="223"/>
      </w:r>
    </w:p>
    <w:p w14:paraId="732D1D06" w14:textId="77777777" w:rsidR="000A5358" w:rsidRDefault="000A5358" w:rsidP="000A5358">
      <w:pPr>
        <w:spacing w:line="480" w:lineRule="auto"/>
        <w:rPr>
          <w:rFonts w:cs="Times New Roman"/>
          <w:szCs w:val="24"/>
        </w:rPr>
      </w:pPr>
      <w:r>
        <w:rPr>
          <w:rFonts w:cs="Times New Roman"/>
          <w:noProof/>
          <w:szCs w:val="24"/>
          <w:lang w:eastAsia="en-GB"/>
        </w:rPr>
        <w:drawing>
          <wp:inline distT="0" distB="0" distL="0" distR="0" wp14:anchorId="6CFBB692" wp14:editId="4E83518B">
            <wp:extent cx="4791075" cy="1005000"/>
            <wp:effectExtent l="0" t="0" r="0" b="508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91075" cy="1005000"/>
                    </a:xfrm>
                    <a:prstGeom prst="rect">
                      <a:avLst/>
                    </a:prstGeom>
                    <a:noFill/>
                    <a:ln>
                      <a:noFill/>
                    </a:ln>
                  </pic:spPr>
                </pic:pic>
              </a:graphicData>
            </a:graphic>
          </wp:inline>
        </w:drawing>
      </w:r>
    </w:p>
    <w:p w14:paraId="24BF5C6D" w14:textId="77777777" w:rsidR="000A5358" w:rsidRDefault="000A5358" w:rsidP="000A5358">
      <w:pPr>
        <w:spacing w:line="480" w:lineRule="auto"/>
        <w:rPr>
          <w:rFonts w:cs="Times New Roman"/>
          <w:szCs w:val="24"/>
        </w:rPr>
      </w:pPr>
      <w:r>
        <w:rPr>
          <w:rFonts w:cs="Times New Roman"/>
          <w:noProof/>
          <w:szCs w:val="24"/>
          <w:lang w:eastAsia="en-GB"/>
        </w:rPr>
        <w:drawing>
          <wp:inline distT="0" distB="0" distL="0" distR="0" wp14:anchorId="512B4D1B" wp14:editId="525270A4">
            <wp:extent cx="4743450" cy="2123421"/>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5938" cy="2124535"/>
                    </a:xfrm>
                    <a:prstGeom prst="rect">
                      <a:avLst/>
                    </a:prstGeom>
                    <a:noFill/>
                    <a:ln>
                      <a:noFill/>
                    </a:ln>
                  </pic:spPr>
                </pic:pic>
              </a:graphicData>
            </a:graphic>
          </wp:inline>
        </w:drawing>
      </w:r>
    </w:p>
    <w:p w14:paraId="5C4994FE" w14:textId="77777777" w:rsidR="000A5358" w:rsidRPr="008D2F0C" w:rsidRDefault="000A5358" w:rsidP="000A5358">
      <w:pPr>
        <w:spacing w:line="480" w:lineRule="auto"/>
        <w:rPr>
          <w:rFonts w:cs="Times New Roman"/>
          <w:szCs w:val="24"/>
          <w:u w:val="single"/>
        </w:rPr>
      </w:pPr>
      <w:r>
        <w:rPr>
          <w:rFonts w:cs="Times New Roman"/>
          <w:szCs w:val="24"/>
          <w:u w:val="single"/>
        </w:rPr>
        <w:lastRenderedPageBreak/>
        <w:t xml:space="preserve">3.4.5 </w:t>
      </w:r>
      <w:r w:rsidRPr="008D2F0C">
        <w:rPr>
          <w:rFonts w:cs="Times New Roman"/>
          <w:szCs w:val="24"/>
          <w:u w:val="single"/>
        </w:rPr>
        <w:t>Convergence analytics</w:t>
      </w:r>
    </w:p>
    <w:p w14:paraId="0DE5B47C" w14:textId="77777777" w:rsidR="000A5358" w:rsidRDefault="000A5358" w:rsidP="000A5358">
      <w:pPr>
        <w:spacing w:line="480" w:lineRule="auto"/>
        <w:rPr>
          <w:rFonts w:cs="Times New Roman"/>
          <w:szCs w:val="24"/>
        </w:rPr>
      </w:pPr>
      <w:r>
        <w:rPr>
          <w:rFonts w:cs="Times New Roman"/>
          <w:szCs w:val="24"/>
        </w:rPr>
        <w:t>Even with lagging for corporate governance change, the model does not converge, so a few radical solutions were implemented.</w:t>
      </w:r>
    </w:p>
    <w:p w14:paraId="4049B537" w14:textId="77777777" w:rsidR="000A5358" w:rsidRDefault="000A5358" w:rsidP="000A5358">
      <w:pPr>
        <w:spacing w:line="480" w:lineRule="auto"/>
        <w:rPr>
          <w:rFonts w:cs="Times New Roman"/>
          <w:szCs w:val="24"/>
        </w:rPr>
      </w:pPr>
      <w:r>
        <w:rPr>
          <w:rFonts w:cs="Times New Roman"/>
          <w:szCs w:val="24"/>
        </w:rPr>
        <w:t xml:space="preserve">First, it was found that Yxi (the dependent variable) was not converging properly when its prior was obtained from the regression analysis [line 5 in code snippet 7]. So, a separate Bayesian factor analysis is run for Yxi and the value is fed into the main regression model. </w:t>
      </w:r>
    </w:p>
    <w:p w14:paraId="66B9D359" w14:textId="77777777" w:rsidR="000A5358" w:rsidRDefault="000A5358" w:rsidP="000A5358">
      <w:pPr>
        <w:spacing w:line="480" w:lineRule="auto"/>
        <w:rPr>
          <w:rFonts w:cs="Times New Roman"/>
          <w:szCs w:val="24"/>
        </w:rPr>
      </w:pPr>
      <w:r>
        <w:rPr>
          <w:rFonts w:cs="Times New Roman"/>
          <w:szCs w:val="24"/>
        </w:rPr>
        <w:t>The traceplot and density graphs change from</w:t>
      </w:r>
    </w:p>
    <w:p w14:paraId="01EDEB68" w14:textId="77777777" w:rsidR="000A5358" w:rsidRDefault="000A5358" w:rsidP="000A5358">
      <w:pPr>
        <w:spacing w:line="480" w:lineRule="auto"/>
        <w:rPr>
          <w:rFonts w:cs="Times New Roman"/>
          <w:szCs w:val="24"/>
        </w:rPr>
      </w:pPr>
      <w:r>
        <w:rPr>
          <w:rFonts w:cs="Times New Roman"/>
          <w:noProof/>
          <w:szCs w:val="24"/>
          <w:lang w:eastAsia="en-GB"/>
        </w:rPr>
        <w:drawing>
          <wp:inline distT="0" distB="0" distL="0" distR="0" wp14:anchorId="18D46FD5" wp14:editId="28D2FA53">
            <wp:extent cx="5543550" cy="126682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3550" cy="1266825"/>
                    </a:xfrm>
                    <a:prstGeom prst="rect">
                      <a:avLst/>
                    </a:prstGeom>
                    <a:noFill/>
                    <a:ln>
                      <a:noFill/>
                    </a:ln>
                  </pic:spPr>
                </pic:pic>
              </a:graphicData>
            </a:graphic>
          </wp:inline>
        </w:drawing>
      </w:r>
    </w:p>
    <w:p w14:paraId="1F6CA1BE" w14:textId="77777777" w:rsidR="000A5358" w:rsidRDefault="000A5358" w:rsidP="000A5358">
      <w:pPr>
        <w:spacing w:line="480" w:lineRule="auto"/>
        <w:rPr>
          <w:rFonts w:cs="Times New Roman"/>
          <w:szCs w:val="24"/>
        </w:rPr>
      </w:pPr>
      <w:r>
        <w:rPr>
          <w:rFonts w:cs="Times New Roman"/>
          <w:szCs w:val="24"/>
        </w:rPr>
        <w:t xml:space="preserve">to </w:t>
      </w:r>
      <w:r>
        <w:rPr>
          <w:rFonts w:cs="Times New Roman"/>
          <w:noProof/>
          <w:szCs w:val="24"/>
          <w:lang w:eastAsia="en-GB"/>
        </w:rPr>
        <w:drawing>
          <wp:inline distT="0" distB="0" distL="0" distR="0" wp14:anchorId="40DA019E" wp14:editId="067CDE79">
            <wp:extent cx="5610225" cy="131445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1314450"/>
                    </a:xfrm>
                    <a:prstGeom prst="rect">
                      <a:avLst/>
                    </a:prstGeom>
                    <a:noFill/>
                    <a:ln>
                      <a:noFill/>
                    </a:ln>
                  </pic:spPr>
                </pic:pic>
              </a:graphicData>
            </a:graphic>
          </wp:inline>
        </w:drawing>
      </w:r>
    </w:p>
    <w:p w14:paraId="2585A8E7" w14:textId="77777777" w:rsidR="000A5358" w:rsidRDefault="000A5358" w:rsidP="000A5358">
      <w:pPr>
        <w:spacing w:line="480" w:lineRule="auto"/>
        <w:rPr>
          <w:rFonts w:cs="Times New Roman"/>
          <w:szCs w:val="24"/>
        </w:rPr>
      </w:pPr>
      <w:r>
        <w:rPr>
          <w:rFonts w:cs="Times New Roman"/>
          <w:szCs w:val="24"/>
        </w:rPr>
        <w:t>Second, the control variable index was split into three indices to reflect the underlying nature of the variables being factored in – so the new indices represented economic growth, financial inclusion and increase in investment in R&amp;D and technology led export.</w:t>
      </w:r>
    </w:p>
    <w:p w14:paraId="13AD7D36" w14:textId="77777777" w:rsidR="000A5358" w:rsidRDefault="000A5358" w:rsidP="000A5358">
      <w:pPr>
        <w:spacing w:line="480" w:lineRule="auto"/>
        <w:rPr>
          <w:rFonts w:cs="Times New Roman"/>
          <w:szCs w:val="24"/>
        </w:rPr>
      </w:pPr>
      <w:r>
        <w:rPr>
          <w:rFonts w:cs="Times New Roman"/>
          <w:szCs w:val="24"/>
        </w:rPr>
        <w:t xml:space="preserve">Third, priors for precision terms for country level indicators, which were fixed at dgamma(0.01,0.01) [line 1 code snippet 9] was changed to </w:t>
      </w:r>
      <w:r w:rsidRPr="004D0BC6">
        <w:rPr>
          <w:rFonts w:cs="Times New Roman"/>
          <w:szCs w:val="24"/>
        </w:rPr>
        <w:t>dgamma(2,0.6)</w:t>
      </w:r>
      <w:r>
        <w:rPr>
          <w:rFonts w:cs="Times New Roman"/>
          <w:szCs w:val="24"/>
        </w:rPr>
        <w:t xml:space="preserve"> for quicker convergence.</w:t>
      </w:r>
    </w:p>
    <w:p w14:paraId="01A94B8D" w14:textId="77777777" w:rsidR="000A5358" w:rsidRPr="00AC1055" w:rsidRDefault="000A5358" w:rsidP="000A5358">
      <w:pPr>
        <w:spacing w:line="480" w:lineRule="auto"/>
        <w:rPr>
          <w:rFonts w:cs="Times New Roman"/>
          <w:szCs w:val="24"/>
        </w:rPr>
      </w:pPr>
      <w:r>
        <w:rPr>
          <w:rFonts w:cs="Times New Roman"/>
          <w:szCs w:val="24"/>
        </w:rPr>
        <w:t xml:space="preserve"> </w:t>
      </w:r>
    </w:p>
    <w:p w14:paraId="56C405E9" w14:textId="77777777" w:rsidR="000A5358" w:rsidRPr="00012939" w:rsidRDefault="000A5358" w:rsidP="000A5358">
      <w:pPr>
        <w:spacing w:line="480" w:lineRule="auto"/>
        <w:rPr>
          <w:rFonts w:cs="Times New Roman"/>
          <w:b/>
          <w:sz w:val="26"/>
          <w:szCs w:val="24"/>
          <w:u w:val="single"/>
        </w:rPr>
      </w:pPr>
      <w:r w:rsidRPr="00012939">
        <w:rPr>
          <w:rFonts w:cs="Times New Roman"/>
          <w:b/>
          <w:sz w:val="26"/>
          <w:szCs w:val="24"/>
          <w:u w:val="single"/>
        </w:rPr>
        <w:lastRenderedPageBreak/>
        <w:t>3.5 Country wise analysis</w:t>
      </w:r>
    </w:p>
    <w:p w14:paraId="3923A37F" w14:textId="77777777" w:rsidR="000A5358" w:rsidRPr="00AC1055" w:rsidRDefault="000A5358" w:rsidP="000A5358">
      <w:pPr>
        <w:spacing w:line="480" w:lineRule="auto"/>
        <w:rPr>
          <w:rFonts w:cs="Times New Roman"/>
          <w:szCs w:val="24"/>
        </w:rPr>
      </w:pPr>
      <w:r w:rsidRPr="00AC1055">
        <w:rPr>
          <w:rFonts w:cs="Times New Roman"/>
          <w:szCs w:val="24"/>
        </w:rPr>
        <w:t>Once the regression model is complete</w:t>
      </w:r>
      <w:r>
        <w:rPr>
          <w:rFonts w:cs="Times New Roman"/>
          <w:szCs w:val="24"/>
        </w:rPr>
        <w:t>,</w:t>
      </w:r>
      <w:r w:rsidRPr="00AC1055">
        <w:rPr>
          <w:rFonts w:cs="Times New Roman"/>
          <w:szCs w:val="24"/>
        </w:rPr>
        <w:t xml:space="preserve"> the following coefficients and indices </w:t>
      </w:r>
      <w:r>
        <w:rPr>
          <w:rFonts w:cs="Times New Roman"/>
          <w:szCs w:val="24"/>
        </w:rPr>
        <w:t xml:space="preserve">emerge </w:t>
      </w:r>
      <w:r w:rsidRPr="00AC1055">
        <w:rPr>
          <w:rFonts w:cs="Times New Roman"/>
          <w:szCs w:val="24"/>
        </w:rPr>
        <w:t>– country level indicator coefficient γ</w:t>
      </w:r>
      <w:r w:rsidRPr="00AC1055">
        <w:rPr>
          <w:rFonts w:cs="Times New Roman"/>
          <w:szCs w:val="24"/>
          <w:vertAlign w:val="subscript"/>
        </w:rPr>
        <w:t>0</w:t>
      </w:r>
      <w:r w:rsidRPr="00AC1055">
        <w:rPr>
          <w:rFonts w:cs="Times New Roman"/>
          <w:szCs w:val="24"/>
        </w:rPr>
        <w:t>,…, γ</w:t>
      </w:r>
      <w:r w:rsidRPr="00AC1055">
        <w:rPr>
          <w:rFonts w:cs="Times New Roman"/>
          <w:szCs w:val="24"/>
          <w:vertAlign w:val="subscript"/>
        </w:rPr>
        <w:t>4</w:t>
      </w:r>
      <w:r w:rsidRPr="00AC1055">
        <w:rPr>
          <w:rFonts w:cs="Times New Roman"/>
          <w:szCs w:val="24"/>
        </w:rPr>
        <w:t>; country intercepts β0</w:t>
      </w:r>
      <w:r w:rsidRPr="00AC1055">
        <w:rPr>
          <w:rFonts w:cs="Times New Roman"/>
          <w:szCs w:val="24"/>
          <w:vertAlign w:val="subscript"/>
        </w:rPr>
        <w:t>1</w:t>
      </w:r>
      <w:r w:rsidRPr="00AC1055">
        <w:rPr>
          <w:rFonts w:cs="Times New Roman"/>
          <w:szCs w:val="24"/>
        </w:rPr>
        <w:t xml:space="preserve"> ,…., β0</w:t>
      </w:r>
      <w:r w:rsidRPr="00AC1055">
        <w:rPr>
          <w:rFonts w:cs="Times New Roman"/>
          <w:szCs w:val="24"/>
          <w:vertAlign w:val="subscript"/>
        </w:rPr>
        <w:t>21</w:t>
      </w:r>
      <w:r w:rsidRPr="00AC1055">
        <w:rPr>
          <w:rFonts w:cs="Times New Roman"/>
          <w:szCs w:val="24"/>
        </w:rPr>
        <w:t xml:space="preserve">; a corporate governance [z.theta], financial development [Yxi] and control [X2xi] panel index, </w:t>
      </w:r>
      <w:r>
        <w:rPr>
          <w:rFonts w:cs="Times New Roman"/>
          <w:szCs w:val="24"/>
        </w:rPr>
        <w:t>obtaining</w:t>
      </w:r>
      <w:r w:rsidRPr="00AC1055">
        <w:rPr>
          <w:rFonts w:cs="Times New Roman"/>
          <w:szCs w:val="24"/>
        </w:rPr>
        <w:t xml:space="preserve"> a data point for each country for each year between 1995 and 2011 (for financial and control index and 2014 for corporate governance index). The next step after a macro level multi country time series cross sectional analysis would be to check the country level variations and check how each country stands in comparison to the overall group. To do this country level analysis exploratory techniques like change point analysis</w:t>
      </w:r>
      <w:r>
        <w:rPr>
          <w:rFonts w:cs="Times New Roman"/>
          <w:szCs w:val="24"/>
        </w:rPr>
        <w:t xml:space="preserve"> are first used</w:t>
      </w:r>
      <w:r w:rsidRPr="00AC1055">
        <w:rPr>
          <w:rFonts w:cs="Times New Roman"/>
          <w:szCs w:val="24"/>
        </w:rPr>
        <w:t xml:space="preserve">. This will show the time period when change(s) has/have occurred in </w:t>
      </w:r>
      <w:r>
        <w:rPr>
          <w:rFonts w:cs="Times New Roman"/>
          <w:szCs w:val="24"/>
        </w:rPr>
        <w:t xml:space="preserve">the </w:t>
      </w:r>
      <w:r w:rsidRPr="00AC1055">
        <w:rPr>
          <w:rFonts w:cs="Times New Roman"/>
          <w:szCs w:val="24"/>
        </w:rPr>
        <w:t xml:space="preserve">overall corporate governance evolution and financial development. This will help to pinpoint if corporate governance ‘improvements’ follow financial boom or </w:t>
      </w:r>
      <w:r>
        <w:rPr>
          <w:rFonts w:cs="Times New Roman"/>
          <w:szCs w:val="24"/>
        </w:rPr>
        <w:t>if it is</w:t>
      </w:r>
      <w:r w:rsidRPr="00AC1055">
        <w:rPr>
          <w:rFonts w:cs="Times New Roman"/>
          <w:szCs w:val="24"/>
        </w:rPr>
        <w:t xml:space="preserve"> the other way round. We use the R package bcp to implement the change point solutions.</w:t>
      </w:r>
      <w:r w:rsidRPr="00AC1055">
        <w:rPr>
          <w:rFonts w:cs="Times New Roman"/>
          <w:szCs w:val="24"/>
          <w:vertAlign w:val="superscript"/>
        </w:rPr>
        <w:footnoteReference w:id="224"/>
      </w:r>
      <w:r w:rsidRPr="00AC1055">
        <w:rPr>
          <w:rFonts w:cs="Times New Roman"/>
          <w:szCs w:val="24"/>
        </w:rPr>
        <w:t xml:space="preserve"> A typical line of R code for the same is as below:</w:t>
      </w:r>
    </w:p>
    <w:bookmarkStart w:id="9" w:name="_MON_1499795175"/>
    <w:bookmarkEnd w:id="9"/>
    <w:p w14:paraId="27441B00" w14:textId="77777777" w:rsidR="000A5358" w:rsidRDefault="000A5358" w:rsidP="000A5358">
      <w:pPr>
        <w:keepNext/>
        <w:spacing w:line="480" w:lineRule="auto"/>
        <w:jc w:val="center"/>
      </w:pPr>
      <w:r w:rsidRPr="00AC1055">
        <w:rPr>
          <w:rFonts w:cs="Times New Roman"/>
          <w:szCs w:val="24"/>
        </w:rPr>
        <w:object w:dxaOrig="9026" w:dyaOrig="1803" w14:anchorId="034B2EC1">
          <v:shape id="_x0000_i1034" type="#_x0000_t75" style="width:396pt;height:87.75pt" o:ole="">
            <v:imagedata r:id="rId52" o:title=""/>
          </v:shape>
          <o:OLEObject Type="Embed" ProgID="Word.OpenDocumentText.12" ShapeID="_x0000_i1034" DrawAspect="Content" ObjectID="_1523373332" r:id="rId53"/>
        </w:object>
      </w:r>
    </w:p>
    <w:p w14:paraId="7ACC9CFF" w14:textId="77777777" w:rsidR="000A5358" w:rsidRPr="00AC1055" w:rsidRDefault="000A5358" w:rsidP="000A5358">
      <w:pPr>
        <w:pStyle w:val="Caption"/>
        <w:jc w:val="center"/>
        <w:rPr>
          <w:rFonts w:cs="Times New Roman"/>
          <w:szCs w:val="24"/>
        </w:rPr>
      </w:pPr>
      <w:r>
        <w:t xml:space="preserve">Code snippet </w:t>
      </w:r>
      <w:fldSimple w:instr=" SEQ Code_snippet \* ARABIC ">
        <w:r w:rsidR="005A260F">
          <w:rPr>
            <w:noProof/>
          </w:rPr>
          <w:t>10</w:t>
        </w:r>
      </w:fldSimple>
    </w:p>
    <w:p w14:paraId="072F1BCC" w14:textId="526944C0" w:rsidR="006E2191" w:rsidRPr="00AC1055" w:rsidRDefault="000A5358" w:rsidP="000A5358">
      <w:pPr>
        <w:spacing w:line="480" w:lineRule="auto"/>
        <w:rPr>
          <w:rFonts w:cs="Times New Roman"/>
          <w:szCs w:val="24"/>
        </w:rPr>
      </w:pPr>
      <w:r w:rsidRPr="00AC1055">
        <w:rPr>
          <w:rFonts w:cs="Times New Roman"/>
          <w:szCs w:val="24"/>
        </w:rPr>
        <w:t xml:space="preserve">There will be a very short qualitative introduction on each country </w:t>
      </w:r>
      <w:r>
        <w:rPr>
          <w:rFonts w:cs="Times New Roman"/>
          <w:szCs w:val="24"/>
        </w:rPr>
        <w:t>regarding</w:t>
      </w:r>
      <w:r w:rsidRPr="00AC1055">
        <w:rPr>
          <w:rFonts w:cs="Times New Roman"/>
          <w:szCs w:val="24"/>
        </w:rPr>
        <w:t xml:space="preserve"> how corporate governance evolved</w:t>
      </w:r>
      <w:r>
        <w:rPr>
          <w:rFonts w:cs="Times New Roman"/>
          <w:szCs w:val="24"/>
        </w:rPr>
        <w:t>,</w:t>
      </w:r>
      <w:r w:rsidRPr="00AC1055">
        <w:rPr>
          <w:rFonts w:cs="Times New Roman"/>
          <w:szCs w:val="24"/>
        </w:rPr>
        <w:t xml:space="preserve"> highlighting the key areas, time period and legislations. After the change point analysis a country wise regression </w:t>
      </w:r>
      <w:r>
        <w:rPr>
          <w:rFonts w:cs="Times New Roman"/>
          <w:szCs w:val="24"/>
        </w:rPr>
        <w:t xml:space="preserve">is conducted </w:t>
      </w:r>
      <w:r>
        <w:rPr>
          <w:rFonts w:cs="Times New Roman"/>
          <w:szCs w:val="24"/>
        </w:rPr>
        <w:lastRenderedPageBreak/>
        <w:t>to</w:t>
      </w:r>
      <w:r w:rsidRPr="00AC1055">
        <w:rPr>
          <w:rFonts w:cs="Times New Roman"/>
          <w:szCs w:val="24"/>
        </w:rPr>
        <w:t xml:space="preserve"> graphically compare the coefficient with </w:t>
      </w:r>
      <w:r>
        <w:rPr>
          <w:rFonts w:cs="Times New Roman"/>
          <w:szCs w:val="24"/>
        </w:rPr>
        <w:t xml:space="preserve">the </w:t>
      </w:r>
      <w:r w:rsidRPr="00AC1055">
        <w:rPr>
          <w:rFonts w:cs="Times New Roman"/>
          <w:szCs w:val="24"/>
        </w:rPr>
        <w:t>overall multi</w:t>
      </w:r>
      <w:r>
        <w:rPr>
          <w:rFonts w:cs="Times New Roman"/>
          <w:szCs w:val="24"/>
        </w:rPr>
        <w:t>-</w:t>
      </w:r>
      <w:r w:rsidRPr="00AC1055">
        <w:rPr>
          <w:rFonts w:cs="Times New Roman"/>
          <w:szCs w:val="24"/>
        </w:rPr>
        <w:t>country trend</w:t>
      </w:r>
      <w:r w:rsidR="006E2191">
        <w:rPr>
          <w:rFonts w:cs="Times New Roman"/>
          <w:szCs w:val="24"/>
        </w:rPr>
        <w:t xml:space="preserve"> </w:t>
      </w:r>
      <w:r w:rsidR="00E4163C">
        <w:rPr>
          <w:rFonts w:cs="Times New Roman"/>
          <w:szCs w:val="24"/>
        </w:rPr>
        <w:t>using</w:t>
      </w:r>
      <w:r w:rsidR="006E2191">
        <w:rPr>
          <w:rFonts w:cs="Times New Roman"/>
          <w:szCs w:val="24"/>
        </w:rPr>
        <w:t xml:space="preserve"> both frequentist and Bayesian frameworks</w:t>
      </w:r>
      <w:r w:rsidRPr="00AC1055">
        <w:rPr>
          <w:rFonts w:cs="Times New Roman"/>
          <w:szCs w:val="24"/>
        </w:rPr>
        <w:t xml:space="preserve">. </w:t>
      </w:r>
    </w:p>
    <w:p w14:paraId="3D4E7F28" w14:textId="5294DD15" w:rsidR="00E6123E" w:rsidRPr="00EF4E4F" w:rsidRDefault="00E6123E" w:rsidP="00EF4E4F">
      <w:pPr>
        <w:pStyle w:val="ListParagraph"/>
        <w:numPr>
          <w:ilvl w:val="0"/>
          <w:numId w:val="11"/>
        </w:numPr>
        <w:spacing w:line="480" w:lineRule="auto"/>
        <w:jc w:val="center"/>
        <w:rPr>
          <w:rFonts w:cs="Times New Roman"/>
          <w:b/>
          <w:sz w:val="28"/>
          <w:u w:val="single"/>
        </w:rPr>
      </w:pPr>
      <w:r w:rsidRPr="00EF4E4F">
        <w:rPr>
          <w:rFonts w:cs="Times New Roman"/>
          <w:b/>
          <w:sz w:val="28"/>
          <w:u w:val="single"/>
        </w:rPr>
        <w:t>Analysis</w:t>
      </w:r>
    </w:p>
    <w:p w14:paraId="0770F89A" w14:textId="77777777" w:rsidR="00E6123E" w:rsidRDefault="00E6123E" w:rsidP="00E6123E">
      <w:pPr>
        <w:spacing w:line="480" w:lineRule="auto"/>
        <w:ind w:left="170" w:right="170"/>
        <w:rPr>
          <w:rFonts w:cs="Times New Roman"/>
          <w:i/>
        </w:rPr>
      </w:pPr>
    </w:p>
    <w:p w14:paraId="13FDE1F9" w14:textId="77777777" w:rsidR="00E6123E" w:rsidRPr="00503F42" w:rsidRDefault="00E6123E" w:rsidP="00E6123E">
      <w:pPr>
        <w:spacing w:line="480" w:lineRule="auto"/>
        <w:ind w:left="170" w:right="170"/>
        <w:rPr>
          <w:rFonts w:cs="Times New Roman"/>
          <w:i/>
        </w:rPr>
      </w:pPr>
      <w:r w:rsidRPr="00503F42">
        <w:rPr>
          <w:rFonts w:cs="Times New Roman"/>
          <w:i/>
        </w:rPr>
        <w:t xml:space="preserve">This chapter is divided into four subchapters each analysing the four main issues: first, what is the direction of corporate governance evolution – this will allow us to track if the corporate governance around the world is converging towards a more shareholder primacy model based on OECD Principles of Corporate Governance and the rate of such change over time; second, does major step change in corporate governance happen before or after such a change occurs in the financial market – this will provide general information on whether corporate governance growth is exogenous or endogenous to major changes in </w:t>
      </w:r>
      <w:r>
        <w:rPr>
          <w:rFonts w:cs="Times New Roman"/>
          <w:i/>
        </w:rPr>
        <w:t xml:space="preserve">the </w:t>
      </w:r>
      <w:r w:rsidRPr="00503F42">
        <w:rPr>
          <w:rFonts w:cs="Times New Roman"/>
          <w:i/>
        </w:rPr>
        <w:t xml:space="preserve">financial market and also check if anecdotal qualitative evidence of surges in corporate governance development following market failure holds true in a quantitative multi country survey; third, does adopting shareholder primacy corporate governance have any overall impact on </w:t>
      </w:r>
      <w:r>
        <w:rPr>
          <w:rFonts w:cs="Times New Roman"/>
          <w:i/>
        </w:rPr>
        <w:t xml:space="preserve">the </w:t>
      </w:r>
      <w:r w:rsidRPr="00503F42">
        <w:rPr>
          <w:rFonts w:cs="Times New Roman"/>
          <w:i/>
        </w:rPr>
        <w:t xml:space="preserve">growth of the financial market – this will </w:t>
      </w:r>
      <w:r>
        <w:rPr>
          <w:rFonts w:cs="Times New Roman"/>
          <w:i/>
        </w:rPr>
        <w:t>make it possible to</w:t>
      </w:r>
      <w:r w:rsidRPr="00503F42">
        <w:rPr>
          <w:rFonts w:cs="Times New Roman"/>
          <w:i/>
        </w:rPr>
        <w:t xml:space="preserve"> investigate if varying the corporate governance model towards a pro</w:t>
      </w:r>
      <w:r>
        <w:rPr>
          <w:rFonts w:cs="Times New Roman"/>
          <w:i/>
        </w:rPr>
        <w:t>-</w:t>
      </w:r>
      <w:r w:rsidRPr="00503F42">
        <w:rPr>
          <w:rFonts w:cs="Times New Roman"/>
          <w:i/>
        </w:rPr>
        <w:t xml:space="preserve">shareholder approach has any effect on increasing the financial market development, thereby scrutinising the claims from international financial organisations that strong corporate governance is fundamentally linked to long term financial and economic performance; and fourth, how does each of the twenty-one countries in the study fare in corporate governance impact on financial market growth in comparison to global average – this will permit </w:t>
      </w:r>
      <w:r>
        <w:rPr>
          <w:rFonts w:cs="Times New Roman"/>
          <w:i/>
        </w:rPr>
        <w:t xml:space="preserve">a close examination of </w:t>
      </w:r>
      <w:r w:rsidRPr="00503F42">
        <w:rPr>
          <w:rFonts w:cs="Times New Roman"/>
          <w:i/>
        </w:rPr>
        <w:t xml:space="preserve">each country </w:t>
      </w:r>
      <w:r>
        <w:rPr>
          <w:rFonts w:cs="Times New Roman"/>
          <w:i/>
        </w:rPr>
        <w:t>to</w:t>
      </w:r>
      <w:r w:rsidRPr="00503F42">
        <w:rPr>
          <w:rFonts w:cs="Times New Roman"/>
          <w:i/>
        </w:rPr>
        <w:t xml:space="preserve"> find out if it has fared better or worse than the global average, hypothesizing the sui generis factor </w:t>
      </w:r>
      <w:r w:rsidRPr="00503F42">
        <w:rPr>
          <w:rFonts w:cs="Times New Roman"/>
          <w:i/>
        </w:rPr>
        <w:lastRenderedPageBreak/>
        <w:t>which may have led to such differences thus laying down directions for future qualitative research.</w:t>
      </w:r>
    </w:p>
    <w:p w14:paraId="0DD2BF83" w14:textId="77777777" w:rsidR="00E6123E" w:rsidRPr="00E23224" w:rsidRDefault="00E6123E" w:rsidP="00E6123E">
      <w:pPr>
        <w:spacing w:line="480" w:lineRule="auto"/>
        <w:rPr>
          <w:rFonts w:cs="Times New Roman"/>
          <w:b/>
          <w:sz w:val="26"/>
          <w:u w:val="single"/>
        </w:rPr>
      </w:pPr>
      <w:r>
        <w:rPr>
          <w:rFonts w:cs="Times New Roman"/>
          <w:b/>
          <w:sz w:val="26"/>
          <w:u w:val="single"/>
        </w:rPr>
        <w:t xml:space="preserve">4.1 </w:t>
      </w:r>
      <w:r w:rsidRPr="00E23224">
        <w:rPr>
          <w:rFonts w:cs="Times New Roman"/>
          <w:b/>
          <w:sz w:val="26"/>
          <w:u w:val="single"/>
        </w:rPr>
        <w:t>Corporate governance convergence</w:t>
      </w:r>
    </w:p>
    <w:p w14:paraId="6909C4F3" w14:textId="1D88AEA0" w:rsidR="00E6123E" w:rsidRPr="00AC1055" w:rsidRDefault="00E6123E" w:rsidP="00E6123E">
      <w:pPr>
        <w:spacing w:line="480" w:lineRule="auto"/>
        <w:rPr>
          <w:rFonts w:cs="Times New Roman"/>
        </w:rPr>
      </w:pPr>
      <w:r w:rsidRPr="00AC1055">
        <w:rPr>
          <w:rFonts w:cs="Times New Roman"/>
        </w:rPr>
        <w:t>In comparative law convergence has been an oft debated topic,</w:t>
      </w:r>
      <w:r w:rsidRPr="00AC1055">
        <w:rPr>
          <w:rStyle w:val="FootnoteReference"/>
          <w:rFonts w:cs="Times New Roman"/>
        </w:rPr>
        <w:footnoteReference w:id="225"/>
      </w:r>
      <w:r w:rsidRPr="00AC1055">
        <w:rPr>
          <w:rFonts w:cs="Times New Roman"/>
        </w:rPr>
        <w:t xml:space="preserve"> more so in comparative company law and corporate governance where much of the focus is on the question of convergence.</w:t>
      </w:r>
      <w:r w:rsidRPr="00AC1055">
        <w:rPr>
          <w:rStyle w:val="FootnoteReference"/>
          <w:rFonts w:cs="Times New Roman"/>
        </w:rPr>
        <w:footnoteReference w:id="226"/>
      </w:r>
      <w:r w:rsidRPr="00AC1055">
        <w:rPr>
          <w:rFonts w:cs="Times New Roman"/>
        </w:rPr>
        <w:t xml:space="preserve"> This can be functionally attributed to prolonged initiatives to unify commercial laws for ease of cross border trade and commerce,</w:t>
      </w:r>
      <w:r w:rsidRPr="00AC1055">
        <w:rPr>
          <w:rStyle w:val="FootnoteReference"/>
          <w:rFonts w:cs="Times New Roman"/>
        </w:rPr>
        <w:footnoteReference w:id="227"/>
      </w:r>
      <w:r w:rsidRPr="00AC1055">
        <w:rPr>
          <w:rFonts w:cs="Times New Roman"/>
        </w:rPr>
        <w:t xml:space="preserve"> transplantation or transfer of ‘best practices’ through investment liberalisation resulting in investor pressure,</w:t>
      </w:r>
      <w:r w:rsidRPr="00AC1055">
        <w:rPr>
          <w:rStyle w:val="FootnoteReference"/>
          <w:rFonts w:cs="Times New Roman"/>
        </w:rPr>
        <w:footnoteReference w:id="228"/>
      </w:r>
      <w:r w:rsidRPr="00AC1055">
        <w:rPr>
          <w:rFonts w:cs="Times New Roman"/>
        </w:rPr>
        <w:t xml:space="preserve"> spread of neo-liberal pro shareholder value ideologies,</w:t>
      </w:r>
      <w:r w:rsidRPr="00AC1055">
        <w:rPr>
          <w:rStyle w:val="FootnoteReference"/>
          <w:rFonts w:cs="Times New Roman"/>
        </w:rPr>
        <w:footnoteReference w:id="229"/>
      </w:r>
      <w:r w:rsidRPr="00AC1055">
        <w:rPr>
          <w:rFonts w:cs="Times New Roman"/>
        </w:rPr>
        <w:t xml:space="preserve"> and harmonising role of global financial institutions.</w:t>
      </w:r>
      <w:r w:rsidRPr="00AC1055">
        <w:rPr>
          <w:rStyle w:val="FootnoteReference"/>
          <w:rFonts w:cs="Times New Roman"/>
        </w:rPr>
        <w:footnoteReference w:id="230"/>
      </w:r>
      <w:r w:rsidRPr="00AC1055">
        <w:rPr>
          <w:rFonts w:cs="Times New Roman"/>
        </w:rPr>
        <w:t xml:space="preserve"> Until the 1996 </w:t>
      </w:r>
      <w:r w:rsidR="009B0DA6" w:rsidRPr="009B0DA6">
        <w:rPr>
          <w:rFonts w:cs="Times New Roman"/>
        </w:rPr>
        <w:lastRenderedPageBreak/>
        <w:t>La Porta et al.</w:t>
      </w:r>
      <w:r w:rsidRPr="00AC1055">
        <w:rPr>
          <w:rFonts w:cs="Times New Roman"/>
        </w:rPr>
        <w:t xml:space="preserve"> paper</w:t>
      </w:r>
      <w:r w:rsidRPr="00AC1055">
        <w:rPr>
          <w:rStyle w:val="FootnoteReference"/>
          <w:rFonts w:cs="Times New Roman"/>
        </w:rPr>
        <w:footnoteReference w:id="231"/>
      </w:r>
      <w:r w:rsidRPr="00AC1055">
        <w:rPr>
          <w:rFonts w:cs="Times New Roman"/>
        </w:rPr>
        <w:t xml:space="preserve"> most of such discussions on </w:t>
      </w:r>
      <w:r>
        <w:rPr>
          <w:rFonts w:cs="Times New Roman"/>
        </w:rPr>
        <w:t xml:space="preserve">the </w:t>
      </w:r>
      <w:r w:rsidRPr="00AC1055">
        <w:rPr>
          <w:rFonts w:cs="Times New Roman"/>
        </w:rPr>
        <w:t>degrees of relative convergence focussed on qualitative comparison</w:t>
      </w:r>
      <w:r w:rsidR="009B0DA6">
        <w:rPr>
          <w:rFonts w:cs="Times New Roman"/>
        </w:rPr>
        <w:t xml:space="preserve">s, however post </w:t>
      </w:r>
      <w:r w:rsidR="009B0DA6" w:rsidRPr="009B0DA6">
        <w:rPr>
          <w:rFonts w:cs="Times New Roman"/>
        </w:rPr>
        <w:t>La Porta et al.</w:t>
      </w:r>
      <w:r w:rsidRPr="00AC1055">
        <w:rPr>
          <w:rFonts w:cs="Times New Roman"/>
        </w:rPr>
        <w:t xml:space="preserve"> there was a newfound focus on quantifying country level legal rules and empirically investigating whether there is any convergence. Most of the research work before 2000 was cross sectional in nature, i.e. they focussed on comparing the variables for many countries but were limited to a single year. At around this time dire/triumphant (depending on one’s perspective) predictions were being made suggesting that shareholder primacy corporate governance had won over </w:t>
      </w:r>
      <w:r>
        <w:rPr>
          <w:rFonts w:cs="Times New Roman"/>
        </w:rPr>
        <w:t xml:space="preserve">the </w:t>
      </w:r>
      <w:r w:rsidRPr="00AC1055">
        <w:rPr>
          <w:rFonts w:cs="Times New Roman"/>
        </w:rPr>
        <w:t xml:space="preserve">stakeholder approach and that eventual full convergence </w:t>
      </w:r>
      <w:r>
        <w:rPr>
          <w:rFonts w:cs="Times New Roman"/>
        </w:rPr>
        <w:t>was</w:t>
      </w:r>
      <w:r w:rsidRPr="00AC1055">
        <w:rPr>
          <w:rFonts w:cs="Times New Roman"/>
        </w:rPr>
        <w:t xml:space="preserve"> only a matter of time.</w:t>
      </w:r>
      <w:r w:rsidRPr="00AC1055">
        <w:rPr>
          <w:rStyle w:val="FootnoteReference"/>
          <w:rFonts w:cs="Times New Roman"/>
        </w:rPr>
        <w:footnoteReference w:id="232"/>
      </w:r>
      <w:r w:rsidRPr="00AC1055">
        <w:rPr>
          <w:rFonts w:cs="Times New Roman"/>
        </w:rPr>
        <w:t xml:space="preserve"> To investigate convergence empirically there was a need for time series cross sectional or panel data collection. </w:t>
      </w:r>
    </w:p>
    <w:p w14:paraId="36D59F9B" w14:textId="77777777" w:rsidR="00E6123E" w:rsidRPr="00AC1055" w:rsidRDefault="00E6123E" w:rsidP="00E6123E">
      <w:pPr>
        <w:spacing w:line="480" w:lineRule="auto"/>
        <w:rPr>
          <w:rFonts w:cs="Times New Roman"/>
        </w:rPr>
      </w:pPr>
      <w:r w:rsidRPr="00AC1055">
        <w:rPr>
          <w:rFonts w:cs="Times New Roman"/>
        </w:rPr>
        <w:t>This was first attempted in 2005 by the project on Law, Finance and Development at the Centre for Business Research (CBR) in the University of Cambridge.</w:t>
      </w:r>
      <w:r w:rsidRPr="00AC1055">
        <w:rPr>
          <w:rStyle w:val="FootnoteReference"/>
          <w:rFonts w:cs="Times New Roman"/>
        </w:rPr>
        <w:footnoteReference w:id="233"/>
      </w:r>
      <w:r w:rsidRPr="00AC1055">
        <w:rPr>
          <w:rFonts w:cs="Times New Roman"/>
        </w:rPr>
        <w:t xml:space="preserve"> They developed two indices on shareholder protection in listed companies. The first one coded for 60 variables for 5 countries for the years 1970 to 2005.</w:t>
      </w:r>
      <w:r w:rsidRPr="00AC1055">
        <w:rPr>
          <w:rStyle w:val="FootnoteReference"/>
          <w:rFonts w:cs="Times New Roman"/>
        </w:rPr>
        <w:footnoteReference w:id="234"/>
      </w:r>
      <w:r w:rsidRPr="00AC1055">
        <w:rPr>
          <w:rFonts w:cs="Times New Roman"/>
        </w:rPr>
        <w:t xml:space="preserve"> The second index coded for 10 variables for 25 countries for the years 1995 to 2005.</w:t>
      </w:r>
      <w:r w:rsidRPr="00AC1055">
        <w:rPr>
          <w:rStyle w:val="FootnoteReference"/>
          <w:rFonts w:cs="Times New Roman"/>
        </w:rPr>
        <w:footnoteReference w:id="235"/>
      </w:r>
      <w:r w:rsidRPr="00AC1055">
        <w:rPr>
          <w:rFonts w:cs="Times New Roman"/>
        </w:rPr>
        <w:t xml:space="preserve"> The general finding on convergence from these studies was that ‘convergence in </w:t>
      </w:r>
      <w:r w:rsidRPr="00AC1055">
        <w:rPr>
          <w:rFonts w:cs="Times New Roman"/>
        </w:rPr>
        <w:lastRenderedPageBreak/>
        <w:t>shareholder protection has been taking place since 1993 and has increased considerably since 2001.’</w:t>
      </w:r>
      <w:r w:rsidRPr="00AC1055">
        <w:rPr>
          <w:rStyle w:val="FootnoteReference"/>
          <w:rFonts w:cs="Times New Roman"/>
        </w:rPr>
        <w:footnoteReference w:id="236"/>
      </w:r>
      <w:r w:rsidRPr="00AC1055">
        <w:rPr>
          <w:rFonts w:cs="Times New Roman"/>
        </w:rPr>
        <w:t xml:space="preserve"> </w:t>
      </w:r>
    </w:p>
    <w:p w14:paraId="3C58C46B" w14:textId="77777777" w:rsidR="00E6123E" w:rsidRPr="00AC1055" w:rsidRDefault="00E6123E" w:rsidP="00E6123E">
      <w:pPr>
        <w:spacing w:line="480" w:lineRule="auto"/>
        <w:rPr>
          <w:rFonts w:cs="Times New Roman"/>
        </w:rPr>
      </w:pPr>
      <w:r w:rsidRPr="00AC1055">
        <w:rPr>
          <w:rFonts w:cs="Times New Roman"/>
        </w:rPr>
        <w:t>In 2006 IMF developed a Corporate Governance Quality (CGQ) index based on firm level accounting and market data for 41 countries for the years 1994 to 2003.</w:t>
      </w:r>
      <w:r w:rsidRPr="00AC1055">
        <w:rPr>
          <w:rStyle w:val="FootnoteReference"/>
          <w:rFonts w:cs="Times New Roman"/>
        </w:rPr>
        <w:footnoteReference w:id="237"/>
      </w:r>
      <w:r w:rsidRPr="00AC1055">
        <w:rPr>
          <w:rFonts w:cs="Times New Roman"/>
        </w:rPr>
        <w:t xml:space="preserve"> They concluded ‘that corporate governance quality has improved in almost all countries, and there is evidence of convergence.’</w:t>
      </w:r>
      <w:r w:rsidRPr="00AC1055">
        <w:rPr>
          <w:rStyle w:val="FootnoteReference"/>
          <w:rFonts w:cs="Times New Roman"/>
        </w:rPr>
        <w:footnoteReference w:id="238"/>
      </w:r>
      <w:r w:rsidRPr="00AC1055">
        <w:rPr>
          <w:rFonts w:cs="Times New Roman"/>
        </w:rPr>
        <w:t xml:space="preserve"> </w:t>
      </w:r>
    </w:p>
    <w:p w14:paraId="3473FECF" w14:textId="77777777" w:rsidR="00E6123E" w:rsidRPr="00AC1055" w:rsidRDefault="00E6123E" w:rsidP="00E6123E">
      <w:pPr>
        <w:spacing w:line="480" w:lineRule="auto"/>
        <w:rPr>
          <w:rFonts w:cs="Times New Roman"/>
        </w:rPr>
      </w:pPr>
      <w:r w:rsidRPr="00AC1055">
        <w:rPr>
          <w:rFonts w:cs="Times New Roman"/>
        </w:rPr>
        <w:t>A country level panel data set, similar to CBR, was developed in 2010 by Marina Martynova and Luc Renneboog</w:t>
      </w:r>
      <w:r>
        <w:rPr>
          <w:rFonts w:cs="Times New Roman"/>
        </w:rPr>
        <w:t>,</w:t>
      </w:r>
      <w:r w:rsidRPr="00AC1055">
        <w:rPr>
          <w:rFonts w:cs="Times New Roman"/>
        </w:rPr>
        <w:t xml:space="preserve"> coding for 55 variables for 30 European countries and the US for the years 1990 to 2005.</w:t>
      </w:r>
      <w:r w:rsidRPr="00AC1055">
        <w:rPr>
          <w:rStyle w:val="FootnoteReference"/>
          <w:rFonts w:cs="Times New Roman"/>
        </w:rPr>
        <w:footnoteReference w:id="239"/>
      </w:r>
      <w:r w:rsidRPr="00AC1055">
        <w:rPr>
          <w:rFonts w:cs="Times New Roman"/>
        </w:rPr>
        <w:t xml:space="preserve"> They concluded that ‘the global convergence of legal systems towards a single system of corporate regulation is unlikely, [but] there are still signs of increasing convergence by national corporate governance regulations towards a shareholder-based regime when the protection of (minority) shareholders is considered.’</w:t>
      </w:r>
      <w:r w:rsidRPr="00AC1055">
        <w:rPr>
          <w:rStyle w:val="FootnoteReference"/>
          <w:rFonts w:cs="Times New Roman"/>
        </w:rPr>
        <w:footnoteReference w:id="240"/>
      </w:r>
      <w:r w:rsidRPr="00AC1055">
        <w:rPr>
          <w:rFonts w:cs="Times New Roman"/>
        </w:rPr>
        <w:t xml:space="preserve"> </w:t>
      </w:r>
    </w:p>
    <w:p w14:paraId="61031F0B" w14:textId="77777777" w:rsidR="00E6123E" w:rsidRPr="00AC1055" w:rsidRDefault="00E6123E" w:rsidP="00E6123E">
      <w:pPr>
        <w:spacing w:line="480" w:lineRule="auto"/>
        <w:rPr>
          <w:rFonts w:cs="Times New Roman"/>
        </w:rPr>
      </w:pPr>
      <w:r w:rsidRPr="00AC1055">
        <w:rPr>
          <w:rFonts w:cs="Times New Roman"/>
        </w:rPr>
        <w:t>A mixed variable, firm level, multiyear corporate governance data set for 5 emerging countries was developed in 2013 by Black et al.</w:t>
      </w:r>
      <w:r w:rsidRPr="00AC1055">
        <w:rPr>
          <w:rStyle w:val="FootnoteReference"/>
          <w:rFonts w:cs="Times New Roman"/>
        </w:rPr>
        <w:footnoteReference w:id="241"/>
      </w:r>
      <w:r w:rsidRPr="00AC1055">
        <w:rPr>
          <w:rFonts w:cs="Times New Roman"/>
        </w:rPr>
        <w:t xml:space="preserve"> Although they did not focus on convergence, their study shows gradual convergence.</w:t>
      </w:r>
      <w:r w:rsidRPr="00AC1055">
        <w:rPr>
          <w:rStyle w:val="FootnoteReference"/>
          <w:rFonts w:cs="Times New Roman"/>
        </w:rPr>
        <w:footnoteReference w:id="242"/>
      </w:r>
      <w:r w:rsidRPr="00AC1055">
        <w:rPr>
          <w:rFonts w:cs="Times New Roman"/>
        </w:rPr>
        <w:t xml:space="preserve"> </w:t>
      </w:r>
    </w:p>
    <w:p w14:paraId="4FCACCA6" w14:textId="77777777" w:rsidR="00E6123E" w:rsidRPr="00AC1055" w:rsidRDefault="00E6123E" w:rsidP="00E6123E">
      <w:pPr>
        <w:spacing w:line="480" w:lineRule="auto"/>
        <w:rPr>
          <w:rFonts w:cs="Times New Roman"/>
        </w:rPr>
      </w:pPr>
      <w:r w:rsidRPr="00AC1055">
        <w:rPr>
          <w:rFonts w:cs="Times New Roman"/>
        </w:rPr>
        <w:t xml:space="preserve">In 2015 Dionysia Katelouzou and Mathias Siems expanded the second CBR shareholder protection index coding for the original 10 variables for 30 countries for </w:t>
      </w:r>
      <w:r w:rsidRPr="00AC1055">
        <w:rPr>
          <w:rFonts w:cs="Times New Roman"/>
        </w:rPr>
        <w:lastRenderedPageBreak/>
        <w:t>the years 1990 to 2013.</w:t>
      </w:r>
      <w:r w:rsidRPr="00AC1055">
        <w:rPr>
          <w:rStyle w:val="FootnoteReference"/>
          <w:rFonts w:cs="Times New Roman"/>
        </w:rPr>
        <w:footnoteReference w:id="243"/>
      </w:r>
      <w:r w:rsidRPr="00AC1055">
        <w:rPr>
          <w:rFonts w:cs="Times New Roman"/>
        </w:rPr>
        <w:t xml:space="preserve"> They concluded that certain market-oriented conception</w:t>
      </w:r>
      <w:r>
        <w:rPr>
          <w:rFonts w:cs="Times New Roman"/>
        </w:rPr>
        <w:t>s</w:t>
      </w:r>
      <w:r w:rsidRPr="00AC1055">
        <w:rPr>
          <w:rFonts w:cs="Times New Roman"/>
        </w:rPr>
        <w:t xml:space="preserve"> of company law </w:t>
      </w:r>
      <w:r>
        <w:rPr>
          <w:rFonts w:cs="Times New Roman"/>
        </w:rPr>
        <w:t>such as the</w:t>
      </w:r>
      <w:r w:rsidRPr="00AC1055">
        <w:rPr>
          <w:rFonts w:cs="Times New Roman"/>
        </w:rPr>
        <w:t xml:space="preserve"> requirement </w:t>
      </w:r>
      <w:r>
        <w:rPr>
          <w:rFonts w:cs="Times New Roman"/>
        </w:rPr>
        <w:t>for</w:t>
      </w:r>
      <w:r w:rsidRPr="00AC1055">
        <w:rPr>
          <w:rFonts w:cs="Times New Roman"/>
        </w:rPr>
        <w:t xml:space="preserve"> independent directors have spread around the world.</w:t>
      </w:r>
      <w:r w:rsidRPr="00AC1055">
        <w:rPr>
          <w:rStyle w:val="FootnoteReference"/>
          <w:rFonts w:cs="Times New Roman"/>
        </w:rPr>
        <w:footnoteReference w:id="244"/>
      </w:r>
      <w:r w:rsidRPr="00AC1055">
        <w:rPr>
          <w:rFonts w:cs="Times New Roman"/>
        </w:rPr>
        <w:t xml:space="preserve"> They also found that the ‘general trend shows, however, that all legal systems have strengthened both enabling and paternalistic tools of shareholder protection regardless of legal origin and stage of economic development.’</w:t>
      </w:r>
      <w:r w:rsidRPr="00AC1055">
        <w:rPr>
          <w:rStyle w:val="FootnoteReference"/>
          <w:rFonts w:cs="Times New Roman"/>
        </w:rPr>
        <w:footnoteReference w:id="245"/>
      </w:r>
      <w:r w:rsidRPr="00AC1055">
        <w:rPr>
          <w:rFonts w:cs="Times New Roman"/>
        </w:rPr>
        <w:t xml:space="preserve"> </w:t>
      </w:r>
    </w:p>
    <w:p w14:paraId="3219EC79" w14:textId="77777777" w:rsidR="00E6123E" w:rsidRPr="00AC1055" w:rsidRDefault="00E6123E" w:rsidP="00E6123E">
      <w:pPr>
        <w:spacing w:line="480" w:lineRule="auto"/>
        <w:rPr>
          <w:rFonts w:cs="Times New Roman"/>
        </w:rPr>
      </w:pPr>
      <w:r w:rsidRPr="00AC1055">
        <w:rPr>
          <w:rFonts w:cs="Times New Roman"/>
        </w:rPr>
        <w:t xml:space="preserve">As </w:t>
      </w:r>
      <w:r>
        <w:rPr>
          <w:rFonts w:cs="Times New Roman"/>
        </w:rPr>
        <w:t xml:space="preserve">explained in the methodology </w:t>
      </w:r>
      <w:r w:rsidRPr="00AC1055">
        <w:rPr>
          <w:rFonts w:cs="Times New Roman"/>
        </w:rPr>
        <w:t>chapter</w:t>
      </w:r>
      <w:r>
        <w:rPr>
          <w:rFonts w:cs="Times New Roman"/>
        </w:rPr>
        <w:t>,</w:t>
      </w:r>
      <w:r w:rsidRPr="00AC1055">
        <w:rPr>
          <w:rFonts w:cs="Times New Roman"/>
        </w:rPr>
        <w:t xml:space="preserve"> this research </w:t>
      </w:r>
      <w:r>
        <w:rPr>
          <w:rFonts w:cs="Times New Roman"/>
        </w:rPr>
        <w:t>codes</w:t>
      </w:r>
      <w:r w:rsidRPr="00AC1055">
        <w:rPr>
          <w:rFonts w:cs="Times New Roman"/>
        </w:rPr>
        <w:t xml:space="preserve"> for 52 variables for 21 countries for the years 1995 to 2014. </w:t>
      </w:r>
      <w:r>
        <w:rPr>
          <w:rFonts w:cs="Times New Roman"/>
        </w:rPr>
        <w:t>A</w:t>
      </w:r>
      <w:r w:rsidRPr="00AC1055">
        <w:rPr>
          <w:rFonts w:cs="Times New Roman"/>
        </w:rPr>
        <w:t xml:space="preserve"> dynamic graded response model </w:t>
      </w:r>
      <w:r>
        <w:rPr>
          <w:rFonts w:cs="Times New Roman"/>
        </w:rPr>
        <w:t xml:space="preserve">is used </w:t>
      </w:r>
      <w:r w:rsidRPr="00AC1055">
        <w:rPr>
          <w:rFonts w:cs="Times New Roman"/>
        </w:rPr>
        <w:t xml:space="preserve">to compute the index. Below the evolution of corporate governance index for the 21 countries </w:t>
      </w:r>
      <w:r>
        <w:rPr>
          <w:rFonts w:cs="Times New Roman"/>
        </w:rPr>
        <w:t xml:space="preserve">is presented </w:t>
      </w:r>
      <w:r w:rsidRPr="00AC1055">
        <w:rPr>
          <w:rFonts w:cs="Times New Roman"/>
        </w:rPr>
        <w:t>in graphical format:</w:t>
      </w:r>
    </w:p>
    <w:p w14:paraId="2791B493" w14:textId="77777777" w:rsidR="00E6123E" w:rsidRPr="00AC1055" w:rsidRDefault="00E6123E" w:rsidP="00E6123E">
      <w:pPr>
        <w:spacing w:line="480" w:lineRule="auto"/>
        <w:rPr>
          <w:rFonts w:cs="Times New Roman"/>
        </w:rPr>
      </w:pPr>
      <w:r w:rsidRPr="00AC1055">
        <w:rPr>
          <w:rFonts w:cs="Times New Roman"/>
          <w:noProof/>
          <w:lang w:eastAsia="en-GB"/>
        </w:rPr>
        <w:drawing>
          <wp:inline distT="0" distB="0" distL="0" distR="0" wp14:anchorId="3A22E812" wp14:editId="63D3EAD5">
            <wp:extent cx="5238750" cy="45339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8750" cy="4533900"/>
                    </a:xfrm>
                    <a:prstGeom prst="rect">
                      <a:avLst/>
                    </a:prstGeom>
                    <a:noFill/>
                    <a:ln>
                      <a:noFill/>
                    </a:ln>
                  </pic:spPr>
                </pic:pic>
              </a:graphicData>
            </a:graphic>
          </wp:inline>
        </w:drawing>
      </w:r>
    </w:p>
    <w:p w14:paraId="1BC94458" w14:textId="77777777" w:rsidR="00E6123E" w:rsidRPr="00AC1055" w:rsidRDefault="00E6123E" w:rsidP="00E6123E">
      <w:pPr>
        <w:spacing w:line="480" w:lineRule="auto"/>
        <w:rPr>
          <w:rFonts w:cs="Times New Roman"/>
        </w:rPr>
      </w:pPr>
    </w:p>
    <w:p w14:paraId="134FAEC0" w14:textId="77777777" w:rsidR="00E6123E" w:rsidRPr="00AC1055" w:rsidRDefault="00E6123E" w:rsidP="00E6123E">
      <w:pPr>
        <w:spacing w:line="480" w:lineRule="auto"/>
        <w:rPr>
          <w:rFonts w:cs="Times New Roman"/>
          <w:noProof/>
          <w:lang w:eastAsia="en-GB"/>
        </w:rPr>
      </w:pPr>
    </w:p>
    <w:p w14:paraId="72EFB9DD" w14:textId="77777777" w:rsidR="00E6123E" w:rsidRPr="00AC1055" w:rsidRDefault="00E6123E" w:rsidP="00E6123E">
      <w:pPr>
        <w:spacing w:line="480" w:lineRule="auto"/>
        <w:rPr>
          <w:rFonts w:cs="Times New Roman"/>
          <w:noProof/>
          <w:lang w:eastAsia="en-GB"/>
        </w:rPr>
      </w:pPr>
    </w:p>
    <w:p w14:paraId="71BA4360" w14:textId="77777777" w:rsidR="00E6123E" w:rsidRPr="00AC1055" w:rsidRDefault="00E6123E" w:rsidP="00E6123E">
      <w:pPr>
        <w:spacing w:line="480" w:lineRule="auto"/>
        <w:rPr>
          <w:rFonts w:cs="Times New Roman"/>
        </w:rPr>
      </w:pPr>
      <w:r w:rsidRPr="00AC1055">
        <w:rPr>
          <w:rFonts w:cs="Times New Roman"/>
          <w:noProof/>
          <w:lang w:eastAsia="en-GB"/>
        </w:rPr>
        <w:drawing>
          <wp:inline distT="0" distB="0" distL="0" distR="0" wp14:anchorId="4005CCC0" wp14:editId="7A1B42F2">
            <wp:extent cx="5114925" cy="755332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9188" cy="7559620"/>
                    </a:xfrm>
                    <a:prstGeom prst="rect">
                      <a:avLst/>
                    </a:prstGeom>
                    <a:noFill/>
                    <a:ln>
                      <a:noFill/>
                    </a:ln>
                  </pic:spPr>
                </pic:pic>
              </a:graphicData>
            </a:graphic>
          </wp:inline>
        </w:drawing>
      </w:r>
    </w:p>
    <w:p w14:paraId="11B7AFE4" w14:textId="77777777" w:rsidR="00E6123E" w:rsidRPr="00AC1055" w:rsidRDefault="00E6123E" w:rsidP="00E6123E">
      <w:pPr>
        <w:spacing w:line="480" w:lineRule="auto"/>
        <w:rPr>
          <w:rFonts w:cs="Times New Roman"/>
        </w:rPr>
      </w:pPr>
      <w:r w:rsidRPr="00AC1055">
        <w:rPr>
          <w:rFonts w:cs="Times New Roman"/>
          <w:noProof/>
          <w:lang w:eastAsia="en-GB"/>
        </w:rPr>
        <w:lastRenderedPageBreak/>
        <w:drawing>
          <wp:inline distT="0" distB="0" distL="0" distR="0" wp14:anchorId="640BA3CC" wp14:editId="3FB441DB">
            <wp:extent cx="5295900" cy="242887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95900" cy="2428875"/>
                    </a:xfrm>
                    <a:prstGeom prst="rect">
                      <a:avLst/>
                    </a:prstGeom>
                    <a:noFill/>
                    <a:ln>
                      <a:noFill/>
                    </a:ln>
                  </pic:spPr>
                </pic:pic>
              </a:graphicData>
            </a:graphic>
          </wp:inline>
        </w:drawing>
      </w:r>
    </w:p>
    <w:p w14:paraId="4EE3749A" w14:textId="77777777" w:rsidR="00E6123E" w:rsidRPr="00AC1055" w:rsidRDefault="00E6123E" w:rsidP="00E6123E">
      <w:pPr>
        <w:spacing w:line="480" w:lineRule="auto"/>
        <w:rPr>
          <w:rFonts w:cs="Times New Roman"/>
        </w:rPr>
      </w:pPr>
      <w:r w:rsidRPr="00AC1055">
        <w:rPr>
          <w:rFonts w:cs="Times New Roman"/>
        </w:rPr>
        <w:t>The preceding graphs show that for all the countries in this study</w:t>
      </w:r>
      <w:r>
        <w:rPr>
          <w:rFonts w:cs="Times New Roman"/>
        </w:rPr>
        <w:t>,</w:t>
      </w:r>
      <w:r w:rsidRPr="00AC1055">
        <w:rPr>
          <w:rFonts w:cs="Times New Roman"/>
        </w:rPr>
        <w:t xml:space="preserve"> the corporate governance index becomes more pro-shareholder over time. However the rate of such increase is different for each country. Please note that the scale is not uniform in the graphs above, this allows for a greater focus on the individual trends for each country. However to compare the trends of corporate governance across all the countries, we need to plot the corporate governance development on a uniform scale. This is done in the graphs below: </w:t>
      </w:r>
    </w:p>
    <w:p w14:paraId="06FD0952" w14:textId="77777777" w:rsidR="00E6123E" w:rsidRPr="00AC1055" w:rsidRDefault="00E6123E" w:rsidP="00E6123E">
      <w:pPr>
        <w:spacing w:line="480" w:lineRule="auto"/>
        <w:rPr>
          <w:rFonts w:cs="Times New Roman"/>
        </w:rPr>
      </w:pPr>
      <w:r>
        <w:rPr>
          <w:rFonts w:cs="Times New Roman"/>
          <w:noProof/>
          <w:lang w:eastAsia="en-GB"/>
        </w:rPr>
        <w:drawing>
          <wp:inline distT="0" distB="0" distL="0" distR="0" wp14:anchorId="2FF0D7D1" wp14:editId="7894AC81">
            <wp:extent cx="5295900" cy="2390042"/>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7524" cy="2390775"/>
                    </a:xfrm>
                    <a:prstGeom prst="rect">
                      <a:avLst/>
                    </a:prstGeom>
                    <a:noFill/>
                    <a:ln>
                      <a:noFill/>
                    </a:ln>
                  </pic:spPr>
                </pic:pic>
              </a:graphicData>
            </a:graphic>
          </wp:inline>
        </w:drawing>
      </w:r>
    </w:p>
    <w:p w14:paraId="345B4C4E" w14:textId="77777777" w:rsidR="00E6123E" w:rsidRPr="00AC1055" w:rsidRDefault="00E6123E" w:rsidP="00E6123E">
      <w:pPr>
        <w:spacing w:line="480" w:lineRule="auto"/>
        <w:rPr>
          <w:rFonts w:cs="Times New Roman"/>
        </w:rPr>
      </w:pPr>
    </w:p>
    <w:p w14:paraId="2D8B2B0C" w14:textId="77777777" w:rsidR="00E6123E" w:rsidRPr="00AC1055" w:rsidRDefault="00E6123E" w:rsidP="00E6123E">
      <w:pPr>
        <w:spacing w:line="480" w:lineRule="auto"/>
        <w:rPr>
          <w:rFonts w:cs="Times New Roman"/>
        </w:rPr>
      </w:pPr>
      <w:r>
        <w:rPr>
          <w:rFonts w:cs="Times New Roman"/>
          <w:noProof/>
          <w:lang w:eastAsia="en-GB"/>
        </w:rPr>
        <w:lastRenderedPageBreak/>
        <w:drawing>
          <wp:inline distT="0" distB="0" distL="0" distR="0" wp14:anchorId="642F4197" wp14:editId="242477E1">
            <wp:extent cx="5153025" cy="86963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3562" cy="8697232"/>
                    </a:xfrm>
                    <a:prstGeom prst="rect">
                      <a:avLst/>
                    </a:prstGeom>
                    <a:noFill/>
                    <a:ln>
                      <a:noFill/>
                    </a:ln>
                  </pic:spPr>
                </pic:pic>
              </a:graphicData>
            </a:graphic>
          </wp:inline>
        </w:drawing>
      </w:r>
    </w:p>
    <w:p w14:paraId="4EFF359D" w14:textId="77777777" w:rsidR="00E6123E" w:rsidRDefault="00E6123E" w:rsidP="00E6123E">
      <w:pPr>
        <w:spacing w:line="480" w:lineRule="auto"/>
        <w:rPr>
          <w:rFonts w:cs="Times New Roman"/>
        </w:rPr>
      </w:pPr>
      <w:r>
        <w:rPr>
          <w:rFonts w:cs="Times New Roman"/>
          <w:noProof/>
          <w:lang w:eastAsia="en-GB"/>
        </w:rPr>
        <w:lastRenderedPageBreak/>
        <w:drawing>
          <wp:inline distT="0" distB="0" distL="0" distR="0" wp14:anchorId="47A5292C" wp14:editId="7E944DA8">
            <wp:extent cx="4933950" cy="3456071"/>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49546" cy="3466996"/>
                    </a:xfrm>
                    <a:prstGeom prst="rect">
                      <a:avLst/>
                    </a:prstGeom>
                    <a:noFill/>
                    <a:ln>
                      <a:noFill/>
                    </a:ln>
                  </pic:spPr>
                </pic:pic>
              </a:graphicData>
            </a:graphic>
          </wp:inline>
        </w:drawing>
      </w:r>
    </w:p>
    <w:p w14:paraId="2FB8A21A" w14:textId="72259D69" w:rsidR="00E6123E" w:rsidRPr="00AC1055" w:rsidRDefault="00E6123E" w:rsidP="00E6123E">
      <w:pPr>
        <w:spacing w:line="480" w:lineRule="auto"/>
        <w:rPr>
          <w:rFonts w:cs="Times New Roman"/>
        </w:rPr>
      </w:pPr>
      <w:r w:rsidRPr="00AC1055">
        <w:rPr>
          <w:rFonts w:cs="Times New Roman"/>
        </w:rPr>
        <w:t xml:space="preserve">Change in </w:t>
      </w:r>
      <w:r w:rsidR="004274D4">
        <w:rPr>
          <w:rFonts w:cs="Times New Roman"/>
        </w:rPr>
        <w:t xml:space="preserve">shareholder primacy </w:t>
      </w:r>
      <w:r w:rsidRPr="00AC1055">
        <w:rPr>
          <w:rFonts w:cs="Times New Roman"/>
        </w:rPr>
        <w:t>corporate governance (1995 – 2014) standardised scores</w:t>
      </w:r>
      <w:r w:rsidR="004274D4">
        <w:rPr>
          <w:rFonts w:cs="Times New Roman"/>
        </w:rPr>
        <w:t xml:space="preserve"> is tabulated below (darker shade represents more change)</w:t>
      </w:r>
      <w:r>
        <w:rPr>
          <w:rFonts w:cs="Times New Roman"/>
        </w:rPr>
        <w:t>:</w:t>
      </w:r>
      <w:r w:rsidRPr="00AC1055">
        <w:rPr>
          <w:rFonts w:cs="Times New Roman"/>
        </w:rPr>
        <w:t xml:space="preserve"> </w:t>
      </w:r>
    </w:p>
    <w:tbl>
      <w:tblPr>
        <w:tblStyle w:val="TableGrid"/>
        <w:tblW w:w="0" w:type="auto"/>
        <w:jc w:val="center"/>
        <w:tblLook w:val="04A0" w:firstRow="1" w:lastRow="0" w:firstColumn="1" w:lastColumn="0" w:noHBand="0" w:noVBand="1"/>
      </w:tblPr>
      <w:tblGrid>
        <w:gridCol w:w="2671"/>
        <w:gridCol w:w="1418"/>
        <w:gridCol w:w="2551"/>
        <w:gridCol w:w="1774"/>
      </w:tblGrid>
      <w:tr w:rsidR="000F3D76" w:rsidRPr="00AC1055" w14:paraId="5067C37D" w14:textId="77777777" w:rsidTr="00413229">
        <w:trPr>
          <w:jc w:val="center"/>
        </w:trPr>
        <w:tc>
          <w:tcPr>
            <w:tcW w:w="2671" w:type="dxa"/>
          </w:tcPr>
          <w:p w14:paraId="2E46050F" w14:textId="77777777" w:rsidR="000F3D76" w:rsidRPr="00AC1055" w:rsidRDefault="000F3D76" w:rsidP="00413229">
            <w:pPr>
              <w:spacing w:line="480" w:lineRule="auto"/>
              <w:jc w:val="center"/>
              <w:rPr>
                <w:rFonts w:cs="Times New Roman"/>
              </w:rPr>
            </w:pPr>
            <w:r w:rsidRPr="00AC1055">
              <w:rPr>
                <w:rFonts w:cs="Times New Roman"/>
              </w:rPr>
              <w:t>Country</w:t>
            </w:r>
          </w:p>
        </w:tc>
        <w:tc>
          <w:tcPr>
            <w:tcW w:w="1418" w:type="dxa"/>
          </w:tcPr>
          <w:p w14:paraId="4F3CE604" w14:textId="77777777" w:rsidR="000F3D76" w:rsidRPr="00AC1055" w:rsidRDefault="000F3D76" w:rsidP="00413229">
            <w:pPr>
              <w:spacing w:line="480" w:lineRule="auto"/>
              <w:jc w:val="center"/>
              <w:rPr>
                <w:rFonts w:cs="Times New Roman"/>
              </w:rPr>
            </w:pPr>
            <w:r w:rsidRPr="00AC1055">
              <w:rPr>
                <w:rFonts w:cs="Times New Roman"/>
              </w:rPr>
              <w:t>Change</w:t>
            </w:r>
          </w:p>
        </w:tc>
        <w:tc>
          <w:tcPr>
            <w:tcW w:w="2551" w:type="dxa"/>
          </w:tcPr>
          <w:p w14:paraId="6E5111EC" w14:textId="77777777" w:rsidR="000F3D76" w:rsidRPr="00AC1055" w:rsidRDefault="000F3D76" w:rsidP="00413229">
            <w:pPr>
              <w:spacing w:line="480" w:lineRule="auto"/>
              <w:jc w:val="center"/>
              <w:rPr>
                <w:rFonts w:cs="Times New Roman"/>
              </w:rPr>
            </w:pPr>
            <w:r w:rsidRPr="00AC1055">
              <w:rPr>
                <w:rFonts w:cs="Times New Roman"/>
              </w:rPr>
              <w:t>Country</w:t>
            </w:r>
          </w:p>
        </w:tc>
        <w:tc>
          <w:tcPr>
            <w:tcW w:w="1774" w:type="dxa"/>
          </w:tcPr>
          <w:p w14:paraId="37298F35" w14:textId="77777777" w:rsidR="000F3D76" w:rsidRPr="00AC1055" w:rsidRDefault="000F3D76" w:rsidP="00413229">
            <w:pPr>
              <w:spacing w:line="480" w:lineRule="auto"/>
              <w:jc w:val="center"/>
              <w:rPr>
                <w:rFonts w:cs="Times New Roman"/>
              </w:rPr>
            </w:pPr>
            <w:r w:rsidRPr="00AC1055">
              <w:rPr>
                <w:rFonts w:cs="Times New Roman"/>
              </w:rPr>
              <w:t>Change</w:t>
            </w:r>
          </w:p>
        </w:tc>
      </w:tr>
      <w:tr w:rsidR="000F3D76" w:rsidRPr="00AC1055" w14:paraId="2613627D" w14:textId="77777777" w:rsidTr="004274D4">
        <w:trPr>
          <w:trHeight w:val="479"/>
          <w:jc w:val="center"/>
        </w:trPr>
        <w:tc>
          <w:tcPr>
            <w:tcW w:w="2671" w:type="dxa"/>
            <w:shd w:val="clear" w:color="auto" w:fill="E36C0A" w:themeFill="accent6" w:themeFillShade="BF"/>
          </w:tcPr>
          <w:p w14:paraId="37C36714" w14:textId="77777777" w:rsidR="000F3D76" w:rsidRPr="00AC1055" w:rsidRDefault="000F3D76" w:rsidP="00413229">
            <w:pPr>
              <w:spacing w:line="480" w:lineRule="auto"/>
              <w:jc w:val="center"/>
              <w:rPr>
                <w:rFonts w:cs="Times New Roman"/>
              </w:rPr>
            </w:pPr>
            <w:r w:rsidRPr="00AC1055">
              <w:rPr>
                <w:rFonts w:cs="Times New Roman"/>
              </w:rPr>
              <w:t>China (CH)</w:t>
            </w:r>
          </w:p>
        </w:tc>
        <w:tc>
          <w:tcPr>
            <w:tcW w:w="1418" w:type="dxa"/>
            <w:shd w:val="clear" w:color="auto" w:fill="E36C0A" w:themeFill="accent6" w:themeFillShade="BF"/>
          </w:tcPr>
          <w:p w14:paraId="5E564DD8" w14:textId="77777777" w:rsidR="000F3D76" w:rsidRPr="00AC1055" w:rsidRDefault="000F3D76" w:rsidP="00413229">
            <w:pPr>
              <w:spacing w:line="480" w:lineRule="auto"/>
              <w:jc w:val="center"/>
              <w:rPr>
                <w:rFonts w:cs="Times New Roman"/>
              </w:rPr>
            </w:pPr>
            <w:r w:rsidRPr="00AC1055">
              <w:rPr>
                <w:rFonts w:cs="Times New Roman"/>
              </w:rPr>
              <w:t>3.46</w:t>
            </w:r>
          </w:p>
        </w:tc>
        <w:tc>
          <w:tcPr>
            <w:tcW w:w="2551" w:type="dxa"/>
            <w:shd w:val="clear" w:color="auto" w:fill="E36C0A" w:themeFill="accent6" w:themeFillShade="BF"/>
          </w:tcPr>
          <w:p w14:paraId="2FF540AB" w14:textId="77777777" w:rsidR="000F3D76" w:rsidRPr="00AC1055" w:rsidRDefault="000F3D76" w:rsidP="00413229">
            <w:pPr>
              <w:spacing w:line="480" w:lineRule="auto"/>
              <w:jc w:val="center"/>
              <w:rPr>
                <w:rFonts w:cs="Times New Roman"/>
              </w:rPr>
            </w:pPr>
            <w:r w:rsidRPr="00AC1055">
              <w:rPr>
                <w:rFonts w:cs="Times New Roman"/>
              </w:rPr>
              <w:t>Vietnam (VTN)</w:t>
            </w:r>
          </w:p>
        </w:tc>
        <w:tc>
          <w:tcPr>
            <w:tcW w:w="1774" w:type="dxa"/>
            <w:shd w:val="clear" w:color="auto" w:fill="E36C0A" w:themeFill="accent6" w:themeFillShade="BF"/>
          </w:tcPr>
          <w:p w14:paraId="6EBEBADB" w14:textId="77777777" w:rsidR="000F3D76" w:rsidRPr="00AC1055" w:rsidRDefault="000F3D76" w:rsidP="00413229">
            <w:pPr>
              <w:spacing w:line="480" w:lineRule="auto"/>
              <w:jc w:val="center"/>
              <w:rPr>
                <w:rFonts w:cs="Times New Roman"/>
              </w:rPr>
            </w:pPr>
            <w:r w:rsidRPr="00AC1055">
              <w:rPr>
                <w:rFonts w:cs="Times New Roman"/>
              </w:rPr>
              <w:t>3.49</w:t>
            </w:r>
          </w:p>
        </w:tc>
      </w:tr>
      <w:tr w:rsidR="000F3D76" w:rsidRPr="00AC1055" w14:paraId="5D54F2FE" w14:textId="77777777" w:rsidTr="00413229">
        <w:trPr>
          <w:trHeight w:val="285"/>
          <w:jc w:val="center"/>
        </w:trPr>
        <w:tc>
          <w:tcPr>
            <w:tcW w:w="2671" w:type="dxa"/>
            <w:shd w:val="clear" w:color="auto" w:fill="E36C0A" w:themeFill="accent6" w:themeFillShade="BF"/>
          </w:tcPr>
          <w:p w14:paraId="50B623B6" w14:textId="77777777" w:rsidR="000F3D76" w:rsidRPr="00AC1055" w:rsidRDefault="000F3D76" w:rsidP="00413229">
            <w:pPr>
              <w:spacing w:line="480" w:lineRule="auto"/>
              <w:jc w:val="center"/>
              <w:rPr>
                <w:rFonts w:cs="Times New Roman"/>
              </w:rPr>
            </w:pPr>
            <w:r w:rsidRPr="00AC1055">
              <w:rPr>
                <w:rFonts w:cs="Times New Roman"/>
              </w:rPr>
              <w:t>Russia (RUS)</w:t>
            </w:r>
          </w:p>
        </w:tc>
        <w:tc>
          <w:tcPr>
            <w:tcW w:w="1418" w:type="dxa"/>
            <w:shd w:val="clear" w:color="auto" w:fill="E36C0A" w:themeFill="accent6" w:themeFillShade="BF"/>
          </w:tcPr>
          <w:p w14:paraId="7684CFD6" w14:textId="77777777" w:rsidR="000F3D76" w:rsidRPr="00AC1055" w:rsidRDefault="000F3D76" w:rsidP="00413229">
            <w:pPr>
              <w:spacing w:line="480" w:lineRule="auto"/>
              <w:jc w:val="center"/>
              <w:rPr>
                <w:rFonts w:cs="Times New Roman"/>
              </w:rPr>
            </w:pPr>
            <w:r w:rsidRPr="00AC1055">
              <w:rPr>
                <w:rFonts w:cs="Times New Roman"/>
              </w:rPr>
              <w:t>2.4</w:t>
            </w:r>
          </w:p>
        </w:tc>
        <w:tc>
          <w:tcPr>
            <w:tcW w:w="2551" w:type="dxa"/>
            <w:shd w:val="clear" w:color="auto" w:fill="E36C0A" w:themeFill="accent6" w:themeFillShade="BF"/>
          </w:tcPr>
          <w:p w14:paraId="602632F6" w14:textId="77777777" w:rsidR="000F3D76" w:rsidRPr="00AC1055" w:rsidRDefault="000F3D76" w:rsidP="00413229">
            <w:pPr>
              <w:spacing w:line="480" w:lineRule="auto"/>
              <w:jc w:val="center"/>
              <w:rPr>
                <w:rFonts w:cs="Times New Roman"/>
              </w:rPr>
            </w:pPr>
            <w:r w:rsidRPr="00AC1055">
              <w:rPr>
                <w:rFonts w:cs="Times New Roman"/>
              </w:rPr>
              <w:t>South Africa (RSA)</w:t>
            </w:r>
          </w:p>
        </w:tc>
        <w:tc>
          <w:tcPr>
            <w:tcW w:w="1774" w:type="dxa"/>
            <w:shd w:val="clear" w:color="auto" w:fill="E36C0A" w:themeFill="accent6" w:themeFillShade="BF"/>
          </w:tcPr>
          <w:p w14:paraId="347DE8B3" w14:textId="77777777" w:rsidR="000F3D76" w:rsidRPr="00AC1055" w:rsidRDefault="000F3D76" w:rsidP="00413229">
            <w:pPr>
              <w:spacing w:line="480" w:lineRule="auto"/>
              <w:jc w:val="center"/>
              <w:rPr>
                <w:rFonts w:cs="Times New Roman"/>
              </w:rPr>
            </w:pPr>
            <w:r w:rsidRPr="00AC1055">
              <w:rPr>
                <w:rFonts w:cs="Times New Roman"/>
              </w:rPr>
              <w:t>2.18</w:t>
            </w:r>
          </w:p>
        </w:tc>
      </w:tr>
      <w:tr w:rsidR="000F3D76" w:rsidRPr="00AC1055" w14:paraId="63BD25DD" w14:textId="77777777" w:rsidTr="00413229">
        <w:trPr>
          <w:jc w:val="center"/>
        </w:trPr>
        <w:tc>
          <w:tcPr>
            <w:tcW w:w="2671" w:type="dxa"/>
            <w:shd w:val="clear" w:color="auto" w:fill="E36C0A" w:themeFill="accent6" w:themeFillShade="BF"/>
          </w:tcPr>
          <w:p w14:paraId="1EFADD8E" w14:textId="77777777" w:rsidR="000F3D76" w:rsidRPr="00AC1055" w:rsidRDefault="000F3D76" w:rsidP="00413229">
            <w:pPr>
              <w:spacing w:line="480" w:lineRule="auto"/>
              <w:jc w:val="center"/>
              <w:rPr>
                <w:rFonts w:cs="Times New Roman"/>
              </w:rPr>
            </w:pPr>
            <w:r w:rsidRPr="00AC1055">
              <w:rPr>
                <w:rFonts w:cs="Times New Roman"/>
              </w:rPr>
              <w:t>Kenya (KEN)</w:t>
            </w:r>
          </w:p>
        </w:tc>
        <w:tc>
          <w:tcPr>
            <w:tcW w:w="1418" w:type="dxa"/>
            <w:shd w:val="clear" w:color="auto" w:fill="E36C0A" w:themeFill="accent6" w:themeFillShade="BF"/>
          </w:tcPr>
          <w:p w14:paraId="19125DEA" w14:textId="77777777" w:rsidR="000F3D76" w:rsidRPr="00AC1055" w:rsidRDefault="000F3D76" w:rsidP="00413229">
            <w:pPr>
              <w:spacing w:line="480" w:lineRule="auto"/>
              <w:jc w:val="center"/>
              <w:rPr>
                <w:rFonts w:cs="Times New Roman"/>
              </w:rPr>
            </w:pPr>
            <w:r w:rsidRPr="00AC1055">
              <w:rPr>
                <w:rFonts w:cs="Times New Roman"/>
              </w:rPr>
              <w:t>1.96</w:t>
            </w:r>
          </w:p>
        </w:tc>
        <w:tc>
          <w:tcPr>
            <w:tcW w:w="2551" w:type="dxa"/>
            <w:shd w:val="clear" w:color="auto" w:fill="FABF8F" w:themeFill="accent6" w:themeFillTint="99"/>
          </w:tcPr>
          <w:p w14:paraId="70A99EDD" w14:textId="77777777" w:rsidR="000F3D76" w:rsidRPr="00AC1055" w:rsidRDefault="000F3D76" w:rsidP="00413229">
            <w:pPr>
              <w:spacing w:line="480" w:lineRule="auto"/>
              <w:jc w:val="center"/>
              <w:rPr>
                <w:rFonts w:cs="Times New Roman"/>
              </w:rPr>
            </w:pPr>
            <w:r w:rsidRPr="00AC1055">
              <w:rPr>
                <w:rFonts w:cs="Times New Roman"/>
              </w:rPr>
              <w:t>Brazil (BR)</w:t>
            </w:r>
          </w:p>
        </w:tc>
        <w:tc>
          <w:tcPr>
            <w:tcW w:w="1774" w:type="dxa"/>
            <w:shd w:val="clear" w:color="auto" w:fill="FABF8F" w:themeFill="accent6" w:themeFillTint="99"/>
          </w:tcPr>
          <w:p w14:paraId="364081B7" w14:textId="77777777" w:rsidR="000F3D76" w:rsidRPr="00AC1055" w:rsidRDefault="000F3D76" w:rsidP="00413229">
            <w:pPr>
              <w:spacing w:line="480" w:lineRule="auto"/>
              <w:jc w:val="center"/>
              <w:rPr>
                <w:rFonts w:cs="Times New Roman"/>
              </w:rPr>
            </w:pPr>
            <w:r w:rsidRPr="00AC1055">
              <w:rPr>
                <w:rFonts w:cs="Times New Roman"/>
              </w:rPr>
              <w:t>1.62</w:t>
            </w:r>
          </w:p>
        </w:tc>
      </w:tr>
      <w:tr w:rsidR="000F3D76" w:rsidRPr="00AC1055" w14:paraId="0AB6C2D1" w14:textId="77777777" w:rsidTr="00413229">
        <w:trPr>
          <w:jc w:val="center"/>
        </w:trPr>
        <w:tc>
          <w:tcPr>
            <w:tcW w:w="2671" w:type="dxa"/>
            <w:shd w:val="clear" w:color="auto" w:fill="FABF8F" w:themeFill="accent6" w:themeFillTint="99"/>
          </w:tcPr>
          <w:p w14:paraId="6A628E10" w14:textId="77777777" w:rsidR="000F3D76" w:rsidRPr="00AC1055" w:rsidRDefault="000F3D76" w:rsidP="00413229">
            <w:pPr>
              <w:spacing w:line="480" w:lineRule="auto"/>
              <w:jc w:val="center"/>
              <w:rPr>
                <w:rFonts w:cs="Times New Roman"/>
              </w:rPr>
            </w:pPr>
            <w:r w:rsidRPr="00AC1055">
              <w:rPr>
                <w:rFonts w:cs="Times New Roman"/>
              </w:rPr>
              <w:t>Pakistan (PK)</w:t>
            </w:r>
          </w:p>
        </w:tc>
        <w:tc>
          <w:tcPr>
            <w:tcW w:w="1418" w:type="dxa"/>
            <w:shd w:val="clear" w:color="auto" w:fill="FABF8F" w:themeFill="accent6" w:themeFillTint="99"/>
          </w:tcPr>
          <w:p w14:paraId="61F0E28A" w14:textId="77777777" w:rsidR="000F3D76" w:rsidRPr="00AC1055" w:rsidRDefault="000F3D76" w:rsidP="00413229">
            <w:pPr>
              <w:spacing w:line="480" w:lineRule="auto"/>
              <w:jc w:val="center"/>
              <w:rPr>
                <w:rFonts w:cs="Times New Roman"/>
              </w:rPr>
            </w:pPr>
            <w:r w:rsidRPr="00AC1055">
              <w:rPr>
                <w:rFonts w:cs="Times New Roman"/>
              </w:rPr>
              <w:t>1.42</w:t>
            </w:r>
          </w:p>
        </w:tc>
        <w:tc>
          <w:tcPr>
            <w:tcW w:w="2551" w:type="dxa"/>
            <w:shd w:val="clear" w:color="auto" w:fill="FABF8F" w:themeFill="accent6" w:themeFillTint="99"/>
          </w:tcPr>
          <w:p w14:paraId="712FA318" w14:textId="77777777" w:rsidR="000F3D76" w:rsidRPr="00AC1055" w:rsidRDefault="000F3D76" w:rsidP="00413229">
            <w:pPr>
              <w:spacing w:line="480" w:lineRule="auto"/>
              <w:jc w:val="center"/>
              <w:rPr>
                <w:rFonts w:cs="Times New Roman"/>
              </w:rPr>
            </w:pPr>
            <w:r w:rsidRPr="00AC1055">
              <w:rPr>
                <w:rFonts w:cs="Times New Roman"/>
              </w:rPr>
              <w:t>Philippines (PHL)</w:t>
            </w:r>
          </w:p>
        </w:tc>
        <w:tc>
          <w:tcPr>
            <w:tcW w:w="1774" w:type="dxa"/>
            <w:shd w:val="clear" w:color="auto" w:fill="FABF8F" w:themeFill="accent6" w:themeFillTint="99"/>
          </w:tcPr>
          <w:p w14:paraId="4B90BD30" w14:textId="77777777" w:rsidR="000F3D76" w:rsidRPr="00AC1055" w:rsidRDefault="000F3D76" w:rsidP="00413229">
            <w:pPr>
              <w:spacing w:line="480" w:lineRule="auto"/>
              <w:jc w:val="center"/>
              <w:rPr>
                <w:rFonts w:cs="Times New Roman"/>
              </w:rPr>
            </w:pPr>
            <w:r w:rsidRPr="00AC1055">
              <w:rPr>
                <w:rFonts w:cs="Times New Roman"/>
              </w:rPr>
              <w:t>1.54</w:t>
            </w:r>
          </w:p>
        </w:tc>
      </w:tr>
      <w:tr w:rsidR="000F3D76" w:rsidRPr="00AC1055" w14:paraId="61A5B295" w14:textId="77777777" w:rsidTr="00413229">
        <w:trPr>
          <w:jc w:val="center"/>
        </w:trPr>
        <w:tc>
          <w:tcPr>
            <w:tcW w:w="2671" w:type="dxa"/>
            <w:shd w:val="clear" w:color="auto" w:fill="FABF8F" w:themeFill="accent6" w:themeFillTint="99"/>
          </w:tcPr>
          <w:p w14:paraId="205C8061" w14:textId="77777777" w:rsidR="000F3D76" w:rsidRPr="00AC1055" w:rsidRDefault="000F3D76" w:rsidP="00413229">
            <w:pPr>
              <w:spacing w:line="480" w:lineRule="auto"/>
              <w:jc w:val="center"/>
              <w:rPr>
                <w:rFonts w:cs="Times New Roman"/>
              </w:rPr>
            </w:pPr>
            <w:r w:rsidRPr="00AC1055">
              <w:rPr>
                <w:rFonts w:cs="Times New Roman"/>
              </w:rPr>
              <w:t>Indonesia (INS)</w:t>
            </w:r>
          </w:p>
        </w:tc>
        <w:tc>
          <w:tcPr>
            <w:tcW w:w="1418" w:type="dxa"/>
            <w:shd w:val="clear" w:color="auto" w:fill="FABF8F" w:themeFill="accent6" w:themeFillTint="99"/>
          </w:tcPr>
          <w:p w14:paraId="17B5C269" w14:textId="77777777" w:rsidR="000F3D76" w:rsidRPr="00AC1055" w:rsidRDefault="000F3D76" w:rsidP="00413229">
            <w:pPr>
              <w:spacing w:line="480" w:lineRule="auto"/>
              <w:jc w:val="center"/>
              <w:rPr>
                <w:rFonts w:cs="Times New Roman"/>
              </w:rPr>
            </w:pPr>
            <w:r w:rsidRPr="00AC1055">
              <w:rPr>
                <w:rFonts w:cs="Times New Roman"/>
              </w:rPr>
              <w:t>1.34</w:t>
            </w:r>
          </w:p>
        </w:tc>
        <w:tc>
          <w:tcPr>
            <w:tcW w:w="2551" w:type="dxa"/>
            <w:shd w:val="clear" w:color="auto" w:fill="FABF8F" w:themeFill="accent6" w:themeFillTint="99"/>
          </w:tcPr>
          <w:p w14:paraId="32F00053" w14:textId="77777777" w:rsidR="000F3D76" w:rsidRPr="00AC1055" w:rsidRDefault="000F3D76" w:rsidP="00413229">
            <w:pPr>
              <w:spacing w:line="480" w:lineRule="auto"/>
              <w:jc w:val="center"/>
              <w:rPr>
                <w:rFonts w:cs="Times New Roman"/>
              </w:rPr>
            </w:pPr>
            <w:r w:rsidRPr="00AC1055">
              <w:rPr>
                <w:rFonts w:cs="Times New Roman"/>
              </w:rPr>
              <w:t>Peru (PER)</w:t>
            </w:r>
          </w:p>
        </w:tc>
        <w:tc>
          <w:tcPr>
            <w:tcW w:w="1774" w:type="dxa"/>
            <w:shd w:val="clear" w:color="auto" w:fill="FABF8F" w:themeFill="accent6" w:themeFillTint="99"/>
          </w:tcPr>
          <w:p w14:paraId="3C494340" w14:textId="77777777" w:rsidR="000F3D76" w:rsidRPr="00AC1055" w:rsidRDefault="000F3D76" w:rsidP="00413229">
            <w:pPr>
              <w:spacing w:line="480" w:lineRule="auto"/>
              <w:jc w:val="center"/>
              <w:rPr>
                <w:rFonts w:cs="Times New Roman"/>
              </w:rPr>
            </w:pPr>
            <w:r w:rsidRPr="00AC1055">
              <w:rPr>
                <w:rFonts w:cs="Times New Roman"/>
              </w:rPr>
              <w:t>1.4</w:t>
            </w:r>
          </w:p>
        </w:tc>
      </w:tr>
      <w:tr w:rsidR="000F3D76" w:rsidRPr="00AC1055" w14:paraId="2EC41FA7" w14:textId="77777777" w:rsidTr="000F3D76">
        <w:trPr>
          <w:jc w:val="center"/>
        </w:trPr>
        <w:tc>
          <w:tcPr>
            <w:tcW w:w="2671" w:type="dxa"/>
            <w:shd w:val="clear" w:color="auto" w:fill="FBD4B4" w:themeFill="accent6" w:themeFillTint="66"/>
          </w:tcPr>
          <w:p w14:paraId="2CC0F125" w14:textId="77777777" w:rsidR="000F3D76" w:rsidRPr="00AC1055" w:rsidRDefault="000F3D76" w:rsidP="00413229">
            <w:pPr>
              <w:spacing w:line="480" w:lineRule="auto"/>
              <w:jc w:val="center"/>
              <w:rPr>
                <w:rFonts w:cs="Times New Roman"/>
              </w:rPr>
            </w:pPr>
            <w:r w:rsidRPr="00AC1055">
              <w:rPr>
                <w:rFonts w:cs="Times New Roman"/>
              </w:rPr>
              <w:t>Hong Kong (HKG)</w:t>
            </w:r>
          </w:p>
        </w:tc>
        <w:tc>
          <w:tcPr>
            <w:tcW w:w="1418" w:type="dxa"/>
            <w:shd w:val="clear" w:color="auto" w:fill="FBD4B4" w:themeFill="accent6" w:themeFillTint="66"/>
          </w:tcPr>
          <w:p w14:paraId="00EFEB51" w14:textId="77777777" w:rsidR="000F3D76" w:rsidRPr="00AC1055" w:rsidRDefault="000F3D76" w:rsidP="00413229">
            <w:pPr>
              <w:spacing w:line="480" w:lineRule="auto"/>
              <w:jc w:val="center"/>
              <w:rPr>
                <w:rFonts w:cs="Times New Roman"/>
              </w:rPr>
            </w:pPr>
            <w:r w:rsidRPr="00AC1055">
              <w:rPr>
                <w:rFonts w:cs="Times New Roman"/>
              </w:rPr>
              <w:t>0.7</w:t>
            </w:r>
          </w:p>
        </w:tc>
        <w:tc>
          <w:tcPr>
            <w:tcW w:w="2551" w:type="dxa"/>
            <w:shd w:val="clear" w:color="auto" w:fill="FABF8F" w:themeFill="accent6" w:themeFillTint="99"/>
          </w:tcPr>
          <w:p w14:paraId="0F2331DC" w14:textId="77777777" w:rsidR="000F3D76" w:rsidRPr="00AC1055" w:rsidRDefault="000F3D76" w:rsidP="00413229">
            <w:pPr>
              <w:spacing w:line="480" w:lineRule="auto"/>
              <w:jc w:val="center"/>
              <w:rPr>
                <w:rFonts w:cs="Times New Roman"/>
              </w:rPr>
            </w:pPr>
            <w:r w:rsidRPr="00AC1055">
              <w:rPr>
                <w:rFonts w:cs="Times New Roman"/>
              </w:rPr>
              <w:t>India (IN)</w:t>
            </w:r>
          </w:p>
        </w:tc>
        <w:tc>
          <w:tcPr>
            <w:tcW w:w="1774" w:type="dxa"/>
            <w:shd w:val="clear" w:color="auto" w:fill="FABF8F" w:themeFill="accent6" w:themeFillTint="99"/>
          </w:tcPr>
          <w:p w14:paraId="543C7793" w14:textId="77777777" w:rsidR="000F3D76" w:rsidRPr="00AC1055" w:rsidRDefault="000F3D76" w:rsidP="00413229">
            <w:pPr>
              <w:spacing w:line="480" w:lineRule="auto"/>
              <w:jc w:val="center"/>
              <w:rPr>
                <w:rFonts w:cs="Times New Roman"/>
              </w:rPr>
            </w:pPr>
            <w:r w:rsidRPr="00AC1055">
              <w:rPr>
                <w:rFonts w:cs="Times New Roman"/>
              </w:rPr>
              <w:t>1.03</w:t>
            </w:r>
          </w:p>
        </w:tc>
      </w:tr>
      <w:tr w:rsidR="000F3D76" w:rsidRPr="00AC1055" w14:paraId="7F48F254" w14:textId="77777777" w:rsidTr="00413229">
        <w:trPr>
          <w:jc w:val="center"/>
        </w:trPr>
        <w:tc>
          <w:tcPr>
            <w:tcW w:w="2671" w:type="dxa"/>
            <w:shd w:val="clear" w:color="auto" w:fill="FBD4B4" w:themeFill="accent6" w:themeFillTint="66"/>
          </w:tcPr>
          <w:p w14:paraId="34FF1259" w14:textId="77777777" w:rsidR="000F3D76" w:rsidRPr="00AC1055" w:rsidRDefault="000F3D76" w:rsidP="00413229">
            <w:pPr>
              <w:spacing w:line="480" w:lineRule="auto"/>
              <w:jc w:val="center"/>
              <w:rPr>
                <w:rFonts w:cs="Times New Roman"/>
              </w:rPr>
            </w:pPr>
            <w:r w:rsidRPr="00AC1055">
              <w:rPr>
                <w:rFonts w:cs="Times New Roman"/>
              </w:rPr>
              <w:t>Argentina (AR)</w:t>
            </w:r>
          </w:p>
        </w:tc>
        <w:tc>
          <w:tcPr>
            <w:tcW w:w="1418" w:type="dxa"/>
            <w:shd w:val="clear" w:color="auto" w:fill="FBD4B4" w:themeFill="accent6" w:themeFillTint="66"/>
          </w:tcPr>
          <w:p w14:paraId="386FC184" w14:textId="77777777" w:rsidR="000F3D76" w:rsidRPr="00AC1055" w:rsidRDefault="000F3D76" w:rsidP="00413229">
            <w:pPr>
              <w:spacing w:line="480" w:lineRule="auto"/>
              <w:jc w:val="center"/>
              <w:rPr>
                <w:rFonts w:cs="Times New Roman"/>
              </w:rPr>
            </w:pPr>
            <w:r w:rsidRPr="00AC1055">
              <w:rPr>
                <w:rFonts w:cs="Times New Roman"/>
              </w:rPr>
              <w:t>0.77</w:t>
            </w:r>
          </w:p>
        </w:tc>
        <w:tc>
          <w:tcPr>
            <w:tcW w:w="2551" w:type="dxa"/>
            <w:shd w:val="clear" w:color="auto" w:fill="FBD4B4" w:themeFill="accent6" w:themeFillTint="66"/>
          </w:tcPr>
          <w:p w14:paraId="325FAEFC" w14:textId="77777777" w:rsidR="000F3D76" w:rsidRPr="00AC1055" w:rsidRDefault="000F3D76" w:rsidP="00413229">
            <w:pPr>
              <w:spacing w:line="480" w:lineRule="auto"/>
              <w:jc w:val="center"/>
              <w:rPr>
                <w:rFonts w:cs="Times New Roman"/>
              </w:rPr>
            </w:pPr>
            <w:r w:rsidRPr="00AC1055">
              <w:rPr>
                <w:rFonts w:cs="Times New Roman"/>
              </w:rPr>
              <w:t>El Salvador (ELS)</w:t>
            </w:r>
          </w:p>
        </w:tc>
        <w:tc>
          <w:tcPr>
            <w:tcW w:w="1774" w:type="dxa"/>
            <w:shd w:val="clear" w:color="auto" w:fill="FBD4B4" w:themeFill="accent6" w:themeFillTint="66"/>
          </w:tcPr>
          <w:p w14:paraId="1BC8BEB5" w14:textId="77777777" w:rsidR="000F3D76" w:rsidRPr="00AC1055" w:rsidRDefault="000F3D76" w:rsidP="00413229">
            <w:pPr>
              <w:spacing w:line="480" w:lineRule="auto"/>
              <w:jc w:val="center"/>
              <w:rPr>
                <w:rFonts w:cs="Times New Roman"/>
              </w:rPr>
            </w:pPr>
            <w:r w:rsidRPr="00AC1055">
              <w:rPr>
                <w:rFonts w:cs="Times New Roman"/>
              </w:rPr>
              <w:t>0.67</w:t>
            </w:r>
          </w:p>
        </w:tc>
      </w:tr>
      <w:tr w:rsidR="000F3D76" w:rsidRPr="00AC1055" w14:paraId="158C427D" w14:textId="77777777" w:rsidTr="00413229">
        <w:trPr>
          <w:jc w:val="center"/>
        </w:trPr>
        <w:tc>
          <w:tcPr>
            <w:tcW w:w="2671" w:type="dxa"/>
            <w:shd w:val="clear" w:color="auto" w:fill="FBD4B4" w:themeFill="accent6" w:themeFillTint="66"/>
          </w:tcPr>
          <w:p w14:paraId="2C8572C8" w14:textId="77777777" w:rsidR="000F3D76" w:rsidRPr="00AC1055" w:rsidRDefault="000F3D76" w:rsidP="00413229">
            <w:pPr>
              <w:spacing w:line="480" w:lineRule="auto"/>
              <w:jc w:val="center"/>
              <w:rPr>
                <w:rFonts w:cs="Times New Roman"/>
              </w:rPr>
            </w:pPr>
            <w:r w:rsidRPr="00AC1055">
              <w:rPr>
                <w:rFonts w:cs="Times New Roman"/>
              </w:rPr>
              <w:t>Poland (PL)</w:t>
            </w:r>
          </w:p>
        </w:tc>
        <w:tc>
          <w:tcPr>
            <w:tcW w:w="1418" w:type="dxa"/>
            <w:shd w:val="clear" w:color="auto" w:fill="FBD4B4" w:themeFill="accent6" w:themeFillTint="66"/>
          </w:tcPr>
          <w:p w14:paraId="16913CA6" w14:textId="77777777" w:rsidR="000F3D76" w:rsidRPr="00AC1055" w:rsidRDefault="000F3D76" w:rsidP="00413229">
            <w:pPr>
              <w:spacing w:line="480" w:lineRule="auto"/>
              <w:jc w:val="center"/>
              <w:rPr>
                <w:rFonts w:cs="Times New Roman"/>
              </w:rPr>
            </w:pPr>
            <w:r w:rsidRPr="00AC1055">
              <w:rPr>
                <w:rFonts w:cs="Times New Roman"/>
              </w:rPr>
              <w:t>0.74</w:t>
            </w:r>
          </w:p>
        </w:tc>
        <w:tc>
          <w:tcPr>
            <w:tcW w:w="2551" w:type="dxa"/>
            <w:shd w:val="clear" w:color="auto" w:fill="FDE9D9" w:themeFill="accent6" w:themeFillTint="33"/>
          </w:tcPr>
          <w:p w14:paraId="5CD0658C" w14:textId="77777777" w:rsidR="000F3D76" w:rsidRPr="00AC1055" w:rsidRDefault="000F3D76" w:rsidP="00413229">
            <w:pPr>
              <w:spacing w:line="480" w:lineRule="auto"/>
              <w:jc w:val="center"/>
              <w:rPr>
                <w:rFonts w:cs="Times New Roman"/>
              </w:rPr>
            </w:pPr>
            <w:r w:rsidRPr="00AC1055">
              <w:rPr>
                <w:rFonts w:cs="Times New Roman"/>
              </w:rPr>
              <w:t>Colombia (COL)</w:t>
            </w:r>
          </w:p>
        </w:tc>
        <w:tc>
          <w:tcPr>
            <w:tcW w:w="1774" w:type="dxa"/>
            <w:shd w:val="clear" w:color="auto" w:fill="FDE9D9" w:themeFill="accent6" w:themeFillTint="33"/>
          </w:tcPr>
          <w:p w14:paraId="41D4A35F" w14:textId="77777777" w:rsidR="000F3D76" w:rsidRPr="00AC1055" w:rsidRDefault="000F3D76" w:rsidP="00413229">
            <w:pPr>
              <w:spacing w:line="480" w:lineRule="auto"/>
              <w:jc w:val="center"/>
              <w:rPr>
                <w:rFonts w:cs="Times New Roman"/>
              </w:rPr>
            </w:pPr>
            <w:r w:rsidRPr="00AC1055">
              <w:rPr>
                <w:rFonts w:cs="Times New Roman"/>
              </w:rPr>
              <w:t>0.3</w:t>
            </w:r>
          </w:p>
        </w:tc>
      </w:tr>
      <w:tr w:rsidR="000F3D76" w:rsidRPr="00AC1055" w14:paraId="444DC3E4" w14:textId="77777777" w:rsidTr="00413229">
        <w:trPr>
          <w:jc w:val="center"/>
        </w:trPr>
        <w:tc>
          <w:tcPr>
            <w:tcW w:w="2671" w:type="dxa"/>
            <w:shd w:val="clear" w:color="auto" w:fill="FDE9D9" w:themeFill="accent6" w:themeFillTint="33"/>
          </w:tcPr>
          <w:p w14:paraId="40DF7A1F" w14:textId="77777777" w:rsidR="000F3D76" w:rsidRPr="00AC1055" w:rsidRDefault="000F3D76" w:rsidP="00413229">
            <w:pPr>
              <w:spacing w:line="480" w:lineRule="auto"/>
              <w:jc w:val="center"/>
              <w:rPr>
                <w:rFonts w:cs="Times New Roman"/>
              </w:rPr>
            </w:pPr>
            <w:r w:rsidRPr="00AC1055">
              <w:rPr>
                <w:rFonts w:cs="Times New Roman"/>
              </w:rPr>
              <w:t>Nigeria (NGA)</w:t>
            </w:r>
          </w:p>
        </w:tc>
        <w:tc>
          <w:tcPr>
            <w:tcW w:w="1418" w:type="dxa"/>
            <w:shd w:val="clear" w:color="auto" w:fill="FDE9D9" w:themeFill="accent6" w:themeFillTint="33"/>
          </w:tcPr>
          <w:p w14:paraId="585CC064" w14:textId="77777777" w:rsidR="000F3D76" w:rsidRPr="00AC1055" w:rsidRDefault="000F3D76" w:rsidP="00413229">
            <w:pPr>
              <w:spacing w:line="480" w:lineRule="auto"/>
              <w:jc w:val="center"/>
              <w:rPr>
                <w:rFonts w:cs="Times New Roman"/>
              </w:rPr>
            </w:pPr>
            <w:r w:rsidRPr="00AC1055">
              <w:rPr>
                <w:rFonts w:cs="Times New Roman"/>
              </w:rPr>
              <w:t>0.44</w:t>
            </w:r>
          </w:p>
        </w:tc>
        <w:tc>
          <w:tcPr>
            <w:tcW w:w="2551" w:type="dxa"/>
            <w:shd w:val="clear" w:color="auto" w:fill="FDE9D9" w:themeFill="accent6" w:themeFillTint="33"/>
          </w:tcPr>
          <w:p w14:paraId="794DA0F4" w14:textId="77777777" w:rsidR="000F3D76" w:rsidRPr="00AC1055" w:rsidRDefault="000F3D76" w:rsidP="00413229">
            <w:pPr>
              <w:spacing w:line="480" w:lineRule="auto"/>
              <w:jc w:val="center"/>
              <w:rPr>
                <w:rFonts w:cs="Times New Roman"/>
              </w:rPr>
            </w:pPr>
            <w:r w:rsidRPr="00AC1055">
              <w:rPr>
                <w:rFonts w:cs="Times New Roman"/>
              </w:rPr>
              <w:t>Iran (IRN)</w:t>
            </w:r>
          </w:p>
        </w:tc>
        <w:tc>
          <w:tcPr>
            <w:tcW w:w="1774" w:type="dxa"/>
            <w:shd w:val="clear" w:color="auto" w:fill="FDE9D9" w:themeFill="accent6" w:themeFillTint="33"/>
          </w:tcPr>
          <w:p w14:paraId="3224AEAC" w14:textId="77777777" w:rsidR="000F3D76" w:rsidRPr="00AC1055" w:rsidRDefault="000F3D76" w:rsidP="00413229">
            <w:pPr>
              <w:spacing w:line="480" w:lineRule="auto"/>
              <w:jc w:val="center"/>
              <w:rPr>
                <w:rFonts w:cs="Times New Roman"/>
              </w:rPr>
            </w:pPr>
            <w:r w:rsidRPr="00AC1055">
              <w:rPr>
                <w:rFonts w:cs="Times New Roman"/>
              </w:rPr>
              <w:t>0.39</w:t>
            </w:r>
          </w:p>
        </w:tc>
      </w:tr>
      <w:tr w:rsidR="000F3D76" w:rsidRPr="00AC1055" w14:paraId="5E3F529F" w14:textId="77777777" w:rsidTr="00413229">
        <w:trPr>
          <w:jc w:val="center"/>
        </w:trPr>
        <w:tc>
          <w:tcPr>
            <w:tcW w:w="2671" w:type="dxa"/>
            <w:shd w:val="clear" w:color="auto" w:fill="FDE9D9" w:themeFill="accent6" w:themeFillTint="33"/>
          </w:tcPr>
          <w:p w14:paraId="7660DFA3" w14:textId="77777777" w:rsidR="000F3D76" w:rsidRPr="00AC1055" w:rsidRDefault="000F3D76" w:rsidP="00413229">
            <w:pPr>
              <w:spacing w:line="480" w:lineRule="auto"/>
              <w:jc w:val="center"/>
              <w:rPr>
                <w:rFonts w:cs="Times New Roman"/>
              </w:rPr>
            </w:pPr>
            <w:r w:rsidRPr="00AC1055">
              <w:rPr>
                <w:rFonts w:cs="Times New Roman"/>
              </w:rPr>
              <w:t>Chile (CHL)</w:t>
            </w:r>
          </w:p>
        </w:tc>
        <w:tc>
          <w:tcPr>
            <w:tcW w:w="1418" w:type="dxa"/>
            <w:shd w:val="clear" w:color="auto" w:fill="FDE9D9" w:themeFill="accent6" w:themeFillTint="33"/>
          </w:tcPr>
          <w:p w14:paraId="7D7059EF" w14:textId="77777777" w:rsidR="000F3D76" w:rsidRPr="00AC1055" w:rsidRDefault="000F3D76" w:rsidP="00413229">
            <w:pPr>
              <w:spacing w:line="480" w:lineRule="auto"/>
              <w:jc w:val="center"/>
              <w:rPr>
                <w:rFonts w:cs="Times New Roman"/>
              </w:rPr>
            </w:pPr>
            <w:r w:rsidRPr="00AC1055">
              <w:rPr>
                <w:rFonts w:cs="Times New Roman"/>
              </w:rPr>
              <w:t>0.13</w:t>
            </w:r>
          </w:p>
        </w:tc>
        <w:tc>
          <w:tcPr>
            <w:tcW w:w="2551" w:type="dxa"/>
            <w:shd w:val="clear" w:color="auto" w:fill="FDE9D9" w:themeFill="accent6" w:themeFillTint="33"/>
          </w:tcPr>
          <w:p w14:paraId="5A37316A" w14:textId="77777777" w:rsidR="000F3D76" w:rsidRPr="00AC1055" w:rsidRDefault="000F3D76" w:rsidP="00413229">
            <w:pPr>
              <w:spacing w:line="480" w:lineRule="auto"/>
              <w:jc w:val="center"/>
              <w:rPr>
                <w:rFonts w:cs="Times New Roman"/>
              </w:rPr>
            </w:pPr>
            <w:r w:rsidRPr="00AC1055">
              <w:rPr>
                <w:rFonts w:cs="Times New Roman"/>
              </w:rPr>
              <w:t>Germany (DEU)</w:t>
            </w:r>
          </w:p>
        </w:tc>
        <w:tc>
          <w:tcPr>
            <w:tcW w:w="1774" w:type="dxa"/>
            <w:shd w:val="clear" w:color="auto" w:fill="FDE9D9" w:themeFill="accent6" w:themeFillTint="33"/>
          </w:tcPr>
          <w:p w14:paraId="126F98A3" w14:textId="77777777" w:rsidR="000F3D76" w:rsidRPr="00AC1055" w:rsidRDefault="000F3D76" w:rsidP="00413229">
            <w:pPr>
              <w:spacing w:line="480" w:lineRule="auto"/>
              <w:jc w:val="center"/>
              <w:rPr>
                <w:rFonts w:cs="Times New Roman"/>
              </w:rPr>
            </w:pPr>
            <w:r w:rsidRPr="00AC1055">
              <w:rPr>
                <w:rFonts w:cs="Times New Roman"/>
              </w:rPr>
              <w:t>0.19</w:t>
            </w:r>
          </w:p>
        </w:tc>
      </w:tr>
      <w:tr w:rsidR="000F3D76" w:rsidRPr="00AC1055" w14:paraId="7415E172" w14:textId="77777777" w:rsidTr="00413229">
        <w:trPr>
          <w:jc w:val="center"/>
        </w:trPr>
        <w:tc>
          <w:tcPr>
            <w:tcW w:w="2671" w:type="dxa"/>
            <w:shd w:val="clear" w:color="auto" w:fill="FDE9D9" w:themeFill="accent6" w:themeFillTint="33"/>
          </w:tcPr>
          <w:p w14:paraId="3E517A73" w14:textId="77777777" w:rsidR="000F3D76" w:rsidRPr="00AC1055" w:rsidRDefault="000F3D76" w:rsidP="00413229">
            <w:pPr>
              <w:spacing w:line="480" w:lineRule="auto"/>
              <w:jc w:val="center"/>
              <w:rPr>
                <w:rFonts w:cs="Times New Roman"/>
              </w:rPr>
            </w:pPr>
            <w:r w:rsidRPr="00AC1055">
              <w:rPr>
                <w:rFonts w:cs="Times New Roman"/>
              </w:rPr>
              <w:t>United Kingdom (UK)</w:t>
            </w:r>
          </w:p>
        </w:tc>
        <w:tc>
          <w:tcPr>
            <w:tcW w:w="1418" w:type="dxa"/>
            <w:shd w:val="clear" w:color="auto" w:fill="FDE9D9" w:themeFill="accent6" w:themeFillTint="33"/>
          </w:tcPr>
          <w:p w14:paraId="56D35BB4" w14:textId="77777777" w:rsidR="000F3D76" w:rsidRPr="00AC1055" w:rsidRDefault="000F3D76" w:rsidP="00413229">
            <w:pPr>
              <w:spacing w:line="480" w:lineRule="auto"/>
              <w:jc w:val="center"/>
              <w:rPr>
                <w:rFonts w:cs="Times New Roman"/>
              </w:rPr>
            </w:pPr>
            <w:r w:rsidRPr="00AC1055">
              <w:rPr>
                <w:rFonts w:cs="Times New Roman"/>
              </w:rPr>
              <w:t>0.13</w:t>
            </w:r>
          </w:p>
        </w:tc>
        <w:tc>
          <w:tcPr>
            <w:tcW w:w="2551" w:type="dxa"/>
            <w:shd w:val="clear" w:color="auto" w:fill="FDE9D9" w:themeFill="accent6" w:themeFillTint="33"/>
          </w:tcPr>
          <w:p w14:paraId="0571DEA3" w14:textId="77777777" w:rsidR="000F3D76" w:rsidRPr="00AC1055" w:rsidRDefault="000F3D76" w:rsidP="00413229">
            <w:pPr>
              <w:spacing w:line="480" w:lineRule="auto"/>
              <w:jc w:val="center"/>
              <w:rPr>
                <w:rFonts w:cs="Times New Roman"/>
              </w:rPr>
            </w:pPr>
          </w:p>
        </w:tc>
        <w:tc>
          <w:tcPr>
            <w:tcW w:w="1774" w:type="dxa"/>
            <w:shd w:val="clear" w:color="auto" w:fill="FDE9D9" w:themeFill="accent6" w:themeFillTint="33"/>
          </w:tcPr>
          <w:p w14:paraId="7C76C94F" w14:textId="77777777" w:rsidR="000F3D76" w:rsidRPr="00AC1055" w:rsidRDefault="000F3D76" w:rsidP="00413229">
            <w:pPr>
              <w:spacing w:line="480" w:lineRule="auto"/>
              <w:jc w:val="center"/>
              <w:rPr>
                <w:rFonts w:cs="Times New Roman"/>
              </w:rPr>
            </w:pPr>
          </w:p>
        </w:tc>
      </w:tr>
    </w:tbl>
    <w:p w14:paraId="338FB0CB" w14:textId="77777777" w:rsidR="00E6123E" w:rsidRPr="00AC1055" w:rsidRDefault="00E6123E" w:rsidP="00E6123E">
      <w:pPr>
        <w:spacing w:line="480" w:lineRule="auto"/>
        <w:rPr>
          <w:rFonts w:cs="Times New Roman"/>
        </w:rPr>
      </w:pPr>
    </w:p>
    <w:p w14:paraId="2A7E36C9" w14:textId="2F3D6308" w:rsidR="00E6123E" w:rsidRPr="00AC1055" w:rsidRDefault="00E6123E" w:rsidP="00E6123E">
      <w:pPr>
        <w:spacing w:line="480" w:lineRule="auto"/>
        <w:rPr>
          <w:rFonts w:cs="Times New Roman"/>
        </w:rPr>
      </w:pPr>
      <w:r w:rsidRPr="00AC1055">
        <w:rPr>
          <w:rFonts w:cs="Times New Roman"/>
        </w:rPr>
        <w:lastRenderedPageBreak/>
        <w:t xml:space="preserve">The graphs and table show that for countries like Germany, UK, Chile, </w:t>
      </w:r>
      <w:r w:rsidR="000F3D76">
        <w:rPr>
          <w:rFonts w:cs="Times New Roman"/>
        </w:rPr>
        <w:t>Iran, Nigeria</w:t>
      </w:r>
      <w:r w:rsidRPr="00AC1055">
        <w:rPr>
          <w:rFonts w:cs="Times New Roman"/>
        </w:rPr>
        <w:t xml:space="preserve"> and Colombia there have been very small shifts towards shareholder primacy corporate governance (0 – 0.5). For countries like El Salvador, Hong Kong, Poland, Argentina and India there have been larger shifts (0.5 – 1). For Brazil, Pakistan, Indonesia, Peru and Philippines there have been major shifts (1 – 1.75). While for Vietnam, China, </w:t>
      </w:r>
      <w:r w:rsidR="004274D4">
        <w:rPr>
          <w:rFonts w:cs="Times New Roman"/>
        </w:rPr>
        <w:t xml:space="preserve">Russia, </w:t>
      </w:r>
      <w:r w:rsidRPr="00AC1055">
        <w:rPr>
          <w:rFonts w:cs="Times New Roman"/>
        </w:rPr>
        <w:t>South Africa and Kenya there have been significant shift</w:t>
      </w:r>
      <w:r>
        <w:rPr>
          <w:rFonts w:cs="Times New Roman"/>
        </w:rPr>
        <w:t>s</w:t>
      </w:r>
      <w:r w:rsidRPr="00AC1055">
        <w:rPr>
          <w:rFonts w:cs="Times New Roman"/>
        </w:rPr>
        <w:t xml:space="preserve"> (1.5 and above) towards adopting shareholder primacy corporate governance principles over the last twenty years.</w:t>
      </w:r>
    </w:p>
    <w:p w14:paraId="47088B18" w14:textId="77777777" w:rsidR="00E6123E" w:rsidRPr="00AC1055" w:rsidRDefault="00E6123E" w:rsidP="00E6123E">
      <w:pPr>
        <w:spacing w:line="480" w:lineRule="auto"/>
        <w:rPr>
          <w:rFonts w:cs="Times New Roman"/>
        </w:rPr>
      </w:pPr>
      <w:r>
        <w:rPr>
          <w:rFonts w:cs="Times New Roman"/>
        </w:rPr>
        <w:t>C</w:t>
      </w:r>
      <w:r w:rsidRPr="00AC1055">
        <w:rPr>
          <w:rFonts w:cs="Times New Roman"/>
        </w:rPr>
        <w:t xml:space="preserve">onvergence </w:t>
      </w:r>
      <w:r>
        <w:rPr>
          <w:rFonts w:cs="Times New Roman"/>
        </w:rPr>
        <w:t xml:space="preserve">will be measured </w:t>
      </w:r>
      <w:r w:rsidRPr="00AC1055">
        <w:rPr>
          <w:rFonts w:cs="Times New Roman"/>
        </w:rPr>
        <w:t>in two ways</w:t>
      </w:r>
      <w:r>
        <w:rPr>
          <w:rFonts w:cs="Times New Roman"/>
        </w:rPr>
        <w:t>,</w:t>
      </w:r>
      <w:r w:rsidRPr="00AC1055">
        <w:rPr>
          <w:rFonts w:cs="Times New Roman"/>
        </w:rPr>
        <w:t xml:space="preserve"> first three quasi-experimental methods – average, difference between the highest and lowest corporate governance index per year and the total difference from the highest corporate governance per year. Secondly the findings</w:t>
      </w:r>
      <w:r>
        <w:rPr>
          <w:rFonts w:cs="Times New Roman"/>
        </w:rPr>
        <w:t xml:space="preserve"> are confirmed</w:t>
      </w:r>
      <w:r w:rsidRPr="00AC1055">
        <w:rPr>
          <w:rFonts w:cs="Times New Roman"/>
        </w:rPr>
        <w:t xml:space="preserve"> by computing the square of the Pearson product moment correlation coefficient.</w:t>
      </w:r>
    </w:p>
    <w:p w14:paraId="2DCCFBE6" w14:textId="77777777" w:rsidR="00E6123E" w:rsidRPr="00AC1055" w:rsidRDefault="00E6123E" w:rsidP="00E6123E">
      <w:pPr>
        <w:spacing w:line="480" w:lineRule="auto"/>
        <w:rPr>
          <w:rFonts w:cs="Times New Roman"/>
        </w:rPr>
      </w:pPr>
      <w:r w:rsidRPr="00AC1055">
        <w:rPr>
          <w:rFonts w:cs="Times New Roman"/>
          <w:noProof/>
          <w:lang w:eastAsia="en-GB"/>
        </w:rPr>
        <w:drawing>
          <wp:inline distT="0" distB="0" distL="0" distR="0" wp14:anchorId="186DEB6D" wp14:editId="5B7235A1">
            <wp:extent cx="4857750" cy="2901938"/>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64070" cy="2905714"/>
                    </a:xfrm>
                    <a:prstGeom prst="rect">
                      <a:avLst/>
                    </a:prstGeom>
                  </pic:spPr>
                </pic:pic>
              </a:graphicData>
            </a:graphic>
          </wp:inline>
        </w:drawing>
      </w:r>
    </w:p>
    <w:p w14:paraId="2BE87AC7" w14:textId="77777777" w:rsidR="00E6123E" w:rsidRPr="00AC1055" w:rsidRDefault="00E6123E" w:rsidP="00E6123E">
      <w:pPr>
        <w:spacing w:line="480" w:lineRule="auto"/>
        <w:rPr>
          <w:rFonts w:cs="Times New Roman"/>
        </w:rPr>
      </w:pPr>
      <w:r w:rsidRPr="00AC1055">
        <w:rPr>
          <w:rFonts w:cs="Times New Roman"/>
        </w:rPr>
        <w:t>The average corporate governance index is computed by averaging the individual corporate governance indices across all countries for each year. The graph shows that the average corporate governance is becoming more pro</w:t>
      </w:r>
      <w:r>
        <w:rPr>
          <w:rFonts w:cs="Times New Roman"/>
        </w:rPr>
        <w:t>-</w:t>
      </w:r>
      <w:r w:rsidRPr="00AC1055">
        <w:rPr>
          <w:rFonts w:cs="Times New Roman"/>
        </w:rPr>
        <w:t>shareholder over the studied time period.</w:t>
      </w:r>
    </w:p>
    <w:p w14:paraId="10BADE11" w14:textId="77777777" w:rsidR="00E6123E" w:rsidRPr="00AC1055" w:rsidRDefault="00E6123E" w:rsidP="00E6123E">
      <w:pPr>
        <w:spacing w:line="480" w:lineRule="auto"/>
        <w:rPr>
          <w:rFonts w:cs="Times New Roman"/>
        </w:rPr>
      </w:pPr>
      <w:r w:rsidRPr="00AC1055">
        <w:rPr>
          <w:rFonts w:cs="Times New Roman"/>
          <w:noProof/>
          <w:lang w:eastAsia="en-GB"/>
        </w:rPr>
        <w:lastRenderedPageBreak/>
        <w:drawing>
          <wp:inline distT="0" distB="0" distL="0" distR="0" wp14:anchorId="6EA74819" wp14:editId="2285CBF0">
            <wp:extent cx="5276850" cy="301282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6613" cy="3012689"/>
                    </a:xfrm>
                    <a:prstGeom prst="rect">
                      <a:avLst/>
                    </a:prstGeom>
                  </pic:spPr>
                </pic:pic>
              </a:graphicData>
            </a:graphic>
          </wp:inline>
        </w:drawing>
      </w:r>
    </w:p>
    <w:p w14:paraId="6BE5E75F" w14:textId="77777777" w:rsidR="00E6123E" w:rsidRPr="00AC1055" w:rsidRDefault="00E6123E" w:rsidP="00E6123E">
      <w:pPr>
        <w:spacing w:line="480" w:lineRule="auto"/>
        <w:rPr>
          <w:rFonts w:cs="Times New Roman"/>
        </w:rPr>
      </w:pPr>
      <w:r w:rsidRPr="00AC1055">
        <w:rPr>
          <w:rFonts w:cs="Times New Roman"/>
        </w:rPr>
        <w:t xml:space="preserve">The graph showing the difference between the highest corporate governance scores and the lowest corporate governance scores per year also shows a marked fall, signalling a convergence. </w:t>
      </w:r>
    </w:p>
    <w:p w14:paraId="6DEA265D" w14:textId="77777777" w:rsidR="00E6123E" w:rsidRPr="00AC1055" w:rsidRDefault="00E6123E" w:rsidP="00E6123E">
      <w:pPr>
        <w:spacing w:line="480" w:lineRule="auto"/>
        <w:rPr>
          <w:rFonts w:cs="Times New Roman"/>
        </w:rPr>
      </w:pPr>
      <w:r w:rsidRPr="00AC1055">
        <w:rPr>
          <w:rFonts w:cs="Times New Roman"/>
        </w:rPr>
        <w:t>Similarly when we find the difference between each country and the highest corporate governance country and add up all such differences we get the following graph.</w:t>
      </w:r>
    </w:p>
    <w:p w14:paraId="4ACEAB8E" w14:textId="77777777" w:rsidR="00E6123E" w:rsidRPr="00AC1055" w:rsidRDefault="00E6123E" w:rsidP="00E6123E">
      <w:pPr>
        <w:spacing w:line="480" w:lineRule="auto"/>
        <w:rPr>
          <w:rFonts w:cs="Times New Roman"/>
        </w:rPr>
      </w:pPr>
      <w:r w:rsidRPr="00AC1055">
        <w:rPr>
          <w:rFonts w:cs="Times New Roman"/>
          <w:noProof/>
          <w:lang w:eastAsia="en-GB"/>
        </w:rPr>
        <w:drawing>
          <wp:inline distT="0" distB="0" distL="0" distR="0" wp14:anchorId="01ED7C66" wp14:editId="37F703B1">
            <wp:extent cx="4838700" cy="2939552"/>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46783" cy="2944462"/>
                    </a:xfrm>
                    <a:prstGeom prst="rect">
                      <a:avLst/>
                    </a:prstGeom>
                  </pic:spPr>
                </pic:pic>
              </a:graphicData>
            </a:graphic>
          </wp:inline>
        </w:drawing>
      </w:r>
    </w:p>
    <w:p w14:paraId="75984478" w14:textId="730A4549" w:rsidR="00E6123E" w:rsidRPr="00AC1055" w:rsidRDefault="00E6123E" w:rsidP="00490963">
      <w:pPr>
        <w:spacing w:line="480" w:lineRule="auto"/>
        <w:rPr>
          <w:rFonts w:cs="Times New Roman"/>
        </w:rPr>
      </w:pPr>
      <w:r w:rsidRPr="00AC1055">
        <w:rPr>
          <w:rFonts w:cs="Times New Roman"/>
        </w:rPr>
        <w:lastRenderedPageBreak/>
        <w:t xml:space="preserve">This graph shows that until around 2009 there was a steady convergence but after 2010 there is a slight divergence. This research does not look into the qualitative reasons for such a divergence, nevertheless this divergence can be attributed to a move away from </w:t>
      </w:r>
      <w:r>
        <w:rPr>
          <w:rFonts w:cs="Times New Roman"/>
        </w:rPr>
        <w:t xml:space="preserve">a </w:t>
      </w:r>
      <w:r w:rsidRPr="00AC1055">
        <w:rPr>
          <w:rFonts w:cs="Times New Roman"/>
        </w:rPr>
        <w:t>pro</w:t>
      </w:r>
      <w:r>
        <w:rPr>
          <w:rFonts w:cs="Times New Roman"/>
        </w:rPr>
        <w:t>-</w:t>
      </w:r>
      <w:r w:rsidRPr="00AC1055">
        <w:rPr>
          <w:rFonts w:cs="Times New Roman"/>
        </w:rPr>
        <w:t xml:space="preserve">shareholder approach in the aftermath of </w:t>
      </w:r>
      <w:r>
        <w:rPr>
          <w:rFonts w:cs="Times New Roman"/>
        </w:rPr>
        <w:t xml:space="preserve">the </w:t>
      </w:r>
      <w:r w:rsidRPr="00AC1055">
        <w:rPr>
          <w:rFonts w:cs="Times New Roman"/>
        </w:rPr>
        <w:t>Global Financial Crisis.</w:t>
      </w:r>
      <w:r w:rsidR="00490963">
        <w:rPr>
          <w:rFonts w:cs="Times New Roman"/>
        </w:rPr>
        <w:t xml:space="preserve"> Another reason might be the introduction of G20/OECD Principles </w:t>
      </w:r>
      <w:r w:rsidR="00490963" w:rsidRPr="00490963">
        <w:rPr>
          <w:rFonts w:cs="Times New Roman"/>
        </w:rPr>
        <w:t>of Corporate Governance</w:t>
      </w:r>
      <w:r w:rsidR="00490963">
        <w:rPr>
          <w:rFonts w:cs="Times New Roman"/>
        </w:rPr>
        <w:t xml:space="preserve"> in September 2015 which aims to maintain and strengthen the core values of 2004 Principles based on experience since then.</w:t>
      </w:r>
      <w:r w:rsidRPr="00AC1055">
        <w:rPr>
          <w:rFonts w:cs="Times New Roman"/>
        </w:rPr>
        <w:t xml:space="preserve"> </w:t>
      </w:r>
      <w:r w:rsidR="00490963">
        <w:rPr>
          <w:rFonts w:cs="Times New Roman"/>
        </w:rPr>
        <w:t xml:space="preserve">The questionnaire </w:t>
      </w:r>
      <w:r w:rsidR="003C76E3">
        <w:rPr>
          <w:rFonts w:cs="Times New Roman"/>
        </w:rPr>
        <w:t xml:space="preserve">used in this research </w:t>
      </w:r>
      <w:r w:rsidR="00490963">
        <w:rPr>
          <w:rFonts w:cs="Times New Roman"/>
        </w:rPr>
        <w:t xml:space="preserve">is designed to capture the corporate governance regime based </w:t>
      </w:r>
      <w:r w:rsidR="003C76E3">
        <w:rPr>
          <w:rFonts w:cs="Times New Roman"/>
        </w:rPr>
        <w:t xml:space="preserve">primarily </w:t>
      </w:r>
      <w:r w:rsidR="00490963">
        <w:rPr>
          <w:rFonts w:cs="Times New Roman"/>
        </w:rPr>
        <w:t xml:space="preserve">on </w:t>
      </w:r>
      <w:r w:rsidR="00E4163C">
        <w:rPr>
          <w:rFonts w:cs="Times New Roman"/>
        </w:rPr>
        <w:t xml:space="preserve">the </w:t>
      </w:r>
      <w:r w:rsidR="00490963">
        <w:rPr>
          <w:rFonts w:cs="Times New Roman"/>
        </w:rPr>
        <w:t xml:space="preserve">2004 Principles. It can be </w:t>
      </w:r>
      <w:r w:rsidR="003C76E3">
        <w:rPr>
          <w:rFonts w:cs="Times New Roman"/>
        </w:rPr>
        <w:t xml:space="preserve">also be </w:t>
      </w:r>
      <w:r w:rsidR="00490963">
        <w:rPr>
          <w:rFonts w:cs="Times New Roman"/>
        </w:rPr>
        <w:t>argued that the stall in convergence since 2008</w:t>
      </w:r>
      <w:r w:rsidR="003C76E3">
        <w:rPr>
          <w:rFonts w:cs="Times New Roman"/>
        </w:rPr>
        <w:t>,</w:t>
      </w:r>
      <w:r w:rsidR="00490963">
        <w:rPr>
          <w:rFonts w:cs="Times New Roman"/>
        </w:rPr>
        <w:t xml:space="preserve"> </w:t>
      </w:r>
      <w:r w:rsidR="003C76E3">
        <w:rPr>
          <w:rFonts w:cs="Times New Roman"/>
        </w:rPr>
        <w:t xml:space="preserve">highlighted in this research, </w:t>
      </w:r>
      <w:r w:rsidR="00490963">
        <w:rPr>
          <w:rFonts w:cs="Times New Roman"/>
        </w:rPr>
        <w:t xml:space="preserve">is </w:t>
      </w:r>
      <w:r w:rsidR="003C76E3">
        <w:rPr>
          <w:rFonts w:cs="Times New Roman"/>
        </w:rPr>
        <w:t xml:space="preserve">a combination of </w:t>
      </w:r>
      <w:r w:rsidR="00490963">
        <w:rPr>
          <w:rFonts w:cs="Times New Roman"/>
        </w:rPr>
        <w:t xml:space="preserve">the perceived need for more effective regulations which are now </w:t>
      </w:r>
      <w:r w:rsidR="000D548C">
        <w:rPr>
          <w:rFonts w:cs="Times New Roman"/>
        </w:rPr>
        <w:t xml:space="preserve">aimed to be </w:t>
      </w:r>
      <w:r w:rsidR="00490963">
        <w:rPr>
          <w:rFonts w:cs="Times New Roman"/>
        </w:rPr>
        <w:t>fulfilled by the 2015 Principles</w:t>
      </w:r>
      <w:r w:rsidR="003C76E3">
        <w:rPr>
          <w:rFonts w:cs="Times New Roman"/>
        </w:rPr>
        <w:t xml:space="preserve"> and the need to update the variables to capture this post</w:t>
      </w:r>
      <w:r w:rsidR="00E4163C">
        <w:rPr>
          <w:rFonts w:cs="Times New Roman"/>
        </w:rPr>
        <w:t>-</w:t>
      </w:r>
      <w:r w:rsidR="003C76E3">
        <w:rPr>
          <w:rFonts w:cs="Times New Roman"/>
        </w:rPr>
        <w:t>2015</w:t>
      </w:r>
      <w:r w:rsidR="00490963">
        <w:rPr>
          <w:rFonts w:cs="Times New Roman"/>
        </w:rPr>
        <w:t>. Hence</w:t>
      </w:r>
      <w:r>
        <w:rPr>
          <w:rFonts w:cs="Times New Roman"/>
        </w:rPr>
        <w:t>,</w:t>
      </w:r>
      <w:r w:rsidRPr="00AC1055">
        <w:rPr>
          <w:rFonts w:cs="Times New Roman"/>
        </w:rPr>
        <w:t xml:space="preserve"> there is a need for </w:t>
      </w:r>
      <w:r>
        <w:rPr>
          <w:rFonts w:cs="Times New Roman"/>
        </w:rPr>
        <w:t xml:space="preserve">a </w:t>
      </w:r>
      <w:r w:rsidRPr="00AC1055">
        <w:rPr>
          <w:rFonts w:cs="Times New Roman"/>
        </w:rPr>
        <w:t>further in depth study to find out accurately the reasons behind such divergence post</w:t>
      </w:r>
      <w:r>
        <w:rPr>
          <w:rFonts w:cs="Times New Roman"/>
        </w:rPr>
        <w:t>-</w:t>
      </w:r>
      <w:r w:rsidRPr="00AC1055">
        <w:rPr>
          <w:rFonts w:cs="Times New Roman"/>
        </w:rPr>
        <w:t>2009</w:t>
      </w:r>
      <w:r w:rsidR="00490963">
        <w:rPr>
          <w:rFonts w:cs="Times New Roman"/>
        </w:rPr>
        <w:t>, especially in light of the 2007/08 Global Financial Crisis and the introduction of the 2015 OECD Principles</w:t>
      </w:r>
      <w:r w:rsidRPr="00AC1055">
        <w:rPr>
          <w:rFonts w:cs="Times New Roman"/>
        </w:rPr>
        <w:t>.</w:t>
      </w:r>
    </w:p>
    <w:p w14:paraId="6D87A049" w14:textId="7CA42BDF" w:rsidR="00E6123E" w:rsidRPr="00AC1055" w:rsidRDefault="00E6123E" w:rsidP="00E6123E">
      <w:pPr>
        <w:spacing w:line="480" w:lineRule="auto"/>
        <w:rPr>
          <w:rFonts w:cs="Times New Roman"/>
        </w:rPr>
      </w:pPr>
      <w:r w:rsidRPr="00AC1055">
        <w:rPr>
          <w:rFonts w:cs="Times New Roman"/>
        </w:rPr>
        <w:t>So overall the three quasi</w:t>
      </w:r>
      <w:r>
        <w:rPr>
          <w:rFonts w:cs="Times New Roman"/>
        </w:rPr>
        <w:t>-</w:t>
      </w:r>
      <w:r w:rsidR="00A50ECD">
        <w:rPr>
          <w:rFonts w:cs="Times New Roman"/>
        </w:rPr>
        <w:t>experimental models show</w:t>
      </w:r>
      <w:r w:rsidRPr="00AC1055">
        <w:rPr>
          <w:rFonts w:cs="Times New Roman"/>
        </w:rPr>
        <w:t xml:space="preserve"> that there is a convergence. This is proved experimentally by the square of the Pearson correlation coefficient (r) calculated for each year for all the countries. The graph below shows the movement of r</w:t>
      </w:r>
      <w:r w:rsidRPr="00AC1055">
        <w:rPr>
          <w:rFonts w:cs="Times New Roman"/>
          <w:vertAlign w:val="superscript"/>
        </w:rPr>
        <w:t>2</w:t>
      </w:r>
      <w:r w:rsidRPr="00AC1055">
        <w:rPr>
          <w:rFonts w:cs="Times New Roman"/>
        </w:rPr>
        <w:t>. As the original corporate governance data for each year across every country can also form a univariate ordinary least square regression, the coefficient of determination will also be equal to the computed square of the Pearson correlation coefficient. Hence the graph also shows how well the corporate governance of each coun</w:t>
      </w:r>
      <w:r>
        <w:rPr>
          <w:rFonts w:cs="Times New Roman"/>
        </w:rPr>
        <w:t>try fits to a line of best fit. This makes it possible to identify the extent to which a</w:t>
      </w:r>
      <w:r w:rsidRPr="00AC1055">
        <w:rPr>
          <w:rFonts w:cs="Times New Roman"/>
        </w:rPr>
        <w:t xml:space="preserve"> uniform corporate governance regime</w:t>
      </w:r>
      <w:r>
        <w:rPr>
          <w:rFonts w:cs="Times New Roman"/>
        </w:rPr>
        <w:t xml:space="preserve"> is emerging</w:t>
      </w:r>
      <w:r w:rsidRPr="00AC1055">
        <w:rPr>
          <w:rFonts w:cs="Times New Roman"/>
        </w:rPr>
        <w:t xml:space="preserve">. </w:t>
      </w:r>
      <w:r>
        <w:rPr>
          <w:rFonts w:cs="Times New Roman"/>
        </w:rPr>
        <w:t>A</w:t>
      </w:r>
      <w:r w:rsidRPr="00AC1055">
        <w:rPr>
          <w:rFonts w:cs="Times New Roman"/>
        </w:rPr>
        <w:t xml:space="preserve"> local regression line </w:t>
      </w:r>
      <w:r>
        <w:rPr>
          <w:rFonts w:cs="Times New Roman"/>
        </w:rPr>
        <w:t xml:space="preserve">is fitted in order </w:t>
      </w:r>
      <w:r w:rsidRPr="00AC1055">
        <w:rPr>
          <w:rFonts w:cs="Times New Roman"/>
        </w:rPr>
        <w:t xml:space="preserve">to produce a nonlinear trend line (in blue). This shows that between 1995 </w:t>
      </w:r>
      <w:r w:rsidRPr="00AC1055">
        <w:rPr>
          <w:rFonts w:cs="Times New Roman"/>
        </w:rPr>
        <w:lastRenderedPageBreak/>
        <w:t>and 2005 the rate of convergence was quite high, this slowed down between 2006 and 2008 and then fell from 2009 onwards.</w:t>
      </w:r>
    </w:p>
    <w:p w14:paraId="071CF18E" w14:textId="77777777" w:rsidR="00E6123E" w:rsidRPr="00AC1055" w:rsidRDefault="00E6123E" w:rsidP="00E6123E">
      <w:pPr>
        <w:spacing w:line="480" w:lineRule="auto"/>
        <w:rPr>
          <w:rFonts w:cs="Times New Roman"/>
        </w:rPr>
      </w:pPr>
      <w:r w:rsidRPr="00AC1055">
        <w:rPr>
          <w:rFonts w:cs="Times New Roman"/>
        </w:rPr>
        <w:t xml:space="preserve"> </w:t>
      </w:r>
    </w:p>
    <w:p w14:paraId="7C6B90C0" w14:textId="77777777" w:rsidR="00E6123E" w:rsidRPr="00AC1055" w:rsidRDefault="00E6123E" w:rsidP="00E6123E">
      <w:pPr>
        <w:spacing w:line="480" w:lineRule="auto"/>
        <w:rPr>
          <w:rFonts w:cs="Times New Roman"/>
        </w:rPr>
      </w:pPr>
      <w:r w:rsidRPr="00AC1055">
        <w:rPr>
          <w:rFonts w:cs="Times New Roman"/>
          <w:noProof/>
          <w:lang w:eastAsia="en-GB"/>
        </w:rPr>
        <w:drawing>
          <wp:inline distT="0" distB="0" distL="0" distR="0" wp14:anchorId="78D86E04" wp14:editId="4286BEBE">
            <wp:extent cx="5019675" cy="2729962"/>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19675" cy="2729962"/>
                    </a:xfrm>
                    <a:prstGeom prst="rect">
                      <a:avLst/>
                    </a:prstGeom>
                  </pic:spPr>
                </pic:pic>
              </a:graphicData>
            </a:graphic>
          </wp:inline>
        </w:drawing>
      </w:r>
      <w:r w:rsidRPr="00AC1055">
        <w:rPr>
          <w:rFonts w:cs="Times New Roman"/>
          <w:noProof/>
          <w:lang w:eastAsia="en-GB"/>
        </w:rPr>
        <w:t xml:space="preserve"> </w:t>
      </w:r>
    </w:p>
    <w:p w14:paraId="459D107C" w14:textId="539639F1" w:rsidR="00E6123E" w:rsidRPr="00AC1055" w:rsidRDefault="00E6123E" w:rsidP="00E6123E">
      <w:pPr>
        <w:spacing w:line="480" w:lineRule="auto"/>
        <w:rPr>
          <w:rFonts w:cs="Times New Roman"/>
        </w:rPr>
      </w:pPr>
      <w:r w:rsidRPr="00AC1055">
        <w:rPr>
          <w:rFonts w:cs="Times New Roman"/>
        </w:rPr>
        <w:t xml:space="preserve">Thus </w:t>
      </w:r>
      <w:r>
        <w:rPr>
          <w:rFonts w:cs="Times New Roman"/>
        </w:rPr>
        <w:t>there is</w:t>
      </w:r>
      <w:r w:rsidRPr="00AC1055">
        <w:rPr>
          <w:rFonts w:cs="Times New Roman"/>
        </w:rPr>
        <w:t xml:space="preserve"> clear evidence that corporate governance is converging towards a shareholder primacy approach</w:t>
      </w:r>
      <w:r>
        <w:rPr>
          <w:rFonts w:cs="Times New Roman"/>
        </w:rPr>
        <w:t>,</w:t>
      </w:r>
      <w:r w:rsidRPr="00AC1055">
        <w:rPr>
          <w:rFonts w:cs="Times New Roman"/>
        </w:rPr>
        <w:t xml:space="preserve"> although the rate has slowed since 200</w:t>
      </w:r>
      <w:r w:rsidR="0018441B">
        <w:rPr>
          <w:rFonts w:cs="Times New Roman"/>
        </w:rPr>
        <w:t>9.</w:t>
      </w:r>
      <w:r w:rsidR="0018441B" w:rsidRPr="0018441B">
        <w:rPr>
          <w:rFonts w:cs="Times New Roman"/>
        </w:rPr>
        <w:t xml:space="preserve"> It might be suggested that this is either because </w:t>
      </w:r>
      <w:r>
        <w:rPr>
          <w:rFonts w:cs="Times New Roman"/>
        </w:rPr>
        <w:t xml:space="preserve">most </w:t>
      </w:r>
      <w:r w:rsidR="0018441B">
        <w:rPr>
          <w:rFonts w:cs="Times New Roman"/>
        </w:rPr>
        <w:t xml:space="preserve">of the </w:t>
      </w:r>
      <w:r w:rsidRPr="00AC1055">
        <w:rPr>
          <w:rFonts w:cs="Times New Roman"/>
        </w:rPr>
        <w:t xml:space="preserve">countries </w:t>
      </w:r>
      <w:r w:rsidR="0018441B">
        <w:rPr>
          <w:rFonts w:cs="Times New Roman"/>
        </w:rPr>
        <w:t xml:space="preserve">examined </w:t>
      </w:r>
      <w:r w:rsidRPr="00AC1055">
        <w:rPr>
          <w:rFonts w:cs="Times New Roman"/>
        </w:rPr>
        <w:t>have reached peak</w:t>
      </w:r>
      <w:r>
        <w:rPr>
          <w:rFonts w:cs="Times New Roman"/>
        </w:rPr>
        <w:t xml:space="preserve"> shareholder primacy regulation</w:t>
      </w:r>
      <w:r w:rsidRPr="00AC1055">
        <w:rPr>
          <w:rFonts w:cs="Times New Roman"/>
        </w:rPr>
        <w:t xml:space="preserve"> </w:t>
      </w:r>
      <w:r w:rsidR="0018441B">
        <w:rPr>
          <w:rFonts w:cs="Times New Roman"/>
        </w:rPr>
        <w:t>before 2009</w:t>
      </w:r>
      <w:r>
        <w:rPr>
          <w:rFonts w:cs="Times New Roman"/>
        </w:rPr>
        <w:t xml:space="preserve">, </w:t>
      </w:r>
      <w:r w:rsidRPr="00AC1055">
        <w:rPr>
          <w:rFonts w:cs="Times New Roman"/>
        </w:rPr>
        <w:t xml:space="preserve">or </w:t>
      </w:r>
      <w:r>
        <w:rPr>
          <w:rFonts w:cs="Times New Roman"/>
        </w:rPr>
        <w:t>because of</w:t>
      </w:r>
      <w:r w:rsidRPr="00AC1055">
        <w:rPr>
          <w:rFonts w:cs="Times New Roman"/>
        </w:rPr>
        <w:t xml:space="preserve"> </w:t>
      </w:r>
      <w:r w:rsidR="004E4BE5">
        <w:rPr>
          <w:rFonts w:cs="Times New Roman"/>
        </w:rPr>
        <w:t xml:space="preserve">a </w:t>
      </w:r>
      <w:r w:rsidRPr="00AC1055">
        <w:rPr>
          <w:rFonts w:cs="Times New Roman"/>
        </w:rPr>
        <w:t xml:space="preserve">global fatigue towards pro shareholder rhetoric in the aftermath of </w:t>
      </w:r>
      <w:r>
        <w:rPr>
          <w:rFonts w:cs="Times New Roman"/>
        </w:rPr>
        <w:t xml:space="preserve">the </w:t>
      </w:r>
      <w:r w:rsidRPr="00AC1055">
        <w:rPr>
          <w:rFonts w:cs="Times New Roman"/>
        </w:rPr>
        <w:t xml:space="preserve">Global Financial Crisis. </w:t>
      </w:r>
    </w:p>
    <w:p w14:paraId="358E2CC1" w14:textId="77777777" w:rsidR="00E6123E" w:rsidRPr="00AC1055" w:rsidRDefault="00E6123E" w:rsidP="00E6123E">
      <w:pPr>
        <w:spacing w:line="480" w:lineRule="auto"/>
        <w:rPr>
          <w:rFonts w:cs="Times New Roman"/>
        </w:rPr>
      </w:pPr>
      <w:r w:rsidRPr="00AC1055">
        <w:rPr>
          <w:rFonts w:cs="Times New Roman"/>
        </w:rPr>
        <w:t xml:space="preserve">The experimental result is complemented by the heatmap of </w:t>
      </w:r>
      <w:r>
        <w:rPr>
          <w:rFonts w:cs="Times New Roman"/>
        </w:rPr>
        <w:t xml:space="preserve">the </w:t>
      </w:r>
      <w:r w:rsidRPr="00AC1055">
        <w:rPr>
          <w:rFonts w:cs="Times New Roman"/>
        </w:rPr>
        <w:t>corporate governance index below which also shows the steady growth of pro</w:t>
      </w:r>
      <w:r>
        <w:rPr>
          <w:rFonts w:cs="Times New Roman"/>
        </w:rPr>
        <w:t>-</w:t>
      </w:r>
      <w:r w:rsidRPr="00AC1055">
        <w:rPr>
          <w:rFonts w:cs="Times New Roman"/>
        </w:rPr>
        <w:t>shareholder corporate governance around the world</w:t>
      </w:r>
      <w:r>
        <w:rPr>
          <w:rFonts w:cs="Times New Roman"/>
        </w:rPr>
        <w:t>. The spread of red indicates the increase in shareholder value corporate governance over time</w:t>
      </w:r>
      <w:r w:rsidRPr="00AC1055">
        <w:rPr>
          <w:rFonts w:cs="Times New Roman"/>
        </w:rPr>
        <w:t>:</w:t>
      </w:r>
    </w:p>
    <w:p w14:paraId="2A57BB6F" w14:textId="77777777" w:rsidR="00E6123E" w:rsidRPr="00AC1055" w:rsidRDefault="00E6123E" w:rsidP="00E6123E">
      <w:pPr>
        <w:spacing w:line="480" w:lineRule="auto"/>
        <w:rPr>
          <w:rFonts w:cs="Times New Roman"/>
        </w:rPr>
      </w:pPr>
      <w:r w:rsidRPr="00AC1055">
        <w:rPr>
          <w:rFonts w:cs="Times New Roman"/>
          <w:noProof/>
          <w:lang w:eastAsia="en-GB"/>
        </w:rPr>
        <w:drawing>
          <wp:inline distT="0" distB="0" distL="0" distR="0" wp14:anchorId="2F6FC31C" wp14:editId="19E7D7D5">
            <wp:extent cx="5229225" cy="170497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44278" cy="1709883"/>
                    </a:xfrm>
                    <a:prstGeom prst="rect">
                      <a:avLst/>
                    </a:prstGeom>
                    <a:noFill/>
                    <a:ln>
                      <a:noFill/>
                    </a:ln>
                  </pic:spPr>
                </pic:pic>
              </a:graphicData>
            </a:graphic>
          </wp:inline>
        </w:drawing>
      </w:r>
    </w:p>
    <w:p w14:paraId="5E0AFCF6" w14:textId="77777777" w:rsidR="00E6123E" w:rsidRPr="00E23224" w:rsidRDefault="00E6123E" w:rsidP="00E6123E">
      <w:pPr>
        <w:spacing w:line="480" w:lineRule="auto"/>
        <w:rPr>
          <w:rFonts w:cs="Times New Roman"/>
          <w:b/>
          <w:sz w:val="26"/>
          <w:u w:val="single"/>
        </w:rPr>
      </w:pPr>
      <w:r>
        <w:rPr>
          <w:rFonts w:cs="Times New Roman"/>
          <w:b/>
          <w:sz w:val="26"/>
          <w:u w:val="single"/>
        </w:rPr>
        <w:lastRenderedPageBreak/>
        <w:t xml:space="preserve">4.2 </w:t>
      </w:r>
      <w:r w:rsidRPr="00E23224">
        <w:rPr>
          <w:rFonts w:cs="Times New Roman"/>
          <w:b/>
          <w:sz w:val="26"/>
          <w:u w:val="single"/>
        </w:rPr>
        <w:t>Are corporate governance shifts endogenous or exogenous</w:t>
      </w:r>
      <w:r>
        <w:rPr>
          <w:rFonts w:cs="Times New Roman"/>
          <w:b/>
          <w:sz w:val="26"/>
          <w:u w:val="single"/>
        </w:rPr>
        <w:t>?</w:t>
      </w:r>
    </w:p>
    <w:p w14:paraId="669763BA" w14:textId="77777777" w:rsidR="00E6123E" w:rsidRPr="00AC1055" w:rsidRDefault="00E6123E" w:rsidP="00E6123E">
      <w:pPr>
        <w:spacing w:line="480" w:lineRule="auto"/>
        <w:rPr>
          <w:rFonts w:cs="Times New Roman"/>
        </w:rPr>
      </w:pPr>
      <w:r w:rsidRPr="00AC1055">
        <w:rPr>
          <w:rFonts w:cs="Times New Roman"/>
        </w:rPr>
        <w:t xml:space="preserve">Once time series data on both corporate governance and financial market development </w:t>
      </w:r>
      <w:r>
        <w:rPr>
          <w:rFonts w:cs="Times New Roman"/>
        </w:rPr>
        <w:t xml:space="preserve">is available </w:t>
      </w:r>
      <w:r w:rsidRPr="00AC1055">
        <w:rPr>
          <w:rFonts w:cs="Times New Roman"/>
        </w:rPr>
        <w:t xml:space="preserve">it is possible to explore if corporate governance development is led by financial development or </w:t>
      </w:r>
      <w:r>
        <w:rPr>
          <w:rFonts w:cs="Times New Roman"/>
        </w:rPr>
        <w:t xml:space="preserve">if </w:t>
      </w:r>
      <w:r w:rsidRPr="00AC1055">
        <w:rPr>
          <w:rFonts w:cs="Times New Roman"/>
        </w:rPr>
        <w:t>it is the other way round. Armour</w:t>
      </w:r>
      <w:r>
        <w:rPr>
          <w:rFonts w:cs="Times New Roman"/>
        </w:rPr>
        <w:t>, Deakin</w:t>
      </w:r>
      <w:r w:rsidRPr="00AC1055">
        <w:rPr>
          <w:rFonts w:cs="Times New Roman"/>
        </w:rPr>
        <w:t xml:space="preserve"> et al. have used Grangers causality test to determine if change in corporate governance has causal inference.</w:t>
      </w:r>
      <w:r w:rsidRPr="00AC1055">
        <w:rPr>
          <w:rStyle w:val="FootnoteReference"/>
          <w:rFonts w:cs="Times New Roman"/>
        </w:rPr>
        <w:footnoteReference w:id="246"/>
      </w:r>
      <w:r w:rsidRPr="00AC1055">
        <w:rPr>
          <w:rFonts w:cs="Times New Roman"/>
        </w:rPr>
        <w:t xml:space="preserve"> They found that the ‘Granger causality tests showed that the direction of causation ran from the increase in shareholder protection to the decline in the number of listed companies, not the other way round.’</w:t>
      </w:r>
      <w:r w:rsidRPr="00AC1055">
        <w:rPr>
          <w:rStyle w:val="FootnoteReference"/>
          <w:rFonts w:cs="Times New Roman"/>
        </w:rPr>
        <w:footnoteReference w:id="247"/>
      </w:r>
      <w:r w:rsidRPr="00AC1055">
        <w:rPr>
          <w:rFonts w:cs="Times New Roman"/>
        </w:rPr>
        <w:t xml:space="preserve"> However due to the shorter period of time (20 years for corporate governance and 17 years for financial development) </w:t>
      </w:r>
      <w:r>
        <w:rPr>
          <w:rFonts w:cs="Times New Roman"/>
        </w:rPr>
        <w:t>a</w:t>
      </w:r>
      <w:r w:rsidRPr="00AC1055">
        <w:rPr>
          <w:rFonts w:cs="Times New Roman"/>
        </w:rPr>
        <w:t xml:space="preserve"> Bayesian change point analysis </w:t>
      </w:r>
      <w:r>
        <w:rPr>
          <w:rFonts w:cs="Times New Roman"/>
        </w:rPr>
        <w:t xml:space="preserve">is used </w:t>
      </w:r>
      <w:r w:rsidRPr="00AC1055">
        <w:rPr>
          <w:rFonts w:cs="Times New Roman"/>
        </w:rPr>
        <w:t xml:space="preserve">on </w:t>
      </w:r>
      <w:r>
        <w:rPr>
          <w:rFonts w:cs="Times New Roman"/>
        </w:rPr>
        <w:t xml:space="preserve">the </w:t>
      </w:r>
      <w:r w:rsidRPr="00AC1055">
        <w:rPr>
          <w:rFonts w:cs="Times New Roman"/>
        </w:rPr>
        <w:t xml:space="preserve">corporate governance development index and financial development index to compare the time points when there was a marked generational change in the indices. </w:t>
      </w:r>
      <w:r>
        <w:rPr>
          <w:rFonts w:cs="Times New Roman"/>
        </w:rPr>
        <w:t>A</w:t>
      </w:r>
      <w:r w:rsidRPr="00AC1055">
        <w:rPr>
          <w:rFonts w:cs="Times New Roman"/>
        </w:rPr>
        <w:t xml:space="preserve"> </w:t>
      </w:r>
      <w:r w:rsidRPr="00AC1055">
        <w:rPr>
          <w:rFonts w:cs="Times New Roman"/>
          <w:i/>
        </w:rPr>
        <w:t>bcp</w:t>
      </w:r>
      <w:r w:rsidRPr="00AC1055">
        <w:rPr>
          <w:rFonts w:cs="Times New Roman"/>
        </w:rPr>
        <w:t xml:space="preserve"> package</w:t>
      </w:r>
      <w:r>
        <w:rPr>
          <w:rFonts w:cs="Times New Roman"/>
        </w:rPr>
        <w:t xml:space="preserve"> is used</w:t>
      </w:r>
      <w:r w:rsidRPr="00AC1055">
        <w:rPr>
          <w:rFonts w:cs="Times New Roman"/>
        </w:rPr>
        <w:t xml:space="preserve"> in R to perform these calculations.</w:t>
      </w:r>
      <w:r w:rsidRPr="00AC1055">
        <w:rPr>
          <w:rStyle w:val="FootnoteReference"/>
          <w:rFonts w:cs="Times New Roman"/>
        </w:rPr>
        <w:footnoteReference w:id="248"/>
      </w:r>
      <w:r w:rsidRPr="00AC1055">
        <w:rPr>
          <w:rFonts w:cs="Times New Roman"/>
        </w:rPr>
        <w:t xml:space="preserve"> </w:t>
      </w:r>
    </w:p>
    <w:p w14:paraId="58D9B8CD" w14:textId="77777777" w:rsidR="00E6123E" w:rsidRPr="00AC1055" w:rsidRDefault="00E6123E" w:rsidP="00E6123E">
      <w:pPr>
        <w:spacing w:line="480" w:lineRule="auto"/>
        <w:rPr>
          <w:rFonts w:cs="Times New Roman"/>
        </w:rPr>
      </w:pPr>
      <w:r w:rsidRPr="00AC1055">
        <w:rPr>
          <w:rFonts w:cs="Times New Roman"/>
        </w:rPr>
        <w:t>The change-points allow us to compare quasi</w:t>
      </w:r>
      <w:r>
        <w:rPr>
          <w:rFonts w:cs="Times New Roman"/>
        </w:rPr>
        <w:t>-</w:t>
      </w:r>
      <w:r w:rsidRPr="00AC1055">
        <w:rPr>
          <w:rFonts w:cs="Times New Roman"/>
        </w:rPr>
        <w:t xml:space="preserve">experimentally the direction and feedback effects in a panel data structure. </w:t>
      </w:r>
      <w:r>
        <w:rPr>
          <w:rFonts w:cs="Times New Roman"/>
        </w:rPr>
        <w:t>It is possible to</w:t>
      </w:r>
      <w:r w:rsidRPr="00AC1055">
        <w:rPr>
          <w:rFonts w:cs="Times New Roman"/>
        </w:rPr>
        <w:t xml:space="preserve"> </w:t>
      </w:r>
      <w:r>
        <w:rPr>
          <w:rFonts w:cs="Times New Roman"/>
        </w:rPr>
        <w:t>speculate as to</w:t>
      </w:r>
      <w:r w:rsidRPr="00AC1055">
        <w:rPr>
          <w:rFonts w:cs="Times New Roman"/>
        </w:rPr>
        <w:t xml:space="preserve"> if corporate governance growth drove financial market development or </w:t>
      </w:r>
      <w:r>
        <w:rPr>
          <w:rFonts w:cs="Times New Roman"/>
        </w:rPr>
        <w:t>if it was</w:t>
      </w:r>
      <w:r w:rsidRPr="00AC1055">
        <w:rPr>
          <w:rFonts w:cs="Times New Roman"/>
        </w:rPr>
        <w:t xml:space="preserve"> the financial market development that led to </w:t>
      </w:r>
      <w:r>
        <w:rPr>
          <w:rFonts w:cs="Times New Roman"/>
        </w:rPr>
        <w:t xml:space="preserve">the </w:t>
      </w:r>
      <w:r w:rsidRPr="00AC1055">
        <w:rPr>
          <w:rFonts w:cs="Times New Roman"/>
        </w:rPr>
        <w:t>adoption of a more shareholder primacy approach. If financial market development regime shift regularly occurs before such change</w:t>
      </w:r>
      <w:r>
        <w:rPr>
          <w:rFonts w:cs="Times New Roman"/>
        </w:rPr>
        <w:t>s</w:t>
      </w:r>
      <w:r w:rsidRPr="00AC1055">
        <w:rPr>
          <w:rFonts w:cs="Times New Roman"/>
        </w:rPr>
        <w:t xml:space="preserve"> in shareholder primacy corporate governance, then we can safely deduce that corporate governance has no role to play in financial development and posit that </w:t>
      </w:r>
      <w:r>
        <w:rPr>
          <w:rFonts w:cs="Times New Roman"/>
        </w:rPr>
        <w:t xml:space="preserve">the </w:t>
      </w:r>
      <w:r w:rsidRPr="00AC1055">
        <w:rPr>
          <w:rFonts w:cs="Times New Roman"/>
        </w:rPr>
        <w:t xml:space="preserve">direction of </w:t>
      </w:r>
      <w:r>
        <w:rPr>
          <w:rFonts w:cs="Times New Roman"/>
        </w:rPr>
        <w:t xml:space="preserve">the </w:t>
      </w:r>
      <w:r w:rsidRPr="00AC1055">
        <w:rPr>
          <w:rFonts w:cs="Times New Roman"/>
        </w:rPr>
        <w:t xml:space="preserve">financial market would determine the type of corporate </w:t>
      </w:r>
      <w:r w:rsidRPr="00AC1055">
        <w:rPr>
          <w:rFonts w:cs="Times New Roman"/>
        </w:rPr>
        <w:lastRenderedPageBreak/>
        <w:t>governance a country will adopt. On the other hand</w:t>
      </w:r>
      <w:r>
        <w:rPr>
          <w:rFonts w:cs="Times New Roman"/>
        </w:rPr>
        <w:t>,</w:t>
      </w:r>
      <w:r w:rsidRPr="00AC1055">
        <w:rPr>
          <w:rFonts w:cs="Times New Roman"/>
        </w:rPr>
        <w:t xml:space="preserve"> if financial market development happens in conjunction or after a spurt in corporate governance, </w:t>
      </w:r>
      <w:r>
        <w:rPr>
          <w:rFonts w:cs="Times New Roman"/>
        </w:rPr>
        <w:t>it is necessary</w:t>
      </w:r>
      <w:r w:rsidRPr="00AC1055">
        <w:rPr>
          <w:rFonts w:cs="Times New Roman"/>
        </w:rPr>
        <w:t xml:space="preserve"> to build structural models to tease out the statistical relationship between </w:t>
      </w:r>
      <w:r>
        <w:rPr>
          <w:rFonts w:cs="Times New Roman"/>
        </w:rPr>
        <w:t xml:space="preserve">the </w:t>
      </w:r>
      <w:r w:rsidRPr="00AC1055">
        <w:rPr>
          <w:rFonts w:cs="Times New Roman"/>
        </w:rPr>
        <w:t xml:space="preserve">choice of corporate governance and its impact on </w:t>
      </w:r>
      <w:r>
        <w:rPr>
          <w:rFonts w:cs="Times New Roman"/>
        </w:rPr>
        <w:t xml:space="preserve">the </w:t>
      </w:r>
      <w:r w:rsidRPr="00AC1055">
        <w:rPr>
          <w:rFonts w:cs="Times New Roman"/>
        </w:rPr>
        <w:t>growth of financial market development. As explained in the methodology subchapter</w:t>
      </w:r>
      <w:r>
        <w:rPr>
          <w:rFonts w:cs="Times New Roman"/>
        </w:rPr>
        <w:t>,</w:t>
      </w:r>
      <w:r w:rsidRPr="00AC1055">
        <w:rPr>
          <w:rFonts w:cs="Times New Roman"/>
        </w:rPr>
        <w:t xml:space="preserve"> Bayesian change point analysis would entail partitioning the time series data into segments </w:t>
      </w:r>
      <w:r>
        <w:rPr>
          <w:rFonts w:cs="Times New Roman"/>
        </w:rPr>
        <w:t xml:space="preserve">so </w:t>
      </w:r>
      <w:r w:rsidRPr="00AC1055">
        <w:rPr>
          <w:rFonts w:cs="Times New Roman"/>
        </w:rPr>
        <w:t>that the mean within the segment remains constant. For each sample in the time series,</w:t>
      </w:r>
      <w:r>
        <w:rPr>
          <w:rFonts w:cs="Times New Roman"/>
        </w:rPr>
        <w:t xml:space="preserve"> the</w:t>
      </w:r>
      <w:r w:rsidRPr="00AC1055">
        <w:rPr>
          <w:rFonts w:cs="Times New Roman"/>
        </w:rPr>
        <w:t xml:space="preserve"> Bayesian change point determines the posterior probability that the sample is a change point, i.e. a point of significant change in corporate governance between two segments of different mean corporate governance.</w:t>
      </w:r>
      <w:r w:rsidRPr="00AC1055">
        <w:rPr>
          <w:rStyle w:val="FootnoteReference"/>
          <w:rFonts w:cs="Times New Roman"/>
        </w:rPr>
        <w:footnoteReference w:id="249"/>
      </w:r>
      <w:r w:rsidRPr="00AC1055">
        <w:rPr>
          <w:rFonts w:cs="Times New Roman"/>
        </w:rPr>
        <w:t xml:space="preserve"> The Bayesian analysis was configured with 5000 Markov-chain Monte-Carlo (MCMC) iterations with a burn-in period of 500 iterations i.e</w:t>
      </w:r>
      <w:r>
        <w:rPr>
          <w:rFonts w:cs="Times New Roman"/>
        </w:rPr>
        <w:t>.</w:t>
      </w:r>
      <w:r w:rsidRPr="00AC1055">
        <w:rPr>
          <w:rFonts w:cs="Times New Roman"/>
        </w:rPr>
        <w:t xml:space="preserve"> the first 500 simulations </w:t>
      </w:r>
      <w:r>
        <w:rPr>
          <w:rFonts w:cs="Times New Roman"/>
        </w:rPr>
        <w:t xml:space="preserve">are discarded, </w:t>
      </w:r>
      <w:r w:rsidRPr="00AC1055">
        <w:rPr>
          <w:rFonts w:cs="Times New Roman"/>
        </w:rPr>
        <w:t xml:space="preserve">giving time for the model to converge and then simulate 5000 times to compute the final probabilities. Following the analysis, each year is assigned a value associated with a posterior probability of being a change point. Change points were considered to occur when the posterior probabilities were higher than 0.9 or 0.5 if there are multiple weak change points between 0.5 and 0.8. </w:t>
      </w:r>
    </w:p>
    <w:p w14:paraId="33936F55" w14:textId="77777777" w:rsidR="00E6123E" w:rsidRPr="00AC1055" w:rsidRDefault="00E6123E" w:rsidP="00E6123E">
      <w:pPr>
        <w:spacing w:line="480" w:lineRule="auto"/>
        <w:rPr>
          <w:rFonts w:cs="Times New Roman"/>
        </w:rPr>
      </w:pPr>
      <w:r w:rsidRPr="00AC1055">
        <w:rPr>
          <w:rFonts w:cs="Times New Roman"/>
        </w:rPr>
        <w:t>For each country, its corporate governance and financial market development indices are passed through the</w:t>
      </w:r>
      <w:r w:rsidRPr="00AC1055">
        <w:rPr>
          <w:rFonts w:cs="Times New Roman"/>
          <w:i/>
        </w:rPr>
        <w:t xml:space="preserve"> bcp</w:t>
      </w:r>
      <w:r w:rsidRPr="00AC1055">
        <w:rPr>
          <w:rFonts w:cs="Times New Roman"/>
        </w:rPr>
        <w:t xml:space="preserve"> package. Two plots summarizing the analysis</w:t>
      </w:r>
      <w:r>
        <w:rPr>
          <w:rFonts w:cs="Times New Roman"/>
        </w:rPr>
        <w:t xml:space="preserve"> are</w:t>
      </w:r>
      <w:r w:rsidRPr="00AC1055">
        <w:rPr>
          <w:rFonts w:cs="Times New Roman"/>
        </w:rPr>
        <w:t xml:space="preserve"> generated. The first figure, ‘Posterior Means of corporate governance development’, displays the index along with the posterior mean of each year for the corporate governance development data</w:t>
      </w:r>
      <w:r>
        <w:rPr>
          <w:rFonts w:cs="Times New Roman"/>
        </w:rPr>
        <w:t>. This peaks</w:t>
      </w:r>
      <w:r w:rsidRPr="00AC1055">
        <w:rPr>
          <w:rFonts w:cs="Times New Roman"/>
        </w:rPr>
        <w:t xml:space="preserve"> for years when there is a high probability of generational shift or a step change between 1995 and 2014; the second graph </w:t>
      </w:r>
      <w:r w:rsidRPr="00AC1055">
        <w:rPr>
          <w:rFonts w:cs="Times New Roman"/>
        </w:rPr>
        <w:lastRenderedPageBreak/>
        <w:t xml:space="preserve">shows the ‘Posterior Means of financial market development’ which similarly shows the posterior means and probabilities of change as calculated on the Bayesian factor analysis mean results for </w:t>
      </w:r>
      <w:r>
        <w:rPr>
          <w:rFonts w:cs="Times New Roman"/>
        </w:rPr>
        <w:t xml:space="preserve">the </w:t>
      </w:r>
      <w:r w:rsidRPr="00AC1055">
        <w:rPr>
          <w:rFonts w:cs="Times New Roman"/>
        </w:rPr>
        <w:t>financial market development index between 1996 and 2012.</w:t>
      </w:r>
      <w:r w:rsidRPr="00AC1055">
        <w:rPr>
          <w:rStyle w:val="FootnoteReference"/>
          <w:rFonts w:cs="Times New Roman"/>
        </w:rPr>
        <w:footnoteReference w:id="250"/>
      </w:r>
      <w:r w:rsidRPr="00AC1055">
        <w:rPr>
          <w:rFonts w:cs="Times New Roman"/>
        </w:rPr>
        <w:t xml:space="preserve"> For each country</w:t>
      </w:r>
      <w:r>
        <w:rPr>
          <w:rFonts w:cs="Times New Roman"/>
        </w:rPr>
        <w:t>,</w:t>
      </w:r>
      <w:r w:rsidRPr="00AC1055">
        <w:rPr>
          <w:rFonts w:cs="Times New Roman"/>
        </w:rPr>
        <w:t xml:space="preserve"> both the graphs are followed by a brief assessment focussing on explaining what happened in or around the breakpoint </w:t>
      </w:r>
      <w:r>
        <w:rPr>
          <w:rFonts w:cs="Times New Roman"/>
        </w:rPr>
        <w:t>identifi</w:t>
      </w:r>
      <w:r w:rsidRPr="00AC1055">
        <w:rPr>
          <w:rFonts w:cs="Times New Roman"/>
        </w:rPr>
        <w:t>ed by the quantitative assessment</w:t>
      </w:r>
      <w:r>
        <w:rPr>
          <w:rFonts w:cs="Times New Roman"/>
        </w:rPr>
        <w:t>. This dual assessment</w:t>
      </w:r>
      <w:r w:rsidRPr="00AC1055">
        <w:rPr>
          <w:rFonts w:cs="Times New Roman"/>
        </w:rPr>
        <w:t xml:space="preserve"> </w:t>
      </w:r>
      <w:r>
        <w:rPr>
          <w:rFonts w:cs="Times New Roman"/>
        </w:rPr>
        <w:t xml:space="preserve">is intended to explain </w:t>
      </w:r>
      <w:r w:rsidRPr="00AC1055">
        <w:rPr>
          <w:rFonts w:cs="Times New Roman"/>
        </w:rPr>
        <w:t>the quantitative findings. A table of the posterior probability of a change in mean, along with the posterior mean and standard deviation for each position for each country is provided in the appendix for replication purposes.</w:t>
      </w:r>
      <w:r w:rsidRPr="00AC1055">
        <w:rPr>
          <w:rStyle w:val="FootnoteReference"/>
          <w:rFonts w:cs="Times New Roman"/>
        </w:rPr>
        <w:footnoteReference w:id="251"/>
      </w:r>
    </w:p>
    <w:p w14:paraId="281E3744" w14:textId="77777777" w:rsidR="00710A49" w:rsidRPr="00AC1055" w:rsidRDefault="00710A49" w:rsidP="00413229">
      <w:pPr>
        <w:spacing w:line="480" w:lineRule="auto"/>
        <w:rPr>
          <w:rFonts w:cs="Times New Roman"/>
          <w:u w:val="single"/>
        </w:rPr>
      </w:pPr>
    </w:p>
    <w:p w14:paraId="2751F6D1" w14:textId="77777777" w:rsidR="00413229" w:rsidRPr="00AC1055" w:rsidRDefault="00413229" w:rsidP="00413229">
      <w:pPr>
        <w:spacing w:line="480" w:lineRule="auto"/>
        <w:rPr>
          <w:rFonts w:cs="Times New Roman"/>
          <w:u w:val="single"/>
        </w:rPr>
      </w:pPr>
      <w:r>
        <w:rPr>
          <w:rFonts w:cs="Times New Roman"/>
          <w:u w:val="single"/>
        </w:rPr>
        <w:t xml:space="preserve">4.2.1 </w:t>
      </w:r>
      <w:r w:rsidRPr="00AC1055">
        <w:rPr>
          <w:rFonts w:cs="Times New Roman"/>
          <w:u w:val="single"/>
        </w:rPr>
        <w:t>Brazil</w:t>
      </w:r>
    </w:p>
    <w:p w14:paraId="0E766FB1" w14:textId="77777777" w:rsidR="00413229" w:rsidRPr="00AC1055" w:rsidRDefault="00413229" w:rsidP="00413229">
      <w:pPr>
        <w:spacing w:line="480" w:lineRule="auto"/>
        <w:rPr>
          <w:rFonts w:cs="Times New Roman"/>
          <w:noProof/>
          <w:lang w:eastAsia="en-GB"/>
        </w:rPr>
      </w:pPr>
      <w:r w:rsidRPr="00AC1055">
        <w:rPr>
          <w:rFonts w:cs="Times New Roman"/>
          <w:noProof/>
          <w:sz w:val="16"/>
          <w:lang w:eastAsia="en-GB"/>
        </w:rPr>
        <w:drawing>
          <wp:inline distT="0" distB="0" distL="0" distR="0" wp14:anchorId="01B2892E" wp14:editId="39456B93">
            <wp:extent cx="5734050" cy="33909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14:paraId="70A7A2E1" w14:textId="47124C09" w:rsidR="00413229" w:rsidRPr="00AC1055" w:rsidRDefault="00413229" w:rsidP="00413229">
      <w:pPr>
        <w:spacing w:line="480" w:lineRule="auto"/>
        <w:rPr>
          <w:rFonts w:cs="Times New Roman"/>
          <w:noProof/>
          <w:lang w:eastAsia="en-GB"/>
        </w:rPr>
      </w:pPr>
      <w:r w:rsidRPr="00AC1055">
        <w:rPr>
          <w:rFonts w:cs="Times New Roman"/>
          <w:noProof/>
          <w:lang w:eastAsia="en-GB"/>
        </w:rPr>
        <w:t xml:space="preserve">The change occurs in year 7 (probability of 1) of the dataset or in year 2001. It is consistent with qualitative studies on Brazilian corporate governance which find that </w:t>
      </w:r>
      <w:r w:rsidRPr="00AC1055">
        <w:rPr>
          <w:rFonts w:cs="Times New Roman"/>
          <w:noProof/>
          <w:lang w:eastAsia="en-GB"/>
        </w:rPr>
        <w:lastRenderedPageBreak/>
        <w:t xml:space="preserve">in 2000 </w:t>
      </w:r>
      <w:r>
        <w:rPr>
          <w:rFonts w:cs="Times New Roman"/>
          <w:noProof/>
          <w:lang w:eastAsia="en-GB"/>
        </w:rPr>
        <w:t xml:space="preserve">the </w:t>
      </w:r>
      <w:r w:rsidR="005C132D">
        <w:rPr>
          <w:rFonts w:cs="Times New Roman"/>
          <w:noProof/>
          <w:lang w:eastAsia="en-GB"/>
        </w:rPr>
        <w:t>Sao</w:t>
      </w:r>
      <w:r w:rsidRPr="00AC1055">
        <w:rPr>
          <w:rFonts w:cs="Times New Roman"/>
          <w:noProof/>
          <w:lang w:eastAsia="en-GB"/>
        </w:rPr>
        <w:t xml:space="preserve"> Paulo stock exchange Bovespa created a three tier listing agreement for better obsevance of corporate gover</w:t>
      </w:r>
      <w:r>
        <w:rPr>
          <w:rFonts w:cs="Times New Roman"/>
          <w:noProof/>
          <w:lang w:eastAsia="en-GB"/>
        </w:rPr>
        <w:t>n</w:t>
      </w:r>
      <w:r w:rsidRPr="00AC1055">
        <w:rPr>
          <w:rFonts w:cs="Times New Roman"/>
          <w:noProof/>
          <w:lang w:eastAsia="en-GB"/>
        </w:rPr>
        <w:t>ance, followed by amendments in Company laws in 2001 providing new rights for minority shareholders.</w:t>
      </w:r>
      <w:r w:rsidRPr="00AC1055">
        <w:rPr>
          <w:rStyle w:val="FootnoteReference"/>
          <w:rFonts w:cs="Times New Roman"/>
          <w:noProof/>
          <w:lang w:eastAsia="en-GB"/>
        </w:rPr>
        <w:footnoteReference w:id="252"/>
      </w:r>
    </w:p>
    <w:p w14:paraId="6A2079D0" w14:textId="77777777" w:rsidR="00413229" w:rsidRPr="00AC1055" w:rsidRDefault="00413229" w:rsidP="00413229">
      <w:pPr>
        <w:spacing w:line="480" w:lineRule="auto"/>
        <w:jc w:val="center"/>
        <w:rPr>
          <w:rFonts w:cs="Times New Roman"/>
        </w:rPr>
      </w:pPr>
      <w:r w:rsidRPr="00AC1055">
        <w:rPr>
          <w:rFonts w:cs="Times New Roman"/>
          <w:noProof/>
          <w:sz w:val="16"/>
          <w:lang w:eastAsia="en-GB"/>
        </w:rPr>
        <w:drawing>
          <wp:inline distT="0" distB="0" distL="0" distR="0" wp14:anchorId="373CB348" wp14:editId="2EB6A993">
            <wp:extent cx="5743575" cy="33623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3575" cy="3362325"/>
                    </a:xfrm>
                    <a:prstGeom prst="rect">
                      <a:avLst/>
                    </a:prstGeom>
                    <a:noFill/>
                    <a:ln>
                      <a:noFill/>
                    </a:ln>
                  </pic:spPr>
                </pic:pic>
              </a:graphicData>
            </a:graphic>
          </wp:inline>
        </w:drawing>
      </w:r>
    </w:p>
    <w:p w14:paraId="7AEE05F0" w14:textId="77777777" w:rsidR="00413229" w:rsidRPr="00AC1055" w:rsidRDefault="00413229" w:rsidP="00413229">
      <w:pPr>
        <w:spacing w:line="480" w:lineRule="auto"/>
        <w:rPr>
          <w:rFonts w:cs="Times New Roman"/>
        </w:rPr>
      </w:pPr>
      <w:r w:rsidRPr="00AC1055">
        <w:rPr>
          <w:rFonts w:cs="Times New Roman"/>
        </w:rPr>
        <w:t xml:space="preserve">The probability of change occurring in year 11 (probability of 0.97) and year 14 (probability of 0.87) is high. This correspond to year 2006/07 and 2009/10 which was the time period of the Global Financial crisis and relative recovery. </w:t>
      </w:r>
    </w:p>
    <w:p w14:paraId="1866BF2D" w14:textId="77777777" w:rsidR="00413229" w:rsidRDefault="00413229" w:rsidP="00413229">
      <w:pPr>
        <w:spacing w:line="480" w:lineRule="auto"/>
        <w:rPr>
          <w:rFonts w:cs="Times New Roman"/>
        </w:rPr>
      </w:pPr>
    </w:p>
    <w:p w14:paraId="4780436B" w14:textId="77777777" w:rsidR="00710A49" w:rsidRDefault="00710A49" w:rsidP="00413229">
      <w:pPr>
        <w:spacing w:line="480" w:lineRule="auto"/>
        <w:rPr>
          <w:rFonts w:cs="Times New Roman"/>
        </w:rPr>
      </w:pPr>
    </w:p>
    <w:p w14:paraId="1EA74939" w14:textId="77777777" w:rsidR="00710A49" w:rsidRDefault="00710A49" w:rsidP="00413229">
      <w:pPr>
        <w:spacing w:line="480" w:lineRule="auto"/>
        <w:rPr>
          <w:rFonts w:cs="Times New Roman"/>
        </w:rPr>
      </w:pPr>
    </w:p>
    <w:p w14:paraId="12B0D206" w14:textId="77777777" w:rsidR="00710A49" w:rsidRDefault="00710A49" w:rsidP="00413229">
      <w:pPr>
        <w:spacing w:line="480" w:lineRule="auto"/>
        <w:rPr>
          <w:rFonts w:cs="Times New Roman"/>
        </w:rPr>
      </w:pPr>
    </w:p>
    <w:p w14:paraId="2475DA24" w14:textId="77777777" w:rsidR="00710A49" w:rsidRDefault="00710A49" w:rsidP="00413229">
      <w:pPr>
        <w:spacing w:line="480" w:lineRule="auto"/>
        <w:rPr>
          <w:rFonts w:cs="Times New Roman"/>
        </w:rPr>
      </w:pPr>
    </w:p>
    <w:p w14:paraId="583E6620" w14:textId="77777777" w:rsidR="00710A49" w:rsidRDefault="00710A49" w:rsidP="00413229">
      <w:pPr>
        <w:spacing w:line="480" w:lineRule="auto"/>
        <w:rPr>
          <w:rFonts w:cs="Times New Roman"/>
        </w:rPr>
      </w:pPr>
    </w:p>
    <w:p w14:paraId="38C0E5E8" w14:textId="77777777" w:rsidR="00413229" w:rsidRPr="00AC1055" w:rsidRDefault="00413229" w:rsidP="00413229">
      <w:pPr>
        <w:spacing w:line="480" w:lineRule="auto"/>
        <w:rPr>
          <w:rFonts w:cs="Times New Roman"/>
          <w:u w:val="single"/>
        </w:rPr>
      </w:pPr>
      <w:r>
        <w:rPr>
          <w:rFonts w:cs="Times New Roman"/>
          <w:u w:val="single"/>
        </w:rPr>
        <w:lastRenderedPageBreak/>
        <w:t xml:space="preserve">4.2.2 </w:t>
      </w:r>
      <w:r w:rsidRPr="00AC1055">
        <w:rPr>
          <w:rFonts w:cs="Times New Roman"/>
          <w:u w:val="single"/>
        </w:rPr>
        <w:t>China</w:t>
      </w:r>
    </w:p>
    <w:p w14:paraId="5B40D6D6"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0942CC4" wp14:editId="108E88BA">
            <wp:extent cx="5210175" cy="28670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2850" cy="2868497"/>
                    </a:xfrm>
                    <a:prstGeom prst="rect">
                      <a:avLst/>
                    </a:prstGeom>
                    <a:noFill/>
                    <a:ln>
                      <a:noFill/>
                    </a:ln>
                  </pic:spPr>
                </pic:pic>
              </a:graphicData>
            </a:graphic>
          </wp:inline>
        </w:drawing>
      </w:r>
    </w:p>
    <w:p w14:paraId="617EBC9C" w14:textId="77777777" w:rsidR="00413229" w:rsidRPr="00AC1055" w:rsidRDefault="00413229" w:rsidP="00413229">
      <w:pPr>
        <w:spacing w:line="480" w:lineRule="auto"/>
        <w:rPr>
          <w:rFonts w:cs="Times New Roman"/>
        </w:rPr>
      </w:pPr>
      <w:r w:rsidRPr="00AC1055">
        <w:rPr>
          <w:rFonts w:cs="Times New Roman"/>
        </w:rPr>
        <w:t xml:space="preserve">The probability of change occurring in year 4 (probability of 0.99) and year 11 (probability of 1.0) is quite high. This corresponds to </w:t>
      </w:r>
      <w:r>
        <w:rPr>
          <w:rFonts w:cs="Times New Roman"/>
        </w:rPr>
        <w:t xml:space="preserve">the </w:t>
      </w:r>
      <w:r w:rsidRPr="00AC1055">
        <w:rPr>
          <w:rFonts w:cs="Times New Roman"/>
        </w:rPr>
        <w:t>year 1998 when Securities Law was adopted</w:t>
      </w:r>
      <w:r w:rsidRPr="00AC1055">
        <w:rPr>
          <w:rStyle w:val="FootnoteReference"/>
          <w:rFonts w:cs="Times New Roman"/>
        </w:rPr>
        <w:footnoteReference w:id="253"/>
      </w:r>
      <w:r w:rsidRPr="00AC1055">
        <w:rPr>
          <w:rFonts w:cs="Times New Roman"/>
        </w:rPr>
        <w:t xml:space="preserve"> and </w:t>
      </w:r>
      <w:r>
        <w:rPr>
          <w:rFonts w:cs="Times New Roman"/>
        </w:rPr>
        <w:t xml:space="preserve">the </w:t>
      </w:r>
      <w:r w:rsidRPr="00AC1055">
        <w:rPr>
          <w:rFonts w:cs="Times New Roman"/>
        </w:rPr>
        <w:t>year</w:t>
      </w:r>
      <w:r>
        <w:rPr>
          <w:rFonts w:cs="Times New Roman"/>
        </w:rPr>
        <w:t>s</w:t>
      </w:r>
      <w:r w:rsidRPr="00AC1055">
        <w:rPr>
          <w:rFonts w:cs="Times New Roman"/>
        </w:rPr>
        <w:t xml:space="preserve"> 2005/06 which sits squarely between the amendments to company law in 2005, a new Administrative Measures on Securities Depository and Clearing in 2006 and Provisional Administrative Measures on Transferring Shares Owned by State-Owned Shareholders (promulgated by the CSRC and SASAC in 2007).</w:t>
      </w:r>
    </w:p>
    <w:p w14:paraId="5616A9F3"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1AD8D6BB" wp14:editId="3982F74A">
            <wp:extent cx="5210175" cy="2485121"/>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1573" cy="2490558"/>
                    </a:xfrm>
                    <a:prstGeom prst="rect">
                      <a:avLst/>
                    </a:prstGeom>
                    <a:noFill/>
                    <a:ln>
                      <a:noFill/>
                    </a:ln>
                  </pic:spPr>
                </pic:pic>
              </a:graphicData>
            </a:graphic>
          </wp:inline>
        </w:drawing>
      </w:r>
    </w:p>
    <w:p w14:paraId="3E82C417" w14:textId="77777777" w:rsidR="00413229" w:rsidRPr="00AC1055" w:rsidRDefault="00413229" w:rsidP="00413229">
      <w:pPr>
        <w:spacing w:line="480" w:lineRule="auto"/>
        <w:jc w:val="center"/>
        <w:rPr>
          <w:rFonts w:cs="Times New Roman"/>
        </w:rPr>
      </w:pPr>
    </w:p>
    <w:p w14:paraId="39A98704" w14:textId="77777777" w:rsidR="00413229" w:rsidRPr="00AC1055" w:rsidRDefault="00413229" w:rsidP="00413229">
      <w:pPr>
        <w:spacing w:line="480" w:lineRule="auto"/>
        <w:rPr>
          <w:rFonts w:cs="Times New Roman"/>
        </w:rPr>
      </w:pPr>
      <w:r w:rsidRPr="00AC1055">
        <w:rPr>
          <w:rFonts w:cs="Times New Roman"/>
        </w:rPr>
        <w:t xml:space="preserve">The probability of change in financial market development in China is quite high for year 11 (probability of 0.99). This corresponds to </w:t>
      </w:r>
      <w:r>
        <w:rPr>
          <w:rFonts w:cs="Times New Roman"/>
        </w:rPr>
        <w:t xml:space="preserve">the </w:t>
      </w:r>
      <w:r w:rsidRPr="00AC1055">
        <w:rPr>
          <w:rFonts w:cs="Times New Roman"/>
        </w:rPr>
        <w:t xml:space="preserve">year 2006/07 which was the start of </w:t>
      </w:r>
      <w:r>
        <w:rPr>
          <w:rFonts w:cs="Times New Roman"/>
        </w:rPr>
        <w:t xml:space="preserve">the </w:t>
      </w:r>
      <w:r w:rsidRPr="00AC1055">
        <w:rPr>
          <w:rFonts w:cs="Times New Roman"/>
        </w:rPr>
        <w:t xml:space="preserve">Global Financial Crisis. </w:t>
      </w:r>
    </w:p>
    <w:p w14:paraId="0FFA4F08" w14:textId="77777777" w:rsidR="00413229" w:rsidRPr="00AC1055" w:rsidRDefault="00413229" w:rsidP="00413229">
      <w:pPr>
        <w:spacing w:line="480" w:lineRule="auto"/>
        <w:rPr>
          <w:rFonts w:cs="Times New Roman"/>
          <w:u w:val="single"/>
        </w:rPr>
      </w:pPr>
    </w:p>
    <w:p w14:paraId="32C8F8FB" w14:textId="77777777" w:rsidR="00413229" w:rsidRPr="00AC1055" w:rsidRDefault="00413229" w:rsidP="00413229">
      <w:pPr>
        <w:spacing w:line="480" w:lineRule="auto"/>
        <w:rPr>
          <w:rFonts w:cs="Times New Roman"/>
          <w:u w:val="single"/>
        </w:rPr>
      </w:pPr>
      <w:r>
        <w:rPr>
          <w:rFonts w:cs="Times New Roman"/>
          <w:u w:val="single"/>
        </w:rPr>
        <w:t xml:space="preserve">4.2.3 </w:t>
      </w:r>
      <w:r w:rsidRPr="00AC1055">
        <w:rPr>
          <w:rFonts w:cs="Times New Roman"/>
          <w:u w:val="single"/>
        </w:rPr>
        <w:t>Chile</w:t>
      </w:r>
    </w:p>
    <w:p w14:paraId="63047852" w14:textId="77777777" w:rsidR="00413229" w:rsidRPr="00AC1055" w:rsidRDefault="00413229" w:rsidP="00413229">
      <w:pPr>
        <w:spacing w:line="480" w:lineRule="auto"/>
        <w:rPr>
          <w:rFonts w:cs="Times New Roman"/>
          <w:u w:val="single"/>
        </w:rPr>
      </w:pPr>
      <w:r w:rsidRPr="00AC1055">
        <w:rPr>
          <w:rFonts w:cs="Times New Roman"/>
          <w:noProof/>
          <w:lang w:eastAsia="en-GB"/>
        </w:rPr>
        <w:drawing>
          <wp:inline distT="0" distB="0" distL="0" distR="0" wp14:anchorId="5AC68FDB" wp14:editId="0E89A837">
            <wp:extent cx="5580952" cy="3390476"/>
            <wp:effectExtent l="0" t="0" r="1270" b="63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80952" cy="3390476"/>
                    </a:xfrm>
                    <a:prstGeom prst="rect">
                      <a:avLst/>
                    </a:prstGeom>
                  </pic:spPr>
                </pic:pic>
              </a:graphicData>
            </a:graphic>
          </wp:inline>
        </w:drawing>
      </w:r>
    </w:p>
    <w:p w14:paraId="3D88C90A" w14:textId="77777777" w:rsidR="00413229" w:rsidRPr="00AC1055" w:rsidRDefault="00413229" w:rsidP="00413229">
      <w:pPr>
        <w:spacing w:line="480" w:lineRule="auto"/>
        <w:rPr>
          <w:rFonts w:cs="Times New Roman"/>
        </w:rPr>
      </w:pPr>
      <w:r w:rsidRPr="00AC1055">
        <w:rPr>
          <w:rFonts w:cs="Times New Roman"/>
        </w:rPr>
        <w:t>The probability of regime or shift change in corporate governance development in Chile is overall quite low, there are two low crests in year 5 (probability of 0.46) and 11 (probability of 0.65), these correspond to the years 1999 and 2005. The low probability of change is due to the gradual nature of such corporate governance development in Chile. The market regulator of Chile had promulgated new regulations on corporate governance in 1998.</w:t>
      </w:r>
      <w:r w:rsidRPr="00AC1055">
        <w:rPr>
          <w:rStyle w:val="FootnoteReference"/>
          <w:rFonts w:cs="Times New Roman"/>
        </w:rPr>
        <w:footnoteReference w:id="254"/>
      </w:r>
      <w:r w:rsidRPr="00AC1055">
        <w:rPr>
          <w:rFonts w:cs="Times New Roman"/>
        </w:rPr>
        <w:t xml:space="preserve"> This was followed up by several </w:t>
      </w:r>
      <w:r w:rsidRPr="00AC1055">
        <w:rPr>
          <w:rFonts w:cs="Times New Roman"/>
        </w:rPr>
        <w:lastRenderedPageBreak/>
        <w:t>circulars by the market regulator in 2006 and the major corporate governance regulation in 2009.</w:t>
      </w:r>
      <w:r w:rsidRPr="00AC1055">
        <w:rPr>
          <w:rStyle w:val="FootnoteReference"/>
          <w:rFonts w:cs="Times New Roman"/>
        </w:rPr>
        <w:footnoteReference w:id="255"/>
      </w:r>
    </w:p>
    <w:p w14:paraId="43956A03"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52070FC9" wp14:editId="40358D9B">
            <wp:extent cx="4810125" cy="2922192"/>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816101" cy="2925822"/>
                    </a:xfrm>
                    <a:prstGeom prst="rect">
                      <a:avLst/>
                    </a:prstGeom>
                  </pic:spPr>
                </pic:pic>
              </a:graphicData>
            </a:graphic>
          </wp:inline>
        </w:drawing>
      </w:r>
    </w:p>
    <w:p w14:paraId="5610C5B6" w14:textId="77777777" w:rsidR="00413229" w:rsidRPr="00AC1055" w:rsidRDefault="00413229" w:rsidP="00413229">
      <w:pPr>
        <w:spacing w:line="480" w:lineRule="auto"/>
        <w:rPr>
          <w:rFonts w:cs="Times New Roman"/>
        </w:rPr>
      </w:pPr>
      <w:r w:rsidRPr="00AC1055">
        <w:rPr>
          <w:rFonts w:cs="Times New Roman"/>
        </w:rPr>
        <w:t xml:space="preserve">The probability of a change point in financial market development in Chile is quite high for year 14 (probability of 0.88). This corresponds to </w:t>
      </w:r>
      <w:r>
        <w:rPr>
          <w:rFonts w:cs="Times New Roman"/>
        </w:rPr>
        <w:t xml:space="preserve">the </w:t>
      </w:r>
      <w:r w:rsidRPr="00AC1055">
        <w:rPr>
          <w:rFonts w:cs="Times New Roman"/>
        </w:rPr>
        <w:t>year 2009/10. This also corresponds to the time period of the Global Financial Crisis.</w:t>
      </w:r>
    </w:p>
    <w:p w14:paraId="5C7DC20A" w14:textId="77777777" w:rsidR="00413229" w:rsidRPr="00AC1055" w:rsidRDefault="00413229" w:rsidP="00413229">
      <w:pPr>
        <w:spacing w:line="480" w:lineRule="auto"/>
        <w:rPr>
          <w:rFonts w:cs="Times New Roman"/>
        </w:rPr>
      </w:pPr>
    </w:p>
    <w:p w14:paraId="5F89DB30" w14:textId="77777777" w:rsidR="00413229" w:rsidRPr="00AC1055" w:rsidRDefault="00413229" w:rsidP="00413229">
      <w:pPr>
        <w:spacing w:line="480" w:lineRule="auto"/>
        <w:rPr>
          <w:rFonts w:cs="Times New Roman"/>
          <w:u w:val="single"/>
        </w:rPr>
      </w:pPr>
      <w:r>
        <w:rPr>
          <w:rFonts w:cs="Times New Roman"/>
          <w:u w:val="single"/>
        </w:rPr>
        <w:t xml:space="preserve">4.2.4 </w:t>
      </w:r>
      <w:r w:rsidRPr="00AC1055">
        <w:rPr>
          <w:rFonts w:cs="Times New Roman"/>
          <w:u w:val="single"/>
        </w:rPr>
        <w:t xml:space="preserve">Colombia </w:t>
      </w:r>
    </w:p>
    <w:p w14:paraId="46AAAD4F"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28BC0E28" wp14:editId="7A1947A7">
            <wp:extent cx="4953000" cy="27241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3749" cy="2724562"/>
                    </a:xfrm>
                    <a:prstGeom prst="rect">
                      <a:avLst/>
                    </a:prstGeom>
                    <a:noFill/>
                    <a:ln>
                      <a:noFill/>
                    </a:ln>
                  </pic:spPr>
                </pic:pic>
              </a:graphicData>
            </a:graphic>
          </wp:inline>
        </w:drawing>
      </w:r>
    </w:p>
    <w:p w14:paraId="1CC7869E" w14:textId="77777777" w:rsidR="00413229" w:rsidRPr="00AC1055" w:rsidRDefault="00413229" w:rsidP="00413229">
      <w:pPr>
        <w:spacing w:line="480" w:lineRule="auto"/>
        <w:rPr>
          <w:rFonts w:cs="Times New Roman"/>
        </w:rPr>
      </w:pPr>
      <w:r w:rsidRPr="00AC1055">
        <w:rPr>
          <w:rFonts w:cs="Times New Roman"/>
        </w:rPr>
        <w:lastRenderedPageBreak/>
        <w:t xml:space="preserve">The probability of change point in corporate governance development in Colombia is quite high for year 12 (probability of 0.84) and year 14 (probability of 0.99). This corresponds to </w:t>
      </w:r>
      <w:r>
        <w:rPr>
          <w:rFonts w:cs="Times New Roman"/>
        </w:rPr>
        <w:t xml:space="preserve">the </w:t>
      </w:r>
      <w:r w:rsidRPr="00AC1055">
        <w:rPr>
          <w:rFonts w:cs="Times New Roman"/>
        </w:rPr>
        <w:t>year</w:t>
      </w:r>
      <w:r>
        <w:rPr>
          <w:rFonts w:cs="Times New Roman"/>
        </w:rPr>
        <w:t>s</w:t>
      </w:r>
      <w:r w:rsidRPr="00AC1055">
        <w:rPr>
          <w:rFonts w:cs="Times New Roman"/>
        </w:rPr>
        <w:t xml:space="preserve"> 2006 and 2008. These change points coincide with rapid changes in the corporate governance framework in Colombia through the introduction of Securities Market Law (Law 964 of 2005),</w:t>
      </w:r>
      <w:r w:rsidRPr="00AC1055">
        <w:rPr>
          <w:rStyle w:val="FootnoteReference"/>
          <w:rFonts w:cs="Times New Roman"/>
        </w:rPr>
        <w:footnoteReference w:id="256"/>
      </w:r>
      <w:r w:rsidRPr="00AC1055">
        <w:rPr>
          <w:rFonts w:cs="Times New Roman"/>
        </w:rPr>
        <w:t xml:space="preserve"> </w:t>
      </w:r>
      <w:r>
        <w:rPr>
          <w:rFonts w:cs="Times New Roman"/>
        </w:rPr>
        <w:t xml:space="preserve">The </w:t>
      </w:r>
      <w:r w:rsidRPr="00AC1055">
        <w:rPr>
          <w:rFonts w:cs="Times New Roman"/>
        </w:rPr>
        <w:t xml:space="preserve">Colombian Code of Best Corporate Practice in 2007 and </w:t>
      </w:r>
      <w:r>
        <w:rPr>
          <w:rFonts w:cs="Times New Roman"/>
        </w:rPr>
        <w:t xml:space="preserve">The </w:t>
      </w:r>
      <w:r w:rsidRPr="00AC1055">
        <w:rPr>
          <w:rFonts w:cs="Times New Roman"/>
        </w:rPr>
        <w:t>Colombian Guide of Corporate Governance for Closed Societies and Family Firms in 2009.</w:t>
      </w:r>
      <w:r w:rsidRPr="00AC1055">
        <w:rPr>
          <w:rStyle w:val="FootnoteReference"/>
          <w:rFonts w:cs="Times New Roman"/>
        </w:rPr>
        <w:footnoteReference w:id="257"/>
      </w:r>
    </w:p>
    <w:p w14:paraId="2D8429DA"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7EC19E0C" wp14:editId="64D91E54">
            <wp:extent cx="5580952" cy="3390476"/>
            <wp:effectExtent l="0" t="0" r="1270"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580952" cy="3390476"/>
                    </a:xfrm>
                    <a:prstGeom prst="rect">
                      <a:avLst/>
                    </a:prstGeom>
                  </pic:spPr>
                </pic:pic>
              </a:graphicData>
            </a:graphic>
          </wp:inline>
        </w:drawing>
      </w:r>
    </w:p>
    <w:p w14:paraId="09284685" w14:textId="4EF68A9F" w:rsidR="00413229" w:rsidRDefault="00413229" w:rsidP="00710A49">
      <w:pPr>
        <w:spacing w:line="480" w:lineRule="auto"/>
        <w:rPr>
          <w:rFonts w:cs="Times New Roman"/>
        </w:rPr>
      </w:pPr>
      <w:r w:rsidRPr="00AC1055">
        <w:rPr>
          <w:rFonts w:cs="Times New Roman"/>
        </w:rPr>
        <w:t xml:space="preserve">The probability of change point financial market development in Colombia is quite high for year 9 (probability of 0.97) and year 15 (probability of 0.98). This corresponds to </w:t>
      </w:r>
      <w:r>
        <w:rPr>
          <w:rFonts w:cs="Times New Roman"/>
        </w:rPr>
        <w:t xml:space="preserve">the </w:t>
      </w:r>
      <w:r w:rsidRPr="00AC1055">
        <w:rPr>
          <w:rFonts w:cs="Times New Roman"/>
        </w:rPr>
        <w:t>year</w:t>
      </w:r>
      <w:r>
        <w:rPr>
          <w:rFonts w:cs="Times New Roman"/>
        </w:rPr>
        <w:t>s</w:t>
      </w:r>
      <w:r w:rsidRPr="00AC1055">
        <w:rPr>
          <w:rFonts w:cs="Times New Roman"/>
        </w:rPr>
        <w:t xml:space="preserve"> 2003/04, when the Colombian economy started rapidly </w:t>
      </w:r>
      <w:r w:rsidRPr="00AC1055">
        <w:rPr>
          <w:rFonts w:cs="Times New Roman"/>
        </w:rPr>
        <w:lastRenderedPageBreak/>
        <w:t>recovering from the Colombian Financial Crisis of 1998,</w:t>
      </w:r>
      <w:r w:rsidRPr="00AC1055">
        <w:rPr>
          <w:rStyle w:val="FootnoteReference"/>
          <w:rFonts w:cs="Times New Roman"/>
        </w:rPr>
        <w:footnoteReference w:id="258"/>
      </w:r>
      <w:r w:rsidRPr="00AC1055">
        <w:rPr>
          <w:rFonts w:cs="Times New Roman"/>
        </w:rPr>
        <w:t xml:space="preserve"> and </w:t>
      </w:r>
      <w:r>
        <w:rPr>
          <w:rFonts w:cs="Times New Roman"/>
        </w:rPr>
        <w:t xml:space="preserve">the </w:t>
      </w:r>
      <w:r w:rsidRPr="00AC1055">
        <w:rPr>
          <w:rFonts w:cs="Times New Roman"/>
        </w:rPr>
        <w:t xml:space="preserve">year 2010 which coincides with the upheaval from </w:t>
      </w:r>
      <w:r>
        <w:rPr>
          <w:rFonts w:cs="Times New Roman"/>
        </w:rPr>
        <w:t xml:space="preserve">the </w:t>
      </w:r>
      <w:r w:rsidRPr="00AC1055">
        <w:rPr>
          <w:rFonts w:cs="Times New Roman"/>
        </w:rPr>
        <w:t>Gl</w:t>
      </w:r>
      <w:r w:rsidR="00710A49">
        <w:rPr>
          <w:rFonts w:cs="Times New Roman"/>
        </w:rPr>
        <w:t xml:space="preserve">obal Financial Crisis of 2007. </w:t>
      </w:r>
    </w:p>
    <w:p w14:paraId="69262332" w14:textId="77777777" w:rsidR="00413229" w:rsidRPr="00AC1055" w:rsidRDefault="00413229" w:rsidP="00413229">
      <w:pPr>
        <w:spacing w:line="480" w:lineRule="auto"/>
        <w:rPr>
          <w:rFonts w:cs="Times New Roman"/>
        </w:rPr>
      </w:pPr>
    </w:p>
    <w:p w14:paraId="77212EEB" w14:textId="77777777" w:rsidR="00413229" w:rsidRPr="00AC1055" w:rsidRDefault="00413229" w:rsidP="00413229">
      <w:pPr>
        <w:spacing w:line="480" w:lineRule="auto"/>
        <w:rPr>
          <w:rFonts w:cs="Times New Roman"/>
          <w:u w:val="single"/>
        </w:rPr>
      </w:pPr>
      <w:r>
        <w:rPr>
          <w:rFonts w:cs="Times New Roman"/>
          <w:u w:val="single"/>
        </w:rPr>
        <w:t xml:space="preserve">4.2.5 </w:t>
      </w:r>
      <w:r w:rsidRPr="00AC1055">
        <w:rPr>
          <w:rFonts w:cs="Times New Roman"/>
          <w:u w:val="single"/>
        </w:rPr>
        <w:t>India</w:t>
      </w:r>
    </w:p>
    <w:p w14:paraId="4F11F3F1"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786D72F9" wp14:editId="19E0C155">
            <wp:extent cx="5580952" cy="3390476"/>
            <wp:effectExtent l="0" t="0" r="1270"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580952" cy="3390476"/>
                    </a:xfrm>
                    <a:prstGeom prst="rect">
                      <a:avLst/>
                    </a:prstGeom>
                  </pic:spPr>
                </pic:pic>
              </a:graphicData>
            </a:graphic>
          </wp:inline>
        </w:drawing>
      </w:r>
    </w:p>
    <w:p w14:paraId="5BD4EB13" w14:textId="751B4489" w:rsidR="00413229" w:rsidRPr="00AC1055" w:rsidRDefault="00413229" w:rsidP="00710A49">
      <w:pPr>
        <w:spacing w:line="480" w:lineRule="auto"/>
        <w:rPr>
          <w:rFonts w:cs="Times New Roman"/>
        </w:rPr>
      </w:pPr>
      <w:r w:rsidRPr="00AC1055">
        <w:rPr>
          <w:rFonts w:cs="Times New Roman"/>
        </w:rPr>
        <w:t xml:space="preserve">The probability of regime shift in Indian corporate governance development is very low throughout the period studied, this is due to the steady change in the updating </w:t>
      </w:r>
      <w:r>
        <w:rPr>
          <w:rFonts w:cs="Times New Roman"/>
        </w:rPr>
        <w:t xml:space="preserve">of </w:t>
      </w:r>
      <w:r w:rsidRPr="00AC1055">
        <w:rPr>
          <w:rFonts w:cs="Times New Roman"/>
        </w:rPr>
        <w:t xml:space="preserve">the corporate governance process in India. There are two very minor crests of probability 0.32, in year 5 and year 15. This corresponds to </w:t>
      </w:r>
      <w:r>
        <w:rPr>
          <w:rFonts w:cs="Times New Roman"/>
        </w:rPr>
        <w:t xml:space="preserve">the </w:t>
      </w:r>
      <w:r w:rsidRPr="00AC1055">
        <w:rPr>
          <w:rFonts w:cs="Times New Roman"/>
        </w:rPr>
        <w:t>year</w:t>
      </w:r>
      <w:r>
        <w:rPr>
          <w:rFonts w:cs="Times New Roman"/>
        </w:rPr>
        <w:t>s</w:t>
      </w:r>
      <w:r w:rsidRPr="00AC1055">
        <w:rPr>
          <w:rFonts w:cs="Times New Roman"/>
        </w:rPr>
        <w:t xml:space="preserve"> 1999/2000 around when </w:t>
      </w:r>
      <w:r>
        <w:rPr>
          <w:rFonts w:cs="Times New Roman"/>
        </w:rPr>
        <w:t xml:space="preserve">the </w:t>
      </w:r>
      <w:r w:rsidRPr="00AC1055">
        <w:rPr>
          <w:rFonts w:cs="Times New Roman"/>
        </w:rPr>
        <w:t>Report of the Kumar Mangalam Birla Committee on Corporate Governance (2000)</w:t>
      </w:r>
      <w:r w:rsidRPr="00AC1055">
        <w:rPr>
          <w:rStyle w:val="FootnoteReference"/>
          <w:rFonts w:cs="Times New Roman"/>
        </w:rPr>
        <w:footnoteReference w:id="259"/>
      </w:r>
      <w:r w:rsidRPr="00AC1055">
        <w:rPr>
          <w:rFonts w:cs="Times New Roman"/>
        </w:rPr>
        <w:t xml:space="preserve"> was accepted along with </w:t>
      </w:r>
      <w:r>
        <w:rPr>
          <w:rFonts w:cs="Times New Roman"/>
        </w:rPr>
        <w:t xml:space="preserve">the </w:t>
      </w:r>
      <w:r w:rsidRPr="00AC1055">
        <w:rPr>
          <w:rFonts w:cs="Times New Roman"/>
        </w:rPr>
        <w:t xml:space="preserve">publication of </w:t>
      </w:r>
      <w:r>
        <w:rPr>
          <w:rFonts w:cs="Times New Roman"/>
        </w:rPr>
        <w:t xml:space="preserve">the </w:t>
      </w:r>
      <w:r w:rsidRPr="00AC1055">
        <w:rPr>
          <w:rFonts w:cs="Times New Roman"/>
        </w:rPr>
        <w:t>Draft Report of the Kumar Mangalam Committee on Corporate Governance (1999)</w:t>
      </w:r>
      <w:r w:rsidRPr="00AC1055">
        <w:rPr>
          <w:rStyle w:val="FootnoteReference"/>
          <w:rFonts w:cs="Times New Roman"/>
        </w:rPr>
        <w:footnoteReference w:id="260"/>
      </w:r>
      <w:r w:rsidRPr="00AC1055">
        <w:rPr>
          <w:rFonts w:cs="Times New Roman"/>
        </w:rPr>
        <w:t xml:space="preserve"> and the </w:t>
      </w:r>
      <w:r w:rsidRPr="00AC1055">
        <w:rPr>
          <w:rFonts w:cs="Times New Roman"/>
        </w:rPr>
        <w:lastRenderedPageBreak/>
        <w:t>Desirable Corporate Governance in India - A Code (1998)</w:t>
      </w:r>
      <w:r w:rsidRPr="00AC1055">
        <w:rPr>
          <w:rStyle w:val="FootnoteReference"/>
          <w:rFonts w:cs="Times New Roman"/>
        </w:rPr>
        <w:t xml:space="preserve"> </w:t>
      </w:r>
      <w:r w:rsidRPr="00AC1055">
        <w:rPr>
          <w:rStyle w:val="FootnoteReference"/>
          <w:rFonts w:cs="Times New Roman"/>
        </w:rPr>
        <w:footnoteReference w:id="261"/>
      </w:r>
      <w:r w:rsidRPr="00AC1055">
        <w:rPr>
          <w:rFonts w:cs="Times New Roman"/>
        </w:rPr>
        <w:t xml:space="preserve"> and </w:t>
      </w:r>
      <w:r>
        <w:rPr>
          <w:rFonts w:cs="Times New Roman"/>
        </w:rPr>
        <w:t xml:space="preserve">the </w:t>
      </w:r>
      <w:r w:rsidRPr="00AC1055">
        <w:rPr>
          <w:rFonts w:cs="Times New Roman"/>
        </w:rPr>
        <w:t>years 2008/09 which came in the implementation phase of Clause 49 (adopted in 2005)</w:t>
      </w:r>
      <w:r w:rsidRPr="00AC1055">
        <w:rPr>
          <w:rStyle w:val="FootnoteReference"/>
          <w:rFonts w:cs="Times New Roman"/>
        </w:rPr>
        <w:footnoteReference w:id="262"/>
      </w:r>
      <w:r w:rsidRPr="00AC1055">
        <w:rPr>
          <w:rFonts w:cs="Times New Roman"/>
        </w:rPr>
        <w:t xml:space="preserve"> and </w:t>
      </w:r>
      <w:r>
        <w:rPr>
          <w:rFonts w:cs="Times New Roman"/>
        </w:rPr>
        <w:t xml:space="preserve">the </w:t>
      </w:r>
      <w:r w:rsidRPr="00AC1055">
        <w:rPr>
          <w:rFonts w:cs="Times New Roman"/>
        </w:rPr>
        <w:t xml:space="preserve">publication of </w:t>
      </w:r>
      <w:r>
        <w:rPr>
          <w:rFonts w:cs="Times New Roman"/>
        </w:rPr>
        <w:t xml:space="preserve">the </w:t>
      </w:r>
      <w:r w:rsidRPr="00AC1055">
        <w:rPr>
          <w:rFonts w:cs="Times New Roman"/>
        </w:rPr>
        <w:t>Corporate Governance Voluntary Guidelines (2009).</w:t>
      </w:r>
      <w:r w:rsidRPr="00AC1055">
        <w:rPr>
          <w:rStyle w:val="FootnoteReference"/>
          <w:rFonts w:cs="Times New Roman"/>
        </w:rPr>
        <w:footnoteReference w:id="263"/>
      </w:r>
      <w:r w:rsidR="00710A49">
        <w:rPr>
          <w:rFonts w:cs="Times New Roman"/>
        </w:rPr>
        <w:t xml:space="preserve"> </w:t>
      </w:r>
    </w:p>
    <w:p w14:paraId="124B1125"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5E658B8E" wp14:editId="78A7B0D5">
            <wp:extent cx="5580952" cy="3390476"/>
            <wp:effectExtent l="0" t="0" r="1270"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580952" cy="3390476"/>
                    </a:xfrm>
                    <a:prstGeom prst="rect">
                      <a:avLst/>
                    </a:prstGeom>
                  </pic:spPr>
                </pic:pic>
              </a:graphicData>
            </a:graphic>
          </wp:inline>
        </w:drawing>
      </w:r>
    </w:p>
    <w:p w14:paraId="64DD78BA" w14:textId="77777777" w:rsidR="00413229" w:rsidRPr="00AC1055" w:rsidRDefault="00413229" w:rsidP="00413229">
      <w:pPr>
        <w:spacing w:line="480" w:lineRule="auto"/>
        <w:rPr>
          <w:rFonts w:cs="Times New Roman"/>
        </w:rPr>
      </w:pPr>
      <w:r w:rsidRPr="00AC1055">
        <w:rPr>
          <w:rFonts w:cs="Times New Roman"/>
        </w:rPr>
        <w:t xml:space="preserve">The probability of </w:t>
      </w:r>
      <w:r>
        <w:rPr>
          <w:rFonts w:cs="Times New Roman"/>
        </w:rPr>
        <w:t xml:space="preserve">a </w:t>
      </w:r>
      <w:r w:rsidRPr="00AC1055">
        <w:rPr>
          <w:rFonts w:cs="Times New Roman"/>
        </w:rPr>
        <w:t xml:space="preserve">change point in the financial market development in India is highest for year 10 (probability of 0.61). This corresponds to </w:t>
      </w:r>
      <w:r>
        <w:rPr>
          <w:rFonts w:cs="Times New Roman"/>
        </w:rPr>
        <w:t xml:space="preserve">the </w:t>
      </w:r>
      <w:r w:rsidRPr="00AC1055">
        <w:rPr>
          <w:rFonts w:cs="Times New Roman"/>
        </w:rPr>
        <w:t>year 2005. This corresponds with the time period of rapid financial growth</w:t>
      </w:r>
      <w:r>
        <w:rPr>
          <w:rFonts w:cs="Times New Roman"/>
        </w:rPr>
        <w:t>,</w:t>
      </w:r>
      <w:r w:rsidRPr="00AC1055">
        <w:rPr>
          <w:rFonts w:cs="Times New Roman"/>
        </w:rPr>
        <w:t xml:space="preserve"> especially between 2005 to 2008 when the rate of growth averaged over 9%.</w:t>
      </w:r>
      <w:r w:rsidRPr="00AC1055">
        <w:rPr>
          <w:rStyle w:val="FootnoteReference"/>
          <w:rFonts w:cs="Times New Roman"/>
        </w:rPr>
        <w:footnoteReference w:id="264"/>
      </w:r>
      <w:r w:rsidRPr="00AC1055">
        <w:rPr>
          <w:rFonts w:cs="Times New Roman"/>
        </w:rPr>
        <w:t xml:space="preserve"> </w:t>
      </w:r>
    </w:p>
    <w:p w14:paraId="1F6D71EE" w14:textId="77777777" w:rsidR="00413229" w:rsidRDefault="00413229" w:rsidP="00413229">
      <w:pPr>
        <w:spacing w:line="480" w:lineRule="auto"/>
        <w:rPr>
          <w:rFonts w:cs="Times New Roman"/>
        </w:rPr>
      </w:pPr>
    </w:p>
    <w:p w14:paraId="32213B13" w14:textId="77777777" w:rsidR="00710A49" w:rsidRDefault="00710A49" w:rsidP="00413229">
      <w:pPr>
        <w:spacing w:line="480" w:lineRule="auto"/>
        <w:rPr>
          <w:rFonts w:cs="Times New Roman"/>
        </w:rPr>
      </w:pPr>
    </w:p>
    <w:p w14:paraId="3FE412C2" w14:textId="77777777" w:rsidR="00710A49" w:rsidRDefault="00710A49" w:rsidP="00413229">
      <w:pPr>
        <w:spacing w:line="480" w:lineRule="auto"/>
        <w:rPr>
          <w:rFonts w:cs="Times New Roman"/>
        </w:rPr>
      </w:pPr>
    </w:p>
    <w:p w14:paraId="2BB06190" w14:textId="77777777" w:rsidR="00710A49" w:rsidRPr="00AC1055" w:rsidRDefault="00710A49" w:rsidP="00413229">
      <w:pPr>
        <w:spacing w:line="480" w:lineRule="auto"/>
        <w:rPr>
          <w:rFonts w:cs="Times New Roman"/>
        </w:rPr>
      </w:pPr>
    </w:p>
    <w:p w14:paraId="44B882B0" w14:textId="77777777" w:rsidR="00413229" w:rsidRPr="00AC1055" w:rsidRDefault="00413229" w:rsidP="00413229">
      <w:pPr>
        <w:spacing w:line="480" w:lineRule="auto"/>
        <w:rPr>
          <w:rFonts w:cs="Times New Roman"/>
          <w:u w:val="single"/>
        </w:rPr>
      </w:pPr>
      <w:r>
        <w:rPr>
          <w:rFonts w:cs="Times New Roman"/>
          <w:u w:val="single"/>
        </w:rPr>
        <w:lastRenderedPageBreak/>
        <w:t xml:space="preserve">4.2.6 </w:t>
      </w:r>
      <w:r w:rsidRPr="00AC1055">
        <w:rPr>
          <w:rFonts w:cs="Times New Roman"/>
          <w:u w:val="single"/>
        </w:rPr>
        <w:t>Indonesia</w:t>
      </w:r>
    </w:p>
    <w:p w14:paraId="757A81DC"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5437CAF2" wp14:editId="7B719195">
            <wp:extent cx="5471898" cy="332422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71214" cy="3323809"/>
                    </a:xfrm>
                    <a:prstGeom prst="rect">
                      <a:avLst/>
                    </a:prstGeom>
                  </pic:spPr>
                </pic:pic>
              </a:graphicData>
            </a:graphic>
          </wp:inline>
        </w:drawing>
      </w:r>
    </w:p>
    <w:p w14:paraId="77D4D2A6" w14:textId="77777777" w:rsidR="00413229" w:rsidRPr="00AC1055" w:rsidRDefault="00413229" w:rsidP="00413229">
      <w:pPr>
        <w:spacing w:line="480" w:lineRule="auto"/>
        <w:rPr>
          <w:rFonts w:cs="Times New Roman"/>
        </w:rPr>
      </w:pPr>
      <w:r w:rsidRPr="00AC1055">
        <w:rPr>
          <w:rFonts w:cs="Times New Roman"/>
        </w:rPr>
        <w:t xml:space="preserve">The probability of </w:t>
      </w:r>
      <w:r>
        <w:rPr>
          <w:rFonts w:cs="Times New Roman"/>
        </w:rPr>
        <w:t xml:space="preserve">a </w:t>
      </w:r>
      <w:r w:rsidRPr="00AC1055">
        <w:rPr>
          <w:rFonts w:cs="Times New Roman"/>
        </w:rPr>
        <w:t xml:space="preserve">change point in the corporate governance growth in Indonesia is high for year 12 (probability of 1) and year 13 (probability of 0.84). This corresponds to </w:t>
      </w:r>
      <w:r>
        <w:rPr>
          <w:rFonts w:cs="Times New Roman"/>
        </w:rPr>
        <w:t xml:space="preserve">the </w:t>
      </w:r>
      <w:r w:rsidRPr="00AC1055">
        <w:rPr>
          <w:rFonts w:cs="Times New Roman"/>
        </w:rPr>
        <w:t>year</w:t>
      </w:r>
      <w:r>
        <w:rPr>
          <w:rFonts w:cs="Times New Roman"/>
        </w:rPr>
        <w:t>s</w:t>
      </w:r>
      <w:r w:rsidRPr="00AC1055">
        <w:rPr>
          <w:rFonts w:cs="Times New Roman"/>
        </w:rPr>
        <w:t xml:space="preserve"> 2006/07. It was during this period that the new Code of Good Corporate Governance (2006) was being implemented.</w:t>
      </w:r>
      <w:r w:rsidRPr="00AC1055">
        <w:rPr>
          <w:rStyle w:val="FootnoteReference"/>
          <w:rFonts w:cs="Times New Roman"/>
        </w:rPr>
        <w:footnoteReference w:id="265"/>
      </w:r>
      <w:r w:rsidRPr="00AC1055">
        <w:rPr>
          <w:rFonts w:cs="Times New Roman"/>
        </w:rPr>
        <w:t xml:space="preserve"> It was around this time that corporate governance rules for banks were introduced (2006), a number of  other legislati</w:t>
      </w:r>
      <w:r>
        <w:rPr>
          <w:rFonts w:cs="Times New Roman"/>
        </w:rPr>
        <w:t xml:space="preserve">ve </w:t>
      </w:r>
      <w:r w:rsidRPr="00AC1055">
        <w:rPr>
          <w:rFonts w:cs="Times New Roman"/>
        </w:rPr>
        <w:t>reforms were also executed the Law on Foreign Investment</w:t>
      </w:r>
      <w:r>
        <w:rPr>
          <w:rFonts w:cs="Times New Roman"/>
        </w:rPr>
        <w:t xml:space="preserve">, </w:t>
      </w:r>
      <w:r w:rsidRPr="00AC1055">
        <w:rPr>
          <w:rFonts w:cs="Times New Roman"/>
        </w:rPr>
        <w:t>adopted in 1967 was amended in 2007, and the Indonesian Company Law adopted in 1995 was amended in 2007.</w:t>
      </w:r>
      <w:r w:rsidRPr="00AC1055">
        <w:rPr>
          <w:rStyle w:val="FootnoteReference"/>
          <w:rFonts w:cs="Times New Roman"/>
        </w:rPr>
        <w:footnoteReference w:id="266"/>
      </w:r>
    </w:p>
    <w:p w14:paraId="3AA22291"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4EEB0201" wp14:editId="28B8CA63">
            <wp:extent cx="5580952" cy="3390476"/>
            <wp:effectExtent l="0" t="0" r="1270"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80952" cy="3390476"/>
                    </a:xfrm>
                    <a:prstGeom prst="rect">
                      <a:avLst/>
                    </a:prstGeom>
                  </pic:spPr>
                </pic:pic>
              </a:graphicData>
            </a:graphic>
          </wp:inline>
        </w:drawing>
      </w:r>
    </w:p>
    <w:p w14:paraId="7914DCAE" w14:textId="77777777" w:rsidR="00413229" w:rsidRPr="00AC1055" w:rsidRDefault="00413229" w:rsidP="00413229">
      <w:pPr>
        <w:spacing w:line="480" w:lineRule="auto"/>
        <w:rPr>
          <w:rFonts w:cs="Times New Roman"/>
        </w:rPr>
      </w:pPr>
      <w:r w:rsidRPr="00AC1055">
        <w:rPr>
          <w:rFonts w:cs="Times New Roman"/>
        </w:rPr>
        <w:t xml:space="preserve">The probability of </w:t>
      </w:r>
      <w:r>
        <w:rPr>
          <w:rFonts w:cs="Times New Roman"/>
        </w:rPr>
        <w:t xml:space="preserve">a </w:t>
      </w:r>
      <w:r w:rsidRPr="00AC1055">
        <w:rPr>
          <w:rFonts w:cs="Times New Roman"/>
        </w:rPr>
        <w:t xml:space="preserve">change point in financial market development in Indonesia is high for year 14 (probability of 0.98), medium for year 9 (probability of 0.68) and low for year 2 (probability of 0.3). They correspond to year 2009, 2004 and 1997. These time periods coincide with the 1997 Asian financial crisis, recovery and </w:t>
      </w:r>
      <w:r>
        <w:rPr>
          <w:rFonts w:cs="Times New Roman"/>
        </w:rPr>
        <w:t xml:space="preserve">the </w:t>
      </w:r>
      <w:r w:rsidRPr="00AC1055">
        <w:rPr>
          <w:rFonts w:cs="Times New Roman"/>
        </w:rPr>
        <w:t xml:space="preserve">start of </w:t>
      </w:r>
      <w:r>
        <w:rPr>
          <w:rFonts w:cs="Times New Roman"/>
        </w:rPr>
        <w:t xml:space="preserve">a </w:t>
      </w:r>
      <w:r w:rsidRPr="00AC1055">
        <w:rPr>
          <w:rFonts w:cs="Times New Roman"/>
        </w:rPr>
        <w:t>growth phase in 2004</w:t>
      </w:r>
      <w:r>
        <w:rPr>
          <w:rFonts w:cs="Times New Roman"/>
        </w:rPr>
        <w:t>,</w:t>
      </w:r>
      <w:r w:rsidRPr="00AC1055">
        <w:rPr>
          <w:rFonts w:cs="Times New Roman"/>
        </w:rPr>
        <w:t xml:space="preserve"> and the Global financial crisis</w:t>
      </w:r>
      <w:r>
        <w:rPr>
          <w:rFonts w:cs="Times New Roman"/>
        </w:rPr>
        <w:t xml:space="preserve"> in</w:t>
      </w:r>
      <w:r w:rsidRPr="00AC1055">
        <w:rPr>
          <w:rFonts w:cs="Times New Roman"/>
        </w:rPr>
        <w:t xml:space="preserve"> 2007/08.</w:t>
      </w:r>
      <w:r w:rsidRPr="00AC1055">
        <w:rPr>
          <w:rStyle w:val="FootnoteReference"/>
          <w:rFonts w:cs="Times New Roman"/>
        </w:rPr>
        <w:footnoteReference w:id="267"/>
      </w:r>
      <w:r w:rsidRPr="00AC1055">
        <w:rPr>
          <w:rFonts w:cs="Times New Roman"/>
        </w:rPr>
        <w:t xml:space="preserve"> </w:t>
      </w:r>
    </w:p>
    <w:p w14:paraId="3062EE68" w14:textId="77777777" w:rsidR="00413229" w:rsidRPr="00AC1055" w:rsidRDefault="00413229" w:rsidP="00413229">
      <w:pPr>
        <w:spacing w:line="480" w:lineRule="auto"/>
        <w:rPr>
          <w:rFonts w:cs="Times New Roman"/>
        </w:rPr>
      </w:pPr>
    </w:p>
    <w:p w14:paraId="5E60D489" w14:textId="77777777" w:rsidR="00413229" w:rsidRPr="00AC1055" w:rsidRDefault="00413229" w:rsidP="00413229">
      <w:pPr>
        <w:spacing w:line="480" w:lineRule="auto"/>
        <w:rPr>
          <w:rFonts w:cs="Times New Roman"/>
        </w:rPr>
      </w:pPr>
    </w:p>
    <w:p w14:paraId="43C673EC" w14:textId="77777777" w:rsidR="00413229" w:rsidRPr="00AC1055" w:rsidRDefault="00413229" w:rsidP="00413229">
      <w:pPr>
        <w:spacing w:line="480" w:lineRule="auto"/>
        <w:rPr>
          <w:rFonts w:cs="Times New Roman"/>
        </w:rPr>
      </w:pPr>
    </w:p>
    <w:p w14:paraId="2F59EAA5" w14:textId="77777777" w:rsidR="00413229" w:rsidRDefault="00413229" w:rsidP="00413229">
      <w:pPr>
        <w:spacing w:line="480" w:lineRule="auto"/>
        <w:rPr>
          <w:rFonts w:cs="Times New Roman"/>
        </w:rPr>
      </w:pPr>
    </w:p>
    <w:p w14:paraId="289B96EC" w14:textId="77777777" w:rsidR="00710A49" w:rsidRDefault="00710A49" w:rsidP="00413229">
      <w:pPr>
        <w:spacing w:line="480" w:lineRule="auto"/>
        <w:rPr>
          <w:rFonts w:cs="Times New Roman"/>
        </w:rPr>
      </w:pPr>
    </w:p>
    <w:p w14:paraId="73F9ABC1" w14:textId="77777777" w:rsidR="00710A49" w:rsidRDefault="00710A49" w:rsidP="00413229">
      <w:pPr>
        <w:spacing w:line="480" w:lineRule="auto"/>
        <w:rPr>
          <w:rFonts w:cs="Times New Roman"/>
        </w:rPr>
      </w:pPr>
    </w:p>
    <w:p w14:paraId="4C3F0B04" w14:textId="77777777" w:rsidR="00710A49" w:rsidRPr="00AC1055" w:rsidRDefault="00710A49" w:rsidP="00413229">
      <w:pPr>
        <w:spacing w:line="480" w:lineRule="auto"/>
        <w:rPr>
          <w:rFonts w:cs="Times New Roman"/>
        </w:rPr>
      </w:pPr>
    </w:p>
    <w:p w14:paraId="278B817A" w14:textId="77777777" w:rsidR="00413229" w:rsidRPr="00AC1055" w:rsidRDefault="00413229" w:rsidP="00413229">
      <w:pPr>
        <w:spacing w:line="480" w:lineRule="auto"/>
        <w:rPr>
          <w:rFonts w:cs="Times New Roman"/>
        </w:rPr>
      </w:pPr>
    </w:p>
    <w:p w14:paraId="2DF2EE60" w14:textId="77777777" w:rsidR="00413229" w:rsidRPr="00AC1055" w:rsidRDefault="00413229" w:rsidP="00413229">
      <w:pPr>
        <w:spacing w:line="480" w:lineRule="auto"/>
        <w:rPr>
          <w:rFonts w:cs="Times New Roman"/>
          <w:u w:val="single"/>
        </w:rPr>
      </w:pPr>
      <w:r>
        <w:rPr>
          <w:rFonts w:cs="Times New Roman"/>
          <w:u w:val="single"/>
        </w:rPr>
        <w:lastRenderedPageBreak/>
        <w:t xml:space="preserve">4.2.7 </w:t>
      </w:r>
      <w:r w:rsidRPr="00AC1055">
        <w:rPr>
          <w:rFonts w:cs="Times New Roman"/>
          <w:u w:val="single"/>
        </w:rPr>
        <w:t>Peru</w:t>
      </w:r>
    </w:p>
    <w:p w14:paraId="5BAFB689"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543912A1" wp14:editId="299EFC25">
            <wp:extent cx="5048250" cy="3066855"/>
            <wp:effectExtent l="0" t="0" r="0"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47619" cy="3066472"/>
                    </a:xfrm>
                    <a:prstGeom prst="rect">
                      <a:avLst/>
                    </a:prstGeom>
                  </pic:spPr>
                </pic:pic>
              </a:graphicData>
            </a:graphic>
          </wp:inline>
        </w:drawing>
      </w:r>
    </w:p>
    <w:p w14:paraId="7EFA818E" w14:textId="77777777" w:rsidR="00413229" w:rsidRPr="00AC1055" w:rsidRDefault="00413229" w:rsidP="00413229">
      <w:pPr>
        <w:spacing w:line="480" w:lineRule="auto"/>
        <w:rPr>
          <w:rFonts w:cs="Times New Roman"/>
        </w:rPr>
      </w:pPr>
      <w:r w:rsidRPr="00AC1055">
        <w:rPr>
          <w:rFonts w:cs="Times New Roman"/>
        </w:rPr>
        <w:t xml:space="preserve">The probability of </w:t>
      </w:r>
      <w:r>
        <w:rPr>
          <w:rFonts w:cs="Times New Roman"/>
        </w:rPr>
        <w:t xml:space="preserve">a </w:t>
      </w:r>
      <w:r w:rsidRPr="00AC1055">
        <w:rPr>
          <w:rFonts w:cs="Times New Roman"/>
        </w:rPr>
        <w:t xml:space="preserve">change point in the Peruvian corporate governance development is highest in year 2 (probability of 1). This corresponds to </w:t>
      </w:r>
      <w:r>
        <w:rPr>
          <w:rFonts w:cs="Times New Roman"/>
        </w:rPr>
        <w:t xml:space="preserve">the </w:t>
      </w:r>
      <w:r w:rsidRPr="00AC1055">
        <w:rPr>
          <w:rFonts w:cs="Times New Roman"/>
        </w:rPr>
        <w:t>year 1996. Peru thoroughly amended its Securities Market Act in 1996 ‘to increase the efficiency of the capital markets and to boost trading activity.’</w:t>
      </w:r>
      <w:r w:rsidRPr="00AC1055">
        <w:rPr>
          <w:rStyle w:val="FootnoteReference"/>
          <w:rFonts w:cs="Times New Roman"/>
        </w:rPr>
        <w:footnoteReference w:id="268"/>
      </w:r>
      <w:r w:rsidRPr="00AC1055">
        <w:rPr>
          <w:rFonts w:cs="Times New Roman"/>
        </w:rPr>
        <w:t xml:space="preserve"> </w:t>
      </w:r>
    </w:p>
    <w:p w14:paraId="6B4911FB"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24812A6A" wp14:editId="77CEFB68">
            <wp:extent cx="5048250" cy="3066855"/>
            <wp:effectExtent l="0" t="0" r="0"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55534" cy="3071280"/>
                    </a:xfrm>
                    <a:prstGeom prst="rect">
                      <a:avLst/>
                    </a:prstGeom>
                  </pic:spPr>
                </pic:pic>
              </a:graphicData>
            </a:graphic>
          </wp:inline>
        </w:drawing>
      </w:r>
    </w:p>
    <w:p w14:paraId="6D43AB83" w14:textId="77777777" w:rsidR="00413229" w:rsidRPr="00AC1055" w:rsidRDefault="00413229" w:rsidP="00413229">
      <w:pPr>
        <w:spacing w:line="480" w:lineRule="auto"/>
        <w:rPr>
          <w:rFonts w:cs="Times New Roman"/>
        </w:rPr>
      </w:pPr>
      <w:r w:rsidRPr="00AC1055">
        <w:rPr>
          <w:rFonts w:cs="Times New Roman"/>
        </w:rPr>
        <w:lastRenderedPageBreak/>
        <w:t xml:space="preserve">The probability of </w:t>
      </w:r>
      <w:r>
        <w:rPr>
          <w:rFonts w:cs="Times New Roman"/>
        </w:rPr>
        <w:t xml:space="preserve">a </w:t>
      </w:r>
      <w:r w:rsidRPr="00AC1055">
        <w:rPr>
          <w:rFonts w:cs="Times New Roman"/>
        </w:rPr>
        <w:t xml:space="preserve">change point in the financial market development in Peru is </w:t>
      </w:r>
      <w:r>
        <w:rPr>
          <w:rFonts w:cs="Times New Roman"/>
        </w:rPr>
        <w:t xml:space="preserve">highest </w:t>
      </w:r>
      <w:r w:rsidRPr="00AC1055">
        <w:rPr>
          <w:rFonts w:cs="Times New Roman"/>
        </w:rPr>
        <w:t xml:space="preserve">in year 11 (probability of 0.85). This corresponds to </w:t>
      </w:r>
      <w:r>
        <w:rPr>
          <w:rFonts w:cs="Times New Roman"/>
        </w:rPr>
        <w:t xml:space="preserve">the </w:t>
      </w:r>
      <w:r w:rsidRPr="00AC1055">
        <w:rPr>
          <w:rFonts w:cs="Times New Roman"/>
        </w:rPr>
        <w:t xml:space="preserve">year 2006. This was the period of </w:t>
      </w:r>
      <w:r>
        <w:rPr>
          <w:rFonts w:cs="Times New Roman"/>
        </w:rPr>
        <w:t xml:space="preserve">the </w:t>
      </w:r>
      <w:r w:rsidRPr="00AC1055">
        <w:rPr>
          <w:rFonts w:cs="Times New Roman"/>
        </w:rPr>
        <w:t>start of strong economic growth o</w:t>
      </w:r>
      <w:r>
        <w:rPr>
          <w:rFonts w:cs="Times New Roman"/>
        </w:rPr>
        <w:t>f</w:t>
      </w:r>
      <w:r w:rsidRPr="00AC1055">
        <w:rPr>
          <w:rFonts w:cs="Times New Roman"/>
        </w:rPr>
        <w:t xml:space="preserve"> around 7% per annum which was </w:t>
      </w:r>
      <w:r>
        <w:rPr>
          <w:rFonts w:cs="Times New Roman"/>
        </w:rPr>
        <w:t xml:space="preserve">also </w:t>
      </w:r>
      <w:r w:rsidRPr="00AC1055">
        <w:rPr>
          <w:rFonts w:cs="Times New Roman"/>
        </w:rPr>
        <w:t>reflected in the stock market.</w:t>
      </w:r>
      <w:r w:rsidRPr="00AC1055">
        <w:rPr>
          <w:rStyle w:val="FootnoteReference"/>
          <w:rFonts w:cs="Times New Roman"/>
        </w:rPr>
        <w:footnoteReference w:id="269"/>
      </w:r>
    </w:p>
    <w:p w14:paraId="5817BEFE" w14:textId="77777777" w:rsidR="00413229" w:rsidRPr="00AC1055" w:rsidRDefault="00413229" w:rsidP="00413229">
      <w:pPr>
        <w:spacing w:line="480" w:lineRule="auto"/>
        <w:rPr>
          <w:rFonts w:cs="Times New Roman"/>
        </w:rPr>
      </w:pPr>
    </w:p>
    <w:p w14:paraId="22070099" w14:textId="77777777" w:rsidR="00413229" w:rsidRPr="00AC1055" w:rsidRDefault="00413229" w:rsidP="00413229">
      <w:pPr>
        <w:spacing w:line="480" w:lineRule="auto"/>
        <w:rPr>
          <w:rFonts w:cs="Times New Roman"/>
          <w:u w:val="single"/>
        </w:rPr>
      </w:pPr>
      <w:r>
        <w:rPr>
          <w:rFonts w:cs="Times New Roman"/>
          <w:u w:val="single"/>
        </w:rPr>
        <w:t xml:space="preserve">4.2.8 </w:t>
      </w:r>
      <w:r w:rsidRPr="00AC1055">
        <w:rPr>
          <w:rFonts w:cs="Times New Roman"/>
          <w:u w:val="single"/>
        </w:rPr>
        <w:t>Pakistan</w:t>
      </w:r>
    </w:p>
    <w:p w14:paraId="01AEBDC2"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12BEFAF1" wp14:editId="671EB6BC">
            <wp:extent cx="4962525" cy="3014776"/>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61904" cy="3014399"/>
                    </a:xfrm>
                    <a:prstGeom prst="rect">
                      <a:avLst/>
                    </a:prstGeom>
                  </pic:spPr>
                </pic:pic>
              </a:graphicData>
            </a:graphic>
          </wp:inline>
        </w:drawing>
      </w:r>
    </w:p>
    <w:p w14:paraId="27B27C97" w14:textId="77777777" w:rsidR="00413229" w:rsidRPr="00AC1055" w:rsidRDefault="00413229" w:rsidP="00413229">
      <w:pPr>
        <w:spacing w:line="480" w:lineRule="auto"/>
        <w:rPr>
          <w:rFonts w:cs="Times New Roman"/>
        </w:rPr>
      </w:pPr>
      <w:r w:rsidRPr="00AC1055">
        <w:rPr>
          <w:rFonts w:cs="Times New Roman"/>
        </w:rPr>
        <w:t>Pakistan does not have any major change points, this shows that there has been a steady growth in corporate governance development without any major upheaval in its laws.</w:t>
      </w:r>
    </w:p>
    <w:p w14:paraId="056280C8"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75C7670F" wp14:editId="7DC9A374">
            <wp:extent cx="5505450" cy="30861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511721" cy="3089615"/>
                    </a:xfrm>
                    <a:prstGeom prst="rect">
                      <a:avLst/>
                    </a:prstGeom>
                  </pic:spPr>
                </pic:pic>
              </a:graphicData>
            </a:graphic>
          </wp:inline>
        </w:drawing>
      </w:r>
    </w:p>
    <w:p w14:paraId="2EF32D8F" w14:textId="6C10F129" w:rsidR="00413229" w:rsidRPr="00AC1055" w:rsidRDefault="00413229" w:rsidP="00413229">
      <w:pPr>
        <w:spacing w:line="480" w:lineRule="auto"/>
        <w:rPr>
          <w:rFonts w:cs="Times New Roman"/>
        </w:rPr>
      </w:pPr>
      <w:r w:rsidRPr="00AC1055">
        <w:rPr>
          <w:rFonts w:cs="Times New Roman"/>
        </w:rPr>
        <w:t xml:space="preserve">The probability of a change point in the financial market development in Pakistan is quite high for year 9 (probability of 0.91) and year 13 (probability of 0.83). This corresponds to </w:t>
      </w:r>
      <w:r>
        <w:rPr>
          <w:rFonts w:cs="Times New Roman"/>
        </w:rPr>
        <w:t xml:space="preserve">the </w:t>
      </w:r>
      <w:r w:rsidRPr="00AC1055">
        <w:rPr>
          <w:rFonts w:cs="Times New Roman"/>
        </w:rPr>
        <w:t>year</w:t>
      </w:r>
      <w:r>
        <w:rPr>
          <w:rFonts w:cs="Times New Roman"/>
        </w:rPr>
        <w:t>s</w:t>
      </w:r>
      <w:r w:rsidRPr="00AC1055">
        <w:rPr>
          <w:rFonts w:cs="Times New Roman"/>
        </w:rPr>
        <w:t xml:space="preserve"> 2004 and 2008. In 2004 there was an accelerated growth in all the financial market development parameters – FDI as percentage of GDP sho</w:t>
      </w:r>
      <w:r w:rsidR="006E2191">
        <w:rPr>
          <w:rFonts w:cs="Times New Roman"/>
        </w:rPr>
        <w:t>t</w:t>
      </w:r>
      <w:r w:rsidRPr="00AC1055">
        <w:rPr>
          <w:rFonts w:cs="Times New Roman"/>
        </w:rPr>
        <w:t xml:space="preserve"> up, total volume of stocks traded rose sharply and almost all economic parameters were on an upswing. This is captured by the change point analysis of a positive change in 2004. The next change point in 2008 coincides with the Global Financial Crisis and reverses much of the gains made in the previous four years.</w:t>
      </w:r>
    </w:p>
    <w:p w14:paraId="20553572" w14:textId="77777777" w:rsidR="00710A49" w:rsidRDefault="00710A49" w:rsidP="00413229">
      <w:pPr>
        <w:spacing w:line="480" w:lineRule="auto"/>
        <w:rPr>
          <w:rFonts w:cs="Times New Roman"/>
          <w:u w:val="single"/>
        </w:rPr>
      </w:pPr>
    </w:p>
    <w:p w14:paraId="7FF02682" w14:textId="77777777" w:rsidR="00710A49" w:rsidRDefault="00710A49" w:rsidP="00413229">
      <w:pPr>
        <w:spacing w:line="480" w:lineRule="auto"/>
        <w:rPr>
          <w:rFonts w:cs="Times New Roman"/>
          <w:u w:val="single"/>
        </w:rPr>
      </w:pPr>
    </w:p>
    <w:p w14:paraId="3B025019" w14:textId="77777777" w:rsidR="00710A49" w:rsidRDefault="00710A49" w:rsidP="00413229">
      <w:pPr>
        <w:spacing w:line="480" w:lineRule="auto"/>
        <w:rPr>
          <w:rFonts w:cs="Times New Roman"/>
          <w:u w:val="single"/>
        </w:rPr>
      </w:pPr>
    </w:p>
    <w:p w14:paraId="62C7A71F" w14:textId="77777777" w:rsidR="00710A49" w:rsidRDefault="00710A49" w:rsidP="00413229">
      <w:pPr>
        <w:spacing w:line="480" w:lineRule="auto"/>
        <w:rPr>
          <w:rFonts w:cs="Times New Roman"/>
          <w:u w:val="single"/>
        </w:rPr>
      </w:pPr>
    </w:p>
    <w:p w14:paraId="5A8FCFEC" w14:textId="77777777" w:rsidR="00710A49" w:rsidRDefault="00710A49" w:rsidP="00413229">
      <w:pPr>
        <w:spacing w:line="480" w:lineRule="auto"/>
        <w:rPr>
          <w:rFonts w:cs="Times New Roman"/>
          <w:u w:val="single"/>
        </w:rPr>
      </w:pPr>
    </w:p>
    <w:p w14:paraId="5A287669" w14:textId="77777777" w:rsidR="00710A49" w:rsidRDefault="00710A49" w:rsidP="00413229">
      <w:pPr>
        <w:spacing w:line="480" w:lineRule="auto"/>
        <w:rPr>
          <w:rFonts w:cs="Times New Roman"/>
          <w:u w:val="single"/>
        </w:rPr>
      </w:pPr>
    </w:p>
    <w:p w14:paraId="5D5386A4" w14:textId="77777777" w:rsidR="00710A49" w:rsidRDefault="00710A49" w:rsidP="00413229">
      <w:pPr>
        <w:spacing w:line="480" w:lineRule="auto"/>
        <w:rPr>
          <w:rFonts w:cs="Times New Roman"/>
          <w:u w:val="single"/>
        </w:rPr>
      </w:pPr>
    </w:p>
    <w:p w14:paraId="20633A83" w14:textId="77777777" w:rsidR="00710A49" w:rsidRDefault="00710A49" w:rsidP="00413229">
      <w:pPr>
        <w:spacing w:line="480" w:lineRule="auto"/>
        <w:rPr>
          <w:rFonts w:cs="Times New Roman"/>
          <w:u w:val="single"/>
        </w:rPr>
      </w:pPr>
    </w:p>
    <w:p w14:paraId="42278391" w14:textId="77777777" w:rsidR="00413229" w:rsidRPr="00AC1055" w:rsidRDefault="00413229" w:rsidP="00413229">
      <w:pPr>
        <w:spacing w:line="480" w:lineRule="auto"/>
        <w:rPr>
          <w:rFonts w:cs="Times New Roman"/>
          <w:u w:val="single"/>
        </w:rPr>
      </w:pPr>
      <w:r>
        <w:rPr>
          <w:rFonts w:cs="Times New Roman"/>
          <w:u w:val="single"/>
        </w:rPr>
        <w:lastRenderedPageBreak/>
        <w:t xml:space="preserve">4.2.9 </w:t>
      </w:r>
      <w:r w:rsidRPr="00AC1055">
        <w:rPr>
          <w:rFonts w:cs="Times New Roman"/>
          <w:u w:val="single"/>
        </w:rPr>
        <w:t>Poland</w:t>
      </w:r>
    </w:p>
    <w:p w14:paraId="00EF297F"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B90A6D5" wp14:editId="375CFF70">
            <wp:extent cx="5429250" cy="31242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29474" cy="3124329"/>
                    </a:xfrm>
                    <a:prstGeom prst="rect">
                      <a:avLst/>
                    </a:prstGeom>
                  </pic:spPr>
                </pic:pic>
              </a:graphicData>
            </a:graphic>
          </wp:inline>
        </w:drawing>
      </w:r>
    </w:p>
    <w:p w14:paraId="72179C1D" w14:textId="77777777" w:rsidR="00413229" w:rsidRPr="00AC1055" w:rsidRDefault="00413229" w:rsidP="00413229">
      <w:pPr>
        <w:spacing w:line="480" w:lineRule="auto"/>
        <w:rPr>
          <w:rFonts w:cs="Times New Roman"/>
        </w:rPr>
      </w:pPr>
      <w:r w:rsidRPr="00AC1055">
        <w:rPr>
          <w:rFonts w:cs="Times New Roman"/>
        </w:rPr>
        <w:t>The probability of change points in Polish corporate governance development is relativ</w:t>
      </w:r>
      <w:r>
        <w:rPr>
          <w:rFonts w:cs="Times New Roman"/>
        </w:rPr>
        <w:t>ely</w:t>
      </w:r>
      <w:r w:rsidRPr="00AC1055">
        <w:rPr>
          <w:rFonts w:cs="Times New Roman"/>
        </w:rPr>
        <w:t xml:space="preserve"> low with minor crests in year 3 (0.48) and year 7 (0.4). This correspond to </w:t>
      </w:r>
      <w:r>
        <w:rPr>
          <w:rFonts w:cs="Times New Roman"/>
        </w:rPr>
        <w:t xml:space="preserve">the </w:t>
      </w:r>
      <w:r w:rsidRPr="00AC1055">
        <w:rPr>
          <w:rFonts w:cs="Times New Roman"/>
        </w:rPr>
        <w:t>year</w:t>
      </w:r>
      <w:r>
        <w:rPr>
          <w:rFonts w:cs="Times New Roman"/>
        </w:rPr>
        <w:t>s</w:t>
      </w:r>
      <w:r w:rsidRPr="00AC1055">
        <w:rPr>
          <w:rFonts w:cs="Times New Roman"/>
        </w:rPr>
        <w:t xml:space="preserve"> 1997 and 2001. This means that</w:t>
      </w:r>
      <w:r>
        <w:rPr>
          <w:rFonts w:cs="Times New Roman"/>
        </w:rPr>
        <w:t>,</w:t>
      </w:r>
      <w:r w:rsidRPr="00AC1055">
        <w:rPr>
          <w:rFonts w:cs="Times New Roman"/>
        </w:rPr>
        <w:t xml:space="preserve"> overall</w:t>
      </w:r>
      <w:r>
        <w:rPr>
          <w:rFonts w:cs="Times New Roman"/>
        </w:rPr>
        <w:t>,</w:t>
      </w:r>
      <w:r w:rsidRPr="00AC1055">
        <w:rPr>
          <w:rFonts w:cs="Times New Roman"/>
        </w:rPr>
        <w:t xml:space="preserve"> Polish corporate governance has improved at a stable rate. However the spikes in 1997 correspond to </w:t>
      </w:r>
      <w:r>
        <w:rPr>
          <w:rFonts w:cs="Times New Roman"/>
        </w:rPr>
        <w:t xml:space="preserve">the </w:t>
      </w:r>
      <w:r w:rsidRPr="00AC1055">
        <w:rPr>
          <w:rFonts w:cs="Times New Roman"/>
        </w:rPr>
        <w:t>Act on Public Trading of Securities which was enacted in 1997 which brought several securities and company law reforms and in 2001 when the new Code of Commercial Companies was implemented which amended and repealed several regulations on corporate governance.</w:t>
      </w:r>
    </w:p>
    <w:p w14:paraId="0ECD0079"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05C03F29" wp14:editId="3B43C8B5">
            <wp:extent cx="5580952" cy="3390476"/>
            <wp:effectExtent l="0" t="0" r="1270"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580952" cy="3390476"/>
                    </a:xfrm>
                    <a:prstGeom prst="rect">
                      <a:avLst/>
                    </a:prstGeom>
                  </pic:spPr>
                </pic:pic>
              </a:graphicData>
            </a:graphic>
          </wp:inline>
        </w:drawing>
      </w:r>
    </w:p>
    <w:p w14:paraId="6997CB3E" w14:textId="77777777" w:rsidR="00413229" w:rsidRPr="00AC1055" w:rsidRDefault="00413229" w:rsidP="00413229">
      <w:pPr>
        <w:spacing w:line="480" w:lineRule="auto"/>
        <w:rPr>
          <w:rFonts w:cs="Times New Roman"/>
        </w:rPr>
      </w:pPr>
      <w:r w:rsidRPr="00AC1055">
        <w:rPr>
          <w:rFonts w:cs="Times New Roman"/>
        </w:rPr>
        <w:t xml:space="preserve">The probability of </w:t>
      </w:r>
      <w:r>
        <w:rPr>
          <w:rFonts w:cs="Times New Roman"/>
        </w:rPr>
        <w:t xml:space="preserve">a </w:t>
      </w:r>
      <w:r w:rsidRPr="00AC1055">
        <w:rPr>
          <w:rFonts w:cs="Times New Roman"/>
        </w:rPr>
        <w:t xml:space="preserve">change point in financial market development in Poland is highest in year 10 (probability of 0.67). This corresponds to </w:t>
      </w:r>
      <w:r>
        <w:rPr>
          <w:rFonts w:cs="Times New Roman"/>
        </w:rPr>
        <w:t xml:space="preserve">the </w:t>
      </w:r>
      <w:r w:rsidRPr="00AC1055">
        <w:rPr>
          <w:rFonts w:cs="Times New Roman"/>
        </w:rPr>
        <w:t>year 2005. This was the period which was marked by rapid growth in the financial market which continued until the Global Financial Crisis of 2007/08.</w:t>
      </w:r>
      <w:r w:rsidRPr="00AC1055">
        <w:rPr>
          <w:rStyle w:val="FootnoteReference"/>
          <w:rFonts w:cs="Times New Roman"/>
        </w:rPr>
        <w:footnoteReference w:id="270"/>
      </w:r>
    </w:p>
    <w:p w14:paraId="19C87CCC" w14:textId="77777777" w:rsidR="00710A49" w:rsidRDefault="00710A49" w:rsidP="00413229">
      <w:pPr>
        <w:spacing w:line="480" w:lineRule="auto"/>
        <w:rPr>
          <w:rFonts w:cs="Times New Roman"/>
          <w:u w:val="single"/>
        </w:rPr>
      </w:pPr>
    </w:p>
    <w:p w14:paraId="3B686358" w14:textId="77777777" w:rsidR="00710A49" w:rsidRDefault="00710A49" w:rsidP="00413229">
      <w:pPr>
        <w:spacing w:line="480" w:lineRule="auto"/>
        <w:rPr>
          <w:rFonts w:cs="Times New Roman"/>
          <w:u w:val="single"/>
        </w:rPr>
      </w:pPr>
    </w:p>
    <w:p w14:paraId="2EB7FA84" w14:textId="77777777" w:rsidR="00710A49" w:rsidRDefault="00710A49" w:rsidP="00413229">
      <w:pPr>
        <w:spacing w:line="480" w:lineRule="auto"/>
        <w:rPr>
          <w:rFonts w:cs="Times New Roman"/>
          <w:u w:val="single"/>
        </w:rPr>
      </w:pPr>
    </w:p>
    <w:p w14:paraId="631261BC" w14:textId="77777777" w:rsidR="00710A49" w:rsidRDefault="00710A49" w:rsidP="00413229">
      <w:pPr>
        <w:spacing w:line="480" w:lineRule="auto"/>
        <w:rPr>
          <w:rFonts w:cs="Times New Roman"/>
          <w:u w:val="single"/>
        </w:rPr>
      </w:pPr>
    </w:p>
    <w:p w14:paraId="533C4396" w14:textId="77777777" w:rsidR="00710A49" w:rsidRDefault="00710A49" w:rsidP="00413229">
      <w:pPr>
        <w:spacing w:line="480" w:lineRule="auto"/>
        <w:rPr>
          <w:rFonts w:cs="Times New Roman"/>
          <w:u w:val="single"/>
        </w:rPr>
      </w:pPr>
    </w:p>
    <w:p w14:paraId="49F9A69C" w14:textId="77777777" w:rsidR="00710A49" w:rsidRDefault="00710A49" w:rsidP="00413229">
      <w:pPr>
        <w:spacing w:line="480" w:lineRule="auto"/>
        <w:rPr>
          <w:rFonts w:cs="Times New Roman"/>
          <w:u w:val="single"/>
        </w:rPr>
      </w:pPr>
    </w:p>
    <w:p w14:paraId="097995B4" w14:textId="77777777" w:rsidR="00710A49" w:rsidRDefault="00710A49" w:rsidP="00413229">
      <w:pPr>
        <w:spacing w:line="480" w:lineRule="auto"/>
        <w:rPr>
          <w:rFonts w:cs="Times New Roman"/>
          <w:u w:val="single"/>
        </w:rPr>
      </w:pPr>
    </w:p>
    <w:p w14:paraId="1870C481" w14:textId="77777777" w:rsidR="00710A49" w:rsidRDefault="00710A49" w:rsidP="00413229">
      <w:pPr>
        <w:spacing w:line="480" w:lineRule="auto"/>
        <w:rPr>
          <w:rFonts w:cs="Times New Roman"/>
          <w:u w:val="single"/>
        </w:rPr>
      </w:pPr>
    </w:p>
    <w:p w14:paraId="392F3F7D" w14:textId="77777777" w:rsidR="00710A49" w:rsidRDefault="00710A49" w:rsidP="00413229">
      <w:pPr>
        <w:spacing w:line="480" w:lineRule="auto"/>
        <w:rPr>
          <w:rFonts w:cs="Times New Roman"/>
          <w:u w:val="single"/>
        </w:rPr>
      </w:pPr>
    </w:p>
    <w:p w14:paraId="7F5CE695" w14:textId="77777777" w:rsidR="00413229" w:rsidRPr="00AC1055" w:rsidRDefault="00413229" w:rsidP="00413229">
      <w:pPr>
        <w:spacing w:line="480" w:lineRule="auto"/>
        <w:rPr>
          <w:rFonts w:cs="Times New Roman"/>
          <w:u w:val="single"/>
        </w:rPr>
      </w:pPr>
      <w:r>
        <w:rPr>
          <w:rFonts w:cs="Times New Roman"/>
          <w:u w:val="single"/>
        </w:rPr>
        <w:lastRenderedPageBreak/>
        <w:t xml:space="preserve">4.2.10 </w:t>
      </w:r>
      <w:r w:rsidRPr="00AC1055">
        <w:rPr>
          <w:rFonts w:cs="Times New Roman"/>
          <w:u w:val="single"/>
        </w:rPr>
        <w:t>Russia</w:t>
      </w:r>
    </w:p>
    <w:p w14:paraId="2A06D2E6"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277A62A" wp14:editId="332E6E01">
            <wp:extent cx="5580952" cy="3390476"/>
            <wp:effectExtent l="0" t="0" r="1270"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580952" cy="3390476"/>
                    </a:xfrm>
                    <a:prstGeom prst="rect">
                      <a:avLst/>
                    </a:prstGeom>
                  </pic:spPr>
                </pic:pic>
              </a:graphicData>
            </a:graphic>
          </wp:inline>
        </w:drawing>
      </w:r>
    </w:p>
    <w:p w14:paraId="62D58344" w14:textId="77777777" w:rsidR="00413229" w:rsidRPr="00AC1055" w:rsidRDefault="00413229" w:rsidP="00413229">
      <w:pPr>
        <w:spacing w:line="480" w:lineRule="auto"/>
        <w:rPr>
          <w:rFonts w:cs="Times New Roman"/>
        </w:rPr>
      </w:pPr>
      <w:r w:rsidRPr="00AC1055">
        <w:rPr>
          <w:rFonts w:cs="Times New Roman"/>
        </w:rPr>
        <w:t xml:space="preserve">The probability of change points in Russian corporate governance development is high for year 1 (probability: 1) and year 16 (probability: 1), with moderately high probabilities of .89 for year 17 and 18. These correspond to the years 1995, 2010, 2011 and 2012. The change point analysis also suggests that Russian corporate governance leapt forward in </w:t>
      </w:r>
      <w:r>
        <w:rPr>
          <w:rFonts w:cs="Times New Roman"/>
        </w:rPr>
        <w:t xml:space="preserve">the </w:t>
      </w:r>
      <w:r w:rsidRPr="00AC1055">
        <w:rPr>
          <w:rFonts w:cs="Times New Roman"/>
        </w:rPr>
        <w:t>year</w:t>
      </w:r>
      <w:r>
        <w:rPr>
          <w:rFonts w:cs="Times New Roman"/>
        </w:rPr>
        <w:t>s</w:t>
      </w:r>
      <w:r w:rsidRPr="00AC1055">
        <w:rPr>
          <w:rFonts w:cs="Times New Roman"/>
        </w:rPr>
        <w:t xml:space="preserve"> 1995/96 and had rapid development between 2010</w:t>
      </w:r>
      <w:r>
        <w:rPr>
          <w:rFonts w:cs="Times New Roman"/>
        </w:rPr>
        <w:t xml:space="preserve"> and </w:t>
      </w:r>
      <w:r w:rsidRPr="00AC1055">
        <w:rPr>
          <w:rFonts w:cs="Times New Roman"/>
        </w:rPr>
        <w:t>2012. Russia introduced a modern system of company law in 1996</w:t>
      </w:r>
      <w:r w:rsidRPr="00AC1055">
        <w:rPr>
          <w:rStyle w:val="FootnoteReference"/>
          <w:rFonts w:cs="Times New Roman"/>
        </w:rPr>
        <w:footnoteReference w:id="271"/>
      </w:r>
      <w:r w:rsidRPr="00AC1055">
        <w:rPr>
          <w:rFonts w:cs="Times New Roman"/>
        </w:rPr>
        <w:t xml:space="preserve"> to bootstrap into privatised economy with shareholder led companies which led to the initial spurt in shareholder primacy corporate governance. For about fifteen years there was no other development</w:t>
      </w:r>
      <w:r>
        <w:rPr>
          <w:rFonts w:cs="Times New Roman"/>
        </w:rPr>
        <w:t>,</w:t>
      </w:r>
      <w:r w:rsidRPr="00AC1055">
        <w:rPr>
          <w:rFonts w:cs="Times New Roman"/>
        </w:rPr>
        <w:t xml:space="preserve"> a period marred by inefficient running of </w:t>
      </w:r>
      <w:r w:rsidRPr="00AC1055">
        <w:rPr>
          <w:rFonts w:cs="Times New Roman"/>
        </w:rPr>
        <w:lastRenderedPageBreak/>
        <w:t>companies and a financial collapse in 1998.</w:t>
      </w:r>
      <w:r w:rsidRPr="00AC1055">
        <w:rPr>
          <w:rStyle w:val="FootnoteReference"/>
          <w:rFonts w:cs="Times New Roman"/>
        </w:rPr>
        <w:footnoteReference w:id="272"/>
      </w:r>
      <w:r w:rsidRPr="00AC1055">
        <w:rPr>
          <w:rFonts w:cs="Times New Roman"/>
        </w:rPr>
        <w:t xml:space="preserve"> A slew of new regulations and several amendments to company law </w:t>
      </w:r>
      <w:r>
        <w:rPr>
          <w:rFonts w:cs="Times New Roman"/>
        </w:rPr>
        <w:t>have been brought in</w:t>
      </w:r>
      <w:r w:rsidRPr="00AC1055">
        <w:rPr>
          <w:rFonts w:cs="Times New Roman"/>
        </w:rPr>
        <w:t xml:space="preserve"> since 2010.</w:t>
      </w:r>
      <w:r w:rsidRPr="00AC1055">
        <w:rPr>
          <w:rStyle w:val="FootnoteReference"/>
          <w:rFonts w:cs="Times New Roman"/>
        </w:rPr>
        <w:footnoteReference w:id="273"/>
      </w:r>
    </w:p>
    <w:p w14:paraId="3419AD02"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173EE08D" wp14:editId="62393FF0">
            <wp:extent cx="5580952" cy="3390476"/>
            <wp:effectExtent l="0" t="0" r="1270"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80952" cy="3390476"/>
                    </a:xfrm>
                    <a:prstGeom prst="rect">
                      <a:avLst/>
                    </a:prstGeom>
                  </pic:spPr>
                </pic:pic>
              </a:graphicData>
            </a:graphic>
          </wp:inline>
        </w:drawing>
      </w:r>
    </w:p>
    <w:p w14:paraId="580EEF61" w14:textId="77777777" w:rsidR="00413229" w:rsidRPr="00AC1055" w:rsidRDefault="00413229" w:rsidP="00413229">
      <w:pPr>
        <w:spacing w:line="480" w:lineRule="auto"/>
        <w:rPr>
          <w:rFonts w:cs="Times New Roman"/>
        </w:rPr>
      </w:pPr>
      <w:r w:rsidRPr="00AC1055">
        <w:rPr>
          <w:rFonts w:cs="Times New Roman"/>
        </w:rPr>
        <w:t xml:space="preserve">The probability of change points in financial market development for Russia is high for year 10 (probability: 0.98). This corresponds to year 2005. This was the year </w:t>
      </w:r>
      <w:r>
        <w:rPr>
          <w:rFonts w:cs="Times New Roman"/>
        </w:rPr>
        <w:t xml:space="preserve">in which, </w:t>
      </w:r>
      <w:r w:rsidRPr="00AC1055">
        <w:rPr>
          <w:rFonts w:cs="Times New Roman"/>
        </w:rPr>
        <w:t>after the 1998 crash</w:t>
      </w:r>
      <w:r>
        <w:rPr>
          <w:rFonts w:cs="Times New Roman"/>
        </w:rPr>
        <w:t>,</w:t>
      </w:r>
      <w:r w:rsidRPr="00AC1055">
        <w:rPr>
          <w:rFonts w:cs="Times New Roman"/>
        </w:rPr>
        <w:t xml:space="preserve"> ‘Russian indexes are out-jumping their rivals in other emerging markets’,</w:t>
      </w:r>
      <w:r w:rsidRPr="00AC1055">
        <w:rPr>
          <w:rStyle w:val="FootnoteReference"/>
          <w:rFonts w:cs="Times New Roman"/>
        </w:rPr>
        <w:footnoteReference w:id="274"/>
      </w:r>
      <w:r w:rsidRPr="00AC1055">
        <w:rPr>
          <w:rFonts w:cs="Times New Roman"/>
        </w:rPr>
        <w:t xml:space="preserve"> based on a surging oil price fuelled boom.</w:t>
      </w:r>
      <w:r w:rsidRPr="00AC1055">
        <w:rPr>
          <w:rStyle w:val="FootnoteReference"/>
          <w:rFonts w:cs="Times New Roman"/>
        </w:rPr>
        <w:footnoteReference w:id="275"/>
      </w:r>
    </w:p>
    <w:p w14:paraId="50024B48" w14:textId="77777777" w:rsidR="00413229" w:rsidRDefault="00413229" w:rsidP="00413229">
      <w:pPr>
        <w:spacing w:line="480" w:lineRule="auto"/>
        <w:rPr>
          <w:rFonts w:cs="Times New Roman"/>
        </w:rPr>
      </w:pPr>
    </w:p>
    <w:p w14:paraId="64A361D8" w14:textId="77777777" w:rsidR="00710A49" w:rsidRPr="00AC1055" w:rsidRDefault="00710A49" w:rsidP="00413229">
      <w:pPr>
        <w:spacing w:line="480" w:lineRule="auto"/>
        <w:rPr>
          <w:rFonts w:cs="Times New Roman"/>
        </w:rPr>
      </w:pPr>
    </w:p>
    <w:p w14:paraId="030EEA58" w14:textId="77777777" w:rsidR="00413229" w:rsidRPr="00AC1055" w:rsidRDefault="00413229" w:rsidP="00413229">
      <w:pPr>
        <w:spacing w:line="480" w:lineRule="auto"/>
        <w:rPr>
          <w:rFonts w:cs="Times New Roman"/>
          <w:u w:val="single"/>
        </w:rPr>
      </w:pPr>
      <w:r>
        <w:rPr>
          <w:rFonts w:cs="Times New Roman"/>
          <w:u w:val="single"/>
        </w:rPr>
        <w:lastRenderedPageBreak/>
        <w:t xml:space="preserve">4.2.11 </w:t>
      </w:r>
      <w:r w:rsidRPr="00AC1055">
        <w:rPr>
          <w:rFonts w:cs="Times New Roman"/>
          <w:u w:val="single"/>
        </w:rPr>
        <w:t>Argentina</w:t>
      </w:r>
    </w:p>
    <w:p w14:paraId="6E40D5A2"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4956B54D" wp14:editId="1E762005">
            <wp:extent cx="5534025" cy="3008990"/>
            <wp:effectExtent l="0" t="0" r="0"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535007" cy="3009524"/>
                    </a:xfrm>
                    <a:prstGeom prst="rect">
                      <a:avLst/>
                    </a:prstGeom>
                  </pic:spPr>
                </pic:pic>
              </a:graphicData>
            </a:graphic>
          </wp:inline>
        </w:drawing>
      </w:r>
    </w:p>
    <w:p w14:paraId="48509360" w14:textId="77777777" w:rsidR="00413229" w:rsidRPr="00AC1055" w:rsidRDefault="00413229" w:rsidP="00413229">
      <w:pPr>
        <w:spacing w:line="480" w:lineRule="auto"/>
        <w:rPr>
          <w:rFonts w:cs="Times New Roman"/>
        </w:rPr>
      </w:pPr>
      <w:r w:rsidRPr="00AC1055">
        <w:rPr>
          <w:rFonts w:cs="Times New Roman"/>
        </w:rPr>
        <w:t xml:space="preserve">The probability of change in Argentinian corporate governance is highest in the year 7 (probability: 0.99). This corresponds to </w:t>
      </w:r>
      <w:r>
        <w:rPr>
          <w:rFonts w:cs="Times New Roman"/>
        </w:rPr>
        <w:t xml:space="preserve">the </w:t>
      </w:r>
      <w:r w:rsidRPr="00AC1055">
        <w:rPr>
          <w:rFonts w:cs="Times New Roman"/>
        </w:rPr>
        <w:t xml:space="preserve">year 2001. It was during this period that Argentina adopted Mandatory Tender Offer and in 2002 adopted </w:t>
      </w:r>
      <w:r>
        <w:rPr>
          <w:rFonts w:cs="Times New Roman"/>
        </w:rPr>
        <w:t>r</w:t>
      </w:r>
      <w:r w:rsidRPr="00AC1055">
        <w:rPr>
          <w:rFonts w:cs="Times New Roman"/>
        </w:rPr>
        <w:t>egulation</w:t>
      </w:r>
      <w:r>
        <w:rPr>
          <w:rFonts w:cs="Times New Roman"/>
        </w:rPr>
        <w:t>s</w:t>
      </w:r>
      <w:r w:rsidRPr="00AC1055">
        <w:rPr>
          <w:rFonts w:cs="Times New Roman"/>
        </w:rPr>
        <w:t xml:space="preserve"> requiring Audit Committees in public companies.</w:t>
      </w:r>
      <w:r w:rsidRPr="00AC1055">
        <w:rPr>
          <w:rStyle w:val="FootnoteReference"/>
          <w:rFonts w:cs="Times New Roman"/>
        </w:rPr>
        <w:footnoteReference w:id="276"/>
      </w:r>
      <w:r w:rsidRPr="00AC1055">
        <w:rPr>
          <w:rFonts w:cs="Times New Roman"/>
        </w:rPr>
        <w:t xml:space="preserve"> Also in 2001, </w:t>
      </w:r>
      <w:r>
        <w:rPr>
          <w:rFonts w:cs="Times New Roman"/>
        </w:rPr>
        <w:t xml:space="preserve">the </w:t>
      </w:r>
      <w:r w:rsidRPr="00AC1055">
        <w:rPr>
          <w:rFonts w:cs="Times New Roman"/>
        </w:rPr>
        <w:t xml:space="preserve">National Securities Commission (NSC) Regulations strengthening corporate governance rules on securities law were introduced. </w:t>
      </w:r>
    </w:p>
    <w:p w14:paraId="5632AD74"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34B71983" wp14:editId="14ACE395">
            <wp:extent cx="4791075" cy="2910619"/>
            <wp:effectExtent l="0" t="0" r="0" b="444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92826" cy="2911683"/>
                    </a:xfrm>
                    <a:prstGeom prst="rect">
                      <a:avLst/>
                    </a:prstGeom>
                  </pic:spPr>
                </pic:pic>
              </a:graphicData>
            </a:graphic>
          </wp:inline>
        </w:drawing>
      </w:r>
    </w:p>
    <w:p w14:paraId="71352456" w14:textId="77777777" w:rsidR="00413229" w:rsidRDefault="00413229" w:rsidP="00413229">
      <w:pPr>
        <w:spacing w:line="480" w:lineRule="auto"/>
        <w:rPr>
          <w:rFonts w:cs="Times New Roman"/>
        </w:rPr>
      </w:pPr>
      <w:r w:rsidRPr="00AC1055">
        <w:rPr>
          <w:rFonts w:cs="Times New Roman"/>
        </w:rPr>
        <w:t xml:space="preserve">The probability of </w:t>
      </w:r>
      <w:r>
        <w:rPr>
          <w:rFonts w:cs="Times New Roman"/>
        </w:rPr>
        <w:t xml:space="preserve">a </w:t>
      </w:r>
      <w:r w:rsidRPr="00AC1055">
        <w:rPr>
          <w:rFonts w:cs="Times New Roman"/>
        </w:rPr>
        <w:t>change point in</w:t>
      </w:r>
      <w:r>
        <w:rPr>
          <w:rFonts w:cs="Times New Roman"/>
        </w:rPr>
        <w:t xml:space="preserve"> the </w:t>
      </w:r>
      <w:r w:rsidRPr="00AC1055">
        <w:rPr>
          <w:rFonts w:cs="Times New Roman"/>
        </w:rPr>
        <w:t>Argentinian financial market is highest in year 3 (probability: 0.56) and year 5 (probability: 0.49). These correspond to the years 1998 and 2000. These years coincide with the 1998–2002 Argentine great depression and an unlikely boom in stock prices in 1999/2000 followed by a steep crash.</w:t>
      </w:r>
      <w:r w:rsidRPr="00AC1055">
        <w:rPr>
          <w:rStyle w:val="FootnoteReference"/>
          <w:rFonts w:cs="Times New Roman"/>
        </w:rPr>
        <w:footnoteReference w:id="277"/>
      </w:r>
      <w:r w:rsidRPr="00AC1055">
        <w:rPr>
          <w:rFonts w:cs="Times New Roman"/>
        </w:rPr>
        <w:t xml:space="preserve"> </w:t>
      </w:r>
    </w:p>
    <w:p w14:paraId="2E557484" w14:textId="77777777" w:rsidR="00710A49" w:rsidRPr="00710A49" w:rsidRDefault="00710A49" w:rsidP="00413229">
      <w:pPr>
        <w:spacing w:line="480" w:lineRule="auto"/>
        <w:rPr>
          <w:rFonts w:cs="Times New Roman"/>
          <w:sz w:val="8"/>
          <w:szCs w:val="6"/>
        </w:rPr>
      </w:pPr>
    </w:p>
    <w:p w14:paraId="1EBFF859" w14:textId="77777777" w:rsidR="00413229" w:rsidRPr="00AC1055" w:rsidRDefault="00413229" w:rsidP="00413229">
      <w:pPr>
        <w:spacing w:line="480" w:lineRule="auto"/>
        <w:rPr>
          <w:rFonts w:cs="Times New Roman"/>
          <w:u w:val="single"/>
        </w:rPr>
      </w:pPr>
      <w:r>
        <w:rPr>
          <w:rFonts w:cs="Times New Roman"/>
          <w:u w:val="single"/>
        </w:rPr>
        <w:t xml:space="preserve">4.2.12 </w:t>
      </w:r>
      <w:r w:rsidRPr="00AC1055">
        <w:rPr>
          <w:rFonts w:cs="Times New Roman"/>
          <w:u w:val="single"/>
        </w:rPr>
        <w:t>South Africa</w:t>
      </w:r>
    </w:p>
    <w:p w14:paraId="45A7209C"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7F9A66AF" wp14:editId="65D9FC06">
            <wp:extent cx="5172075" cy="269557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76788" cy="2698031"/>
                    </a:xfrm>
                    <a:prstGeom prst="rect">
                      <a:avLst/>
                    </a:prstGeom>
                  </pic:spPr>
                </pic:pic>
              </a:graphicData>
            </a:graphic>
          </wp:inline>
        </w:drawing>
      </w:r>
    </w:p>
    <w:p w14:paraId="379AD5F1" w14:textId="77777777" w:rsidR="00413229" w:rsidRPr="00AC1055" w:rsidRDefault="00413229" w:rsidP="00413229">
      <w:pPr>
        <w:spacing w:line="480" w:lineRule="auto"/>
        <w:rPr>
          <w:rFonts w:cs="Times New Roman"/>
        </w:rPr>
      </w:pPr>
      <w:r w:rsidRPr="00AC1055">
        <w:rPr>
          <w:rFonts w:cs="Times New Roman"/>
        </w:rPr>
        <w:lastRenderedPageBreak/>
        <w:t xml:space="preserve">The probability of a change point in the corporate governance development in South Africa is highest for year 7 (probability: 0.99) and year 14 (probability: 1). These correspond to the years 2001 and 2008. They match closely with the introduction of </w:t>
      </w:r>
      <w:r>
        <w:rPr>
          <w:rFonts w:cs="Times New Roman"/>
        </w:rPr>
        <w:t xml:space="preserve">the </w:t>
      </w:r>
      <w:r w:rsidRPr="00AC1055">
        <w:rPr>
          <w:rFonts w:cs="Times New Roman"/>
        </w:rPr>
        <w:t>King Report on Corporate Governance for South Africa - 2002 (King II Report) and the King Code of Governance for South Africa 2009 (King III).</w:t>
      </w:r>
    </w:p>
    <w:p w14:paraId="4A0E4D26"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0F940FA2" wp14:editId="3E28768B">
            <wp:extent cx="5580952" cy="3390476"/>
            <wp:effectExtent l="0" t="0" r="1270"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580952" cy="3390476"/>
                    </a:xfrm>
                    <a:prstGeom prst="rect">
                      <a:avLst/>
                    </a:prstGeom>
                  </pic:spPr>
                </pic:pic>
              </a:graphicData>
            </a:graphic>
          </wp:inline>
        </w:drawing>
      </w:r>
    </w:p>
    <w:p w14:paraId="21B29967" w14:textId="77777777" w:rsidR="00413229" w:rsidRPr="00AC1055" w:rsidRDefault="00413229" w:rsidP="00413229">
      <w:pPr>
        <w:spacing w:line="480" w:lineRule="auto"/>
        <w:rPr>
          <w:rFonts w:cs="Times New Roman"/>
        </w:rPr>
      </w:pPr>
      <w:r w:rsidRPr="00AC1055">
        <w:rPr>
          <w:rFonts w:cs="Times New Roman"/>
        </w:rPr>
        <w:t xml:space="preserve">The probability of </w:t>
      </w:r>
      <w:r>
        <w:rPr>
          <w:rFonts w:cs="Times New Roman"/>
        </w:rPr>
        <w:t xml:space="preserve">a </w:t>
      </w:r>
      <w:r w:rsidRPr="00AC1055">
        <w:rPr>
          <w:rFonts w:cs="Times New Roman"/>
        </w:rPr>
        <w:t xml:space="preserve">change point in financial market development in South Africa is highest in year 9 (probability: 0.77). This corresponds to </w:t>
      </w:r>
      <w:r>
        <w:rPr>
          <w:rFonts w:cs="Times New Roman"/>
        </w:rPr>
        <w:t xml:space="preserve">the </w:t>
      </w:r>
      <w:r w:rsidRPr="00AC1055">
        <w:rPr>
          <w:rFonts w:cs="Times New Roman"/>
        </w:rPr>
        <w:t xml:space="preserve">year 2004. This was the start of the period when </w:t>
      </w:r>
      <w:r>
        <w:rPr>
          <w:rFonts w:cs="Times New Roman"/>
        </w:rPr>
        <w:t xml:space="preserve">a </w:t>
      </w:r>
      <w:r w:rsidRPr="00AC1055">
        <w:rPr>
          <w:rFonts w:cs="Times New Roman"/>
        </w:rPr>
        <w:t>credit bubble led to impressive financial market growth which ended with the Global Financial Crisis.</w:t>
      </w:r>
      <w:r w:rsidRPr="00AC1055">
        <w:rPr>
          <w:rStyle w:val="FootnoteReference"/>
          <w:rFonts w:cs="Times New Roman"/>
        </w:rPr>
        <w:footnoteReference w:id="278"/>
      </w:r>
    </w:p>
    <w:p w14:paraId="5BB3BBCA" w14:textId="77777777" w:rsidR="00413229" w:rsidRDefault="00413229" w:rsidP="00413229">
      <w:pPr>
        <w:spacing w:line="480" w:lineRule="auto"/>
        <w:rPr>
          <w:rFonts w:cs="Times New Roman"/>
        </w:rPr>
      </w:pPr>
    </w:p>
    <w:p w14:paraId="1F63C62B" w14:textId="77777777" w:rsidR="00710A49" w:rsidRDefault="00710A49" w:rsidP="00413229">
      <w:pPr>
        <w:spacing w:line="480" w:lineRule="auto"/>
        <w:rPr>
          <w:rFonts w:cs="Times New Roman"/>
        </w:rPr>
      </w:pPr>
    </w:p>
    <w:p w14:paraId="51B62DC5" w14:textId="77777777" w:rsidR="00710A49" w:rsidRDefault="00710A49" w:rsidP="00413229">
      <w:pPr>
        <w:spacing w:line="480" w:lineRule="auto"/>
        <w:rPr>
          <w:rFonts w:cs="Times New Roman"/>
        </w:rPr>
      </w:pPr>
    </w:p>
    <w:p w14:paraId="18B0A8D3" w14:textId="77777777" w:rsidR="00710A49" w:rsidRPr="00AC1055" w:rsidRDefault="00710A49" w:rsidP="00413229">
      <w:pPr>
        <w:spacing w:line="480" w:lineRule="auto"/>
        <w:rPr>
          <w:rFonts w:cs="Times New Roman"/>
        </w:rPr>
      </w:pPr>
    </w:p>
    <w:p w14:paraId="19381724" w14:textId="77777777" w:rsidR="00413229" w:rsidRPr="00AC1055" w:rsidRDefault="00413229" w:rsidP="00413229">
      <w:pPr>
        <w:spacing w:line="480" w:lineRule="auto"/>
        <w:rPr>
          <w:rFonts w:cs="Times New Roman"/>
          <w:u w:val="single"/>
        </w:rPr>
      </w:pPr>
      <w:r>
        <w:rPr>
          <w:rFonts w:cs="Times New Roman"/>
          <w:u w:val="single"/>
        </w:rPr>
        <w:lastRenderedPageBreak/>
        <w:t xml:space="preserve">4.2.13 </w:t>
      </w:r>
      <w:r w:rsidRPr="00AC1055">
        <w:rPr>
          <w:rFonts w:cs="Times New Roman"/>
          <w:u w:val="single"/>
        </w:rPr>
        <w:t>Iran</w:t>
      </w:r>
    </w:p>
    <w:p w14:paraId="17DC82FE"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1589148" wp14:editId="2DCA4861">
            <wp:extent cx="5580952" cy="3390476"/>
            <wp:effectExtent l="0" t="0" r="1270"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580952" cy="3390476"/>
                    </a:xfrm>
                    <a:prstGeom prst="rect">
                      <a:avLst/>
                    </a:prstGeom>
                  </pic:spPr>
                </pic:pic>
              </a:graphicData>
            </a:graphic>
          </wp:inline>
        </w:drawing>
      </w:r>
    </w:p>
    <w:p w14:paraId="019A059F" w14:textId="77777777" w:rsidR="00413229" w:rsidRPr="00AC1055" w:rsidRDefault="00413229" w:rsidP="00413229">
      <w:pPr>
        <w:spacing w:line="480" w:lineRule="auto"/>
        <w:rPr>
          <w:rFonts w:cs="Times New Roman"/>
        </w:rPr>
      </w:pPr>
      <w:r w:rsidRPr="00AC1055">
        <w:rPr>
          <w:rFonts w:cs="Times New Roman"/>
        </w:rPr>
        <w:t xml:space="preserve">The probability of a regime shift in Iranian corporate governance development is highest for year 16 (probability: 0.72) with </w:t>
      </w:r>
      <w:r>
        <w:rPr>
          <w:rFonts w:cs="Times New Roman"/>
        </w:rPr>
        <w:t xml:space="preserve">a </w:t>
      </w:r>
      <w:r w:rsidRPr="00AC1055">
        <w:rPr>
          <w:rFonts w:cs="Times New Roman"/>
        </w:rPr>
        <w:t>minor crest in year 10 (probability: 0.42). These correspond to the years 2010 and 2004 respectively. Iran improved its securit</w:t>
      </w:r>
      <w:r>
        <w:rPr>
          <w:rFonts w:cs="Times New Roman"/>
        </w:rPr>
        <w:t xml:space="preserve">y </w:t>
      </w:r>
      <w:r w:rsidRPr="00AC1055">
        <w:rPr>
          <w:rFonts w:cs="Times New Roman"/>
        </w:rPr>
        <w:t>law by enacting a new Securities Market Act in 2005,</w:t>
      </w:r>
      <w:r w:rsidRPr="00AC1055">
        <w:rPr>
          <w:rStyle w:val="FootnoteReference"/>
          <w:rFonts w:cs="Times New Roman"/>
        </w:rPr>
        <w:footnoteReference w:id="279"/>
      </w:r>
      <w:r w:rsidRPr="00AC1055">
        <w:rPr>
          <w:rFonts w:cs="Times New Roman"/>
        </w:rPr>
        <w:t xml:space="preserve"> Iran also updated its commercial laws around 2010 with several guidelines for related party transactions, listing rules at </w:t>
      </w:r>
      <w:r>
        <w:rPr>
          <w:rFonts w:cs="Times New Roman"/>
        </w:rPr>
        <w:t xml:space="preserve">the </w:t>
      </w:r>
      <w:r w:rsidRPr="00AC1055">
        <w:rPr>
          <w:rFonts w:cs="Times New Roman"/>
        </w:rPr>
        <w:t xml:space="preserve">Tehran Stock Exchange and </w:t>
      </w:r>
      <w:r>
        <w:rPr>
          <w:rFonts w:cs="Times New Roman"/>
        </w:rPr>
        <w:t xml:space="preserve">the </w:t>
      </w:r>
      <w:r w:rsidRPr="00AC1055">
        <w:rPr>
          <w:rFonts w:cs="Times New Roman"/>
        </w:rPr>
        <w:t>promulgation of Fifth Development  Economic, Social and Cultural Development Plan Law (2010).</w:t>
      </w:r>
    </w:p>
    <w:p w14:paraId="0CD652D9" w14:textId="77777777" w:rsidR="00413229" w:rsidRPr="00AC1055" w:rsidRDefault="00413229" w:rsidP="00413229">
      <w:pPr>
        <w:spacing w:line="480" w:lineRule="auto"/>
        <w:rPr>
          <w:rFonts w:cs="Times New Roman"/>
        </w:rPr>
      </w:pPr>
    </w:p>
    <w:p w14:paraId="1534F726" w14:textId="77777777" w:rsidR="00413229" w:rsidRPr="00AC1055" w:rsidRDefault="00413229" w:rsidP="00413229">
      <w:pPr>
        <w:spacing w:line="480" w:lineRule="auto"/>
        <w:rPr>
          <w:rFonts w:cs="Times New Roman"/>
        </w:rPr>
      </w:pPr>
    </w:p>
    <w:p w14:paraId="2BFA2125" w14:textId="77777777" w:rsidR="00413229" w:rsidRPr="00AC1055" w:rsidRDefault="00413229" w:rsidP="00413229">
      <w:pPr>
        <w:spacing w:line="480" w:lineRule="auto"/>
        <w:rPr>
          <w:rFonts w:cs="Times New Roman"/>
        </w:rPr>
      </w:pPr>
    </w:p>
    <w:p w14:paraId="35D64A57" w14:textId="77777777" w:rsidR="00413229" w:rsidRPr="00AC1055" w:rsidRDefault="00413229" w:rsidP="00413229">
      <w:pPr>
        <w:spacing w:line="480" w:lineRule="auto"/>
        <w:rPr>
          <w:rFonts w:cs="Times New Roman"/>
        </w:rPr>
      </w:pPr>
    </w:p>
    <w:p w14:paraId="78EECF25"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4447872E" wp14:editId="0719D6AB">
            <wp:extent cx="5580952" cy="3390476"/>
            <wp:effectExtent l="0" t="0" r="1270"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580952" cy="3390476"/>
                    </a:xfrm>
                    <a:prstGeom prst="rect">
                      <a:avLst/>
                    </a:prstGeom>
                  </pic:spPr>
                </pic:pic>
              </a:graphicData>
            </a:graphic>
          </wp:inline>
        </w:drawing>
      </w:r>
    </w:p>
    <w:p w14:paraId="7C8DB75F" w14:textId="77777777" w:rsidR="00413229" w:rsidRDefault="00413229" w:rsidP="00413229">
      <w:pPr>
        <w:spacing w:line="480" w:lineRule="auto"/>
        <w:rPr>
          <w:rFonts w:cs="Times New Roman"/>
        </w:rPr>
      </w:pPr>
      <w:r w:rsidRPr="00AC1055">
        <w:rPr>
          <w:rFonts w:cs="Times New Roman"/>
        </w:rPr>
        <w:t xml:space="preserve">The probability of a change point in </w:t>
      </w:r>
      <w:r>
        <w:rPr>
          <w:rFonts w:cs="Times New Roman"/>
        </w:rPr>
        <w:t xml:space="preserve">the </w:t>
      </w:r>
      <w:r w:rsidRPr="00AC1055">
        <w:rPr>
          <w:rFonts w:cs="Times New Roman"/>
        </w:rPr>
        <w:t xml:space="preserve">Iranian financial market development is highest in year 6 (probability: 0.91) and a minor inflection in year 14 (probability: 0.59). These correspond to the years 2001 and 2009 respectively. The 2000/01 change was due to increased trading facilitated by automated trading introduced by </w:t>
      </w:r>
      <w:r>
        <w:rPr>
          <w:rFonts w:cs="Times New Roman"/>
        </w:rPr>
        <w:t xml:space="preserve">the </w:t>
      </w:r>
      <w:r w:rsidRPr="00AC1055">
        <w:rPr>
          <w:rFonts w:cs="Times New Roman"/>
        </w:rPr>
        <w:t>Tehran Stock Exchange (TSE) and was backed by improving economic growth and foreign investment. These however diminished over the next few years due to sanctions.</w:t>
      </w:r>
      <w:r w:rsidRPr="00AC1055">
        <w:rPr>
          <w:rStyle w:val="FootnoteReference"/>
          <w:rFonts w:cs="Times New Roman"/>
        </w:rPr>
        <w:footnoteReference w:id="280"/>
      </w:r>
      <w:r w:rsidRPr="00AC1055">
        <w:rPr>
          <w:rFonts w:cs="Times New Roman"/>
        </w:rPr>
        <w:t xml:space="preserve"> </w:t>
      </w:r>
      <w:r>
        <w:rPr>
          <w:rFonts w:cs="Times New Roman"/>
        </w:rPr>
        <w:t xml:space="preserve">The </w:t>
      </w:r>
      <w:r w:rsidRPr="00AC1055">
        <w:rPr>
          <w:rFonts w:cs="Times New Roman"/>
        </w:rPr>
        <w:t>TSE index grew nearly 80% between March 2001 and April 2003.</w:t>
      </w:r>
      <w:r w:rsidRPr="00AC1055">
        <w:rPr>
          <w:rStyle w:val="FootnoteReference"/>
          <w:rFonts w:cs="Times New Roman"/>
        </w:rPr>
        <w:footnoteReference w:id="281"/>
      </w:r>
      <w:r w:rsidRPr="00AC1055">
        <w:rPr>
          <w:rFonts w:cs="Times New Roman"/>
        </w:rPr>
        <w:t xml:space="preserve"> The reasons behind 2009 peak </w:t>
      </w:r>
      <w:r>
        <w:rPr>
          <w:rFonts w:cs="Times New Roman"/>
        </w:rPr>
        <w:t>are</w:t>
      </w:r>
      <w:r w:rsidRPr="00AC1055">
        <w:rPr>
          <w:rFonts w:cs="Times New Roman"/>
        </w:rPr>
        <w:t xml:space="preserve"> controversial because some commentators believe that it was ‘a state-created bubble’ while others linked it with increased ‘flow of cash into the stock market.’</w:t>
      </w:r>
      <w:r w:rsidRPr="00AC1055">
        <w:rPr>
          <w:rStyle w:val="FootnoteReference"/>
          <w:rFonts w:cs="Times New Roman"/>
        </w:rPr>
        <w:footnoteReference w:id="282"/>
      </w:r>
    </w:p>
    <w:p w14:paraId="76A66D0F" w14:textId="77777777" w:rsidR="00710A49" w:rsidRPr="00AC1055" w:rsidRDefault="00710A49" w:rsidP="00413229">
      <w:pPr>
        <w:spacing w:line="480" w:lineRule="auto"/>
        <w:rPr>
          <w:rFonts w:cs="Times New Roman"/>
        </w:rPr>
      </w:pPr>
    </w:p>
    <w:p w14:paraId="665B794E" w14:textId="77777777" w:rsidR="00413229" w:rsidRPr="00AC1055" w:rsidRDefault="00413229" w:rsidP="00413229">
      <w:pPr>
        <w:spacing w:line="480" w:lineRule="auto"/>
        <w:rPr>
          <w:rFonts w:cs="Times New Roman"/>
          <w:u w:val="single"/>
        </w:rPr>
      </w:pPr>
      <w:r>
        <w:rPr>
          <w:rFonts w:cs="Times New Roman"/>
          <w:u w:val="single"/>
        </w:rPr>
        <w:t xml:space="preserve">4.2.14 </w:t>
      </w:r>
      <w:r w:rsidRPr="00AC1055">
        <w:rPr>
          <w:rFonts w:cs="Times New Roman"/>
          <w:u w:val="single"/>
        </w:rPr>
        <w:t>Kenya</w:t>
      </w:r>
    </w:p>
    <w:p w14:paraId="5E498FF5"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054D0144" wp14:editId="02DA69BC">
            <wp:extent cx="4733925" cy="2875900"/>
            <wp:effectExtent l="0" t="0" r="0" b="127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39805" cy="2879472"/>
                    </a:xfrm>
                    <a:prstGeom prst="rect">
                      <a:avLst/>
                    </a:prstGeom>
                  </pic:spPr>
                </pic:pic>
              </a:graphicData>
            </a:graphic>
          </wp:inline>
        </w:drawing>
      </w:r>
    </w:p>
    <w:p w14:paraId="4724960D" w14:textId="77777777" w:rsidR="00413229" w:rsidRPr="00AC1055" w:rsidRDefault="00413229" w:rsidP="00413229">
      <w:pPr>
        <w:spacing w:line="480" w:lineRule="auto"/>
        <w:rPr>
          <w:rFonts w:cs="Times New Roman"/>
        </w:rPr>
      </w:pPr>
      <w:r w:rsidRPr="00AC1055">
        <w:rPr>
          <w:rFonts w:cs="Times New Roman"/>
        </w:rPr>
        <w:t xml:space="preserve">The probability of </w:t>
      </w:r>
      <w:r>
        <w:rPr>
          <w:rFonts w:cs="Times New Roman"/>
        </w:rPr>
        <w:t xml:space="preserve">a </w:t>
      </w:r>
      <w:r w:rsidRPr="00AC1055">
        <w:rPr>
          <w:rFonts w:cs="Times New Roman"/>
        </w:rPr>
        <w:t xml:space="preserve">change point in Kenyan corporate governance development is highest in year 8 (probability: 1). This corresponds to </w:t>
      </w:r>
      <w:r>
        <w:rPr>
          <w:rFonts w:cs="Times New Roman"/>
        </w:rPr>
        <w:t xml:space="preserve">the </w:t>
      </w:r>
      <w:r w:rsidRPr="00AC1055">
        <w:rPr>
          <w:rFonts w:cs="Times New Roman"/>
        </w:rPr>
        <w:t>year 2002. In this year Kenya introduced the Sample Code of Best Practice for Corporate Governance</w:t>
      </w:r>
      <w:r w:rsidRPr="00AC1055">
        <w:rPr>
          <w:rStyle w:val="FootnoteReference"/>
          <w:rFonts w:cs="Times New Roman"/>
        </w:rPr>
        <w:footnoteReference w:id="283"/>
      </w:r>
      <w:r w:rsidRPr="00AC1055">
        <w:rPr>
          <w:rFonts w:cs="Times New Roman"/>
        </w:rPr>
        <w:t xml:space="preserve"> and the Corporate Governance Codes and Principles.</w:t>
      </w:r>
      <w:r w:rsidRPr="00AC1055">
        <w:rPr>
          <w:rStyle w:val="FootnoteReference"/>
          <w:rFonts w:cs="Times New Roman"/>
        </w:rPr>
        <w:footnoteReference w:id="284"/>
      </w:r>
    </w:p>
    <w:p w14:paraId="619D47B6"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1B8626D7" wp14:editId="264A8589">
            <wp:extent cx="4781550" cy="2904832"/>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780952" cy="2904469"/>
                    </a:xfrm>
                    <a:prstGeom prst="rect">
                      <a:avLst/>
                    </a:prstGeom>
                  </pic:spPr>
                </pic:pic>
              </a:graphicData>
            </a:graphic>
          </wp:inline>
        </w:drawing>
      </w:r>
    </w:p>
    <w:p w14:paraId="69D50CE6" w14:textId="77777777" w:rsidR="00413229" w:rsidRPr="00AC1055" w:rsidRDefault="00413229" w:rsidP="00413229">
      <w:pPr>
        <w:spacing w:line="480" w:lineRule="auto"/>
        <w:rPr>
          <w:rFonts w:cs="Times New Roman"/>
        </w:rPr>
      </w:pPr>
      <w:r w:rsidRPr="00AC1055">
        <w:rPr>
          <w:rFonts w:cs="Times New Roman"/>
        </w:rPr>
        <w:lastRenderedPageBreak/>
        <w:t xml:space="preserve">The probability of a shift change in Kenyan financial market development is highest for year 11 (probability: 0.58). This corresponds to </w:t>
      </w:r>
      <w:r>
        <w:rPr>
          <w:rFonts w:cs="Times New Roman"/>
        </w:rPr>
        <w:t xml:space="preserve">the </w:t>
      </w:r>
      <w:r w:rsidRPr="00AC1055">
        <w:rPr>
          <w:rFonts w:cs="Times New Roman"/>
        </w:rPr>
        <w:t>year 2006. This was period of boom amid lot of market and macroeconomic volatility, it is worth noting that the ‘highest figure for Nairobi Stock Exchange 20-share index was recorded in the last quarter of 2006.’</w:t>
      </w:r>
      <w:r w:rsidRPr="00AC1055">
        <w:rPr>
          <w:rStyle w:val="FootnoteReference"/>
          <w:rFonts w:cs="Times New Roman"/>
        </w:rPr>
        <w:footnoteReference w:id="285"/>
      </w:r>
    </w:p>
    <w:p w14:paraId="2D5CB018" w14:textId="77777777" w:rsidR="00413229" w:rsidRPr="00AC1055" w:rsidRDefault="00413229" w:rsidP="00413229">
      <w:pPr>
        <w:spacing w:line="480" w:lineRule="auto"/>
        <w:rPr>
          <w:rFonts w:cs="Times New Roman"/>
        </w:rPr>
      </w:pPr>
    </w:p>
    <w:p w14:paraId="57DC48B5" w14:textId="77777777" w:rsidR="00413229" w:rsidRPr="00AC1055" w:rsidRDefault="00413229" w:rsidP="00413229">
      <w:pPr>
        <w:spacing w:line="480" w:lineRule="auto"/>
        <w:rPr>
          <w:rFonts w:cs="Times New Roman"/>
          <w:u w:val="single"/>
        </w:rPr>
      </w:pPr>
      <w:r>
        <w:rPr>
          <w:rFonts w:cs="Times New Roman"/>
          <w:u w:val="single"/>
        </w:rPr>
        <w:t xml:space="preserve">4.2.15 </w:t>
      </w:r>
      <w:r w:rsidRPr="00AC1055">
        <w:rPr>
          <w:rFonts w:cs="Times New Roman"/>
          <w:u w:val="single"/>
        </w:rPr>
        <w:t>Nigeria</w:t>
      </w:r>
    </w:p>
    <w:p w14:paraId="38DE263D"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28FFB50A" wp14:editId="74D10BEF">
            <wp:extent cx="5580952" cy="3390476"/>
            <wp:effectExtent l="0" t="0" r="1270"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580952" cy="3390476"/>
                    </a:xfrm>
                    <a:prstGeom prst="rect">
                      <a:avLst/>
                    </a:prstGeom>
                  </pic:spPr>
                </pic:pic>
              </a:graphicData>
            </a:graphic>
          </wp:inline>
        </w:drawing>
      </w:r>
    </w:p>
    <w:p w14:paraId="3D6DCDDF" w14:textId="77777777" w:rsidR="00413229" w:rsidRPr="00AC1055" w:rsidRDefault="00413229" w:rsidP="00413229">
      <w:pPr>
        <w:spacing w:line="480" w:lineRule="auto"/>
        <w:rPr>
          <w:rFonts w:cs="Times New Roman"/>
        </w:rPr>
      </w:pPr>
      <w:r w:rsidRPr="00AC1055">
        <w:rPr>
          <w:rFonts w:cs="Times New Roman"/>
        </w:rPr>
        <w:t xml:space="preserve">The highest probability of a change point in Nigerian corporate governance development is in year 13 (probability: 0.6), with minor crests in year 10 (probability: 0.48) and year 15 (probability: 0.48). These years correspond to 2007 (major change), and </w:t>
      </w:r>
      <w:r>
        <w:rPr>
          <w:rFonts w:cs="Times New Roman"/>
        </w:rPr>
        <w:t xml:space="preserve">the </w:t>
      </w:r>
      <w:r w:rsidRPr="00AC1055">
        <w:rPr>
          <w:rFonts w:cs="Times New Roman"/>
        </w:rPr>
        <w:t xml:space="preserve">years 2003 and 2009/10 for minor change. The first </w:t>
      </w:r>
      <w:r w:rsidRPr="00AC1055">
        <w:rPr>
          <w:rFonts w:cs="Times New Roman"/>
        </w:rPr>
        <w:lastRenderedPageBreak/>
        <w:t>Corporate Governance Codes and Principles</w:t>
      </w:r>
      <w:r w:rsidRPr="00AC1055">
        <w:rPr>
          <w:rStyle w:val="FootnoteReference"/>
          <w:rFonts w:cs="Times New Roman"/>
        </w:rPr>
        <w:footnoteReference w:id="286"/>
      </w:r>
      <w:r w:rsidRPr="00AC1055">
        <w:rPr>
          <w:rFonts w:cs="Times New Roman"/>
        </w:rPr>
        <w:t xml:space="preserve"> in Nigeria was introduced in 2003 by the Securities and Exchange Commission, Nigeria, in 2006 </w:t>
      </w:r>
      <w:r>
        <w:rPr>
          <w:rFonts w:cs="Times New Roman"/>
        </w:rPr>
        <w:t xml:space="preserve">the </w:t>
      </w:r>
      <w:r w:rsidRPr="00AC1055">
        <w:rPr>
          <w:rFonts w:cs="Times New Roman"/>
        </w:rPr>
        <w:t>Code of Corporate Governance for Banks in Nigeria Post</w:t>
      </w:r>
      <w:r>
        <w:rPr>
          <w:rFonts w:cs="Times New Roman"/>
        </w:rPr>
        <w:t>-</w:t>
      </w:r>
      <w:r w:rsidRPr="00AC1055">
        <w:rPr>
          <w:rFonts w:cs="Times New Roman"/>
        </w:rPr>
        <w:t xml:space="preserve">Consolidation was introduced, in 2008 </w:t>
      </w:r>
      <w:r>
        <w:rPr>
          <w:rFonts w:cs="Times New Roman"/>
        </w:rPr>
        <w:t xml:space="preserve">the </w:t>
      </w:r>
      <w:r w:rsidRPr="00AC1055">
        <w:rPr>
          <w:rFonts w:cs="Times New Roman"/>
        </w:rPr>
        <w:t>Code of Corporate Governance for Licensed Pension Operators was introduced, these regulations together contributed to the 2007 crest. Later in 2011 the Code of Corporate Governance was updated along with giving protection to whistle-blowers in 2014, these would have contributed to the 2009/10 crest.</w:t>
      </w:r>
    </w:p>
    <w:p w14:paraId="387FCA71"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12C3BEB9" wp14:editId="7A786C16">
            <wp:extent cx="5580952" cy="3390476"/>
            <wp:effectExtent l="0" t="0" r="1270"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580952" cy="3390476"/>
                    </a:xfrm>
                    <a:prstGeom prst="rect">
                      <a:avLst/>
                    </a:prstGeom>
                  </pic:spPr>
                </pic:pic>
              </a:graphicData>
            </a:graphic>
          </wp:inline>
        </w:drawing>
      </w:r>
    </w:p>
    <w:p w14:paraId="19861025" w14:textId="77777777" w:rsidR="00413229" w:rsidRPr="00AC1055" w:rsidRDefault="00413229" w:rsidP="00413229">
      <w:pPr>
        <w:spacing w:line="480" w:lineRule="auto"/>
        <w:rPr>
          <w:rFonts w:cs="Times New Roman"/>
        </w:rPr>
      </w:pPr>
      <w:r w:rsidRPr="00AC1055">
        <w:rPr>
          <w:rFonts w:cs="Times New Roman"/>
        </w:rPr>
        <w:t xml:space="preserve">The probability of change in </w:t>
      </w:r>
      <w:r>
        <w:rPr>
          <w:rFonts w:cs="Times New Roman"/>
        </w:rPr>
        <w:t xml:space="preserve">the </w:t>
      </w:r>
      <w:r w:rsidRPr="00AC1055">
        <w:rPr>
          <w:rFonts w:cs="Times New Roman"/>
        </w:rPr>
        <w:t>Nigerian economy was highest in year 9 (probability: 0.99) and 11 (probability: 0.99). They correspond to years 2004 and 2006. 2004 to 2008 was a period of rapid financial growth in Nigeria fuelled by steadily rising oil price</w:t>
      </w:r>
      <w:r>
        <w:rPr>
          <w:rFonts w:cs="Times New Roman"/>
        </w:rPr>
        <w:t>s</w:t>
      </w:r>
      <w:r w:rsidRPr="00AC1055">
        <w:rPr>
          <w:rFonts w:cs="Times New Roman"/>
        </w:rPr>
        <w:t xml:space="preserve">: </w:t>
      </w:r>
    </w:p>
    <w:p w14:paraId="2251E890" w14:textId="5FE23D4C" w:rsidR="00413229" w:rsidRDefault="00413229" w:rsidP="00710A49">
      <w:pPr>
        <w:spacing w:line="480" w:lineRule="auto"/>
        <w:ind w:left="720"/>
        <w:rPr>
          <w:rFonts w:cs="Times New Roman"/>
        </w:rPr>
      </w:pPr>
      <w:r w:rsidRPr="00AC1055">
        <w:rPr>
          <w:rFonts w:cs="Times New Roman"/>
        </w:rPr>
        <w:t xml:space="preserve">“Government spending tracked the price of oil, monthly disbursements of oil revenues flooded the banking system, driving up deposits and lending, and accelerating credit creation. During this period, bank deposits and consumer </w:t>
      </w:r>
      <w:r w:rsidRPr="00AC1055">
        <w:rPr>
          <w:rFonts w:cs="Times New Roman"/>
        </w:rPr>
        <w:lastRenderedPageBreak/>
        <w:t>credit quadrupled, as banking assets grew at an average rate of 76% post-consolidation. […] Nigeria’s financial boom was too rapid for the real economy to absorb the excess liquidity from oil revenues and foreign investments in productive sectors. This drove significant flows into non-priority sectors and into the capital markets – mostly in the form of margin loans and proprietary trading. […] As a result, the NSE’s market capitalization surged between 2004 and 2008, as the market capitalization of banking stocks grew by a factor of nine.”</w:t>
      </w:r>
      <w:r w:rsidRPr="00AC1055">
        <w:rPr>
          <w:rStyle w:val="FootnoteReference"/>
          <w:rFonts w:cs="Times New Roman"/>
        </w:rPr>
        <w:footnoteReference w:id="287"/>
      </w:r>
      <w:r w:rsidR="00710A49">
        <w:rPr>
          <w:rFonts w:cs="Times New Roman"/>
        </w:rPr>
        <w:t xml:space="preserve"> </w:t>
      </w:r>
    </w:p>
    <w:p w14:paraId="0556822D" w14:textId="77777777" w:rsidR="00710A49" w:rsidRPr="00AC1055" w:rsidRDefault="00710A49" w:rsidP="00710A49">
      <w:pPr>
        <w:spacing w:line="480" w:lineRule="auto"/>
        <w:ind w:left="720"/>
        <w:rPr>
          <w:rFonts w:cs="Times New Roman"/>
        </w:rPr>
      </w:pPr>
    </w:p>
    <w:p w14:paraId="3B53A7FE" w14:textId="77777777" w:rsidR="00413229" w:rsidRPr="00AC1055" w:rsidRDefault="00413229" w:rsidP="00413229">
      <w:pPr>
        <w:spacing w:line="480" w:lineRule="auto"/>
        <w:rPr>
          <w:rFonts w:cs="Times New Roman"/>
          <w:u w:val="single"/>
        </w:rPr>
      </w:pPr>
      <w:r>
        <w:rPr>
          <w:rFonts w:cs="Times New Roman"/>
          <w:u w:val="single"/>
        </w:rPr>
        <w:t xml:space="preserve">4.2.16 </w:t>
      </w:r>
      <w:r w:rsidRPr="00AC1055">
        <w:rPr>
          <w:rFonts w:cs="Times New Roman"/>
          <w:u w:val="single"/>
        </w:rPr>
        <w:t>Hong Kong</w:t>
      </w:r>
    </w:p>
    <w:p w14:paraId="13608BC9"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78D780A0" wp14:editId="7E6E64E5">
            <wp:extent cx="5580952" cy="3390476"/>
            <wp:effectExtent l="0" t="0" r="1270"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580952" cy="3390476"/>
                    </a:xfrm>
                    <a:prstGeom prst="rect">
                      <a:avLst/>
                    </a:prstGeom>
                  </pic:spPr>
                </pic:pic>
              </a:graphicData>
            </a:graphic>
          </wp:inline>
        </w:drawing>
      </w:r>
    </w:p>
    <w:p w14:paraId="79DF6B58" w14:textId="77777777" w:rsidR="00413229" w:rsidRPr="00AC1055" w:rsidRDefault="00413229" w:rsidP="00413229">
      <w:pPr>
        <w:spacing w:line="480" w:lineRule="auto"/>
        <w:rPr>
          <w:rFonts w:cs="Times New Roman"/>
        </w:rPr>
      </w:pPr>
      <w:r w:rsidRPr="00AC1055">
        <w:rPr>
          <w:rFonts w:cs="Times New Roman"/>
        </w:rPr>
        <w:t>The corporate governance growth of Hong Kong has been quite steady so there are not any major change points, the only highlight</w:t>
      </w:r>
      <w:r>
        <w:rPr>
          <w:rFonts w:cs="Times New Roman"/>
        </w:rPr>
        <w:t>s</w:t>
      </w:r>
      <w:r w:rsidRPr="00AC1055">
        <w:rPr>
          <w:rFonts w:cs="Times New Roman"/>
        </w:rPr>
        <w:t xml:space="preserve"> </w:t>
      </w:r>
      <w:r>
        <w:rPr>
          <w:rFonts w:cs="Times New Roman"/>
        </w:rPr>
        <w:t>are</w:t>
      </w:r>
      <w:r w:rsidRPr="00AC1055">
        <w:rPr>
          <w:rFonts w:cs="Times New Roman"/>
        </w:rPr>
        <w:t xml:space="preserve"> in year 15 (probability: 0.47) and year 9 (probability: 0.35). These correspond to the years 2009 and 2003. The 2003 change can be attributed to adoption of Hong Kong Code on Corporate </w:t>
      </w:r>
      <w:r w:rsidRPr="00AC1055">
        <w:rPr>
          <w:rFonts w:cs="Times New Roman"/>
        </w:rPr>
        <w:lastRenderedPageBreak/>
        <w:t xml:space="preserve">Governance in 2004, Model Code for Securities Transactions by Directors of Listed Companies: Basic Principles in 2001 and the Corporate Governance Disclosure in Annual Reports in 2001. The 2009 change can be attributed to changes in Codes on Takeovers and Mergers and Share Buy-backs and amendments to Company law around that period. It is to be kept in mind that the absence of change points does not mean that corporate governance has not developed, it can be interpreted in several ways – 1) that the development has been steady without any sharp cut off point, 2) there has been no development and it has been steady – this </w:t>
      </w:r>
      <w:r>
        <w:rPr>
          <w:rFonts w:cs="Times New Roman"/>
        </w:rPr>
        <w:t>could</w:t>
      </w:r>
      <w:r w:rsidRPr="00AC1055">
        <w:rPr>
          <w:rFonts w:cs="Times New Roman"/>
        </w:rPr>
        <w:t xml:space="preserve"> be because the country already has a good corporate governance system or because it does not legislate on the issue</w:t>
      </w:r>
      <w:r>
        <w:rPr>
          <w:rFonts w:cs="Times New Roman"/>
        </w:rPr>
        <w:t>s</w:t>
      </w:r>
      <w:r w:rsidRPr="00AC1055">
        <w:rPr>
          <w:rFonts w:cs="Times New Roman"/>
        </w:rPr>
        <w:t xml:space="preserve"> that are being studied in this research.</w:t>
      </w:r>
    </w:p>
    <w:p w14:paraId="0B25FA32"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6C219F3F" wp14:editId="60E7300B">
            <wp:extent cx="5580952" cy="3390476"/>
            <wp:effectExtent l="0" t="0" r="1270"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580952" cy="3390476"/>
                    </a:xfrm>
                    <a:prstGeom prst="rect">
                      <a:avLst/>
                    </a:prstGeom>
                  </pic:spPr>
                </pic:pic>
              </a:graphicData>
            </a:graphic>
          </wp:inline>
        </w:drawing>
      </w:r>
    </w:p>
    <w:p w14:paraId="6C8F1DD7" w14:textId="62CCAB99" w:rsidR="00413229" w:rsidRDefault="00413229" w:rsidP="00710A49">
      <w:pPr>
        <w:spacing w:line="480" w:lineRule="auto"/>
        <w:rPr>
          <w:rFonts w:cs="Times New Roman"/>
        </w:rPr>
      </w:pPr>
      <w:r w:rsidRPr="00AC1055">
        <w:rPr>
          <w:rFonts w:cs="Times New Roman"/>
        </w:rPr>
        <w:t xml:space="preserve">The probability of a change point in financial development in Hong Kong is highest in year 11 (probability: 0.8). This corresponds to year 2006, when Hong Kong Stock Exchange was pushed up by </w:t>
      </w:r>
      <w:r>
        <w:rPr>
          <w:rFonts w:cs="Times New Roman"/>
        </w:rPr>
        <w:t xml:space="preserve">the </w:t>
      </w:r>
      <w:r w:rsidRPr="00AC1055">
        <w:rPr>
          <w:rFonts w:cs="Times New Roman"/>
        </w:rPr>
        <w:t>Chinese Equity bubble.</w:t>
      </w:r>
      <w:r w:rsidRPr="00AC1055">
        <w:rPr>
          <w:rStyle w:val="FootnoteReference"/>
          <w:rFonts w:cs="Times New Roman"/>
        </w:rPr>
        <w:footnoteReference w:id="288"/>
      </w:r>
      <w:r w:rsidRPr="00AC1055">
        <w:rPr>
          <w:rFonts w:cs="Times New Roman"/>
        </w:rPr>
        <w:t xml:space="preserve"> Many companies in </w:t>
      </w:r>
      <w:r w:rsidRPr="00AC1055">
        <w:rPr>
          <w:rFonts w:cs="Times New Roman"/>
        </w:rPr>
        <w:lastRenderedPageBreak/>
        <w:t>China are dual listed in China and Hong Kong, as there is a QFII quota for foreign investor</w:t>
      </w:r>
      <w:r>
        <w:rPr>
          <w:rFonts w:cs="Times New Roman"/>
        </w:rPr>
        <w:t>s</w:t>
      </w:r>
      <w:r w:rsidRPr="00AC1055">
        <w:rPr>
          <w:rFonts w:cs="Times New Roman"/>
        </w:rPr>
        <w:t xml:space="preserve"> in China. The shares in China are called A shares and the shares in Hong Kong are called H shares. Based on robust economic growth and presumptions of future demands, Chinese companies held IPOs in Hong Kong, this ‘attracted global liquidity to Hong Kong and the Hong Kong China Enterprise Index (HKCEI) jumped 94 percent and 56 percent in 2006 and 2007 respectively.’</w:t>
      </w:r>
      <w:r w:rsidRPr="00AC1055">
        <w:rPr>
          <w:rStyle w:val="FootnoteReference"/>
          <w:rFonts w:cs="Times New Roman"/>
        </w:rPr>
        <w:footnoteReference w:id="289"/>
      </w:r>
    </w:p>
    <w:p w14:paraId="60DFEFB6" w14:textId="77777777" w:rsidR="00710A49" w:rsidRPr="00AC1055" w:rsidRDefault="00710A49" w:rsidP="00710A49">
      <w:pPr>
        <w:spacing w:line="480" w:lineRule="auto"/>
        <w:rPr>
          <w:rFonts w:cs="Times New Roman"/>
        </w:rPr>
      </w:pPr>
    </w:p>
    <w:p w14:paraId="4978BAA4" w14:textId="77777777" w:rsidR="00413229" w:rsidRPr="00AC1055" w:rsidRDefault="00413229" w:rsidP="00413229">
      <w:pPr>
        <w:spacing w:line="480" w:lineRule="auto"/>
        <w:rPr>
          <w:rFonts w:cs="Times New Roman"/>
          <w:u w:val="single"/>
        </w:rPr>
      </w:pPr>
      <w:r w:rsidRPr="00AC1055">
        <w:rPr>
          <w:rFonts w:cs="Times New Roman"/>
          <w:u w:val="single"/>
        </w:rPr>
        <w:t xml:space="preserve"> </w:t>
      </w:r>
      <w:r>
        <w:rPr>
          <w:rFonts w:cs="Times New Roman"/>
          <w:u w:val="single"/>
        </w:rPr>
        <w:t xml:space="preserve">4.2.17 </w:t>
      </w:r>
      <w:r w:rsidRPr="00AC1055">
        <w:rPr>
          <w:rFonts w:cs="Times New Roman"/>
          <w:u w:val="single"/>
        </w:rPr>
        <w:t>Philippines</w:t>
      </w:r>
    </w:p>
    <w:p w14:paraId="379CF0E2"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202AEF17" wp14:editId="2A22F7B5">
            <wp:extent cx="5580952" cy="3390476"/>
            <wp:effectExtent l="0" t="0" r="1270"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580952" cy="3390476"/>
                    </a:xfrm>
                    <a:prstGeom prst="rect">
                      <a:avLst/>
                    </a:prstGeom>
                  </pic:spPr>
                </pic:pic>
              </a:graphicData>
            </a:graphic>
          </wp:inline>
        </w:drawing>
      </w:r>
    </w:p>
    <w:p w14:paraId="1AD1D6A2" w14:textId="77777777" w:rsidR="00413229" w:rsidRPr="00AC1055" w:rsidRDefault="00413229" w:rsidP="00413229">
      <w:pPr>
        <w:spacing w:line="480" w:lineRule="auto"/>
        <w:rPr>
          <w:rFonts w:cs="Times New Roman"/>
        </w:rPr>
      </w:pPr>
      <w:r w:rsidRPr="00AC1055">
        <w:rPr>
          <w:rFonts w:cs="Times New Roman"/>
        </w:rPr>
        <w:t xml:space="preserve">The probability of a change occurring in the corporate governance landscape in </w:t>
      </w:r>
      <w:r>
        <w:rPr>
          <w:rFonts w:cs="Times New Roman"/>
        </w:rPr>
        <w:t xml:space="preserve">the </w:t>
      </w:r>
      <w:r w:rsidRPr="00AC1055">
        <w:rPr>
          <w:rFonts w:cs="Times New Roman"/>
        </w:rPr>
        <w:t xml:space="preserve">Philippines is high for year 6 (probability: 1) and in year 11 (probability: 0.87). These correspond to the years 2000 and 2005. In 2000 </w:t>
      </w:r>
      <w:r>
        <w:rPr>
          <w:rFonts w:cs="Times New Roman"/>
        </w:rPr>
        <w:t xml:space="preserve">the </w:t>
      </w:r>
      <w:r w:rsidRPr="00AC1055">
        <w:rPr>
          <w:rFonts w:cs="Times New Roman"/>
        </w:rPr>
        <w:t xml:space="preserve">Philippines adopted ICD Code of Proper Practices for Directors, in the same year The Securities Regulation Code (SRC) was legislated. The 2005 change was due to the amendments to SRC </w:t>
      </w:r>
      <w:r w:rsidRPr="00AC1055">
        <w:rPr>
          <w:rFonts w:cs="Times New Roman"/>
        </w:rPr>
        <w:lastRenderedPageBreak/>
        <w:t>and the Special Accounting Rules, to conform to International Accounting Standards (IAS).</w:t>
      </w:r>
      <w:r w:rsidRPr="00AC1055">
        <w:rPr>
          <w:rStyle w:val="FootnoteReference"/>
          <w:rFonts w:cs="Times New Roman"/>
        </w:rPr>
        <w:footnoteReference w:id="290"/>
      </w:r>
    </w:p>
    <w:p w14:paraId="7F23D818"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1A85B6FE" wp14:editId="16C9F8C1">
            <wp:extent cx="5467350" cy="29146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68068" cy="2915033"/>
                    </a:xfrm>
                    <a:prstGeom prst="rect">
                      <a:avLst/>
                    </a:prstGeom>
                  </pic:spPr>
                </pic:pic>
              </a:graphicData>
            </a:graphic>
          </wp:inline>
        </w:drawing>
      </w:r>
    </w:p>
    <w:p w14:paraId="1D26095B" w14:textId="77777777" w:rsidR="00413229" w:rsidRPr="00AC1055" w:rsidRDefault="00413229" w:rsidP="00413229">
      <w:pPr>
        <w:spacing w:line="480" w:lineRule="auto"/>
        <w:rPr>
          <w:rFonts w:cs="Times New Roman"/>
        </w:rPr>
      </w:pPr>
      <w:r w:rsidRPr="00AC1055">
        <w:rPr>
          <w:rFonts w:cs="Times New Roman"/>
        </w:rPr>
        <w:t xml:space="preserve">The probability of change points in </w:t>
      </w:r>
      <w:r>
        <w:rPr>
          <w:rFonts w:cs="Times New Roman"/>
        </w:rPr>
        <w:t xml:space="preserve">the </w:t>
      </w:r>
      <w:r w:rsidRPr="00AC1055">
        <w:rPr>
          <w:rFonts w:cs="Times New Roman"/>
        </w:rPr>
        <w:t>Philippines financial market development is low except in year 10 (probability: 0.48), year 14 (probability: 0.53) and year 16 (probability: 0.6). These correspond to the years 2005, 2009 and 2011 respectively. Philippines showed net inflows in its capital and financial account during the period 2000–07, with higher relative growth in 2005, in tandem with robust growth and positive prospects for the economy.</w:t>
      </w:r>
      <w:r w:rsidRPr="00AC1055">
        <w:rPr>
          <w:rStyle w:val="FootnoteReference"/>
          <w:rFonts w:cs="Times New Roman"/>
        </w:rPr>
        <w:footnoteReference w:id="291"/>
      </w:r>
      <w:r w:rsidRPr="00AC1055">
        <w:rPr>
          <w:rFonts w:cs="Times New Roman"/>
        </w:rPr>
        <w:t xml:space="preserve"> </w:t>
      </w:r>
      <w:r>
        <w:rPr>
          <w:rFonts w:cs="Times New Roman"/>
        </w:rPr>
        <w:t xml:space="preserve">The </w:t>
      </w:r>
      <w:r w:rsidRPr="00AC1055">
        <w:rPr>
          <w:rFonts w:cs="Times New Roman"/>
        </w:rPr>
        <w:t>Philippines financial market also remained relatively insulated from the Global Financial Crisis and was one of the few economies where the market rebounded quickly.</w:t>
      </w:r>
      <w:r w:rsidRPr="00AC1055">
        <w:rPr>
          <w:rStyle w:val="FootnoteReference"/>
          <w:rFonts w:cs="Times New Roman"/>
        </w:rPr>
        <w:footnoteReference w:id="292"/>
      </w:r>
      <w:r w:rsidRPr="00AC1055">
        <w:rPr>
          <w:rFonts w:cs="Times New Roman"/>
        </w:rPr>
        <w:t xml:space="preserve"> The 2009 and 2011 peaks can be attributed to this recovery from the Global Financial Crisis of 2008.</w:t>
      </w:r>
    </w:p>
    <w:p w14:paraId="5741AC78" w14:textId="77777777" w:rsidR="00413229" w:rsidRPr="00AC1055" w:rsidRDefault="00413229" w:rsidP="00413229">
      <w:pPr>
        <w:spacing w:line="480" w:lineRule="auto"/>
        <w:rPr>
          <w:rFonts w:cs="Times New Roman"/>
          <w:u w:val="single"/>
        </w:rPr>
      </w:pPr>
      <w:r>
        <w:rPr>
          <w:rFonts w:cs="Times New Roman"/>
          <w:u w:val="single"/>
        </w:rPr>
        <w:lastRenderedPageBreak/>
        <w:t xml:space="preserve">4.2.18 </w:t>
      </w:r>
      <w:r w:rsidRPr="00AC1055">
        <w:rPr>
          <w:rFonts w:cs="Times New Roman"/>
          <w:u w:val="single"/>
        </w:rPr>
        <w:t>United Kingdom</w:t>
      </w:r>
    </w:p>
    <w:p w14:paraId="0D824B38"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5D58CCB8" wp14:editId="32B2890F">
            <wp:extent cx="5580952" cy="3390476"/>
            <wp:effectExtent l="0" t="0" r="1270"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580952" cy="3390476"/>
                    </a:xfrm>
                    <a:prstGeom prst="rect">
                      <a:avLst/>
                    </a:prstGeom>
                  </pic:spPr>
                </pic:pic>
              </a:graphicData>
            </a:graphic>
          </wp:inline>
        </w:drawing>
      </w:r>
    </w:p>
    <w:p w14:paraId="5A8C4BBB" w14:textId="77777777" w:rsidR="00413229" w:rsidRPr="00AC1055" w:rsidRDefault="00413229" w:rsidP="00413229">
      <w:pPr>
        <w:spacing w:line="480" w:lineRule="auto"/>
        <w:rPr>
          <w:rFonts w:cs="Times New Roman"/>
        </w:rPr>
      </w:pPr>
      <w:r w:rsidRPr="00AC1055">
        <w:rPr>
          <w:rFonts w:cs="Times New Roman"/>
        </w:rPr>
        <w:t xml:space="preserve">The change in corporate governance in </w:t>
      </w:r>
      <w:r>
        <w:rPr>
          <w:rFonts w:cs="Times New Roman"/>
        </w:rPr>
        <w:t xml:space="preserve">the </w:t>
      </w:r>
      <w:r w:rsidRPr="00AC1055">
        <w:rPr>
          <w:rFonts w:cs="Times New Roman"/>
        </w:rPr>
        <w:t xml:space="preserve">UK in </w:t>
      </w:r>
      <w:r>
        <w:rPr>
          <w:rFonts w:cs="Times New Roman"/>
        </w:rPr>
        <w:t xml:space="preserve">the </w:t>
      </w:r>
      <w:r w:rsidRPr="00AC1055">
        <w:rPr>
          <w:rFonts w:cs="Times New Roman"/>
        </w:rPr>
        <w:t xml:space="preserve">last twenty years is minimal, but the probability of any change point in the last twenty years is highest in </w:t>
      </w:r>
      <w:r>
        <w:rPr>
          <w:rFonts w:cs="Times New Roman"/>
        </w:rPr>
        <w:t xml:space="preserve">the </w:t>
      </w:r>
      <w:r w:rsidRPr="00AC1055">
        <w:rPr>
          <w:rFonts w:cs="Times New Roman"/>
        </w:rPr>
        <w:t xml:space="preserve">year 12 (probability: 1) with minor changes in year 7 (probability: 0.62), 11 (probability: 0.72) and 13 (probability: 0.72). The major shift corresponds to </w:t>
      </w:r>
      <w:r>
        <w:rPr>
          <w:rFonts w:cs="Times New Roman"/>
        </w:rPr>
        <w:t xml:space="preserve">the </w:t>
      </w:r>
      <w:r w:rsidRPr="00AC1055">
        <w:rPr>
          <w:rFonts w:cs="Times New Roman"/>
        </w:rPr>
        <w:t>year 2006 with minor shifts in 2001, 2005 and 2007. These shifts can be attributed to the publication of several non-binding codes like good practice suggestions from the Higgs Report</w:t>
      </w:r>
      <w:r w:rsidRPr="00AC1055">
        <w:rPr>
          <w:rStyle w:val="FootnoteReference"/>
          <w:rFonts w:cs="Times New Roman"/>
        </w:rPr>
        <w:footnoteReference w:id="293"/>
      </w:r>
      <w:r w:rsidRPr="00AC1055">
        <w:rPr>
          <w:rFonts w:cs="Times New Roman"/>
        </w:rPr>
        <w:t xml:space="preserve"> and the publication of the Combined Code on Corporate Governance by the Financial Reporting Council (FRC) in 2006; Myners Report</w:t>
      </w:r>
      <w:r w:rsidRPr="00AC1055">
        <w:rPr>
          <w:rStyle w:val="FootnoteReference"/>
          <w:rFonts w:cs="Times New Roman"/>
        </w:rPr>
        <w:footnoteReference w:id="294"/>
      </w:r>
      <w:r w:rsidRPr="00AC1055">
        <w:rPr>
          <w:rFonts w:cs="Times New Roman"/>
        </w:rPr>
        <w:t xml:space="preserve"> and the Code of Good Practice</w:t>
      </w:r>
      <w:r w:rsidRPr="00AC1055">
        <w:rPr>
          <w:rStyle w:val="FootnoteReference"/>
          <w:rFonts w:cs="Times New Roman"/>
        </w:rPr>
        <w:footnoteReference w:id="295"/>
      </w:r>
      <w:r w:rsidRPr="00AC1055">
        <w:rPr>
          <w:rFonts w:cs="Times New Roman"/>
        </w:rPr>
        <w:t xml:space="preserve"> by Association of Unit Trusts and Investment Funds in 2001; Internal Control: Revised Guidance for Directors on the Combined Code published by FRC in 2005 etc.</w:t>
      </w:r>
    </w:p>
    <w:p w14:paraId="53421B1A"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0640D29A" wp14:editId="7FDC22BA">
            <wp:extent cx="5619048" cy="3390476"/>
            <wp:effectExtent l="0" t="0" r="1270"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19048" cy="3390476"/>
                    </a:xfrm>
                    <a:prstGeom prst="rect">
                      <a:avLst/>
                    </a:prstGeom>
                  </pic:spPr>
                </pic:pic>
              </a:graphicData>
            </a:graphic>
          </wp:inline>
        </w:drawing>
      </w:r>
    </w:p>
    <w:p w14:paraId="2A1689F1" w14:textId="77777777" w:rsidR="00413229" w:rsidRPr="00AC1055" w:rsidRDefault="00413229" w:rsidP="00413229">
      <w:pPr>
        <w:spacing w:line="480" w:lineRule="auto"/>
        <w:rPr>
          <w:rFonts w:cs="Times New Roman"/>
        </w:rPr>
      </w:pPr>
      <w:r w:rsidRPr="00AC1055">
        <w:rPr>
          <w:rFonts w:cs="Times New Roman"/>
        </w:rPr>
        <w:t xml:space="preserve">The probability of change points in UK financial development is highest for year 9 (probability: 0.88) and year 13 (probability: 0.91). These correspond to the years 2004 and 2008 respectively. There was a sustained upswing in the financial market in </w:t>
      </w:r>
      <w:r>
        <w:rPr>
          <w:rFonts w:cs="Times New Roman"/>
        </w:rPr>
        <w:t xml:space="preserve">the </w:t>
      </w:r>
      <w:r w:rsidRPr="00AC1055">
        <w:rPr>
          <w:rFonts w:cs="Times New Roman"/>
        </w:rPr>
        <w:t>UK from 2003 to 2007, Ben Bernanke ‘argued that, probably thanks to better theory of monetary policy, the world had entered the era of “great moderation”, in which the volatility of prices and outputs is minimised.’</w:t>
      </w:r>
      <w:r w:rsidRPr="00AC1055">
        <w:rPr>
          <w:rStyle w:val="FootnoteReference"/>
          <w:rFonts w:cs="Times New Roman"/>
        </w:rPr>
        <w:footnoteReference w:id="296"/>
      </w:r>
      <w:r w:rsidRPr="00AC1055">
        <w:rPr>
          <w:rFonts w:cs="Times New Roman"/>
        </w:rPr>
        <w:t xml:space="preserve"> </w:t>
      </w:r>
      <w:r>
        <w:rPr>
          <w:rFonts w:cs="Times New Roman"/>
        </w:rPr>
        <w:t xml:space="preserve">The </w:t>
      </w:r>
      <w:r w:rsidRPr="00AC1055">
        <w:rPr>
          <w:rFonts w:cs="Times New Roman"/>
        </w:rPr>
        <w:t xml:space="preserve">FTSE regained </w:t>
      </w:r>
      <w:r>
        <w:rPr>
          <w:rFonts w:cs="Times New Roman"/>
        </w:rPr>
        <w:t xml:space="preserve">the </w:t>
      </w:r>
      <w:r w:rsidRPr="00AC1055">
        <w:rPr>
          <w:rFonts w:cs="Times New Roman"/>
        </w:rPr>
        <w:t>height of the late -1990s dotcom boom.</w:t>
      </w:r>
      <w:r w:rsidRPr="00AC1055">
        <w:rPr>
          <w:rStyle w:val="FootnoteReference"/>
          <w:rFonts w:cs="Times New Roman"/>
        </w:rPr>
        <w:footnoteReference w:id="297"/>
      </w:r>
      <w:r w:rsidRPr="00AC1055">
        <w:rPr>
          <w:rFonts w:cs="Times New Roman"/>
        </w:rPr>
        <w:t xml:space="preserve"> Mervyn King, the then Governor of the Bank of England termed the years as the ‘nice’ (non-inflationary consistently expansionary) decade.</w:t>
      </w:r>
      <w:r w:rsidRPr="00AC1055">
        <w:rPr>
          <w:rStyle w:val="FootnoteReference"/>
          <w:rFonts w:cs="Times New Roman"/>
        </w:rPr>
        <w:footnoteReference w:id="298"/>
      </w:r>
      <w:r w:rsidRPr="00AC1055">
        <w:rPr>
          <w:rFonts w:cs="Times New Roman"/>
        </w:rPr>
        <w:t xml:space="preserve"> Gordon Brown, the then Chancellor of the Exchequer claimed to help solve the ‘boom and bust’ economics leading to ever greater </w:t>
      </w:r>
      <w:r w:rsidRPr="00AC1055">
        <w:rPr>
          <w:rFonts w:cs="Times New Roman"/>
        </w:rPr>
        <w:lastRenderedPageBreak/>
        <w:t>economic growth.</w:t>
      </w:r>
      <w:r w:rsidRPr="00AC1055">
        <w:rPr>
          <w:rStyle w:val="FootnoteReference"/>
          <w:rFonts w:cs="Times New Roman"/>
        </w:rPr>
        <w:footnoteReference w:id="299"/>
      </w:r>
      <w:r w:rsidRPr="00AC1055">
        <w:rPr>
          <w:rFonts w:cs="Times New Roman"/>
        </w:rPr>
        <w:t xml:space="preserve"> It is postulated that deregulation and </w:t>
      </w:r>
      <w:r>
        <w:rPr>
          <w:rFonts w:cs="Times New Roman"/>
        </w:rPr>
        <w:t xml:space="preserve">the </w:t>
      </w:r>
      <w:r w:rsidRPr="00AC1055">
        <w:rPr>
          <w:rFonts w:cs="Times New Roman"/>
        </w:rPr>
        <w:t>‘benign macro-economic situation encouraged investment in both capital and financial investments. […] Financial institutions became willing to take on more risky investments because they were more confident that there wouldn’t be any major economic downturn.’</w:t>
      </w:r>
      <w:r w:rsidRPr="00AC1055">
        <w:rPr>
          <w:rStyle w:val="FootnoteReference"/>
          <w:rFonts w:cs="Times New Roman"/>
        </w:rPr>
        <w:footnoteReference w:id="300"/>
      </w:r>
      <w:r w:rsidRPr="00AC1055">
        <w:rPr>
          <w:rFonts w:cs="Times New Roman"/>
        </w:rPr>
        <w:t xml:space="preserve"> This led to the Global Financial Crisis of 2008</w:t>
      </w:r>
      <w:r>
        <w:rPr>
          <w:rFonts w:cs="Times New Roman"/>
        </w:rPr>
        <w:t xml:space="preserve"> and</w:t>
      </w:r>
      <w:r w:rsidRPr="00AC1055">
        <w:rPr>
          <w:rFonts w:cs="Times New Roman"/>
        </w:rPr>
        <w:t xml:space="preserve"> the London Stock Exchange suffered the worst fall in its history.</w:t>
      </w:r>
      <w:r w:rsidRPr="00AC1055">
        <w:rPr>
          <w:rStyle w:val="FootnoteReference"/>
          <w:rFonts w:cs="Times New Roman"/>
        </w:rPr>
        <w:footnoteReference w:id="301"/>
      </w:r>
      <w:r w:rsidRPr="00AC1055">
        <w:rPr>
          <w:rFonts w:cs="Times New Roman"/>
        </w:rPr>
        <w:t xml:space="preserve"> As shown in the graph above</w:t>
      </w:r>
      <w:r>
        <w:rPr>
          <w:rFonts w:cs="Times New Roman"/>
        </w:rPr>
        <w:t>, the</w:t>
      </w:r>
      <w:r w:rsidRPr="00AC1055">
        <w:rPr>
          <w:rFonts w:cs="Times New Roman"/>
        </w:rPr>
        <w:t xml:space="preserve"> post</w:t>
      </w:r>
      <w:r>
        <w:rPr>
          <w:rFonts w:cs="Times New Roman"/>
        </w:rPr>
        <w:t>-</w:t>
      </w:r>
      <w:r w:rsidRPr="00AC1055">
        <w:rPr>
          <w:rFonts w:cs="Times New Roman"/>
        </w:rPr>
        <w:t>2008 the financial market fell back to its pre-2004 level.</w:t>
      </w:r>
    </w:p>
    <w:p w14:paraId="3DB69FB1" w14:textId="77777777" w:rsidR="00413229" w:rsidRPr="00AC1055" w:rsidRDefault="00413229" w:rsidP="00413229">
      <w:pPr>
        <w:spacing w:line="480" w:lineRule="auto"/>
        <w:rPr>
          <w:rFonts w:cs="Times New Roman"/>
        </w:rPr>
      </w:pPr>
    </w:p>
    <w:p w14:paraId="22192B89" w14:textId="77777777" w:rsidR="00413229" w:rsidRPr="00AC1055" w:rsidRDefault="00413229" w:rsidP="00413229">
      <w:pPr>
        <w:spacing w:line="480" w:lineRule="auto"/>
        <w:rPr>
          <w:rFonts w:cs="Times New Roman"/>
          <w:u w:val="single"/>
        </w:rPr>
      </w:pPr>
      <w:r>
        <w:rPr>
          <w:rFonts w:cs="Times New Roman"/>
          <w:u w:val="single"/>
        </w:rPr>
        <w:t xml:space="preserve">4.2.19 </w:t>
      </w:r>
      <w:r w:rsidRPr="00AC1055">
        <w:rPr>
          <w:rFonts w:cs="Times New Roman"/>
          <w:u w:val="single"/>
        </w:rPr>
        <w:t>El Salvador</w:t>
      </w:r>
    </w:p>
    <w:p w14:paraId="3AA7DF44"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B2D3008" wp14:editId="4F98837D">
            <wp:extent cx="5619048" cy="3390476"/>
            <wp:effectExtent l="0" t="0" r="1270" b="63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19048" cy="3390476"/>
                    </a:xfrm>
                    <a:prstGeom prst="rect">
                      <a:avLst/>
                    </a:prstGeom>
                  </pic:spPr>
                </pic:pic>
              </a:graphicData>
            </a:graphic>
          </wp:inline>
        </w:drawing>
      </w:r>
    </w:p>
    <w:p w14:paraId="3C2E2203" w14:textId="21306DE6" w:rsidR="00413229" w:rsidRPr="00AC1055" w:rsidRDefault="00413229" w:rsidP="00710A49">
      <w:pPr>
        <w:spacing w:line="480" w:lineRule="auto"/>
        <w:rPr>
          <w:rFonts w:cs="Times New Roman"/>
        </w:rPr>
      </w:pPr>
      <w:r w:rsidRPr="00AC1055">
        <w:rPr>
          <w:rFonts w:cs="Times New Roman"/>
        </w:rPr>
        <w:t xml:space="preserve">The probability of </w:t>
      </w:r>
      <w:r>
        <w:rPr>
          <w:rFonts w:cs="Times New Roman"/>
        </w:rPr>
        <w:t xml:space="preserve">a </w:t>
      </w:r>
      <w:r w:rsidRPr="00AC1055">
        <w:rPr>
          <w:rFonts w:cs="Times New Roman"/>
        </w:rPr>
        <w:t xml:space="preserve">change point in corporate governance development of El Salvador is highest for year 13 (probability: 1). This corresponds to year 2007/08, </w:t>
      </w:r>
      <w:r w:rsidRPr="00AC1055">
        <w:rPr>
          <w:rFonts w:cs="Times New Roman"/>
        </w:rPr>
        <w:lastRenderedPageBreak/>
        <w:t xml:space="preserve">when </w:t>
      </w:r>
      <w:r>
        <w:rPr>
          <w:rFonts w:cs="Times New Roman"/>
        </w:rPr>
        <w:t xml:space="preserve">the </w:t>
      </w:r>
      <w:r w:rsidRPr="00AC1055">
        <w:rPr>
          <w:rFonts w:cs="Times New Roman"/>
        </w:rPr>
        <w:t xml:space="preserve">International Services Act, establishing a legal framework with clear rules for new opportunities for investment in the service sector with the potential to be traded internationally was adopted, along with reforms in </w:t>
      </w:r>
      <w:r>
        <w:rPr>
          <w:rFonts w:cs="Times New Roman"/>
        </w:rPr>
        <w:t xml:space="preserve">the </w:t>
      </w:r>
      <w:r w:rsidRPr="00AC1055">
        <w:rPr>
          <w:rFonts w:cs="Times New Roman"/>
        </w:rPr>
        <w:t>Commercial Code. El Salvador also introduced The Financial System Supervision and Regulation Law in 2011 to integrate its financial regulators into one super regulator.</w:t>
      </w:r>
      <w:r w:rsidRPr="00AC1055">
        <w:rPr>
          <w:rStyle w:val="FootnoteReference"/>
          <w:rFonts w:cs="Times New Roman"/>
        </w:rPr>
        <w:footnoteReference w:id="302"/>
      </w:r>
    </w:p>
    <w:p w14:paraId="50DBB46A"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28F9316C" wp14:editId="46003AAE">
            <wp:extent cx="5019675" cy="2798928"/>
            <wp:effectExtent l="0" t="0" r="0" b="190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019048" cy="2798579"/>
                    </a:xfrm>
                    <a:prstGeom prst="rect">
                      <a:avLst/>
                    </a:prstGeom>
                  </pic:spPr>
                </pic:pic>
              </a:graphicData>
            </a:graphic>
          </wp:inline>
        </w:drawing>
      </w:r>
    </w:p>
    <w:p w14:paraId="17A532DB" w14:textId="77777777" w:rsidR="00413229" w:rsidRPr="00AC1055" w:rsidRDefault="00413229" w:rsidP="00413229">
      <w:pPr>
        <w:spacing w:line="480" w:lineRule="auto"/>
        <w:rPr>
          <w:rFonts w:cs="Times New Roman"/>
          <w:u w:val="single"/>
        </w:rPr>
      </w:pPr>
      <w:r>
        <w:rPr>
          <w:rFonts w:cs="Times New Roman"/>
          <w:u w:val="single"/>
        </w:rPr>
        <w:t xml:space="preserve">4.2.20 </w:t>
      </w:r>
      <w:r w:rsidRPr="00AC1055">
        <w:rPr>
          <w:rFonts w:cs="Times New Roman"/>
          <w:u w:val="single"/>
        </w:rPr>
        <w:t>Vietnam</w:t>
      </w:r>
    </w:p>
    <w:p w14:paraId="379CC810"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73DE1594" wp14:editId="49203614">
            <wp:extent cx="5095875" cy="28860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111399" cy="2894867"/>
                    </a:xfrm>
                    <a:prstGeom prst="rect">
                      <a:avLst/>
                    </a:prstGeom>
                  </pic:spPr>
                </pic:pic>
              </a:graphicData>
            </a:graphic>
          </wp:inline>
        </w:drawing>
      </w:r>
    </w:p>
    <w:p w14:paraId="14B3D2C0" w14:textId="77777777" w:rsidR="00413229" w:rsidRPr="00AC1055" w:rsidRDefault="00413229" w:rsidP="00413229">
      <w:pPr>
        <w:spacing w:line="480" w:lineRule="auto"/>
        <w:rPr>
          <w:rFonts w:cs="Times New Roman"/>
        </w:rPr>
      </w:pPr>
      <w:r w:rsidRPr="00AC1055">
        <w:rPr>
          <w:rFonts w:cs="Times New Roman"/>
        </w:rPr>
        <w:lastRenderedPageBreak/>
        <w:t>The probability of a change point in Vietnamese corporate governance development is highest in year 5 (probability: 1) and year 8 (probability: 1). They correspond to years 1999 and 2002. These steep jumps would coincide with several reforms initiated to update the corporate governance regime in Vietnam – chief among them are Law on Enterprises (LOE, 2005), the Model Charter 2002, and the Law on Securities 2006.</w:t>
      </w:r>
      <w:r w:rsidRPr="00AC1055">
        <w:rPr>
          <w:rStyle w:val="FootnoteReference"/>
          <w:rFonts w:cs="Times New Roman"/>
        </w:rPr>
        <w:footnoteReference w:id="303"/>
      </w:r>
    </w:p>
    <w:p w14:paraId="51A8C76C"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45E93B7C" wp14:editId="1F9BD4AC">
            <wp:extent cx="5619048" cy="3390476"/>
            <wp:effectExtent l="0" t="0" r="1270"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19048" cy="3390476"/>
                    </a:xfrm>
                    <a:prstGeom prst="rect">
                      <a:avLst/>
                    </a:prstGeom>
                  </pic:spPr>
                </pic:pic>
              </a:graphicData>
            </a:graphic>
          </wp:inline>
        </w:drawing>
      </w:r>
    </w:p>
    <w:p w14:paraId="52F75280" w14:textId="77777777" w:rsidR="00413229" w:rsidRPr="00AC1055" w:rsidRDefault="00413229" w:rsidP="00413229">
      <w:pPr>
        <w:spacing w:line="480" w:lineRule="auto"/>
        <w:rPr>
          <w:rFonts w:cs="Times New Roman"/>
        </w:rPr>
      </w:pPr>
      <w:r w:rsidRPr="00AC1055">
        <w:rPr>
          <w:rFonts w:cs="Times New Roman"/>
        </w:rPr>
        <w:t xml:space="preserve">The probability for </w:t>
      </w:r>
      <w:r>
        <w:rPr>
          <w:rFonts w:cs="Times New Roman"/>
        </w:rPr>
        <w:t xml:space="preserve">a </w:t>
      </w:r>
      <w:r w:rsidRPr="00AC1055">
        <w:rPr>
          <w:rFonts w:cs="Times New Roman"/>
        </w:rPr>
        <w:t xml:space="preserve">change point in </w:t>
      </w:r>
      <w:r>
        <w:rPr>
          <w:rFonts w:cs="Times New Roman"/>
        </w:rPr>
        <w:t xml:space="preserve">the </w:t>
      </w:r>
      <w:r w:rsidRPr="00AC1055">
        <w:rPr>
          <w:rFonts w:cs="Times New Roman"/>
        </w:rPr>
        <w:t xml:space="preserve">financial market development of Vietnam is highest for year 11 (probability: 1). This corresponds to </w:t>
      </w:r>
      <w:r>
        <w:rPr>
          <w:rFonts w:cs="Times New Roman"/>
        </w:rPr>
        <w:t xml:space="preserve">the </w:t>
      </w:r>
      <w:r w:rsidRPr="00AC1055">
        <w:rPr>
          <w:rFonts w:cs="Times New Roman"/>
        </w:rPr>
        <w:t>year 2006, which saw the stock market of Vietnam booming at an unprecedented rate, becoming the ‘the second-best-performing exchange in the world’</w:t>
      </w:r>
      <w:r w:rsidRPr="00AC1055">
        <w:rPr>
          <w:rStyle w:val="FootnoteReference"/>
          <w:rFonts w:cs="Times New Roman"/>
        </w:rPr>
        <w:footnoteReference w:id="304"/>
      </w:r>
      <w:r w:rsidRPr="00AC1055">
        <w:rPr>
          <w:rFonts w:cs="Times New Roman"/>
        </w:rPr>
        <w:t xml:space="preserve"> that year. It joined WTO the same year and was ‘Asia’s second fastest growing economy after China’</w:t>
      </w:r>
      <w:r w:rsidRPr="00AC1055">
        <w:rPr>
          <w:rStyle w:val="FootnoteReference"/>
          <w:rFonts w:cs="Times New Roman"/>
        </w:rPr>
        <w:footnoteReference w:id="305"/>
      </w:r>
    </w:p>
    <w:p w14:paraId="11D7F803" w14:textId="77777777" w:rsidR="00710A49" w:rsidRDefault="00710A49" w:rsidP="00413229">
      <w:pPr>
        <w:spacing w:line="480" w:lineRule="auto"/>
        <w:rPr>
          <w:rFonts w:cs="Times New Roman"/>
          <w:u w:val="single"/>
        </w:rPr>
      </w:pPr>
    </w:p>
    <w:p w14:paraId="2552338E" w14:textId="77777777" w:rsidR="00710A49" w:rsidRDefault="00710A49" w:rsidP="00413229">
      <w:pPr>
        <w:spacing w:line="480" w:lineRule="auto"/>
        <w:rPr>
          <w:rFonts w:cs="Times New Roman"/>
          <w:u w:val="single"/>
        </w:rPr>
      </w:pPr>
    </w:p>
    <w:p w14:paraId="7524D149" w14:textId="77777777" w:rsidR="00413229" w:rsidRPr="00AC1055" w:rsidRDefault="00413229" w:rsidP="00413229">
      <w:pPr>
        <w:spacing w:line="480" w:lineRule="auto"/>
        <w:rPr>
          <w:rFonts w:cs="Times New Roman"/>
          <w:u w:val="single"/>
        </w:rPr>
      </w:pPr>
      <w:r>
        <w:rPr>
          <w:rFonts w:cs="Times New Roman"/>
          <w:u w:val="single"/>
        </w:rPr>
        <w:lastRenderedPageBreak/>
        <w:t xml:space="preserve">4.2.21 </w:t>
      </w:r>
      <w:r w:rsidRPr="00AC1055">
        <w:rPr>
          <w:rFonts w:cs="Times New Roman"/>
          <w:u w:val="single"/>
        </w:rPr>
        <w:t>Germany</w:t>
      </w:r>
    </w:p>
    <w:p w14:paraId="207DE717" w14:textId="77777777" w:rsidR="00413229" w:rsidRPr="00AC1055" w:rsidRDefault="00413229" w:rsidP="00413229">
      <w:pPr>
        <w:spacing w:line="480" w:lineRule="auto"/>
        <w:rPr>
          <w:rFonts w:cs="Times New Roman"/>
        </w:rPr>
      </w:pPr>
      <w:r w:rsidRPr="00AC1055">
        <w:rPr>
          <w:rFonts w:cs="Times New Roman"/>
        </w:rPr>
        <w:t xml:space="preserve"> </w:t>
      </w:r>
      <w:r w:rsidRPr="00AC1055">
        <w:rPr>
          <w:rFonts w:cs="Times New Roman"/>
          <w:noProof/>
          <w:lang w:eastAsia="en-GB"/>
        </w:rPr>
        <w:drawing>
          <wp:inline distT="0" distB="0" distL="0" distR="0" wp14:anchorId="383A8F0B" wp14:editId="398E7A8E">
            <wp:extent cx="5619048" cy="3390476"/>
            <wp:effectExtent l="0" t="0" r="1270"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19048" cy="3390476"/>
                    </a:xfrm>
                    <a:prstGeom prst="rect">
                      <a:avLst/>
                    </a:prstGeom>
                  </pic:spPr>
                </pic:pic>
              </a:graphicData>
            </a:graphic>
          </wp:inline>
        </w:drawing>
      </w:r>
    </w:p>
    <w:p w14:paraId="191723B7" w14:textId="77777777" w:rsidR="00413229" w:rsidRPr="00AC1055" w:rsidRDefault="00413229" w:rsidP="00413229">
      <w:pPr>
        <w:spacing w:line="480" w:lineRule="auto"/>
        <w:rPr>
          <w:rFonts w:cs="Times New Roman"/>
        </w:rPr>
      </w:pPr>
      <w:r w:rsidRPr="00AC1055">
        <w:rPr>
          <w:rFonts w:cs="Times New Roman"/>
        </w:rPr>
        <w:t xml:space="preserve">The probability of a shift change in German corporate governance can be observed in year 4 (probability: 0.88). This corresponds to year 1998, when Germany amended </w:t>
      </w:r>
      <w:r>
        <w:rPr>
          <w:rFonts w:cs="Times New Roman"/>
        </w:rPr>
        <w:t xml:space="preserve">the </w:t>
      </w:r>
      <w:r w:rsidRPr="00AC1055">
        <w:rPr>
          <w:rFonts w:cs="Times New Roman"/>
        </w:rPr>
        <w:t xml:space="preserve">Aktiengesetz (AktG) </w:t>
      </w:r>
      <w:r>
        <w:rPr>
          <w:rFonts w:cs="Times New Roman"/>
        </w:rPr>
        <w:t xml:space="preserve">- the </w:t>
      </w:r>
      <w:r w:rsidRPr="00AC1055">
        <w:rPr>
          <w:rFonts w:cs="Times New Roman"/>
        </w:rPr>
        <w:t xml:space="preserve">German Joint Stock Corporations Act and </w:t>
      </w:r>
      <w:r>
        <w:rPr>
          <w:rFonts w:cs="Times New Roman"/>
        </w:rPr>
        <w:t xml:space="preserve">the </w:t>
      </w:r>
      <w:r w:rsidRPr="00AC1055">
        <w:rPr>
          <w:rFonts w:cs="Times New Roman"/>
        </w:rPr>
        <w:t xml:space="preserve">Handelsgesetzbuch (HGB) </w:t>
      </w:r>
      <w:r>
        <w:rPr>
          <w:rFonts w:cs="Times New Roman"/>
        </w:rPr>
        <w:t xml:space="preserve">– </w:t>
      </w:r>
      <w:r w:rsidRPr="00AC1055">
        <w:rPr>
          <w:rFonts w:cs="Times New Roman"/>
        </w:rPr>
        <w:t>the German Commercial Code, to improve disclosure requirements, abolish golden shares, allow buy</w:t>
      </w:r>
      <w:r>
        <w:rPr>
          <w:rFonts w:cs="Times New Roman"/>
        </w:rPr>
        <w:t>-</w:t>
      </w:r>
      <w:r w:rsidRPr="00AC1055">
        <w:rPr>
          <w:rFonts w:cs="Times New Roman"/>
        </w:rPr>
        <w:t xml:space="preserve">back of shares etc. Germany introduced </w:t>
      </w:r>
      <w:r>
        <w:rPr>
          <w:rFonts w:cs="Times New Roman"/>
        </w:rPr>
        <w:t xml:space="preserve">a </w:t>
      </w:r>
      <w:r w:rsidRPr="00AC1055">
        <w:rPr>
          <w:rFonts w:cs="Times New Roman"/>
        </w:rPr>
        <w:t>formal but non-binding corporate governance code in 2002</w:t>
      </w:r>
      <w:r w:rsidRPr="00AC1055">
        <w:rPr>
          <w:rStyle w:val="FootnoteReference"/>
          <w:rFonts w:cs="Times New Roman"/>
        </w:rPr>
        <w:footnoteReference w:id="306"/>
      </w:r>
      <w:r w:rsidRPr="00AC1055">
        <w:rPr>
          <w:rFonts w:cs="Times New Roman"/>
        </w:rPr>
        <w:t xml:space="preserve"> and has since then continuously updated it.</w:t>
      </w:r>
      <w:r w:rsidRPr="00AC1055">
        <w:rPr>
          <w:rStyle w:val="FootnoteReference"/>
          <w:rFonts w:cs="Times New Roman"/>
        </w:rPr>
        <w:footnoteReference w:id="307"/>
      </w:r>
      <w:r w:rsidRPr="00AC1055">
        <w:rPr>
          <w:rFonts w:cs="Times New Roman"/>
        </w:rPr>
        <w:t xml:space="preserve"> </w:t>
      </w:r>
    </w:p>
    <w:p w14:paraId="27C1EC76" w14:textId="77777777" w:rsidR="00413229" w:rsidRPr="00AC1055" w:rsidRDefault="00413229" w:rsidP="00413229">
      <w:pPr>
        <w:spacing w:line="480" w:lineRule="auto"/>
        <w:rPr>
          <w:rFonts w:cs="Times New Roman"/>
        </w:rPr>
      </w:pPr>
    </w:p>
    <w:p w14:paraId="5599418F"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2A006018" wp14:editId="6B734FA2">
            <wp:extent cx="5619048" cy="3390476"/>
            <wp:effectExtent l="0" t="0" r="1270"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19048" cy="3390476"/>
                    </a:xfrm>
                    <a:prstGeom prst="rect">
                      <a:avLst/>
                    </a:prstGeom>
                  </pic:spPr>
                </pic:pic>
              </a:graphicData>
            </a:graphic>
          </wp:inline>
        </w:drawing>
      </w:r>
    </w:p>
    <w:p w14:paraId="7374EADB" w14:textId="77777777" w:rsidR="00413229" w:rsidRPr="00AC1055" w:rsidRDefault="00413229" w:rsidP="00413229">
      <w:pPr>
        <w:spacing w:line="480" w:lineRule="auto"/>
        <w:rPr>
          <w:rFonts w:cs="Times New Roman"/>
        </w:rPr>
      </w:pPr>
      <w:r w:rsidRPr="00AC1055">
        <w:rPr>
          <w:rFonts w:cs="Times New Roman"/>
        </w:rPr>
        <w:t xml:space="preserve">The financial market of Germany has remained remarkably stable with steady growth and very few substantial change points, the only minor change point that can be determined is in year 4 (probability: 0.41). This corresponds to </w:t>
      </w:r>
      <w:r>
        <w:rPr>
          <w:rFonts w:cs="Times New Roman"/>
        </w:rPr>
        <w:t xml:space="preserve">the </w:t>
      </w:r>
      <w:r w:rsidRPr="00AC1055">
        <w:rPr>
          <w:rFonts w:cs="Times New Roman"/>
        </w:rPr>
        <w:t xml:space="preserve">year 1999, when the dot com bubble was pushing up stock prices especially </w:t>
      </w:r>
      <w:r>
        <w:rPr>
          <w:rFonts w:cs="Times New Roman"/>
        </w:rPr>
        <w:t xml:space="preserve">those </w:t>
      </w:r>
      <w:r w:rsidRPr="00AC1055">
        <w:rPr>
          <w:rFonts w:cs="Times New Roman"/>
        </w:rPr>
        <w:t>of technology stock companies in more developed countries. The subsequent fall in 2000/01 corresponds to the bursting of the dot com bubble.</w:t>
      </w:r>
      <w:r w:rsidRPr="00AC1055">
        <w:rPr>
          <w:rStyle w:val="FootnoteReference"/>
          <w:rFonts w:cs="Times New Roman"/>
        </w:rPr>
        <w:footnoteReference w:id="308"/>
      </w:r>
    </w:p>
    <w:p w14:paraId="6762C094" w14:textId="77777777" w:rsidR="00413229" w:rsidRPr="00AC1055" w:rsidRDefault="00413229" w:rsidP="00413229">
      <w:pPr>
        <w:spacing w:line="480" w:lineRule="auto"/>
        <w:rPr>
          <w:rFonts w:cs="Times New Roman"/>
        </w:rPr>
      </w:pPr>
    </w:p>
    <w:p w14:paraId="5282D2B1" w14:textId="1D17FA1D" w:rsidR="00413229" w:rsidRPr="00AC1055" w:rsidRDefault="00413229" w:rsidP="00413229">
      <w:pPr>
        <w:spacing w:line="480" w:lineRule="auto"/>
        <w:rPr>
          <w:rFonts w:cs="Times New Roman"/>
        </w:rPr>
      </w:pPr>
      <w:r w:rsidRPr="00AC1055">
        <w:rPr>
          <w:rFonts w:cs="Times New Roman"/>
        </w:rPr>
        <w:t xml:space="preserve">When the probabilities of </w:t>
      </w:r>
      <w:r>
        <w:rPr>
          <w:rFonts w:cs="Times New Roman"/>
        </w:rPr>
        <w:t xml:space="preserve">the </w:t>
      </w:r>
      <w:r w:rsidRPr="00AC1055">
        <w:rPr>
          <w:rFonts w:cs="Times New Roman"/>
        </w:rPr>
        <w:t xml:space="preserve">change points of corporate governance development </w:t>
      </w:r>
      <w:r w:rsidR="004E04CD">
        <w:rPr>
          <w:rFonts w:cs="Times New Roman"/>
        </w:rPr>
        <w:t xml:space="preserve">are consolidated </w:t>
      </w:r>
      <w:r w:rsidRPr="00AC1055">
        <w:rPr>
          <w:rFonts w:cs="Times New Roman"/>
        </w:rPr>
        <w:t>in a heatmap time panel</w:t>
      </w:r>
      <w:r w:rsidR="004E04CD">
        <w:rPr>
          <w:rFonts w:cs="Times New Roman"/>
        </w:rPr>
        <w:t>,</w:t>
      </w:r>
      <w:r w:rsidRPr="00AC1055">
        <w:rPr>
          <w:rFonts w:cs="Times New Roman"/>
        </w:rPr>
        <w:t xml:space="preserve"> the following pattern</w:t>
      </w:r>
      <w:r w:rsidR="004E04CD">
        <w:rPr>
          <w:rFonts w:cs="Times New Roman"/>
        </w:rPr>
        <w:t xml:space="preserve"> emerges</w:t>
      </w:r>
      <w:r>
        <w:rPr>
          <w:rFonts w:cs="Times New Roman"/>
        </w:rPr>
        <w:t>. A higher shade of red indicates a higher probability of a breakpoint while a darker shade of blue indicates a lower probability of change</w:t>
      </w:r>
      <w:r w:rsidRPr="00AC1055">
        <w:rPr>
          <w:rFonts w:cs="Times New Roman"/>
        </w:rPr>
        <w:t>:</w:t>
      </w:r>
    </w:p>
    <w:p w14:paraId="7FD9C3D6"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41C2EEAA" wp14:editId="22329086">
            <wp:extent cx="5286375" cy="2109024"/>
            <wp:effectExtent l="0" t="0" r="0" b="571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94361" cy="2112210"/>
                    </a:xfrm>
                    <a:prstGeom prst="rect">
                      <a:avLst/>
                    </a:prstGeom>
                    <a:noFill/>
                    <a:ln>
                      <a:noFill/>
                    </a:ln>
                  </pic:spPr>
                </pic:pic>
              </a:graphicData>
            </a:graphic>
          </wp:inline>
        </w:drawing>
      </w:r>
    </w:p>
    <w:p w14:paraId="603AEC64" w14:textId="77777777" w:rsidR="00413229" w:rsidRPr="00AC1055" w:rsidRDefault="00413229" w:rsidP="00413229">
      <w:pPr>
        <w:spacing w:line="480" w:lineRule="auto"/>
        <w:rPr>
          <w:rFonts w:cs="Times New Roman"/>
        </w:rPr>
      </w:pPr>
      <w:r w:rsidRPr="00AC1055">
        <w:rPr>
          <w:rFonts w:cs="Times New Roman"/>
        </w:rPr>
        <w:t xml:space="preserve">The outcome is in line with </w:t>
      </w:r>
      <w:r>
        <w:rPr>
          <w:rFonts w:cs="Times New Roman"/>
        </w:rPr>
        <w:t>the</w:t>
      </w:r>
      <w:r w:rsidRPr="00AC1055">
        <w:rPr>
          <w:rFonts w:cs="Times New Roman"/>
        </w:rPr>
        <w:t xml:space="preserve"> previous findings on convergence, there is a steady shift in </w:t>
      </w:r>
      <w:r>
        <w:rPr>
          <w:rFonts w:cs="Times New Roman"/>
        </w:rPr>
        <w:t xml:space="preserve">the </w:t>
      </w:r>
      <w:r w:rsidRPr="00AC1055">
        <w:rPr>
          <w:rFonts w:cs="Times New Roman"/>
        </w:rPr>
        <w:t>adoption of pro</w:t>
      </w:r>
      <w:r>
        <w:rPr>
          <w:rFonts w:cs="Times New Roman"/>
        </w:rPr>
        <w:t>-</w:t>
      </w:r>
      <w:r w:rsidRPr="00AC1055">
        <w:rPr>
          <w:rFonts w:cs="Times New Roman"/>
        </w:rPr>
        <w:t xml:space="preserve">shareholder corporate governance policies. This happens in two main waves first between 1999 and 2002 and the second between 2005 and 2008. After that there is a sudden </w:t>
      </w:r>
      <w:r>
        <w:rPr>
          <w:rFonts w:cs="Times New Roman"/>
        </w:rPr>
        <w:t>decline</w:t>
      </w:r>
      <w:r w:rsidRPr="00AC1055">
        <w:rPr>
          <w:rFonts w:cs="Times New Roman"/>
        </w:rPr>
        <w:t xml:space="preserve"> in the </w:t>
      </w:r>
      <w:r>
        <w:rPr>
          <w:rFonts w:cs="Times New Roman"/>
        </w:rPr>
        <w:t>rate of convergence towards a shareholder value model of corporate governance</w:t>
      </w:r>
      <w:r w:rsidRPr="00AC1055">
        <w:rPr>
          <w:rFonts w:cs="Times New Roman"/>
        </w:rPr>
        <w:t>. Similarly</w:t>
      </w:r>
      <w:r>
        <w:rPr>
          <w:rFonts w:cs="Times New Roman"/>
        </w:rPr>
        <w:t>,</w:t>
      </w:r>
      <w:r w:rsidRPr="00AC1055">
        <w:rPr>
          <w:rFonts w:cs="Times New Roman"/>
        </w:rPr>
        <w:t xml:space="preserve"> for financial market development </w:t>
      </w:r>
      <w:r>
        <w:rPr>
          <w:rFonts w:cs="Times New Roman"/>
        </w:rPr>
        <w:t>there is</w:t>
      </w:r>
      <w:r w:rsidRPr="00AC1055">
        <w:rPr>
          <w:rFonts w:cs="Times New Roman"/>
        </w:rPr>
        <w:t xml:space="preserve"> the following change point probability heatmap:</w:t>
      </w:r>
    </w:p>
    <w:p w14:paraId="4F8B97B6" w14:textId="77777777" w:rsidR="00413229" w:rsidRPr="00AC1055" w:rsidRDefault="00413229" w:rsidP="00413229">
      <w:pPr>
        <w:spacing w:line="480" w:lineRule="auto"/>
        <w:rPr>
          <w:rFonts w:cs="Times New Roman"/>
        </w:rPr>
      </w:pPr>
      <w:bookmarkStart w:id="10" w:name="_GoBack"/>
      <w:r>
        <w:rPr>
          <w:rFonts w:cs="Times New Roman"/>
          <w:noProof/>
          <w:lang w:eastAsia="en-GB"/>
        </w:rPr>
        <w:drawing>
          <wp:inline distT="0" distB="0" distL="0" distR="0" wp14:anchorId="472D385B" wp14:editId="3B700093">
            <wp:extent cx="5497197" cy="2533650"/>
            <wp:effectExtent l="0" t="0" r="825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97197" cy="2533650"/>
                    </a:xfrm>
                    <a:prstGeom prst="rect">
                      <a:avLst/>
                    </a:prstGeom>
                    <a:noFill/>
                    <a:ln>
                      <a:noFill/>
                    </a:ln>
                  </pic:spPr>
                </pic:pic>
              </a:graphicData>
            </a:graphic>
          </wp:inline>
        </w:drawing>
      </w:r>
      <w:bookmarkEnd w:id="10"/>
    </w:p>
    <w:p w14:paraId="394803B9" w14:textId="77777777" w:rsidR="00413229" w:rsidRPr="00AC1055" w:rsidRDefault="00413229" w:rsidP="00413229">
      <w:pPr>
        <w:spacing w:line="480" w:lineRule="auto"/>
        <w:rPr>
          <w:rFonts w:cs="Times New Roman"/>
        </w:rPr>
      </w:pPr>
      <w:r w:rsidRPr="00AC1055">
        <w:rPr>
          <w:rFonts w:cs="Times New Roman"/>
        </w:rPr>
        <w:t xml:space="preserve">It shows that major bands of change points for financial market development cluster around the Global Financial Crisis. </w:t>
      </w:r>
    </w:p>
    <w:p w14:paraId="1AC3AB8C" w14:textId="77777777" w:rsidR="00413229" w:rsidRPr="00AC1055" w:rsidRDefault="00413229" w:rsidP="00413229">
      <w:pPr>
        <w:spacing w:line="480" w:lineRule="auto"/>
        <w:rPr>
          <w:rFonts w:cs="Times New Roman"/>
        </w:rPr>
      </w:pPr>
      <w:r w:rsidRPr="00AC1055">
        <w:rPr>
          <w:rFonts w:cs="Times New Roman"/>
        </w:rPr>
        <w:t>Comparing the time gap between regime changes in corporate governance and financial market development, interesting recurring pattern</w:t>
      </w:r>
      <w:r>
        <w:rPr>
          <w:rFonts w:cs="Times New Roman"/>
        </w:rPr>
        <w:t xml:space="preserve"> emerges</w:t>
      </w:r>
      <w:r w:rsidRPr="00AC1055">
        <w:rPr>
          <w:rFonts w:cs="Times New Roman"/>
        </w:rPr>
        <w:t xml:space="preserve">. In ten (Brazil, China, Chile, Colombia, Indonesia, Peru, Poland, Kenya, South Africa and </w:t>
      </w:r>
      <w:r w:rsidRPr="00AC1055">
        <w:rPr>
          <w:rFonts w:cs="Times New Roman"/>
        </w:rPr>
        <w:lastRenderedPageBreak/>
        <w:t xml:space="preserve">Germany) out of twenty one countries studied in this research, the corporate governance change point occurs before the financial market development change point, with an average gap of 3.7 years. For five countries (Russia, Argentina, Iran, Nigeria and Hong Kong) </w:t>
      </w:r>
      <w:r>
        <w:rPr>
          <w:rFonts w:cs="Times New Roman"/>
        </w:rPr>
        <w:t xml:space="preserve">the </w:t>
      </w:r>
      <w:r w:rsidRPr="00AC1055">
        <w:rPr>
          <w:rFonts w:cs="Times New Roman"/>
        </w:rPr>
        <w:t xml:space="preserve">financial market development shift change happened before major shareholder value oriented developments in corporate governance caught up with it, with an average gap of 2 years. The gap is absent, negligible or indistinguishable for six countries (El Salvador, United Kingdom, Philippines, India, Pakistan and Vietnam). </w:t>
      </w:r>
    </w:p>
    <w:p w14:paraId="5F98DD71" w14:textId="77777777" w:rsidR="00413229" w:rsidRPr="00AC1055" w:rsidRDefault="00413229" w:rsidP="00413229">
      <w:pPr>
        <w:spacing w:line="480" w:lineRule="auto"/>
        <w:rPr>
          <w:rFonts w:cs="Times New Roman"/>
        </w:rPr>
      </w:pPr>
      <w:r w:rsidRPr="00AC1055">
        <w:rPr>
          <w:rFonts w:cs="Times New Roman"/>
        </w:rPr>
        <w:t xml:space="preserve">This analysis would suggest that corporate governance might have a role to play in financial market development. However we also have to keep in mind that the seventeen year duration (1996-2012) of financial market development studied in this research contains three major periods of market volatility (clearly visible in the heatmap above) - the Asian Financial Crisis, the dot com bubble and the Global Financial Crisis. Most of the economies studied received a negative shock as part of at least one of these crises. Conversely many of the economies received a powerful boost between 2004-2007 when favourable monetary policies coupled with robust economic growth meant that the stock markets were performing exceedingly well. </w:t>
      </w:r>
    </w:p>
    <w:p w14:paraId="0674321D" w14:textId="77777777" w:rsidR="00413229" w:rsidRPr="00AC1055" w:rsidRDefault="00413229" w:rsidP="00413229">
      <w:pPr>
        <w:spacing w:line="480" w:lineRule="auto"/>
        <w:rPr>
          <w:rFonts w:cs="Times New Roman"/>
        </w:rPr>
      </w:pPr>
      <w:r w:rsidRPr="00AC1055">
        <w:rPr>
          <w:rFonts w:cs="Times New Roman"/>
        </w:rPr>
        <w:t>So these findings based on change point analysis confirm that corporate governance may affect financial market development. However</w:t>
      </w:r>
      <w:r>
        <w:rPr>
          <w:rFonts w:cs="Times New Roman"/>
        </w:rPr>
        <w:t>,</w:t>
      </w:r>
      <w:r w:rsidRPr="00AC1055">
        <w:rPr>
          <w:rFonts w:cs="Times New Roman"/>
        </w:rPr>
        <w:t xml:space="preserve"> to confirm whether this is really the case </w:t>
      </w:r>
      <w:r>
        <w:rPr>
          <w:rFonts w:cs="Times New Roman"/>
        </w:rPr>
        <w:t xml:space="preserve">requires, </w:t>
      </w:r>
      <w:r w:rsidRPr="00AC1055">
        <w:rPr>
          <w:rFonts w:cs="Times New Roman"/>
        </w:rPr>
        <w:t>ideally</w:t>
      </w:r>
      <w:r>
        <w:rPr>
          <w:rFonts w:cs="Times New Roman"/>
        </w:rPr>
        <w:t>,</w:t>
      </w:r>
      <w:r w:rsidRPr="00AC1055">
        <w:rPr>
          <w:rFonts w:cs="Times New Roman"/>
        </w:rPr>
        <w:t xml:space="preserve"> data</w:t>
      </w:r>
      <w:r>
        <w:rPr>
          <w:rFonts w:cs="Times New Roman"/>
        </w:rPr>
        <w:t xml:space="preserve"> for a longer period of time</w:t>
      </w:r>
      <w:r w:rsidRPr="00AC1055">
        <w:rPr>
          <w:rFonts w:cs="Times New Roman"/>
        </w:rPr>
        <w:t>. Unfortunately</w:t>
      </w:r>
      <w:r>
        <w:rPr>
          <w:rFonts w:cs="Times New Roman"/>
        </w:rPr>
        <w:t>,</w:t>
      </w:r>
      <w:r w:rsidRPr="00AC1055">
        <w:rPr>
          <w:rFonts w:cs="Times New Roman"/>
        </w:rPr>
        <w:t xml:space="preserve"> since the drive for shareholder primacy in emerging and developing economies really began in </w:t>
      </w:r>
      <w:r>
        <w:rPr>
          <w:rFonts w:cs="Times New Roman"/>
        </w:rPr>
        <w:t xml:space="preserve">the </w:t>
      </w:r>
      <w:r w:rsidRPr="00AC1055">
        <w:rPr>
          <w:rFonts w:cs="Times New Roman"/>
        </w:rPr>
        <w:t>mid-1990s this is not really possible. However</w:t>
      </w:r>
      <w:r>
        <w:rPr>
          <w:rFonts w:cs="Times New Roman"/>
        </w:rPr>
        <w:t xml:space="preserve">, </w:t>
      </w:r>
      <w:r w:rsidRPr="00AC1055">
        <w:rPr>
          <w:rFonts w:cs="Times New Roman"/>
        </w:rPr>
        <w:t xml:space="preserve">structural models relying on Bayesian techniques </w:t>
      </w:r>
      <w:r>
        <w:rPr>
          <w:rFonts w:cs="Times New Roman"/>
        </w:rPr>
        <w:t xml:space="preserve">can be used </w:t>
      </w:r>
      <w:r w:rsidRPr="00AC1055">
        <w:rPr>
          <w:rFonts w:cs="Times New Roman"/>
        </w:rPr>
        <w:t xml:space="preserve">to isolate </w:t>
      </w:r>
      <w:r>
        <w:rPr>
          <w:rFonts w:cs="Times New Roman"/>
        </w:rPr>
        <w:t xml:space="preserve">the </w:t>
      </w:r>
      <w:r w:rsidRPr="00AC1055">
        <w:rPr>
          <w:rFonts w:cs="Times New Roman"/>
        </w:rPr>
        <w:t>impact of shift</w:t>
      </w:r>
      <w:r>
        <w:rPr>
          <w:rFonts w:cs="Times New Roman"/>
        </w:rPr>
        <w:t>s</w:t>
      </w:r>
      <w:r w:rsidRPr="00AC1055">
        <w:rPr>
          <w:rFonts w:cs="Times New Roman"/>
        </w:rPr>
        <w:t xml:space="preserve"> towards shareholder primacy corporate governance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 xml:space="preserve">financial market. </w:t>
      </w:r>
      <w:r>
        <w:rPr>
          <w:rFonts w:cs="Times New Roman"/>
        </w:rPr>
        <w:t xml:space="preserve">Structural </w:t>
      </w:r>
      <w:r w:rsidRPr="00AC1055">
        <w:rPr>
          <w:rFonts w:cs="Times New Roman"/>
        </w:rPr>
        <w:t xml:space="preserve"> models </w:t>
      </w:r>
      <w:r>
        <w:rPr>
          <w:rFonts w:cs="Times New Roman"/>
        </w:rPr>
        <w:t xml:space="preserve">with now be applied </w:t>
      </w:r>
      <w:r w:rsidRPr="00AC1055">
        <w:rPr>
          <w:rFonts w:cs="Times New Roman"/>
        </w:rPr>
        <w:t xml:space="preserve">to </w:t>
      </w:r>
      <w:r>
        <w:rPr>
          <w:rFonts w:cs="Times New Roman"/>
        </w:rPr>
        <w:t>the</w:t>
      </w:r>
      <w:r w:rsidRPr="00AC1055">
        <w:rPr>
          <w:rFonts w:cs="Times New Roman"/>
        </w:rPr>
        <w:t xml:space="preserve"> datasets.</w:t>
      </w:r>
    </w:p>
    <w:p w14:paraId="1F8DC9E0" w14:textId="77777777" w:rsidR="00413229" w:rsidRPr="00E23224" w:rsidRDefault="00413229" w:rsidP="00413229">
      <w:pPr>
        <w:spacing w:line="480" w:lineRule="auto"/>
        <w:rPr>
          <w:rFonts w:cs="Times New Roman"/>
          <w:b/>
          <w:sz w:val="26"/>
          <w:u w:val="single"/>
        </w:rPr>
      </w:pPr>
      <w:r>
        <w:rPr>
          <w:rFonts w:cs="Times New Roman"/>
          <w:b/>
          <w:sz w:val="26"/>
          <w:u w:val="single"/>
        </w:rPr>
        <w:lastRenderedPageBreak/>
        <w:t xml:space="preserve">4.3 </w:t>
      </w:r>
      <w:r w:rsidRPr="00E23224">
        <w:rPr>
          <w:rFonts w:cs="Times New Roman"/>
          <w:b/>
          <w:sz w:val="26"/>
          <w:u w:val="single"/>
        </w:rPr>
        <w:t>Structural models</w:t>
      </w:r>
    </w:p>
    <w:p w14:paraId="1D866C3F" w14:textId="77777777" w:rsidR="00413229" w:rsidRPr="00AC1055" w:rsidRDefault="00413229" w:rsidP="00413229">
      <w:pPr>
        <w:spacing w:line="480" w:lineRule="auto"/>
        <w:rPr>
          <w:rFonts w:cs="Times New Roman"/>
        </w:rPr>
      </w:pPr>
      <w:r w:rsidRPr="00AC1055">
        <w:rPr>
          <w:rFonts w:cs="Times New Roman"/>
        </w:rPr>
        <w:t xml:space="preserve">As the previous subchapter posits, corporate governance step change developments generally occur prior to shifts in financial market developments. </w:t>
      </w:r>
      <w:r>
        <w:rPr>
          <w:rFonts w:cs="Times New Roman"/>
        </w:rPr>
        <w:t>As such,</w:t>
      </w:r>
      <w:r w:rsidRPr="00AC1055">
        <w:rPr>
          <w:rFonts w:cs="Times New Roman"/>
        </w:rPr>
        <w:t xml:space="preserve"> there might be some impact of changing corporate governance on financial market development. So</w:t>
      </w:r>
      <w:r>
        <w:rPr>
          <w:rFonts w:cs="Times New Roman"/>
        </w:rPr>
        <w:t>,</w:t>
      </w:r>
      <w:r w:rsidRPr="00AC1055">
        <w:rPr>
          <w:rFonts w:cs="Times New Roman"/>
        </w:rPr>
        <w:t xml:space="preserve"> in this subchapter structural models </w:t>
      </w:r>
      <w:r>
        <w:rPr>
          <w:rFonts w:cs="Times New Roman"/>
        </w:rPr>
        <w:t xml:space="preserve">are used </w:t>
      </w:r>
      <w:r w:rsidRPr="00AC1055">
        <w:rPr>
          <w:rFonts w:cs="Times New Roman"/>
        </w:rPr>
        <w:t xml:space="preserve">to explore the extent to which corporate governance change impacts on financial market development. </w:t>
      </w:r>
    </w:p>
    <w:p w14:paraId="48F36682" w14:textId="3EA9217F" w:rsidR="00413229" w:rsidRDefault="00413229" w:rsidP="00413229">
      <w:pPr>
        <w:spacing w:line="480" w:lineRule="auto"/>
        <w:rPr>
          <w:rFonts w:cs="Times New Roman"/>
        </w:rPr>
      </w:pPr>
      <w:r w:rsidRPr="00AC1055">
        <w:rPr>
          <w:rFonts w:cs="Times New Roman"/>
        </w:rPr>
        <w:t xml:space="preserve">As has already been explained in the methodology chapter a Bayesian panel data multilevel regression model </w:t>
      </w:r>
      <w:r>
        <w:rPr>
          <w:rFonts w:cs="Times New Roman"/>
        </w:rPr>
        <w:t xml:space="preserve">will be run </w:t>
      </w:r>
      <w:r w:rsidRPr="00AC1055">
        <w:rPr>
          <w:rFonts w:cs="Times New Roman"/>
        </w:rPr>
        <w:t xml:space="preserve">with the following variables. The dependent variable is a Bayesian factor analysis of five individual variables - Foreign Direct Investment (FDI), market capitalisation of listed companies, number of listed domestic companies, S&amp;P global equity index and volume of stocks traded, which produces a financial market development index. The independent or the explanatory variable is a corporate governance index which is calculated utilising fifty two polynomial variables using a dynamic graded response model. </w:t>
      </w:r>
      <w:r>
        <w:rPr>
          <w:rFonts w:cs="Times New Roman"/>
        </w:rPr>
        <w:t>There are</w:t>
      </w:r>
      <w:r w:rsidRPr="00AC1055">
        <w:rPr>
          <w:rFonts w:cs="Times New Roman"/>
        </w:rPr>
        <w:t xml:space="preserve"> three control indices – the first is a financial control index which is a Bayesian factor analysis of five variables: GDP, </w:t>
      </w:r>
      <w:r w:rsidR="006E2191">
        <w:rPr>
          <w:rFonts w:cs="Times New Roman"/>
        </w:rPr>
        <w:t xml:space="preserve">PPP, </w:t>
      </w:r>
      <w:r w:rsidRPr="00AC1055">
        <w:rPr>
          <w:rFonts w:cs="Times New Roman"/>
        </w:rPr>
        <w:t xml:space="preserve">balance of payment, interest rates and external debt; the second control is a technological and financial inclusion index which is a Bayesian factor analysis of three variables: banks per capita, access to cellphones and access to internet; the third control is on industrial value addition through R&amp;D which is calculated as a Bayesian factor analysis of two variables: annual value of high technology exports and the number of patent and trademark applications at USPTO. </w:t>
      </w:r>
      <w:r>
        <w:rPr>
          <w:rFonts w:cs="Times New Roman"/>
        </w:rPr>
        <w:t xml:space="preserve">The </w:t>
      </w:r>
      <w:r w:rsidRPr="00AC1055">
        <w:rPr>
          <w:rFonts w:cs="Times New Roman"/>
        </w:rPr>
        <w:t>country level controls are Human Development Index, GINI coefficient, peace index and rule of law index.</w:t>
      </w:r>
    </w:p>
    <w:p w14:paraId="530F3EB7" w14:textId="77777777" w:rsidR="00C67920" w:rsidRPr="00AC1055" w:rsidRDefault="00C67920" w:rsidP="00413229">
      <w:pPr>
        <w:spacing w:line="480" w:lineRule="auto"/>
        <w:rPr>
          <w:rFonts w:cs="Times New Roman"/>
        </w:rPr>
      </w:pPr>
    </w:p>
    <w:p w14:paraId="5400C9ED" w14:textId="2309D4BC" w:rsidR="00413229" w:rsidRPr="00AC1055" w:rsidRDefault="00413229" w:rsidP="00413229">
      <w:pPr>
        <w:spacing w:line="480" w:lineRule="auto"/>
        <w:rPr>
          <w:rFonts w:cs="Times New Roman"/>
        </w:rPr>
      </w:pPr>
      <w:r w:rsidRPr="00AC1055">
        <w:rPr>
          <w:rFonts w:cs="Times New Roman"/>
        </w:rPr>
        <w:lastRenderedPageBreak/>
        <w:t>All the variables have been scaled during analysis, this has been done so that data across different scales can be brought to equal footing and be comparable. Standardised scores retain the order of values and do not alter the spread of the distribution. In order to interpret the regression coefficients adequately, it is important to get reacquainted with the dimensions of the variables being studied. The outcome variable (financial market growth) mean varies between -0.484442342 to 5.590986766; corporate governance mean ranges from -3.534233674 to 2.379850602; control 1 mean varies from -0.812063767 to 6.603306772; control 2 mean varies from -0.963732058 to 2.522277709; control 3 mean varies from -0.544303762 to 7.081288848; HDI ranged between 1.708205376 to 1.658184144; GINI values ranged between -1.93865098 and 1.38711035; peace index ranged between -1.86111526 and 1.52476794; rule of law range</w:t>
      </w:r>
      <w:r w:rsidR="00442FF0">
        <w:rPr>
          <w:rFonts w:cs="Times New Roman"/>
        </w:rPr>
        <w:t>s from -1.6202276 to 1.9709245.</w:t>
      </w:r>
    </w:p>
    <w:p w14:paraId="3D4F760B" w14:textId="77777777" w:rsidR="00413229" w:rsidRPr="00AC1055" w:rsidRDefault="00413229" w:rsidP="00413229">
      <w:pPr>
        <w:spacing w:line="480" w:lineRule="auto"/>
        <w:rPr>
          <w:rFonts w:cs="Times New Roman"/>
        </w:rPr>
      </w:pPr>
    </w:p>
    <w:p w14:paraId="2C7061E2" w14:textId="77777777" w:rsidR="00413229" w:rsidRPr="00AC1055" w:rsidRDefault="00413229" w:rsidP="00413229">
      <w:pPr>
        <w:spacing w:line="480" w:lineRule="auto"/>
        <w:rPr>
          <w:rFonts w:cs="Times New Roman"/>
        </w:rPr>
      </w:pPr>
      <w:r w:rsidRPr="00AC1055">
        <w:rPr>
          <w:rFonts w:cs="Times New Roman"/>
        </w:rPr>
        <w:t>The results of the regression analysis with the mean estimate and 95% credible interval are summarised below:</w:t>
      </w:r>
    </w:p>
    <w:tbl>
      <w:tblPr>
        <w:tblStyle w:val="TableGrid"/>
        <w:tblW w:w="9383" w:type="dxa"/>
        <w:jc w:val="center"/>
        <w:tblLook w:val="04A0" w:firstRow="1" w:lastRow="0" w:firstColumn="1" w:lastColumn="0" w:noHBand="0" w:noVBand="1"/>
      </w:tblPr>
      <w:tblGrid>
        <w:gridCol w:w="4362"/>
        <w:gridCol w:w="1701"/>
        <w:gridCol w:w="1559"/>
        <w:gridCol w:w="1761"/>
      </w:tblGrid>
      <w:tr w:rsidR="00413229" w:rsidRPr="00AC1055" w14:paraId="579882F6" w14:textId="77777777" w:rsidTr="00413229">
        <w:trPr>
          <w:jc w:val="center"/>
        </w:trPr>
        <w:tc>
          <w:tcPr>
            <w:tcW w:w="4362" w:type="dxa"/>
          </w:tcPr>
          <w:p w14:paraId="6E67E56E" w14:textId="77777777" w:rsidR="00413229" w:rsidRPr="00AC1055" w:rsidRDefault="00413229" w:rsidP="00413229">
            <w:pPr>
              <w:jc w:val="center"/>
              <w:rPr>
                <w:rFonts w:cs="Times New Roman"/>
              </w:rPr>
            </w:pPr>
            <w:r w:rsidRPr="00AC1055">
              <w:rPr>
                <w:rFonts w:cs="Times New Roman"/>
              </w:rPr>
              <w:t>Coefficients</w:t>
            </w:r>
          </w:p>
        </w:tc>
        <w:tc>
          <w:tcPr>
            <w:tcW w:w="1701" w:type="dxa"/>
          </w:tcPr>
          <w:p w14:paraId="22D98DFF" w14:textId="77777777" w:rsidR="00413229" w:rsidRPr="00AC1055" w:rsidRDefault="00413229" w:rsidP="00413229">
            <w:pPr>
              <w:jc w:val="center"/>
              <w:rPr>
                <w:rFonts w:cs="Times New Roman"/>
              </w:rPr>
            </w:pPr>
            <w:r w:rsidRPr="00AC1055">
              <w:rPr>
                <w:rFonts w:cs="Times New Roman"/>
              </w:rPr>
              <w:t>Mean estimate</w:t>
            </w:r>
          </w:p>
        </w:tc>
        <w:tc>
          <w:tcPr>
            <w:tcW w:w="1559" w:type="dxa"/>
          </w:tcPr>
          <w:p w14:paraId="0F292BCF" w14:textId="77777777" w:rsidR="00413229" w:rsidRPr="00AC1055" w:rsidRDefault="00413229" w:rsidP="00413229">
            <w:pPr>
              <w:jc w:val="center"/>
              <w:rPr>
                <w:rFonts w:cs="Times New Roman"/>
              </w:rPr>
            </w:pPr>
            <w:r w:rsidRPr="00AC1055">
              <w:rPr>
                <w:rFonts w:cs="Times New Roman"/>
              </w:rPr>
              <w:t>2.5% quantile</w:t>
            </w:r>
          </w:p>
        </w:tc>
        <w:tc>
          <w:tcPr>
            <w:tcW w:w="1761" w:type="dxa"/>
          </w:tcPr>
          <w:p w14:paraId="39825235" w14:textId="77777777" w:rsidR="00413229" w:rsidRPr="00AC1055" w:rsidRDefault="00413229" w:rsidP="00413229">
            <w:pPr>
              <w:jc w:val="center"/>
              <w:rPr>
                <w:rFonts w:cs="Times New Roman"/>
              </w:rPr>
            </w:pPr>
            <w:r w:rsidRPr="00AC1055">
              <w:rPr>
                <w:rFonts w:cs="Times New Roman"/>
              </w:rPr>
              <w:t>97.5% quantile</w:t>
            </w:r>
          </w:p>
        </w:tc>
      </w:tr>
      <w:tr w:rsidR="00413229" w:rsidRPr="00AC1055" w14:paraId="00C05CDE" w14:textId="77777777" w:rsidTr="00413229">
        <w:trPr>
          <w:jc w:val="center"/>
        </w:trPr>
        <w:tc>
          <w:tcPr>
            <w:tcW w:w="4362" w:type="dxa"/>
          </w:tcPr>
          <w:p w14:paraId="10E4EAB1" w14:textId="77777777" w:rsidR="00413229" w:rsidRPr="00AC1055" w:rsidRDefault="00413229" w:rsidP="00413229">
            <w:pPr>
              <w:jc w:val="center"/>
              <w:rPr>
                <w:rFonts w:cs="Times New Roman"/>
              </w:rPr>
            </w:pPr>
            <w:r w:rsidRPr="00AC1055">
              <w:rPr>
                <w:rFonts w:cs="Times New Roman"/>
              </w:rPr>
              <w:t>Corporate governance (b1)</w:t>
            </w:r>
          </w:p>
        </w:tc>
        <w:tc>
          <w:tcPr>
            <w:tcW w:w="1701" w:type="dxa"/>
          </w:tcPr>
          <w:p w14:paraId="390C3B2E" w14:textId="77777777" w:rsidR="00413229" w:rsidRPr="00AC1055" w:rsidRDefault="00413229" w:rsidP="00413229">
            <w:pPr>
              <w:jc w:val="center"/>
              <w:rPr>
                <w:rFonts w:cs="Times New Roman"/>
              </w:rPr>
            </w:pPr>
            <w:r w:rsidRPr="00AC1055">
              <w:rPr>
                <w:rFonts w:cs="Times New Roman"/>
              </w:rPr>
              <w:t>0.065933098</w:t>
            </w:r>
          </w:p>
        </w:tc>
        <w:tc>
          <w:tcPr>
            <w:tcW w:w="1559" w:type="dxa"/>
          </w:tcPr>
          <w:p w14:paraId="25471400" w14:textId="77777777" w:rsidR="00413229" w:rsidRPr="00AC1055" w:rsidRDefault="00413229" w:rsidP="00413229">
            <w:pPr>
              <w:jc w:val="center"/>
              <w:rPr>
                <w:rFonts w:cs="Times New Roman"/>
              </w:rPr>
            </w:pPr>
            <w:r w:rsidRPr="00AC1055">
              <w:rPr>
                <w:rFonts w:cs="Times New Roman"/>
              </w:rPr>
              <w:t>0.003271972</w:t>
            </w:r>
          </w:p>
        </w:tc>
        <w:tc>
          <w:tcPr>
            <w:tcW w:w="1761" w:type="dxa"/>
          </w:tcPr>
          <w:p w14:paraId="32D717FF" w14:textId="77777777" w:rsidR="00413229" w:rsidRPr="00AC1055" w:rsidRDefault="00413229" w:rsidP="00413229">
            <w:pPr>
              <w:jc w:val="center"/>
              <w:rPr>
                <w:rFonts w:cs="Times New Roman"/>
              </w:rPr>
            </w:pPr>
            <w:r w:rsidRPr="00AC1055">
              <w:rPr>
                <w:rFonts w:cs="Times New Roman"/>
              </w:rPr>
              <w:t>0.128982723</w:t>
            </w:r>
          </w:p>
        </w:tc>
      </w:tr>
      <w:tr w:rsidR="00413229" w:rsidRPr="00AC1055" w14:paraId="15CFC95C" w14:textId="77777777" w:rsidTr="00413229">
        <w:trPr>
          <w:jc w:val="center"/>
        </w:trPr>
        <w:tc>
          <w:tcPr>
            <w:tcW w:w="4362" w:type="dxa"/>
          </w:tcPr>
          <w:p w14:paraId="6EB77235" w14:textId="77777777" w:rsidR="00413229" w:rsidRPr="00AC1055" w:rsidRDefault="00413229" w:rsidP="00413229">
            <w:pPr>
              <w:jc w:val="center"/>
              <w:rPr>
                <w:rFonts w:cs="Times New Roman"/>
              </w:rPr>
            </w:pPr>
            <w:r w:rsidRPr="00AC1055">
              <w:rPr>
                <w:rFonts w:cs="Times New Roman"/>
              </w:rPr>
              <w:t>Control 1 (economic) (b2)</w:t>
            </w:r>
          </w:p>
        </w:tc>
        <w:tc>
          <w:tcPr>
            <w:tcW w:w="1701" w:type="dxa"/>
          </w:tcPr>
          <w:p w14:paraId="0EA558FD" w14:textId="77777777" w:rsidR="00413229" w:rsidRPr="00AC1055" w:rsidRDefault="00413229" w:rsidP="00413229">
            <w:pPr>
              <w:jc w:val="center"/>
              <w:rPr>
                <w:rFonts w:cs="Times New Roman"/>
              </w:rPr>
            </w:pPr>
            <w:r w:rsidRPr="00AC1055">
              <w:rPr>
                <w:rFonts w:cs="Times New Roman"/>
              </w:rPr>
              <w:t>0.416891465</w:t>
            </w:r>
          </w:p>
        </w:tc>
        <w:tc>
          <w:tcPr>
            <w:tcW w:w="1559" w:type="dxa"/>
          </w:tcPr>
          <w:p w14:paraId="785398FB" w14:textId="77777777" w:rsidR="00413229" w:rsidRPr="00AC1055" w:rsidRDefault="00413229" w:rsidP="00413229">
            <w:pPr>
              <w:jc w:val="center"/>
              <w:rPr>
                <w:rFonts w:cs="Times New Roman"/>
              </w:rPr>
            </w:pPr>
            <w:r w:rsidRPr="00AC1055">
              <w:rPr>
                <w:rFonts w:cs="Times New Roman"/>
              </w:rPr>
              <w:t>0.330837219</w:t>
            </w:r>
          </w:p>
        </w:tc>
        <w:tc>
          <w:tcPr>
            <w:tcW w:w="1761" w:type="dxa"/>
          </w:tcPr>
          <w:p w14:paraId="3A20C26E" w14:textId="77777777" w:rsidR="00413229" w:rsidRPr="00AC1055" w:rsidRDefault="00413229" w:rsidP="00413229">
            <w:pPr>
              <w:jc w:val="center"/>
              <w:rPr>
                <w:rFonts w:cs="Times New Roman"/>
              </w:rPr>
            </w:pPr>
            <w:r w:rsidRPr="00AC1055">
              <w:rPr>
                <w:rFonts w:cs="Times New Roman"/>
              </w:rPr>
              <w:t>0.496054383</w:t>
            </w:r>
          </w:p>
        </w:tc>
      </w:tr>
      <w:tr w:rsidR="00413229" w:rsidRPr="00AC1055" w14:paraId="235567D7" w14:textId="77777777" w:rsidTr="00413229">
        <w:trPr>
          <w:jc w:val="center"/>
        </w:trPr>
        <w:tc>
          <w:tcPr>
            <w:tcW w:w="4362" w:type="dxa"/>
          </w:tcPr>
          <w:p w14:paraId="5F6C8844" w14:textId="77777777" w:rsidR="00413229" w:rsidRPr="00AC1055" w:rsidRDefault="00413229" w:rsidP="00413229">
            <w:pPr>
              <w:jc w:val="center"/>
              <w:rPr>
                <w:rFonts w:cs="Times New Roman"/>
              </w:rPr>
            </w:pPr>
            <w:r w:rsidRPr="00AC1055">
              <w:rPr>
                <w:rFonts w:cs="Times New Roman"/>
              </w:rPr>
              <w:t>Control 2 (technological inclusion) (b3)</w:t>
            </w:r>
          </w:p>
        </w:tc>
        <w:tc>
          <w:tcPr>
            <w:tcW w:w="1701" w:type="dxa"/>
          </w:tcPr>
          <w:p w14:paraId="61B47B3B" w14:textId="77777777" w:rsidR="00413229" w:rsidRPr="00AC1055" w:rsidRDefault="00413229" w:rsidP="00413229">
            <w:pPr>
              <w:jc w:val="center"/>
              <w:rPr>
                <w:rFonts w:cs="Times New Roman"/>
              </w:rPr>
            </w:pPr>
            <w:r w:rsidRPr="00AC1055">
              <w:rPr>
                <w:rFonts w:cs="Times New Roman"/>
              </w:rPr>
              <w:t>0.084809059</w:t>
            </w:r>
          </w:p>
        </w:tc>
        <w:tc>
          <w:tcPr>
            <w:tcW w:w="1559" w:type="dxa"/>
          </w:tcPr>
          <w:p w14:paraId="63E8812A" w14:textId="77777777" w:rsidR="00413229" w:rsidRPr="00AC1055" w:rsidRDefault="00413229" w:rsidP="00413229">
            <w:pPr>
              <w:jc w:val="center"/>
              <w:rPr>
                <w:rFonts w:cs="Times New Roman"/>
              </w:rPr>
            </w:pPr>
            <w:r w:rsidRPr="00AC1055">
              <w:rPr>
                <w:rFonts w:cs="Times New Roman"/>
              </w:rPr>
              <w:t>0.013562828</w:t>
            </w:r>
          </w:p>
        </w:tc>
        <w:tc>
          <w:tcPr>
            <w:tcW w:w="1761" w:type="dxa"/>
          </w:tcPr>
          <w:p w14:paraId="69B01653" w14:textId="77777777" w:rsidR="00413229" w:rsidRPr="00AC1055" w:rsidRDefault="00413229" w:rsidP="00413229">
            <w:pPr>
              <w:jc w:val="center"/>
              <w:rPr>
                <w:rFonts w:cs="Times New Roman"/>
              </w:rPr>
            </w:pPr>
            <w:r w:rsidRPr="00AC1055">
              <w:rPr>
                <w:rFonts w:cs="Times New Roman"/>
              </w:rPr>
              <w:t>0.15347945</w:t>
            </w:r>
          </w:p>
        </w:tc>
      </w:tr>
      <w:tr w:rsidR="00413229" w:rsidRPr="00AC1055" w14:paraId="52973664" w14:textId="77777777" w:rsidTr="00413229">
        <w:trPr>
          <w:jc w:val="center"/>
        </w:trPr>
        <w:tc>
          <w:tcPr>
            <w:tcW w:w="4362" w:type="dxa"/>
          </w:tcPr>
          <w:p w14:paraId="1E7D55FC" w14:textId="77777777" w:rsidR="00413229" w:rsidRPr="00AC1055" w:rsidRDefault="00413229" w:rsidP="00413229">
            <w:pPr>
              <w:jc w:val="center"/>
              <w:rPr>
                <w:rFonts w:cs="Times New Roman"/>
              </w:rPr>
            </w:pPr>
            <w:r>
              <w:rPr>
                <w:rFonts w:cs="Times New Roman"/>
              </w:rPr>
              <w:t>Control 3</w:t>
            </w:r>
            <w:r w:rsidRPr="00AC1055">
              <w:rPr>
                <w:rFonts w:cs="Times New Roman"/>
              </w:rPr>
              <w:t xml:space="preserve"> (industrial value addition) (b4)</w:t>
            </w:r>
          </w:p>
        </w:tc>
        <w:tc>
          <w:tcPr>
            <w:tcW w:w="1701" w:type="dxa"/>
          </w:tcPr>
          <w:p w14:paraId="495864D6" w14:textId="77777777" w:rsidR="00413229" w:rsidRPr="00AC1055" w:rsidRDefault="00413229" w:rsidP="00413229">
            <w:pPr>
              <w:jc w:val="center"/>
              <w:rPr>
                <w:rFonts w:cs="Times New Roman"/>
              </w:rPr>
            </w:pPr>
            <w:r w:rsidRPr="00AC1055">
              <w:rPr>
                <w:rFonts w:cs="Times New Roman"/>
              </w:rPr>
              <w:t>0.370575484</w:t>
            </w:r>
          </w:p>
        </w:tc>
        <w:tc>
          <w:tcPr>
            <w:tcW w:w="1559" w:type="dxa"/>
          </w:tcPr>
          <w:p w14:paraId="5F2139BC" w14:textId="77777777" w:rsidR="00413229" w:rsidRPr="00AC1055" w:rsidRDefault="00413229" w:rsidP="00413229">
            <w:pPr>
              <w:jc w:val="center"/>
              <w:rPr>
                <w:rFonts w:cs="Times New Roman"/>
              </w:rPr>
            </w:pPr>
            <w:r w:rsidRPr="00AC1055">
              <w:rPr>
                <w:rFonts w:cs="Times New Roman"/>
              </w:rPr>
              <w:t>0.28245685</w:t>
            </w:r>
          </w:p>
        </w:tc>
        <w:tc>
          <w:tcPr>
            <w:tcW w:w="1761" w:type="dxa"/>
          </w:tcPr>
          <w:p w14:paraId="18B0D2E4" w14:textId="77777777" w:rsidR="00413229" w:rsidRPr="00AC1055" w:rsidRDefault="00413229" w:rsidP="00413229">
            <w:pPr>
              <w:jc w:val="center"/>
              <w:rPr>
                <w:rFonts w:cs="Times New Roman"/>
              </w:rPr>
            </w:pPr>
            <w:r w:rsidRPr="00AC1055">
              <w:rPr>
                <w:rFonts w:cs="Times New Roman"/>
              </w:rPr>
              <w:t>0.451040566</w:t>
            </w:r>
          </w:p>
        </w:tc>
      </w:tr>
      <w:tr w:rsidR="00413229" w:rsidRPr="00AC1055" w14:paraId="3302AFA1" w14:textId="77777777" w:rsidTr="00413229">
        <w:trPr>
          <w:jc w:val="center"/>
        </w:trPr>
        <w:tc>
          <w:tcPr>
            <w:tcW w:w="4362" w:type="dxa"/>
          </w:tcPr>
          <w:p w14:paraId="0E0E71B3" w14:textId="77777777" w:rsidR="00413229" w:rsidRPr="00AC1055" w:rsidRDefault="00413229" w:rsidP="00413229">
            <w:pPr>
              <w:jc w:val="center"/>
              <w:rPr>
                <w:rFonts w:cs="Times New Roman"/>
              </w:rPr>
            </w:pPr>
            <w:r w:rsidRPr="00AC1055">
              <w:rPr>
                <w:rFonts w:cs="Times New Roman"/>
              </w:rPr>
              <w:t>Country level common intercept (R0)</w:t>
            </w:r>
          </w:p>
        </w:tc>
        <w:tc>
          <w:tcPr>
            <w:tcW w:w="1701" w:type="dxa"/>
          </w:tcPr>
          <w:p w14:paraId="5B2C8B8F" w14:textId="77777777" w:rsidR="00413229" w:rsidRPr="00AC1055" w:rsidRDefault="00413229" w:rsidP="00413229">
            <w:pPr>
              <w:jc w:val="center"/>
              <w:rPr>
                <w:rFonts w:cs="Times New Roman"/>
              </w:rPr>
            </w:pPr>
            <w:r w:rsidRPr="00AC1055">
              <w:rPr>
                <w:rFonts w:cs="Times New Roman"/>
              </w:rPr>
              <w:t>-0.139287</w:t>
            </w:r>
          </w:p>
        </w:tc>
        <w:tc>
          <w:tcPr>
            <w:tcW w:w="1559" w:type="dxa"/>
          </w:tcPr>
          <w:p w14:paraId="56F2DB3E" w14:textId="77777777" w:rsidR="00413229" w:rsidRPr="00AC1055" w:rsidRDefault="00413229" w:rsidP="00413229">
            <w:pPr>
              <w:jc w:val="center"/>
              <w:rPr>
                <w:rFonts w:cs="Times New Roman"/>
              </w:rPr>
            </w:pPr>
            <w:r w:rsidRPr="00AC1055">
              <w:rPr>
                <w:rFonts w:cs="Times New Roman"/>
              </w:rPr>
              <w:t>-0.2875252</w:t>
            </w:r>
          </w:p>
        </w:tc>
        <w:tc>
          <w:tcPr>
            <w:tcW w:w="1761" w:type="dxa"/>
          </w:tcPr>
          <w:p w14:paraId="3DD1C1C0" w14:textId="77777777" w:rsidR="00413229" w:rsidRPr="00AC1055" w:rsidRDefault="00413229" w:rsidP="00413229">
            <w:pPr>
              <w:jc w:val="center"/>
              <w:rPr>
                <w:rFonts w:cs="Times New Roman"/>
              </w:rPr>
            </w:pPr>
            <w:r w:rsidRPr="00AC1055">
              <w:rPr>
                <w:rFonts w:cs="Times New Roman"/>
              </w:rPr>
              <w:t>0.01033384</w:t>
            </w:r>
          </w:p>
        </w:tc>
      </w:tr>
      <w:tr w:rsidR="00413229" w:rsidRPr="00AC1055" w14:paraId="31EA39FC" w14:textId="77777777" w:rsidTr="00413229">
        <w:trPr>
          <w:jc w:val="center"/>
        </w:trPr>
        <w:tc>
          <w:tcPr>
            <w:tcW w:w="4362" w:type="dxa"/>
          </w:tcPr>
          <w:p w14:paraId="091874E8" w14:textId="77777777" w:rsidR="00413229" w:rsidRPr="00AC1055" w:rsidRDefault="00413229" w:rsidP="00413229">
            <w:pPr>
              <w:jc w:val="center"/>
              <w:rPr>
                <w:rFonts w:cs="Times New Roman"/>
              </w:rPr>
            </w:pPr>
            <w:r w:rsidRPr="00AC1055">
              <w:rPr>
                <w:rFonts w:cs="Times New Roman"/>
              </w:rPr>
              <w:t>HDI (R1)</w:t>
            </w:r>
          </w:p>
        </w:tc>
        <w:tc>
          <w:tcPr>
            <w:tcW w:w="1701" w:type="dxa"/>
          </w:tcPr>
          <w:p w14:paraId="0A498B5A" w14:textId="77777777" w:rsidR="00413229" w:rsidRPr="00AC1055" w:rsidRDefault="00413229" w:rsidP="00413229">
            <w:pPr>
              <w:jc w:val="center"/>
              <w:rPr>
                <w:rFonts w:cs="Times New Roman"/>
              </w:rPr>
            </w:pPr>
            <w:r w:rsidRPr="00AC1055">
              <w:rPr>
                <w:rFonts w:cs="Times New Roman"/>
              </w:rPr>
              <w:t>-0.07932591</w:t>
            </w:r>
          </w:p>
        </w:tc>
        <w:tc>
          <w:tcPr>
            <w:tcW w:w="1559" w:type="dxa"/>
          </w:tcPr>
          <w:p w14:paraId="4273AF79" w14:textId="77777777" w:rsidR="00413229" w:rsidRPr="00AC1055" w:rsidRDefault="00413229" w:rsidP="00413229">
            <w:pPr>
              <w:jc w:val="center"/>
              <w:rPr>
                <w:rFonts w:cs="Times New Roman"/>
              </w:rPr>
            </w:pPr>
            <w:r w:rsidRPr="00AC1055">
              <w:rPr>
                <w:rFonts w:cs="Times New Roman"/>
              </w:rPr>
              <w:t>-0.3499764</w:t>
            </w:r>
          </w:p>
        </w:tc>
        <w:tc>
          <w:tcPr>
            <w:tcW w:w="1761" w:type="dxa"/>
          </w:tcPr>
          <w:p w14:paraId="6B1F7C23" w14:textId="77777777" w:rsidR="00413229" w:rsidRPr="00AC1055" w:rsidRDefault="00413229" w:rsidP="00413229">
            <w:pPr>
              <w:jc w:val="center"/>
              <w:rPr>
                <w:rFonts w:cs="Times New Roman"/>
              </w:rPr>
            </w:pPr>
            <w:r w:rsidRPr="00AC1055">
              <w:rPr>
                <w:rFonts w:cs="Times New Roman"/>
              </w:rPr>
              <w:t>0.1961929</w:t>
            </w:r>
          </w:p>
        </w:tc>
      </w:tr>
      <w:tr w:rsidR="00413229" w:rsidRPr="00AC1055" w14:paraId="58CE235F" w14:textId="77777777" w:rsidTr="00413229">
        <w:trPr>
          <w:jc w:val="center"/>
        </w:trPr>
        <w:tc>
          <w:tcPr>
            <w:tcW w:w="4362" w:type="dxa"/>
          </w:tcPr>
          <w:p w14:paraId="01BF485A" w14:textId="77777777" w:rsidR="00413229" w:rsidRPr="00AC1055" w:rsidRDefault="00413229" w:rsidP="00413229">
            <w:pPr>
              <w:jc w:val="center"/>
              <w:rPr>
                <w:rFonts w:cs="Times New Roman"/>
              </w:rPr>
            </w:pPr>
            <w:r w:rsidRPr="00AC1055">
              <w:rPr>
                <w:rFonts w:cs="Times New Roman"/>
              </w:rPr>
              <w:t>GINI (R2)</w:t>
            </w:r>
          </w:p>
        </w:tc>
        <w:tc>
          <w:tcPr>
            <w:tcW w:w="1701" w:type="dxa"/>
          </w:tcPr>
          <w:p w14:paraId="224742F8" w14:textId="77777777" w:rsidR="00413229" w:rsidRPr="00AC1055" w:rsidRDefault="00413229" w:rsidP="00413229">
            <w:pPr>
              <w:jc w:val="center"/>
              <w:rPr>
                <w:rFonts w:cs="Times New Roman"/>
              </w:rPr>
            </w:pPr>
            <w:r w:rsidRPr="00AC1055">
              <w:rPr>
                <w:rFonts w:cs="Times New Roman"/>
              </w:rPr>
              <w:t>-0.008270965</w:t>
            </w:r>
          </w:p>
        </w:tc>
        <w:tc>
          <w:tcPr>
            <w:tcW w:w="1559" w:type="dxa"/>
          </w:tcPr>
          <w:p w14:paraId="22E0E643" w14:textId="77777777" w:rsidR="00413229" w:rsidRPr="00AC1055" w:rsidRDefault="00413229" w:rsidP="00413229">
            <w:pPr>
              <w:jc w:val="center"/>
              <w:rPr>
                <w:rFonts w:cs="Times New Roman"/>
              </w:rPr>
            </w:pPr>
            <w:r w:rsidRPr="00AC1055">
              <w:rPr>
                <w:rFonts w:cs="Times New Roman"/>
              </w:rPr>
              <w:t>-0.1712987</w:t>
            </w:r>
          </w:p>
        </w:tc>
        <w:tc>
          <w:tcPr>
            <w:tcW w:w="1761" w:type="dxa"/>
          </w:tcPr>
          <w:p w14:paraId="28EE4B5E" w14:textId="77777777" w:rsidR="00413229" w:rsidRPr="00AC1055" w:rsidRDefault="00413229" w:rsidP="00413229">
            <w:pPr>
              <w:jc w:val="center"/>
              <w:rPr>
                <w:rFonts w:cs="Times New Roman"/>
              </w:rPr>
            </w:pPr>
            <w:r w:rsidRPr="00AC1055">
              <w:rPr>
                <w:rFonts w:cs="Times New Roman"/>
              </w:rPr>
              <w:t>0.1565898</w:t>
            </w:r>
          </w:p>
        </w:tc>
      </w:tr>
      <w:tr w:rsidR="00413229" w:rsidRPr="00AC1055" w14:paraId="55CABEBA" w14:textId="77777777" w:rsidTr="00413229">
        <w:trPr>
          <w:jc w:val="center"/>
        </w:trPr>
        <w:tc>
          <w:tcPr>
            <w:tcW w:w="4362" w:type="dxa"/>
          </w:tcPr>
          <w:p w14:paraId="772FE5A0" w14:textId="77777777" w:rsidR="00413229" w:rsidRPr="00AC1055" w:rsidRDefault="00413229" w:rsidP="00413229">
            <w:pPr>
              <w:jc w:val="center"/>
              <w:rPr>
                <w:rFonts w:cs="Times New Roman"/>
              </w:rPr>
            </w:pPr>
            <w:r w:rsidRPr="00AC1055">
              <w:rPr>
                <w:rFonts w:cs="Times New Roman"/>
              </w:rPr>
              <w:t>Peace index (R3)</w:t>
            </w:r>
          </w:p>
        </w:tc>
        <w:tc>
          <w:tcPr>
            <w:tcW w:w="1701" w:type="dxa"/>
          </w:tcPr>
          <w:p w14:paraId="03891D78" w14:textId="77777777" w:rsidR="00413229" w:rsidRPr="00AC1055" w:rsidRDefault="00413229" w:rsidP="00413229">
            <w:pPr>
              <w:jc w:val="center"/>
              <w:rPr>
                <w:rFonts w:cs="Times New Roman"/>
              </w:rPr>
            </w:pPr>
            <w:r w:rsidRPr="00AC1055">
              <w:rPr>
                <w:rFonts w:cs="Times New Roman"/>
              </w:rPr>
              <w:t>-0.02080429</w:t>
            </w:r>
          </w:p>
        </w:tc>
        <w:tc>
          <w:tcPr>
            <w:tcW w:w="1559" w:type="dxa"/>
          </w:tcPr>
          <w:p w14:paraId="3E3C3F1D" w14:textId="77777777" w:rsidR="00413229" w:rsidRPr="00AC1055" w:rsidRDefault="00413229" w:rsidP="00413229">
            <w:pPr>
              <w:jc w:val="center"/>
              <w:rPr>
                <w:rFonts w:cs="Times New Roman"/>
              </w:rPr>
            </w:pPr>
            <w:r w:rsidRPr="00AC1055">
              <w:rPr>
                <w:rFonts w:cs="Times New Roman"/>
              </w:rPr>
              <w:t>0.2493879</w:t>
            </w:r>
          </w:p>
        </w:tc>
        <w:tc>
          <w:tcPr>
            <w:tcW w:w="1761" w:type="dxa"/>
          </w:tcPr>
          <w:p w14:paraId="284E100E" w14:textId="77777777" w:rsidR="00413229" w:rsidRPr="00AC1055" w:rsidRDefault="00413229" w:rsidP="00413229">
            <w:pPr>
              <w:jc w:val="center"/>
              <w:rPr>
                <w:rFonts w:cs="Times New Roman"/>
              </w:rPr>
            </w:pPr>
            <w:r w:rsidRPr="00AC1055">
              <w:rPr>
                <w:rFonts w:cs="Times New Roman"/>
              </w:rPr>
              <w:t>0.2069733</w:t>
            </w:r>
          </w:p>
        </w:tc>
      </w:tr>
      <w:tr w:rsidR="00413229" w:rsidRPr="00AC1055" w14:paraId="04EFD3BC" w14:textId="77777777" w:rsidTr="00413229">
        <w:trPr>
          <w:jc w:val="center"/>
        </w:trPr>
        <w:tc>
          <w:tcPr>
            <w:tcW w:w="4362" w:type="dxa"/>
          </w:tcPr>
          <w:p w14:paraId="5E03D703" w14:textId="77777777" w:rsidR="00413229" w:rsidRPr="00AC1055" w:rsidRDefault="00413229" w:rsidP="00413229">
            <w:pPr>
              <w:jc w:val="center"/>
              <w:rPr>
                <w:rFonts w:cs="Times New Roman"/>
              </w:rPr>
            </w:pPr>
            <w:r w:rsidRPr="00AC1055">
              <w:rPr>
                <w:rFonts w:cs="Times New Roman"/>
              </w:rPr>
              <w:t>Rule of law (R4)</w:t>
            </w:r>
          </w:p>
        </w:tc>
        <w:tc>
          <w:tcPr>
            <w:tcW w:w="1701" w:type="dxa"/>
          </w:tcPr>
          <w:p w14:paraId="545C6814" w14:textId="77777777" w:rsidR="00413229" w:rsidRPr="00AC1055" w:rsidRDefault="00413229" w:rsidP="00413229">
            <w:pPr>
              <w:jc w:val="center"/>
              <w:rPr>
                <w:rFonts w:cs="Times New Roman"/>
              </w:rPr>
            </w:pPr>
            <w:r w:rsidRPr="00AC1055">
              <w:rPr>
                <w:rFonts w:cs="Times New Roman"/>
              </w:rPr>
              <w:t>0.1610097</w:t>
            </w:r>
          </w:p>
        </w:tc>
        <w:tc>
          <w:tcPr>
            <w:tcW w:w="1559" w:type="dxa"/>
          </w:tcPr>
          <w:p w14:paraId="7811A6DF" w14:textId="77777777" w:rsidR="00413229" w:rsidRPr="00AC1055" w:rsidRDefault="00413229" w:rsidP="00413229">
            <w:pPr>
              <w:jc w:val="center"/>
              <w:rPr>
                <w:rFonts w:cs="Times New Roman"/>
              </w:rPr>
            </w:pPr>
            <w:r w:rsidRPr="00AC1055">
              <w:rPr>
                <w:rFonts w:cs="Times New Roman"/>
              </w:rPr>
              <w:t>-0.2072071</w:t>
            </w:r>
          </w:p>
        </w:tc>
        <w:tc>
          <w:tcPr>
            <w:tcW w:w="1761" w:type="dxa"/>
          </w:tcPr>
          <w:p w14:paraId="583BB085" w14:textId="77777777" w:rsidR="00413229" w:rsidRPr="00AC1055" w:rsidRDefault="00413229" w:rsidP="00413229">
            <w:pPr>
              <w:jc w:val="center"/>
              <w:rPr>
                <w:rFonts w:cs="Times New Roman"/>
              </w:rPr>
            </w:pPr>
            <w:r w:rsidRPr="00AC1055">
              <w:rPr>
                <w:rFonts w:cs="Times New Roman"/>
              </w:rPr>
              <w:t>0.5279218</w:t>
            </w:r>
          </w:p>
        </w:tc>
      </w:tr>
    </w:tbl>
    <w:p w14:paraId="7F9A789C" w14:textId="77777777" w:rsidR="00413229" w:rsidRDefault="00413229" w:rsidP="00413229">
      <w:pPr>
        <w:spacing w:line="480" w:lineRule="auto"/>
        <w:rPr>
          <w:rFonts w:cs="Times New Roman"/>
        </w:rPr>
      </w:pPr>
    </w:p>
    <w:p w14:paraId="069C4F8B" w14:textId="77777777" w:rsidR="00141C8A" w:rsidRDefault="00141C8A" w:rsidP="00413229">
      <w:pPr>
        <w:spacing w:line="480" w:lineRule="auto"/>
        <w:rPr>
          <w:rFonts w:cs="Times New Roman"/>
        </w:rPr>
      </w:pPr>
    </w:p>
    <w:p w14:paraId="35A4495C" w14:textId="77777777" w:rsidR="00141C8A" w:rsidRDefault="00141C8A" w:rsidP="00413229">
      <w:pPr>
        <w:spacing w:line="480" w:lineRule="auto"/>
        <w:rPr>
          <w:rFonts w:cs="Times New Roman"/>
        </w:rPr>
      </w:pPr>
    </w:p>
    <w:p w14:paraId="7A9F1B4C" w14:textId="77777777" w:rsidR="00141C8A" w:rsidRPr="00AC1055" w:rsidRDefault="00141C8A" w:rsidP="00413229">
      <w:pPr>
        <w:spacing w:line="480" w:lineRule="auto"/>
        <w:rPr>
          <w:rFonts w:cs="Times New Roman"/>
        </w:rPr>
      </w:pPr>
    </w:p>
    <w:p w14:paraId="6411E40B" w14:textId="77777777" w:rsidR="00413229" w:rsidRPr="00AC1055" w:rsidRDefault="00413229" w:rsidP="00413229">
      <w:pPr>
        <w:spacing w:line="480" w:lineRule="auto"/>
        <w:rPr>
          <w:rFonts w:cs="Times New Roman"/>
        </w:rPr>
      </w:pPr>
      <w:r w:rsidRPr="00AC1055">
        <w:rPr>
          <w:rFonts w:cs="Times New Roman"/>
        </w:rPr>
        <w:lastRenderedPageBreak/>
        <w:t>The country level varying intercepts (b0) are as following:</w:t>
      </w:r>
    </w:p>
    <w:tbl>
      <w:tblPr>
        <w:tblStyle w:val="TableGrid"/>
        <w:tblW w:w="0" w:type="auto"/>
        <w:tblLook w:val="04A0" w:firstRow="1" w:lastRow="0" w:firstColumn="1" w:lastColumn="0" w:noHBand="0" w:noVBand="1"/>
      </w:tblPr>
      <w:tblGrid>
        <w:gridCol w:w="1526"/>
        <w:gridCol w:w="1701"/>
        <w:gridCol w:w="1701"/>
        <w:gridCol w:w="1843"/>
      </w:tblGrid>
      <w:tr w:rsidR="00413229" w:rsidRPr="00AC1055" w14:paraId="249AEBA1" w14:textId="77777777" w:rsidTr="00413229">
        <w:trPr>
          <w:trHeight w:val="300"/>
        </w:trPr>
        <w:tc>
          <w:tcPr>
            <w:tcW w:w="1526" w:type="dxa"/>
            <w:noWrap/>
            <w:hideMark/>
          </w:tcPr>
          <w:p w14:paraId="1D665F14" w14:textId="77777777" w:rsidR="00413229" w:rsidRPr="00AC1055" w:rsidRDefault="00413229" w:rsidP="00413229">
            <w:pPr>
              <w:jc w:val="center"/>
              <w:rPr>
                <w:rFonts w:cs="Times New Roman"/>
              </w:rPr>
            </w:pPr>
          </w:p>
        </w:tc>
        <w:tc>
          <w:tcPr>
            <w:tcW w:w="1701" w:type="dxa"/>
            <w:noWrap/>
            <w:hideMark/>
          </w:tcPr>
          <w:p w14:paraId="7B5A3703" w14:textId="77777777" w:rsidR="00413229" w:rsidRPr="00AC1055" w:rsidRDefault="00413229" w:rsidP="00413229">
            <w:pPr>
              <w:jc w:val="center"/>
              <w:rPr>
                <w:rFonts w:cs="Times New Roman"/>
              </w:rPr>
            </w:pPr>
            <w:r w:rsidRPr="00AC1055">
              <w:rPr>
                <w:rFonts w:cs="Times New Roman"/>
              </w:rPr>
              <w:t>Mean</w:t>
            </w:r>
          </w:p>
        </w:tc>
        <w:tc>
          <w:tcPr>
            <w:tcW w:w="1701" w:type="dxa"/>
            <w:noWrap/>
            <w:hideMark/>
          </w:tcPr>
          <w:p w14:paraId="4EFD697F" w14:textId="77777777" w:rsidR="00413229" w:rsidRPr="00AC1055" w:rsidRDefault="00413229" w:rsidP="00413229">
            <w:pPr>
              <w:jc w:val="center"/>
              <w:rPr>
                <w:rFonts w:cs="Times New Roman"/>
              </w:rPr>
            </w:pPr>
            <w:r w:rsidRPr="00AC1055">
              <w:rPr>
                <w:rFonts w:cs="Times New Roman"/>
              </w:rPr>
              <w:t>2.5% quantile</w:t>
            </w:r>
          </w:p>
        </w:tc>
        <w:tc>
          <w:tcPr>
            <w:tcW w:w="1843" w:type="dxa"/>
            <w:noWrap/>
            <w:hideMark/>
          </w:tcPr>
          <w:p w14:paraId="6AC50D44" w14:textId="77777777" w:rsidR="00413229" w:rsidRPr="00AC1055" w:rsidRDefault="00413229" w:rsidP="00413229">
            <w:pPr>
              <w:jc w:val="center"/>
              <w:rPr>
                <w:rFonts w:cs="Times New Roman"/>
              </w:rPr>
            </w:pPr>
            <w:r w:rsidRPr="00AC1055">
              <w:rPr>
                <w:rFonts w:cs="Times New Roman"/>
              </w:rPr>
              <w:t>97.5% quantile</w:t>
            </w:r>
          </w:p>
        </w:tc>
      </w:tr>
      <w:tr w:rsidR="00413229" w:rsidRPr="00AC1055" w14:paraId="696CE3A2" w14:textId="77777777" w:rsidTr="00413229">
        <w:trPr>
          <w:trHeight w:val="300"/>
        </w:trPr>
        <w:tc>
          <w:tcPr>
            <w:tcW w:w="1526" w:type="dxa"/>
            <w:noWrap/>
            <w:hideMark/>
          </w:tcPr>
          <w:p w14:paraId="664E57FA" w14:textId="77777777" w:rsidR="00413229" w:rsidRPr="00AC1055" w:rsidRDefault="00413229" w:rsidP="00413229">
            <w:pPr>
              <w:jc w:val="center"/>
              <w:rPr>
                <w:rFonts w:cs="Times New Roman"/>
              </w:rPr>
            </w:pPr>
            <w:r w:rsidRPr="00AC1055">
              <w:rPr>
                <w:rFonts w:cs="Times New Roman"/>
              </w:rPr>
              <w:t>Brazil</w:t>
            </w:r>
          </w:p>
        </w:tc>
        <w:tc>
          <w:tcPr>
            <w:tcW w:w="1701" w:type="dxa"/>
            <w:noWrap/>
            <w:hideMark/>
          </w:tcPr>
          <w:p w14:paraId="6691FF83" w14:textId="77777777" w:rsidR="00413229" w:rsidRPr="00AC1055" w:rsidRDefault="00413229" w:rsidP="00413229">
            <w:pPr>
              <w:jc w:val="center"/>
              <w:rPr>
                <w:rFonts w:cs="Times New Roman"/>
              </w:rPr>
            </w:pPr>
            <w:r w:rsidRPr="00AC1055">
              <w:rPr>
                <w:rFonts w:cs="Times New Roman"/>
              </w:rPr>
              <w:t>-0.12244</w:t>
            </w:r>
          </w:p>
        </w:tc>
        <w:tc>
          <w:tcPr>
            <w:tcW w:w="1701" w:type="dxa"/>
            <w:noWrap/>
            <w:hideMark/>
          </w:tcPr>
          <w:p w14:paraId="0A0441CC" w14:textId="77777777" w:rsidR="00413229" w:rsidRPr="00AC1055" w:rsidRDefault="00413229" w:rsidP="00413229">
            <w:pPr>
              <w:jc w:val="center"/>
              <w:rPr>
                <w:rFonts w:cs="Times New Roman"/>
              </w:rPr>
            </w:pPr>
            <w:r w:rsidRPr="00AC1055">
              <w:rPr>
                <w:rFonts w:cs="Times New Roman"/>
              </w:rPr>
              <w:t>-0.27047</w:t>
            </w:r>
          </w:p>
        </w:tc>
        <w:tc>
          <w:tcPr>
            <w:tcW w:w="1843" w:type="dxa"/>
            <w:noWrap/>
            <w:hideMark/>
          </w:tcPr>
          <w:p w14:paraId="605CF697" w14:textId="77777777" w:rsidR="00413229" w:rsidRPr="00AC1055" w:rsidRDefault="00413229" w:rsidP="00413229">
            <w:pPr>
              <w:jc w:val="center"/>
              <w:rPr>
                <w:rFonts w:cs="Times New Roman"/>
              </w:rPr>
            </w:pPr>
            <w:r w:rsidRPr="00AC1055">
              <w:rPr>
                <w:rFonts w:cs="Times New Roman"/>
              </w:rPr>
              <w:t>0.02468</w:t>
            </w:r>
          </w:p>
        </w:tc>
      </w:tr>
      <w:tr w:rsidR="00413229" w:rsidRPr="00AC1055" w14:paraId="2B918923" w14:textId="77777777" w:rsidTr="00413229">
        <w:trPr>
          <w:trHeight w:val="300"/>
        </w:trPr>
        <w:tc>
          <w:tcPr>
            <w:tcW w:w="1526" w:type="dxa"/>
            <w:noWrap/>
            <w:hideMark/>
          </w:tcPr>
          <w:p w14:paraId="1165A375" w14:textId="77777777" w:rsidR="00413229" w:rsidRPr="00AC1055" w:rsidRDefault="00413229" w:rsidP="00413229">
            <w:pPr>
              <w:jc w:val="center"/>
              <w:rPr>
                <w:rFonts w:cs="Times New Roman"/>
              </w:rPr>
            </w:pPr>
            <w:r w:rsidRPr="00AC1055">
              <w:rPr>
                <w:rFonts w:cs="Times New Roman"/>
              </w:rPr>
              <w:t>China</w:t>
            </w:r>
          </w:p>
        </w:tc>
        <w:tc>
          <w:tcPr>
            <w:tcW w:w="1701" w:type="dxa"/>
            <w:noWrap/>
            <w:hideMark/>
          </w:tcPr>
          <w:p w14:paraId="033C7EAC" w14:textId="77777777" w:rsidR="00413229" w:rsidRPr="00AC1055" w:rsidRDefault="00413229" w:rsidP="00413229">
            <w:pPr>
              <w:jc w:val="center"/>
              <w:rPr>
                <w:rFonts w:cs="Times New Roman"/>
              </w:rPr>
            </w:pPr>
            <w:r w:rsidRPr="00AC1055">
              <w:rPr>
                <w:rFonts w:cs="Times New Roman"/>
              </w:rPr>
              <w:t>0.013511</w:t>
            </w:r>
          </w:p>
        </w:tc>
        <w:tc>
          <w:tcPr>
            <w:tcW w:w="1701" w:type="dxa"/>
            <w:noWrap/>
            <w:hideMark/>
          </w:tcPr>
          <w:p w14:paraId="42D444AE" w14:textId="77777777" w:rsidR="00413229" w:rsidRPr="00AC1055" w:rsidRDefault="00413229" w:rsidP="00413229">
            <w:pPr>
              <w:jc w:val="center"/>
              <w:rPr>
                <w:rFonts w:cs="Times New Roman"/>
              </w:rPr>
            </w:pPr>
            <w:r w:rsidRPr="00AC1055">
              <w:rPr>
                <w:rFonts w:cs="Times New Roman"/>
              </w:rPr>
              <w:t>-0.23057</w:t>
            </w:r>
          </w:p>
        </w:tc>
        <w:tc>
          <w:tcPr>
            <w:tcW w:w="1843" w:type="dxa"/>
            <w:noWrap/>
            <w:hideMark/>
          </w:tcPr>
          <w:p w14:paraId="645BA9E4" w14:textId="77777777" w:rsidR="00413229" w:rsidRPr="00AC1055" w:rsidRDefault="00413229" w:rsidP="00413229">
            <w:pPr>
              <w:jc w:val="center"/>
              <w:rPr>
                <w:rFonts w:cs="Times New Roman"/>
              </w:rPr>
            </w:pPr>
            <w:r w:rsidRPr="00AC1055">
              <w:rPr>
                <w:rFonts w:cs="Times New Roman"/>
              </w:rPr>
              <w:t>0.263796</w:t>
            </w:r>
          </w:p>
        </w:tc>
      </w:tr>
      <w:tr w:rsidR="00413229" w:rsidRPr="00AC1055" w14:paraId="01942106" w14:textId="77777777" w:rsidTr="00413229">
        <w:trPr>
          <w:trHeight w:val="300"/>
        </w:trPr>
        <w:tc>
          <w:tcPr>
            <w:tcW w:w="1526" w:type="dxa"/>
            <w:noWrap/>
            <w:hideMark/>
          </w:tcPr>
          <w:p w14:paraId="0946E07B" w14:textId="77777777" w:rsidR="00413229" w:rsidRPr="00AC1055" w:rsidRDefault="00413229" w:rsidP="00413229">
            <w:pPr>
              <w:jc w:val="center"/>
              <w:rPr>
                <w:rFonts w:cs="Times New Roman"/>
              </w:rPr>
            </w:pPr>
            <w:r w:rsidRPr="00AC1055">
              <w:rPr>
                <w:rFonts w:cs="Times New Roman"/>
              </w:rPr>
              <w:t>Chile</w:t>
            </w:r>
          </w:p>
        </w:tc>
        <w:tc>
          <w:tcPr>
            <w:tcW w:w="1701" w:type="dxa"/>
            <w:noWrap/>
            <w:hideMark/>
          </w:tcPr>
          <w:p w14:paraId="7F1E7D36" w14:textId="77777777" w:rsidR="00413229" w:rsidRPr="00AC1055" w:rsidRDefault="00413229" w:rsidP="00413229">
            <w:pPr>
              <w:jc w:val="center"/>
              <w:rPr>
                <w:rFonts w:cs="Times New Roman"/>
              </w:rPr>
            </w:pPr>
            <w:r w:rsidRPr="00AC1055">
              <w:rPr>
                <w:rFonts w:cs="Times New Roman"/>
              </w:rPr>
              <w:t>-0.16961</w:t>
            </w:r>
          </w:p>
        </w:tc>
        <w:tc>
          <w:tcPr>
            <w:tcW w:w="1701" w:type="dxa"/>
            <w:noWrap/>
            <w:hideMark/>
          </w:tcPr>
          <w:p w14:paraId="4FB6791A" w14:textId="77777777" w:rsidR="00413229" w:rsidRPr="00AC1055" w:rsidRDefault="00413229" w:rsidP="00413229">
            <w:pPr>
              <w:jc w:val="center"/>
              <w:rPr>
                <w:rFonts w:cs="Times New Roman"/>
              </w:rPr>
            </w:pPr>
            <w:r w:rsidRPr="00AC1055">
              <w:rPr>
                <w:rFonts w:cs="Times New Roman"/>
              </w:rPr>
              <w:t>-0.30289</w:t>
            </w:r>
          </w:p>
        </w:tc>
        <w:tc>
          <w:tcPr>
            <w:tcW w:w="1843" w:type="dxa"/>
            <w:noWrap/>
            <w:hideMark/>
          </w:tcPr>
          <w:p w14:paraId="2650B749" w14:textId="77777777" w:rsidR="00413229" w:rsidRPr="00AC1055" w:rsidRDefault="00413229" w:rsidP="00413229">
            <w:pPr>
              <w:jc w:val="center"/>
              <w:rPr>
                <w:rFonts w:cs="Times New Roman"/>
              </w:rPr>
            </w:pPr>
            <w:r w:rsidRPr="00AC1055">
              <w:rPr>
                <w:rFonts w:cs="Times New Roman"/>
              </w:rPr>
              <w:t>-0.03452</w:t>
            </w:r>
          </w:p>
        </w:tc>
      </w:tr>
      <w:tr w:rsidR="00413229" w:rsidRPr="00AC1055" w14:paraId="2C9377CF" w14:textId="77777777" w:rsidTr="00413229">
        <w:trPr>
          <w:trHeight w:val="300"/>
        </w:trPr>
        <w:tc>
          <w:tcPr>
            <w:tcW w:w="1526" w:type="dxa"/>
            <w:noWrap/>
            <w:hideMark/>
          </w:tcPr>
          <w:p w14:paraId="2AC38AD2" w14:textId="77777777" w:rsidR="00413229" w:rsidRPr="00AC1055" w:rsidRDefault="00413229" w:rsidP="00413229">
            <w:pPr>
              <w:jc w:val="center"/>
              <w:rPr>
                <w:rFonts w:cs="Times New Roman"/>
              </w:rPr>
            </w:pPr>
            <w:r w:rsidRPr="00AC1055">
              <w:rPr>
                <w:rFonts w:cs="Times New Roman"/>
              </w:rPr>
              <w:t>Colombia</w:t>
            </w:r>
          </w:p>
        </w:tc>
        <w:tc>
          <w:tcPr>
            <w:tcW w:w="1701" w:type="dxa"/>
            <w:noWrap/>
            <w:hideMark/>
          </w:tcPr>
          <w:p w14:paraId="2AB15124" w14:textId="77777777" w:rsidR="00413229" w:rsidRPr="00AC1055" w:rsidRDefault="00413229" w:rsidP="00413229">
            <w:pPr>
              <w:jc w:val="center"/>
              <w:rPr>
                <w:rFonts w:cs="Times New Roman"/>
              </w:rPr>
            </w:pPr>
            <w:r w:rsidRPr="00AC1055">
              <w:rPr>
                <w:rFonts w:cs="Times New Roman"/>
              </w:rPr>
              <w:t>-0.15642</w:t>
            </w:r>
          </w:p>
        </w:tc>
        <w:tc>
          <w:tcPr>
            <w:tcW w:w="1701" w:type="dxa"/>
            <w:noWrap/>
            <w:hideMark/>
          </w:tcPr>
          <w:p w14:paraId="6F828F8E" w14:textId="77777777" w:rsidR="00413229" w:rsidRPr="00AC1055" w:rsidRDefault="00413229" w:rsidP="00413229">
            <w:pPr>
              <w:jc w:val="center"/>
              <w:rPr>
                <w:rFonts w:cs="Times New Roman"/>
              </w:rPr>
            </w:pPr>
            <w:r w:rsidRPr="00AC1055">
              <w:rPr>
                <w:rFonts w:cs="Times New Roman"/>
              </w:rPr>
              <w:t>-0.2914</w:t>
            </w:r>
          </w:p>
        </w:tc>
        <w:tc>
          <w:tcPr>
            <w:tcW w:w="1843" w:type="dxa"/>
            <w:noWrap/>
            <w:hideMark/>
          </w:tcPr>
          <w:p w14:paraId="7ECA28FD" w14:textId="77777777" w:rsidR="00413229" w:rsidRPr="00AC1055" w:rsidRDefault="00413229" w:rsidP="00413229">
            <w:pPr>
              <w:jc w:val="center"/>
              <w:rPr>
                <w:rFonts w:cs="Times New Roman"/>
              </w:rPr>
            </w:pPr>
            <w:r w:rsidRPr="00AC1055">
              <w:rPr>
                <w:rFonts w:cs="Times New Roman"/>
              </w:rPr>
              <w:t>-0.02088</w:t>
            </w:r>
          </w:p>
        </w:tc>
      </w:tr>
      <w:tr w:rsidR="00413229" w:rsidRPr="00AC1055" w14:paraId="5B5C9A1C" w14:textId="77777777" w:rsidTr="00413229">
        <w:trPr>
          <w:trHeight w:val="300"/>
        </w:trPr>
        <w:tc>
          <w:tcPr>
            <w:tcW w:w="1526" w:type="dxa"/>
            <w:noWrap/>
            <w:hideMark/>
          </w:tcPr>
          <w:p w14:paraId="30680A74" w14:textId="77777777" w:rsidR="00413229" w:rsidRPr="00AC1055" w:rsidRDefault="00413229" w:rsidP="00413229">
            <w:pPr>
              <w:jc w:val="center"/>
              <w:rPr>
                <w:rFonts w:cs="Times New Roman"/>
              </w:rPr>
            </w:pPr>
            <w:r w:rsidRPr="00AC1055">
              <w:rPr>
                <w:rFonts w:cs="Times New Roman"/>
              </w:rPr>
              <w:t>India</w:t>
            </w:r>
          </w:p>
        </w:tc>
        <w:tc>
          <w:tcPr>
            <w:tcW w:w="1701" w:type="dxa"/>
            <w:noWrap/>
            <w:hideMark/>
          </w:tcPr>
          <w:p w14:paraId="2265DE35" w14:textId="77777777" w:rsidR="00413229" w:rsidRPr="00AC1055" w:rsidRDefault="00413229" w:rsidP="00413229">
            <w:pPr>
              <w:jc w:val="center"/>
              <w:rPr>
                <w:rFonts w:cs="Times New Roman"/>
              </w:rPr>
            </w:pPr>
            <w:r w:rsidRPr="00AC1055">
              <w:rPr>
                <w:rFonts w:cs="Times New Roman"/>
              </w:rPr>
              <w:t>-0.0192</w:t>
            </w:r>
          </w:p>
        </w:tc>
        <w:tc>
          <w:tcPr>
            <w:tcW w:w="1701" w:type="dxa"/>
            <w:noWrap/>
            <w:hideMark/>
          </w:tcPr>
          <w:p w14:paraId="390A5778" w14:textId="77777777" w:rsidR="00413229" w:rsidRPr="00AC1055" w:rsidRDefault="00413229" w:rsidP="00413229">
            <w:pPr>
              <w:jc w:val="center"/>
              <w:rPr>
                <w:rFonts w:cs="Times New Roman"/>
              </w:rPr>
            </w:pPr>
            <w:r w:rsidRPr="00AC1055">
              <w:rPr>
                <w:rFonts w:cs="Times New Roman"/>
              </w:rPr>
              <w:t>-0.21219</w:t>
            </w:r>
          </w:p>
        </w:tc>
        <w:tc>
          <w:tcPr>
            <w:tcW w:w="1843" w:type="dxa"/>
            <w:noWrap/>
            <w:hideMark/>
          </w:tcPr>
          <w:p w14:paraId="5CCA639E" w14:textId="77777777" w:rsidR="00413229" w:rsidRPr="00AC1055" w:rsidRDefault="00413229" w:rsidP="00413229">
            <w:pPr>
              <w:jc w:val="center"/>
              <w:rPr>
                <w:rFonts w:cs="Times New Roman"/>
              </w:rPr>
            </w:pPr>
            <w:r w:rsidRPr="00AC1055">
              <w:rPr>
                <w:rFonts w:cs="Times New Roman"/>
              </w:rPr>
              <w:t>0.175485</w:t>
            </w:r>
          </w:p>
        </w:tc>
      </w:tr>
      <w:tr w:rsidR="00413229" w:rsidRPr="00AC1055" w14:paraId="5DC0D8AC" w14:textId="77777777" w:rsidTr="00413229">
        <w:trPr>
          <w:trHeight w:val="300"/>
        </w:trPr>
        <w:tc>
          <w:tcPr>
            <w:tcW w:w="1526" w:type="dxa"/>
            <w:noWrap/>
            <w:hideMark/>
          </w:tcPr>
          <w:p w14:paraId="0A910BBA" w14:textId="77777777" w:rsidR="00413229" w:rsidRPr="00AC1055" w:rsidRDefault="00413229" w:rsidP="00413229">
            <w:pPr>
              <w:jc w:val="center"/>
              <w:rPr>
                <w:rFonts w:cs="Times New Roman"/>
              </w:rPr>
            </w:pPr>
            <w:r w:rsidRPr="00AC1055">
              <w:rPr>
                <w:rFonts w:cs="Times New Roman"/>
              </w:rPr>
              <w:t>Indonesia</w:t>
            </w:r>
          </w:p>
        </w:tc>
        <w:tc>
          <w:tcPr>
            <w:tcW w:w="1701" w:type="dxa"/>
            <w:noWrap/>
            <w:hideMark/>
          </w:tcPr>
          <w:p w14:paraId="797B9318" w14:textId="77777777" w:rsidR="00413229" w:rsidRPr="00AC1055" w:rsidRDefault="00413229" w:rsidP="00413229">
            <w:pPr>
              <w:jc w:val="center"/>
              <w:rPr>
                <w:rFonts w:cs="Times New Roman"/>
              </w:rPr>
            </w:pPr>
            <w:r w:rsidRPr="00AC1055">
              <w:rPr>
                <w:rFonts w:cs="Times New Roman"/>
              </w:rPr>
              <w:t>-0.16174</w:t>
            </w:r>
          </w:p>
        </w:tc>
        <w:tc>
          <w:tcPr>
            <w:tcW w:w="1701" w:type="dxa"/>
            <w:noWrap/>
            <w:hideMark/>
          </w:tcPr>
          <w:p w14:paraId="14C6E639" w14:textId="77777777" w:rsidR="00413229" w:rsidRPr="00AC1055" w:rsidRDefault="00413229" w:rsidP="00413229">
            <w:pPr>
              <w:jc w:val="center"/>
              <w:rPr>
                <w:rFonts w:cs="Times New Roman"/>
              </w:rPr>
            </w:pPr>
            <w:r w:rsidRPr="00AC1055">
              <w:rPr>
                <w:rFonts w:cs="Times New Roman"/>
              </w:rPr>
              <w:t>-0.29934</w:t>
            </w:r>
          </w:p>
        </w:tc>
        <w:tc>
          <w:tcPr>
            <w:tcW w:w="1843" w:type="dxa"/>
            <w:noWrap/>
            <w:hideMark/>
          </w:tcPr>
          <w:p w14:paraId="2D7ADEC4" w14:textId="77777777" w:rsidR="00413229" w:rsidRPr="00AC1055" w:rsidRDefault="00413229" w:rsidP="00413229">
            <w:pPr>
              <w:jc w:val="center"/>
              <w:rPr>
                <w:rFonts w:cs="Times New Roman"/>
              </w:rPr>
            </w:pPr>
            <w:r w:rsidRPr="00AC1055">
              <w:rPr>
                <w:rFonts w:cs="Times New Roman"/>
              </w:rPr>
              <w:t>-0.02264</w:t>
            </w:r>
          </w:p>
        </w:tc>
      </w:tr>
      <w:tr w:rsidR="00413229" w:rsidRPr="00AC1055" w14:paraId="273C4F25" w14:textId="77777777" w:rsidTr="00413229">
        <w:trPr>
          <w:trHeight w:val="300"/>
        </w:trPr>
        <w:tc>
          <w:tcPr>
            <w:tcW w:w="1526" w:type="dxa"/>
            <w:noWrap/>
            <w:hideMark/>
          </w:tcPr>
          <w:p w14:paraId="4A4525A9" w14:textId="77777777" w:rsidR="00413229" w:rsidRPr="00AC1055" w:rsidRDefault="00413229" w:rsidP="00413229">
            <w:pPr>
              <w:jc w:val="center"/>
              <w:rPr>
                <w:rFonts w:cs="Times New Roman"/>
              </w:rPr>
            </w:pPr>
            <w:r w:rsidRPr="00AC1055">
              <w:rPr>
                <w:rFonts w:cs="Times New Roman"/>
              </w:rPr>
              <w:t>Peru</w:t>
            </w:r>
          </w:p>
        </w:tc>
        <w:tc>
          <w:tcPr>
            <w:tcW w:w="1701" w:type="dxa"/>
            <w:noWrap/>
            <w:hideMark/>
          </w:tcPr>
          <w:p w14:paraId="59C2A2CE" w14:textId="77777777" w:rsidR="00413229" w:rsidRPr="00AC1055" w:rsidRDefault="00413229" w:rsidP="00413229">
            <w:pPr>
              <w:jc w:val="center"/>
              <w:rPr>
                <w:rFonts w:cs="Times New Roman"/>
              </w:rPr>
            </w:pPr>
            <w:r w:rsidRPr="00AC1055">
              <w:rPr>
                <w:rFonts w:cs="Times New Roman"/>
              </w:rPr>
              <w:t>-0.20591</w:t>
            </w:r>
          </w:p>
        </w:tc>
        <w:tc>
          <w:tcPr>
            <w:tcW w:w="1701" w:type="dxa"/>
            <w:noWrap/>
            <w:hideMark/>
          </w:tcPr>
          <w:p w14:paraId="1AEC8D95" w14:textId="77777777" w:rsidR="00413229" w:rsidRPr="00AC1055" w:rsidRDefault="00413229" w:rsidP="00413229">
            <w:pPr>
              <w:jc w:val="center"/>
              <w:rPr>
                <w:rFonts w:cs="Times New Roman"/>
              </w:rPr>
            </w:pPr>
            <w:r w:rsidRPr="00AC1055">
              <w:rPr>
                <w:rFonts w:cs="Times New Roman"/>
              </w:rPr>
              <w:t>-0.33799</w:t>
            </w:r>
          </w:p>
        </w:tc>
        <w:tc>
          <w:tcPr>
            <w:tcW w:w="1843" w:type="dxa"/>
            <w:noWrap/>
            <w:hideMark/>
          </w:tcPr>
          <w:p w14:paraId="00005151" w14:textId="77777777" w:rsidR="00413229" w:rsidRPr="00AC1055" w:rsidRDefault="00413229" w:rsidP="00413229">
            <w:pPr>
              <w:jc w:val="center"/>
              <w:rPr>
                <w:rFonts w:cs="Times New Roman"/>
              </w:rPr>
            </w:pPr>
            <w:r w:rsidRPr="00AC1055">
              <w:rPr>
                <w:rFonts w:cs="Times New Roman"/>
              </w:rPr>
              <w:t>-0.07059</w:t>
            </w:r>
          </w:p>
        </w:tc>
      </w:tr>
      <w:tr w:rsidR="00413229" w:rsidRPr="00AC1055" w14:paraId="0ACB4F37" w14:textId="77777777" w:rsidTr="00413229">
        <w:trPr>
          <w:trHeight w:val="300"/>
        </w:trPr>
        <w:tc>
          <w:tcPr>
            <w:tcW w:w="1526" w:type="dxa"/>
            <w:noWrap/>
            <w:hideMark/>
          </w:tcPr>
          <w:p w14:paraId="4FB4F331" w14:textId="77777777" w:rsidR="00413229" w:rsidRPr="00AC1055" w:rsidRDefault="00413229" w:rsidP="00413229">
            <w:pPr>
              <w:jc w:val="center"/>
              <w:rPr>
                <w:rFonts w:cs="Times New Roman"/>
              </w:rPr>
            </w:pPr>
            <w:r w:rsidRPr="00AC1055">
              <w:rPr>
                <w:rFonts w:cs="Times New Roman"/>
              </w:rPr>
              <w:t>Pakistan</w:t>
            </w:r>
          </w:p>
        </w:tc>
        <w:tc>
          <w:tcPr>
            <w:tcW w:w="1701" w:type="dxa"/>
            <w:noWrap/>
            <w:hideMark/>
          </w:tcPr>
          <w:p w14:paraId="6BE281A1" w14:textId="77777777" w:rsidR="00413229" w:rsidRPr="00AC1055" w:rsidRDefault="00413229" w:rsidP="00413229">
            <w:pPr>
              <w:jc w:val="center"/>
              <w:rPr>
                <w:rFonts w:cs="Times New Roman"/>
              </w:rPr>
            </w:pPr>
            <w:r w:rsidRPr="00AC1055">
              <w:rPr>
                <w:rFonts w:cs="Times New Roman"/>
              </w:rPr>
              <w:t>-0.27066</w:t>
            </w:r>
          </w:p>
        </w:tc>
        <w:tc>
          <w:tcPr>
            <w:tcW w:w="1701" w:type="dxa"/>
            <w:noWrap/>
            <w:hideMark/>
          </w:tcPr>
          <w:p w14:paraId="6B93EDBB" w14:textId="77777777" w:rsidR="00413229" w:rsidRPr="00AC1055" w:rsidRDefault="00413229" w:rsidP="00413229">
            <w:pPr>
              <w:jc w:val="center"/>
              <w:rPr>
                <w:rFonts w:cs="Times New Roman"/>
              </w:rPr>
            </w:pPr>
            <w:r w:rsidRPr="00AC1055">
              <w:rPr>
                <w:rFonts w:cs="Times New Roman"/>
              </w:rPr>
              <w:t>-0.4467</w:t>
            </w:r>
          </w:p>
        </w:tc>
        <w:tc>
          <w:tcPr>
            <w:tcW w:w="1843" w:type="dxa"/>
            <w:noWrap/>
            <w:hideMark/>
          </w:tcPr>
          <w:p w14:paraId="2513FC85" w14:textId="77777777" w:rsidR="00413229" w:rsidRPr="00AC1055" w:rsidRDefault="00413229" w:rsidP="00413229">
            <w:pPr>
              <w:jc w:val="center"/>
              <w:rPr>
                <w:rFonts w:cs="Times New Roman"/>
              </w:rPr>
            </w:pPr>
            <w:r w:rsidRPr="00AC1055">
              <w:rPr>
                <w:rFonts w:cs="Times New Roman"/>
              </w:rPr>
              <w:t>-0.09117</w:t>
            </w:r>
          </w:p>
        </w:tc>
      </w:tr>
      <w:tr w:rsidR="00413229" w:rsidRPr="00AC1055" w14:paraId="5E38FE36" w14:textId="77777777" w:rsidTr="00413229">
        <w:trPr>
          <w:trHeight w:val="300"/>
        </w:trPr>
        <w:tc>
          <w:tcPr>
            <w:tcW w:w="1526" w:type="dxa"/>
            <w:noWrap/>
            <w:hideMark/>
          </w:tcPr>
          <w:p w14:paraId="34AA9CBD" w14:textId="77777777" w:rsidR="00413229" w:rsidRPr="00AC1055" w:rsidRDefault="00413229" w:rsidP="00413229">
            <w:pPr>
              <w:jc w:val="center"/>
              <w:rPr>
                <w:rFonts w:cs="Times New Roman"/>
              </w:rPr>
            </w:pPr>
            <w:r w:rsidRPr="00AC1055">
              <w:rPr>
                <w:rFonts w:cs="Times New Roman"/>
              </w:rPr>
              <w:t>Poland</w:t>
            </w:r>
          </w:p>
        </w:tc>
        <w:tc>
          <w:tcPr>
            <w:tcW w:w="1701" w:type="dxa"/>
            <w:noWrap/>
            <w:hideMark/>
          </w:tcPr>
          <w:p w14:paraId="104BDB80" w14:textId="77777777" w:rsidR="00413229" w:rsidRPr="00AC1055" w:rsidRDefault="00413229" w:rsidP="00413229">
            <w:pPr>
              <w:jc w:val="center"/>
              <w:rPr>
                <w:rFonts w:cs="Times New Roman"/>
              </w:rPr>
            </w:pPr>
            <w:r w:rsidRPr="00AC1055">
              <w:rPr>
                <w:rFonts w:cs="Times New Roman"/>
              </w:rPr>
              <w:t>-0.317</w:t>
            </w:r>
          </w:p>
        </w:tc>
        <w:tc>
          <w:tcPr>
            <w:tcW w:w="1701" w:type="dxa"/>
            <w:noWrap/>
            <w:hideMark/>
          </w:tcPr>
          <w:p w14:paraId="49307300" w14:textId="77777777" w:rsidR="00413229" w:rsidRPr="00AC1055" w:rsidRDefault="00413229" w:rsidP="00413229">
            <w:pPr>
              <w:jc w:val="center"/>
              <w:rPr>
                <w:rFonts w:cs="Times New Roman"/>
              </w:rPr>
            </w:pPr>
            <w:r w:rsidRPr="00AC1055">
              <w:rPr>
                <w:rFonts w:cs="Times New Roman"/>
              </w:rPr>
              <w:t>-0.46093</w:t>
            </w:r>
          </w:p>
        </w:tc>
        <w:tc>
          <w:tcPr>
            <w:tcW w:w="1843" w:type="dxa"/>
            <w:noWrap/>
            <w:hideMark/>
          </w:tcPr>
          <w:p w14:paraId="62B89500" w14:textId="77777777" w:rsidR="00413229" w:rsidRPr="00AC1055" w:rsidRDefault="00413229" w:rsidP="00413229">
            <w:pPr>
              <w:jc w:val="center"/>
              <w:rPr>
                <w:rFonts w:cs="Times New Roman"/>
              </w:rPr>
            </w:pPr>
            <w:r w:rsidRPr="00AC1055">
              <w:rPr>
                <w:rFonts w:cs="Times New Roman"/>
              </w:rPr>
              <w:t>-0.16702</w:t>
            </w:r>
          </w:p>
        </w:tc>
      </w:tr>
      <w:tr w:rsidR="00413229" w:rsidRPr="00AC1055" w14:paraId="3F6DD4D6" w14:textId="77777777" w:rsidTr="00413229">
        <w:trPr>
          <w:trHeight w:val="300"/>
        </w:trPr>
        <w:tc>
          <w:tcPr>
            <w:tcW w:w="1526" w:type="dxa"/>
            <w:noWrap/>
            <w:hideMark/>
          </w:tcPr>
          <w:p w14:paraId="4B7D35F5" w14:textId="77777777" w:rsidR="00413229" w:rsidRPr="00AC1055" w:rsidRDefault="00413229" w:rsidP="00413229">
            <w:pPr>
              <w:jc w:val="center"/>
              <w:rPr>
                <w:rFonts w:cs="Times New Roman"/>
              </w:rPr>
            </w:pPr>
            <w:r w:rsidRPr="00AC1055">
              <w:rPr>
                <w:rFonts w:cs="Times New Roman"/>
              </w:rPr>
              <w:t>Russia</w:t>
            </w:r>
          </w:p>
        </w:tc>
        <w:tc>
          <w:tcPr>
            <w:tcW w:w="1701" w:type="dxa"/>
            <w:noWrap/>
            <w:hideMark/>
          </w:tcPr>
          <w:p w14:paraId="1D8BD7C4" w14:textId="77777777" w:rsidR="00413229" w:rsidRPr="00AC1055" w:rsidRDefault="00413229" w:rsidP="00413229">
            <w:pPr>
              <w:jc w:val="center"/>
              <w:rPr>
                <w:rFonts w:cs="Times New Roman"/>
              </w:rPr>
            </w:pPr>
            <w:r w:rsidRPr="00AC1055">
              <w:rPr>
                <w:rFonts w:cs="Times New Roman"/>
              </w:rPr>
              <w:t>-0.2549</w:t>
            </w:r>
          </w:p>
        </w:tc>
        <w:tc>
          <w:tcPr>
            <w:tcW w:w="1701" w:type="dxa"/>
            <w:noWrap/>
            <w:hideMark/>
          </w:tcPr>
          <w:p w14:paraId="18E132ED" w14:textId="77777777" w:rsidR="00413229" w:rsidRPr="00AC1055" w:rsidRDefault="00413229" w:rsidP="00413229">
            <w:pPr>
              <w:jc w:val="center"/>
              <w:rPr>
                <w:rFonts w:cs="Times New Roman"/>
              </w:rPr>
            </w:pPr>
            <w:r w:rsidRPr="00AC1055">
              <w:rPr>
                <w:rFonts w:cs="Times New Roman"/>
              </w:rPr>
              <w:t>-0.42917</w:t>
            </w:r>
          </w:p>
        </w:tc>
        <w:tc>
          <w:tcPr>
            <w:tcW w:w="1843" w:type="dxa"/>
            <w:noWrap/>
            <w:hideMark/>
          </w:tcPr>
          <w:p w14:paraId="126B74D5" w14:textId="77777777" w:rsidR="00413229" w:rsidRPr="00AC1055" w:rsidRDefault="00413229" w:rsidP="00413229">
            <w:pPr>
              <w:jc w:val="center"/>
              <w:rPr>
                <w:rFonts w:cs="Times New Roman"/>
              </w:rPr>
            </w:pPr>
            <w:r w:rsidRPr="00AC1055">
              <w:rPr>
                <w:rFonts w:cs="Times New Roman"/>
              </w:rPr>
              <w:t>-0.07813</w:t>
            </w:r>
          </w:p>
        </w:tc>
      </w:tr>
      <w:tr w:rsidR="00413229" w:rsidRPr="00AC1055" w14:paraId="0B115131" w14:textId="77777777" w:rsidTr="00413229">
        <w:trPr>
          <w:trHeight w:val="300"/>
        </w:trPr>
        <w:tc>
          <w:tcPr>
            <w:tcW w:w="1526" w:type="dxa"/>
            <w:noWrap/>
            <w:hideMark/>
          </w:tcPr>
          <w:p w14:paraId="738AFE30" w14:textId="77777777" w:rsidR="00413229" w:rsidRPr="00AC1055" w:rsidRDefault="00413229" w:rsidP="00413229">
            <w:pPr>
              <w:jc w:val="center"/>
              <w:rPr>
                <w:rFonts w:cs="Times New Roman"/>
              </w:rPr>
            </w:pPr>
            <w:r w:rsidRPr="00AC1055">
              <w:rPr>
                <w:rFonts w:cs="Times New Roman"/>
              </w:rPr>
              <w:t>Argentina</w:t>
            </w:r>
          </w:p>
        </w:tc>
        <w:tc>
          <w:tcPr>
            <w:tcW w:w="1701" w:type="dxa"/>
            <w:noWrap/>
            <w:hideMark/>
          </w:tcPr>
          <w:p w14:paraId="36467F95" w14:textId="77777777" w:rsidR="00413229" w:rsidRPr="00AC1055" w:rsidRDefault="00413229" w:rsidP="00413229">
            <w:pPr>
              <w:jc w:val="center"/>
              <w:rPr>
                <w:rFonts w:cs="Times New Roman"/>
              </w:rPr>
            </w:pPr>
            <w:r w:rsidRPr="00AC1055">
              <w:rPr>
                <w:rFonts w:cs="Times New Roman"/>
              </w:rPr>
              <w:t>-0.26076</w:t>
            </w:r>
          </w:p>
        </w:tc>
        <w:tc>
          <w:tcPr>
            <w:tcW w:w="1701" w:type="dxa"/>
            <w:noWrap/>
            <w:hideMark/>
          </w:tcPr>
          <w:p w14:paraId="4999529E" w14:textId="77777777" w:rsidR="00413229" w:rsidRPr="00AC1055" w:rsidRDefault="00413229" w:rsidP="00413229">
            <w:pPr>
              <w:jc w:val="center"/>
              <w:rPr>
                <w:rFonts w:cs="Times New Roman"/>
              </w:rPr>
            </w:pPr>
            <w:r w:rsidRPr="00AC1055">
              <w:rPr>
                <w:rFonts w:cs="Times New Roman"/>
              </w:rPr>
              <w:t>-0.39827</w:t>
            </w:r>
          </w:p>
        </w:tc>
        <w:tc>
          <w:tcPr>
            <w:tcW w:w="1843" w:type="dxa"/>
            <w:noWrap/>
            <w:hideMark/>
          </w:tcPr>
          <w:p w14:paraId="1A0348EC" w14:textId="77777777" w:rsidR="00413229" w:rsidRPr="00AC1055" w:rsidRDefault="00413229" w:rsidP="00413229">
            <w:pPr>
              <w:jc w:val="center"/>
              <w:rPr>
                <w:rFonts w:cs="Times New Roman"/>
              </w:rPr>
            </w:pPr>
            <w:r w:rsidRPr="00AC1055">
              <w:rPr>
                <w:rFonts w:cs="Times New Roman"/>
              </w:rPr>
              <w:t>-0.12043</w:t>
            </w:r>
          </w:p>
        </w:tc>
      </w:tr>
      <w:tr w:rsidR="00413229" w:rsidRPr="00AC1055" w14:paraId="5AD9360E" w14:textId="77777777" w:rsidTr="00413229">
        <w:trPr>
          <w:trHeight w:val="300"/>
        </w:trPr>
        <w:tc>
          <w:tcPr>
            <w:tcW w:w="1526" w:type="dxa"/>
            <w:noWrap/>
            <w:hideMark/>
          </w:tcPr>
          <w:p w14:paraId="326474E8" w14:textId="77777777" w:rsidR="00413229" w:rsidRPr="00AC1055" w:rsidRDefault="00413229" w:rsidP="00413229">
            <w:pPr>
              <w:jc w:val="center"/>
              <w:rPr>
                <w:rFonts w:cs="Times New Roman"/>
              </w:rPr>
            </w:pPr>
            <w:r w:rsidRPr="00AC1055">
              <w:rPr>
                <w:rFonts w:cs="Times New Roman"/>
              </w:rPr>
              <w:t>South Africa</w:t>
            </w:r>
          </w:p>
        </w:tc>
        <w:tc>
          <w:tcPr>
            <w:tcW w:w="1701" w:type="dxa"/>
            <w:noWrap/>
            <w:hideMark/>
          </w:tcPr>
          <w:p w14:paraId="52E5B349" w14:textId="77777777" w:rsidR="00413229" w:rsidRPr="00AC1055" w:rsidRDefault="00413229" w:rsidP="00413229">
            <w:pPr>
              <w:jc w:val="center"/>
              <w:rPr>
                <w:rFonts w:cs="Times New Roman"/>
              </w:rPr>
            </w:pPr>
            <w:r w:rsidRPr="00AC1055">
              <w:rPr>
                <w:rFonts w:cs="Times New Roman"/>
              </w:rPr>
              <w:t>-0.12753</w:t>
            </w:r>
          </w:p>
        </w:tc>
        <w:tc>
          <w:tcPr>
            <w:tcW w:w="1701" w:type="dxa"/>
            <w:noWrap/>
            <w:hideMark/>
          </w:tcPr>
          <w:p w14:paraId="511BCA8A" w14:textId="77777777" w:rsidR="00413229" w:rsidRPr="00AC1055" w:rsidRDefault="00413229" w:rsidP="00413229">
            <w:pPr>
              <w:jc w:val="center"/>
              <w:rPr>
                <w:rFonts w:cs="Times New Roman"/>
              </w:rPr>
            </w:pPr>
            <w:r w:rsidRPr="00AC1055">
              <w:rPr>
                <w:rFonts w:cs="Times New Roman"/>
              </w:rPr>
              <w:t>-0.27251</w:t>
            </w:r>
          </w:p>
        </w:tc>
        <w:tc>
          <w:tcPr>
            <w:tcW w:w="1843" w:type="dxa"/>
            <w:noWrap/>
            <w:hideMark/>
          </w:tcPr>
          <w:p w14:paraId="3235F3DD" w14:textId="77777777" w:rsidR="00413229" w:rsidRPr="00AC1055" w:rsidRDefault="00413229" w:rsidP="00413229">
            <w:pPr>
              <w:jc w:val="center"/>
              <w:rPr>
                <w:rFonts w:cs="Times New Roman"/>
              </w:rPr>
            </w:pPr>
            <w:r w:rsidRPr="00AC1055">
              <w:rPr>
                <w:rFonts w:cs="Times New Roman"/>
              </w:rPr>
              <w:t>0.015126</w:t>
            </w:r>
          </w:p>
        </w:tc>
      </w:tr>
      <w:tr w:rsidR="00413229" w:rsidRPr="00AC1055" w14:paraId="524145F3" w14:textId="77777777" w:rsidTr="00413229">
        <w:trPr>
          <w:trHeight w:val="300"/>
        </w:trPr>
        <w:tc>
          <w:tcPr>
            <w:tcW w:w="1526" w:type="dxa"/>
            <w:noWrap/>
            <w:hideMark/>
          </w:tcPr>
          <w:p w14:paraId="59FBAFF2" w14:textId="77777777" w:rsidR="00413229" w:rsidRPr="00AC1055" w:rsidRDefault="00413229" w:rsidP="00413229">
            <w:pPr>
              <w:jc w:val="center"/>
              <w:rPr>
                <w:rFonts w:cs="Times New Roman"/>
              </w:rPr>
            </w:pPr>
            <w:r w:rsidRPr="00AC1055">
              <w:rPr>
                <w:rFonts w:cs="Times New Roman"/>
              </w:rPr>
              <w:t>Iran</w:t>
            </w:r>
          </w:p>
        </w:tc>
        <w:tc>
          <w:tcPr>
            <w:tcW w:w="1701" w:type="dxa"/>
            <w:noWrap/>
            <w:hideMark/>
          </w:tcPr>
          <w:p w14:paraId="2799B03B" w14:textId="77777777" w:rsidR="00413229" w:rsidRPr="00AC1055" w:rsidRDefault="00413229" w:rsidP="00413229">
            <w:pPr>
              <w:jc w:val="center"/>
              <w:rPr>
                <w:rFonts w:cs="Times New Roman"/>
              </w:rPr>
            </w:pPr>
            <w:r w:rsidRPr="00AC1055">
              <w:rPr>
                <w:rFonts w:cs="Times New Roman"/>
              </w:rPr>
              <w:t>-0.28772</w:t>
            </w:r>
          </w:p>
        </w:tc>
        <w:tc>
          <w:tcPr>
            <w:tcW w:w="1701" w:type="dxa"/>
            <w:noWrap/>
            <w:hideMark/>
          </w:tcPr>
          <w:p w14:paraId="4E0A8EB1" w14:textId="77777777" w:rsidR="00413229" w:rsidRPr="00AC1055" w:rsidRDefault="00413229" w:rsidP="00413229">
            <w:pPr>
              <w:jc w:val="center"/>
              <w:rPr>
                <w:rFonts w:cs="Times New Roman"/>
              </w:rPr>
            </w:pPr>
            <w:r w:rsidRPr="00AC1055">
              <w:rPr>
                <w:rFonts w:cs="Times New Roman"/>
              </w:rPr>
              <w:t>-0.43223</w:t>
            </w:r>
          </w:p>
        </w:tc>
        <w:tc>
          <w:tcPr>
            <w:tcW w:w="1843" w:type="dxa"/>
            <w:noWrap/>
            <w:hideMark/>
          </w:tcPr>
          <w:p w14:paraId="0610EC2E" w14:textId="77777777" w:rsidR="00413229" w:rsidRPr="00AC1055" w:rsidRDefault="00413229" w:rsidP="00413229">
            <w:pPr>
              <w:jc w:val="center"/>
              <w:rPr>
                <w:rFonts w:cs="Times New Roman"/>
              </w:rPr>
            </w:pPr>
            <w:r w:rsidRPr="00AC1055">
              <w:rPr>
                <w:rFonts w:cs="Times New Roman"/>
              </w:rPr>
              <w:t>-0.14406</w:t>
            </w:r>
          </w:p>
        </w:tc>
      </w:tr>
      <w:tr w:rsidR="00413229" w:rsidRPr="00AC1055" w14:paraId="2A647D38" w14:textId="77777777" w:rsidTr="00413229">
        <w:trPr>
          <w:trHeight w:val="300"/>
        </w:trPr>
        <w:tc>
          <w:tcPr>
            <w:tcW w:w="1526" w:type="dxa"/>
            <w:noWrap/>
            <w:hideMark/>
          </w:tcPr>
          <w:p w14:paraId="2D255FAF" w14:textId="77777777" w:rsidR="00413229" w:rsidRPr="00AC1055" w:rsidRDefault="00413229" w:rsidP="00413229">
            <w:pPr>
              <w:jc w:val="center"/>
              <w:rPr>
                <w:rFonts w:cs="Times New Roman"/>
              </w:rPr>
            </w:pPr>
            <w:r w:rsidRPr="00AC1055">
              <w:rPr>
                <w:rFonts w:cs="Times New Roman"/>
              </w:rPr>
              <w:t>Kenya</w:t>
            </w:r>
          </w:p>
        </w:tc>
        <w:tc>
          <w:tcPr>
            <w:tcW w:w="1701" w:type="dxa"/>
            <w:noWrap/>
            <w:hideMark/>
          </w:tcPr>
          <w:p w14:paraId="0DD47F57" w14:textId="77777777" w:rsidR="00413229" w:rsidRPr="00AC1055" w:rsidRDefault="00413229" w:rsidP="00413229">
            <w:pPr>
              <w:jc w:val="center"/>
              <w:rPr>
                <w:rFonts w:cs="Times New Roman"/>
              </w:rPr>
            </w:pPr>
            <w:r w:rsidRPr="00AC1055">
              <w:rPr>
                <w:rFonts w:cs="Times New Roman"/>
              </w:rPr>
              <w:t>-0.19227</w:t>
            </w:r>
          </w:p>
        </w:tc>
        <w:tc>
          <w:tcPr>
            <w:tcW w:w="1701" w:type="dxa"/>
            <w:noWrap/>
            <w:hideMark/>
          </w:tcPr>
          <w:p w14:paraId="2C25DA03" w14:textId="77777777" w:rsidR="00413229" w:rsidRPr="00AC1055" w:rsidRDefault="00413229" w:rsidP="00413229">
            <w:pPr>
              <w:jc w:val="center"/>
              <w:rPr>
                <w:rFonts w:cs="Times New Roman"/>
              </w:rPr>
            </w:pPr>
            <w:r w:rsidRPr="00AC1055">
              <w:rPr>
                <w:rFonts w:cs="Times New Roman"/>
              </w:rPr>
              <w:t>-0.3366</w:t>
            </w:r>
          </w:p>
        </w:tc>
        <w:tc>
          <w:tcPr>
            <w:tcW w:w="1843" w:type="dxa"/>
            <w:noWrap/>
            <w:hideMark/>
          </w:tcPr>
          <w:p w14:paraId="432981C7" w14:textId="77777777" w:rsidR="00413229" w:rsidRPr="00AC1055" w:rsidRDefault="00413229" w:rsidP="00413229">
            <w:pPr>
              <w:jc w:val="center"/>
              <w:rPr>
                <w:rFonts w:cs="Times New Roman"/>
              </w:rPr>
            </w:pPr>
            <w:r w:rsidRPr="00AC1055">
              <w:rPr>
                <w:rFonts w:cs="Times New Roman"/>
              </w:rPr>
              <w:t>-0.05165</w:t>
            </w:r>
          </w:p>
        </w:tc>
      </w:tr>
      <w:tr w:rsidR="00413229" w:rsidRPr="00AC1055" w14:paraId="50BC535B" w14:textId="77777777" w:rsidTr="00413229">
        <w:trPr>
          <w:trHeight w:val="300"/>
        </w:trPr>
        <w:tc>
          <w:tcPr>
            <w:tcW w:w="1526" w:type="dxa"/>
            <w:noWrap/>
            <w:hideMark/>
          </w:tcPr>
          <w:p w14:paraId="6C24A395" w14:textId="77777777" w:rsidR="00413229" w:rsidRPr="00AC1055" w:rsidRDefault="00413229" w:rsidP="00413229">
            <w:pPr>
              <w:jc w:val="center"/>
              <w:rPr>
                <w:rFonts w:cs="Times New Roman"/>
              </w:rPr>
            </w:pPr>
            <w:r w:rsidRPr="00AC1055">
              <w:rPr>
                <w:rFonts w:cs="Times New Roman"/>
              </w:rPr>
              <w:t>Nigeria</w:t>
            </w:r>
          </w:p>
        </w:tc>
        <w:tc>
          <w:tcPr>
            <w:tcW w:w="1701" w:type="dxa"/>
            <w:noWrap/>
            <w:hideMark/>
          </w:tcPr>
          <w:p w14:paraId="54A48DF4" w14:textId="77777777" w:rsidR="00413229" w:rsidRPr="00AC1055" w:rsidRDefault="00413229" w:rsidP="00413229">
            <w:pPr>
              <w:jc w:val="center"/>
              <w:rPr>
                <w:rFonts w:cs="Times New Roman"/>
              </w:rPr>
            </w:pPr>
            <w:r w:rsidRPr="00AC1055">
              <w:rPr>
                <w:rFonts w:cs="Times New Roman"/>
              </w:rPr>
              <w:t>-0.20744</w:t>
            </w:r>
          </w:p>
        </w:tc>
        <w:tc>
          <w:tcPr>
            <w:tcW w:w="1701" w:type="dxa"/>
            <w:noWrap/>
            <w:hideMark/>
          </w:tcPr>
          <w:p w14:paraId="47E6A906" w14:textId="77777777" w:rsidR="00413229" w:rsidRPr="00AC1055" w:rsidRDefault="00413229" w:rsidP="00413229">
            <w:pPr>
              <w:jc w:val="center"/>
              <w:rPr>
                <w:rFonts w:cs="Times New Roman"/>
              </w:rPr>
            </w:pPr>
            <w:r w:rsidRPr="00AC1055">
              <w:rPr>
                <w:rFonts w:cs="Times New Roman"/>
              </w:rPr>
              <w:t>-0.3563</w:t>
            </w:r>
          </w:p>
        </w:tc>
        <w:tc>
          <w:tcPr>
            <w:tcW w:w="1843" w:type="dxa"/>
            <w:noWrap/>
            <w:hideMark/>
          </w:tcPr>
          <w:p w14:paraId="76EF2DC8" w14:textId="77777777" w:rsidR="00413229" w:rsidRPr="00AC1055" w:rsidRDefault="00413229" w:rsidP="00413229">
            <w:pPr>
              <w:jc w:val="center"/>
              <w:rPr>
                <w:rFonts w:cs="Times New Roman"/>
              </w:rPr>
            </w:pPr>
            <w:r w:rsidRPr="00AC1055">
              <w:rPr>
                <w:rFonts w:cs="Times New Roman"/>
              </w:rPr>
              <w:t>-0.06275</w:t>
            </w:r>
          </w:p>
        </w:tc>
      </w:tr>
      <w:tr w:rsidR="00413229" w:rsidRPr="00AC1055" w14:paraId="15F75F2E" w14:textId="77777777" w:rsidTr="00413229">
        <w:trPr>
          <w:trHeight w:val="300"/>
        </w:trPr>
        <w:tc>
          <w:tcPr>
            <w:tcW w:w="1526" w:type="dxa"/>
            <w:noWrap/>
            <w:hideMark/>
          </w:tcPr>
          <w:p w14:paraId="63D6B415" w14:textId="77777777" w:rsidR="00413229" w:rsidRPr="00AC1055" w:rsidRDefault="00413229" w:rsidP="00413229">
            <w:pPr>
              <w:jc w:val="center"/>
              <w:rPr>
                <w:rFonts w:cs="Times New Roman"/>
              </w:rPr>
            </w:pPr>
            <w:r w:rsidRPr="00AC1055">
              <w:rPr>
                <w:rFonts w:cs="Times New Roman"/>
              </w:rPr>
              <w:t>Hong Kong</w:t>
            </w:r>
          </w:p>
        </w:tc>
        <w:tc>
          <w:tcPr>
            <w:tcW w:w="1701" w:type="dxa"/>
            <w:noWrap/>
            <w:hideMark/>
          </w:tcPr>
          <w:p w14:paraId="3EC7644B" w14:textId="77777777" w:rsidR="00413229" w:rsidRPr="00AC1055" w:rsidRDefault="00413229" w:rsidP="00413229">
            <w:pPr>
              <w:jc w:val="center"/>
              <w:rPr>
                <w:rFonts w:cs="Times New Roman"/>
              </w:rPr>
            </w:pPr>
            <w:r w:rsidRPr="00AC1055">
              <w:rPr>
                <w:rFonts w:cs="Times New Roman"/>
              </w:rPr>
              <w:t>0.270039</w:t>
            </w:r>
          </w:p>
        </w:tc>
        <w:tc>
          <w:tcPr>
            <w:tcW w:w="1701" w:type="dxa"/>
            <w:noWrap/>
            <w:hideMark/>
          </w:tcPr>
          <w:p w14:paraId="025F62D9" w14:textId="77777777" w:rsidR="00413229" w:rsidRPr="00AC1055" w:rsidRDefault="00413229" w:rsidP="00413229">
            <w:pPr>
              <w:jc w:val="center"/>
              <w:rPr>
                <w:rFonts w:cs="Times New Roman"/>
              </w:rPr>
            </w:pPr>
            <w:r w:rsidRPr="00AC1055">
              <w:rPr>
                <w:rFonts w:cs="Times New Roman"/>
              </w:rPr>
              <w:t>0.094032</w:t>
            </w:r>
          </w:p>
        </w:tc>
        <w:tc>
          <w:tcPr>
            <w:tcW w:w="1843" w:type="dxa"/>
            <w:noWrap/>
            <w:hideMark/>
          </w:tcPr>
          <w:p w14:paraId="205FCAE4" w14:textId="77777777" w:rsidR="00413229" w:rsidRPr="00AC1055" w:rsidRDefault="00413229" w:rsidP="00413229">
            <w:pPr>
              <w:jc w:val="center"/>
              <w:rPr>
                <w:rFonts w:cs="Times New Roman"/>
              </w:rPr>
            </w:pPr>
            <w:r w:rsidRPr="00AC1055">
              <w:rPr>
                <w:rFonts w:cs="Times New Roman"/>
              </w:rPr>
              <w:t>0.450204</w:t>
            </w:r>
          </w:p>
        </w:tc>
      </w:tr>
      <w:tr w:rsidR="00413229" w:rsidRPr="00AC1055" w14:paraId="40F5B8F3" w14:textId="77777777" w:rsidTr="00413229">
        <w:trPr>
          <w:trHeight w:val="300"/>
        </w:trPr>
        <w:tc>
          <w:tcPr>
            <w:tcW w:w="1526" w:type="dxa"/>
            <w:noWrap/>
            <w:hideMark/>
          </w:tcPr>
          <w:p w14:paraId="4E0B23BA" w14:textId="77777777" w:rsidR="00413229" w:rsidRPr="00AC1055" w:rsidRDefault="00413229" w:rsidP="00413229">
            <w:pPr>
              <w:jc w:val="center"/>
              <w:rPr>
                <w:rFonts w:cs="Times New Roman"/>
              </w:rPr>
            </w:pPr>
            <w:r w:rsidRPr="00AC1055">
              <w:rPr>
                <w:rFonts w:cs="Times New Roman"/>
              </w:rPr>
              <w:t>Philippines</w:t>
            </w:r>
          </w:p>
        </w:tc>
        <w:tc>
          <w:tcPr>
            <w:tcW w:w="1701" w:type="dxa"/>
            <w:noWrap/>
            <w:hideMark/>
          </w:tcPr>
          <w:p w14:paraId="1C66835E" w14:textId="77777777" w:rsidR="00413229" w:rsidRPr="00AC1055" w:rsidRDefault="00413229" w:rsidP="00413229">
            <w:pPr>
              <w:jc w:val="center"/>
              <w:rPr>
                <w:rFonts w:cs="Times New Roman"/>
              </w:rPr>
            </w:pPr>
            <w:r w:rsidRPr="00AC1055">
              <w:rPr>
                <w:rFonts w:cs="Times New Roman"/>
              </w:rPr>
              <w:t>-0.24643</w:t>
            </w:r>
          </w:p>
        </w:tc>
        <w:tc>
          <w:tcPr>
            <w:tcW w:w="1701" w:type="dxa"/>
            <w:noWrap/>
            <w:hideMark/>
          </w:tcPr>
          <w:p w14:paraId="23CA7D19" w14:textId="77777777" w:rsidR="00413229" w:rsidRPr="00AC1055" w:rsidRDefault="00413229" w:rsidP="00413229">
            <w:pPr>
              <w:jc w:val="center"/>
              <w:rPr>
                <w:rFonts w:cs="Times New Roman"/>
              </w:rPr>
            </w:pPr>
            <w:r w:rsidRPr="00AC1055">
              <w:rPr>
                <w:rFonts w:cs="Times New Roman"/>
              </w:rPr>
              <w:t>-0.38522</w:t>
            </w:r>
          </w:p>
        </w:tc>
        <w:tc>
          <w:tcPr>
            <w:tcW w:w="1843" w:type="dxa"/>
            <w:noWrap/>
            <w:hideMark/>
          </w:tcPr>
          <w:p w14:paraId="2A2DFAA8" w14:textId="77777777" w:rsidR="00413229" w:rsidRPr="00AC1055" w:rsidRDefault="00413229" w:rsidP="00413229">
            <w:pPr>
              <w:jc w:val="center"/>
              <w:rPr>
                <w:rFonts w:cs="Times New Roman"/>
              </w:rPr>
            </w:pPr>
            <w:r w:rsidRPr="00AC1055">
              <w:rPr>
                <w:rFonts w:cs="Times New Roman"/>
              </w:rPr>
              <w:t>-0.10797</w:t>
            </w:r>
          </w:p>
        </w:tc>
      </w:tr>
      <w:tr w:rsidR="00413229" w:rsidRPr="00AC1055" w14:paraId="18A037B3" w14:textId="77777777" w:rsidTr="00413229">
        <w:trPr>
          <w:trHeight w:val="300"/>
        </w:trPr>
        <w:tc>
          <w:tcPr>
            <w:tcW w:w="1526" w:type="dxa"/>
            <w:noWrap/>
            <w:hideMark/>
          </w:tcPr>
          <w:p w14:paraId="2DC52BC7" w14:textId="77777777" w:rsidR="00413229" w:rsidRPr="00AC1055" w:rsidRDefault="00413229" w:rsidP="00413229">
            <w:pPr>
              <w:jc w:val="center"/>
              <w:rPr>
                <w:rFonts w:cs="Times New Roman"/>
              </w:rPr>
            </w:pPr>
            <w:r w:rsidRPr="00AC1055">
              <w:rPr>
                <w:rFonts w:cs="Times New Roman"/>
              </w:rPr>
              <w:t>El Salvador</w:t>
            </w:r>
          </w:p>
        </w:tc>
        <w:tc>
          <w:tcPr>
            <w:tcW w:w="1701" w:type="dxa"/>
            <w:noWrap/>
            <w:hideMark/>
          </w:tcPr>
          <w:p w14:paraId="002D418C" w14:textId="77777777" w:rsidR="00413229" w:rsidRPr="00AC1055" w:rsidRDefault="00413229" w:rsidP="00413229">
            <w:pPr>
              <w:jc w:val="center"/>
              <w:rPr>
                <w:rFonts w:cs="Times New Roman"/>
              </w:rPr>
            </w:pPr>
            <w:r w:rsidRPr="00AC1055">
              <w:rPr>
                <w:rFonts w:cs="Times New Roman"/>
              </w:rPr>
              <w:t>-0.17016</w:t>
            </w:r>
          </w:p>
        </w:tc>
        <w:tc>
          <w:tcPr>
            <w:tcW w:w="1701" w:type="dxa"/>
            <w:noWrap/>
            <w:hideMark/>
          </w:tcPr>
          <w:p w14:paraId="63383993" w14:textId="77777777" w:rsidR="00413229" w:rsidRPr="00AC1055" w:rsidRDefault="00413229" w:rsidP="00413229">
            <w:pPr>
              <w:jc w:val="center"/>
              <w:rPr>
                <w:rFonts w:cs="Times New Roman"/>
              </w:rPr>
            </w:pPr>
            <w:r w:rsidRPr="00AC1055">
              <w:rPr>
                <w:rFonts w:cs="Times New Roman"/>
              </w:rPr>
              <w:t>-0.30293</w:t>
            </w:r>
          </w:p>
        </w:tc>
        <w:tc>
          <w:tcPr>
            <w:tcW w:w="1843" w:type="dxa"/>
            <w:noWrap/>
            <w:hideMark/>
          </w:tcPr>
          <w:p w14:paraId="7F05B290" w14:textId="77777777" w:rsidR="00413229" w:rsidRPr="00AC1055" w:rsidRDefault="00413229" w:rsidP="00413229">
            <w:pPr>
              <w:jc w:val="center"/>
              <w:rPr>
                <w:rFonts w:cs="Times New Roman"/>
              </w:rPr>
            </w:pPr>
            <w:r w:rsidRPr="00AC1055">
              <w:rPr>
                <w:rFonts w:cs="Times New Roman"/>
              </w:rPr>
              <w:t>-0.03418</w:t>
            </w:r>
          </w:p>
        </w:tc>
      </w:tr>
      <w:tr w:rsidR="00413229" w:rsidRPr="00AC1055" w14:paraId="1CFFDC98" w14:textId="77777777" w:rsidTr="00413229">
        <w:trPr>
          <w:trHeight w:val="300"/>
        </w:trPr>
        <w:tc>
          <w:tcPr>
            <w:tcW w:w="1526" w:type="dxa"/>
            <w:noWrap/>
            <w:hideMark/>
          </w:tcPr>
          <w:p w14:paraId="55858B65" w14:textId="77777777" w:rsidR="00413229" w:rsidRPr="00AC1055" w:rsidRDefault="00413229" w:rsidP="00413229">
            <w:pPr>
              <w:jc w:val="center"/>
              <w:rPr>
                <w:rFonts w:cs="Times New Roman"/>
              </w:rPr>
            </w:pPr>
            <w:r w:rsidRPr="00AC1055">
              <w:rPr>
                <w:rFonts w:cs="Times New Roman"/>
              </w:rPr>
              <w:t>Vietnam</w:t>
            </w:r>
          </w:p>
        </w:tc>
        <w:tc>
          <w:tcPr>
            <w:tcW w:w="1701" w:type="dxa"/>
            <w:noWrap/>
            <w:hideMark/>
          </w:tcPr>
          <w:p w14:paraId="7F417276" w14:textId="77777777" w:rsidR="00413229" w:rsidRPr="00AC1055" w:rsidRDefault="00413229" w:rsidP="00413229">
            <w:pPr>
              <w:jc w:val="center"/>
              <w:rPr>
                <w:rFonts w:cs="Times New Roman"/>
              </w:rPr>
            </w:pPr>
            <w:r w:rsidRPr="00AC1055">
              <w:rPr>
                <w:rFonts w:cs="Times New Roman"/>
              </w:rPr>
              <w:t>-0.0575</w:t>
            </w:r>
          </w:p>
        </w:tc>
        <w:tc>
          <w:tcPr>
            <w:tcW w:w="1701" w:type="dxa"/>
            <w:noWrap/>
            <w:hideMark/>
          </w:tcPr>
          <w:p w14:paraId="0CD111BB" w14:textId="77777777" w:rsidR="00413229" w:rsidRPr="00AC1055" w:rsidRDefault="00413229" w:rsidP="00413229">
            <w:pPr>
              <w:jc w:val="center"/>
              <w:rPr>
                <w:rFonts w:cs="Times New Roman"/>
              </w:rPr>
            </w:pPr>
            <w:r w:rsidRPr="00AC1055">
              <w:rPr>
                <w:rFonts w:cs="Times New Roman"/>
              </w:rPr>
              <w:t>-0.2212</w:t>
            </w:r>
          </w:p>
        </w:tc>
        <w:tc>
          <w:tcPr>
            <w:tcW w:w="1843" w:type="dxa"/>
            <w:noWrap/>
            <w:hideMark/>
          </w:tcPr>
          <w:p w14:paraId="4BA1E5F6" w14:textId="77777777" w:rsidR="00413229" w:rsidRPr="00AC1055" w:rsidRDefault="00413229" w:rsidP="00413229">
            <w:pPr>
              <w:jc w:val="center"/>
              <w:rPr>
                <w:rFonts w:cs="Times New Roman"/>
              </w:rPr>
            </w:pPr>
            <w:r w:rsidRPr="00AC1055">
              <w:rPr>
                <w:rFonts w:cs="Times New Roman"/>
              </w:rPr>
              <w:t>0.105893</w:t>
            </w:r>
          </w:p>
        </w:tc>
      </w:tr>
    </w:tbl>
    <w:p w14:paraId="1EBE7EF9" w14:textId="77777777" w:rsidR="00413229" w:rsidRPr="00AC1055" w:rsidRDefault="00413229" w:rsidP="00413229">
      <w:pPr>
        <w:spacing w:line="480" w:lineRule="auto"/>
        <w:rPr>
          <w:rFonts w:cs="Times New Roman"/>
        </w:rPr>
      </w:pPr>
    </w:p>
    <w:p w14:paraId="35109D35" w14:textId="2E07F4BC" w:rsidR="00413229" w:rsidRPr="00AC1055" w:rsidRDefault="00413229" w:rsidP="00413229">
      <w:pPr>
        <w:spacing w:line="480" w:lineRule="auto"/>
        <w:rPr>
          <w:rFonts w:cs="Times New Roman"/>
        </w:rPr>
      </w:pPr>
      <w:r w:rsidRPr="00AC1055">
        <w:rPr>
          <w:rFonts w:cs="Times New Roman"/>
        </w:rPr>
        <w:t>The trace plots below on the left show that the MCMC chains have converged and the density plots on the right show the spread of the output. Uniform density plots and converging trace plots signify that the Bayesian model being run in this research has converged and is statistically valid.</w:t>
      </w:r>
      <w:r w:rsidR="00442FF0">
        <w:rPr>
          <w:rFonts w:cs="Times New Roman"/>
        </w:rPr>
        <w:t xml:space="preserve"> A couple of graphs are shown here the entirety of trace plots and density plots is available in DVD2 and Appendix IV.</w:t>
      </w:r>
    </w:p>
    <w:p w14:paraId="79843723" w14:textId="5C201DC1"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4862FF1E" wp14:editId="70E973EB">
            <wp:extent cx="5210175" cy="122333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21520" cy="1225999"/>
                    </a:xfrm>
                    <a:prstGeom prst="rect">
                      <a:avLst/>
                    </a:prstGeom>
                    <a:noFill/>
                    <a:ln>
                      <a:noFill/>
                    </a:ln>
                  </pic:spPr>
                </pic:pic>
              </a:graphicData>
            </a:graphic>
          </wp:inline>
        </w:drawing>
      </w:r>
    </w:p>
    <w:p w14:paraId="6044351F" w14:textId="55A01234"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77308DD2" wp14:editId="2A35F8E5">
            <wp:extent cx="5263738" cy="13716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3738" cy="1371600"/>
                    </a:xfrm>
                    <a:prstGeom prst="rect">
                      <a:avLst/>
                    </a:prstGeom>
                    <a:noFill/>
                    <a:ln>
                      <a:noFill/>
                    </a:ln>
                  </pic:spPr>
                </pic:pic>
              </a:graphicData>
            </a:graphic>
          </wp:inline>
        </w:drawing>
      </w:r>
    </w:p>
    <w:p w14:paraId="33B6C665" w14:textId="19EA0CD3" w:rsidR="00413229" w:rsidRPr="00AC1055" w:rsidRDefault="00413229" w:rsidP="00413229">
      <w:pPr>
        <w:spacing w:line="480" w:lineRule="auto"/>
        <w:rPr>
          <w:rFonts w:cs="Times New Roman"/>
        </w:rPr>
      </w:pPr>
      <w:r w:rsidRPr="00AC1055">
        <w:rPr>
          <w:rFonts w:cs="Times New Roman"/>
        </w:rPr>
        <w:t>A further proof that the model is stable is provided by the Gelman and Rubin's convergence diagnostic, if the value is 1± 0.05 the variable is said to have converged.</w:t>
      </w:r>
      <w:r w:rsidR="00C67920">
        <w:rPr>
          <w:rStyle w:val="FootnoteReference"/>
          <w:rFonts w:cs="Times New Roman"/>
        </w:rPr>
        <w:footnoteReference w:id="309"/>
      </w:r>
      <w:r w:rsidRPr="00AC1055">
        <w:rPr>
          <w:rFonts w:cs="Times New Roman"/>
        </w:rPr>
        <w:t xml:space="preserve"> Below </w:t>
      </w:r>
      <w:r>
        <w:rPr>
          <w:rFonts w:cs="Times New Roman"/>
        </w:rPr>
        <w:t xml:space="preserve">are </w:t>
      </w:r>
      <w:r w:rsidRPr="00AC1055">
        <w:rPr>
          <w:rFonts w:cs="Times New Roman"/>
        </w:rPr>
        <w:t>Gelman and Rubin's convergence diagnostic for the regression coefficients:</w:t>
      </w:r>
    </w:p>
    <w:tbl>
      <w:tblPr>
        <w:tblStyle w:val="TableGrid"/>
        <w:tblW w:w="0" w:type="auto"/>
        <w:tblInd w:w="807" w:type="dxa"/>
        <w:tblLook w:val="04A0" w:firstRow="1" w:lastRow="0" w:firstColumn="1" w:lastColumn="0" w:noHBand="0" w:noVBand="1"/>
      </w:tblPr>
      <w:tblGrid>
        <w:gridCol w:w="1043"/>
        <w:gridCol w:w="2893"/>
      </w:tblGrid>
      <w:tr w:rsidR="00413229" w:rsidRPr="00AC1055" w14:paraId="414B9D24" w14:textId="77777777" w:rsidTr="00991CFF">
        <w:trPr>
          <w:trHeight w:val="300"/>
        </w:trPr>
        <w:tc>
          <w:tcPr>
            <w:tcW w:w="1043" w:type="dxa"/>
            <w:noWrap/>
          </w:tcPr>
          <w:p w14:paraId="05E5EC42" w14:textId="77777777" w:rsidR="00413229" w:rsidRPr="00AC1055" w:rsidRDefault="00413229" w:rsidP="00413229">
            <w:pPr>
              <w:jc w:val="center"/>
              <w:rPr>
                <w:rFonts w:cs="Times New Roman"/>
                <w:szCs w:val="24"/>
              </w:rPr>
            </w:pPr>
            <w:r w:rsidRPr="00AC1055">
              <w:rPr>
                <w:rFonts w:cs="Times New Roman"/>
                <w:szCs w:val="24"/>
              </w:rPr>
              <w:t>Variable</w:t>
            </w:r>
          </w:p>
        </w:tc>
        <w:tc>
          <w:tcPr>
            <w:tcW w:w="2893" w:type="dxa"/>
            <w:noWrap/>
          </w:tcPr>
          <w:p w14:paraId="60A5521A" w14:textId="77777777" w:rsidR="00413229" w:rsidRPr="00AC1055" w:rsidRDefault="00413229" w:rsidP="00413229">
            <w:pPr>
              <w:jc w:val="center"/>
              <w:rPr>
                <w:rFonts w:cs="Times New Roman"/>
                <w:szCs w:val="24"/>
              </w:rPr>
            </w:pPr>
            <w:r w:rsidRPr="00AC1055">
              <w:rPr>
                <w:rFonts w:cs="Times New Roman"/>
                <w:szCs w:val="24"/>
              </w:rPr>
              <w:t>Mean estimate of convergence diagnsotic</w:t>
            </w:r>
          </w:p>
        </w:tc>
      </w:tr>
      <w:tr w:rsidR="00413229" w:rsidRPr="00AC1055" w14:paraId="1D11F7C3" w14:textId="77777777" w:rsidTr="00991CFF">
        <w:trPr>
          <w:trHeight w:val="300"/>
        </w:trPr>
        <w:tc>
          <w:tcPr>
            <w:tcW w:w="1043" w:type="dxa"/>
            <w:noWrap/>
            <w:hideMark/>
          </w:tcPr>
          <w:p w14:paraId="0CD844EC" w14:textId="77777777" w:rsidR="00413229" w:rsidRPr="00AC1055" w:rsidRDefault="00413229" w:rsidP="00413229">
            <w:pPr>
              <w:jc w:val="center"/>
              <w:rPr>
                <w:rFonts w:cs="Times New Roman"/>
                <w:szCs w:val="24"/>
              </w:rPr>
            </w:pPr>
            <w:r w:rsidRPr="00AC1055">
              <w:rPr>
                <w:rFonts w:cs="Times New Roman"/>
                <w:szCs w:val="24"/>
              </w:rPr>
              <w:t>b1</w:t>
            </w:r>
          </w:p>
        </w:tc>
        <w:tc>
          <w:tcPr>
            <w:tcW w:w="2893" w:type="dxa"/>
            <w:noWrap/>
            <w:hideMark/>
          </w:tcPr>
          <w:p w14:paraId="5FD8D937" w14:textId="77777777" w:rsidR="00413229" w:rsidRPr="00AC1055" w:rsidRDefault="00413229" w:rsidP="00413229">
            <w:pPr>
              <w:jc w:val="center"/>
              <w:rPr>
                <w:rFonts w:cs="Times New Roman"/>
                <w:szCs w:val="24"/>
              </w:rPr>
            </w:pPr>
            <w:r w:rsidRPr="00AC1055">
              <w:rPr>
                <w:rFonts w:cs="Times New Roman"/>
                <w:szCs w:val="24"/>
              </w:rPr>
              <w:t>1.010659</w:t>
            </w:r>
          </w:p>
        </w:tc>
      </w:tr>
      <w:tr w:rsidR="00413229" w:rsidRPr="00AC1055" w14:paraId="5326A94E" w14:textId="77777777" w:rsidTr="00991CFF">
        <w:trPr>
          <w:trHeight w:val="300"/>
        </w:trPr>
        <w:tc>
          <w:tcPr>
            <w:tcW w:w="1043" w:type="dxa"/>
            <w:noWrap/>
            <w:hideMark/>
          </w:tcPr>
          <w:p w14:paraId="555AB314" w14:textId="77777777" w:rsidR="00413229" w:rsidRPr="00AC1055" w:rsidRDefault="00413229" w:rsidP="00413229">
            <w:pPr>
              <w:jc w:val="center"/>
              <w:rPr>
                <w:rFonts w:cs="Times New Roman"/>
                <w:szCs w:val="24"/>
              </w:rPr>
            </w:pPr>
            <w:r w:rsidRPr="00AC1055">
              <w:rPr>
                <w:rFonts w:cs="Times New Roman"/>
                <w:szCs w:val="24"/>
              </w:rPr>
              <w:t>b2</w:t>
            </w:r>
          </w:p>
        </w:tc>
        <w:tc>
          <w:tcPr>
            <w:tcW w:w="2893" w:type="dxa"/>
            <w:noWrap/>
            <w:hideMark/>
          </w:tcPr>
          <w:p w14:paraId="1394EBCC" w14:textId="77777777" w:rsidR="00413229" w:rsidRPr="00AC1055" w:rsidRDefault="00413229" w:rsidP="00413229">
            <w:pPr>
              <w:jc w:val="center"/>
              <w:rPr>
                <w:rFonts w:cs="Times New Roman"/>
                <w:szCs w:val="24"/>
              </w:rPr>
            </w:pPr>
            <w:r w:rsidRPr="00AC1055">
              <w:rPr>
                <w:rFonts w:cs="Times New Roman"/>
                <w:szCs w:val="24"/>
              </w:rPr>
              <w:t>1.0047</w:t>
            </w:r>
          </w:p>
        </w:tc>
      </w:tr>
      <w:tr w:rsidR="00413229" w:rsidRPr="00AC1055" w14:paraId="25ED5F4E" w14:textId="77777777" w:rsidTr="00991CFF">
        <w:trPr>
          <w:trHeight w:val="300"/>
        </w:trPr>
        <w:tc>
          <w:tcPr>
            <w:tcW w:w="1043" w:type="dxa"/>
            <w:noWrap/>
            <w:hideMark/>
          </w:tcPr>
          <w:p w14:paraId="0D39F805" w14:textId="77777777" w:rsidR="00413229" w:rsidRPr="00AC1055" w:rsidRDefault="00413229" w:rsidP="00413229">
            <w:pPr>
              <w:jc w:val="center"/>
              <w:rPr>
                <w:rFonts w:cs="Times New Roman"/>
                <w:szCs w:val="24"/>
              </w:rPr>
            </w:pPr>
            <w:r w:rsidRPr="00AC1055">
              <w:rPr>
                <w:rFonts w:cs="Times New Roman"/>
                <w:szCs w:val="24"/>
              </w:rPr>
              <w:t>b3</w:t>
            </w:r>
          </w:p>
        </w:tc>
        <w:tc>
          <w:tcPr>
            <w:tcW w:w="2893" w:type="dxa"/>
            <w:noWrap/>
            <w:hideMark/>
          </w:tcPr>
          <w:p w14:paraId="03EC93C3" w14:textId="77777777" w:rsidR="00413229" w:rsidRPr="00AC1055" w:rsidRDefault="00413229" w:rsidP="00413229">
            <w:pPr>
              <w:jc w:val="center"/>
              <w:rPr>
                <w:rFonts w:cs="Times New Roman"/>
                <w:szCs w:val="24"/>
              </w:rPr>
            </w:pPr>
            <w:r w:rsidRPr="00AC1055">
              <w:rPr>
                <w:rFonts w:cs="Times New Roman"/>
                <w:szCs w:val="24"/>
              </w:rPr>
              <w:t>1.011442</w:t>
            </w:r>
          </w:p>
        </w:tc>
      </w:tr>
      <w:tr w:rsidR="00413229" w:rsidRPr="00AC1055" w14:paraId="045C44A1" w14:textId="77777777" w:rsidTr="00991CFF">
        <w:trPr>
          <w:trHeight w:val="300"/>
        </w:trPr>
        <w:tc>
          <w:tcPr>
            <w:tcW w:w="1043" w:type="dxa"/>
            <w:noWrap/>
            <w:hideMark/>
          </w:tcPr>
          <w:p w14:paraId="1E6E0768" w14:textId="77777777" w:rsidR="00413229" w:rsidRPr="00AC1055" w:rsidRDefault="00413229" w:rsidP="00413229">
            <w:pPr>
              <w:jc w:val="center"/>
              <w:rPr>
                <w:rFonts w:cs="Times New Roman"/>
                <w:szCs w:val="24"/>
              </w:rPr>
            </w:pPr>
            <w:r w:rsidRPr="00AC1055">
              <w:rPr>
                <w:rFonts w:cs="Times New Roman"/>
                <w:szCs w:val="24"/>
              </w:rPr>
              <w:t>b4</w:t>
            </w:r>
          </w:p>
        </w:tc>
        <w:tc>
          <w:tcPr>
            <w:tcW w:w="2893" w:type="dxa"/>
            <w:noWrap/>
            <w:hideMark/>
          </w:tcPr>
          <w:p w14:paraId="7E1EF2F9" w14:textId="77777777" w:rsidR="00413229" w:rsidRPr="00AC1055" w:rsidRDefault="00413229" w:rsidP="00413229">
            <w:pPr>
              <w:jc w:val="center"/>
              <w:rPr>
                <w:rFonts w:cs="Times New Roman"/>
                <w:szCs w:val="24"/>
              </w:rPr>
            </w:pPr>
            <w:r w:rsidRPr="00AC1055">
              <w:rPr>
                <w:rFonts w:cs="Times New Roman"/>
                <w:szCs w:val="24"/>
              </w:rPr>
              <w:t>1.001846</w:t>
            </w:r>
          </w:p>
        </w:tc>
      </w:tr>
      <w:tr w:rsidR="00413229" w:rsidRPr="00AC1055" w14:paraId="75BF13DE" w14:textId="77777777" w:rsidTr="00991CFF">
        <w:trPr>
          <w:trHeight w:val="300"/>
        </w:trPr>
        <w:tc>
          <w:tcPr>
            <w:tcW w:w="1043" w:type="dxa"/>
            <w:noWrap/>
            <w:hideMark/>
          </w:tcPr>
          <w:p w14:paraId="62C185DD"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R0</w:t>
            </w:r>
          </w:p>
        </w:tc>
        <w:tc>
          <w:tcPr>
            <w:tcW w:w="2893" w:type="dxa"/>
            <w:noWrap/>
            <w:hideMark/>
          </w:tcPr>
          <w:p w14:paraId="35396406"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1.000046</w:t>
            </w:r>
          </w:p>
        </w:tc>
      </w:tr>
      <w:tr w:rsidR="00413229" w:rsidRPr="00AC1055" w14:paraId="2012E74B" w14:textId="77777777" w:rsidTr="00991CFF">
        <w:trPr>
          <w:trHeight w:val="300"/>
        </w:trPr>
        <w:tc>
          <w:tcPr>
            <w:tcW w:w="1043" w:type="dxa"/>
            <w:noWrap/>
            <w:hideMark/>
          </w:tcPr>
          <w:p w14:paraId="3E6A15BF"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R1</w:t>
            </w:r>
          </w:p>
        </w:tc>
        <w:tc>
          <w:tcPr>
            <w:tcW w:w="2893" w:type="dxa"/>
            <w:noWrap/>
            <w:hideMark/>
          </w:tcPr>
          <w:p w14:paraId="06D12206"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1.000867</w:t>
            </w:r>
          </w:p>
        </w:tc>
      </w:tr>
      <w:tr w:rsidR="00413229" w:rsidRPr="00AC1055" w14:paraId="582F8C6C" w14:textId="77777777" w:rsidTr="00991CFF">
        <w:trPr>
          <w:trHeight w:val="300"/>
        </w:trPr>
        <w:tc>
          <w:tcPr>
            <w:tcW w:w="1043" w:type="dxa"/>
            <w:noWrap/>
            <w:hideMark/>
          </w:tcPr>
          <w:p w14:paraId="103FFB0C"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R2</w:t>
            </w:r>
          </w:p>
        </w:tc>
        <w:tc>
          <w:tcPr>
            <w:tcW w:w="2893" w:type="dxa"/>
            <w:noWrap/>
            <w:hideMark/>
          </w:tcPr>
          <w:p w14:paraId="018EA3D3"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1.000028</w:t>
            </w:r>
          </w:p>
        </w:tc>
      </w:tr>
      <w:tr w:rsidR="00413229" w:rsidRPr="00AC1055" w14:paraId="57454661" w14:textId="77777777" w:rsidTr="00991CFF">
        <w:trPr>
          <w:trHeight w:val="300"/>
        </w:trPr>
        <w:tc>
          <w:tcPr>
            <w:tcW w:w="1043" w:type="dxa"/>
            <w:noWrap/>
            <w:hideMark/>
          </w:tcPr>
          <w:p w14:paraId="332B02F9"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R3</w:t>
            </w:r>
          </w:p>
        </w:tc>
        <w:tc>
          <w:tcPr>
            <w:tcW w:w="2893" w:type="dxa"/>
            <w:noWrap/>
            <w:hideMark/>
          </w:tcPr>
          <w:p w14:paraId="141DD371"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1.001067</w:t>
            </w:r>
          </w:p>
        </w:tc>
      </w:tr>
      <w:tr w:rsidR="00413229" w:rsidRPr="00AC1055" w14:paraId="0FB8FAB9" w14:textId="77777777" w:rsidTr="00991CFF">
        <w:trPr>
          <w:trHeight w:val="300"/>
        </w:trPr>
        <w:tc>
          <w:tcPr>
            <w:tcW w:w="1043" w:type="dxa"/>
            <w:noWrap/>
            <w:hideMark/>
          </w:tcPr>
          <w:p w14:paraId="17A9D726"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R4</w:t>
            </w:r>
          </w:p>
        </w:tc>
        <w:tc>
          <w:tcPr>
            <w:tcW w:w="2893" w:type="dxa"/>
            <w:noWrap/>
            <w:hideMark/>
          </w:tcPr>
          <w:p w14:paraId="69AF9376" w14:textId="77777777" w:rsidR="00413229" w:rsidRPr="00AC1055" w:rsidRDefault="00413229" w:rsidP="00413229">
            <w:pPr>
              <w:jc w:val="center"/>
              <w:rPr>
                <w:rFonts w:eastAsia="Times New Roman" w:cs="Times New Roman"/>
                <w:color w:val="000000"/>
                <w:szCs w:val="24"/>
                <w:lang w:eastAsia="en-GB"/>
              </w:rPr>
            </w:pPr>
            <w:r w:rsidRPr="00AC1055">
              <w:rPr>
                <w:rFonts w:eastAsia="Times New Roman" w:cs="Times New Roman"/>
                <w:color w:val="000000"/>
                <w:szCs w:val="24"/>
                <w:lang w:eastAsia="en-GB"/>
              </w:rPr>
              <w:t>1.001472</w:t>
            </w:r>
          </w:p>
        </w:tc>
      </w:tr>
    </w:tbl>
    <w:p w14:paraId="4677516A" w14:textId="77777777" w:rsidR="00413229" w:rsidRPr="00AC1055" w:rsidRDefault="00413229" w:rsidP="00413229">
      <w:pPr>
        <w:spacing w:line="480" w:lineRule="auto"/>
        <w:rPr>
          <w:rFonts w:cs="Times New Roman"/>
        </w:rPr>
      </w:pPr>
      <w:r w:rsidRPr="00AC1055">
        <w:rPr>
          <w:rFonts w:cs="Times New Roman"/>
        </w:rPr>
        <w:t xml:space="preserve">A comparison of </w:t>
      </w:r>
      <w:r>
        <w:rPr>
          <w:rFonts w:cs="Times New Roman"/>
        </w:rPr>
        <w:t>c</w:t>
      </w:r>
      <w:r w:rsidRPr="00AC1055">
        <w:rPr>
          <w:rFonts w:cs="Times New Roman"/>
        </w:rPr>
        <w:t>orporate governance coefficient (b1) mean estimates of 0.0659 with the mean estimates of control variables like economic growth coefficient (b2) 0.4169 and industrial value addition coefficient (b4) 0.3706, shows that economic growth coupled with technology</w:t>
      </w:r>
      <w:r>
        <w:rPr>
          <w:rFonts w:cs="Times New Roman"/>
        </w:rPr>
        <w:t>-</w:t>
      </w:r>
      <w:r w:rsidRPr="00AC1055">
        <w:rPr>
          <w:rFonts w:cs="Times New Roman"/>
        </w:rPr>
        <w:t>led industrial growth ha</w:t>
      </w:r>
      <w:r>
        <w:rPr>
          <w:rFonts w:cs="Times New Roman"/>
        </w:rPr>
        <w:t>s</w:t>
      </w:r>
      <w:r w:rsidRPr="00AC1055">
        <w:rPr>
          <w:rFonts w:cs="Times New Roman"/>
        </w:rPr>
        <w:t xml:space="preserve"> twelve time</w:t>
      </w:r>
      <w:r>
        <w:rPr>
          <w:rFonts w:cs="Times New Roman"/>
        </w:rPr>
        <w:t>s</w:t>
      </w:r>
      <w:r w:rsidRPr="00AC1055">
        <w:rPr>
          <w:rFonts w:cs="Times New Roman"/>
        </w:rPr>
        <w:t xml:space="preserve"> more impact on financial market development than </w:t>
      </w:r>
      <w:r>
        <w:rPr>
          <w:rFonts w:cs="Times New Roman"/>
        </w:rPr>
        <w:t xml:space="preserve">a </w:t>
      </w:r>
      <w:r w:rsidRPr="00AC1055">
        <w:rPr>
          <w:rFonts w:cs="Times New Roman"/>
        </w:rPr>
        <w:t>change in corporate governance model towards more shareholder value.</w:t>
      </w:r>
    </w:p>
    <w:p w14:paraId="6A7B30EA" w14:textId="315169D6" w:rsidR="00413229" w:rsidRPr="00AC1055" w:rsidRDefault="00413229" w:rsidP="00413229">
      <w:pPr>
        <w:spacing w:line="480" w:lineRule="auto"/>
        <w:rPr>
          <w:rFonts w:cs="Times New Roman"/>
        </w:rPr>
      </w:pPr>
      <w:r w:rsidRPr="00AC1055">
        <w:rPr>
          <w:rFonts w:cs="Times New Roman"/>
        </w:rPr>
        <w:t xml:space="preserve">Another way of presenting the data would be to state that the model predicts that keeping other factors constant increasing the economy and high technology output by 1.25 times double the financial development, while to reach the same level of </w:t>
      </w:r>
      <w:r w:rsidRPr="00AC1055">
        <w:rPr>
          <w:rFonts w:cs="Times New Roman"/>
        </w:rPr>
        <w:lastRenderedPageBreak/>
        <w:t xml:space="preserve">financial development growth only by improving corporate governance would require a fifteen fold shift in </w:t>
      </w:r>
      <w:r>
        <w:rPr>
          <w:rFonts w:cs="Times New Roman"/>
        </w:rPr>
        <w:t xml:space="preserve">the </w:t>
      </w:r>
      <w:r w:rsidRPr="00AC1055">
        <w:rPr>
          <w:rFonts w:cs="Times New Roman"/>
        </w:rPr>
        <w:t xml:space="preserve">corporate governance regime towards </w:t>
      </w:r>
      <w:r>
        <w:rPr>
          <w:rFonts w:cs="Times New Roman"/>
        </w:rPr>
        <w:t xml:space="preserve">a </w:t>
      </w:r>
      <w:r w:rsidRPr="00AC1055">
        <w:rPr>
          <w:rFonts w:cs="Times New Roman"/>
        </w:rPr>
        <w:t xml:space="preserve">shareholder value model. As seen in </w:t>
      </w:r>
      <w:r>
        <w:rPr>
          <w:rFonts w:cs="Times New Roman"/>
        </w:rPr>
        <w:t xml:space="preserve">the </w:t>
      </w:r>
      <w:r w:rsidRPr="00AC1055">
        <w:rPr>
          <w:rFonts w:cs="Times New Roman"/>
        </w:rPr>
        <w:t>previous subchapter</w:t>
      </w:r>
      <w:r>
        <w:rPr>
          <w:rFonts w:cs="Times New Roman"/>
        </w:rPr>
        <w:t>,</w:t>
      </w:r>
      <w:r w:rsidRPr="00AC1055">
        <w:rPr>
          <w:rFonts w:cs="Times New Roman"/>
        </w:rPr>
        <w:t xml:space="preserve"> the corporate governance regimes in all the countries have reached peak shareholder value orientation, </w:t>
      </w:r>
      <w:r>
        <w:rPr>
          <w:rFonts w:cs="Times New Roman"/>
        </w:rPr>
        <w:t>it is possible</w:t>
      </w:r>
      <w:r w:rsidRPr="00AC1055">
        <w:rPr>
          <w:rFonts w:cs="Times New Roman"/>
        </w:rPr>
        <w:t xml:space="preserve"> therefore </w:t>
      </w:r>
      <w:r>
        <w:rPr>
          <w:rFonts w:cs="Times New Roman"/>
        </w:rPr>
        <w:t xml:space="preserve">to </w:t>
      </w:r>
      <w:r w:rsidRPr="00AC1055">
        <w:rPr>
          <w:rFonts w:cs="Times New Roman"/>
        </w:rPr>
        <w:t>posit that there is no scope for the level of change required in corporate governance models to make any significant contribution to financial mar</w:t>
      </w:r>
      <w:r>
        <w:rPr>
          <w:rFonts w:cs="Times New Roman"/>
        </w:rPr>
        <w:t>ket growth. Armour</w:t>
      </w:r>
      <w:r w:rsidR="000D2205">
        <w:rPr>
          <w:rFonts w:cs="Times New Roman"/>
        </w:rPr>
        <w:t>, Deakin</w:t>
      </w:r>
      <w:r>
        <w:rPr>
          <w:rFonts w:cs="Times New Roman"/>
        </w:rPr>
        <w:t xml:space="preserve"> et al.</w:t>
      </w:r>
      <w:r w:rsidRPr="00AC1055">
        <w:rPr>
          <w:rFonts w:cs="Times New Roman"/>
        </w:rPr>
        <w:t xml:space="preserve"> also found that ‘increases in shareholder protection have not led to greater stock market development, as might have been expected.’</w:t>
      </w:r>
      <w:r w:rsidRPr="00AC1055">
        <w:rPr>
          <w:rStyle w:val="FootnoteReference"/>
          <w:rFonts w:cs="Times New Roman"/>
        </w:rPr>
        <w:footnoteReference w:id="310"/>
      </w:r>
      <w:r w:rsidRPr="00AC1055">
        <w:rPr>
          <w:rFonts w:cs="Times New Roman"/>
        </w:rPr>
        <w:t xml:space="preserve"> However they also posited that given the data was for 1995 to 2005 ‘the strengthening of shareholder rights which took place in the 1990s and 2000s has not been having its principal intended effect.’</w:t>
      </w:r>
      <w:r w:rsidR="00C67920">
        <w:rPr>
          <w:rStyle w:val="FootnoteReference"/>
          <w:rFonts w:cs="Times New Roman"/>
        </w:rPr>
        <w:footnoteReference w:id="311"/>
      </w:r>
      <w:r w:rsidRPr="00AC1055">
        <w:rPr>
          <w:rFonts w:cs="Times New Roman"/>
        </w:rPr>
        <w:t xml:space="preserve"> </w:t>
      </w:r>
      <w:r>
        <w:rPr>
          <w:rFonts w:cs="Times New Roman"/>
        </w:rPr>
        <w:t xml:space="preserve">This research </w:t>
      </w:r>
      <w:r w:rsidRPr="00AC1055">
        <w:rPr>
          <w:rFonts w:cs="Times New Roman"/>
        </w:rPr>
        <w:t>confirm</w:t>
      </w:r>
      <w:r>
        <w:rPr>
          <w:rFonts w:cs="Times New Roman"/>
        </w:rPr>
        <w:t>s</w:t>
      </w:r>
      <w:r w:rsidRPr="00AC1055">
        <w:rPr>
          <w:rFonts w:cs="Times New Roman"/>
        </w:rPr>
        <w:t xml:space="preserve"> that even under a longer time period</w:t>
      </w:r>
      <w:r>
        <w:rPr>
          <w:rFonts w:cs="Times New Roman"/>
        </w:rPr>
        <w:t>,</w:t>
      </w:r>
      <w:r w:rsidRPr="00AC1055">
        <w:rPr>
          <w:rFonts w:cs="Times New Roman"/>
        </w:rPr>
        <w:t xml:space="preserve"> data change in </w:t>
      </w:r>
      <w:r>
        <w:rPr>
          <w:rFonts w:cs="Times New Roman"/>
        </w:rPr>
        <w:t xml:space="preserve">the </w:t>
      </w:r>
      <w:r w:rsidRPr="00AC1055">
        <w:rPr>
          <w:rFonts w:cs="Times New Roman"/>
        </w:rPr>
        <w:t>corporate governance model does not have any noticeable impact on financial market growth.</w:t>
      </w:r>
    </w:p>
    <w:p w14:paraId="13105FF2" w14:textId="77777777" w:rsidR="00413229" w:rsidRPr="00AC1055" w:rsidRDefault="00413229" w:rsidP="00413229">
      <w:pPr>
        <w:spacing w:line="480" w:lineRule="auto"/>
        <w:rPr>
          <w:rFonts w:cs="Times New Roman"/>
        </w:rPr>
      </w:pPr>
      <w:r w:rsidRPr="00AC1055">
        <w:rPr>
          <w:rFonts w:cs="Times New Roman"/>
        </w:rPr>
        <w:t xml:space="preserve">However the estimate of impact of change in corporate governance (b1) 0.0659 has more bearing on financial market development in comparison to the country level variables like GINI coefficient (R2) -0.0082, peace index (R3) -0.0208, HDI (R1) -0.0793, except for rule of law estimated at (R4) 0.161 which has double the impact on financial market development. </w:t>
      </w:r>
    </w:p>
    <w:p w14:paraId="763D7FB5" w14:textId="77777777" w:rsidR="00413229" w:rsidRPr="00AC1055" w:rsidRDefault="00413229" w:rsidP="00413229">
      <w:pPr>
        <w:spacing w:line="480" w:lineRule="auto"/>
        <w:rPr>
          <w:rFonts w:cs="Times New Roman"/>
        </w:rPr>
      </w:pPr>
      <w:r w:rsidRPr="00AC1055">
        <w:rPr>
          <w:rFonts w:cs="Times New Roman"/>
        </w:rPr>
        <w:t xml:space="preserve">The model predicts that GINI coefficient (-0.0082) has almost no impact on financial market development. What is interesting is that HDI affects the financial market development negatively, this can be correlated to the fact that lower HDI would mean lower wages which would lead to more FDI and hence greater financial development. </w:t>
      </w:r>
      <w:r>
        <w:rPr>
          <w:rFonts w:cs="Times New Roman"/>
        </w:rPr>
        <w:t>However,</w:t>
      </w:r>
      <w:r w:rsidRPr="00AC1055">
        <w:rPr>
          <w:rFonts w:cs="Times New Roman"/>
        </w:rPr>
        <w:t xml:space="preserve"> this also paradoxically reduces the amount of technology</w:t>
      </w:r>
      <w:r>
        <w:rPr>
          <w:rFonts w:cs="Times New Roman"/>
        </w:rPr>
        <w:t>-</w:t>
      </w:r>
      <w:r w:rsidRPr="00AC1055">
        <w:rPr>
          <w:rFonts w:cs="Times New Roman"/>
        </w:rPr>
        <w:lastRenderedPageBreak/>
        <w:t xml:space="preserve">led exports and R&amp;D expenditure which has </w:t>
      </w:r>
      <w:r>
        <w:rPr>
          <w:rFonts w:cs="Times New Roman"/>
        </w:rPr>
        <w:t xml:space="preserve">a </w:t>
      </w:r>
      <w:r w:rsidRPr="00AC1055">
        <w:rPr>
          <w:rFonts w:cs="Times New Roman"/>
        </w:rPr>
        <w:t xml:space="preserve">high impact on financial market growth. </w:t>
      </w:r>
    </w:p>
    <w:p w14:paraId="305936D2" w14:textId="77777777" w:rsidR="00413229" w:rsidRPr="00AC1055" w:rsidRDefault="00413229" w:rsidP="00413229">
      <w:pPr>
        <w:spacing w:line="480" w:lineRule="auto"/>
        <w:rPr>
          <w:rFonts w:cs="Times New Roman"/>
        </w:rPr>
      </w:pPr>
      <w:r w:rsidRPr="00AC1055">
        <w:rPr>
          <w:rFonts w:cs="Times New Roman"/>
        </w:rPr>
        <w:t xml:space="preserve">The model also predicts that rule of law is twice as important as adopting shareholder primacy models on </w:t>
      </w:r>
      <w:r>
        <w:rPr>
          <w:rFonts w:cs="Times New Roman"/>
        </w:rPr>
        <w:t xml:space="preserve">the </w:t>
      </w:r>
      <w:r w:rsidRPr="00AC1055">
        <w:rPr>
          <w:rFonts w:cs="Times New Roman"/>
        </w:rPr>
        <w:t>growth of financial markets. This is in line with the common understanding that investors move to countr</w:t>
      </w:r>
      <w:r>
        <w:rPr>
          <w:rFonts w:cs="Times New Roman"/>
        </w:rPr>
        <w:t>ies</w:t>
      </w:r>
      <w:r w:rsidRPr="00AC1055">
        <w:rPr>
          <w:rFonts w:cs="Times New Roman"/>
        </w:rPr>
        <w:t xml:space="preserve"> with a stable legal and judicial system. </w:t>
      </w:r>
    </w:p>
    <w:p w14:paraId="6998D7B3" w14:textId="77777777" w:rsidR="00413229" w:rsidRPr="00AC1055" w:rsidRDefault="00413229" w:rsidP="00413229">
      <w:pPr>
        <w:spacing w:line="480" w:lineRule="auto"/>
        <w:rPr>
          <w:rFonts w:cs="Times New Roman"/>
        </w:rPr>
      </w:pPr>
      <w:r w:rsidRPr="00AC1055">
        <w:rPr>
          <w:rFonts w:cs="Times New Roman"/>
        </w:rPr>
        <w:t xml:space="preserve">So we can summarise that for the developing countries, studied under this research there is a weak impact of change in </w:t>
      </w:r>
      <w:r>
        <w:rPr>
          <w:rFonts w:cs="Times New Roman"/>
        </w:rPr>
        <w:t xml:space="preserve">the </w:t>
      </w:r>
      <w:r w:rsidRPr="00AC1055">
        <w:rPr>
          <w:rFonts w:cs="Times New Roman"/>
        </w:rPr>
        <w:t>corporate governance model on financial market growth</w:t>
      </w:r>
      <w:r>
        <w:rPr>
          <w:rFonts w:cs="Times New Roman"/>
        </w:rPr>
        <w:t>,</w:t>
      </w:r>
      <w:r w:rsidRPr="00AC1055">
        <w:rPr>
          <w:rFonts w:cs="Times New Roman"/>
        </w:rPr>
        <w:t xml:space="preserve"> especially in comparison to </w:t>
      </w:r>
      <w:r>
        <w:rPr>
          <w:rFonts w:cs="Times New Roman"/>
        </w:rPr>
        <w:t xml:space="preserve">the </w:t>
      </w:r>
      <w:r w:rsidRPr="00AC1055">
        <w:rPr>
          <w:rFonts w:cs="Times New Roman"/>
        </w:rPr>
        <w:t>overall impact of financial, technological and economic growth.</w:t>
      </w:r>
    </w:p>
    <w:p w14:paraId="2797DDD2" w14:textId="77777777" w:rsidR="00413229" w:rsidRPr="00AC1055" w:rsidRDefault="00413229" w:rsidP="00413229">
      <w:pPr>
        <w:spacing w:line="480" w:lineRule="auto"/>
        <w:rPr>
          <w:rFonts w:cs="Times New Roman"/>
        </w:rPr>
      </w:pPr>
    </w:p>
    <w:p w14:paraId="08259B6E" w14:textId="77777777" w:rsidR="00413229" w:rsidRPr="00534951" w:rsidRDefault="00413229" w:rsidP="00413229">
      <w:pPr>
        <w:spacing w:line="480" w:lineRule="auto"/>
        <w:rPr>
          <w:rFonts w:cs="Times New Roman"/>
          <w:b/>
          <w:u w:val="single"/>
        </w:rPr>
      </w:pPr>
      <w:r>
        <w:rPr>
          <w:rFonts w:cs="Times New Roman"/>
          <w:b/>
          <w:u w:val="single"/>
        </w:rPr>
        <w:t xml:space="preserve">4.4 </w:t>
      </w:r>
      <w:r w:rsidRPr="00534951">
        <w:rPr>
          <w:rFonts w:cs="Times New Roman"/>
          <w:b/>
          <w:u w:val="single"/>
        </w:rPr>
        <w:t>Individual country</w:t>
      </w:r>
      <w:r>
        <w:rPr>
          <w:rFonts w:cs="Times New Roman"/>
          <w:b/>
          <w:u w:val="single"/>
        </w:rPr>
        <w:t>-</w:t>
      </w:r>
      <w:r w:rsidRPr="00534951">
        <w:rPr>
          <w:rFonts w:cs="Times New Roman"/>
          <w:b/>
          <w:u w:val="single"/>
        </w:rPr>
        <w:t>based models</w:t>
      </w:r>
    </w:p>
    <w:p w14:paraId="25C89225" w14:textId="77777777" w:rsidR="00413229" w:rsidRPr="00AC1055" w:rsidRDefault="00413229" w:rsidP="00413229">
      <w:pPr>
        <w:spacing w:line="480" w:lineRule="auto"/>
        <w:rPr>
          <w:rFonts w:cs="Times New Roman"/>
        </w:rPr>
      </w:pPr>
      <w:r w:rsidRPr="00AC1055">
        <w:rPr>
          <w:rFonts w:cs="Times New Roman"/>
        </w:rPr>
        <w:t xml:space="preserve">From the analysis of the structural model in the previous subchapter </w:t>
      </w:r>
      <w:r>
        <w:rPr>
          <w:rFonts w:cs="Times New Roman"/>
        </w:rPr>
        <w:t>it is evident</w:t>
      </w:r>
      <w:r w:rsidRPr="00AC1055">
        <w:rPr>
          <w:rFonts w:cs="Times New Roman"/>
        </w:rPr>
        <w:t xml:space="preserve"> that a pro-shareholder change in corporate governance regulation has little impact on financial market development in emerging economies. However</w:t>
      </w:r>
      <w:r>
        <w:rPr>
          <w:rFonts w:cs="Times New Roman"/>
        </w:rPr>
        <w:t>,</w:t>
      </w:r>
      <w:r w:rsidRPr="00AC1055">
        <w:rPr>
          <w:rFonts w:cs="Times New Roman"/>
        </w:rPr>
        <w:t xml:space="preserve"> it will be interesting to find out the range of impact on a per country basis, i.e. instead of running a structural model incorporating all countries a basic OLS regression for each country</w:t>
      </w:r>
      <w:r>
        <w:rPr>
          <w:rFonts w:cs="Times New Roman"/>
        </w:rPr>
        <w:t xml:space="preserve"> will be used</w:t>
      </w:r>
      <w:r w:rsidRPr="00AC1055">
        <w:rPr>
          <w:rFonts w:cs="Times New Roman"/>
        </w:rPr>
        <w:t xml:space="preserve">. This will help to isolate any country which may have reacted more positively </w:t>
      </w:r>
      <w:r>
        <w:rPr>
          <w:rFonts w:cs="Times New Roman"/>
        </w:rPr>
        <w:t>than</w:t>
      </w:r>
      <w:r w:rsidRPr="00AC1055">
        <w:rPr>
          <w:rFonts w:cs="Times New Roman"/>
        </w:rPr>
        <w:t xml:space="preserve"> others</w:t>
      </w:r>
      <w:r>
        <w:rPr>
          <w:rFonts w:cs="Times New Roman"/>
        </w:rPr>
        <w:t xml:space="preserve"> which</w:t>
      </w:r>
      <w:r w:rsidRPr="00AC1055">
        <w:rPr>
          <w:rFonts w:cs="Times New Roman"/>
        </w:rPr>
        <w:t xml:space="preserve"> is the natural corollary to the varying intercept structural </w:t>
      </w:r>
      <w:r>
        <w:rPr>
          <w:rFonts w:cs="Times New Roman"/>
        </w:rPr>
        <w:t>model in the previous subchapter</w:t>
      </w:r>
      <w:r w:rsidRPr="00AC1055">
        <w:rPr>
          <w:rFonts w:cs="Times New Roman"/>
        </w:rPr>
        <w:t>. If a country which has reacted more positively to change in corporate governance</w:t>
      </w:r>
      <w:r>
        <w:rPr>
          <w:rFonts w:cs="Times New Roman"/>
        </w:rPr>
        <w:t xml:space="preserve"> is found</w:t>
      </w:r>
      <w:r w:rsidRPr="00AC1055">
        <w:rPr>
          <w:rFonts w:cs="Times New Roman"/>
        </w:rPr>
        <w:t>, it will set the foundation</w:t>
      </w:r>
      <w:r>
        <w:rPr>
          <w:rFonts w:cs="Times New Roman"/>
        </w:rPr>
        <w:t>s</w:t>
      </w:r>
      <w:r w:rsidRPr="00AC1055">
        <w:rPr>
          <w:rFonts w:cs="Times New Roman"/>
        </w:rPr>
        <w:t xml:space="preserve"> </w:t>
      </w:r>
      <w:r>
        <w:rPr>
          <w:rFonts w:cs="Times New Roman"/>
        </w:rPr>
        <w:t>for</w:t>
      </w:r>
      <w:r w:rsidRPr="00AC1055">
        <w:rPr>
          <w:rFonts w:cs="Times New Roman"/>
        </w:rPr>
        <w:t xml:space="preserve"> future qualitative research to find out</w:t>
      </w:r>
      <w:r>
        <w:rPr>
          <w:rFonts w:cs="Times New Roman"/>
        </w:rPr>
        <w:t>,</w:t>
      </w:r>
      <w:r w:rsidRPr="00AC1055">
        <w:rPr>
          <w:rFonts w:cs="Times New Roman"/>
        </w:rPr>
        <w:t xml:space="preserve"> </w:t>
      </w:r>
      <w:r>
        <w:rPr>
          <w:rFonts w:cs="Times New Roman"/>
        </w:rPr>
        <w:t xml:space="preserve">for example, </w:t>
      </w:r>
      <w:r w:rsidRPr="00AC1055">
        <w:rPr>
          <w:rFonts w:cs="Times New Roman"/>
        </w:rPr>
        <w:t>what happened differently in that country in comparison to others, what sui generis factors w</w:t>
      </w:r>
      <w:r>
        <w:rPr>
          <w:rFonts w:cs="Times New Roman"/>
        </w:rPr>
        <w:t>ere present, and so on</w:t>
      </w:r>
      <w:r w:rsidRPr="00AC1055">
        <w:rPr>
          <w:rFonts w:cs="Times New Roman"/>
        </w:rPr>
        <w:t>.</w:t>
      </w:r>
    </w:p>
    <w:p w14:paraId="1A9B5E59" w14:textId="77777777" w:rsidR="00413229" w:rsidRPr="00AC1055" w:rsidRDefault="00413229" w:rsidP="00413229">
      <w:pPr>
        <w:spacing w:line="480" w:lineRule="auto"/>
        <w:rPr>
          <w:rFonts w:cs="Times New Roman"/>
        </w:rPr>
      </w:pPr>
      <w:r w:rsidRPr="00AC1055">
        <w:rPr>
          <w:rFonts w:cs="Times New Roman"/>
        </w:rPr>
        <w:lastRenderedPageBreak/>
        <w:t>In this subchapter regression utilising both frequentist and Bayesian approaches</w:t>
      </w:r>
      <w:r>
        <w:rPr>
          <w:rFonts w:cs="Times New Roman"/>
        </w:rPr>
        <w:t xml:space="preserve"> is applied</w:t>
      </w:r>
      <w:r w:rsidRPr="00AC1055">
        <w:rPr>
          <w:rFonts w:cs="Times New Roman"/>
        </w:rPr>
        <w:t xml:space="preserve">. </w:t>
      </w:r>
      <w:r>
        <w:rPr>
          <w:rFonts w:cs="Times New Roman"/>
        </w:rPr>
        <w:t>T</w:t>
      </w:r>
      <w:r w:rsidRPr="00AC1055">
        <w:rPr>
          <w:rFonts w:cs="Times New Roman"/>
        </w:rPr>
        <w:t xml:space="preserve">he results of the regression coefficients </w:t>
      </w:r>
      <w:r>
        <w:rPr>
          <w:rFonts w:cs="Times New Roman"/>
        </w:rPr>
        <w:t xml:space="preserve">are presented first, </w:t>
      </w:r>
      <w:r w:rsidRPr="00AC1055">
        <w:rPr>
          <w:rFonts w:cs="Times New Roman"/>
        </w:rPr>
        <w:t xml:space="preserve">in a tabular format. Then </w:t>
      </w:r>
      <w:r>
        <w:rPr>
          <w:rFonts w:cs="Times New Roman"/>
        </w:rPr>
        <w:t xml:space="preserve">a brief report is presented for </w:t>
      </w:r>
      <w:r w:rsidRPr="00AC1055">
        <w:rPr>
          <w:rFonts w:cs="Times New Roman"/>
        </w:rPr>
        <w:t xml:space="preserve">each country describing the impact of change in corporate governance on </w:t>
      </w:r>
      <w:r>
        <w:rPr>
          <w:rFonts w:cs="Times New Roman"/>
        </w:rPr>
        <w:t xml:space="preserve">the </w:t>
      </w:r>
      <w:r w:rsidRPr="00AC1055">
        <w:rPr>
          <w:rFonts w:cs="Times New Roman"/>
        </w:rPr>
        <w:t xml:space="preserve">financial market. This will be accompanied by sets of three 3D graphs </w:t>
      </w:r>
      <w:r>
        <w:rPr>
          <w:rFonts w:cs="Times New Roman"/>
        </w:rPr>
        <w:t xml:space="preserve">showing the </w:t>
      </w:r>
      <w:r w:rsidRPr="00AC1055">
        <w:rPr>
          <w:rFonts w:cs="Times New Roman"/>
        </w:rPr>
        <w:t xml:space="preserve">contrasting impact of corporate governance change and three controls on </w:t>
      </w:r>
      <w:r>
        <w:rPr>
          <w:rFonts w:cs="Times New Roman"/>
        </w:rPr>
        <w:t xml:space="preserve">the </w:t>
      </w:r>
      <w:r w:rsidRPr="00AC1055">
        <w:rPr>
          <w:rFonts w:cs="Times New Roman"/>
        </w:rPr>
        <w:t xml:space="preserve">financial market using both frequentist and Bayesian outputs. Each graph </w:t>
      </w:r>
      <w:r>
        <w:rPr>
          <w:rFonts w:cs="Times New Roman"/>
        </w:rPr>
        <w:t>will</w:t>
      </w:r>
      <w:r w:rsidRPr="00AC1055">
        <w:rPr>
          <w:rFonts w:cs="Times New Roman"/>
        </w:rPr>
        <w:t xml:space="preserve"> show local regression planes</w:t>
      </w:r>
      <w:r>
        <w:rPr>
          <w:rFonts w:cs="Times New Roman"/>
        </w:rPr>
        <w:t>,</w:t>
      </w:r>
      <w:r w:rsidRPr="00AC1055">
        <w:rPr>
          <w:rFonts w:cs="Times New Roman"/>
        </w:rPr>
        <w:t xml:space="preserve"> light red is the frequentist regression plane </w:t>
      </w:r>
      <w:r>
        <w:rPr>
          <w:rFonts w:cs="Times New Roman"/>
        </w:rPr>
        <w:t>whilst</w:t>
      </w:r>
      <w:r w:rsidRPr="00AC1055">
        <w:rPr>
          <w:rFonts w:cs="Times New Roman"/>
        </w:rPr>
        <w:t xml:space="preserve"> green denotes the Bayesian regression plane.</w:t>
      </w:r>
    </w:p>
    <w:p w14:paraId="557F4C0E" w14:textId="77777777" w:rsidR="00413229" w:rsidRPr="00AC1055" w:rsidRDefault="00413229" w:rsidP="00413229">
      <w:pPr>
        <w:spacing w:line="480" w:lineRule="auto"/>
        <w:rPr>
          <w:rFonts w:cs="Times New Roman"/>
        </w:rPr>
      </w:pPr>
    </w:p>
    <w:p w14:paraId="0F95991E" w14:textId="6FF5D13E" w:rsidR="00413229" w:rsidRPr="00AC1055" w:rsidRDefault="00991CFF" w:rsidP="00991CFF">
      <w:pPr>
        <w:tabs>
          <w:tab w:val="left" w:pos="2235"/>
        </w:tabs>
        <w:spacing w:line="480" w:lineRule="auto"/>
        <w:rPr>
          <w:rFonts w:cs="Times New Roman"/>
        </w:rPr>
      </w:pPr>
      <w:r>
        <w:rPr>
          <w:rFonts w:cs="Times New Roman"/>
        </w:rPr>
        <w:tab/>
      </w:r>
    </w:p>
    <w:p w14:paraId="791FDA2E" w14:textId="77777777" w:rsidR="00413229" w:rsidRPr="00AC1055" w:rsidRDefault="00413229" w:rsidP="00413229">
      <w:pPr>
        <w:spacing w:line="480" w:lineRule="auto"/>
        <w:rPr>
          <w:rFonts w:cs="Times New Roman"/>
        </w:rPr>
      </w:pPr>
    </w:p>
    <w:p w14:paraId="5601FF16" w14:textId="77777777" w:rsidR="00413229" w:rsidRPr="00AC1055" w:rsidRDefault="00413229" w:rsidP="00413229">
      <w:pPr>
        <w:spacing w:line="480" w:lineRule="auto"/>
        <w:rPr>
          <w:rFonts w:cs="Times New Roman"/>
        </w:rPr>
      </w:pPr>
    </w:p>
    <w:p w14:paraId="25A3C9E2" w14:textId="77777777" w:rsidR="00413229" w:rsidRPr="00AC1055" w:rsidRDefault="00413229" w:rsidP="00413229">
      <w:pPr>
        <w:spacing w:line="480" w:lineRule="auto"/>
        <w:rPr>
          <w:rFonts w:cs="Times New Roman"/>
        </w:rPr>
      </w:pPr>
    </w:p>
    <w:p w14:paraId="1784A33E" w14:textId="77777777" w:rsidR="00413229" w:rsidRPr="00AC1055" w:rsidRDefault="00413229" w:rsidP="00413229">
      <w:pPr>
        <w:spacing w:line="480" w:lineRule="auto"/>
        <w:rPr>
          <w:rFonts w:cs="Times New Roman"/>
        </w:rPr>
      </w:pPr>
    </w:p>
    <w:p w14:paraId="56774795" w14:textId="77777777" w:rsidR="00413229" w:rsidRPr="00AC1055" w:rsidRDefault="00413229" w:rsidP="00413229">
      <w:pPr>
        <w:spacing w:line="480" w:lineRule="auto"/>
        <w:rPr>
          <w:rFonts w:cs="Times New Roman"/>
        </w:rPr>
      </w:pPr>
    </w:p>
    <w:p w14:paraId="3901F29A" w14:textId="77777777" w:rsidR="00413229" w:rsidRPr="00AC1055" w:rsidRDefault="00413229" w:rsidP="00413229">
      <w:pPr>
        <w:spacing w:line="480" w:lineRule="auto"/>
        <w:rPr>
          <w:rFonts w:cs="Times New Roman"/>
        </w:rPr>
      </w:pPr>
    </w:p>
    <w:p w14:paraId="1AC4BEC3" w14:textId="77777777" w:rsidR="00413229" w:rsidRPr="00AC1055" w:rsidRDefault="00413229" w:rsidP="00413229">
      <w:pPr>
        <w:spacing w:line="480" w:lineRule="auto"/>
        <w:rPr>
          <w:rFonts w:cs="Times New Roman"/>
        </w:rPr>
      </w:pPr>
    </w:p>
    <w:p w14:paraId="08D6F6E4" w14:textId="77777777" w:rsidR="00413229" w:rsidRPr="00AC1055" w:rsidRDefault="00413229" w:rsidP="00413229">
      <w:pPr>
        <w:spacing w:line="480" w:lineRule="auto"/>
        <w:rPr>
          <w:rFonts w:cs="Times New Roman"/>
        </w:rPr>
      </w:pPr>
    </w:p>
    <w:p w14:paraId="39CA3736" w14:textId="77777777" w:rsidR="00413229" w:rsidRPr="00AC1055" w:rsidRDefault="00413229" w:rsidP="00413229">
      <w:pPr>
        <w:spacing w:line="480" w:lineRule="auto"/>
        <w:rPr>
          <w:rFonts w:cs="Times New Roman"/>
        </w:rPr>
        <w:sectPr w:rsidR="00413229" w:rsidRPr="00AC1055" w:rsidSect="00413229">
          <w:headerReference w:type="default" r:id="rId111"/>
          <w:footerReference w:type="default" r:id="rId112"/>
          <w:pgSz w:w="11906" w:h="16838"/>
          <w:pgMar w:top="1440" w:right="1440" w:bottom="1440" w:left="2268" w:header="709" w:footer="709" w:gutter="0"/>
          <w:cols w:space="708"/>
          <w:titlePg/>
          <w:docGrid w:linePitch="360"/>
        </w:sectPr>
      </w:pPr>
    </w:p>
    <w:tbl>
      <w:tblPr>
        <w:tblStyle w:val="TableGrid"/>
        <w:tblW w:w="0" w:type="auto"/>
        <w:tblLook w:val="04A0" w:firstRow="1" w:lastRow="0" w:firstColumn="1" w:lastColumn="0" w:noHBand="0" w:noVBand="1"/>
      </w:tblPr>
      <w:tblGrid>
        <w:gridCol w:w="1526"/>
        <w:gridCol w:w="1276"/>
        <w:gridCol w:w="1559"/>
        <w:gridCol w:w="1701"/>
        <w:gridCol w:w="1613"/>
        <w:gridCol w:w="1647"/>
        <w:gridCol w:w="1701"/>
        <w:gridCol w:w="1701"/>
      </w:tblGrid>
      <w:tr w:rsidR="00413229" w:rsidRPr="00AC1055" w14:paraId="3DA15B8D" w14:textId="77777777" w:rsidTr="00413229">
        <w:trPr>
          <w:cantSplit/>
          <w:trHeight w:val="416"/>
        </w:trPr>
        <w:tc>
          <w:tcPr>
            <w:tcW w:w="12724" w:type="dxa"/>
            <w:gridSpan w:val="8"/>
            <w:noWrap/>
          </w:tcPr>
          <w:p w14:paraId="1DB4D6CE" w14:textId="77777777" w:rsidR="00413229" w:rsidRPr="00AC1055" w:rsidRDefault="00413229" w:rsidP="00413229">
            <w:pPr>
              <w:jc w:val="center"/>
              <w:rPr>
                <w:rFonts w:cs="Times New Roman"/>
                <w:color w:val="000000"/>
                <w:szCs w:val="24"/>
              </w:rPr>
            </w:pPr>
            <w:r w:rsidRPr="00AC1055">
              <w:rPr>
                <w:rFonts w:cs="Times New Roman"/>
                <w:color w:val="000000"/>
                <w:szCs w:val="24"/>
              </w:rPr>
              <w:lastRenderedPageBreak/>
              <w:t>Bayesian analysis</w:t>
            </w:r>
          </w:p>
        </w:tc>
      </w:tr>
      <w:tr w:rsidR="00413229" w:rsidRPr="00AC1055" w14:paraId="29C77DAD" w14:textId="77777777" w:rsidTr="00413229">
        <w:trPr>
          <w:cantSplit/>
          <w:trHeight w:val="416"/>
        </w:trPr>
        <w:tc>
          <w:tcPr>
            <w:tcW w:w="1526" w:type="dxa"/>
            <w:noWrap/>
          </w:tcPr>
          <w:p w14:paraId="72420B55" w14:textId="77777777" w:rsidR="00413229" w:rsidRPr="00AC1055" w:rsidRDefault="00413229" w:rsidP="00413229">
            <w:pPr>
              <w:jc w:val="center"/>
              <w:rPr>
                <w:rFonts w:cs="Times New Roman"/>
                <w:color w:val="000000"/>
                <w:szCs w:val="24"/>
              </w:rPr>
            </w:pPr>
          </w:p>
        </w:tc>
        <w:tc>
          <w:tcPr>
            <w:tcW w:w="4536" w:type="dxa"/>
            <w:gridSpan w:val="3"/>
          </w:tcPr>
          <w:p w14:paraId="6AB9B749" w14:textId="77777777" w:rsidR="00413229" w:rsidRPr="00AC1055" w:rsidRDefault="00413229" w:rsidP="00413229">
            <w:pPr>
              <w:jc w:val="center"/>
              <w:rPr>
                <w:rFonts w:cs="Times New Roman"/>
                <w:color w:val="000000"/>
                <w:szCs w:val="24"/>
              </w:rPr>
            </w:pPr>
            <w:r w:rsidRPr="00AC1055">
              <w:rPr>
                <w:rFonts w:cs="Times New Roman"/>
                <w:color w:val="000000"/>
                <w:szCs w:val="24"/>
              </w:rPr>
              <w:t xml:space="preserve">Corporate Governance coefficient </w:t>
            </w:r>
          </w:p>
        </w:tc>
        <w:tc>
          <w:tcPr>
            <w:tcW w:w="1613" w:type="dxa"/>
          </w:tcPr>
          <w:p w14:paraId="71B94BA6" w14:textId="77777777" w:rsidR="00413229" w:rsidRPr="00AC1055" w:rsidRDefault="00413229" w:rsidP="00413229">
            <w:pPr>
              <w:jc w:val="center"/>
              <w:rPr>
                <w:rFonts w:cs="Times New Roman"/>
                <w:color w:val="000000"/>
                <w:szCs w:val="24"/>
              </w:rPr>
            </w:pPr>
            <w:r w:rsidRPr="00AC1055">
              <w:rPr>
                <w:rFonts w:cs="Times New Roman"/>
                <w:color w:val="000000"/>
                <w:szCs w:val="24"/>
              </w:rPr>
              <w:t>Intercept</w:t>
            </w:r>
          </w:p>
        </w:tc>
        <w:tc>
          <w:tcPr>
            <w:tcW w:w="1647" w:type="dxa"/>
          </w:tcPr>
          <w:p w14:paraId="6C98213A" w14:textId="77777777" w:rsidR="00413229" w:rsidRPr="00AC1055" w:rsidRDefault="00413229" w:rsidP="00413229">
            <w:pPr>
              <w:jc w:val="center"/>
              <w:rPr>
                <w:rFonts w:cs="Times New Roman"/>
                <w:color w:val="000000"/>
                <w:szCs w:val="24"/>
              </w:rPr>
            </w:pPr>
            <w:r w:rsidRPr="00AC1055">
              <w:rPr>
                <w:rFonts w:cs="Times New Roman"/>
                <w:color w:val="000000"/>
                <w:szCs w:val="24"/>
              </w:rPr>
              <w:t>Control 1 coefficient</w:t>
            </w:r>
          </w:p>
        </w:tc>
        <w:tc>
          <w:tcPr>
            <w:tcW w:w="1701" w:type="dxa"/>
          </w:tcPr>
          <w:p w14:paraId="233FACED" w14:textId="77777777" w:rsidR="00413229" w:rsidRPr="00AC1055" w:rsidRDefault="00413229" w:rsidP="00413229">
            <w:pPr>
              <w:jc w:val="center"/>
              <w:rPr>
                <w:rFonts w:cs="Times New Roman"/>
                <w:color w:val="000000"/>
                <w:szCs w:val="24"/>
              </w:rPr>
            </w:pPr>
            <w:r w:rsidRPr="00AC1055">
              <w:rPr>
                <w:rFonts w:cs="Times New Roman"/>
                <w:color w:val="000000"/>
                <w:szCs w:val="24"/>
              </w:rPr>
              <w:t>Control 2 coefficient</w:t>
            </w:r>
          </w:p>
        </w:tc>
        <w:tc>
          <w:tcPr>
            <w:tcW w:w="1701" w:type="dxa"/>
          </w:tcPr>
          <w:p w14:paraId="5CD9C781" w14:textId="77777777" w:rsidR="00413229" w:rsidRPr="00AC1055" w:rsidRDefault="00413229" w:rsidP="00413229">
            <w:pPr>
              <w:jc w:val="center"/>
              <w:rPr>
                <w:rFonts w:cs="Times New Roman"/>
                <w:color w:val="000000"/>
                <w:szCs w:val="24"/>
              </w:rPr>
            </w:pPr>
            <w:r w:rsidRPr="00AC1055">
              <w:rPr>
                <w:rFonts w:cs="Times New Roman"/>
                <w:color w:val="000000"/>
                <w:szCs w:val="24"/>
              </w:rPr>
              <w:t>Control 3 coefficient</w:t>
            </w:r>
          </w:p>
        </w:tc>
      </w:tr>
      <w:tr w:rsidR="00413229" w:rsidRPr="00AC1055" w14:paraId="0707D6A3" w14:textId="77777777" w:rsidTr="00413229">
        <w:trPr>
          <w:trHeight w:val="300"/>
        </w:trPr>
        <w:tc>
          <w:tcPr>
            <w:tcW w:w="1526" w:type="dxa"/>
            <w:noWrap/>
            <w:hideMark/>
          </w:tcPr>
          <w:p w14:paraId="652D1935" w14:textId="77777777" w:rsidR="00413229" w:rsidRPr="00AC1055" w:rsidRDefault="00413229" w:rsidP="00413229">
            <w:pPr>
              <w:jc w:val="center"/>
              <w:rPr>
                <w:rFonts w:cs="Times New Roman"/>
                <w:szCs w:val="24"/>
              </w:rPr>
            </w:pPr>
          </w:p>
        </w:tc>
        <w:tc>
          <w:tcPr>
            <w:tcW w:w="1276" w:type="dxa"/>
            <w:vAlign w:val="bottom"/>
          </w:tcPr>
          <w:p w14:paraId="0E2CEB69" w14:textId="77777777" w:rsidR="00413229" w:rsidRPr="00AC1055" w:rsidRDefault="00413229" w:rsidP="00413229">
            <w:pPr>
              <w:jc w:val="center"/>
              <w:rPr>
                <w:rFonts w:cs="Times New Roman"/>
                <w:color w:val="000000"/>
                <w:szCs w:val="24"/>
              </w:rPr>
            </w:pPr>
            <w:r w:rsidRPr="00AC1055">
              <w:rPr>
                <w:rFonts w:cs="Times New Roman"/>
                <w:color w:val="000000"/>
                <w:szCs w:val="24"/>
              </w:rPr>
              <w:t>Mean</w:t>
            </w:r>
          </w:p>
        </w:tc>
        <w:tc>
          <w:tcPr>
            <w:tcW w:w="1559" w:type="dxa"/>
            <w:vAlign w:val="bottom"/>
          </w:tcPr>
          <w:p w14:paraId="6C4FD6DC" w14:textId="77777777" w:rsidR="00413229" w:rsidRPr="00AC1055" w:rsidRDefault="00413229" w:rsidP="00413229">
            <w:pPr>
              <w:rPr>
                <w:rFonts w:cs="Times New Roman"/>
                <w:color w:val="000000"/>
                <w:szCs w:val="24"/>
              </w:rPr>
            </w:pPr>
            <w:r w:rsidRPr="00AC1055">
              <w:rPr>
                <w:rFonts w:cs="Times New Roman"/>
                <w:color w:val="000000"/>
                <w:szCs w:val="24"/>
              </w:rPr>
              <w:t>2.5% quantile</w:t>
            </w:r>
          </w:p>
        </w:tc>
        <w:tc>
          <w:tcPr>
            <w:tcW w:w="1701" w:type="dxa"/>
            <w:vAlign w:val="bottom"/>
          </w:tcPr>
          <w:p w14:paraId="4DF2AD35" w14:textId="77777777" w:rsidR="00413229" w:rsidRPr="00AC1055" w:rsidRDefault="00413229" w:rsidP="00413229">
            <w:pPr>
              <w:rPr>
                <w:rFonts w:cs="Times New Roman"/>
                <w:color w:val="000000"/>
                <w:szCs w:val="24"/>
              </w:rPr>
            </w:pPr>
            <w:r w:rsidRPr="00AC1055">
              <w:rPr>
                <w:rFonts w:cs="Times New Roman"/>
                <w:color w:val="000000"/>
                <w:szCs w:val="24"/>
              </w:rPr>
              <w:t>97.5% quantile</w:t>
            </w:r>
          </w:p>
        </w:tc>
        <w:tc>
          <w:tcPr>
            <w:tcW w:w="1613" w:type="dxa"/>
            <w:vAlign w:val="bottom"/>
          </w:tcPr>
          <w:p w14:paraId="71EBAAAF" w14:textId="77777777" w:rsidR="00413229" w:rsidRPr="00AC1055" w:rsidRDefault="00413229" w:rsidP="00413229">
            <w:pPr>
              <w:jc w:val="center"/>
              <w:rPr>
                <w:rFonts w:cs="Times New Roman"/>
                <w:color w:val="000000"/>
                <w:szCs w:val="24"/>
              </w:rPr>
            </w:pPr>
            <w:r w:rsidRPr="00AC1055">
              <w:rPr>
                <w:rFonts w:cs="Times New Roman"/>
                <w:color w:val="000000"/>
                <w:szCs w:val="24"/>
              </w:rPr>
              <w:t>Mean</w:t>
            </w:r>
          </w:p>
        </w:tc>
        <w:tc>
          <w:tcPr>
            <w:tcW w:w="1647" w:type="dxa"/>
            <w:vAlign w:val="bottom"/>
          </w:tcPr>
          <w:p w14:paraId="78FFF302" w14:textId="77777777" w:rsidR="00413229" w:rsidRPr="00AC1055" w:rsidRDefault="00413229" w:rsidP="00413229">
            <w:pPr>
              <w:jc w:val="center"/>
              <w:rPr>
                <w:rFonts w:cs="Times New Roman"/>
                <w:color w:val="000000"/>
                <w:szCs w:val="24"/>
              </w:rPr>
            </w:pPr>
            <w:r w:rsidRPr="00AC1055">
              <w:rPr>
                <w:rFonts w:cs="Times New Roman"/>
                <w:color w:val="000000"/>
                <w:szCs w:val="24"/>
              </w:rPr>
              <w:t>Mean</w:t>
            </w:r>
          </w:p>
        </w:tc>
        <w:tc>
          <w:tcPr>
            <w:tcW w:w="1701" w:type="dxa"/>
            <w:vAlign w:val="bottom"/>
          </w:tcPr>
          <w:p w14:paraId="0E1A8219" w14:textId="77777777" w:rsidR="00413229" w:rsidRPr="00AC1055" w:rsidRDefault="00413229" w:rsidP="00413229">
            <w:pPr>
              <w:jc w:val="center"/>
              <w:rPr>
                <w:rFonts w:cs="Times New Roman"/>
                <w:color w:val="000000"/>
                <w:szCs w:val="24"/>
              </w:rPr>
            </w:pPr>
            <w:r w:rsidRPr="00AC1055">
              <w:rPr>
                <w:rFonts w:cs="Times New Roman"/>
                <w:color w:val="000000"/>
                <w:szCs w:val="24"/>
              </w:rPr>
              <w:t>Mean</w:t>
            </w:r>
          </w:p>
        </w:tc>
        <w:tc>
          <w:tcPr>
            <w:tcW w:w="1701" w:type="dxa"/>
            <w:vAlign w:val="bottom"/>
          </w:tcPr>
          <w:p w14:paraId="29FDC1FD" w14:textId="77777777" w:rsidR="00413229" w:rsidRPr="00AC1055" w:rsidRDefault="00413229" w:rsidP="00413229">
            <w:pPr>
              <w:jc w:val="center"/>
              <w:rPr>
                <w:rFonts w:cs="Times New Roman"/>
                <w:color w:val="000000"/>
                <w:szCs w:val="24"/>
              </w:rPr>
            </w:pPr>
            <w:r w:rsidRPr="00AC1055">
              <w:rPr>
                <w:rFonts w:cs="Times New Roman"/>
                <w:color w:val="000000"/>
                <w:szCs w:val="24"/>
              </w:rPr>
              <w:t>Mean</w:t>
            </w:r>
          </w:p>
        </w:tc>
      </w:tr>
      <w:tr w:rsidR="00413229" w:rsidRPr="00AC1055" w14:paraId="60977D95" w14:textId="77777777" w:rsidTr="00413229">
        <w:trPr>
          <w:trHeight w:val="300"/>
        </w:trPr>
        <w:tc>
          <w:tcPr>
            <w:tcW w:w="1526" w:type="dxa"/>
            <w:noWrap/>
            <w:hideMark/>
          </w:tcPr>
          <w:p w14:paraId="52C1E8E1" w14:textId="77777777" w:rsidR="00413229" w:rsidRPr="00AC1055" w:rsidRDefault="00413229" w:rsidP="00413229">
            <w:pPr>
              <w:jc w:val="center"/>
              <w:rPr>
                <w:rFonts w:cs="Times New Roman"/>
                <w:szCs w:val="24"/>
              </w:rPr>
            </w:pPr>
            <w:r w:rsidRPr="00AC1055">
              <w:rPr>
                <w:rFonts w:cs="Times New Roman"/>
                <w:szCs w:val="24"/>
              </w:rPr>
              <w:t>Brazil</w:t>
            </w:r>
          </w:p>
        </w:tc>
        <w:tc>
          <w:tcPr>
            <w:tcW w:w="1276" w:type="dxa"/>
            <w:vAlign w:val="bottom"/>
          </w:tcPr>
          <w:p w14:paraId="740FEC62" w14:textId="77777777" w:rsidR="00413229" w:rsidRPr="00AC1055" w:rsidRDefault="00413229" w:rsidP="00413229">
            <w:pPr>
              <w:jc w:val="center"/>
              <w:rPr>
                <w:rFonts w:cs="Times New Roman"/>
                <w:color w:val="000000"/>
                <w:szCs w:val="24"/>
              </w:rPr>
            </w:pPr>
            <w:r w:rsidRPr="00AC1055">
              <w:rPr>
                <w:rFonts w:cs="Times New Roman"/>
                <w:color w:val="000000"/>
                <w:szCs w:val="24"/>
              </w:rPr>
              <w:t>0.062853</w:t>
            </w:r>
          </w:p>
        </w:tc>
        <w:tc>
          <w:tcPr>
            <w:tcW w:w="1559" w:type="dxa"/>
            <w:vAlign w:val="bottom"/>
          </w:tcPr>
          <w:p w14:paraId="21EC53FB" w14:textId="77777777" w:rsidR="00413229" w:rsidRPr="00AC1055" w:rsidRDefault="00413229" w:rsidP="00413229">
            <w:pPr>
              <w:jc w:val="center"/>
              <w:rPr>
                <w:rFonts w:cs="Times New Roman"/>
                <w:color w:val="000000"/>
                <w:szCs w:val="24"/>
              </w:rPr>
            </w:pPr>
            <w:r w:rsidRPr="00AC1055">
              <w:rPr>
                <w:rFonts w:cs="Times New Roman"/>
                <w:color w:val="000000"/>
                <w:szCs w:val="24"/>
              </w:rPr>
              <w:t>0.049519</w:t>
            </w:r>
          </w:p>
        </w:tc>
        <w:tc>
          <w:tcPr>
            <w:tcW w:w="1701" w:type="dxa"/>
            <w:vAlign w:val="bottom"/>
          </w:tcPr>
          <w:p w14:paraId="025E78B6" w14:textId="77777777" w:rsidR="00413229" w:rsidRPr="00AC1055" w:rsidRDefault="00413229" w:rsidP="00413229">
            <w:pPr>
              <w:jc w:val="center"/>
              <w:rPr>
                <w:rFonts w:cs="Times New Roman"/>
                <w:color w:val="000000"/>
                <w:szCs w:val="24"/>
              </w:rPr>
            </w:pPr>
            <w:r w:rsidRPr="00AC1055">
              <w:rPr>
                <w:rFonts w:cs="Times New Roman"/>
                <w:color w:val="000000"/>
                <w:szCs w:val="24"/>
              </w:rPr>
              <w:t>0.0761</w:t>
            </w:r>
          </w:p>
        </w:tc>
        <w:tc>
          <w:tcPr>
            <w:tcW w:w="1613" w:type="dxa"/>
            <w:vAlign w:val="bottom"/>
          </w:tcPr>
          <w:p w14:paraId="7D499E41" w14:textId="77777777" w:rsidR="00413229" w:rsidRPr="00AC1055" w:rsidRDefault="00413229" w:rsidP="00413229">
            <w:pPr>
              <w:jc w:val="center"/>
              <w:rPr>
                <w:rFonts w:cs="Times New Roman"/>
                <w:color w:val="000000"/>
                <w:szCs w:val="24"/>
              </w:rPr>
            </w:pPr>
            <w:r w:rsidRPr="00AC1055">
              <w:rPr>
                <w:rFonts w:cs="Times New Roman"/>
                <w:color w:val="000000"/>
                <w:szCs w:val="24"/>
              </w:rPr>
              <w:t>-0.11515</w:t>
            </w:r>
          </w:p>
        </w:tc>
        <w:tc>
          <w:tcPr>
            <w:tcW w:w="1647" w:type="dxa"/>
            <w:vAlign w:val="bottom"/>
          </w:tcPr>
          <w:p w14:paraId="0C49100A" w14:textId="77777777" w:rsidR="00413229" w:rsidRPr="00AC1055" w:rsidRDefault="00413229" w:rsidP="00413229">
            <w:pPr>
              <w:jc w:val="center"/>
              <w:rPr>
                <w:rFonts w:cs="Times New Roman"/>
                <w:color w:val="000000"/>
                <w:szCs w:val="24"/>
              </w:rPr>
            </w:pPr>
            <w:r w:rsidRPr="00AC1055">
              <w:rPr>
                <w:rFonts w:cs="Times New Roman"/>
                <w:color w:val="000000"/>
                <w:szCs w:val="24"/>
              </w:rPr>
              <w:t>0.418122</w:t>
            </w:r>
          </w:p>
        </w:tc>
        <w:tc>
          <w:tcPr>
            <w:tcW w:w="1701" w:type="dxa"/>
            <w:vAlign w:val="bottom"/>
          </w:tcPr>
          <w:p w14:paraId="69F913BE" w14:textId="77777777" w:rsidR="00413229" w:rsidRPr="00AC1055" w:rsidRDefault="00413229" w:rsidP="00413229">
            <w:pPr>
              <w:jc w:val="center"/>
              <w:rPr>
                <w:rFonts w:cs="Times New Roman"/>
                <w:color w:val="000000"/>
                <w:szCs w:val="24"/>
              </w:rPr>
            </w:pPr>
            <w:r w:rsidRPr="00AC1055">
              <w:rPr>
                <w:rFonts w:cs="Times New Roman"/>
                <w:color w:val="000000"/>
                <w:szCs w:val="24"/>
              </w:rPr>
              <w:t>0.084039</w:t>
            </w:r>
          </w:p>
        </w:tc>
        <w:tc>
          <w:tcPr>
            <w:tcW w:w="1701" w:type="dxa"/>
            <w:vAlign w:val="bottom"/>
          </w:tcPr>
          <w:p w14:paraId="13773E23" w14:textId="77777777" w:rsidR="00413229" w:rsidRPr="00AC1055" w:rsidRDefault="00413229" w:rsidP="00413229">
            <w:pPr>
              <w:jc w:val="center"/>
              <w:rPr>
                <w:rFonts w:cs="Times New Roman"/>
                <w:color w:val="000000"/>
                <w:szCs w:val="24"/>
              </w:rPr>
            </w:pPr>
            <w:r w:rsidRPr="00AC1055">
              <w:rPr>
                <w:rFonts w:cs="Times New Roman"/>
                <w:color w:val="000000"/>
                <w:szCs w:val="24"/>
              </w:rPr>
              <w:t>0.43738</w:t>
            </w:r>
          </w:p>
        </w:tc>
      </w:tr>
      <w:tr w:rsidR="00413229" w:rsidRPr="00AC1055" w14:paraId="34578CFC" w14:textId="77777777" w:rsidTr="00413229">
        <w:trPr>
          <w:trHeight w:val="300"/>
        </w:trPr>
        <w:tc>
          <w:tcPr>
            <w:tcW w:w="1526" w:type="dxa"/>
            <w:noWrap/>
            <w:hideMark/>
          </w:tcPr>
          <w:p w14:paraId="2EB9B82A" w14:textId="77777777" w:rsidR="00413229" w:rsidRPr="00AC1055" w:rsidRDefault="00413229" w:rsidP="00413229">
            <w:pPr>
              <w:jc w:val="center"/>
              <w:rPr>
                <w:rFonts w:cs="Times New Roman"/>
                <w:szCs w:val="24"/>
              </w:rPr>
            </w:pPr>
            <w:r w:rsidRPr="00AC1055">
              <w:rPr>
                <w:rFonts w:cs="Times New Roman"/>
                <w:szCs w:val="24"/>
              </w:rPr>
              <w:t>China</w:t>
            </w:r>
          </w:p>
        </w:tc>
        <w:tc>
          <w:tcPr>
            <w:tcW w:w="1276" w:type="dxa"/>
            <w:vAlign w:val="bottom"/>
          </w:tcPr>
          <w:p w14:paraId="25DAE07A" w14:textId="77777777" w:rsidR="00413229" w:rsidRPr="00AC1055" w:rsidRDefault="00413229" w:rsidP="00413229">
            <w:pPr>
              <w:jc w:val="center"/>
              <w:rPr>
                <w:rFonts w:cs="Times New Roman"/>
                <w:color w:val="000000"/>
                <w:szCs w:val="24"/>
              </w:rPr>
            </w:pPr>
            <w:r w:rsidRPr="00AC1055">
              <w:rPr>
                <w:rFonts w:cs="Times New Roman"/>
                <w:color w:val="000000"/>
                <w:szCs w:val="24"/>
              </w:rPr>
              <w:t>0.032681</w:t>
            </w:r>
          </w:p>
        </w:tc>
        <w:tc>
          <w:tcPr>
            <w:tcW w:w="1559" w:type="dxa"/>
            <w:vAlign w:val="bottom"/>
          </w:tcPr>
          <w:p w14:paraId="58E26B28" w14:textId="77777777" w:rsidR="00413229" w:rsidRPr="00AC1055" w:rsidRDefault="00413229" w:rsidP="00413229">
            <w:pPr>
              <w:jc w:val="center"/>
              <w:rPr>
                <w:rFonts w:cs="Times New Roman"/>
                <w:color w:val="000000"/>
                <w:szCs w:val="24"/>
              </w:rPr>
            </w:pPr>
            <w:r w:rsidRPr="00AC1055">
              <w:rPr>
                <w:rFonts w:cs="Times New Roman"/>
                <w:color w:val="000000"/>
                <w:szCs w:val="24"/>
              </w:rPr>
              <w:t>0.018637</w:t>
            </w:r>
          </w:p>
        </w:tc>
        <w:tc>
          <w:tcPr>
            <w:tcW w:w="1701" w:type="dxa"/>
            <w:vAlign w:val="bottom"/>
          </w:tcPr>
          <w:p w14:paraId="0135B846" w14:textId="77777777" w:rsidR="00413229" w:rsidRPr="00AC1055" w:rsidRDefault="00413229" w:rsidP="00413229">
            <w:pPr>
              <w:jc w:val="center"/>
              <w:rPr>
                <w:rFonts w:cs="Times New Roman"/>
                <w:color w:val="000000"/>
                <w:szCs w:val="24"/>
              </w:rPr>
            </w:pPr>
            <w:r w:rsidRPr="00AC1055">
              <w:rPr>
                <w:rFonts w:cs="Times New Roman"/>
                <w:color w:val="000000"/>
                <w:szCs w:val="24"/>
              </w:rPr>
              <w:t>0.046816</w:t>
            </w:r>
          </w:p>
        </w:tc>
        <w:tc>
          <w:tcPr>
            <w:tcW w:w="1613" w:type="dxa"/>
            <w:vAlign w:val="bottom"/>
          </w:tcPr>
          <w:p w14:paraId="04EB07A3" w14:textId="77777777" w:rsidR="00413229" w:rsidRPr="00AC1055" w:rsidRDefault="00413229" w:rsidP="00413229">
            <w:pPr>
              <w:jc w:val="center"/>
              <w:rPr>
                <w:rFonts w:cs="Times New Roman"/>
                <w:color w:val="000000"/>
                <w:szCs w:val="24"/>
              </w:rPr>
            </w:pPr>
            <w:r w:rsidRPr="00AC1055">
              <w:rPr>
                <w:rFonts w:cs="Times New Roman"/>
                <w:color w:val="000000"/>
                <w:szCs w:val="24"/>
              </w:rPr>
              <w:t>-0.00826</w:t>
            </w:r>
          </w:p>
        </w:tc>
        <w:tc>
          <w:tcPr>
            <w:tcW w:w="1647" w:type="dxa"/>
            <w:vAlign w:val="bottom"/>
          </w:tcPr>
          <w:p w14:paraId="4790A027" w14:textId="77777777" w:rsidR="00413229" w:rsidRPr="00AC1055" w:rsidRDefault="00413229" w:rsidP="00413229">
            <w:pPr>
              <w:jc w:val="center"/>
              <w:rPr>
                <w:rFonts w:cs="Times New Roman"/>
                <w:color w:val="000000"/>
                <w:szCs w:val="24"/>
              </w:rPr>
            </w:pPr>
            <w:r w:rsidRPr="00AC1055">
              <w:rPr>
                <w:rFonts w:cs="Times New Roman"/>
                <w:color w:val="000000"/>
                <w:szCs w:val="24"/>
              </w:rPr>
              <w:t>0.46066</w:t>
            </w:r>
          </w:p>
        </w:tc>
        <w:tc>
          <w:tcPr>
            <w:tcW w:w="1701" w:type="dxa"/>
            <w:vAlign w:val="bottom"/>
          </w:tcPr>
          <w:p w14:paraId="125CD665" w14:textId="77777777" w:rsidR="00413229" w:rsidRPr="00AC1055" w:rsidRDefault="00413229" w:rsidP="00413229">
            <w:pPr>
              <w:jc w:val="center"/>
              <w:rPr>
                <w:rFonts w:cs="Times New Roman"/>
                <w:color w:val="000000"/>
                <w:szCs w:val="24"/>
              </w:rPr>
            </w:pPr>
            <w:r w:rsidRPr="00AC1055">
              <w:rPr>
                <w:rFonts w:cs="Times New Roman"/>
                <w:color w:val="000000"/>
                <w:szCs w:val="24"/>
              </w:rPr>
              <w:t>0.24393</w:t>
            </w:r>
          </w:p>
        </w:tc>
        <w:tc>
          <w:tcPr>
            <w:tcW w:w="1701" w:type="dxa"/>
            <w:vAlign w:val="bottom"/>
          </w:tcPr>
          <w:p w14:paraId="0E9990E0" w14:textId="77777777" w:rsidR="00413229" w:rsidRPr="00AC1055" w:rsidRDefault="00413229" w:rsidP="00413229">
            <w:pPr>
              <w:jc w:val="center"/>
              <w:rPr>
                <w:rFonts w:cs="Times New Roman"/>
                <w:color w:val="000000"/>
                <w:szCs w:val="24"/>
              </w:rPr>
            </w:pPr>
            <w:r w:rsidRPr="00AC1055">
              <w:rPr>
                <w:rFonts w:cs="Times New Roman"/>
                <w:color w:val="000000"/>
                <w:szCs w:val="24"/>
              </w:rPr>
              <w:t>0.327721</w:t>
            </w:r>
          </w:p>
        </w:tc>
      </w:tr>
      <w:tr w:rsidR="00413229" w:rsidRPr="00AC1055" w14:paraId="1AFAAC35" w14:textId="77777777" w:rsidTr="00413229">
        <w:trPr>
          <w:trHeight w:val="300"/>
        </w:trPr>
        <w:tc>
          <w:tcPr>
            <w:tcW w:w="1526" w:type="dxa"/>
            <w:noWrap/>
            <w:hideMark/>
          </w:tcPr>
          <w:p w14:paraId="1DC86E73" w14:textId="77777777" w:rsidR="00413229" w:rsidRPr="00AC1055" w:rsidRDefault="00413229" w:rsidP="00413229">
            <w:pPr>
              <w:jc w:val="center"/>
              <w:rPr>
                <w:rFonts w:cs="Times New Roman"/>
                <w:szCs w:val="24"/>
              </w:rPr>
            </w:pPr>
            <w:r w:rsidRPr="00AC1055">
              <w:rPr>
                <w:rFonts w:cs="Times New Roman"/>
                <w:szCs w:val="24"/>
              </w:rPr>
              <w:t>Chile</w:t>
            </w:r>
          </w:p>
        </w:tc>
        <w:tc>
          <w:tcPr>
            <w:tcW w:w="1276" w:type="dxa"/>
            <w:vAlign w:val="bottom"/>
          </w:tcPr>
          <w:p w14:paraId="2D41EF85" w14:textId="77777777" w:rsidR="00413229" w:rsidRPr="00AC1055" w:rsidRDefault="00413229" w:rsidP="00413229">
            <w:pPr>
              <w:jc w:val="center"/>
              <w:rPr>
                <w:rFonts w:cs="Times New Roman"/>
                <w:color w:val="000000"/>
                <w:szCs w:val="24"/>
              </w:rPr>
            </w:pPr>
            <w:r w:rsidRPr="00AC1055">
              <w:rPr>
                <w:rFonts w:cs="Times New Roman"/>
                <w:color w:val="000000"/>
                <w:szCs w:val="24"/>
              </w:rPr>
              <w:t>0.139975</w:t>
            </w:r>
          </w:p>
        </w:tc>
        <w:tc>
          <w:tcPr>
            <w:tcW w:w="1559" w:type="dxa"/>
            <w:vAlign w:val="bottom"/>
          </w:tcPr>
          <w:p w14:paraId="558E8E91" w14:textId="77777777" w:rsidR="00413229" w:rsidRPr="00AC1055" w:rsidRDefault="00413229" w:rsidP="00413229">
            <w:pPr>
              <w:jc w:val="center"/>
              <w:rPr>
                <w:rFonts w:cs="Times New Roman"/>
                <w:color w:val="000000"/>
                <w:szCs w:val="24"/>
              </w:rPr>
            </w:pPr>
            <w:r w:rsidRPr="00AC1055">
              <w:rPr>
                <w:rFonts w:cs="Times New Roman"/>
                <w:color w:val="000000"/>
                <w:szCs w:val="24"/>
              </w:rPr>
              <w:t>-1.24498</w:t>
            </w:r>
          </w:p>
        </w:tc>
        <w:tc>
          <w:tcPr>
            <w:tcW w:w="1701" w:type="dxa"/>
            <w:vAlign w:val="bottom"/>
          </w:tcPr>
          <w:p w14:paraId="590034EE" w14:textId="77777777" w:rsidR="00413229" w:rsidRPr="00AC1055" w:rsidRDefault="00413229" w:rsidP="00413229">
            <w:pPr>
              <w:jc w:val="center"/>
              <w:rPr>
                <w:rFonts w:cs="Times New Roman"/>
                <w:color w:val="000000"/>
                <w:szCs w:val="24"/>
              </w:rPr>
            </w:pPr>
            <w:r w:rsidRPr="00AC1055">
              <w:rPr>
                <w:rFonts w:cs="Times New Roman"/>
                <w:color w:val="000000"/>
                <w:szCs w:val="24"/>
              </w:rPr>
              <w:t>2.030255</w:t>
            </w:r>
          </w:p>
        </w:tc>
        <w:tc>
          <w:tcPr>
            <w:tcW w:w="1613" w:type="dxa"/>
            <w:vAlign w:val="bottom"/>
          </w:tcPr>
          <w:p w14:paraId="77FB69A5" w14:textId="77777777" w:rsidR="00413229" w:rsidRPr="00AC1055" w:rsidRDefault="00413229" w:rsidP="00413229">
            <w:pPr>
              <w:jc w:val="center"/>
              <w:rPr>
                <w:rFonts w:cs="Times New Roman"/>
                <w:color w:val="000000"/>
                <w:szCs w:val="24"/>
              </w:rPr>
            </w:pPr>
            <w:r w:rsidRPr="00AC1055">
              <w:rPr>
                <w:rFonts w:cs="Times New Roman"/>
                <w:color w:val="000000"/>
                <w:szCs w:val="24"/>
              </w:rPr>
              <w:t>-0.14729</w:t>
            </w:r>
          </w:p>
        </w:tc>
        <w:tc>
          <w:tcPr>
            <w:tcW w:w="1647" w:type="dxa"/>
            <w:vAlign w:val="bottom"/>
          </w:tcPr>
          <w:p w14:paraId="0310E152" w14:textId="77777777" w:rsidR="00413229" w:rsidRPr="00AC1055" w:rsidRDefault="00413229" w:rsidP="00413229">
            <w:pPr>
              <w:jc w:val="center"/>
              <w:rPr>
                <w:rFonts w:cs="Times New Roman"/>
                <w:color w:val="000000"/>
                <w:szCs w:val="24"/>
              </w:rPr>
            </w:pPr>
            <w:r w:rsidRPr="00AC1055">
              <w:rPr>
                <w:rFonts w:cs="Times New Roman"/>
                <w:color w:val="000000"/>
                <w:szCs w:val="24"/>
              </w:rPr>
              <w:t>0.399509</w:t>
            </w:r>
          </w:p>
        </w:tc>
        <w:tc>
          <w:tcPr>
            <w:tcW w:w="1701" w:type="dxa"/>
            <w:vAlign w:val="bottom"/>
          </w:tcPr>
          <w:p w14:paraId="39A0BC5D" w14:textId="77777777" w:rsidR="00413229" w:rsidRPr="00AC1055" w:rsidRDefault="00413229" w:rsidP="00413229">
            <w:pPr>
              <w:jc w:val="center"/>
              <w:rPr>
                <w:rFonts w:cs="Times New Roman"/>
                <w:color w:val="000000"/>
                <w:szCs w:val="24"/>
              </w:rPr>
            </w:pPr>
            <w:r w:rsidRPr="00AC1055">
              <w:rPr>
                <w:rFonts w:cs="Times New Roman"/>
                <w:color w:val="000000"/>
                <w:szCs w:val="24"/>
              </w:rPr>
              <w:t>0.079426</w:t>
            </w:r>
          </w:p>
        </w:tc>
        <w:tc>
          <w:tcPr>
            <w:tcW w:w="1701" w:type="dxa"/>
            <w:vAlign w:val="bottom"/>
          </w:tcPr>
          <w:p w14:paraId="666710C1" w14:textId="77777777" w:rsidR="00413229" w:rsidRPr="00AC1055" w:rsidRDefault="00413229" w:rsidP="00413229">
            <w:pPr>
              <w:jc w:val="center"/>
              <w:rPr>
                <w:rFonts w:cs="Times New Roman"/>
                <w:color w:val="000000"/>
                <w:szCs w:val="24"/>
              </w:rPr>
            </w:pPr>
            <w:r w:rsidRPr="00AC1055">
              <w:rPr>
                <w:rFonts w:cs="Times New Roman"/>
                <w:color w:val="000000"/>
                <w:szCs w:val="24"/>
              </w:rPr>
              <w:t>0.468502</w:t>
            </w:r>
          </w:p>
        </w:tc>
      </w:tr>
      <w:tr w:rsidR="00413229" w:rsidRPr="00AC1055" w14:paraId="79FEA603" w14:textId="77777777" w:rsidTr="00413229">
        <w:trPr>
          <w:trHeight w:val="300"/>
        </w:trPr>
        <w:tc>
          <w:tcPr>
            <w:tcW w:w="1526" w:type="dxa"/>
            <w:noWrap/>
            <w:hideMark/>
          </w:tcPr>
          <w:p w14:paraId="1DAD3CE8" w14:textId="77777777" w:rsidR="00413229" w:rsidRPr="00AC1055" w:rsidRDefault="00413229" w:rsidP="00413229">
            <w:pPr>
              <w:jc w:val="center"/>
              <w:rPr>
                <w:rFonts w:cs="Times New Roman"/>
                <w:szCs w:val="24"/>
              </w:rPr>
            </w:pPr>
            <w:r w:rsidRPr="00AC1055">
              <w:rPr>
                <w:rFonts w:cs="Times New Roman"/>
                <w:szCs w:val="24"/>
              </w:rPr>
              <w:t>Colombia</w:t>
            </w:r>
          </w:p>
        </w:tc>
        <w:tc>
          <w:tcPr>
            <w:tcW w:w="1276" w:type="dxa"/>
            <w:vAlign w:val="bottom"/>
          </w:tcPr>
          <w:p w14:paraId="1A0646FB" w14:textId="77777777" w:rsidR="00413229" w:rsidRPr="00AC1055" w:rsidRDefault="00413229" w:rsidP="00413229">
            <w:pPr>
              <w:jc w:val="center"/>
              <w:rPr>
                <w:rFonts w:cs="Times New Roman"/>
                <w:color w:val="000000"/>
                <w:szCs w:val="24"/>
              </w:rPr>
            </w:pPr>
            <w:r w:rsidRPr="00AC1055">
              <w:rPr>
                <w:rFonts w:cs="Times New Roman"/>
                <w:color w:val="000000"/>
                <w:szCs w:val="24"/>
              </w:rPr>
              <w:t>0.075378</w:t>
            </w:r>
          </w:p>
        </w:tc>
        <w:tc>
          <w:tcPr>
            <w:tcW w:w="1559" w:type="dxa"/>
            <w:vAlign w:val="bottom"/>
          </w:tcPr>
          <w:p w14:paraId="7DDDD595" w14:textId="77777777" w:rsidR="00413229" w:rsidRPr="00AC1055" w:rsidRDefault="00413229" w:rsidP="00413229">
            <w:pPr>
              <w:jc w:val="center"/>
              <w:rPr>
                <w:rFonts w:cs="Times New Roman"/>
                <w:color w:val="000000"/>
                <w:szCs w:val="24"/>
              </w:rPr>
            </w:pPr>
            <w:r w:rsidRPr="00AC1055">
              <w:rPr>
                <w:rFonts w:cs="Times New Roman"/>
                <w:color w:val="000000"/>
                <w:szCs w:val="24"/>
              </w:rPr>
              <w:t>-0.03726</w:t>
            </w:r>
          </w:p>
        </w:tc>
        <w:tc>
          <w:tcPr>
            <w:tcW w:w="1701" w:type="dxa"/>
            <w:vAlign w:val="bottom"/>
          </w:tcPr>
          <w:p w14:paraId="4257C37E" w14:textId="77777777" w:rsidR="00413229" w:rsidRPr="00AC1055" w:rsidRDefault="00413229" w:rsidP="00413229">
            <w:pPr>
              <w:jc w:val="center"/>
              <w:rPr>
                <w:rFonts w:cs="Times New Roman"/>
                <w:color w:val="000000"/>
                <w:szCs w:val="24"/>
              </w:rPr>
            </w:pPr>
            <w:r w:rsidRPr="00AC1055">
              <w:rPr>
                <w:rFonts w:cs="Times New Roman"/>
                <w:color w:val="000000"/>
                <w:szCs w:val="24"/>
              </w:rPr>
              <w:t>0.185066</w:t>
            </w:r>
          </w:p>
        </w:tc>
        <w:tc>
          <w:tcPr>
            <w:tcW w:w="1613" w:type="dxa"/>
            <w:vAlign w:val="bottom"/>
          </w:tcPr>
          <w:p w14:paraId="3BF3971C" w14:textId="77777777" w:rsidR="00413229" w:rsidRPr="00AC1055" w:rsidRDefault="00413229" w:rsidP="00413229">
            <w:pPr>
              <w:jc w:val="center"/>
              <w:rPr>
                <w:rFonts w:cs="Times New Roman"/>
                <w:color w:val="000000"/>
                <w:szCs w:val="24"/>
              </w:rPr>
            </w:pPr>
            <w:r w:rsidRPr="00AC1055">
              <w:rPr>
                <w:rFonts w:cs="Times New Roman"/>
                <w:color w:val="000000"/>
                <w:szCs w:val="24"/>
              </w:rPr>
              <w:t>-0.13884</w:t>
            </w:r>
          </w:p>
        </w:tc>
        <w:tc>
          <w:tcPr>
            <w:tcW w:w="1647" w:type="dxa"/>
            <w:vAlign w:val="bottom"/>
          </w:tcPr>
          <w:p w14:paraId="0AF8DAF3" w14:textId="77777777" w:rsidR="00413229" w:rsidRPr="00AC1055" w:rsidRDefault="00413229" w:rsidP="00413229">
            <w:pPr>
              <w:jc w:val="center"/>
              <w:rPr>
                <w:rFonts w:cs="Times New Roman"/>
                <w:color w:val="000000"/>
                <w:szCs w:val="24"/>
              </w:rPr>
            </w:pPr>
            <w:r w:rsidRPr="00AC1055">
              <w:rPr>
                <w:rFonts w:cs="Times New Roman"/>
                <w:color w:val="000000"/>
                <w:szCs w:val="24"/>
              </w:rPr>
              <w:t>0.425973</w:t>
            </w:r>
          </w:p>
        </w:tc>
        <w:tc>
          <w:tcPr>
            <w:tcW w:w="1701" w:type="dxa"/>
            <w:vAlign w:val="bottom"/>
          </w:tcPr>
          <w:p w14:paraId="07F46496" w14:textId="77777777" w:rsidR="00413229" w:rsidRPr="00AC1055" w:rsidRDefault="00413229" w:rsidP="00413229">
            <w:pPr>
              <w:jc w:val="center"/>
              <w:rPr>
                <w:rFonts w:cs="Times New Roman"/>
                <w:color w:val="000000"/>
                <w:szCs w:val="24"/>
              </w:rPr>
            </w:pPr>
            <w:r w:rsidRPr="00AC1055">
              <w:rPr>
                <w:rFonts w:cs="Times New Roman"/>
                <w:color w:val="000000"/>
                <w:szCs w:val="24"/>
              </w:rPr>
              <w:t>0.079505</w:t>
            </w:r>
          </w:p>
        </w:tc>
        <w:tc>
          <w:tcPr>
            <w:tcW w:w="1701" w:type="dxa"/>
            <w:vAlign w:val="bottom"/>
          </w:tcPr>
          <w:p w14:paraId="45C38CD5" w14:textId="77777777" w:rsidR="00413229" w:rsidRPr="00AC1055" w:rsidRDefault="00413229" w:rsidP="00413229">
            <w:pPr>
              <w:jc w:val="center"/>
              <w:rPr>
                <w:rFonts w:cs="Times New Roman"/>
                <w:color w:val="000000"/>
                <w:szCs w:val="24"/>
              </w:rPr>
            </w:pPr>
            <w:r w:rsidRPr="00AC1055">
              <w:rPr>
                <w:rFonts w:cs="Times New Roman"/>
                <w:color w:val="000000"/>
                <w:szCs w:val="24"/>
              </w:rPr>
              <w:t>0.429411</w:t>
            </w:r>
          </w:p>
        </w:tc>
      </w:tr>
      <w:tr w:rsidR="00413229" w:rsidRPr="00AC1055" w14:paraId="3C2842D1" w14:textId="77777777" w:rsidTr="00413229">
        <w:trPr>
          <w:trHeight w:val="300"/>
        </w:trPr>
        <w:tc>
          <w:tcPr>
            <w:tcW w:w="1526" w:type="dxa"/>
            <w:noWrap/>
            <w:hideMark/>
          </w:tcPr>
          <w:p w14:paraId="3933AABD" w14:textId="77777777" w:rsidR="00413229" w:rsidRPr="00AC1055" w:rsidRDefault="00413229" w:rsidP="00413229">
            <w:pPr>
              <w:jc w:val="center"/>
              <w:rPr>
                <w:rFonts w:cs="Times New Roman"/>
                <w:szCs w:val="24"/>
              </w:rPr>
            </w:pPr>
            <w:r w:rsidRPr="00AC1055">
              <w:rPr>
                <w:rFonts w:cs="Times New Roman"/>
                <w:szCs w:val="24"/>
              </w:rPr>
              <w:t>India</w:t>
            </w:r>
          </w:p>
        </w:tc>
        <w:tc>
          <w:tcPr>
            <w:tcW w:w="1276" w:type="dxa"/>
            <w:vAlign w:val="bottom"/>
          </w:tcPr>
          <w:p w14:paraId="0E29F2D9" w14:textId="77777777" w:rsidR="00413229" w:rsidRPr="00AC1055" w:rsidRDefault="00413229" w:rsidP="00413229">
            <w:pPr>
              <w:jc w:val="center"/>
              <w:rPr>
                <w:rFonts w:cs="Times New Roman"/>
                <w:color w:val="000000"/>
                <w:szCs w:val="24"/>
              </w:rPr>
            </w:pPr>
            <w:r w:rsidRPr="00AC1055">
              <w:rPr>
                <w:rFonts w:cs="Times New Roman"/>
                <w:color w:val="000000"/>
                <w:szCs w:val="24"/>
              </w:rPr>
              <w:t>0.062502</w:t>
            </w:r>
          </w:p>
        </w:tc>
        <w:tc>
          <w:tcPr>
            <w:tcW w:w="1559" w:type="dxa"/>
            <w:vAlign w:val="bottom"/>
          </w:tcPr>
          <w:p w14:paraId="7A562EAB" w14:textId="77777777" w:rsidR="00413229" w:rsidRPr="00AC1055" w:rsidRDefault="00413229" w:rsidP="00413229">
            <w:pPr>
              <w:jc w:val="center"/>
              <w:rPr>
                <w:rFonts w:cs="Times New Roman"/>
                <w:color w:val="000000"/>
                <w:szCs w:val="24"/>
              </w:rPr>
            </w:pPr>
            <w:r w:rsidRPr="00AC1055">
              <w:rPr>
                <w:rFonts w:cs="Times New Roman"/>
                <w:color w:val="000000"/>
                <w:szCs w:val="24"/>
              </w:rPr>
              <w:t>0.003676</w:t>
            </w:r>
          </w:p>
        </w:tc>
        <w:tc>
          <w:tcPr>
            <w:tcW w:w="1701" w:type="dxa"/>
            <w:vAlign w:val="bottom"/>
          </w:tcPr>
          <w:p w14:paraId="57494D08" w14:textId="77777777" w:rsidR="00413229" w:rsidRPr="00AC1055" w:rsidRDefault="00413229" w:rsidP="00413229">
            <w:pPr>
              <w:jc w:val="center"/>
              <w:rPr>
                <w:rFonts w:cs="Times New Roman"/>
                <w:color w:val="000000"/>
                <w:szCs w:val="24"/>
              </w:rPr>
            </w:pPr>
            <w:r w:rsidRPr="00AC1055">
              <w:rPr>
                <w:rFonts w:cs="Times New Roman"/>
                <w:color w:val="000000"/>
                <w:szCs w:val="24"/>
              </w:rPr>
              <w:t>0.120785</w:t>
            </w:r>
          </w:p>
        </w:tc>
        <w:tc>
          <w:tcPr>
            <w:tcW w:w="1613" w:type="dxa"/>
            <w:vAlign w:val="bottom"/>
          </w:tcPr>
          <w:p w14:paraId="321D0FF0" w14:textId="77777777" w:rsidR="00413229" w:rsidRPr="00AC1055" w:rsidRDefault="00413229" w:rsidP="00413229">
            <w:pPr>
              <w:jc w:val="center"/>
              <w:rPr>
                <w:rFonts w:cs="Times New Roman"/>
                <w:color w:val="000000"/>
                <w:szCs w:val="24"/>
              </w:rPr>
            </w:pPr>
            <w:r w:rsidRPr="00AC1055">
              <w:rPr>
                <w:rFonts w:cs="Times New Roman"/>
                <w:color w:val="000000"/>
                <w:szCs w:val="24"/>
              </w:rPr>
              <w:t>-0.01918</w:t>
            </w:r>
          </w:p>
        </w:tc>
        <w:tc>
          <w:tcPr>
            <w:tcW w:w="1647" w:type="dxa"/>
            <w:vAlign w:val="bottom"/>
          </w:tcPr>
          <w:p w14:paraId="1FF93079" w14:textId="77777777" w:rsidR="00413229" w:rsidRPr="00AC1055" w:rsidRDefault="00413229" w:rsidP="00413229">
            <w:pPr>
              <w:jc w:val="center"/>
              <w:rPr>
                <w:rFonts w:cs="Times New Roman"/>
                <w:color w:val="000000"/>
                <w:szCs w:val="24"/>
              </w:rPr>
            </w:pPr>
            <w:r w:rsidRPr="00AC1055">
              <w:rPr>
                <w:rFonts w:cs="Times New Roman"/>
                <w:color w:val="000000"/>
                <w:szCs w:val="24"/>
              </w:rPr>
              <w:t>0.398711</w:t>
            </w:r>
          </w:p>
        </w:tc>
        <w:tc>
          <w:tcPr>
            <w:tcW w:w="1701" w:type="dxa"/>
            <w:vAlign w:val="bottom"/>
          </w:tcPr>
          <w:p w14:paraId="35C553F8" w14:textId="77777777" w:rsidR="00413229" w:rsidRPr="00AC1055" w:rsidRDefault="00413229" w:rsidP="00413229">
            <w:pPr>
              <w:jc w:val="center"/>
              <w:rPr>
                <w:rFonts w:cs="Times New Roman"/>
                <w:color w:val="000000"/>
                <w:szCs w:val="24"/>
              </w:rPr>
            </w:pPr>
            <w:r w:rsidRPr="00AC1055">
              <w:rPr>
                <w:rFonts w:cs="Times New Roman"/>
                <w:color w:val="000000"/>
                <w:szCs w:val="24"/>
              </w:rPr>
              <w:t>0.057521</w:t>
            </w:r>
          </w:p>
        </w:tc>
        <w:tc>
          <w:tcPr>
            <w:tcW w:w="1701" w:type="dxa"/>
            <w:vAlign w:val="bottom"/>
          </w:tcPr>
          <w:p w14:paraId="6E332BE8" w14:textId="77777777" w:rsidR="00413229" w:rsidRPr="00AC1055" w:rsidRDefault="00413229" w:rsidP="00413229">
            <w:pPr>
              <w:jc w:val="center"/>
              <w:rPr>
                <w:rFonts w:cs="Times New Roman"/>
                <w:color w:val="000000"/>
                <w:szCs w:val="24"/>
              </w:rPr>
            </w:pPr>
            <w:r w:rsidRPr="00AC1055">
              <w:rPr>
                <w:rFonts w:cs="Times New Roman"/>
                <w:color w:val="000000"/>
                <w:szCs w:val="24"/>
              </w:rPr>
              <w:t>0.472082</w:t>
            </w:r>
          </w:p>
        </w:tc>
      </w:tr>
      <w:tr w:rsidR="00413229" w:rsidRPr="00AC1055" w14:paraId="0E412EBF" w14:textId="77777777" w:rsidTr="00413229">
        <w:trPr>
          <w:trHeight w:val="300"/>
        </w:trPr>
        <w:tc>
          <w:tcPr>
            <w:tcW w:w="1526" w:type="dxa"/>
            <w:noWrap/>
            <w:hideMark/>
          </w:tcPr>
          <w:p w14:paraId="6F98162D" w14:textId="77777777" w:rsidR="00413229" w:rsidRPr="00AC1055" w:rsidRDefault="00413229" w:rsidP="00413229">
            <w:pPr>
              <w:jc w:val="center"/>
              <w:rPr>
                <w:rFonts w:cs="Times New Roman"/>
                <w:szCs w:val="24"/>
              </w:rPr>
            </w:pPr>
            <w:r w:rsidRPr="00AC1055">
              <w:rPr>
                <w:rFonts w:cs="Times New Roman"/>
                <w:szCs w:val="24"/>
              </w:rPr>
              <w:t>Indonesia</w:t>
            </w:r>
          </w:p>
        </w:tc>
        <w:tc>
          <w:tcPr>
            <w:tcW w:w="1276" w:type="dxa"/>
            <w:vAlign w:val="bottom"/>
          </w:tcPr>
          <w:p w14:paraId="3897BCC7" w14:textId="77777777" w:rsidR="00413229" w:rsidRPr="00AC1055" w:rsidRDefault="00413229" w:rsidP="00413229">
            <w:pPr>
              <w:jc w:val="center"/>
              <w:rPr>
                <w:rFonts w:cs="Times New Roman"/>
                <w:color w:val="000000"/>
                <w:szCs w:val="24"/>
              </w:rPr>
            </w:pPr>
            <w:r w:rsidRPr="00AC1055">
              <w:rPr>
                <w:rFonts w:cs="Times New Roman"/>
                <w:color w:val="000000"/>
                <w:szCs w:val="24"/>
              </w:rPr>
              <w:t>0.066574</w:t>
            </w:r>
          </w:p>
        </w:tc>
        <w:tc>
          <w:tcPr>
            <w:tcW w:w="1559" w:type="dxa"/>
            <w:vAlign w:val="bottom"/>
          </w:tcPr>
          <w:p w14:paraId="3031DE82" w14:textId="77777777" w:rsidR="00413229" w:rsidRPr="00AC1055" w:rsidRDefault="00413229" w:rsidP="00413229">
            <w:pPr>
              <w:jc w:val="center"/>
              <w:rPr>
                <w:rFonts w:cs="Times New Roman"/>
                <w:color w:val="000000"/>
                <w:szCs w:val="24"/>
              </w:rPr>
            </w:pPr>
            <w:r w:rsidRPr="00AC1055">
              <w:rPr>
                <w:rFonts w:cs="Times New Roman"/>
                <w:color w:val="000000"/>
                <w:szCs w:val="24"/>
              </w:rPr>
              <w:t>0.038958</w:t>
            </w:r>
          </w:p>
        </w:tc>
        <w:tc>
          <w:tcPr>
            <w:tcW w:w="1701" w:type="dxa"/>
            <w:vAlign w:val="bottom"/>
          </w:tcPr>
          <w:p w14:paraId="0431EE42" w14:textId="77777777" w:rsidR="00413229" w:rsidRPr="00AC1055" w:rsidRDefault="00413229" w:rsidP="00413229">
            <w:pPr>
              <w:jc w:val="center"/>
              <w:rPr>
                <w:rFonts w:cs="Times New Roman"/>
                <w:color w:val="000000"/>
                <w:szCs w:val="24"/>
              </w:rPr>
            </w:pPr>
            <w:r w:rsidRPr="00AC1055">
              <w:rPr>
                <w:rFonts w:cs="Times New Roman"/>
                <w:color w:val="000000"/>
                <w:szCs w:val="24"/>
              </w:rPr>
              <w:t>0.094967</w:t>
            </w:r>
          </w:p>
        </w:tc>
        <w:tc>
          <w:tcPr>
            <w:tcW w:w="1613" w:type="dxa"/>
            <w:vAlign w:val="bottom"/>
          </w:tcPr>
          <w:p w14:paraId="0A8E02F7" w14:textId="77777777" w:rsidR="00413229" w:rsidRPr="00AC1055" w:rsidRDefault="00413229" w:rsidP="00413229">
            <w:pPr>
              <w:jc w:val="center"/>
              <w:rPr>
                <w:rFonts w:cs="Times New Roman"/>
                <w:color w:val="000000"/>
                <w:szCs w:val="24"/>
              </w:rPr>
            </w:pPr>
            <w:r w:rsidRPr="00AC1055">
              <w:rPr>
                <w:rFonts w:cs="Times New Roman"/>
                <w:color w:val="000000"/>
                <w:szCs w:val="24"/>
              </w:rPr>
              <w:t>-0.14892</w:t>
            </w:r>
          </w:p>
        </w:tc>
        <w:tc>
          <w:tcPr>
            <w:tcW w:w="1647" w:type="dxa"/>
            <w:vAlign w:val="bottom"/>
          </w:tcPr>
          <w:p w14:paraId="05147EEC" w14:textId="77777777" w:rsidR="00413229" w:rsidRPr="00AC1055" w:rsidRDefault="00413229" w:rsidP="00413229">
            <w:pPr>
              <w:jc w:val="center"/>
              <w:rPr>
                <w:rFonts w:cs="Times New Roman"/>
                <w:color w:val="000000"/>
                <w:szCs w:val="24"/>
              </w:rPr>
            </w:pPr>
            <w:r w:rsidRPr="00AC1055">
              <w:rPr>
                <w:rFonts w:cs="Times New Roman"/>
                <w:color w:val="000000"/>
                <w:szCs w:val="24"/>
              </w:rPr>
              <w:t>0.411826</w:t>
            </w:r>
          </w:p>
        </w:tc>
        <w:tc>
          <w:tcPr>
            <w:tcW w:w="1701" w:type="dxa"/>
            <w:vAlign w:val="bottom"/>
          </w:tcPr>
          <w:p w14:paraId="7E55D841" w14:textId="77777777" w:rsidR="00413229" w:rsidRPr="00AC1055" w:rsidRDefault="00413229" w:rsidP="00413229">
            <w:pPr>
              <w:jc w:val="center"/>
              <w:rPr>
                <w:rFonts w:cs="Times New Roman"/>
                <w:color w:val="000000"/>
                <w:szCs w:val="24"/>
              </w:rPr>
            </w:pPr>
            <w:r w:rsidRPr="00AC1055">
              <w:rPr>
                <w:rFonts w:cs="Times New Roman"/>
                <w:color w:val="000000"/>
                <w:szCs w:val="24"/>
              </w:rPr>
              <w:t>0.087087</w:t>
            </w:r>
          </w:p>
        </w:tc>
        <w:tc>
          <w:tcPr>
            <w:tcW w:w="1701" w:type="dxa"/>
            <w:vAlign w:val="bottom"/>
          </w:tcPr>
          <w:p w14:paraId="3E56427B" w14:textId="77777777" w:rsidR="00413229" w:rsidRPr="00AC1055" w:rsidRDefault="00413229" w:rsidP="00413229">
            <w:pPr>
              <w:jc w:val="center"/>
              <w:rPr>
                <w:rFonts w:cs="Times New Roman"/>
                <w:color w:val="000000"/>
                <w:szCs w:val="24"/>
              </w:rPr>
            </w:pPr>
            <w:r w:rsidRPr="00AC1055">
              <w:rPr>
                <w:rFonts w:cs="Times New Roman"/>
                <w:color w:val="000000"/>
                <w:szCs w:val="24"/>
              </w:rPr>
              <w:t>0.465394</w:t>
            </w:r>
          </w:p>
        </w:tc>
      </w:tr>
      <w:tr w:rsidR="00413229" w:rsidRPr="00AC1055" w14:paraId="7A2742C0" w14:textId="77777777" w:rsidTr="00413229">
        <w:trPr>
          <w:trHeight w:val="300"/>
        </w:trPr>
        <w:tc>
          <w:tcPr>
            <w:tcW w:w="1526" w:type="dxa"/>
            <w:noWrap/>
            <w:hideMark/>
          </w:tcPr>
          <w:p w14:paraId="75AB027E" w14:textId="77777777" w:rsidR="00413229" w:rsidRPr="00AC1055" w:rsidRDefault="00413229" w:rsidP="00413229">
            <w:pPr>
              <w:jc w:val="center"/>
              <w:rPr>
                <w:rFonts w:cs="Times New Roman"/>
                <w:szCs w:val="24"/>
              </w:rPr>
            </w:pPr>
            <w:r w:rsidRPr="00AC1055">
              <w:rPr>
                <w:rFonts w:cs="Times New Roman"/>
                <w:szCs w:val="24"/>
              </w:rPr>
              <w:t>Peru</w:t>
            </w:r>
          </w:p>
        </w:tc>
        <w:tc>
          <w:tcPr>
            <w:tcW w:w="1276" w:type="dxa"/>
            <w:vAlign w:val="bottom"/>
          </w:tcPr>
          <w:p w14:paraId="3C8B82F3" w14:textId="77777777" w:rsidR="00413229" w:rsidRPr="00AC1055" w:rsidRDefault="00413229" w:rsidP="00413229">
            <w:pPr>
              <w:jc w:val="center"/>
              <w:rPr>
                <w:rFonts w:cs="Times New Roman"/>
                <w:color w:val="000000"/>
                <w:szCs w:val="24"/>
              </w:rPr>
            </w:pPr>
            <w:r w:rsidRPr="00AC1055">
              <w:rPr>
                <w:rFonts w:cs="Times New Roman"/>
                <w:color w:val="000000"/>
                <w:szCs w:val="24"/>
              </w:rPr>
              <w:t>0.060262</w:t>
            </w:r>
          </w:p>
        </w:tc>
        <w:tc>
          <w:tcPr>
            <w:tcW w:w="1559" w:type="dxa"/>
            <w:vAlign w:val="bottom"/>
          </w:tcPr>
          <w:p w14:paraId="4F2B82C3" w14:textId="77777777" w:rsidR="00413229" w:rsidRPr="00AC1055" w:rsidRDefault="00413229" w:rsidP="00413229">
            <w:pPr>
              <w:jc w:val="center"/>
              <w:rPr>
                <w:rFonts w:cs="Times New Roman"/>
                <w:color w:val="000000"/>
                <w:szCs w:val="24"/>
              </w:rPr>
            </w:pPr>
            <w:r w:rsidRPr="00AC1055">
              <w:rPr>
                <w:rFonts w:cs="Times New Roman"/>
                <w:color w:val="000000"/>
                <w:szCs w:val="24"/>
              </w:rPr>
              <w:t>0.011902</w:t>
            </w:r>
          </w:p>
        </w:tc>
        <w:tc>
          <w:tcPr>
            <w:tcW w:w="1701" w:type="dxa"/>
            <w:vAlign w:val="bottom"/>
          </w:tcPr>
          <w:p w14:paraId="53444E8D" w14:textId="77777777" w:rsidR="00413229" w:rsidRPr="00AC1055" w:rsidRDefault="00413229" w:rsidP="00413229">
            <w:pPr>
              <w:jc w:val="center"/>
              <w:rPr>
                <w:rFonts w:cs="Times New Roman"/>
                <w:color w:val="000000"/>
                <w:szCs w:val="24"/>
              </w:rPr>
            </w:pPr>
            <w:r w:rsidRPr="00AC1055">
              <w:rPr>
                <w:rFonts w:cs="Times New Roman"/>
                <w:color w:val="000000"/>
                <w:szCs w:val="24"/>
              </w:rPr>
              <w:t>0.116667</w:t>
            </w:r>
          </w:p>
        </w:tc>
        <w:tc>
          <w:tcPr>
            <w:tcW w:w="1613" w:type="dxa"/>
            <w:vAlign w:val="bottom"/>
          </w:tcPr>
          <w:p w14:paraId="7E865DA5" w14:textId="77777777" w:rsidR="00413229" w:rsidRPr="00AC1055" w:rsidRDefault="00413229" w:rsidP="00413229">
            <w:pPr>
              <w:jc w:val="center"/>
              <w:rPr>
                <w:rFonts w:cs="Times New Roman"/>
                <w:color w:val="000000"/>
                <w:szCs w:val="24"/>
              </w:rPr>
            </w:pPr>
            <w:r w:rsidRPr="00AC1055">
              <w:rPr>
                <w:rFonts w:cs="Times New Roman"/>
                <w:color w:val="000000"/>
                <w:szCs w:val="24"/>
              </w:rPr>
              <w:t>-0.20842</w:t>
            </w:r>
          </w:p>
        </w:tc>
        <w:tc>
          <w:tcPr>
            <w:tcW w:w="1647" w:type="dxa"/>
            <w:vAlign w:val="bottom"/>
          </w:tcPr>
          <w:p w14:paraId="03C38EC3" w14:textId="77777777" w:rsidR="00413229" w:rsidRPr="00AC1055" w:rsidRDefault="00413229" w:rsidP="00413229">
            <w:pPr>
              <w:jc w:val="center"/>
              <w:rPr>
                <w:rFonts w:cs="Times New Roman"/>
                <w:color w:val="000000"/>
                <w:szCs w:val="24"/>
              </w:rPr>
            </w:pPr>
            <w:r w:rsidRPr="00AC1055">
              <w:rPr>
                <w:rFonts w:cs="Times New Roman"/>
                <w:color w:val="000000"/>
                <w:szCs w:val="24"/>
              </w:rPr>
              <w:t>0.394241</w:t>
            </w:r>
          </w:p>
        </w:tc>
        <w:tc>
          <w:tcPr>
            <w:tcW w:w="1701" w:type="dxa"/>
            <w:vAlign w:val="bottom"/>
          </w:tcPr>
          <w:p w14:paraId="00488012" w14:textId="77777777" w:rsidR="00413229" w:rsidRPr="00AC1055" w:rsidRDefault="00413229" w:rsidP="00413229">
            <w:pPr>
              <w:jc w:val="center"/>
              <w:rPr>
                <w:rFonts w:cs="Times New Roman"/>
                <w:color w:val="000000"/>
                <w:szCs w:val="24"/>
              </w:rPr>
            </w:pPr>
            <w:r w:rsidRPr="00AC1055">
              <w:rPr>
                <w:rFonts w:cs="Times New Roman"/>
                <w:color w:val="000000"/>
                <w:szCs w:val="24"/>
              </w:rPr>
              <w:t>0.079355</w:t>
            </w:r>
          </w:p>
        </w:tc>
        <w:tc>
          <w:tcPr>
            <w:tcW w:w="1701" w:type="dxa"/>
            <w:vAlign w:val="bottom"/>
          </w:tcPr>
          <w:p w14:paraId="7865F2F9" w14:textId="77777777" w:rsidR="00413229" w:rsidRPr="00AC1055" w:rsidRDefault="00413229" w:rsidP="00413229">
            <w:pPr>
              <w:jc w:val="center"/>
              <w:rPr>
                <w:rFonts w:cs="Times New Roman"/>
                <w:color w:val="000000"/>
                <w:szCs w:val="24"/>
              </w:rPr>
            </w:pPr>
            <w:r w:rsidRPr="00AC1055">
              <w:rPr>
                <w:rFonts w:cs="Times New Roman"/>
                <w:color w:val="000000"/>
                <w:szCs w:val="24"/>
              </w:rPr>
              <w:t>0.39691</w:t>
            </w:r>
          </w:p>
        </w:tc>
      </w:tr>
      <w:tr w:rsidR="00413229" w:rsidRPr="00AC1055" w14:paraId="5C36B4D9" w14:textId="77777777" w:rsidTr="00413229">
        <w:trPr>
          <w:trHeight w:val="300"/>
        </w:trPr>
        <w:tc>
          <w:tcPr>
            <w:tcW w:w="1526" w:type="dxa"/>
            <w:noWrap/>
            <w:hideMark/>
          </w:tcPr>
          <w:p w14:paraId="4F38B769" w14:textId="77777777" w:rsidR="00413229" w:rsidRPr="00AC1055" w:rsidRDefault="00413229" w:rsidP="00413229">
            <w:pPr>
              <w:jc w:val="center"/>
              <w:rPr>
                <w:rFonts w:cs="Times New Roman"/>
                <w:szCs w:val="24"/>
              </w:rPr>
            </w:pPr>
            <w:r w:rsidRPr="00AC1055">
              <w:rPr>
                <w:rFonts w:cs="Times New Roman"/>
                <w:szCs w:val="24"/>
              </w:rPr>
              <w:t>Pakistan</w:t>
            </w:r>
          </w:p>
        </w:tc>
        <w:tc>
          <w:tcPr>
            <w:tcW w:w="1276" w:type="dxa"/>
            <w:vAlign w:val="bottom"/>
          </w:tcPr>
          <w:p w14:paraId="4DE11421" w14:textId="77777777" w:rsidR="00413229" w:rsidRPr="00AC1055" w:rsidRDefault="00413229" w:rsidP="00413229">
            <w:pPr>
              <w:jc w:val="center"/>
              <w:rPr>
                <w:rFonts w:cs="Times New Roman"/>
                <w:color w:val="000000"/>
                <w:szCs w:val="24"/>
              </w:rPr>
            </w:pPr>
            <w:r w:rsidRPr="00AC1055">
              <w:rPr>
                <w:rFonts w:cs="Times New Roman"/>
                <w:color w:val="000000"/>
                <w:szCs w:val="24"/>
              </w:rPr>
              <w:t>0.062161</w:t>
            </w:r>
          </w:p>
        </w:tc>
        <w:tc>
          <w:tcPr>
            <w:tcW w:w="1559" w:type="dxa"/>
            <w:vAlign w:val="bottom"/>
          </w:tcPr>
          <w:p w14:paraId="4ECE1FC9" w14:textId="77777777" w:rsidR="00413229" w:rsidRPr="00AC1055" w:rsidRDefault="00413229" w:rsidP="00413229">
            <w:pPr>
              <w:jc w:val="center"/>
              <w:rPr>
                <w:rFonts w:cs="Times New Roman"/>
                <w:color w:val="000000"/>
                <w:szCs w:val="24"/>
              </w:rPr>
            </w:pPr>
            <w:r w:rsidRPr="00AC1055">
              <w:rPr>
                <w:rFonts w:cs="Times New Roman"/>
                <w:color w:val="000000"/>
                <w:szCs w:val="24"/>
              </w:rPr>
              <w:t>0.033106</w:t>
            </w:r>
          </w:p>
        </w:tc>
        <w:tc>
          <w:tcPr>
            <w:tcW w:w="1701" w:type="dxa"/>
            <w:vAlign w:val="bottom"/>
          </w:tcPr>
          <w:p w14:paraId="54A64E24" w14:textId="77777777" w:rsidR="00413229" w:rsidRPr="00AC1055" w:rsidRDefault="00413229" w:rsidP="00413229">
            <w:pPr>
              <w:jc w:val="center"/>
              <w:rPr>
                <w:rFonts w:cs="Times New Roman"/>
                <w:color w:val="000000"/>
                <w:szCs w:val="24"/>
              </w:rPr>
            </w:pPr>
            <w:r w:rsidRPr="00AC1055">
              <w:rPr>
                <w:rFonts w:cs="Times New Roman"/>
                <w:color w:val="000000"/>
                <w:szCs w:val="24"/>
              </w:rPr>
              <w:t>0.091461</w:t>
            </w:r>
          </w:p>
        </w:tc>
        <w:tc>
          <w:tcPr>
            <w:tcW w:w="1613" w:type="dxa"/>
            <w:vAlign w:val="bottom"/>
          </w:tcPr>
          <w:p w14:paraId="0B10990B" w14:textId="77777777" w:rsidR="00413229" w:rsidRPr="00AC1055" w:rsidRDefault="00413229" w:rsidP="00413229">
            <w:pPr>
              <w:jc w:val="center"/>
              <w:rPr>
                <w:rFonts w:cs="Times New Roman"/>
                <w:color w:val="000000"/>
                <w:szCs w:val="24"/>
              </w:rPr>
            </w:pPr>
            <w:r w:rsidRPr="00AC1055">
              <w:rPr>
                <w:rFonts w:cs="Times New Roman"/>
                <w:color w:val="000000"/>
                <w:szCs w:val="24"/>
              </w:rPr>
              <w:t>-0.25478</w:t>
            </w:r>
          </w:p>
        </w:tc>
        <w:tc>
          <w:tcPr>
            <w:tcW w:w="1647" w:type="dxa"/>
            <w:vAlign w:val="bottom"/>
          </w:tcPr>
          <w:p w14:paraId="16CBE5EF" w14:textId="77777777" w:rsidR="00413229" w:rsidRPr="00AC1055" w:rsidRDefault="00413229" w:rsidP="00413229">
            <w:pPr>
              <w:jc w:val="center"/>
              <w:rPr>
                <w:rFonts w:cs="Times New Roman"/>
                <w:color w:val="000000"/>
                <w:szCs w:val="24"/>
              </w:rPr>
            </w:pPr>
            <w:r w:rsidRPr="00AC1055">
              <w:rPr>
                <w:rFonts w:cs="Times New Roman"/>
                <w:color w:val="000000"/>
                <w:szCs w:val="24"/>
              </w:rPr>
              <w:t>0.43312</w:t>
            </w:r>
          </w:p>
        </w:tc>
        <w:tc>
          <w:tcPr>
            <w:tcW w:w="1701" w:type="dxa"/>
            <w:vAlign w:val="bottom"/>
          </w:tcPr>
          <w:p w14:paraId="2740B860" w14:textId="77777777" w:rsidR="00413229" w:rsidRPr="00AC1055" w:rsidRDefault="00413229" w:rsidP="00413229">
            <w:pPr>
              <w:jc w:val="center"/>
              <w:rPr>
                <w:rFonts w:cs="Times New Roman"/>
                <w:color w:val="000000"/>
                <w:szCs w:val="24"/>
              </w:rPr>
            </w:pPr>
            <w:r w:rsidRPr="00AC1055">
              <w:rPr>
                <w:rFonts w:cs="Times New Roman"/>
                <w:color w:val="000000"/>
                <w:szCs w:val="24"/>
              </w:rPr>
              <w:t>0.079625</w:t>
            </w:r>
          </w:p>
        </w:tc>
        <w:tc>
          <w:tcPr>
            <w:tcW w:w="1701" w:type="dxa"/>
            <w:vAlign w:val="bottom"/>
          </w:tcPr>
          <w:p w14:paraId="78EDF757" w14:textId="77777777" w:rsidR="00413229" w:rsidRPr="00AC1055" w:rsidRDefault="00413229" w:rsidP="00413229">
            <w:pPr>
              <w:jc w:val="center"/>
              <w:rPr>
                <w:rFonts w:cs="Times New Roman"/>
                <w:color w:val="000000"/>
                <w:szCs w:val="24"/>
              </w:rPr>
            </w:pPr>
            <w:r w:rsidRPr="00AC1055">
              <w:rPr>
                <w:rFonts w:cs="Times New Roman"/>
                <w:color w:val="000000"/>
                <w:szCs w:val="24"/>
              </w:rPr>
              <w:t>0.414556</w:t>
            </w:r>
          </w:p>
        </w:tc>
      </w:tr>
      <w:tr w:rsidR="00413229" w:rsidRPr="00AC1055" w14:paraId="0AFE1470" w14:textId="77777777" w:rsidTr="00413229">
        <w:trPr>
          <w:trHeight w:val="300"/>
        </w:trPr>
        <w:tc>
          <w:tcPr>
            <w:tcW w:w="1526" w:type="dxa"/>
            <w:noWrap/>
            <w:hideMark/>
          </w:tcPr>
          <w:p w14:paraId="39C4C66B" w14:textId="77777777" w:rsidR="00413229" w:rsidRPr="00AC1055" w:rsidRDefault="00413229" w:rsidP="00413229">
            <w:pPr>
              <w:jc w:val="center"/>
              <w:rPr>
                <w:rFonts w:cs="Times New Roman"/>
                <w:szCs w:val="24"/>
              </w:rPr>
            </w:pPr>
            <w:r w:rsidRPr="00AC1055">
              <w:rPr>
                <w:rFonts w:cs="Times New Roman"/>
                <w:szCs w:val="24"/>
              </w:rPr>
              <w:t>Poland</w:t>
            </w:r>
          </w:p>
        </w:tc>
        <w:tc>
          <w:tcPr>
            <w:tcW w:w="1276" w:type="dxa"/>
            <w:vAlign w:val="bottom"/>
          </w:tcPr>
          <w:p w14:paraId="4CFCCBB1" w14:textId="77777777" w:rsidR="00413229" w:rsidRPr="00AC1055" w:rsidRDefault="00413229" w:rsidP="00413229">
            <w:pPr>
              <w:jc w:val="center"/>
              <w:rPr>
                <w:rFonts w:cs="Times New Roman"/>
                <w:color w:val="000000"/>
                <w:szCs w:val="24"/>
              </w:rPr>
            </w:pPr>
            <w:r w:rsidRPr="00AC1055">
              <w:rPr>
                <w:rFonts w:cs="Times New Roman"/>
                <w:color w:val="000000"/>
                <w:szCs w:val="24"/>
              </w:rPr>
              <w:t>0.077912</w:t>
            </w:r>
          </w:p>
        </w:tc>
        <w:tc>
          <w:tcPr>
            <w:tcW w:w="1559" w:type="dxa"/>
            <w:vAlign w:val="bottom"/>
          </w:tcPr>
          <w:p w14:paraId="191F1075" w14:textId="77777777" w:rsidR="00413229" w:rsidRPr="00AC1055" w:rsidRDefault="00413229" w:rsidP="00413229">
            <w:pPr>
              <w:jc w:val="center"/>
              <w:rPr>
                <w:rFonts w:cs="Times New Roman"/>
                <w:color w:val="000000"/>
                <w:szCs w:val="24"/>
              </w:rPr>
            </w:pPr>
            <w:r w:rsidRPr="00AC1055">
              <w:rPr>
                <w:rFonts w:cs="Times New Roman"/>
                <w:color w:val="000000"/>
                <w:szCs w:val="24"/>
              </w:rPr>
              <w:t>-0.00566</w:t>
            </w:r>
          </w:p>
        </w:tc>
        <w:tc>
          <w:tcPr>
            <w:tcW w:w="1701" w:type="dxa"/>
            <w:vAlign w:val="bottom"/>
          </w:tcPr>
          <w:p w14:paraId="57C71319" w14:textId="77777777" w:rsidR="00413229" w:rsidRPr="00AC1055" w:rsidRDefault="00413229" w:rsidP="00413229">
            <w:pPr>
              <w:jc w:val="center"/>
              <w:rPr>
                <w:rFonts w:cs="Times New Roman"/>
                <w:color w:val="000000"/>
                <w:szCs w:val="24"/>
              </w:rPr>
            </w:pPr>
            <w:r w:rsidRPr="00AC1055">
              <w:rPr>
                <w:rFonts w:cs="Times New Roman"/>
                <w:color w:val="000000"/>
                <w:szCs w:val="24"/>
              </w:rPr>
              <w:t>0.158403</w:t>
            </w:r>
          </w:p>
        </w:tc>
        <w:tc>
          <w:tcPr>
            <w:tcW w:w="1613" w:type="dxa"/>
            <w:vAlign w:val="bottom"/>
          </w:tcPr>
          <w:p w14:paraId="0B348193" w14:textId="77777777" w:rsidR="00413229" w:rsidRPr="00AC1055" w:rsidRDefault="00413229" w:rsidP="00413229">
            <w:pPr>
              <w:jc w:val="center"/>
              <w:rPr>
                <w:rFonts w:cs="Times New Roman"/>
                <w:color w:val="000000"/>
                <w:szCs w:val="24"/>
              </w:rPr>
            </w:pPr>
            <w:r w:rsidRPr="00AC1055">
              <w:rPr>
                <w:rFonts w:cs="Times New Roman"/>
                <w:color w:val="000000"/>
                <w:szCs w:val="24"/>
              </w:rPr>
              <w:t>-0.3002</w:t>
            </w:r>
          </w:p>
        </w:tc>
        <w:tc>
          <w:tcPr>
            <w:tcW w:w="1647" w:type="dxa"/>
            <w:vAlign w:val="bottom"/>
          </w:tcPr>
          <w:p w14:paraId="785B8F8F" w14:textId="77777777" w:rsidR="00413229" w:rsidRPr="00AC1055" w:rsidRDefault="00413229" w:rsidP="00413229">
            <w:pPr>
              <w:jc w:val="center"/>
              <w:rPr>
                <w:rFonts w:cs="Times New Roman"/>
                <w:color w:val="000000"/>
                <w:szCs w:val="24"/>
              </w:rPr>
            </w:pPr>
            <w:r w:rsidRPr="00AC1055">
              <w:rPr>
                <w:rFonts w:cs="Times New Roman"/>
                <w:color w:val="000000"/>
                <w:szCs w:val="24"/>
              </w:rPr>
              <w:t>0.480641</w:t>
            </w:r>
          </w:p>
        </w:tc>
        <w:tc>
          <w:tcPr>
            <w:tcW w:w="1701" w:type="dxa"/>
            <w:vAlign w:val="bottom"/>
          </w:tcPr>
          <w:p w14:paraId="6B9F52C3" w14:textId="77777777" w:rsidR="00413229" w:rsidRPr="00AC1055" w:rsidRDefault="00413229" w:rsidP="00413229">
            <w:pPr>
              <w:jc w:val="center"/>
              <w:rPr>
                <w:rFonts w:cs="Times New Roman"/>
                <w:color w:val="000000"/>
                <w:szCs w:val="24"/>
              </w:rPr>
            </w:pPr>
            <w:r w:rsidRPr="00AC1055">
              <w:rPr>
                <w:rFonts w:cs="Times New Roman"/>
                <w:color w:val="000000"/>
                <w:szCs w:val="24"/>
              </w:rPr>
              <w:t>0.070058</w:t>
            </w:r>
          </w:p>
        </w:tc>
        <w:tc>
          <w:tcPr>
            <w:tcW w:w="1701" w:type="dxa"/>
            <w:vAlign w:val="bottom"/>
          </w:tcPr>
          <w:p w14:paraId="5A36FFBE" w14:textId="77777777" w:rsidR="00413229" w:rsidRPr="00AC1055" w:rsidRDefault="00413229" w:rsidP="00413229">
            <w:pPr>
              <w:jc w:val="center"/>
              <w:rPr>
                <w:rFonts w:cs="Times New Roman"/>
                <w:color w:val="000000"/>
                <w:szCs w:val="24"/>
              </w:rPr>
            </w:pPr>
            <w:r w:rsidRPr="00AC1055">
              <w:rPr>
                <w:rFonts w:cs="Times New Roman"/>
                <w:color w:val="000000"/>
                <w:szCs w:val="24"/>
              </w:rPr>
              <w:t>0.393737</w:t>
            </w:r>
          </w:p>
        </w:tc>
      </w:tr>
      <w:tr w:rsidR="00413229" w:rsidRPr="00AC1055" w14:paraId="27A77B8E" w14:textId="77777777" w:rsidTr="00413229">
        <w:trPr>
          <w:trHeight w:val="300"/>
        </w:trPr>
        <w:tc>
          <w:tcPr>
            <w:tcW w:w="1526" w:type="dxa"/>
            <w:noWrap/>
            <w:hideMark/>
          </w:tcPr>
          <w:p w14:paraId="5062BC31" w14:textId="77777777" w:rsidR="00413229" w:rsidRPr="00AC1055" w:rsidRDefault="00413229" w:rsidP="00413229">
            <w:pPr>
              <w:jc w:val="center"/>
              <w:rPr>
                <w:rFonts w:cs="Times New Roman"/>
                <w:szCs w:val="24"/>
              </w:rPr>
            </w:pPr>
            <w:r w:rsidRPr="00AC1055">
              <w:rPr>
                <w:rFonts w:cs="Times New Roman"/>
                <w:szCs w:val="24"/>
              </w:rPr>
              <w:t>Russia</w:t>
            </w:r>
          </w:p>
        </w:tc>
        <w:tc>
          <w:tcPr>
            <w:tcW w:w="1276" w:type="dxa"/>
            <w:vAlign w:val="bottom"/>
          </w:tcPr>
          <w:p w14:paraId="76DA83C8" w14:textId="77777777" w:rsidR="00413229" w:rsidRPr="00AC1055" w:rsidRDefault="00413229" w:rsidP="00413229">
            <w:pPr>
              <w:jc w:val="center"/>
              <w:rPr>
                <w:rFonts w:cs="Times New Roman"/>
                <w:color w:val="000000"/>
                <w:szCs w:val="24"/>
              </w:rPr>
            </w:pPr>
            <w:r w:rsidRPr="00AC1055">
              <w:rPr>
                <w:rFonts w:cs="Times New Roman"/>
                <w:color w:val="000000"/>
                <w:szCs w:val="24"/>
              </w:rPr>
              <w:t>0.064709</w:t>
            </w:r>
          </w:p>
        </w:tc>
        <w:tc>
          <w:tcPr>
            <w:tcW w:w="1559" w:type="dxa"/>
            <w:vAlign w:val="bottom"/>
          </w:tcPr>
          <w:p w14:paraId="37FE83A5" w14:textId="77777777" w:rsidR="00413229" w:rsidRPr="00AC1055" w:rsidRDefault="00413229" w:rsidP="00413229">
            <w:pPr>
              <w:jc w:val="center"/>
              <w:rPr>
                <w:rFonts w:cs="Times New Roman"/>
                <w:color w:val="000000"/>
                <w:szCs w:val="24"/>
              </w:rPr>
            </w:pPr>
            <w:r w:rsidRPr="00AC1055">
              <w:rPr>
                <w:rFonts w:cs="Times New Roman"/>
                <w:color w:val="000000"/>
                <w:szCs w:val="24"/>
              </w:rPr>
              <w:t>0.051765</w:t>
            </w:r>
          </w:p>
        </w:tc>
        <w:tc>
          <w:tcPr>
            <w:tcW w:w="1701" w:type="dxa"/>
            <w:vAlign w:val="bottom"/>
          </w:tcPr>
          <w:p w14:paraId="3A0D31AD" w14:textId="77777777" w:rsidR="00413229" w:rsidRPr="00AC1055" w:rsidRDefault="00413229" w:rsidP="00413229">
            <w:pPr>
              <w:jc w:val="center"/>
              <w:rPr>
                <w:rFonts w:cs="Times New Roman"/>
                <w:color w:val="000000"/>
                <w:szCs w:val="24"/>
              </w:rPr>
            </w:pPr>
            <w:r w:rsidRPr="00AC1055">
              <w:rPr>
                <w:rFonts w:cs="Times New Roman"/>
                <w:color w:val="000000"/>
                <w:szCs w:val="24"/>
              </w:rPr>
              <w:t>0.077738</w:t>
            </w:r>
          </w:p>
        </w:tc>
        <w:tc>
          <w:tcPr>
            <w:tcW w:w="1613" w:type="dxa"/>
            <w:vAlign w:val="bottom"/>
          </w:tcPr>
          <w:p w14:paraId="2737806F" w14:textId="77777777" w:rsidR="00413229" w:rsidRPr="00AC1055" w:rsidRDefault="00413229" w:rsidP="00413229">
            <w:pPr>
              <w:jc w:val="center"/>
              <w:rPr>
                <w:rFonts w:cs="Times New Roman"/>
                <w:color w:val="000000"/>
                <w:szCs w:val="24"/>
              </w:rPr>
            </w:pPr>
            <w:r w:rsidRPr="00AC1055">
              <w:rPr>
                <w:rFonts w:cs="Times New Roman"/>
                <w:color w:val="000000"/>
                <w:szCs w:val="24"/>
              </w:rPr>
              <w:t>-0.24181</w:t>
            </w:r>
          </w:p>
        </w:tc>
        <w:tc>
          <w:tcPr>
            <w:tcW w:w="1647" w:type="dxa"/>
            <w:vAlign w:val="bottom"/>
          </w:tcPr>
          <w:p w14:paraId="1746D9D9" w14:textId="77777777" w:rsidR="00413229" w:rsidRPr="00AC1055" w:rsidRDefault="00413229" w:rsidP="00413229">
            <w:pPr>
              <w:jc w:val="center"/>
              <w:rPr>
                <w:rFonts w:cs="Times New Roman"/>
                <w:color w:val="000000"/>
                <w:szCs w:val="24"/>
              </w:rPr>
            </w:pPr>
            <w:r w:rsidRPr="00AC1055">
              <w:rPr>
                <w:rFonts w:cs="Times New Roman"/>
                <w:color w:val="000000"/>
                <w:szCs w:val="24"/>
              </w:rPr>
              <w:t>0.413657</w:t>
            </w:r>
          </w:p>
        </w:tc>
        <w:tc>
          <w:tcPr>
            <w:tcW w:w="1701" w:type="dxa"/>
            <w:vAlign w:val="bottom"/>
          </w:tcPr>
          <w:p w14:paraId="1420242A" w14:textId="77777777" w:rsidR="00413229" w:rsidRPr="00AC1055" w:rsidRDefault="00413229" w:rsidP="00413229">
            <w:pPr>
              <w:jc w:val="center"/>
              <w:rPr>
                <w:rFonts w:cs="Times New Roman"/>
                <w:color w:val="000000"/>
                <w:szCs w:val="24"/>
              </w:rPr>
            </w:pPr>
            <w:r w:rsidRPr="00AC1055">
              <w:rPr>
                <w:rFonts w:cs="Times New Roman"/>
                <w:color w:val="000000"/>
                <w:szCs w:val="24"/>
              </w:rPr>
              <w:t>0.084067</w:t>
            </w:r>
          </w:p>
        </w:tc>
        <w:tc>
          <w:tcPr>
            <w:tcW w:w="1701" w:type="dxa"/>
            <w:vAlign w:val="bottom"/>
          </w:tcPr>
          <w:p w14:paraId="301819EE" w14:textId="77777777" w:rsidR="00413229" w:rsidRPr="00AC1055" w:rsidRDefault="00413229" w:rsidP="00413229">
            <w:pPr>
              <w:jc w:val="center"/>
              <w:rPr>
                <w:rFonts w:cs="Times New Roman"/>
                <w:color w:val="000000"/>
                <w:szCs w:val="24"/>
              </w:rPr>
            </w:pPr>
            <w:r w:rsidRPr="00AC1055">
              <w:rPr>
                <w:rFonts w:cs="Times New Roman"/>
                <w:color w:val="000000"/>
                <w:szCs w:val="24"/>
              </w:rPr>
              <w:t>0.452866</w:t>
            </w:r>
          </w:p>
        </w:tc>
      </w:tr>
      <w:tr w:rsidR="00413229" w:rsidRPr="00AC1055" w14:paraId="272CCE8A" w14:textId="77777777" w:rsidTr="00413229">
        <w:trPr>
          <w:trHeight w:val="300"/>
        </w:trPr>
        <w:tc>
          <w:tcPr>
            <w:tcW w:w="1526" w:type="dxa"/>
            <w:noWrap/>
            <w:hideMark/>
          </w:tcPr>
          <w:p w14:paraId="5F3BC3FC" w14:textId="77777777" w:rsidR="00413229" w:rsidRPr="00AC1055" w:rsidRDefault="00413229" w:rsidP="00413229">
            <w:pPr>
              <w:jc w:val="center"/>
              <w:rPr>
                <w:rFonts w:cs="Times New Roman"/>
                <w:szCs w:val="24"/>
              </w:rPr>
            </w:pPr>
            <w:r w:rsidRPr="00AC1055">
              <w:rPr>
                <w:rFonts w:cs="Times New Roman"/>
                <w:szCs w:val="24"/>
              </w:rPr>
              <w:t>Argentina</w:t>
            </w:r>
          </w:p>
        </w:tc>
        <w:tc>
          <w:tcPr>
            <w:tcW w:w="1276" w:type="dxa"/>
            <w:vAlign w:val="bottom"/>
          </w:tcPr>
          <w:p w14:paraId="12DA8CBE" w14:textId="77777777" w:rsidR="00413229" w:rsidRPr="00AC1055" w:rsidRDefault="00413229" w:rsidP="00413229">
            <w:pPr>
              <w:jc w:val="center"/>
              <w:rPr>
                <w:rFonts w:cs="Times New Roman"/>
                <w:color w:val="000000"/>
                <w:szCs w:val="24"/>
              </w:rPr>
            </w:pPr>
            <w:r w:rsidRPr="00AC1055">
              <w:rPr>
                <w:rFonts w:cs="Times New Roman"/>
                <w:color w:val="000000"/>
                <w:szCs w:val="24"/>
              </w:rPr>
              <w:t>0.066942</w:t>
            </w:r>
          </w:p>
        </w:tc>
        <w:tc>
          <w:tcPr>
            <w:tcW w:w="1559" w:type="dxa"/>
            <w:vAlign w:val="bottom"/>
          </w:tcPr>
          <w:p w14:paraId="6556019B" w14:textId="77777777" w:rsidR="00413229" w:rsidRPr="00AC1055" w:rsidRDefault="00413229" w:rsidP="00413229">
            <w:pPr>
              <w:jc w:val="center"/>
              <w:rPr>
                <w:rFonts w:cs="Times New Roman"/>
                <w:color w:val="000000"/>
                <w:szCs w:val="24"/>
              </w:rPr>
            </w:pPr>
            <w:r w:rsidRPr="00AC1055">
              <w:rPr>
                <w:rFonts w:cs="Times New Roman"/>
                <w:color w:val="000000"/>
                <w:szCs w:val="24"/>
              </w:rPr>
              <w:t>-0.01842</w:t>
            </w:r>
          </w:p>
        </w:tc>
        <w:tc>
          <w:tcPr>
            <w:tcW w:w="1701" w:type="dxa"/>
            <w:vAlign w:val="bottom"/>
          </w:tcPr>
          <w:p w14:paraId="2F887412" w14:textId="77777777" w:rsidR="00413229" w:rsidRPr="00AC1055" w:rsidRDefault="00413229" w:rsidP="00413229">
            <w:pPr>
              <w:jc w:val="center"/>
              <w:rPr>
                <w:rFonts w:cs="Times New Roman"/>
                <w:color w:val="000000"/>
                <w:szCs w:val="24"/>
              </w:rPr>
            </w:pPr>
            <w:r w:rsidRPr="00AC1055">
              <w:rPr>
                <w:rFonts w:cs="Times New Roman"/>
                <w:color w:val="000000"/>
                <w:szCs w:val="24"/>
              </w:rPr>
              <w:t>0.158039</w:t>
            </w:r>
          </w:p>
        </w:tc>
        <w:tc>
          <w:tcPr>
            <w:tcW w:w="1613" w:type="dxa"/>
            <w:vAlign w:val="bottom"/>
          </w:tcPr>
          <w:p w14:paraId="20D9AB6F" w14:textId="77777777" w:rsidR="00413229" w:rsidRPr="00AC1055" w:rsidRDefault="00413229" w:rsidP="00413229">
            <w:pPr>
              <w:jc w:val="center"/>
              <w:rPr>
                <w:rFonts w:cs="Times New Roman"/>
                <w:color w:val="000000"/>
                <w:szCs w:val="24"/>
              </w:rPr>
            </w:pPr>
            <w:r w:rsidRPr="00AC1055">
              <w:rPr>
                <w:rFonts w:cs="Times New Roman"/>
                <w:color w:val="000000"/>
                <w:szCs w:val="24"/>
              </w:rPr>
              <w:t>-0.2454</w:t>
            </w:r>
          </w:p>
        </w:tc>
        <w:tc>
          <w:tcPr>
            <w:tcW w:w="1647" w:type="dxa"/>
            <w:vAlign w:val="bottom"/>
          </w:tcPr>
          <w:p w14:paraId="59929372" w14:textId="77777777" w:rsidR="00413229" w:rsidRPr="00AC1055" w:rsidRDefault="00413229" w:rsidP="00413229">
            <w:pPr>
              <w:jc w:val="center"/>
              <w:rPr>
                <w:rFonts w:cs="Times New Roman"/>
                <w:color w:val="000000"/>
                <w:szCs w:val="24"/>
              </w:rPr>
            </w:pPr>
            <w:r w:rsidRPr="00AC1055">
              <w:rPr>
                <w:rFonts w:cs="Times New Roman"/>
                <w:color w:val="000000"/>
                <w:szCs w:val="24"/>
              </w:rPr>
              <w:t>0.413628</w:t>
            </w:r>
          </w:p>
        </w:tc>
        <w:tc>
          <w:tcPr>
            <w:tcW w:w="1701" w:type="dxa"/>
            <w:vAlign w:val="bottom"/>
          </w:tcPr>
          <w:p w14:paraId="672F5940" w14:textId="77777777" w:rsidR="00413229" w:rsidRPr="00AC1055" w:rsidRDefault="00413229" w:rsidP="00413229">
            <w:pPr>
              <w:jc w:val="center"/>
              <w:rPr>
                <w:rFonts w:cs="Times New Roman"/>
                <w:color w:val="000000"/>
                <w:szCs w:val="24"/>
              </w:rPr>
            </w:pPr>
            <w:r w:rsidRPr="00AC1055">
              <w:rPr>
                <w:rFonts w:cs="Times New Roman"/>
                <w:color w:val="000000"/>
                <w:szCs w:val="24"/>
              </w:rPr>
              <w:t>0.08443</w:t>
            </w:r>
          </w:p>
        </w:tc>
        <w:tc>
          <w:tcPr>
            <w:tcW w:w="1701" w:type="dxa"/>
            <w:vAlign w:val="bottom"/>
          </w:tcPr>
          <w:p w14:paraId="1E7FC81D" w14:textId="77777777" w:rsidR="00413229" w:rsidRPr="00AC1055" w:rsidRDefault="00413229" w:rsidP="00413229">
            <w:pPr>
              <w:jc w:val="center"/>
              <w:rPr>
                <w:rFonts w:cs="Times New Roman"/>
                <w:color w:val="000000"/>
                <w:szCs w:val="24"/>
              </w:rPr>
            </w:pPr>
            <w:r w:rsidRPr="00AC1055">
              <w:rPr>
                <w:rFonts w:cs="Times New Roman"/>
                <w:color w:val="000000"/>
                <w:szCs w:val="24"/>
              </w:rPr>
              <w:t>0.456878</w:t>
            </w:r>
          </w:p>
        </w:tc>
      </w:tr>
      <w:tr w:rsidR="00413229" w:rsidRPr="00AC1055" w14:paraId="1CA0C580" w14:textId="77777777" w:rsidTr="00413229">
        <w:trPr>
          <w:trHeight w:val="300"/>
        </w:trPr>
        <w:tc>
          <w:tcPr>
            <w:tcW w:w="1526" w:type="dxa"/>
            <w:noWrap/>
            <w:hideMark/>
          </w:tcPr>
          <w:p w14:paraId="7CFC3AFA" w14:textId="77777777" w:rsidR="00413229" w:rsidRPr="00AC1055" w:rsidRDefault="00413229" w:rsidP="00413229">
            <w:pPr>
              <w:jc w:val="center"/>
              <w:rPr>
                <w:rFonts w:cs="Times New Roman"/>
                <w:szCs w:val="24"/>
              </w:rPr>
            </w:pPr>
            <w:r w:rsidRPr="00AC1055">
              <w:rPr>
                <w:rFonts w:cs="Times New Roman"/>
                <w:szCs w:val="24"/>
              </w:rPr>
              <w:t>South Africa</w:t>
            </w:r>
          </w:p>
        </w:tc>
        <w:tc>
          <w:tcPr>
            <w:tcW w:w="1276" w:type="dxa"/>
            <w:vAlign w:val="bottom"/>
          </w:tcPr>
          <w:p w14:paraId="736F8785" w14:textId="77777777" w:rsidR="00413229" w:rsidRPr="00AC1055" w:rsidRDefault="00413229" w:rsidP="00413229">
            <w:pPr>
              <w:jc w:val="center"/>
              <w:rPr>
                <w:rFonts w:cs="Times New Roman"/>
                <w:color w:val="000000"/>
                <w:szCs w:val="24"/>
              </w:rPr>
            </w:pPr>
            <w:r w:rsidRPr="00AC1055">
              <w:rPr>
                <w:rFonts w:cs="Times New Roman"/>
                <w:color w:val="000000"/>
                <w:szCs w:val="24"/>
              </w:rPr>
              <w:t>0.064471</w:t>
            </w:r>
          </w:p>
        </w:tc>
        <w:tc>
          <w:tcPr>
            <w:tcW w:w="1559" w:type="dxa"/>
            <w:vAlign w:val="bottom"/>
          </w:tcPr>
          <w:p w14:paraId="18AEFF84" w14:textId="77777777" w:rsidR="00413229" w:rsidRPr="00AC1055" w:rsidRDefault="00413229" w:rsidP="00413229">
            <w:pPr>
              <w:jc w:val="center"/>
              <w:rPr>
                <w:rFonts w:cs="Times New Roman"/>
                <w:color w:val="000000"/>
                <w:szCs w:val="24"/>
              </w:rPr>
            </w:pPr>
            <w:r w:rsidRPr="00AC1055">
              <w:rPr>
                <w:rFonts w:cs="Times New Roman"/>
                <w:color w:val="000000"/>
                <w:szCs w:val="24"/>
              </w:rPr>
              <w:t>0.053535</w:t>
            </w:r>
          </w:p>
        </w:tc>
        <w:tc>
          <w:tcPr>
            <w:tcW w:w="1701" w:type="dxa"/>
            <w:vAlign w:val="bottom"/>
          </w:tcPr>
          <w:p w14:paraId="0C8D2AB8" w14:textId="77777777" w:rsidR="00413229" w:rsidRPr="00AC1055" w:rsidRDefault="00413229" w:rsidP="00413229">
            <w:pPr>
              <w:jc w:val="center"/>
              <w:rPr>
                <w:rFonts w:cs="Times New Roman"/>
                <w:color w:val="000000"/>
                <w:szCs w:val="24"/>
              </w:rPr>
            </w:pPr>
            <w:r w:rsidRPr="00AC1055">
              <w:rPr>
                <w:rFonts w:cs="Times New Roman"/>
                <w:color w:val="000000"/>
                <w:szCs w:val="24"/>
              </w:rPr>
              <w:t>0.07527</w:t>
            </w:r>
          </w:p>
        </w:tc>
        <w:tc>
          <w:tcPr>
            <w:tcW w:w="1613" w:type="dxa"/>
            <w:vAlign w:val="bottom"/>
          </w:tcPr>
          <w:p w14:paraId="1EAC9E6D" w14:textId="77777777" w:rsidR="00413229" w:rsidRPr="00AC1055" w:rsidRDefault="00413229" w:rsidP="00413229">
            <w:pPr>
              <w:jc w:val="center"/>
              <w:rPr>
                <w:rFonts w:cs="Times New Roman"/>
                <w:color w:val="000000"/>
                <w:szCs w:val="24"/>
              </w:rPr>
            </w:pPr>
            <w:r w:rsidRPr="00AC1055">
              <w:rPr>
                <w:rFonts w:cs="Times New Roman"/>
                <w:color w:val="000000"/>
                <w:szCs w:val="24"/>
              </w:rPr>
              <w:t>-0.11819</w:t>
            </w:r>
          </w:p>
        </w:tc>
        <w:tc>
          <w:tcPr>
            <w:tcW w:w="1647" w:type="dxa"/>
            <w:vAlign w:val="bottom"/>
          </w:tcPr>
          <w:p w14:paraId="5F467D4F" w14:textId="77777777" w:rsidR="00413229" w:rsidRPr="00AC1055" w:rsidRDefault="00413229" w:rsidP="00413229">
            <w:pPr>
              <w:jc w:val="center"/>
              <w:rPr>
                <w:rFonts w:cs="Times New Roman"/>
                <w:color w:val="000000"/>
                <w:szCs w:val="24"/>
              </w:rPr>
            </w:pPr>
            <w:r w:rsidRPr="00AC1055">
              <w:rPr>
                <w:rFonts w:cs="Times New Roman"/>
                <w:color w:val="000000"/>
                <w:szCs w:val="24"/>
              </w:rPr>
              <w:t>0.417834</w:t>
            </w:r>
          </w:p>
        </w:tc>
        <w:tc>
          <w:tcPr>
            <w:tcW w:w="1701" w:type="dxa"/>
            <w:vAlign w:val="bottom"/>
          </w:tcPr>
          <w:p w14:paraId="2E422501" w14:textId="77777777" w:rsidR="00413229" w:rsidRPr="00AC1055" w:rsidRDefault="00413229" w:rsidP="00413229">
            <w:pPr>
              <w:jc w:val="center"/>
              <w:rPr>
                <w:rFonts w:cs="Times New Roman"/>
                <w:color w:val="000000"/>
                <w:szCs w:val="24"/>
              </w:rPr>
            </w:pPr>
            <w:r w:rsidRPr="00AC1055">
              <w:rPr>
                <w:rFonts w:cs="Times New Roman"/>
                <w:color w:val="000000"/>
                <w:szCs w:val="24"/>
              </w:rPr>
              <w:t>0.087343</w:t>
            </w:r>
          </w:p>
        </w:tc>
        <w:tc>
          <w:tcPr>
            <w:tcW w:w="1701" w:type="dxa"/>
            <w:vAlign w:val="bottom"/>
          </w:tcPr>
          <w:p w14:paraId="3A926105" w14:textId="77777777" w:rsidR="00413229" w:rsidRPr="00AC1055" w:rsidRDefault="00413229" w:rsidP="00413229">
            <w:pPr>
              <w:jc w:val="center"/>
              <w:rPr>
                <w:rFonts w:cs="Times New Roman"/>
                <w:color w:val="000000"/>
                <w:szCs w:val="24"/>
              </w:rPr>
            </w:pPr>
            <w:r w:rsidRPr="00AC1055">
              <w:rPr>
                <w:rFonts w:cs="Times New Roman"/>
                <w:color w:val="000000"/>
                <w:szCs w:val="24"/>
              </w:rPr>
              <w:t>0.435347</w:t>
            </w:r>
          </w:p>
        </w:tc>
      </w:tr>
      <w:tr w:rsidR="00413229" w:rsidRPr="00AC1055" w14:paraId="33B7DBC9" w14:textId="77777777" w:rsidTr="00413229">
        <w:trPr>
          <w:trHeight w:val="300"/>
        </w:trPr>
        <w:tc>
          <w:tcPr>
            <w:tcW w:w="1526" w:type="dxa"/>
            <w:noWrap/>
            <w:hideMark/>
          </w:tcPr>
          <w:p w14:paraId="5EC57A51" w14:textId="77777777" w:rsidR="00413229" w:rsidRPr="00AC1055" w:rsidRDefault="00413229" w:rsidP="00413229">
            <w:pPr>
              <w:jc w:val="center"/>
              <w:rPr>
                <w:rFonts w:cs="Times New Roman"/>
                <w:szCs w:val="24"/>
              </w:rPr>
            </w:pPr>
            <w:r w:rsidRPr="00AC1055">
              <w:rPr>
                <w:rFonts w:cs="Times New Roman"/>
                <w:szCs w:val="24"/>
              </w:rPr>
              <w:t>Iran</w:t>
            </w:r>
          </w:p>
        </w:tc>
        <w:tc>
          <w:tcPr>
            <w:tcW w:w="1276" w:type="dxa"/>
            <w:vAlign w:val="bottom"/>
          </w:tcPr>
          <w:p w14:paraId="58F265D1" w14:textId="77777777" w:rsidR="00413229" w:rsidRPr="00AC1055" w:rsidRDefault="00413229" w:rsidP="00413229">
            <w:pPr>
              <w:jc w:val="center"/>
              <w:rPr>
                <w:rFonts w:cs="Times New Roman"/>
                <w:color w:val="000000"/>
                <w:szCs w:val="24"/>
              </w:rPr>
            </w:pPr>
            <w:r w:rsidRPr="00AC1055">
              <w:rPr>
                <w:rFonts w:cs="Times New Roman"/>
                <w:color w:val="000000"/>
                <w:szCs w:val="24"/>
              </w:rPr>
              <w:t>0.019438</w:t>
            </w:r>
          </w:p>
        </w:tc>
        <w:tc>
          <w:tcPr>
            <w:tcW w:w="1559" w:type="dxa"/>
            <w:vAlign w:val="bottom"/>
          </w:tcPr>
          <w:p w14:paraId="6638EE72" w14:textId="77777777" w:rsidR="00413229" w:rsidRPr="00AC1055" w:rsidRDefault="00413229" w:rsidP="00413229">
            <w:pPr>
              <w:jc w:val="center"/>
              <w:rPr>
                <w:rFonts w:cs="Times New Roman"/>
                <w:color w:val="000000"/>
                <w:szCs w:val="24"/>
              </w:rPr>
            </w:pPr>
            <w:r w:rsidRPr="00AC1055">
              <w:rPr>
                <w:rFonts w:cs="Times New Roman"/>
                <w:color w:val="000000"/>
                <w:szCs w:val="24"/>
              </w:rPr>
              <w:t>-0.27192</w:t>
            </w:r>
          </w:p>
        </w:tc>
        <w:tc>
          <w:tcPr>
            <w:tcW w:w="1701" w:type="dxa"/>
            <w:vAlign w:val="bottom"/>
          </w:tcPr>
          <w:p w14:paraId="31207E5B" w14:textId="77777777" w:rsidR="00413229" w:rsidRPr="00AC1055" w:rsidRDefault="00413229" w:rsidP="00413229">
            <w:pPr>
              <w:jc w:val="center"/>
              <w:rPr>
                <w:rFonts w:cs="Times New Roman"/>
                <w:color w:val="000000"/>
                <w:szCs w:val="24"/>
              </w:rPr>
            </w:pPr>
            <w:r w:rsidRPr="00AC1055">
              <w:rPr>
                <w:rFonts w:cs="Times New Roman"/>
                <w:color w:val="000000"/>
                <w:szCs w:val="24"/>
              </w:rPr>
              <w:t>0.308407</w:t>
            </w:r>
          </w:p>
        </w:tc>
        <w:tc>
          <w:tcPr>
            <w:tcW w:w="1613" w:type="dxa"/>
            <w:vAlign w:val="bottom"/>
          </w:tcPr>
          <w:p w14:paraId="469C34F6" w14:textId="77777777" w:rsidR="00413229" w:rsidRPr="00AC1055" w:rsidRDefault="00413229" w:rsidP="00413229">
            <w:pPr>
              <w:jc w:val="center"/>
              <w:rPr>
                <w:rFonts w:cs="Times New Roman"/>
                <w:color w:val="000000"/>
                <w:szCs w:val="24"/>
              </w:rPr>
            </w:pPr>
            <w:r w:rsidRPr="00AC1055">
              <w:rPr>
                <w:rFonts w:cs="Times New Roman"/>
                <w:color w:val="000000"/>
                <w:szCs w:val="24"/>
              </w:rPr>
              <w:t>-0.27136</w:t>
            </w:r>
          </w:p>
        </w:tc>
        <w:tc>
          <w:tcPr>
            <w:tcW w:w="1647" w:type="dxa"/>
            <w:vAlign w:val="bottom"/>
          </w:tcPr>
          <w:p w14:paraId="71A89B47" w14:textId="77777777" w:rsidR="00413229" w:rsidRPr="00AC1055" w:rsidRDefault="00413229" w:rsidP="00413229">
            <w:pPr>
              <w:jc w:val="center"/>
              <w:rPr>
                <w:rFonts w:cs="Times New Roman"/>
                <w:color w:val="000000"/>
                <w:szCs w:val="24"/>
              </w:rPr>
            </w:pPr>
            <w:r w:rsidRPr="00AC1055">
              <w:rPr>
                <w:rFonts w:cs="Times New Roman"/>
                <w:color w:val="000000"/>
                <w:szCs w:val="24"/>
              </w:rPr>
              <w:t>0.489304</w:t>
            </w:r>
          </w:p>
        </w:tc>
        <w:tc>
          <w:tcPr>
            <w:tcW w:w="1701" w:type="dxa"/>
            <w:vAlign w:val="bottom"/>
          </w:tcPr>
          <w:p w14:paraId="6C59F1CB" w14:textId="77777777" w:rsidR="00413229" w:rsidRPr="00AC1055" w:rsidRDefault="00413229" w:rsidP="00413229">
            <w:pPr>
              <w:jc w:val="center"/>
              <w:rPr>
                <w:rFonts w:cs="Times New Roman"/>
                <w:color w:val="000000"/>
                <w:szCs w:val="24"/>
              </w:rPr>
            </w:pPr>
            <w:r w:rsidRPr="00AC1055">
              <w:rPr>
                <w:rFonts w:cs="Times New Roman"/>
                <w:color w:val="000000"/>
                <w:szCs w:val="24"/>
              </w:rPr>
              <w:t>0.088699</w:t>
            </w:r>
          </w:p>
        </w:tc>
        <w:tc>
          <w:tcPr>
            <w:tcW w:w="1701" w:type="dxa"/>
            <w:vAlign w:val="bottom"/>
          </w:tcPr>
          <w:p w14:paraId="519DF474" w14:textId="77777777" w:rsidR="00413229" w:rsidRPr="00AC1055" w:rsidRDefault="00413229" w:rsidP="00413229">
            <w:pPr>
              <w:jc w:val="center"/>
              <w:rPr>
                <w:rFonts w:cs="Times New Roman"/>
                <w:color w:val="000000"/>
                <w:szCs w:val="24"/>
              </w:rPr>
            </w:pPr>
            <w:r w:rsidRPr="00AC1055">
              <w:rPr>
                <w:rFonts w:cs="Times New Roman"/>
                <w:color w:val="000000"/>
                <w:szCs w:val="24"/>
              </w:rPr>
              <w:t>0.428396</w:t>
            </w:r>
          </w:p>
        </w:tc>
      </w:tr>
      <w:tr w:rsidR="00413229" w:rsidRPr="00AC1055" w14:paraId="42D7FF9D" w14:textId="77777777" w:rsidTr="00413229">
        <w:trPr>
          <w:trHeight w:val="300"/>
        </w:trPr>
        <w:tc>
          <w:tcPr>
            <w:tcW w:w="1526" w:type="dxa"/>
            <w:noWrap/>
            <w:hideMark/>
          </w:tcPr>
          <w:p w14:paraId="2F777919" w14:textId="77777777" w:rsidR="00413229" w:rsidRPr="00AC1055" w:rsidRDefault="00413229" w:rsidP="00413229">
            <w:pPr>
              <w:jc w:val="center"/>
              <w:rPr>
                <w:rFonts w:cs="Times New Roman"/>
                <w:szCs w:val="24"/>
              </w:rPr>
            </w:pPr>
            <w:r w:rsidRPr="00AC1055">
              <w:rPr>
                <w:rFonts w:cs="Times New Roman"/>
                <w:szCs w:val="24"/>
              </w:rPr>
              <w:t>Kenya</w:t>
            </w:r>
          </w:p>
        </w:tc>
        <w:tc>
          <w:tcPr>
            <w:tcW w:w="1276" w:type="dxa"/>
            <w:vAlign w:val="bottom"/>
          </w:tcPr>
          <w:p w14:paraId="156D8E13" w14:textId="77777777" w:rsidR="00413229" w:rsidRPr="00AC1055" w:rsidRDefault="00413229" w:rsidP="00413229">
            <w:pPr>
              <w:jc w:val="center"/>
              <w:rPr>
                <w:rFonts w:cs="Times New Roman"/>
                <w:color w:val="000000"/>
                <w:szCs w:val="24"/>
              </w:rPr>
            </w:pPr>
            <w:r w:rsidRPr="00AC1055">
              <w:rPr>
                <w:rFonts w:cs="Times New Roman"/>
                <w:color w:val="000000"/>
                <w:szCs w:val="24"/>
              </w:rPr>
              <w:t>0.097482</w:t>
            </w:r>
          </w:p>
        </w:tc>
        <w:tc>
          <w:tcPr>
            <w:tcW w:w="1559" w:type="dxa"/>
            <w:vAlign w:val="bottom"/>
          </w:tcPr>
          <w:p w14:paraId="26F02826" w14:textId="77777777" w:rsidR="00413229" w:rsidRPr="00AC1055" w:rsidRDefault="00413229" w:rsidP="00413229">
            <w:pPr>
              <w:jc w:val="center"/>
              <w:rPr>
                <w:rFonts w:cs="Times New Roman"/>
                <w:color w:val="000000"/>
                <w:szCs w:val="24"/>
              </w:rPr>
            </w:pPr>
            <w:r w:rsidRPr="00AC1055">
              <w:rPr>
                <w:rFonts w:cs="Times New Roman"/>
                <w:color w:val="000000"/>
                <w:szCs w:val="24"/>
              </w:rPr>
              <w:t>-2.01627</w:t>
            </w:r>
          </w:p>
        </w:tc>
        <w:tc>
          <w:tcPr>
            <w:tcW w:w="1701" w:type="dxa"/>
            <w:vAlign w:val="bottom"/>
          </w:tcPr>
          <w:p w14:paraId="66410AF3" w14:textId="77777777" w:rsidR="00413229" w:rsidRPr="00AC1055" w:rsidRDefault="00413229" w:rsidP="00413229">
            <w:pPr>
              <w:jc w:val="center"/>
              <w:rPr>
                <w:rFonts w:cs="Times New Roman"/>
                <w:color w:val="000000"/>
                <w:szCs w:val="24"/>
              </w:rPr>
            </w:pPr>
            <w:r w:rsidRPr="00AC1055">
              <w:rPr>
                <w:rFonts w:cs="Times New Roman"/>
                <w:color w:val="000000"/>
                <w:szCs w:val="24"/>
              </w:rPr>
              <w:t>2.025642</w:t>
            </w:r>
          </w:p>
        </w:tc>
        <w:tc>
          <w:tcPr>
            <w:tcW w:w="1613" w:type="dxa"/>
            <w:vAlign w:val="bottom"/>
          </w:tcPr>
          <w:p w14:paraId="684E019D" w14:textId="77777777" w:rsidR="00413229" w:rsidRPr="00AC1055" w:rsidRDefault="00413229" w:rsidP="00413229">
            <w:pPr>
              <w:jc w:val="center"/>
              <w:rPr>
                <w:rFonts w:cs="Times New Roman"/>
                <w:color w:val="000000"/>
                <w:szCs w:val="24"/>
                <w:highlight w:val="cyan"/>
              </w:rPr>
            </w:pPr>
            <w:r w:rsidRPr="00AC1055">
              <w:rPr>
                <w:rFonts w:cs="Times New Roman"/>
                <w:color w:val="000000"/>
                <w:szCs w:val="24"/>
              </w:rPr>
              <w:t>-0.04713</w:t>
            </w:r>
          </w:p>
        </w:tc>
        <w:tc>
          <w:tcPr>
            <w:tcW w:w="1647" w:type="dxa"/>
            <w:vAlign w:val="bottom"/>
          </w:tcPr>
          <w:p w14:paraId="13A0CF1C" w14:textId="77777777" w:rsidR="00413229" w:rsidRPr="00AC1055" w:rsidRDefault="00413229" w:rsidP="00413229">
            <w:pPr>
              <w:jc w:val="center"/>
              <w:rPr>
                <w:rFonts w:cs="Times New Roman"/>
                <w:color w:val="000000"/>
                <w:szCs w:val="24"/>
                <w:highlight w:val="cyan"/>
              </w:rPr>
            </w:pPr>
            <w:r w:rsidRPr="00AC1055">
              <w:rPr>
                <w:rFonts w:cs="Times New Roman"/>
                <w:color w:val="000000"/>
                <w:szCs w:val="24"/>
              </w:rPr>
              <w:t>0.548885</w:t>
            </w:r>
          </w:p>
        </w:tc>
        <w:tc>
          <w:tcPr>
            <w:tcW w:w="1701" w:type="dxa"/>
            <w:vAlign w:val="bottom"/>
          </w:tcPr>
          <w:p w14:paraId="1B362E4E" w14:textId="77777777" w:rsidR="00413229" w:rsidRPr="00AC1055" w:rsidRDefault="00413229" w:rsidP="00413229">
            <w:pPr>
              <w:jc w:val="center"/>
              <w:rPr>
                <w:rFonts w:cs="Times New Roman"/>
                <w:color w:val="000000"/>
                <w:szCs w:val="24"/>
                <w:highlight w:val="cyan"/>
              </w:rPr>
            </w:pPr>
            <w:r w:rsidRPr="00AC1055">
              <w:rPr>
                <w:rFonts w:cs="Times New Roman"/>
                <w:color w:val="000000"/>
                <w:szCs w:val="24"/>
              </w:rPr>
              <w:t>0.107545</w:t>
            </w:r>
          </w:p>
        </w:tc>
        <w:tc>
          <w:tcPr>
            <w:tcW w:w="1701" w:type="dxa"/>
            <w:vAlign w:val="bottom"/>
          </w:tcPr>
          <w:p w14:paraId="089B249B" w14:textId="77777777" w:rsidR="00413229" w:rsidRPr="00AC1055" w:rsidRDefault="00413229" w:rsidP="00413229">
            <w:pPr>
              <w:jc w:val="center"/>
              <w:rPr>
                <w:rFonts w:cs="Times New Roman"/>
                <w:color w:val="000000"/>
                <w:szCs w:val="24"/>
              </w:rPr>
            </w:pPr>
            <w:r w:rsidRPr="00AC1055">
              <w:rPr>
                <w:rFonts w:cs="Times New Roman"/>
                <w:color w:val="000000"/>
                <w:szCs w:val="24"/>
              </w:rPr>
              <w:t>0.604804</w:t>
            </w:r>
          </w:p>
        </w:tc>
      </w:tr>
      <w:tr w:rsidR="00413229" w:rsidRPr="00AC1055" w14:paraId="2E236209" w14:textId="77777777" w:rsidTr="00413229">
        <w:trPr>
          <w:trHeight w:val="300"/>
        </w:trPr>
        <w:tc>
          <w:tcPr>
            <w:tcW w:w="1526" w:type="dxa"/>
            <w:noWrap/>
            <w:hideMark/>
          </w:tcPr>
          <w:p w14:paraId="7375F170" w14:textId="77777777" w:rsidR="00413229" w:rsidRPr="00AC1055" w:rsidRDefault="00413229" w:rsidP="00413229">
            <w:pPr>
              <w:jc w:val="center"/>
              <w:rPr>
                <w:rFonts w:cs="Times New Roman"/>
                <w:szCs w:val="24"/>
              </w:rPr>
            </w:pPr>
            <w:r w:rsidRPr="00AC1055">
              <w:rPr>
                <w:rFonts w:cs="Times New Roman"/>
                <w:szCs w:val="24"/>
              </w:rPr>
              <w:t>Nigeria</w:t>
            </w:r>
          </w:p>
        </w:tc>
        <w:tc>
          <w:tcPr>
            <w:tcW w:w="1276" w:type="dxa"/>
            <w:vAlign w:val="bottom"/>
          </w:tcPr>
          <w:p w14:paraId="0EBC59DD" w14:textId="77777777" w:rsidR="00413229" w:rsidRPr="00AC1055" w:rsidRDefault="00413229" w:rsidP="00413229">
            <w:pPr>
              <w:jc w:val="center"/>
              <w:rPr>
                <w:rFonts w:cs="Times New Roman"/>
                <w:color w:val="000000"/>
                <w:szCs w:val="24"/>
              </w:rPr>
            </w:pPr>
            <w:r w:rsidRPr="00AC1055">
              <w:rPr>
                <w:rFonts w:cs="Times New Roman"/>
                <w:color w:val="000000"/>
                <w:szCs w:val="24"/>
              </w:rPr>
              <w:t>0.055016</w:t>
            </w:r>
          </w:p>
        </w:tc>
        <w:tc>
          <w:tcPr>
            <w:tcW w:w="1559" w:type="dxa"/>
            <w:vAlign w:val="bottom"/>
          </w:tcPr>
          <w:p w14:paraId="6AD036A5" w14:textId="77777777" w:rsidR="00413229" w:rsidRPr="00AC1055" w:rsidRDefault="00413229" w:rsidP="00413229">
            <w:pPr>
              <w:jc w:val="center"/>
              <w:rPr>
                <w:rFonts w:cs="Times New Roman"/>
                <w:color w:val="000000"/>
                <w:szCs w:val="24"/>
              </w:rPr>
            </w:pPr>
            <w:r w:rsidRPr="00AC1055">
              <w:rPr>
                <w:rFonts w:cs="Times New Roman"/>
                <w:color w:val="000000"/>
                <w:szCs w:val="24"/>
              </w:rPr>
              <w:t>-0.07813</w:t>
            </w:r>
          </w:p>
        </w:tc>
        <w:tc>
          <w:tcPr>
            <w:tcW w:w="1701" w:type="dxa"/>
            <w:vAlign w:val="bottom"/>
          </w:tcPr>
          <w:p w14:paraId="50CD3D18" w14:textId="77777777" w:rsidR="00413229" w:rsidRPr="00AC1055" w:rsidRDefault="00413229" w:rsidP="00413229">
            <w:pPr>
              <w:jc w:val="center"/>
              <w:rPr>
                <w:rFonts w:cs="Times New Roman"/>
                <w:color w:val="000000"/>
                <w:szCs w:val="24"/>
              </w:rPr>
            </w:pPr>
            <w:r w:rsidRPr="00AC1055">
              <w:rPr>
                <w:rFonts w:cs="Times New Roman"/>
                <w:color w:val="000000"/>
                <w:szCs w:val="24"/>
              </w:rPr>
              <w:t>0.182682</w:t>
            </w:r>
          </w:p>
        </w:tc>
        <w:tc>
          <w:tcPr>
            <w:tcW w:w="1613" w:type="dxa"/>
            <w:vAlign w:val="bottom"/>
          </w:tcPr>
          <w:p w14:paraId="6CADA3CC" w14:textId="77777777" w:rsidR="00413229" w:rsidRPr="00AC1055" w:rsidRDefault="00413229" w:rsidP="00413229">
            <w:pPr>
              <w:jc w:val="center"/>
              <w:rPr>
                <w:rFonts w:cs="Times New Roman"/>
                <w:color w:val="000000"/>
                <w:szCs w:val="24"/>
              </w:rPr>
            </w:pPr>
            <w:r w:rsidRPr="00AC1055">
              <w:rPr>
                <w:rFonts w:cs="Times New Roman"/>
                <w:color w:val="000000"/>
                <w:szCs w:val="24"/>
              </w:rPr>
              <w:t>-0.19151</w:t>
            </w:r>
          </w:p>
        </w:tc>
        <w:tc>
          <w:tcPr>
            <w:tcW w:w="1647" w:type="dxa"/>
            <w:vAlign w:val="bottom"/>
          </w:tcPr>
          <w:p w14:paraId="5C71C065" w14:textId="77777777" w:rsidR="00413229" w:rsidRPr="00AC1055" w:rsidRDefault="00413229" w:rsidP="00413229">
            <w:pPr>
              <w:jc w:val="center"/>
              <w:rPr>
                <w:rFonts w:cs="Times New Roman"/>
                <w:color w:val="000000"/>
                <w:szCs w:val="24"/>
              </w:rPr>
            </w:pPr>
            <w:r w:rsidRPr="00AC1055">
              <w:rPr>
                <w:rFonts w:cs="Times New Roman"/>
                <w:color w:val="000000"/>
                <w:szCs w:val="24"/>
              </w:rPr>
              <w:t>0.416011</w:t>
            </w:r>
          </w:p>
        </w:tc>
        <w:tc>
          <w:tcPr>
            <w:tcW w:w="1701" w:type="dxa"/>
            <w:vAlign w:val="bottom"/>
          </w:tcPr>
          <w:p w14:paraId="12EEC321" w14:textId="77777777" w:rsidR="00413229" w:rsidRPr="00AC1055" w:rsidRDefault="00413229" w:rsidP="00413229">
            <w:pPr>
              <w:jc w:val="center"/>
              <w:rPr>
                <w:rFonts w:cs="Times New Roman"/>
                <w:color w:val="000000"/>
                <w:szCs w:val="24"/>
              </w:rPr>
            </w:pPr>
            <w:r w:rsidRPr="00AC1055">
              <w:rPr>
                <w:rFonts w:cs="Times New Roman"/>
                <w:color w:val="000000"/>
                <w:szCs w:val="24"/>
              </w:rPr>
              <w:t>0.088196</w:t>
            </w:r>
          </w:p>
        </w:tc>
        <w:tc>
          <w:tcPr>
            <w:tcW w:w="1701" w:type="dxa"/>
            <w:vAlign w:val="bottom"/>
          </w:tcPr>
          <w:p w14:paraId="6CC073B2" w14:textId="77777777" w:rsidR="00413229" w:rsidRPr="00AC1055" w:rsidRDefault="00413229" w:rsidP="00413229">
            <w:pPr>
              <w:jc w:val="center"/>
              <w:rPr>
                <w:rFonts w:cs="Times New Roman"/>
                <w:color w:val="000000"/>
                <w:szCs w:val="24"/>
              </w:rPr>
            </w:pPr>
            <w:r w:rsidRPr="00AC1055">
              <w:rPr>
                <w:rFonts w:cs="Times New Roman"/>
                <w:color w:val="000000"/>
                <w:szCs w:val="24"/>
              </w:rPr>
              <w:t>0.436266</w:t>
            </w:r>
          </w:p>
        </w:tc>
      </w:tr>
      <w:tr w:rsidR="00413229" w:rsidRPr="00AC1055" w14:paraId="09F53186" w14:textId="77777777" w:rsidTr="00413229">
        <w:trPr>
          <w:trHeight w:val="300"/>
        </w:trPr>
        <w:tc>
          <w:tcPr>
            <w:tcW w:w="1526" w:type="dxa"/>
            <w:noWrap/>
            <w:hideMark/>
          </w:tcPr>
          <w:p w14:paraId="1E74BC2D" w14:textId="77777777" w:rsidR="00413229" w:rsidRPr="00AC1055" w:rsidRDefault="00413229" w:rsidP="00413229">
            <w:pPr>
              <w:jc w:val="center"/>
              <w:rPr>
                <w:rFonts w:cs="Times New Roman"/>
                <w:szCs w:val="24"/>
              </w:rPr>
            </w:pPr>
            <w:r w:rsidRPr="00AC1055">
              <w:rPr>
                <w:rFonts w:cs="Times New Roman"/>
                <w:szCs w:val="24"/>
              </w:rPr>
              <w:t>Hong Kong</w:t>
            </w:r>
          </w:p>
        </w:tc>
        <w:tc>
          <w:tcPr>
            <w:tcW w:w="1276" w:type="dxa"/>
            <w:vAlign w:val="bottom"/>
          </w:tcPr>
          <w:p w14:paraId="7F63DA11" w14:textId="77777777" w:rsidR="00413229" w:rsidRPr="00AC1055" w:rsidRDefault="00413229" w:rsidP="00413229">
            <w:pPr>
              <w:jc w:val="center"/>
              <w:rPr>
                <w:rFonts w:cs="Times New Roman"/>
                <w:color w:val="000000"/>
                <w:szCs w:val="24"/>
              </w:rPr>
            </w:pPr>
            <w:r w:rsidRPr="00AC1055">
              <w:rPr>
                <w:rFonts w:cs="Times New Roman"/>
                <w:color w:val="000000"/>
                <w:szCs w:val="24"/>
              </w:rPr>
              <w:t>0.074224</w:t>
            </w:r>
          </w:p>
        </w:tc>
        <w:tc>
          <w:tcPr>
            <w:tcW w:w="1559" w:type="dxa"/>
            <w:vAlign w:val="bottom"/>
          </w:tcPr>
          <w:p w14:paraId="34B1C892" w14:textId="77777777" w:rsidR="00413229" w:rsidRPr="00AC1055" w:rsidRDefault="00413229" w:rsidP="00413229">
            <w:pPr>
              <w:jc w:val="center"/>
              <w:rPr>
                <w:rFonts w:cs="Times New Roman"/>
                <w:color w:val="000000"/>
                <w:szCs w:val="24"/>
              </w:rPr>
            </w:pPr>
            <w:r w:rsidRPr="00AC1055">
              <w:rPr>
                <w:rFonts w:cs="Times New Roman"/>
                <w:color w:val="000000"/>
                <w:szCs w:val="24"/>
              </w:rPr>
              <w:t>-0.06334</w:t>
            </w:r>
          </w:p>
        </w:tc>
        <w:tc>
          <w:tcPr>
            <w:tcW w:w="1701" w:type="dxa"/>
            <w:vAlign w:val="bottom"/>
          </w:tcPr>
          <w:p w14:paraId="23684F66" w14:textId="77777777" w:rsidR="00413229" w:rsidRPr="00AC1055" w:rsidRDefault="00413229" w:rsidP="00413229">
            <w:pPr>
              <w:jc w:val="center"/>
              <w:rPr>
                <w:rFonts w:cs="Times New Roman"/>
                <w:color w:val="000000"/>
                <w:szCs w:val="24"/>
              </w:rPr>
            </w:pPr>
            <w:r w:rsidRPr="00AC1055">
              <w:rPr>
                <w:rFonts w:cs="Times New Roman"/>
                <w:color w:val="000000"/>
                <w:szCs w:val="24"/>
              </w:rPr>
              <w:t>0.212401</w:t>
            </w:r>
          </w:p>
        </w:tc>
        <w:tc>
          <w:tcPr>
            <w:tcW w:w="1613" w:type="dxa"/>
            <w:vAlign w:val="bottom"/>
          </w:tcPr>
          <w:p w14:paraId="73BAC508" w14:textId="77777777" w:rsidR="00413229" w:rsidRPr="00AC1055" w:rsidRDefault="00413229" w:rsidP="00413229">
            <w:pPr>
              <w:jc w:val="center"/>
              <w:rPr>
                <w:rFonts w:cs="Times New Roman"/>
                <w:color w:val="000000"/>
                <w:szCs w:val="24"/>
              </w:rPr>
            </w:pPr>
            <w:r w:rsidRPr="00AC1055">
              <w:rPr>
                <w:rFonts w:cs="Times New Roman"/>
                <w:color w:val="000000"/>
                <w:szCs w:val="24"/>
              </w:rPr>
              <w:t>0.274053</w:t>
            </w:r>
          </w:p>
        </w:tc>
        <w:tc>
          <w:tcPr>
            <w:tcW w:w="1647" w:type="dxa"/>
            <w:vAlign w:val="bottom"/>
          </w:tcPr>
          <w:p w14:paraId="5F25C0F6" w14:textId="77777777" w:rsidR="00413229" w:rsidRPr="00AC1055" w:rsidRDefault="00413229" w:rsidP="00413229">
            <w:pPr>
              <w:jc w:val="center"/>
              <w:rPr>
                <w:rFonts w:cs="Times New Roman"/>
                <w:color w:val="000000"/>
                <w:szCs w:val="24"/>
              </w:rPr>
            </w:pPr>
            <w:r w:rsidRPr="00AC1055">
              <w:rPr>
                <w:rFonts w:cs="Times New Roman"/>
                <w:color w:val="000000"/>
                <w:szCs w:val="24"/>
              </w:rPr>
              <w:t>0.410382</w:t>
            </w:r>
          </w:p>
        </w:tc>
        <w:tc>
          <w:tcPr>
            <w:tcW w:w="1701" w:type="dxa"/>
            <w:vAlign w:val="bottom"/>
          </w:tcPr>
          <w:p w14:paraId="46687D5A" w14:textId="77777777" w:rsidR="00413229" w:rsidRPr="00AC1055" w:rsidRDefault="00413229" w:rsidP="00413229">
            <w:pPr>
              <w:jc w:val="center"/>
              <w:rPr>
                <w:rFonts w:cs="Times New Roman"/>
                <w:color w:val="000000"/>
                <w:szCs w:val="24"/>
              </w:rPr>
            </w:pPr>
            <w:r w:rsidRPr="00AC1055">
              <w:rPr>
                <w:rFonts w:cs="Times New Roman"/>
                <w:color w:val="000000"/>
                <w:szCs w:val="24"/>
              </w:rPr>
              <w:t>0.0851</w:t>
            </w:r>
          </w:p>
        </w:tc>
        <w:tc>
          <w:tcPr>
            <w:tcW w:w="1701" w:type="dxa"/>
            <w:vAlign w:val="bottom"/>
          </w:tcPr>
          <w:p w14:paraId="319DB352" w14:textId="77777777" w:rsidR="00413229" w:rsidRPr="00AC1055" w:rsidRDefault="00413229" w:rsidP="00413229">
            <w:pPr>
              <w:jc w:val="center"/>
              <w:rPr>
                <w:rFonts w:cs="Times New Roman"/>
                <w:color w:val="000000"/>
                <w:szCs w:val="24"/>
              </w:rPr>
            </w:pPr>
            <w:r w:rsidRPr="00AC1055">
              <w:rPr>
                <w:rFonts w:cs="Times New Roman"/>
                <w:color w:val="000000"/>
                <w:szCs w:val="24"/>
              </w:rPr>
              <w:t>0.453187</w:t>
            </w:r>
          </w:p>
        </w:tc>
      </w:tr>
      <w:tr w:rsidR="00413229" w:rsidRPr="00AC1055" w14:paraId="2C6D1066" w14:textId="77777777" w:rsidTr="00413229">
        <w:trPr>
          <w:trHeight w:val="300"/>
        </w:trPr>
        <w:tc>
          <w:tcPr>
            <w:tcW w:w="1526" w:type="dxa"/>
            <w:noWrap/>
            <w:hideMark/>
          </w:tcPr>
          <w:p w14:paraId="1E79A844" w14:textId="77777777" w:rsidR="00413229" w:rsidRPr="00AC1055" w:rsidRDefault="00413229" w:rsidP="00413229">
            <w:pPr>
              <w:jc w:val="center"/>
              <w:rPr>
                <w:rFonts w:cs="Times New Roman"/>
                <w:szCs w:val="24"/>
              </w:rPr>
            </w:pPr>
            <w:r w:rsidRPr="00AC1055">
              <w:rPr>
                <w:rFonts w:cs="Times New Roman"/>
                <w:szCs w:val="24"/>
              </w:rPr>
              <w:t>Philippines</w:t>
            </w:r>
          </w:p>
        </w:tc>
        <w:tc>
          <w:tcPr>
            <w:tcW w:w="1276" w:type="dxa"/>
            <w:vAlign w:val="bottom"/>
          </w:tcPr>
          <w:p w14:paraId="3C38F03A" w14:textId="77777777" w:rsidR="00413229" w:rsidRPr="00AC1055" w:rsidRDefault="00413229" w:rsidP="00413229">
            <w:pPr>
              <w:jc w:val="center"/>
              <w:rPr>
                <w:rFonts w:cs="Times New Roman"/>
                <w:color w:val="000000"/>
                <w:szCs w:val="24"/>
              </w:rPr>
            </w:pPr>
            <w:r w:rsidRPr="00AC1055">
              <w:rPr>
                <w:rFonts w:cs="Times New Roman"/>
                <w:color w:val="000000"/>
                <w:szCs w:val="24"/>
              </w:rPr>
              <w:t>0.054709</w:t>
            </w:r>
          </w:p>
        </w:tc>
        <w:tc>
          <w:tcPr>
            <w:tcW w:w="1559" w:type="dxa"/>
            <w:vAlign w:val="bottom"/>
          </w:tcPr>
          <w:p w14:paraId="6F64AB66" w14:textId="77777777" w:rsidR="00413229" w:rsidRPr="00AC1055" w:rsidRDefault="00413229" w:rsidP="00413229">
            <w:pPr>
              <w:jc w:val="center"/>
              <w:rPr>
                <w:rFonts w:cs="Times New Roman"/>
                <w:color w:val="000000"/>
                <w:szCs w:val="24"/>
              </w:rPr>
            </w:pPr>
            <w:r w:rsidRPr="00AC1055">
              <w:rPr>
                <w:rFonts w:cs="Times New Roman"/>
                <w:color w:val="000000"/>
                <w:szCs w:val="24"/>
              </w:rPr>
              <w:t>0.017428</w:t>
            </w:r>
          </w:p>
        </w:tc>
        <w:tc>
          <w:tcPr>
            <w:tcW w:w="1701" w:type="dxa"/>
            <w:vAlign w:val="bottom"/>
          </w:tcPr>
          <w:p w14:paraId="04104917" w14:textId="77777777" w:rsidR="00413229" w:rsidRPr="00AC1055" w:rsidRDefault="00413229" w:rsidP="00413229">
            <w:pPr>
              <w:jc w:val="center"/>
              <w:rPr>
                <w:rFonts w:cs="Times New Roman"/>
                <w:color w:val="000000"/>
                <w:szCs w:val="24"/>
              </w:rPr>
            </w:pPr>
            <w:r w:rsidRPr="00AC1055">
              <w:rPr>
                <w:rFonts w:cs="Times New Roman"/>
                <w:color w:val="000000"/>
                <w:szCs w:val="24"/>
              </w:rPr>
              <w:t>0.089057</w:t>
            </w:r>
          </w:p>
        </w:tc>
        <w:tc>
          <w:tcPr>
            <w:tcW w:w="1613" w:type="dxa"/>
            <w:vAlign w:val="bottom"/>
          </w:tcPr>
          <w:p w14:paraId="7FD0B385" w14:textId="77777777" w:rsidR="00413229" w:rsidRPr="00AC1055" w:rsidRDefault="00413229" w:rsidP="00413229">
            <w:pPr>
              <w:jc w:val="center"/>
              <w:rPr>
                <w:rFonts w:cs="Times New Roman"/>
                <w:color w:val="000000"/>
                <w:szCs w:val="24"/>
              </w:rPr>
            </w:pPr>
            <w:r w:rsidRPr="00AC1055">
              <w:rPr>
                <w:rFonts w:cs="Times New Roman"/>
                <w:color w:val="000000"/>
                <w:szCs w:val="24"/>
              </w:rPr>
              <w:t>-0.25566</w:t>
            </w:r>
          </w:p>
        </w:tc>
        <w:tc>
          <w:tcPr>
            <w:tcW w:w="1647" w:type="dxa"/>
            <w:vAlign w:val="bottom"/>
          </w:tcPr>
          <w:p w14:paraId="0483F00E" w14:textId="77777777" w:rsidR="00413229" w:rsidRPr="00AC1055" w:rsidRDefault="00413229" w:rsidP="00413229">
            <w:pPr>
              <w:jc w:val="center"/>
              <w:rPr>
                <w:rFonts w:cs="Times New Roman"/>
                <w:color w:val="000000"/>
                <w:szCs w:val="24"/>
              </w:rPr>
            </w:pPr>
            <w:r w:rsidRPr="00AC1055">
              <w:rPr>
                <w:rFonts w:cs="Times New Roman"/>
                <w:color w:val="000000"/>
                <w:szCs w:val="24"/>
              </w:rPr>
              <w:t>0.421624</w:t>
            </w:r>
          </w:p>
        </w:tc>
        <w:tc>
          <w:tcPr>
            <w:tcW w:w="1701" w:type="dxa"/>
            <w:vAlign w:val="bottom"/>
          </w:tcPr>
          <w:p w14:paraId="549CEA6E" w14:textId="77777777" w:rsidR="00413229" w:rsidRPr="00AC1055" w:rsidRDefault="00413229" w:rsidP="00413229">
            <w:pPr>
              <w:jc w:val="center"/>
              <w:rPr>
                <w:rFonts w:cs="Times New Roman"/>
                <w:color w:val="000000"/>
                <w:szCs w:val="24"/>
              </w:rPr>
            </w:pPr>
            <w:r w:rsidRPr="00AC1055">
              <w:rPr>
                <w:rFonts w:cs="Times New Roman"/>
                <w:color w:val="000000"/>
                <w:szCs w:val="24"/>
              </w:rPr>
              <w:t>0.07878</w:t>
            </w:r>
          </w:p>
        </w:tc>
        <w:tc>
          <w:tcPr>
            <w:tcW w:w="1701" w:type="dxa"/>
            <w:vAlign w:val="bottom"/>
          </w:tcPr>
          <w:p w14:paraId="22DA5149" w14:textId="77777777" w:rsidR="00413229" w:rsidRPr="00AC1055" w:rsidRDefault="00413229" w:rsidP="00413229">
            <w:pPr>
              <w:jc w:val="center"/>
              <w:rPr>
                <w:rFonts w:cs="Times New Roman"/>
                <w:color w:val="000000"/>
                <w:szCs w:val="24"/>
              </w:rPr>
            </w:pPr>
            <w:r w:rsidRPr="00AC1055">
              <w:rPr>
                <w:rFonts w:cs="Times New Roman"/>
                <w:color w:val="000000"/>
                <w:szCs w:val="24"/>
              </w:rPr>
              <w:t>0.351537</w:t>
            </w:r>
          </w:p>
        </w:tc>
      </w:tr>
      <w:tr w:rsidR="00413229" w:rsidRPr="00AC1055" w14:paraId="0748A873" w14:textId="77777777" w:rsidTr="00413229">
        <w:trPr>
          <w:trHeight w:val="300"/>
        </w:trPr>
        <w:tc>
          <w:tcPr>
            <w:tcW w:w="1526" w:type="dxa"/>
            <w:noWrap/>
            <w:hideMark/>
          </w:tcPr>
          <w:p w14:paraId="6F1AD957" w14:textId="77777777" w:rsidR="00413229" w:rsidRPr="00AC1055" w:rsidRDefault="00413229" w:rsidP="00413229">
            <w:pPr>
              <w:jc w:val="center"/>
              <w:rPr>
                <w:rFonts w:cs="Times New Roman"/>
                <w:szCs w:val="24"/>
              </w:rPr>
            </w:pPr>
            <w:r w:rsidRPr="00AC1055">
              <w:rPr>
                <w:rFonts w:cs="Times New Roman"/>
                <w:szCs w:val="24"/>
              </w:rPr>
              <w:t>El Salvador</w:t>
            </w:r>
          </w:p>
        </w:tc>
        <w:tc>
          <w:tcPr>
            <w:tcW w:w="1276" w:type="dxa"/>
            <w:vAlign w:val="bottom"/>
          </w:tcPr>
          <w:p w14:paraId="7410D8F6" w14:textId="77777777" w:rsidR="00413229" w:rsidRPr="00AC1055" w:rsidRDefault="00413229" w:rsidP="00413229">
            <w:pPr>
              <w:jc w:val="center"/>
              <w:rPr>
                <w:rFonts w:cs="Times New Roman"/>
                <w:color w:val="000000"/>
                <w:szCs w:val="24"/>
              </w:rPr>
            </w:pPr>
            <w:r w:rsidRPr="00AC1055">
              <w:rPr>
                <w:rFonts w:cs="Times New Roman"/>
                <w:color w:val="000000"/>
                <w:szCs w:val="24"/>
              </w:rPr>
              <w:t>0.040808</w:t>
            </w:r>
          </w:p>
        </w:tc>
        <w:tc>
          <w:tcPr>
            <w:tcW w:w="1559" w:type="dxa"/>
            <w:vAlign w:val="bottom"/>
          </w:tcPr>
          <w:p w14:paraId="45604709" w14:textId="77777777" w:rsidR="00413229" w:rsidRPr="00AC1055" w:rsidRDefault="00413229" w:rsidP="00413229">
            <w:pPr>
              <w:jc w:val="center"/>
              <w:rPr>
                <w:rFonts w:cs="Times New Roman"/>
                <w:color w:val="000000"/>
                <w:szCs w:val="24"/>
              </w:rPr>
            </w:pPr>
            <w:r w:rsidRPr="00AC1055">
              <w:rPr>
                <w:rFonts w:cs="Times New Roman"/>
                <w:color w:val="000000"/>
                <w:szCs w:val="24"/>
              </w:rPr>
              <w:t>-0.18211</w:t>
            </w:r>
          </w:p>
        </w:tc>
        <w:tc>
          <w:tcPr>
            <w:tcW w:w="1701" w:type="dxa"/>
            <w:vAlign w:val="bottom"/>
          </w:tcPr>
          <w:p w14:paraId="1991ECE1" w14:textId="77777777" w:rsidR="00413229" w:rsidRPr="00AC1055" w:rsidRDefault="00413229" w:rsidP="00413229">
            <w:pPr>
              <w:jc w:val="center"/>
              <w:rPr>
                <w:rFonts w:cs="Times New Roman"/>
                <w:color w:val="000000"/>
                <w:szCs w:val="24"/>
              </w:rPr>
            </w:pPr>
            <w:r w:rsidRPr="00AC1055">
              <w:rPr>
                <w:rFonts w:cs="Times New Roman"/>
                <w:color w:val="000000"/>
                <w:szCs w:val="24"/>
              </w:rPr>
              <w:t>0.2067</w:t>
            </w:r>
          </w:p>
        </w:tc>
        <w:tc>
          <w:tcPr>
            <w:tcW w:w="1613" w:type="dxa"/>
            <w:vAlign w:val="bottom"/>
          </w:tcPr>
          <w:p w14:paraId="0E392798" w14:textId="77777777" w:rsidR="00413229" w:rsidRPr="00AC1055" w:rsidRDefault="00413229" w:rsidP="00413229">
            <w:pPr>
              <w:jc w:val="center"/>
              <w:rPr>
                <w:rFonts w:cs="Times New Roman"/>
                <w:color w:val="000000"/>
                <w:szCs w:val="24"/>
              </w:rPr>
            </w:pPr>
            <w:r w:rsidRPr="00AC1055">
              <w:rPr>
                <w:rFonts w:cs="Times New Roman"/>
                <w:color w:val="000000"/>
                <w:szCs w:val="24"/>
              </w:rPr>
              <w:t>-0.24525</w:t>
            </w:r>
          </w:p>
        </w:tc>
        <w:tc>
          <w:tcPr>
            <w:tcW w:w="1647" w:type="dxa"/>
            <w:vAlign w:val="bottom"/>
          </w:tcPr>
          <w:p w14:paraId="41B09A02" w14:textId="77777777" w:rsidR="00413229" w:rsidRPr="00AC1055" w:rsidRDefault="00413229" w:rsidP="00413229">
            <w:pPr>
              <w:jc w:val="center"/>
              <w:rPr>
                <w:rFonts w:cs="Times New Roman"/>
                <w:color w:val="000000"/>
                <w:szCs w:val="24"/>
              </w:rPr>
            </w:pPr>
            <w:r w:rsidRPr="00AC1055">
              <w:rPr>
                <w:rFonts w:cs="Times New Roman"/>
                <w:color w:val="000000"/>
                <w:szCs w:val="24"/>
              </w:rPr>
              <w:t>0.31797</w:t>
            </w:r>
          </w:p>
        </w:tc>
        <w:tc>
          <w:tcPr>
            <w:tcW w:w="1701" w:type="dxa"/>
            <w:vAlign w:val="bottom"/>
          </w:tcPr>
          <w:p w14:paraId="2F110383" w14:textId="77777777" w:rsidR="00413229" w:rsidRPr="00AC1055" w:rsidRDefault="00413229" w:rsidP="00413229">
            <w:pPr>
              <w:jc w:val="center"/>
              <w:rPr>
                <w:rFonts w:cs="Times New Roman"/>
                <w:color w:val="000000"/>
                <w:szCs w:val="24"/>
              </w:rPr>
            </w:pPr>
            <w:r w:rsidRPr="00AC1055">
              <w:rPr>
                <w:rFonts w:cs="Times New Roman"/>
                <w:color w:val="000000"/>
                <w:szCs w:val="24"/>
              </w:rPr>
              <w:t>0.06451</w:t>
            </w:r>
          </w:p>
        </w:tc>
        <w:tc>
          <w:tcPr>
            <w:tcW w:w="1701" w:type="dxa"/>
            <w:vAlign w:val="bottom"/>
          </w:tcPr>
          <w:p w14:paraId="3AC088B0" w14:textId="77777777" w:rsidR="00413229" w:rsidRPr="00AC1055" w:rsidRDefault="00413229" w:rsidP="00413229">
            <w:pPr>
              <w:jc w:val="center"/>
              <w:rPr>
                <w:rFonts w:cs="Times New Roman"/>
                <w:color w:val="000000"/>
                <w:szCs w:val="24"/>
              </w:rPr>
            </w:pPr>
            <w:r w:rsidRPr="00AC1055">
              <w:rPr>
                <w:rFonts w:cs="Times New Roman"/>
                <w:color w:val="000000"/>
                <w:szCs w:val="24"/>
              </w:rPr>
              <w:t>0.292567</w:t>
            </w:r>
          </w:p>
        </w:tc>
      </w:tr>
      <w:tr w:rsidR="00413229" w:rsidRPr="00AC1055" w14:paraId="6BDA9127" w14:textId="77777777" w:rsidTr="00413229">
        <w:trPr>
          <w:trHeight w:val="300"/>
        </w:trPr>
        <w:tc>
          <w:tcPr>
            <w:tcW w:w="1526" w:type="dxa"/>
            <w:noWrap/>
            <w:hideMark/>
          </w:tcPr>
          <w:p w14:paraId="0972F575" w14:textId="77777777" w:rsidR="00413229" w:rsidRPr="00AC1055" w:rsidRDefault="00413229" w:rsidP="00413229">
            <w:pPr>
              <w:jc w:val="center"/>
              <w:rPr>
                <w:rFonts w:cs="Times New Roman"/>
                <w:szCs w:val="24"/>
              </w:rPr>
            </w:pPr>
            <w:r w:rsidRPr="00AC1055">
              <w:rPr>
                <w:rFonts w:cs="Times New Roman"/>
                <w:szCs w:val="24"/>
              </w:rPr>
              <w:t>Vietnam</w:t>
            </w:r>
          </w:p>
        </w:tc>
        <w:tc>
          <w:tcPr>
            <w:tcW w:w="1276" w:type="dxa"/>
            <w:vAlign w:val="bottom"/>
          </w:tcPr>
          <w:p w14:paraId="1A3F4D64" w14:textId="77777777" w:rsidR="00413229" w:rsidRPr="00AC1055" w:rsidRDefault="00413229" w:rsidP="00413229">
            <w:pPr>
              <w:jc w:val="center"/>
              <w:rPr>
                <w:rFonts w:cs="Times New Roman"/>
                <w:color w:val="000000"/>
                <w:szCs w:val="24"/>
              </w:rPr>
            </w:pPr>
            <w:r w:rsidRPr="00AC1055">
              <w:rPr>
                <w:rFonts w:cs="Times New Roman"/>
                <w:color w:val="000000"/>
                <w:szCs w:val="24"/>
              </w:rPr>
              <w:t>0.060049</w:t>
            </w:r>
          </w:p>
        </w:tc>
        <w:tc>
          <w:tcPr>
            <w:tcW w:w="1559" w:type="dxa"/>
            <w:vAlign w:val="bottom"/>
          </w:tcPr>
          <w:p w14:paraId="0988BE89" w14:textId="77777777" w:rsidR="00413229" w:rsidRPr="00AC1055" w:rsidRDefault="00413229" w:rsidP="00413229">
            <w:pPr>
              <w:jc w:val="center"/>
              <w:rPr>
                <w:rFonts w:cs="Times New Roman"/>
                <w:color w:val="000000"/>
                <w:szCs w:val="24"/>
              </w:rPr>
            </w:pPr>
            <w:r w:rsidRPr="00AC1055">
              <w:rPr>
                <w:rFonts w:cs="Times New Roman"/>
                <w:color w:val="000000"/>
                <w:szCs w:val="24"/>
              </w:rPr>
              <w:t>0.037825</w:t>
            </w:r>
          </w:p>
        </w:tc>
        <w:tc>
          <w:tcPr>
            <w:tcW w:w="1701" w:type="dxa"/>
            <w:vAlign w:val="bottom"/>
          </w:tcPr>
          <w:p w14:paraId="5E025300" w14:textId="77777777" w:rsidR="00413229" w:rsidRPr="00AC1055" w:rsidRDefault="00413229" w:rsidP="00413229">
            <w:pPr>
              <w:jc w:val="center"/>
              <w:rPr>
                <w:rFonts w:cs="Times New Roman"/>
                <w:color w:val="000000"/>
                <w:szCs w:val="24"/>
              </w:rPr>
            </w:pPr>
            <w:r w:rsidRPr="00AC1055">
              <w:rPr>
                <w:rFonts w:cs="Times New Roman"/>
                <w:color w:val="000000"/>
                <w:szCs w:val="24"/>
              </w:rPr>
              <w:t>0.086218</w:t>
            </w:r>
          </w:p>
        </w:tc>
        <w:tc>
          <w:tcPr>
            <w:tcW w:w="1613" w:type="dxa"/>
            <w:vAlign w:val="bottom"/>
          </w:tcPr>
          <w:p w14:paraId="1A3720E9" w14:textId="77777777" w:rsidR="00413229" w:rsidRPr="00AC1055" w:rsidRDefault="00413229" w:rsidP="00413229">
            <w:pPr>
              <w:jc w:val="center"/>
              <w:rPr>
                <w:rFonts w:cs="Times New Roman"/>
                <w:color w:val="000000"/>
                <w:szCs w:val="24"/>
              </w:rPr>
            </w:pPr>
            <w:r w:rsidRPr="00AC1055">
              <w:rPr>
                <w:rFonts w:cs="Times New Roman"/>
                <w:color w:val="000000"/>
                <w:szCs w:val="24"/>
              </w:rPr>
              <w:t>-0.04812</w:t>
            </w:r>
          </w:p>
        </w:tc>
        <w:tc>
          <w:tcPr>
            <w:tcW w:w="1647" w:type="dxa"/>
            <w:vAlign w:val="bottom"/>
          </w:tcPr>
          <w:p w14:paraId="4FF6526D" w14:textId="77777777" w:rsidR="00413229" w:rsidRPr="00AC1055" w:rsidRDefault="00413229" w:rsidP="00413229">
            <w:pPr>
              <w:jc w:val="center"/>
              <w:rPr>
                <w:rFonts w:cs="Times New Roman"/>
                <w:color w:val="000000"/>
                <w:szCs w:val="24"/>
              </w:rPr>
            </w:pPr>
            <w:r w:rsidRPr="00AC1055">
              <w:rPr>
                <w:rFonts w:cs="Times New Roman"/>
                <w:color w:val="000000"/>
                <w:szCs w:val="24"/>
              </w:rPr>
              <w:t>0.450734</w:t>
            </w:r>
          </w:p>
        </w:tc>
        <w:tc>
          <w:tcPr>
            <w:tcW w:w="1701" w:type="dxa"/>
            <w:vAlign w:val="bottom"/>
          </w:tcPr>
          <w:p w14:paraId="37C4F9E3" w14:textId="77777777" w:rsidR="00413229" w:rsidRPr="00AC1055" w:rsidRDefault="00413229" w:rsidP="00413229">
            <w:pPr>
              <w:jc w:val="center"/>
              <w:rPr>
                <w:rFonts w:cs="Times New Roman"/>
                <w:color w:val="000000"/>
                <w:szCs w:val="24"/>
              </w:rPr>
            </w:pPr>
            <w:r w:rsidRPr="00AC1055">
              <w:rPr>
                <w:rFonts w:cs="Times New Roman"/>
                <w:color w:val="000000"/>
                <w:szCs w:val="24"/>
              </w:rPr>
              <w:t>0.084713</w:t>
            </w:r>
          </w:p>
        </w:tc>
        <w:tc>
          <w:tcPr>
            <w:tcW w:w="1701" w:type="dxa"/>
            <w:vAlign w:val="bottom"/>
          </w:tcPr>
          <w:p w14:paraId="1AB34E96" w14:textId="77777777" w:rsidR="00413229" w:rsidRPr="00AC1055" w:rsidRDefault="00413229" w:rsidP="00413229">
            <w:pPr>
              <w:jc w:val="center"/>
              <w:rPr>
                <w:rFonts w:cs="Times New Roman"/>
                <w:color w:val="000000"/>
                <w:szCs w:val="24"/>
              </w:rPr>
            </w:pPr>
            <w:r w:rsidRPr="00AC1055">
              <w:rPr>
                <w:rFonts w:cs="Times New Roman"/>
                <w:color w:val="000000"/>
                <w:szCs w:val="24"/>
              </w:rPr>
              <w:t>0.37679</w:t>
            </w:r>
          </w:p>
        </w:tc>
      </w:tr>
    </w:tbl>
    <w:p w14:paraId="3AFF7C01" w14:textId="77777777" w:rsidR="00413229" w:rsidRPr="00AC1055" w:rsidRDefault="00413229" w:rsidP="00413229">
      <w:pPr>
        <w:rPr>
          <w:rFonts w:cs="Times New Roman"/>
        </w:rPr>
      </w:pPr>
      <w:r w:rsidRPr="00AC1055">
        <w:rPr>
          <w:rFonts w:cs="Times New Roman"/>
        </w:rPr>
        <w:t>All the individual models have converged with 50,000 iterations except for Kenya and El Salvador which required 400,000 iterations to reach acceptable convergence. Even then</w:t>
      </w:r>
      <w:r>
        <w:rPr>
          <w:rFonts w:cs="Times New Roman"/>
        </w:rPr>
        <w:t>,</w:t>
      </w:r>
      <w:r w:rsidRPr="00AC1055">
        <w:rPr>
          <w:rFonts w:cs="Times New Roman"/>
        </w:rPr>
        <w:t xml:space="preserve"> the confidence interval is very wide for most of the Kenyan and El Salvadorian coefficients reducing their efficiency. This means that </w:t>
      </w:r>
      <w:r>
        <w:rPr>
          <w:rFonts w:cs="Times New Roman"/>
        </w:rPr>
        <w:t>it is not possible to</w:t>
      </w:r>
      <w:r w:rsidRPr="00AC1055">
        <w:rPr>
          <w:rFonts w:cs="Times New Roman"/>
        </w:rPr>
        <w:t xml:space="preserve"> use </w:t>
      </w:r>
      <w:r>
        <w:rPr>
          <w:rFonts w:cs="Times New Roman"/>
        </w:rPr>
        <w:t xml:space="preserve">a </w:t>
      </w:r>
      <w:r w:rsidRPr="00AC1055">
        <w:rPr>
          <w:rFonts w:cs="Times New Roman"/>
        </w:rPr>
        <w:t xml:space="preserve">coefficient for Kenya and El Salvador for accurate predictive </w:t>
      </w:r>
      <w:r w:rsidRPr="00AC1055">
        <w:rPr>
          <w:rFonts w:cs="Times New Roman"/>
        </w:rPr>
        <w:lastRenderedPageBreak/>
        <w:t>analysis. The Gelman-Rubin diagnostic, the density and trace plots, and the complete output with upper and lower quantiles for intercepts and controls are presented in the Appendix.</w:t>
      </w:r>
    </w:p>
    <w:tbl>
      <w:tblPr>
        <w:tblStyle w:val="TableGrid"/>
        <w:tblW w:w="0" w:type="auto"/>
        <w:tblLook w:val="04A0" w:firstRow="1" w:lastRow="0" w:firstColumn="1" w:lastColumn="0" w:noHBand="0" w:noVBand="1"/>
      </w:tblPr>
      <w:tblGrid>
        <w:gridCol w:w="1245"/>
        <w:gridCol w:w="1360"/>
        <w:gridCol w:w="1226"/>
        <w:gridCol w:w="1226"/>
        <w:gridCol w:w="1226"/>
        <w:gridCol w:w="1225"/>
        <w:gridCol w:w="1290"/>
        <w:gridCol w:w="1073"/>
        <w:gridCol w:w="1073"/>
        <w:gridCol w:w="1311"/>
        <w:gridCol w:w="1091"/>
      </w:tblGrid>
      <w:tr w:rsidR="00413229" w:rsidRPr="00AC1055" w14:paraId="526AB321" w14:textId="77777777" w:rsidTr="00413229">
        <w:trPr>
          <w:trHeight w:val="300"/>
        </w:trPr>
        <w:tc>
          <w:tcPr>
            <w:tcW w:w="14053" w:type="dxa"/>
            <w:gridSpan w:val="11"/>
          </w:tcPr>
          <w:p w14:paraId="76450F59" w14:textId="77777777" w:rsidR="00413229" w:rsidRPr="00AC1055" w:rsidRDefault="00413229" w:rsidP="00413229">
            <w:pPr>
              <w:jc w:val="center"/>
              <w:rPr>
                <w:rFonts w:cs="Times New Roman"/>
                <w:szCs w:val="24"/>
              </w:rPr>
            </w:pPr>
            <w:r w:rsidRPr="00AC1055">
              <w:rPr>
                <w:rFonts w:cs="Times New Roman"/>
                <w:szCs w:val="24"/>
              </w:rPr>
              <w:t>Frequentist analysis</w:t>
            </w:r>
          </w:p>
        </w:tc>
      </w:tr>
      <w:tr w:rsidR="00413229" w:rsidRPr="00AC1055" w14:paraId="7A7B098E" w14:textId="77777777" w:rsidTr="00413229">
        <w:trPr>
          <w:trHeight w:val="300"/>
        </w:trPr>
        <w:tc>
          <w:tcPr>
            <w:tcW w:w="1526" w:type="dxa"/>
          </w:tcPr>
          <w:p w14:paraId="6266E51C" w14:textId="77777777" w:rsidR="00413229" w:rsidRPr="00AC1055" w:rsidRDefault="00413229" w:rsidP="00413229">
            <w:pPr>
              <w:jc w:val="center"/>
              <w:rPr>
                <w:rFonts w:cs="Times New Roman"/>
                <w:szCs w:val="24"/>
              </w:rPr>
            </w:pPr>
          </w:p>
        </w:tc>
        <w:tc>
          <w:tcPr>
            <w:tcW w:w="1417" w:type="dxa"/>
            <w:noWrap/>
            <w:hideMark/>
          </w:tcPr>
          <w:p w14:paraId="20704122" w14:textId="77777777" w:rsidR="00413229" w:rsidRPr="00AC1055" w:rsidRDefault="00413229" w:rsidP="00413229">
            <w:pPr>
              <w:jc w:val="center"/>
              <w:rPr>
                <w:rFonts w:cs="Times New Roman"/>
                <w:szCs w:val="24"/>
              </w:rPr>
            </w:pPr>
            <w:r w:rsidRPr="00AC1055">
              <w:rPr>
                <w:rFonts w:cs="Times New Roman"/>
                <w:szCs w:val="24"/>
              </w:rPr>
              <w:t>Intercept</w:t>
            </w:r>
          </w:p>
        </w:tc>
        <w:tc>
          <w:tcPr>
            <w:tcW w:w="1276" w:type="dxa"/>
            <w:noWrap/>
            <w:hideMark/>
          </w:tcPr>
          <w:p w14:paraId="0D7F86A7" w14:textId="77777777" w:rsidR="00413229" w:rsidRPr="00AC1055" w:rsidRDefault="00413229" w:rsidP="00413229">
            <w:pPr>
              <w:jc w:val="center"/>
              <w:rPr>
                <w:rFonts w:cs="Times New Roman"/>
                <w:szCs w:val="24"/>
              </w:rPr>
            </w:pPr>
            <w:r w:rsidRPr="00AC1055">
              <w:rPr>
                <w:rFonts w:cs="Times New Roman"/>
                <w:szCs w:val="24"/>
              </w:rPr>
              <w:t>CG</w:t>
            </w:r>
          </w:p>
        </w:tc>
        <w:tc>
          <w:tcPr>
            <w:tcW w:w="1276" w:type="dxa"/>
            <w:noWrap/>
            <w:hideMark/>
          </w:tcPr>
          <w:p w14:paraId="705D6B37" w14:textId="77777777" w:rsidR="00413229" w:rsidRPr="00AC1055" w:rsidRDefault="00413229" w:rsidP="00413229">
            <w:pPr>
              <w:jc w:val="center"/>
              <w:rPr>
                <w:rFonts w:cs="Times New Roman"/>
                <w:szCs w:val="24"/>
              </w:rPr>
            </w:pPr>
            <w:r w:rsidRPr="00AC1055">
              <w:rPr>
                <w:rFonts w:cs="Times New Roman"/>
                <w:szCs w:val="24"/>
              </w:rPr>
              <w:t>Control 1</w:t>
            </w:r>
          </w:p>
        </w:tc>
        <w:tc>
          <w:tcPr>
            <w:tcW w:w="1276" w:type="dxa"/>
            <w:noWrap/>
            <w:hideMark/>
          </w:tcPr>
          <w:p w14:paraId="4AE6FFD0" w14:textId="77777777" w:rsidR="00413229" w:rsidRPr="00AC1055" w:rsidRDefault="00413229" w:rsidP="00413229">
            <w:pPr>
              <w:jc w:val="center"/>
              <w:rPr>
                <w:rFonts w:cs="Times New Roman"/>
                <w:szCs w:val="24"/>
              </w:rPr>
            </w:pPr>
            <w:r w:rsidRPr="00AC1055">
              <w:rPr>
                <w:rFonts w:cs="Times New Roman"/>
                <w:szCs w:val="24"/>
              </w:rPr>
              <w:t>Control 2</w:t>
            </w:r>
          </w:p>
        </w:tc>
        <w:tc>
          <w:tcPr>
            <w:tcW w:w="1275" w:type="dxa"/>
            <w:noWrap/>
            <w:hideMark/>
          </w:tcPr>
          <w:p w14:paraId="1AF09885" w14:textId="77777777" w:rsidR="00413229" w:rsidRPr="00AC1055" w:rsidRDefault="00413229" w:rsidP="00413229">
            <w:pPr>
              <w:jc w:val="center"/>
              <w:rPr>
                <w:rFonts w:cs="Times New Roman"/>
                <w:szCs w:val="24"/>
              </w:rPr>
            </w:pPr>
            <w:r w:rsidRPr="00AC1055">
              <w:rPr>
                <w:rFonts w:cs="Times New Roman"/>
                <w:szCs w:val="24"/>
              </w:rPr>
              <w:t>Control 3</w:t>
            </w:r>
          </w:p>
        </w:tc>
        <w:tc>
          <w:tcPr>
            <w:tcW w:w="1276" w:type="dxa"/>
            <w:noWrap/>
            <w:hideMark/>
          </w:tcPr>
          <w:p w14:paraId="1B17E482" w14:textId="77777777" w:rsidR="00413229" w:rsidRPr="00AC1055" w:rsidRDefault="00413229" w:rsidP="00413229">
            <w:pPr>
              <w:jc w:val="center"/>
              <w:rPr>
                <w:rFonts w:cs="Times New Roman"/>
                <w:szCs w:val="24"/>
              </w:rPr>
            </w:pPr>
            <w:r w:rsidRPr="00AC1055">
              <w:rPr>
                <w:rFonts w:cs="Times New Roman"/>
                <w:szCs w:val="24"/>
              </w:rPr>
              <w:t>Pr.Intercept</w:t>
            </w:r>
          </w:p>
        </w:tc>
        <w:tc>
          <w:tcPr>
            <w:tcW w:w="1116" w:type="dxa"/>
            <w:noWrap/>
            <w:hideMark/>
          </w:tcPr>
          <w:p w14:paraId="7EA61FEC" w14:textId="77777777" w:rsidR="00413229" w:rsidRPr="00AC1055" w:rsidRDefault="00413229" w:rsidP="00413229">
            <w:pPr>
              <w:jc w:val="center"/>
              <w:rPr>
                <w:rFonts w:cs="Times New Roman"/>
                <w:szCs w:val="24"/>
              </w:rPr>
            </w:pPr>
            <w:r w:rsidRPr="00AC1055">
              <w:rPr>
                <w:rFonts w:cs="Times New Roman"/>
                <w:szCs w:val="24"/>
              </w:rPr>
              <w:t>Pr.CG</w:t>
            </w:r>
          </w:p>
        </w:tc>
        <w:tc>
          <w:tcPr>
            <w:tcW w:w="1116" w:type="dxa"/>
            <w:noWrap/>
            <w:hideMark/>
          </w:tcPr>
          <w:p w14:paraId="462392A0" w14:textId="77777777" w:rsidR="00413229" w:rsidRPr="00AC1055" w:rsidRDefault="00413229" w:rsidP="00413229">
            <w:pPr>
              <w:jc w:val="center"/>
              <w:rPr>
                <w:rFonts w:cs="Times New Roman"/>
                <w:szCs w:val="24"/>
              </w:rPr>
            </w:pPr>
            <w:r w:rsidRPr="00AC1055">
              <w:rPr>
                <w:rFonts w:cs="Times New Roman"/>
                <w:szCs w:val="24"/>
              </w:rPr>
              <w:t>Pr.Ctrl1</w:t>
            </w:r>
          </w:p>
        </w:tc>
        <w:tc>
          <w:tcPr>
            <w:tcW w:w="1365" w:type="dxa"/>
            <w:noWrap/>
            <w:hideMark/>
          </w:tcPr>
          <w:p w14:paraId="5DBCE18F" w14:textId="77777777" w:rsidR="00413229" w:rsidRPr="00AC1055" w:rsidRDefault="00413229" w:rsidP="00413229">
            <w:pPr>
              <w:jc w:val="center"/>
              <w:rPr>
                <w:rFonts w:cs="Times New Roman"/>
                <w:szCs w:val="24"/>
              </w:rPr>
            </w:pPr>
            <w:r w:rsidRPr="00AC1055">
              <w:rPr>
                <w:rFonts w:cs="Times New Roman"/>
                <w:szCs w:val="24"/>
              </w:rPr>
              <w:t>Pr.Ctrl2</w:t>
            </w:r>
          </w:p>
        </w:tc>
        <w:tc>
          <w:tcPr>
            <w:tcW w:w="1134" w:type="dxa"/>
            <w:noWrap/>
            <w:hideMark/>
          </w:tcPr>
          <w:p w14:paraId="32261832" w14:textId="77777777" w:rsidR="00413229" w:rsidRPr="00AC1055" w:rsidRDefault="00413229" w:rsidP="00413229">
            <w:pPr>
              <w:jc w:val="center"/>
              <w:rPr>
                <w:rFonts w:cs="Times New Roman"/>
                <w:szCs w:val="24"/>
              </w:rPr>
            </w:pPr>
            <w:r w:rsidRPr="00AC1055">
              <w:rPr>
                <w:rFonts w:cs="Times New Roman"/>
                <w:szCs w:val="24"/>
              </w:rPr>
              <w:t>Pr.Ctrl3</w:t>
            </w:r>
          </w:p>
        </w:tc>
      </w:tr>
      <w:tr w:rsidR="00413229" w:rsidRPr="00AC1055" w14:paraId="4E9F27A8" w14:textId="77777777" w:rsidTr="00413229">
        <w:trPr>
          <w:trHeight w:val="300"/>
        </w:trPr>
        <w:tc>
          <w:tcPr>
            <w:tcW w:w="1526" w:type="dxa"/>
          </w:tcPr>
          <w:p w14:paraId="5D2A9328" w14:textId="77777777" w:rsidR="00413229" w:rsidRPr="00AC1055" w:rsidRDefault="00413229" w:rsidP="00413229">
            <w:pPr>
              <w:jc w:val="center"/>
              <w:rPr>
                <w:rFonts w:cs="Times New Roman"/>
                <w:szCs w:val="24"/>
              </w:rPr>
            </w:pPr>
            <w:r w:rsidRPr="00AC1055">
              <w:rPr>
                <w:rFonts w:cs="Times New Roman"/>
                <w:szCs w:val="24"/>
              </w:rPr>
              <w:t>Brazil</w:t>
            </w:r>
          </w:p>
        </w:tc>
        <w:tc>
          <w:tcPr>
            <w:tcW w:w="1417" w:type="dxa"/>
            <w:noWrap/>
            <w:hideMark/>
          </w:tcPr>
          <w:p w14:paraId="455C4810" w14:textId="77777777" w:rsidR="00413229" w:rsidRPr="00AC1055" w:rsidRDefault="00413229" w:rsidP="00413229">
            <w:pPr>
              <w:jc w:val="center"/>
              <w:rPr>
                <w:rFonts w:cs="Times New Roman"/>
                <w:szCs w:val="24"/>
              </w:rPr>
            </w:pPr>
            <w:r w:rsidRPr="00AC1055">
              <w:rPr>
                <w:rFonts w:cs="Times New Roman"/>
                <w:szCs w:val="24"/>
              </w:rPr>
              <w:t>-0.11254</w:t>
            </w:r>
          </w:p>
        </w:tc>
        <w:tc>
          <w:tcPr>
            <w:tcW w:w="1276" w:type="dxa"/>
            <w:noWrap/>
            <w:hideMark/>
          </w:tcPr>
          <w:p w14:paraId="00456230" w14:textId="77777777" w:rsidR="00413229" w:rsidRPr="00AC1055" w:rsidRDefault="00413229" w:rsidP="00413229">
            <w:pPr>
              <w:jc w:val="center"/>
              <w:rPr>
                <w:rFonts w:cs="Times New Roman"/>
                <w:szCs w:val="24"/>
              </w:rPr>
            </w:pPr>
            <w:r w:rsidRPr="00AC1055">
              <w:rPr>
                <w:rFonts w:cs="Times New Roman"/>
                <w:szCs w:val="24"/>
              </w:rPr>
              <w:t>0.038065</w:t>
            </w:r>
          </w:p>
        </w:tc>
        <w:tc>
          <w:tcPr>
            <w:tcW w:w="1276" w:type="dxa"/>
            <w:noWrap/>
            <w:hideMark/>
          </w:tcPr>
          <w:p w14:paraId="00D46CC9" w14:textId="77777777" w:rsidR="00413229" w:rsidRPr="00AC1055" w:rsidRDefault="00413229" w:rsidP="00413229">
            <w:pPr>
              <w:jc w:val="center"/>
              <w:rPr>
                <w:rFonts w:cs="Times New Roman"/>
                <w:szCs w:val="24"/>
              </w:rPr>
            </w:pPr>
            <w:r w:rsidRPr="00AC1055">
              <w:rPr>
                <w:rFonts w:cs="Times New Roman"/>
                <w:szCs w:val="24"/>
              </w:rPr>
              <w:t>0.42516</w:t>
            </w:r>
          </w:p>
        </w:tc>
        <w:tc>
          <w:tcPr>
            <w:tcW w:w="1276" w:type="dxa"/>
            <w:noWrap/>
            <w:hideMark/>
          </w:tcPr>
          <w:p w14:paraId="705E07FA" w14:textId="77777777" w:rsidR="00413229" w:rsidRPr="00AC1055" w:rsidRDefault="00413229" w:rsidP="00413229">
            <w:pPr>
              <w:jc w:val="center"/>
              <w:rPr>
                <w:rFonts w:cs="Times New Roman"/>
                <w:szCs w:val="24"/>
              </w:rPr>
            </w:pPr>
            <w:r w:rsidRPr="00AC1055">
              <w:rPr>
                <w:rFonts w:cs="Times New Roman"/>
                <w:szCs w:val="24"/>
              </w:rPr>
              <w:t>0.092546</w:t>
            </w:r>
          </w:p>
        </w:tc>
        <w:tc>
          <w:tcPr>
            <w:tcW w:w="1275" w:type="dxa"/>
            <w:noWrap/>
            <w:hideMark/>
          </w:tcPr>
          <w:p w14:paraId="6264E96F" w14:textId="77777777" w:rsidR="00413229" w:rsidRPr="00AC1055" w:rsidRDefault="00413229" w:rsidP="00413229">
            <w:pPr>
              <w:jc w:val="center"/>
              <w:rPr>
                <w:rFonts w:cs="Times New Roman"/>
                <w:szCs w:val="24"/>
              </w:rPr>
            </w:pPr>
            <w:r w:rsidRPr="00AC1055">
              <w:rPr>
                <w:rFonts w:cs="Times New Roman"/>
                <w:szCs w:val="24"/>
              </w:rPr>
              <w:t>0.446796</w:t>
            </w:r>
          </w:p>
        </w:tc>
        <w:tc>
          <w:tcPr>
            <w:tcW w:w="1276" w:type="dxa"/>
            <w:noWrap/>
            <w:hideMark/>
          </w:tcPr>
          <w:p w14:paraId="545C238F" w14:textId="77777777" w:rsidR="00413229" w:rsidRPr="00AC1055" w:rsidRDefault="00413229" w:rsidP="00413229">
            <w:pPr>
              <w:jc w:val="center"/>
              <w:rPr>
                <w:rFonts w:cs="Times New Roman"/>
                <w:szCs w:val="24"/>
              </w:rPr>
            </w:pPr>
            <w:r w:rsidRPr="00AC1055">
              <w:rPr>
                <w:rFonts w:cs="Times New Roman"/>
                <w:szCs w:val="24"/>
              </w:rPr>
              <w:t>8.40E-07</w:t>
            </w:r>
          </w:p>
        </w:tc>
        <w:tc>
          <w:tcPr>
            <w:tcW w:w="1116" w:type="dxa"/>
            <w:noWrap/>
            <w:hideMark/>
          </w:tcPr>
          <w:p w14:paraId="6DCD15CA" w14:textId="77777777" w:rsidR="00413229" w:rsidRPr="00AC1055" w:rsidRDefault="00413229" w:rsidP="00413229">
            <w:pPr>
              <w:jc w:val="center"/>
              <w:rPr>
                <w:rFonts w:cs="Times New Roman"/>
                <w:szCs w:val="24"/>
              </w:rPr>
            </w:pPr>
            <w:r w:rsidRPr="00AC1055">
              <w:rPr>
                <w:rFonts w:cs="Times New Roman"/>
                <w:szCs w:val="24"/>
              </w:rPr>
              <w:t>5.62E-05</w:t>
            </w:r>
          </w:p>
        </w:tc>
        <w:tc>
          <w:tcPr>
            <w:tcW w:w="1116" w:type="dxa"/>
            <w:noWrap/>
            <w:hideMark/>
          </w:tcPr>
          <w:p w14:paraId="6FC9D559" w14:textId="77777777" w:rsidR="00413229" w:rsidRPr="00AC1055" w:rsidRDefault="00413229" w:rsidP="00413229">
            <w:pPr>
              <w:jc w:val="center"/>
              <w:rPr>
                <w:rFonts w:cs="Times New Roman"/>
                <w:szCs w:val="24"/>
              </w:rPr>
            </w:pPr>
            <w:r w:rsidRPr="00AC1055">
              <w:rPr>
                <w:rFonts w:cs="Times New Roman"/>
                <w:szCs w:val="24"/>
              </w:rPr>
              <w:t>2.66E-11</w:t>
            </w:r>
          </w:p>
        </w:tc>
        <w:tc>
          <w:tcPr>
            <w:tcW w:w="1365" w:type="dxa"/>
            <w:noWrap/>
            <w:hideMark/>
          </w:tcPr>
          <w:p w14:paraId="2D0AB7FC" w14:textId="77777777" w:rsidR="00413229" w:rsidRPr="00AC1055" w:rsidRDefault="00413229" w:rsidP="00413229">
            <w:pPr>
              <w:jc w:val="center"/>
              <w:rPr>
                <w:rFonts w:cs="Times New Roman"/>
                <w:szCs w:val="24"/>
              </w:rPr>
            </w:pPr>
            <w:r w:rsidRPr="00AC1055">
              <w:rPr>
                <w:rFonts w:cs="Times New Roman"/>
                <w:szCs w:val="24"/>
              </w:rPr>
              <w:t>0.000197</w:t>
            </w:r>
          </w:p>
        </w:tc>
        <w:tc>
          <w:tcPr>
            <w:tcW w:w="1134" w:type="dxa"/>
            <w:noWrap/>
            <w:hideMark/>
          </w:tcPr>
          <w:p w14:paraId="0F4113BE" w14:textId="77777777" w:rsidR="00413229" w:rsidRPr="00AC1055" w:rsidRDefault="00413229" w:rsidP="00413229">
            <w:pPr>
              <w:jc w:val="center"/>
              <w:rPr>
                <w:rFonts w:cs="Times New Roman"/>
                <w:szCs w:val="24"/>
              </w:rPr>
            </w:pPr>
            <w:r w:rsidRPr="00AC1055">
              <w:rPr>
                <w:rFonts w:cs="Times New Roman"/>
                <w:szCs w:val="24"/>
              </w:rPr>
              <w:t>2.17E-07</w:t>
            </w:r>
          </w:p>
        </w:tc>
      </w:tr>
      <w:tr w:rsidR="00413229" w:rsidRPr="00AC1055" w14:paraId="66C26591" w14:textId="77777777" w:rsidTr="00413229">
        <w:trPr>
          <w:trHeight w:val="300"/>
        </w:trPr>
        <w:tc>
          <w:tcPr>
            <w:tcW w:w="1526" w:type="dxa"/>
          </w:tcPr>
          <w:p w14:paraId="4AC12462" w14:textId="77777777" w:rsidR="00413229" w:rsidRPr="00AC1055" w:rsidRDefault="00413229" w:rsidP="00413229">
            <w:pPr>
              <w:jc w:val="center"/>
              <w:rPr>
                <w:rFonts w:cs="Times New Roman"/>
                <w:szCs w:val="24"/>
              </w:rPr>
            </w:pPr>
            <w:r w:rsidRPr="00AC1055">
              <w:rPr>
                <w:rFonts w:cs="Times New Roman"/>
                <w:szCs w:val="24"/>
              </w:rPr>
              <w:t>China</w:t>
            </w:r>
          </w:p>
        </w:tc>
        <w:tc>
          <w:tcPr>
            <w:tcW w:w="1417" w:type="dxa"/>
            <w:noWrap/>
            <w:hideMark/>
          </w:tcPr>
          <w:p w14:paraId="6E9DA0F6" w14:textId="77777777" w:rsidR="00413229" w:rsidRPr="00AC1055" w:rsidRDefault="00413229" w:rsidP="00413229">
            <w:pPr>
              <w:jc w:val="center"/>
              <w:rPr>
                <w:rFonts w:cs="Times New Roman"/>
                <w:szCs w:val="24"/>
              </w:rPr>
            </w:pPr>
            <w:r w:rsidRPr="00AC1055">
              <w:rPr>
                <w:rFonts w:cs="Times New Roman"/>
                <w:szCs w:val="24"/>
              </w:rPr>
              <w:t>-0.10093</w:t>
            </w:r>
          </w:p>
        </w:tc>
        <w:tc>
          <w:tcPr>
            <w:tcW w:w="1276" w:type="dxa"/>
            <w:noWrap/>
            <w:hideMark/>
          </w:tcPr>
          <w:p w14:paraId="3034E3A5" w14:textId="77777777" w:rsidR="00413229" w:rsidRPr="00AC1055" w:rsidRDefault="00413229" w:rsidP="00413229">
            <w:pPr>
              <w:jc w:val="center"/>
              <w:rPr>
                <w:rFonts w:cs="Times New Roman"/>
                <w:szCs w:val="24"/>
              </w:rPr>
            </w:pPr>
            <w:r w:rsidRPr="00AC1055">
              <w:rPr>
                <w:rFonts w:cs="Times New Roman"/>
                <w:szCs w:val="24"/>
              </w:rPr>
              <w:t>0.005788</w:t>
            </w:r>
          </w:p>
        </w:tc>
        <w:tc>
          <w:tcPr>
            <w:tcW w:w="1276" w:type="dxa"/>
            <w:noWrap/>
            <w:hideMark/>
          </w:tcPr>
          <w:p w14:paraId="780E0888" w14:textId="77777777" w:rsidR="00413229" w:rsidRPr="00AC1055" w:rsidRDefault="00413229" w:rsidP="00413229">
            <w:pPr>
              <w:jc w:val="center"/>
              <w:rPr>
                <w:rFonts w:cs="Times New Roman"/>
                <w:szCs w:val="24"/>
              </w:rPr>
            </w:pPr>
            <w:r w:rsidRPr="00AC1055">
              <w:rPr>
                <w:rFonts w:cs="Times New Roman"/>
                <w:szCs w:val="24"/>
              </w:rPr>
              <w:t>0.460602</w:t>
            </w:r>
          </w:p>
        </w:tc>
        <w:tc>
          <w:tcPr>
            <w:tcW w:w="1276" w:type="dxa"/>
            <w:noWrap/>
            <w:hideMark/>
          </w:tcPr>
          <w:p w14:paraId="4D6A3035" w14:textId="77777777" w:rsidR="00413229" w:rsidRPr="00AC1055" w:rsidRDefault="00413229" w:rsidP="00413229">
            <w:pPr>
              <w:jc w:val="center"/>
              <w:rPr>
                <w:rFonts w:cs="Times New Roman"/>
                <w:szCs w:val="24"/>
              </w:rPr>
            </w:pPr>
            <w:r w:rsidRPr="00AC1055">
              <w:rPr>
                <w:rFonts w:cs="Times New Roman"/>
                <w:szCs w:val="24"/>
              </w:rPr>
              <w:t>0.23133</w:t>
            </w:r>
          </w:p>
        </w:tc>
        <w:tc>
          <w:tcPr>
            <w:tcW w:w="1275" w:type="dxa"/>
            <w:noWrap/>
            <w:hideMark/>
          </w:tcPr>
          <w:p w14:paraId="7DC8432F" w14:textId="77777777" w:rsidR="00413229" w:rsidRPr="00AC1055" w:rsidRDefault="00413229" w:rsidP="00413229">
            <w:pPr>
              <w:jc w:val="center"/>
              <w:rPr>
                <w:rFonts w:cs="Times New Roman"/>
                <w:szCs w:val="24"/>
              </w:rPr>
            </w:pPr>
            <w:r w:rsidRPr="00AC1055">
              <w:rPr>
                <w:rFonts w:cs="Times New Roman"/>
                <w:szCs w:val="24"/>
              </w:rPr>
              <w:t>0.342759</w:t>
            </w:r>
          </w:p>
        </w:tc>
        <w:tc>
          <w:tcPr>
            <w:tcW w:w="1276" w:type="dxa"/>
            <w:noWrap/>
            <w:hideMark/>
          </w:tcPr>
          <w:p w14:paraId="06C64B6D" w14:textId="77777777" w:rsidR="00413229" w:rsidRPr="00AC1055" w:rsidRDefault="00413229" w:rsidP="00413229">
            <w:pPr>
              <w:jc w:val="center"/>
              <w:rPr>
                <w:rFonts w:cs="Times New Roman"/>
                <w:szCs w:val="24"/>
              </w:rPr>
            </w:pPr>
            <w:r w:rsidRPr="00AC1055">
              <w:rPr>
                <w:rFonts w:cs="Times New Roman"/>
                <w:szCs w:val="24"/>
              </w:rPr>
              <w:t>0.003033</w:t>
            </w:r>
          </w:p>
        </w:tc>
        <w:tc>
          <w:tcPr>
            <w:tcW w:w="1116" w:type="dxa"/>
            <w:noWrap/>
            <w:hideMark/>
          </w:tcPr>
          <w:p w14:paraId="004856EA" w14:textId="77777777" w:rsidR="00413229" w:rsidRPr="00AC1055" w:rsidRDefault="00413229" w:rsidP="00413229">
            <w:pPr>
              <w:jc w:val="center"/>
              <w:rPr>
                <w:rFonts w:cs="Times New Roman"/>
                <w:szCs w:val="24"/>
                <w:u w:val="single"/>
              </w:rPr>
            </w:pPr>
            <w:r w:rsidRPr="00AC1055">
              <w:rPr>
                <w:rFonts w:cs="Times New Roman"/>
                <w:szCs w:val="24"/>
                <w:u w:val="single"/>
              </w:rPr>
              <w:t>0.563697</w:t>
            </w:r>
          </w:p>
        </w:tc>
        <w:tc>
          <w:tcPr>
            <w:tcW w:w="1116" w:type="dxa"/>
            <w:noWrap/>
            <w:hideMark/>
          </w:tcPr>
          <w:p w14:paraId="723AF8F7" w14:textId="77777777" w:rsidR="00413229" w:rsidRPr="00AC1055" w:rsidRDefault="00413229" w:rsidP="00413229">
            <w:pPr>
              <w:jc w:val="center"/>
              <w:rPr>
                <w:rFonts w:cs="Times New Roman"/>
                <w:szCs w:val="24"/>
              </w:rPr>
            </w:pPr>
            <w:r w:rsidRPr="00AC1055">
              <w:rPr>
                <w:rFonts w:cs="Times New Roman"/>
                <w:szCs w:val="24"/>
              </w:rPr>
              <w:t>1.07E-13</w:t>
            </w:r>
          </w:p>
        </w:tc>
        <w:tc>
          <w:tcPr>
            <w:tcW w:w="1365" w:type="dxa"/>
            <w:noWrap/>
            <w:hideMark/>
          </w:tcPr>
          <w:p w14:paraId="5B6E1125" w14:textId="77777777" w:rsidR="00413229" w:rsidRPr="00AC1055" w:rsidRDefault="00413229" w:rsidP="00413229">
            <w:pPr>
              <w:jc w:val="center"/>
              <w:rPr>
                <w:rFonts w:cs="Times New Roman"/>
                <w:szCs w:val="24"/>
              </w:rPr>
            </w:pPr>
            <w:r w:rsidRPr="00AC1055">
              <w:rPr>
                <w:rFonts w:cs="Times New Roman"/>
                <w:szCs w:val="24"/>
              </w:rPr>
              <w:t>4.43E-06</w:t>
            </w:r>
          </w:p>
        </w:tc>
        <w:tc>
          <w:tcPr>
            <w:tcW w:w="1134" w:type="dxa"/>
            <w:noWrap/>
            <w:hideMark/>
          </w:tcPr>
          <w:p w14:paraId="2894926F" w14:textId="77777777" w:rsidR="00413229" w:rsidRPr="00AC1055" w:rsidRDefault="00413229" w:rsidP="00413229">
            <w:pPr>
              <w:jc w:val="center"/>
              <w:rPr>
                <w:rFonts w:cs="Times New Roman"/>
                <w:szCs w:val="24"/>
              </w:rPr>
            </w:pPr>
            <w:r w:rsidRPr="00AC1055">
              <w:rPr>
                <w:rFonts w:cs="Times New Roman"/>
                <w:szCs w:val="24"/>
              </w:rPr>
              <w:t>1.88E-12</w:t>
            </w:r>
          </w:p>
        </w:tc>
      </w:tr>
      <w:tr w:rsidR="00413229" w:rsidRPr="00AC1055" w14:paraId="1F753512" w14:textId="77777777" w:rsidTr="00413229">
        <w:trPr>
          <w:trHeight w:val="300"/>
        </w:trPr>
        <w:tc>
          <w:tcPr>
            <w:tcW w:w="1526" w:type="dxa"/>
          </w:tcPr>
          <w:p w14:paraId="4ABF6330" w14:textId="77777777" w:rsidR="00413229" w:rsidRPr="00AC1055" w:rsidRDefault="00413229" w:rsidP="00413229">
            <w:pPr>
              <w:jc w:val="center"/>
              <w:rPr>
                <w:rFonts w:cs="Times New Roman"/>
                <w:szCs w:val="24"/>
              </w:rPr>
            </w:pPr>
            <w:r w:rsidRPr="00AC1055">
              <w:rPr>
                <w:rFonts w:cs="Times New Roman"/>
                <w:szCs w:val="24"/>
              </w:rPr>
              <w:t>Chile</w:t>
            </w:r>
          </w:p>
        </w:tc>
        <w:tc>
          <w:tcPr>
            <w:tcW w:w="1417" w:type="dxa"/>
            <w:noWrap/>
            <w:hideMark/>
          </w:tcPr>
          <w:p w14:paraId="2B4CF76A" w14:textId="77777777" w:rsidR="00413229" w:rsidRPr="00AC1055" w:rsidRDefault="00413229" w:rsidP="00413229">
            <w:pPr>
              <w:jc w:val="center"/>
              <w:rPr>
                <w:rFonts w:cs="Times New Roman"/>
                <w:szCs w:val="24"/>
              </w:rPr>
            </w:pPr>
            <w:r w:rsidRPr="00AC1055">
              <w:rPr>
                <w:rFonts w:cs="Times New Roman"/>
                <w:szCs w:val="24"/>
              </w:rPr>
              <w:t>-0.15745</w:t>
            </w:r>
          </w:p>
        </w:tc>
        <w:tc>
          <w:tcPr>
            <w:tcW w:w="1276" w:type="dxa"/>
            <w:noWrap/>
            <w:hideMark/>
          </w:tcPr>
          <w:p w14:paraId="42BC6238" w14:textId="77777777" w:rsidR="00413229" w:rsidRPr="00AC1055" w:rsidRDefault="00413229" w:rsidP="00413229">
            <w:pPr>
              <w:jc w:val="center"/>
              <w:rPr>
                <w:rFonts w:cs="Times New Roman"/>
                <w:szCs w:val="24"/>
              </w:rPr>
            </w:pPr>
            <w:r w:rsidRPr="00AC1055">
              <w:rPr>
                <w:rFonts w:cs="Times New Roman"/>
                <w:szCs w:val="24"/>
              </w:rPr>
              <w:t>0.039628</w:t>
            </w:r>
          </w:p>
        </w:tc>
        <w:tc>
          <w:tcPr>
            <w:tcW w:w="1276" w:type="dxa"/>
            <w:noWrap/>
            <w:hideMark/>
          </w:tcPr>
          <w:p w14:paraId="5010C779" w14:textId="77777777" w:rsidR="00413229" w:rsidRPr="00AC1055" w:rsidRDefault="00413229" w:rsidP="00413229">
            <w:pPr>
              <w:jc w:val="center"/>
              <w:rPr>
                <w:rFonts w:cs="Times New Roman"/>
                <w:szCs w:val="24"/>
              </w:rPr>
            </w:pPr>
            <w:r w:rsidRPr="00AC1055">
              <w:rPr>
                <w:rFonts w:cs="Times New Roman"/>
                <w:szCs w:val="24"/>
              </w:rPr>
              <w:t>0.407343</w:t>
            </w:r>
          </w:p>
        </w:tc>
        <w:tc>
          <w:tcPr>
            <w:tcW w:w="1276" w:type="dxa"/>
            <w:noWrap/>
            <w:hideMark/>
          </w:tcPr>
          <w:p w14:paraId="2EC15196" w14:textId="77777777" w:rsidR="00413229" w:rsidRPr="00AC1055" w:rsidRDefault="00413229" w:rsidP="00413229">
            <w:pPr>
              <w:jc w:val="center"/>
              <w:rPr>
                <w:rFonts w:cs="Times New Roman"/>
                <w:szCs w:val="24"/>
              </w:rPr>
            </w:pPr>
            <w:r w:rsidRPr="00AC1055">
              <w:rPr>
                <w:rFonts w:cs="Times New Roman"/>
                <w:szCs w:val="24"/>
              </w:rPr>
              <w:t>0.08679</w:t>
            </w:r>
          </w:p>
        </w:tc>
        <w:tc>
          <w:tcPr>
            <w:tcW w:w="1275" w:type="dxa"/>
            <w:noWrap/>
            <w:hideMark/>
          </w:tcPr>
          <w:p w14:paraId="4963BF28" w14:textId="77777777" w:rsidR="00413229" w:rsidRPr="00AC1055" w:rsidRDefault="00413229" w:rsidP="00413229">
            <w:pPr>
              <w:jc w:val="center"/>
              <w:rPr>
                <w:rFonts w:cs="Times New Roman"/>
                <w:szCs w:val="24"/>
              </w:rPr>
            </w:pPr>
            <w:r w:rsidRPr="00AC1055">
              <w:rPr>
                <w:rFonts w:cs="Times New Roman"/>
                <w:szCs w:val="24"/>
              </w:rPr>
              <w:t>0.458427</w:t>
            </w:r>
          </w:p>
        </w:tc>
        <w:tc>
          <w:tcPr>
            <w:tcW w:w="1276" w:type="dxa"/>
            <w:noWrap/>
            <w:hideMark/>
          </w:tcPr>
          <w:p w14:paraId="12A94F4E" w14:textId="77777777" w:rsidR="00413229" w:rsidRPr="00AC1055" w:rsidRDefault="00413229" w:rsidP="00413229">
            <w:pPr>
              <w:jc w:val="center"/>
              <w:rPr>
                <w:rFonts w:cs="Times New Roman"/>
                <w:szCs w:val="24"/>
              </w:rPr>
            </w:pPr>
            <w:r w:rsidRPr="00AC1055">
              <w:rPr>
                <w:rFonts w:cs="Times New Roman"/>
                <w:szCs w:val="24"/>
              </w:rPr>
              <w:t>4.93E-23</w:t>
            </w:r>
          </w:p>
        </w:tc>
        <w:tc>
          <w:tcPr>
            <w:tcW w:w="1116" w:type="dxa"/>
            <w:noWrap/>
            <w:hideMark/>
          </w:tcPr>
          <w:p w14:paraId="04541AC9" w14:textId="77777777" w:rsidR="00413229" w:rsidRPr="00AC1055" w:rsidRDefault="00413229" w:rsidP="00413229">
            <w:pPr>
              <w:jc w:val="center"/>
              <w:rPr>
                <w:rFonts w:cs="Times New Roman"/>
                <w:szCs w:val="24"/>
              </w:rPr>
            </w:pPr>
            <w:r w:rsidRPr="00AC1055">
              <w:rPr>
                <w:rFonts w:cs="Times New Roman"/>
                <w:szCs w:val="24"/>
              </w:rPr>
              <w:t>4.31E-12</w:t>
            </w:r>
          </w:p>
        </w:tc>
        <w:tc>
          <w:tcPr>
            <w:tcW w:w="1116" w:type="dxa"/>
            <w:noWrap/>
            <w:hideMark/>
          </w:tcPr>
          <w:p w14:paraId="29945462" w14:textId="77777777" w:rsidR="00413229" w:rsidRPr="00AC1055" w:rsidRDefault="00413229" w:rsidP="00413229">
            <w:pPr>
              <w:jc w:val="center"/>
              <w:rPr>
                <w:rFonts w:cs="Times New Roman"/>
                <w:szCs w:val="24"/>
              </w:rPr>
            </w:pPr>
            <w:r w:rsidRPr="00AC1055">
              <w:rPr>
                <w:rFonts w:cs="Times New Roman"/>
                <w:szCs w:val="24"/>
              </w:rPr>
              <w:t>1.21E-19</w:t>
            </w:r>
          </w:p>
        </w:tc>
        <w:tc>
          <w:tcPr>
            <w:tcW w:w="1365" w:type="dxa"/>
            <w:noWrap/>
            <w:hideMark/>
          </w:tcPr>
          <w:p w14:paraId="3A75F264" w14:textId="77777777" w:rsidR="00413229" w:rsidRPr="00AC1055" w:rsidRDefault="00413229" w:rsidP="00413229">
            <w:pPr>
              <w:jc w:val="center"/>
              <w:rPr>
                <w:rFonts w:cs="Times New Roman"/>
                <w:szCs w:val="24"/>
              </w:rPr>
            </w:pPr>
            <w:r w:rsidRPr="00AC1055">
              <w:rPr>
                <w:rFonts w:cs="Times New Roman"/>
                <w:szCs w:val="24"/>
              </w:rPr>
              <w:t>3.77E-21</w:t>
            </w:r>
          </w:p>
        </w:tc>
        <w:tc>
          <w:tcPr>
            <w:tcW w:w="1134" w:type="dxa"/>
            <w:noWrap/>
            <w:hideMark/>
          </w:tcPr>
          <w:p w14:paraId="59E0C868" w14:textId="77777777" w:rsidR="00413229" w:rsidRPr="00AC1055" w:rsidRDefault="00413229" w:rsidP="00413229">
            <w:pPr>
              <w:jc w:val="center"/>
              <w:rPr>
                <w:rFonts w:cs="Times New Roman"/>
                <w:szCs w:val="24"/>
              </w:rPr>
            </w:pPr>
            <w:r w:rsidRPr="00AC1055">
              <w:rPr>
                <w:rFonts w:cs="Times New Roman"/>
                <w:szCs w:val="24"/>
              </w:rPr>
              <w:t>8.51E-18</w:t>
            </w:r>
          </w:p>
        </w:tc>
      </w:tr>
      <w:tr w:rsidR="00413229" w:rsidRPr="00AC1055" w14:paraId="3A7BDCA6" w14:textId="77777777" w:rsidTr="00413229">
        <w:trPr>
          <w:trHeight w:val="300"/>
        </w:trPr>
        <w:tc>
          <w:tcPr>
            <w:tcW w:w="1526" w:type="dxa"/>
          </w:tcPr>
          <w:p w14:paraId="6E81AD9B" w14:textId="77777777" w:rsidR="00413229" w:rsidRPr="00AC1055" w:rsidRDefault="00413229" w:rsidP="00413229">
            <w:pPr>
              <w:jc w:val="center"/>
              <w:rPr>
                <w:rFonts w:cs="Times New Roman"/>
                <w:szCs w:val="24"/>
              </w:rPr>
            </w:pPr>
            <w:r w:rsidRPr="00AC1055">
              <w:rPr>
                <w:rFonts w:cs="Times New Roman"/>
                <w:szCs w:val="24"/>
              </w:rPr>
              <w:t>Colombia</w:t>
            </w:r>
          </w:p>
        </w:tc>
        <w:tc>
          <w:tcPr>
            <w:tcW w:w="1417" w:type="dxa"/>
            <w:noWrap/>
            <w:hideMark/>
          </w:tcPr>
          <w:p w14:paraId="7FEE0ABE" w14:textId="77777777" w:rsidR="00413229" w:rsidRPr="00AC1055" w:rsidRDefault="00413229" w:rsidP="00413229">
            <w:pPr>
              <w:jc w:val="center"/>
              <w:rPr>
                <w:rFonts w:cs="Times New Roman"/>
                <w:szCs w:val="24"/>
              </w:rPr>
            </w:pPr>
            <w:r w:rsidRPr="00AC1055">
              <w:rPr>
                <w:rFonts w:cs="Times New Roman"/>
                <w:szCs w:val="24"/>
              </w:rPr>
              <w:t>-0.13978</w:t>
            </w:r>
          </w:p>
        </w:tc>
        <w:tc>
          <w:tcPr>
            <w:tcW w:w="1276" w:type="dxa"/>
            <w:noWrap/>
            <w:hideMark/>
          </w:tcPr>
          <w:p w14:paraId="6A1F0964" w14:textId="77777777" w:rsidR="00413229" w:rsidRPr="00AC1055" w:rsidRDefault="00413229" w:rsidP="00413229">
            <w:pPr>
              <w:jc w:val="center"/>
              <w:rPr>
                <w:rFonts w:cs="Times New Roman"/>
                <w:szCs w:val="24"/>
              </w:rPr>
            </w:pPr>
            <w:r w:rsidRPr="00AC1055">
              <w:rPr>
                <w:rFonts w:cs="Times New Roman"/>
                <w:szCs w:val="24"/>
              </w:rPr>
              <w:t>0.123907</w:t>
            </w:r>
          </w:p>
        </w:tc>
        <w:tc>
          <w:tcPr>
            <w:tcW w:w="1276" w:type="dxa"/>
            <w:noWrap/>
            <w:hideMark/>
          </w:tcPr>
          <w:p w14:paraId="43B83099" w14:textId="77777777" w:rsidR="00413229" w:rsidRPr="00AC1055" w:rsidRDefault="00413229" w:rsidP="00413229">
            <w:pPr>
              <w:jc w:val="center"/>
              <w:rPr>
                <w:rFonts w:cs="Times New Roman"/>
                <w:szCs w:val="24"/>
              </w:rPr>
            </w:pPr>
            <w:r w:rsidRPr="00AC1055">
              <w:rPr>
                <w:rFonts w:cs="Times New Roman"/>
                <w:szCs w:val="24"/>
              </w:rPr>
              <w:t>0.407344</w:t>
            </w:r>
          </w:p>
        </w:tc>
        <w:tc>
          <w:tcPr>
            <w:tcW w:w="1276" w:type="dxa"/>
            <w:noWrap/>
            <w:hideMark/>
          </w:tcPr>
          <w:p w14:paraId="0C2D2D4F" w14:textId="77777777" w:rsidR="00413229" w:rsidRPr="00AC1055" w:rsidRDefault="00413229" w:rsidP="00413229">
            <w:pPr>
              <w:jc w:val="center"/>
              <w:rPr>
                <w:rFonts w:cs="Times New Roman"/>
                <w:szCs w:val="24"/>
              </w:rPr>
            </w:pPr>
            <w:r w:rsidRPr="00AC1055">
              <w:rPr>
                <w:rFonts w:cs="Times New Roman"/>
                <w:szCs w:val="24"/>
              </w:rPr>
              <w:t>0.067939</w:t>
            </w:r>
          </w:p>
        </w:tc>
        <w:tc>
          <w:tcPr>
            <w:tcW w:w="1275" w:type="dxa"/>
            <w:noWrap/>
            <w:hideMark/>
          </w:tcPr>
          <w:p w14:paraId="3C2FED5E" w14:textId="77777777" w:rsidR="00413229" w:rsidRPr="00AC1055" w:rsidRDefault="00413229" w:rsidP="00413229">
            <w:pPr>
              <w:jc w:val="center"/>
              <w:rPr>
                <w:rFonts w:cs="Times New Roman"/>
                <w:szCs w:val="24"/>
              </w:rPr>
            </w:pPr>
            <w:r w:rsidRPr="00AC1055">
              <w:rPr>
                <w:rFonts w:cs="Times New Roman"/>
                <w:szCs w:val="24"/>
              </w:rPr>
              <w:t>0.319288</w:t>
            </w:r>
          </w:p>
        </w:tc>
        <w:tc>
          <w:tcPr>
            <w:tcW w:w="1276" w:type="dxa"/>
            <w:noWrap/>
            <w:hideMark/>
          </w:tcPr>
          <w:p w14:paraId="15B1F56F" w14:textId="77777777" w:rsidR="00413229" w:rsidRPr="00AC1055" w:rsidRDefault="00413229" w:rsidP="00413229">
            <w:pPr>
              <w:jc w:val="center"/>
              <w:rPr>
                <w:rFonts w:cs="Times New Roman"/>
                <w:szCs w:val="24"/>
              </w:rPr>
            </w:pPr>
            <w:r w:rsidRPr="00AC1055">
              <w:rPr>
                <w:rFonts w:cs="Times New Roman"/>
                <w:szCs w:val="24"/>
              </w:rPr>
              <w:t>1.72E-08</w:t>
            </w:r>
          </w:p>
        </w:tc>
        <w:tc>
          <w:tcPr>
            <w:tcW w:w="1116" w:type="dxa"/>
            <w:noWrap/>
            <w:hideMark/>
          </w:tcPr>
          <w:p w14:paraId="67216555" w14:textId="77777777" w:rsidR="00413229" w:rsidRPr="00AC1055" w:rsidRDefault="00413229" w:rsidP="00413229">
            <w:pPr>
              <w:jc w:val="center"/>
              <w:rPr>
                <w:rFonts w:cs="Times New Roman"/>
                <w:szCs w:val="24"/>
              </w:rPr>
            </w:pPr>
            <w:r w:rsidRPr="00AC1055">
              <w:rPr>
                <w:rFonts w:cs="Times New Roman"/>
                <w:szCs w:val="24"/>
              </w:rPr>
              <w:t>4.03E-13</w:t>
            </w:r>
          </w:p>
        </w:tc>
        <w:tc>
          <w:tcPr>
            <w:tcW w:w="1116" w:type="dxa"/>
            <w:noWrap/>
            <w:hideMark/>
          </w:tcPr>
          <w:p w14:paraId="07396F0F" w14:textId="77777777" w:rsidR="00413229" w:rsidRPr="00AC1055" w:rsidRDefault="00413229" w:rsidP="00413229">
            <w:pPr>
              <w:jc w:val="center"/>
              <w:rPr>
                <w:rFonts w:cs="Times New Roman"/>
                <w:szCs w:val="24"/>
              </w:rPr>
            </w:pPr>
            <w:r w:rsidRPr="00AC1055">
              <w:rPr>
                <w:rFonts w:cs="Times New Roman"/>
                <w:szCs w:val="24"/>
              </w:rPr>
              <w:t>1.18E-09</w:t>
            </w:r>
          </w:p>
        </w:tc>
        <w:tc>
          <w:tcPr>
            <w:tcW w:w="1365" w:type="dxa"/>
            <w:noWrap/>
            <w:hideMark/>
          </w:tcPr>
          <w:p w14:paraId="41664B9F" w14:textId="77777777" w:rsidR="00413229" w:rsidRPr="00AC1055" w:rsidRDefault="00413229" w:rsidP="00413229">
            <w:pPr>
              <w:jc w:val="center"/>
              <w:rPr>
                <w:rFonts w:cs="Times New Roman"/>
                <w:szCs w:val="24"/>
              </w:rPr>
            </w:pPr>
            <w:r w:rsidRPr="00AC1055">
              <w:rPr>
                <w:rFonts w:cs="Times New Roman"/>
                <w:szCs w:val="24"/>
              </w:rPr>
              <w:t>3.61E-09</w:t>
            </w:r>
          </w:p>
        </w:tc>
        <w:tc>
          <w:tcPr>
            <w:tcW w:w="1134" w:type="dxa"/>
            <w:noWrap/>
            <w:hideMark/>
          </w:tcPr>
          <w:p w14:paraId="0C6FDCF2" w14:textId="77777777" w:rsidR="00413229" w:rsidRPr="00AC1055" w:rsidRDefault="00413229" w:rsidP="00413229">
            <w:pPr>
              <w:jc w:val="center"/>
              <w:rPr>
                <w:rFonts w:cs="Times New Roman"/>
                <w:szCs w:val="24"/>
              </w:rPr>
            </w:pPr>
            <w:r w:rsidRPr="00AC1055">
              <w:rPr>
                <w:rFonts w:cs="Times New Roman"/>
                <w:szCs w:val="24"/>
              </w:rPr>
              <w:t>1.68E-05</w:t>
            </w:r>
          </w:p>
        </w:tc>
      </w:tr>
      <w:tr w:rsidR="00413229" w:rsidRPr="00AC1055" w14:paraId="1EBB9E8D" w14:textId="77777777" w:rsidTr="00413229">
        <w:trPr>
          <w:trHeight w:val="300"/>
        </w:trPr>
        <w:tc>
          <w:tcPr>
            <w:tcW w:w="1526" w:type="dxa"/>
          </w:tcPr>
          <w:p w14:paraId="3CCC90A4" w14:textId="77777777" w:rsidR="00413229" w:rsidRPr="00AC1055" w:rsidRDefault="00413229" w:rsidP="00413229">
            <w:pPr>
              <w:jc w:val="center"/>
              <w:rPr>
                <w:rFonts w:cs="Times New Roman"/>
                <w:szCs w:val="24"/>
              </w:rPr>
            </w:pPr>
            <w:r w:rsidRPr="00AC1055">
              <w:rPr>
                <w:rFonts w:cs="Times New Roman"/>
                <w:szCs w:val="24"/>
              </w:rPr>
              <w:t>India</w:t>
            </w:r>
          </w:p>
        </w:tc>
        <w:tc>
          <w:tcPr>
            <w:tcW w:w="1417" w:type="dxa"/>
            <w:noWrap/>
            <w:hideMark/>
          </w:tcPr>
          <w:p w14:paraId="0ED5B03C" w14:textId="77777777" w:rsidR="00413229" w:rsidRPr="00AC1055" w:rsidRDefault="00413229" w:rsidP="00413229">
            <w:pPr>
              <w:jc w:val="center"/>
              <w:rPr>
                <w:rFonts w:cs="Times New Roman"/>
                <w:szCs w:val="24"/>
              </w:rPr>
            </w:pPr>
            <w:r w:rsidRPr="00AC1055">
              <w:rPr>
                <w:rFonts w:cs="Times New Roman"/>
                <w:szCs w:val="24"/>
              </w:rPr>
              <w:t>-0.16607</w:t>
            </w:r>
          </w:p>
        </w:tc>
        <w:tc>
          <w:tcPr>
            <w:tcW w:w="1276" w:type="dxa"/>
            <w:noWrap/>
            <w:hideMark/>
          </w:tcPr>
          <w:p w14:paraId="36D69A4E" w14:textId="77777777" w:rsidR="00413229" w:rsidRPr="00AC1055" w:rsidRDefault="00413229" w:rsidP="00413229">
            <w:pPr>
              <w:jc w:val="center"/>
              <w:rPr>
                <w:rFonts w:cs="Times New Roman"/>
                <w:szCs w:val="24"/>
              </w:rPr>
            </w:pPr>
            <w:r w:rsidRPr="00AC1055">
              <w:rPr>
                <w:rFonts w:cs="Times New Roman"/>
                <w:szCs w:val="24"/>
              </w:rPr>
              <w:t>0.140102</w:t>
            </w:r>
          </w:p>
        </w:tc>
        <w:tc>
          <w:tcPr>
            <w:tcW w:w="1276" w:type="dxa"/>
            <w:noWrap/>
            <w:hideMark/>
          </w:tcPr>
          <w:p w14:paraId="61EA7821" w14:textId="77777777" w:rsidR="00413229" w:rsidRPr="00AC1055" w:rsidRDefault="00413229" w:rsidP="00413229">
            <w:pPr>
              <w:jc w:val="center"/>
              <w:rPr>
                <w:rFonts w:cs="Times New Roman"/>
                <w:szCs w:val="24"/>
              </w:rPr>
            </w:pPr>
            <w:r w:rsidRPr="00AC1055">
              <w:rPr>
                <w:rFonts w:cs="Times New Roman"/>
                <w:szCs w:val="24"/>
              </w:rPr>
              <w:t>0.342849</w:t>
            </w:r>
          </w:p>
        </w:tc>
        <w:tc>
          <w:tcPr>
            <w:tcW w:w="1276" w:type="dxa"/>
            <w:noWrap/>
            <w:hideMark/>
          </w:tcPr>
          <w:p w14:paraId="7B0F6300" w14:textId="77777777" w:rsidR="00413229" w:rsidRPr="00AC1055" w:rsidRDefault="00413229" w:rsidP="00413229">
            <w:pPr>
              <w:jc w:val="center"/>
              <w:rPr>
                <w:rFonts w:cs="Times New Roman"/>
                <w:szCs w:val="24"/>
              </w:rPr>
            </w:pPr>
            <w:r w:rsidRPr="00AC1055">
              <w:rPr>
                <w:rFonts w:cs="Times New Roman"/>
                <w:szCs w:val="24"/>
              </w:rPr>
              <w:t>0.021449</w:t>
            </w:r>
          </w:p>
        </w:tc>
        <w:tc>
          <w:tcPr>
            <w:tcW w:w="1275" w:type="dxa"/>
            <w:noWrap/>
            <w:hideMark/>
          </w:tcPr>
          <w:p w14:paraId="1855EF1D" w14:textId="77777777" w:rsidR="00413229" w:rsidRPr="00AC1055" w:rsidRDefault="00413229" w:rsidP="00413229">
            <w:pPr>
              <w:jc w:val="center"/>
              <w:rPr>
                <w:rFonts w:cs="Times New Roman"/>
                <w:szCs w:val="24"/>
              </w:rPr>
            </w:pPr>
            <w:r w:rsidRPr="00AC1055">
              <w:rPr>
                <w:rFonts w:cs="Times New Roman"/>
                <w:szCs w:val="24"/>
              </w:rPr>
              <w:t>0.541839</w:t>
            </w:r>
          </w:p>
        </w:tc>
        <w:tc>
          <w:tcPr>
            <w:tcW w:w="1276" w:type="dxa"/>
            <w:noWrap/>
            <w:hideMark/>
          </w:tcPr>
          <w:p w14:paraId="33C2E59B" w14:textId="77777777" w:rsidR="00413229" w:rsidRPr="00AC1055" w:rsidRDefault="00413229" w:rsidP="00413229">
            <w:pPr>
              <w:jc w:val="center"/>
              <w:rPr>
                <w:rFonts w:cs="Times New Roman"/>
                <w:szCs w:val="24"/>
              </w:rPr>
            </w:pPr>
            <w:r w:rsidRPr="00AC1055">
              <w:rPr>
                <w:rFonts w:cs="Times New Roman"/>
                <w:szCs w:val="24"/>
              </w:rPr>
              <w:t>5.91E-08</w:t>
            </w:r>
          </w:p>
        </w:tc>
        <w:tc>
          <w:tcPr>
            <w:tcW w:w="1116" w:type="dxa"/>
            <w:noWrap/>
            <w:hideMark/>
          </w:tcPr>
          <w:p w14:paraId="56EF3C61" w14:textId="77777777" w:rsidR="00413229" w:rsidRPr="00AC1055" w:rsidRDefault="00413229" w:rsidP="00413229">
            <w:pPr>
              <w:jc w:val="center"/>
              <w:rPr>
                <w:rFonts w:cs="Times New Roman"/>
                <w:szCs w:val="24"/>
              </w:rPr>
            </w:pPr>
            <w:r w:rsidRPr="00AC1055">
              <w:rPr>
                <w:rFonts w:cs="Times New Roman"/>
                <w:szCs w:val="24"/>
              </w:rPr>
              <w:t>4.48E-08</w:t>
            </w:r>
          </w:p>
        </w:tc>
        <w:tc>
          <w:tcPr>
            <w:tcW w:w="1116" w:type="dxa"/>
            <w:noWrap/>
            <w:hideMark/>
          </w:tcPr>
          <w:p w14:paraId="32EC439C" w14:textId="77777777" w:rsidR="00413229" w:rsidRPr="00AC1055" w:rsidRDefault="00413229" w:rsidP="00413229">
            <w:pPr>
              <w:jc w:val="center"/>
              <w:rPr>
                <w:rFonts w:cs="Times New Roman"/>
                <w:szCs w:val="24"/>
              </w:rPr>
            </w:pPr>
            <w:r w:rsidRPr="00AC1055">
              <w:rPr>
                <w:rFonts w:cs="Times New Roman"/>
                <w:szCs w:val="24"/>
              </w:rPr>
              <w:t>3.18E-05</w:t>
            </w:r>
          </w:p>
        </w:tc>
        <w:tc>
          <w:tcPr>
            <w:tcW w:w="1365" w:type="dxa"/>
            <w:noWrap/>
            <w:hideMark/>
          </w:tcPr>
          <w:p w14:paraId="2CEA8081" w14:textId="77777777" w:rsidR="00413229" w:rsidRPr="00AC1055" w:rsidRDefault="00413229" w:rsidP="00413229">
            <w:pPr>
              <w:jc w:val="center"/>
              <w:rPr>
                <w:rFonts w:cs="Times New Roman"/>
                <w:szCs w:val="24"/>
                <w:u w:val="single"/>
              </w:rPr>
            </w:pPr>
            <w:r w:rsidRPr="00AC1055">
              <w:rPr>
                <w:rFonts w:cs="Times New Roman"/>
                <w:szCs w:val="24"/>
                <w:u w:val="single"/>
              </w:rPr>
              <w:t>0.200271</w:t>
            </w:r>
          </w:p>
        </w:tc>
        <w:tc>
          <w:tcPr>
            <w:tcW w:w="1134" w:type="dxa"/>
            <w:noWrap/>
            <w:hideMark/>
          </w:tcPr>
          <w:p w14:paraId="3B509D9F" w14:textId="77777777" w:rsidR="00413229" w:rsidRPr="00AC1055" w:rsidRDefault="00413229" w:rsidP="00413229">
            <w:pPr>
              <w:jc w:val="center"/>
              <w:rPr>
                <w:rFonts w:cs="Times New Roman"/>
                <w:szCs w:val="24"/>
              </w:rPr>
            </w:pPr>
            <w:r w:rsidRPr="00AC1055">
              <w:rPr>
                <w:rFonts w:cs="Times New Roman"/>
                <w:szCs w:val="24"/>
              </w:rPr>
              <w:t>2.58E-05</w:t>
            </w:r>
          </w:p>
        </w:tc>
      </w:tr>
      <w:tr w:rsidR="00413229" w:rsidRPr="00AC1055" w14:paraId="061DCC6E" w14:textId="77777777" w:rsidTr="00413229">
        <w:trPr>
          <w:trHeight w:val="300"/>
        </w:trPr>
        <w:tc>
          <w:tcPr>
            <w:tcW w:w="1526" w:type="dxa"/>
          </w:tcPr>
          <w:p w14:paraId="1EBE4D22" w14:textId="77777777" w:rsidR="00413229" w:rsidRPr="00AC1055" w:rsidRDefault="00413229" w:rsidP="00413229">
            <w:pPr>
              <w:jc w:val="center"/>
              <w:rPr>
                <w:rFonts w:cs="Times New Roman"/>
                <w:szCs w:val="24"/>
              </w:rPr>
            </w:pPr>
            <w:r w:rsidRPr="00AC1055">
              <w:rPr>
                <w:rFonts w:cs="Times New Roman"/>
                <w:szCs w:val="24"/>
              </w:rPr>
              <w:t>Indonesia</w:t>
            </w:r>
          </w:p>
        </w:tc>
        <w:tc>
          <w:tcPr>
            <w:tcW w:w="1417" w:type="dxa"/>
            <w:noWrap/>
            <w:hideMark/>
          </w:tcPr>
          <w:p w14:paraId="05A1D6E4" w14:textId="77777777" w:rsidR="00413229" w:rsidRPr="00AC1055" w:rsidRDefault="00413229" w:rsidP="00413229">
            <w:pPr>
              <w:jc w:val="center"/>
              <w:rPr>
                <w:rFonts w:cs="Times New Roman"/>
                <w:szCs w:val="24"/>
              </w:rPr>
            </w:pPr>
            <w:r w:rsidRPr="00AC1055">
              <w:rPr>
                <w:rFonts w:cs="Times New Roman"/>
                <w:szCs w:val="24"/>
              </w:rPr>
              <w:t>-0.15773</w:t>
            </w:r>
          </w:p>
        </w:tc>
        <w:tc>
          <w:tcPr>
            <w:tcW w:w="1276" w:type="dxa"/>
            <w:noWrap/>
            <w:hideMark/>
          </w:tcPr>
          <w:p w14:paraId="2CBD8B85" w14:textId="77777777" w:rsidR="00413229" w:rsidRPr="00AC1055" w:rsidRDefault="00413229" w:rsidP="00413229">
            <w:pPr>
              <w:jc w:val="center"/>
              <w:rPr>
                <w:rFonts w:cs="Times New Roman"/>
                <w:szCs w:val="24"/>
              </w:rPr>
            </w:pPr>
            <w:r w:rsidRPr="00AC1055">
              <w:rPr>
                <w:rFonts w:cs="Times New Roman"/>
                <w:szCs w:val="24"/>
              </w:rPr>
              <w:t>0.085853</w:t>
            </w:r>
          </w:p>
        </w:tc>
        <w:tc>
          <w:tcPr>
            <w:tcW w:w="1276" w:type="dxa"/>
            <w:noWrap/>
            <w:hideMark/>
          </w:tcPr>
          <w:p w14:paraId="7E9E4AF9" w14:textId="77777777" w:rsidR="00413229" w:rsidRPr="00AC1055" w:rsidRDefault="00413229" w:rsidP="00413229">
            <w:pPr>
              <w:jc w:val="center"/>
              <w:rPr>
                <w:rFonts w:cs="Times New Roman"/>
                <w:szCs w:val="24"/>
              </w:rPr>
            </w:pPr>
            <w:r w:rsidRPr="00AC1055">
              <w:rPr>
                <w:rFonts w:cs="Times New Roman"/>
                <w:szCs w:val="24"/>
              </w:rPr>
              <w:t>0.397137</w:t>
            </w:r>
          </w:p>
        </w:tc>
        <w:tc>
          <w:tcPr>
            <w:tcW w:w="1276" w:type="dxa"/>
            <w:noWrap/>
            <w:hideMark/>
          </w:tcPr>
          <w:p w14:paraId="19AF349C" w14:textId="77777777" w:rsidR="00413229" w:rsidRPr="00AC1055" w:rsidRDefault="00413229" w:rsidP="00413229">
            <w:pPr>
              <w:jc w:val="center"/>
              <w:rPr>
                <w:rFonts w:cs="Times New Roman"/>
                <w:szCs w:val="24"/>
              </w:rPr>
            </w:pPr>
            <w:r w:rsidRPr="00AC1055">
              <w:rPr>
                <w:rFonts w:cs="Times New Roman"/>
                <w:szCs w:val="24"/>
              </w:rPr>
              <w:t>0.072739</w:t>
            </w:r>
          </w:p>
        </w:tc>
        <w:tc>
          <w:tcPr>
            <w:tcW w:w="1275" w:type="dxa"/>
            <w:noWrap/>
            <w:hideMark/>
          </w:tcPr>
          <w:p w14:paraId="71820BC7" w14:textId="77777777" w:rsidR="00413229" w:rsidRPr="00AC1055" w:rsidRDefault="00413229" w:rsidP="00413229">
            <w:pPr>
              <w:jc w:val="center"/>
              <w:rPr>
                <w:rFonts w:cs="Times New Roman"/>
                <w:szCs w:val="24"/>
              </w:rPr>
            </w:pPr>
            <w:r w:rsidRPr="00AC1055">
              <w:rPr>
                <w:rFonts w:cs="Times New Roman"/>
                <w:szCs w:val="24"/>
              </w:rPr>
              <w:t>0.47568</w:t>
            </w:r>
          </w:p>
        </w:tc>
        <w:tc>
          <w:tcPr>
            <w:tcW w:w="1276" w:type="dxa"/>
            <w:noWrap/>
            <w:hideMark/>
          </w:tcPr>
          <w:p w14:paraId="250AB998" w14:textId="77777777" w:rsidR="00413229" w:rsidRPr="00AC1055" w:rsidRDefault="00413229" w:rsidP="00413229">
            <w:pPr>
              <w:jc w:val="center"/>
              <w:rPr>
                <w:rFonts w:cs="Times New Roman"/>
                <w:szCs w:val="24"/>
              </w:rPr>
            </w:pPr>
            <w:r w:rsidRPr="00AC1055">
              <w:rPr>
                <w:rFonts w:cs="Times New Roman"/>
                <w:szCs w:val="24"/>
              </w:rPr>
              <w:t>1.05E-09</w:t>
            </w:r>
          </w:p>
        </w:tc>
        <w:tc>
          <w:tcPr>
            <w:tcW w:w="1116" w:type="dxa"/>
            <w:noWrap/>
            <w:hideMark/>
          </w:tcPr>
          <w:p w14:paraId="277ED011" w14:textId="77777777" w:rsidR="00413229" w:rsidRPr="00AC1055" w:rsidRDefault="00413229" w:rsidP="00413229">
            <w:pPr>
              <w:jc w:val="center"/>
              <w:rPr>
                <w:rFonts w:cs="Times New Roman"/>
                <w:szCs w:val="24"/>
              </w:rPr>
            </w:pPr>
            <w:r w:rsidRPr="00AC1055">
              <w:rPr>
                <w:rFonts w:cs="Times New Roman"/>
                <w:szCs w:val="24"/>
              </w:rPr>
              <w:t>7.17E-07</w:t>
            </w:r>
          </w:p>
        </w:tc>
        <w:tc>
          <w:tcPr>
            <w:tcW w:w="1116" w:type="dxa"/>
            <w:noWrap/>
            <w:hideMark/>
          </w:tcPr>
          <w:p w14:paraId="4700D978" w14:textId="77777777" w:rsidR="00413229" w:rsidRPr="00AC1055" w:rsidRDefault="00413229" w:rsidP="00413229">
            <w:pPr>
              <w:jc w:val="center"/>
              <w:rPr>
                <w:rFonts w:cs="Times New Roman"/>
                <w:szCs w:val="24"/>
              </w:rPr>
            </w:pPr>
            <w:r w:rsidRPr="00AC1055">
              <w:rPr>
                <w:rFonts w:cs="Times New Roman"/>
                <w:szCs w:val="24"/>
              </w:rPr>
              <w:t>1.32E-11</w:t>
            </w:r>
          </w:p>
        </w:tc>
        <w:tc>
          <w:tcPr>
            <w:tcW w:w="1365" w:type="dxa"/>
            <w:noWrap/>
            <w:hideMark/>
          </w:tcPr>
          <w:p w14:paraId="06A39A67" w14:textId="77777777" w:rsidR="00413229" w:rsidRPr="00AC1055" w:rsidRDefault="00413229" w:rsidP="00413229">
            <w:pPr>
              <w:jc w:val="center"/>
              <w:rPr>
                <w:rFonts w:cs="Times New Roman"/>
                <w:szCs w:val="24"/>
              </w:rPr>
            </w:pPr>
            <w:r w:rsidRPr="00AC1055">
              <w:rPr>
                <w:rFonts w:cs="Times New Roman"/>
                <w:szCs w:val="24"/>
              </w:rPr>
              <w:t>6.81E-05</w:t>
            </w:r>
          </w:p>
        </w:tc>
        <w:tc>
          <w:tcPr>
            <w:tcW w:w="1134" w:type="dxa"/>
            <w:noWrap/>
            <w:hideMark/>
          </w:tcPr>
          <w:p w14:paraId="4D6711AC" w14:textId="77777777" w:rsidR="00413229" w:rsidRPr="00AC1055" w:rsidRDefault="00413229" w:rsidP="00413229">
            <w:pPr>
              <w:jc w:val="center"/>
              <w:rPr>
                <w:rFonts w:cs="Times New Roman"/>
                <w:szCs w:val="24"/>
              </w:rPr>
            </w:pPr>
            <w:r w:rsidRPr="00AC1055">
              <w:rPr>
                <w:rFonts w:cs="Times New Roman"/>
                <w:szCs w:val="24"/>
              </w:rPr>
              <w:t>7.14E-07</w:t>
            </w:r>
          </w:p>
        </w:tc>
      </w:tr>
      <w:tr w:rsidR="00413229" w:rsidRPr="00AC1055" w14:paraId="1DB541F9" w14:textId="77777777" w:rsidTr="00413229">
        <w:trPr>
          <w:trHeight w:val="300"/>
        </w:trPr>
        <w:tc>
          <w:tcPr>
            <w:tcW w:w="1526" w:type="dxa"/>
          </w:tcPr>
          <w:p w14:paraId="40383C60" w14:textId="77777777" w:rsidR="00413229" w:rsidRPr="00AC1055" w:rsidRDefault="00413229" w:rsidP="00413229">
            <w:pPr>
              <w:jc w:val="center"/>
              <w:rPr>
                <w:rFonts w:cs="Times New Roman"/>
                <w:szCs w:val="24"/>
              </w:rPr>
            </w:pPr>
            <w:r w:rsidRPr="00AC1055">
              <w:rPr>
                <w:rFonts w:cs="Times New Roman"/>
                <w:szCs w:val="24"/>
              </w:rPr>
              <w:t>Peru</w:t>
            </w:r>
          </w:p>
        </w:tc>
        <w:tc>
          <w:tcPr>
            <w:tcW w:w="1417" w:type="dxa"/>
            <w:noWrap/>
            <w:hideMark/>
          </w:tcPr>
          <w:p w14:paraId="4871135B" w14:textId="77777777" w:rsidR="00413229" w:rsidRPr="00AC1055" w:rsidRDefault="00413229" w:rsidP="00413229">
            <w:pPr>
              <w:jc w:val="center"/>
              <w:rPr>
                <w:rFonts w:cs="Times New Roman"/>
                <w:szCs w:val="24"/>
              </w:rPr>
            </w:pPr>
            <w:r w:rsidRPr="00AC1055">
              <w:rPr>
                <w:rFonts w:cs="Times New Roman"/>
                <w:szCs w:val="24"/>
              </w:rPr>
              <w:t>-0.33505</w:t>
            </w:r>
          </w:p>
        </w:tc>
        <w:tc>
          <w:tcPr>
            <w:tcW w:w="1276" w:type="dxa"/>
            <w:noWrap/>
            <w:hideMark/>
          </w:tcPr>
          <w:p w14:paraId="350053CA" w14:textId="77777777" w:rsidR="00413229" w:rsidRPr="00AC1055" w:rsidRDefault="00413229" w:rsidP="00413229">
            <w:pPr>
              <w:jc w:val="center"/>
              <w:rPr>
                <w:rFonts w:cs="Times New Roman"/>
                <w:szCs w:val="24"/>
              </w:rPr>
            </w:pPr>
            <w:r w:rsidRPr="00AC1055">
              <w:rPr>
                <w:rFonts w:cs="Times New Roman"/>
                <w:szCs w:val="24"/>
              </w:rPr>
              <w:t>0.010709</w:t>
            </w:r>
          </w:p>
        </w:tc>
        <w:tc>
          <w:tcPr>
            <w:tcW w:w="1276" w:type="dxa"/>
            <w:noWrap/>
            <w:hideMark/>
          </w:tcPr>
          <w:p w14:paraId="689B3C08" w14:textId="77777777" w:rsidR="00413229" w:rsidRPr="00AC1055" w:rsidRDefault="00413229" w:rsidP="00413229">
            <w:pPr>
              <w:jc w:val="center"/>
              <w:rPr>
                <w:rFonts w:cs="Times New Roman"/>
                <w:szCs w:val="24"/>
              </w:rPr>
            </w:pPr>
            <w:r w:rsidRPr="00AC1055">
              <w:rPr>
                <w:rFonts w:cs="Times New Roman"/>
                <w:szCs w:val="24"/>
              </w:rPr>
              <w:t>0.269808</w:t>
            </w:r>
          </w:p>
        </w:tc>
        <w:tc>
          <w:tcPr>
            <w:tcW w:w="1276" w:type="dxa"/>
            <w:noWrap/>
            <w:hideMark/>
          </w:tcPr>
          <w:p w14:paraId="265ADBF8" w14:textId="77777777" w:rsidR="00413229" w:rsidRPr="00AC1055" w:rsidRDefault="00413229" w:rsidP="00413229">
            <w:pPr>
              <w:jc w:val="center"/>
              <w:rPr>
                <w:rFonts w:cs="Times New Roman"/>
                <w:szCs w:val="24"/>
              </w:rPr>
            </w:pPr>
            <w:r w:rsidRPr="00AC1055">
              <w:rPr>
                <w:rFonts w:cs="Times New Roman"/>
                <w:szCs w:val="24"/>
              </w:rPr>
              <w:t>0.044918</w:t>
            </w:r>
          </w:p>
        </w:tc>
        <w:tc>
          <w:tcPr>
            <w:tcW w:w="1275" w:type="dxa"/>
            <w:noWrap/>
            <w:hideMark/>
          </w:tcPr>
          <w:p w14:paraId="06B58380" w14:textId="77777777" w:rsidR="00413229" w:rsidRPr="00AC1055" w:rsidRDefault="00413229" w:rsidP="00413229">
            <w:pPr>
              <w:jc w:val="center"/>
              <w:rPr>
                <w:rFonts w:cs="Times New Roman"/>
                <w:szCs w:val="24"/>
              </w:rPr>
            </w:pPr>
            <w:r w:rsidRPr="00AC1055">
              <w:rPr>
                <w:rFonts w:cs="Times New Roman"/>
                <w:szCs w:val="24"/>
              </w:rPr>
              <w:t>-0.0278</w:t>
            </w:r>
          </w:p>
        </w:tc>
        <w:tc>
          <w:tcPr>
            <w:tcW w:w="1276" w:type="dxa"/>
            <w:noWrap/>
            <w:hideMark/>
          </w:tcPr>
          <w:p w14:paraId="7C828722" w14:textId="77777777" w:rsidR="00413229" w:rsidRPr="00AC1055" w:rsidRDefault="00413229" w:rsidP="00413229">
            <w:pPr>
              <w:jc w:val="center"/>
              <w:rPr>
                <w:rFonts w:cs="Times New Roman"/>
                <w:szCs w:val="24"/>
              </w:rPr>
            </w:pPr>
            <w:r w:rsidRPr="00AC1055">
              <w:rPr>
                <w:rFonts w:cs="Times New Roman"/>
                <w:szCs w:val="24"/>
              </w:rPr>
              <w:t>1.58E-09</w:t>
            </w:r>
          </w:p>
        </w:tc>
        <w:tc>
          <w:tcPr>
            <w:tcW w:w="1116" w:type="dxa"/>
            <w:noWrap/>
            <w:hideMark/>
          </w:tcPr>
          <w:p w14:paraId="3687280D" w14:textId="77777777" w:rsidR="00413229" w:rsidRPr="00AC1055" w:rsidRDefault="00413229" w:rsidP="00413229">
            <w:pPr>
              <w:jc w:val="center"/>
              <w:rPr>
                <w:rFonts w:cs="Times New Roman"/>
                <w:szCs w:val="24"/>
                <w:u w:val="single"/>
              </w:rPr>
            </w:pPr>
            <w:r w:rsidRPr="00AC1055">
              <w:rPr>
                <w:rFonts w:cs="Times New Roman"/>
                <w:szCs w:val="24"/>
                <w:u w:val="single"/>
              </w:rPr>
              <w:t>0.201662</w:t>
            </w:r>
          </w:p>
        </w:tc>
        <w:tc>
          <w:tcPr>
            <w:tcW w:w="1116" w:type="dxa"/>
            <w:noWrap/>
            <w:hideMark/>
          </w:tcPr>
          <w:p w14:paraId="7A184892" w14:textId="77777777" w:rsidR="00413229" w:rsidRPr="00AC1055" w:rsidRDefault="00413229" w:rsidP="00413229">
            <w:pPr>
              <w:jc w:val="center"/>
              <w:rPr>
                <w:rFonts w:cs="Times New Roman"/>
                <w:szCs w:val="24"/>
              </w:rPr>
            </w:pPr>
            <w:r w:rsidRPr="00AC1055">
              <w:rPr>
                <w:rFonts w:cs="Times New Roman"/>
                <w:szCs w:val="24"/>
              </w:rPr>
              <w:t>2.85E-05</w:t>
            </w:r>
          </w:p>
        </w:tc>
        <w:tc>
          <w:tcPr>
            <w:tcW w:w="1365" w:type="dxa"/>
            <w:noWrap/>
            <w:hideMark/>
          </w:tcPr>
          <w:p w14:paraId="10A4FEAE" w14:textId="77777777" w:rsidR="00413229" w:rsidRPr="00AC1055" w:rsidRDefault="00413229" w:rsidP="00413229">
            <w:pPr>
              <w:jc w:val="center"/>
              <w:rPr>
                <w:rFonts w:cs="Times New Roman"/>
                <w:szCs w:val="24"/>
              </w:rPr>
            </w:pPr>
            <w:r w:rsidRPr="00AC1055">
              <w:rPr>
                <w:rFonts w:cs="Times New Roman"/>
                <w:szCs w:val="24"/>
              </w:rPr>
              <w:t>0.000148</w:t>
            </w:r>
          </w:p>
        </w:tc>
        <w:tc>
          <w:tcPr>
            <w:tcW w:w="1134" w:type="dxa"/>
            <w:noWrap/>
            <w:hideMark/>
          </w:tcPr>
          <w:p w14:paraId="24CB136F" w14:textId="77777777" w:rsidR="00413229" w:rsidRPr="00AC1055" w:rsidRDefault="00413229" w:rsidP="00413229">
            <w:pPr>
              <w:jc w:val="center"/>
              <w:rPr>
                <w:rFonts w:cs="Times New Roman"/>
                <w:szCs w:val="24"/>
                <w:u w:val="single"/>
              </w:rPr>
            </w:pPr>
            <w:r w:rsidRPr="00AC1055">
              <w:rPr>
                <w:rFonts w:cs="Times New Roman"/>
                <w:szCs w:val="24"/>
                <w:u w:val="single"/>
              </w:rPr>
              <w:t>0.774833</w:t>
            </w:r>
          </w:p>
        </w:tc>
      </w:tr>
      <w:tr w:rsidR="00413229" w:rsidRPr="00AC1055" w14:paraId="70A4D24B" w14:textId="77777777" w:rsidTr="00413229">
        <w:trPr>
          <w:trHeight w:val="300"/>
        </w:trPr>
        <w:tc>
          <w:tcPr>
            <w:tcW w:w="1526" w:type="dxa"/>
          </w:tcPr>
          <w:p w14:paraId="4DB0AD38" w14:textId="77777777" w:rsidR="00413229" w:rsidRPr="00AC1055" w:rsidRDefault="00413229" w:rsidP="00413229">
            <w:pPr>
              <w:jc w:val="center"/>
              <w:rPr>
                <w:rFonts w:cs="Times New Roman"/>
                <w:szCs w:val="24"/>
              </w:rPr>
            </w:pPr>
            <w:r w:rsidRPr="00AC1055">
              <w:rPr>
                <w:rFonts w:cs="Times New Roman"/>
                <w:szCs w:val="24"/>
              </w:rPr>
              <w:t>Pakistan</w:t>
            </w:r>
          </w:p>
        </w:tc>
        <w:tc>
          <w:tcPr>
            <w:tcW w:w="1417" w:type="dxa"/>
            <w:noWrap/>
            <w:hideMark/>
          </w:tcPr>
          <w:p w14:paraId="0DF22D4A" w14:textId="77777777" w:rsidR="00413229" w:rsidRPr="00AC1055" w:rsidRDefault="00413229" w:rsidP="00413229">
            <w:pPr>
              <w:jc w:val="center"/>
              <w:rPr>
                <w:rFonts w:cs="Times New Roman"/>
                <w:szCs w:val="24"/>
              </w:rPr>
            </w:pPr>
            <w:r w:rsidRPr="00AC1055">
              <w:rPr>
                <w:rFonts w:cs="Times New Roman"/>
                <w:szCs w:val="24"/>
              </w:rPr>
              <w:t>-0.3114</w:t>
            </w:r>
          </w:p>
        </w:tc>
        <w:tc>
          <w:tcPr>
            <w:tcW w:w="1276" w:type="dxa"/>
            <w:noWrap/>
            <w:hideMark/>
          </w:tcPr>
          <w:p w14:paraId="1EC03199" w14:textId="77777777" w:rsidR="00413229" w:rsidRPr="00AC1055" w:rsidRDefault="00413229" w:rsidP="00413229">
            <w:pPr>
              <w:jc w:val="center"/>
              <w:rPr>
                <w:rFonts w:cs="Times New Roman"/>
                <w:szCs w:val="24"/>
              </w:rPr>
            </w:pPr>
            <w:r w:rsidRPr="00AC1055">
              <w:rPr>
                <w:rFonts w:cs="Times New Roman"/>
                <w:szCs w:val="24"/>
              </w:rPr>
              <w:t>0.074054</w:t>
            </w:r>
          </w:p>
        </w:tc>
        <w:tc>
          <w:tcPr>
            <w:tcW w:w="1276" w:type="dxa"/>
            <w:noWrap/>
            <w:hideMark/>
          </w:tcPr>
          <w:p w14:paraId="4E3B7985" w14:textId="77777777" w:rsidR="00413229" w:rsidRPr="00AC1055" w:rsidRDefault="00413229" w:rsidP="00413229">
            <w:pPr>
              <w:jc w:val="center"/>
              <w:rPr>
                <w:rFonts w:cs="Times New Roman"/>
                <w:szCs w:val="24"/>
              </w:rPr>
            </w:pPr>
            <w:r w:rsidRPr="00AC1055">
              <w:rPr>
                <w:rFonts w:cs="Times New Roman"/>
                <w:szCs w:val="24"/>
              </w:rPr>
              <w:t>0.37303</w:t>
            </w:r>
          </w:p>
        </w:tc>
        <w:tc>
          <w:tcPr>
            <w:tcW w:w="1276" w:type="dxa"/>
            <w:noWrap/>
            <w:hideMark/>
          </w:tcPr>
          <w:p w14:paraId="5AB1D355" w14:textId="77777777" w:rsidR="00413229" w:rsidRPr="00AC1055" w:rsidRDefault="00413229" w:rsidP="00413229">
            <w:pPr>
              <w:jc w:val="center"/>
              <w:rPr>
                <w:rFonts w:cs="Times New Roman"/>
                <w:szCs w:val="24"/>
              </w:rPr>
            </w:pPr>
            <w:r w:rsidRPr="00AC1055">
              <w:rPr>
                <w:rFonts w:cs="Times New Roman"/>
                <w:szCs w:val="24"/>
              </w:rPr>
              <w:t>0.051913</w:t>
            </w:r>
          </w:p>
        </w:tc>
        <w:tc>
          <w:tcPr>
            <w:tcW w:w="1275" w:type="dxa"/>
            <w:noWrap/>
            <w:hideMark/>
          </w:tcPr>
          <w:p w14:paraId="730552EB" w14:textId="77777777" w:rsidR="00413229" w:rsidRPr="00AC1055" w:rsidRDefault="00413229" w:rsidP="00413229">
            <w:pPr>
              <w:jc w:val="center"/>
              <w:rPr>
                <w:rFonts w:cs="Times New Roman"/>
                <w:szCs w:val="24"/>
              </w:rPr>
            </w:pPr>
            <w:r w:rsidRPr="00AC1055">
              <w:rPr>
                <w:rFonts w:cs="Times New Roman"/>
                <w:szCs w:val="24"/>
              </w:rPr>
              <w:t>0.406858</w:t>
            </w:r>
          </w:p>
        </w:tc>
        <w:tc>
          <w:tcPr>
            <w:tcW w:w="1276" w:type="dxa"/>
            <w:noWrap/>
            <w:hideMark/>
          </w:tcPr>
          <w:p w14:paraId="2E4B08EB" w14:textId="77777777" w:rsidR="00413229" w:rsidRPr="00AC1055" w:rsidRDefault="00413229" w:rsidP="00413229">
            <w:pPr>
              <w:jc w:val="center"/>
              <w:rPr>
                <w:rFonts w:cs="Times New Roman"/>
                <w:szCs w:val="24"/>
              </w:rPr>
            </w:pPr>
            <w:r w:rsidRPr="00AC1055">
              <w:rPr>
                <w:rFonts w:cs="Times New Roman"/>
                <w:szCs w:val="24"/>
              </w:rPr>
              <w:t>7.36E-15</w:t>
            </w:r>
          </w:p>
        </w:tc>
        <w:tc>
          <w:tcPr>
            <w:tcW w:w="1116" w:type="dxa"/>
            <w:noWrap/>
            <w:hideMark/>
          </w:tcPr>
          <w:p w14:paraId="0FA1E97A" w14:textId="77777777" w:rsidR="00413229" w:rsidRPr="00AC1055" w:rsidRDefault="00413229" w:rsidP="00413229">
            <w:pPr>
              <w:jc w:val="center"/>
              <w:rPr>
                <w:rFonts w:cs="Times New Roman"/>
                <w:szCs w:val="24"/>
              </w:rPr>
            </w:pPr>
            <w:r w:rsidRPr="00AC1055">
              <w:rPr>
                <w:rFonts w:cs="Times New Roman"/>
                <w:szCs w:val="24"/>
              </w:rPr>
              <w:t>2.67E-10</w:t>
            </w:r>
          </w:p>
        </w:tc>
        <w:tc>
          <w:tcPr>
            <w:tcW w:w="1116" w:type="dxa"/>
            <w:noWrap/>
            <w:hideMark/>
          </w:tcPr>
          <w:p w14:paraId="5186B972" w14:textId="77777777" w:rsidR="00413229" w:rsidRPr="00AC1055" w:rsidRDefault="00413229" w:rsidP="00413229">
            <w:pPr>
              <w:jc w:val="center"/>
              <w:rPr>
                <w:rFonts w:cs="Times New Roman"/>
                <w:szCs w:val="24"/>
              </w:rPr>
            </w:pPr>
            <w:r w:rsidRPr="00AC1055">
              <w:rPr>
                <w:rFonts w:cs="Times New Roman"/>
                <w:szCs w:val="24"/>
              </w:rPr>
              <w:t>7.25E-08</w:t>
            </w:r>
          </w:p>
        </w:tc>
        <w:tc>
          <w:tcPr>
            <w:tcW w:w="1365" w:type="dxa"/>
            <w:noWrap/>
            <w:hideMark/>
          </w:tcPr>
          <w:p w14:paraId="3885393C" w14:textId="77777777" w:rsidR="00413229" w:rsidRPr="00AC1055" w:rsidRDefault="00413229" w:rsidP="00413229">
            <w:pPr>
              <w:jc w:val="center"/>
              <w:rPr>
                <w:rFonts w:cs="Times New Roman"/>
                <w:szCs w:val="24"/>
              </w:rPr>
            </w:pPr>
            <w:r w:rsidRPr="00AC1055">
              <w:rPr>
                <w:rFonts w:cs="Times New Roman"/>
                <w:szCs w:val="24"/>
              </w:rPr>
              <w:t>2.14E-05</w:t>
            </w:r>
          </w:p>
        </w:tc>
        <w:tc>
          <w:tcPr>
            <w:tcW w:w="1134" w:type="dxa"/>
            <w:noWrap/>
            <w:hideMark/>
          </w:tcPr>
          <w:p w14:paraId="69F17F12" w14:textId="77777777" w:rsidR="00413229" w:rsidRPr="00AC1055" w:rsidRDefault="00413229" w:rsidP="00413229">
            <w:pPr>
              <w:jc w:val="center"/>
              <w:rPr>
                <w:rFonts w:cs="Times New Roman"/>
                <w:szCs w:val="24"/>
              </w:rPr>
            </w:pPr>
            <w:r w:rsidRPr="00AC1055">
              <w:rPr>
                <w:rFonts w:cs="Times New Roman"/>
                <w:szCs w:val="24"/>
              </w:rPr>
              <w:t>1.56E-06</w:t>
            </w:r>
          </w:p>
        </w:tc>
      </w:tr>
      <w:tr w:rsidR="00413229" w:rsidRPr="00AC1055" w14:paraId="42EF347E" w14:textId="77777777" w:rsidTr="00413229">
        <w:trPr>
          <w:trHeight w:val="300"/>
        </w:trPr>
        <w:tc>
          <w:tcPr>
            <w:tcW w:w="1526" w:type="dxa"/>
          </w:tcPr>
          <w:p w14:paraId="7E2471A4" w14:textId="77777777" w:rsidR="00413229" w:rsidRPr="00AC1055" w:rsidRDefault="00413229" w:rsidP="00413229">
            <w:pPr>
              <w:jc w:val="center"/>
              <w:rPr>
                <w:rFonts w:cs="Times New Roman"/>
                <w:szCs w:val="24"/>
              </w:rPr>
            </w:pPr>
            <w:r w:rsidRPr="00AC1055">
              <w:rPr>
                <w:rFonts w:cs="Times New Roman"/>
                <w:szCs w:val="24"/>
              </w:rPr>
              <w:t>Poland</w:t>
            </w:r>
          </w:p>
        </w:tc>
        <w:tc>
          <w:tcPr>
            <w:tcW w:w="1417" w:type="dxa"/>
            <w:noWrap/>
            <w:hideMark/>
          </w:tcPr>
          <w:p w14:paraId="57289E15" w14:textId="77777777" w:rsidR="00413229" w:rsidRPr="00AC1055" w:rsidRDefault="00413229" w:rsidP="00413229">
            <w:pPr>
              <w:jc w:val="center"/>
              <w:rPr>
                <w:rFonts w:cs="Times New Roman"/>
                <w:szCs w:val="24"/>
              </w:rPr>
            </w:pPr>
            <w:r w:rsidRPr="00AC1055">
              <w:rPr>
                <w:rFonts w:cs="Times New Roman"/>
                <w:szCs w:val="24"/>
              </w:rPr>
              <w:t>-0.2897</w:t>
            </w:r>
          </w:p>
        </w:tc>
        <w:tc>
          <w:tcPr>
            <w:tcW w:w="1276" w:type="dxa"/>
            <w:noWrap/>
            <w:hideMark/>
          </w:tcPr>
          <w:p w14:paraId="4C456F0F" w14:textId="77777777" w:rsidR="00413229" w:rsidRPr="00AC1055" w:rsidRDefault="00413229" w:rsidP="00413229">
            <w:pPr>
              <w:jc w:val="center"/>
              <w:rPr>
                <w:rFonts w:cs="Times New Roman"/>
                <w:szCs w:val="24"/>
              </w:rPr>
            </w:pPr>
            <w:r w:rsidRPr="00AC1055">
              <w:rPr>
                <w:rFonts w:cs="Times New Roman"/>
                <w:szCs w:val="24"/>
              </w:rPr>
              <w:t>0.046818</w:t>
            </w:r>
          </w:p>
        </w:tc>
        <w:tc>
          <w:tcPr>
            <w:tcW w:w="1276" w:type="dxa"/>
            <w:noWrap/>
            <w:hideMark/>
          </w:tcPr>
          <w:p w14:paraId="1EC26DB7" w14:textId="77777777" w:rsidR="00413229" w:rsidRPr="00AC1055" w:rsidRDefault="00413229" w:rsidP="00413229">
            <w:pPr>
              <w:jc w:val="center"/>
              <w:rPr>
                <w:rFonts w:cs="Times New Roman"/>
                <w:szCs w:val="24"/>
              </w:rPr>
            </w:pPr>
            <w:r w:rsidRPr="00AC1055">
              <w:rPr>
                <w:rFonts w:cs="Times New Roman"/>
                <w:szCs w:val="24"/>
              </w:rPr>
              <w:t>0.470849</w:t>
            </w:r>
          </w:p>
        </w:tc>
        <w:tc>
          <w:tcPr>
            <w:tcW w:w="1276" w:type="dxa"/>
            <w:noWrap/>
            <w:hideMark/>
          </w:tcPr>
          <w:p w14:paraId="23F7C219" w14:textId="77777777" w:rsidR="00413229" w:rsidRPr="00AC1055" w:rsidRDefault="00413229" w:rsidP="00413229">
            <w:pPr>
              <w:jc w:val="center"/>
              <w:rPr>
                <w:rFonts w:cs="Times New Roman"/>
                <w:szCs w:val="24"/>
              </w:rPr>
            </w:pPr>
            <w:r w:rsidRPr="00AC1055">
              <w:rPr>
                <w:rFonts w:cs="Times New Roman"/>
                <w:szCs w:val="24"/>
              </w:rPr>
              <w:t>0.083779</w:t>
            </w:r>
          </w:p>
        </w:tc>
        <w:tc>
          <w:tcPr>
            <w:tcW w:w="1275" w:type="dxa"/>
            <w:noWrap/>
            <w:hideMark/>
          </w:tcPr>
          <w:p w14:paraId="72DE10E5" w14:textId="77777777" w:rsidR="00413229" w:rsidRPr="00AC1055" w:rsidRDefault="00413229" w:rsidP="00413229">
            <w:pPr>
              <w:jc w:val="center"/>
              <w:rPr>
                <w:rFonts w:cs="Times New Roman"/>
                <w:szCs w:val="24"/>
              </w:rPr>
            </w:pPr>
            <w:r w:rsidRPr="00AC1055">
              <w:rPr>
                <w:rFonts w:cs="Times New Roman"/>
                <w:szCs w:val="24"/>
              </w:rPr>
              <w:t>0.393734</w:t>
            </w:r>
          </w:p>
        </w:tc>
        <w:tc>
          <w:tcPr>
            <w:tcW w:w="1276" w:type="dxa"/>
            <w:noWrap/>
            <w:hideMark/>
          </w:tcPr>
          <w:p w14:paraId="4C3B1CE6" w14:textId="77777777" w:rsidR="00413229" w:rsidRPr="00AC1055" w:rsidRDefault="00413229" w:rsidP="00413229">
            <w:pPr>
              <w:jc w:val="center"/>
              <w:rPr>
                <w:rFonts w:cs="Times New Roman"/>
                <w:szCs w:val="24"/>
              </w:rPr>
            </w:pPr>
            <w:r w:rsidRPr="00AC1055">
              <w:rPr>
                <w:rFonts w:cs="Times New Roman"/>
                <w:szCs w:val="24"/>
              </w:rPr>
              <w:t>2.33E-21</w:t>
            </w:r>
          </w:p>
        </w:tc>
        <w:tc>
          <w:tcPr>
            <w:tcW w:w="1116" w:type="dxa"/>
            <w:noWrap/>
            <w:hideMark/>
          </w:tcPr>
          <w:p w14:paraId="12D07933" w14:textId="77777777" w:rsidR="00413229" w:rsidRPr="00AC1055" w:rsidRDefault="00413229" w:rsidP="00413229">
            <w:pPr>
              <w:jc w:val="center"/>
              <w:rPr>
                <w:rFonts w:cs="Times New Roman"/>
                <w:szCs w:val="24"/>
              </w:rPr>
            </w:pPr>
            <w:r w:rsidRPr="00AC1055">
              <w:rPr>
                <w:rFonts w:cs="Times New Roman"/>
                <w:szCs w:val="24"/>
              </w:rPr>
              <w:t>4.52E-15</w:t>
            </w:r>
          </w:p>
        </w:tc>
        <w:tc>
          <w:tcPr>
            <w:tcW w:w="1116" w:type="dxa"/>
            <w:noWrap/>
            <w:hideMark/>
          </w:tcPr>
          <w:p w14:paraId="62C6649B" w14:textId="77777777" w:rsidR="00413229" w:rsidRPr="00AC1055" w:rsidRDefault="00413229" w:rsidP="00413229">
            <w:pPr>
              <w:jc w:val="center"/>
              <w:rPr>
                <w:rFonts w:cs="Times New Roman"/>
                <w:szCs w:val="24"/>
              </w:rPr>
            </w:pPr>
            <w:r w:rsidRPr="00AC1055">
              <w:rPr>
                <w:rFonts w:cs="Times New Roman"/>
                <w:szCs w:val="24"/>
              </w:rPr>
              <w:t>1.86E-10</w:t>
            </w:r>
          </w:p>
        </w:tc>
        <w:tc>
          <w:tcPr>
            <w:tcW w:w="1365" w:type="dxa"/>
            <w:noWrap/>
            <w:hideMark/>
          </w:tcPr>
          <w:p w14:paraId="700E684B" w14:textId="77777777" w:rsidR="00413229" w:rsidRPr="00AC1055" w:rsidRDefault="00413229" w:rsidP="00413229">
            <w:pPr>
              <w:jc w:val="center"/>
              <w:rPr>
                <w:rFonts w:cs="Times New Roman"/>
                <w:szCs w:val="24"/>
              </w:rPr>
            </w:pPr>
            <w:r w:rsidRPr="00AC1055">
              <w:rPr>
                <w:rFonts w:cs="Times New Roman"/>
                <w:szCs w:val="24"/>
              </w:rPr>
              <w:t>1.97E-16</w:t>
            </w:r>
          </w:p>
        </w:tc>
        <w:tc>
          <w:tcPr>
            <w:tcW w:w="1134" w:type="dxa"/>
            <w:noWrap/>
            <w:hideMark/>
          </w:tcPr>
          <w:p w14:paraId="73C40B37" w14:textId="77777777" w:rsidR="00413229" w:rsidRPr="00AC1055" w:rsidRDefault="00413229" w:rsidP="00413229">
            <w:pPr>
              <w:jc w:val="center"/>
              <w:rPr>
                <w:rFonts w:cs="Times New Roman"/>
                <w:szCs w:val="24"/>
              </w:rPr>
            </w:pPr>
            <w:r w:rsidRPr="00AC1055">
              <w:rPr>
                <w:rFonts w:cs="Times New Roman"/>
                <w:szCs w:val="24"/>
              </w:rPr>
              <w:t>8.20E-09</w:t>
            </w:r>
          </w:p>
        </w:tc>
      </w:tr>
      <w:tr w:rsidR="00413229" w:rsidRPr="00AC1055" w14:paraId="6149FE5B" w14:textId="77777777" w:rsidTr="00413229">
        <w:trPr>
          <w:trHeight w:val="300"/>
        </w:trPr>
        <w:tc>
          <w:tcPr>
            <w:tcW w:w="1526" w:type="dxa"/>
          </w:tcPr>
          <w:p w14:paraId="6DBD94D2" w14:textId="77777777" w:rsidR="00413229" w:rsidRPr="00AC1055" w:rsidRDefault="00413229" w:rsidP="00413229">
            <w:pPr>
              <w:jc w:val="center"/>
              <w:rPr>
                <w:rFonts w:cs="Times New Roman"/>
                <w:szCs w:val="24"/>
              </w:rPr>
            </w:pPr>
            <w:r w:rsidRPr="00AC1055">
              <w:rPr>
                <w:rFonts w:cs="Times New Roman"/>
                <w:szCs w:val="24"/>
              </w:rPr>
              <w:t>Russia</w:t>
            </w:r>
          </w:p>
        </w:tc>
        <w:tc>
          <w:tcPr>
            <w:tcW w:w="1417" w:type="dxa"/>
            <w:noWrap/>
            <w:hideMark/>
          </w:tcPr>
          <w:p w14:paraId="1D032E55" w14:textId="77777777" w:rsidR="00413229" w:rsidRPr="00AC1055" w:rsidRDefault="00413229" w:rsidP="00413229">
            <w:pPr>
              <w:jc w:val="center"/>
              <w:rPr>
                <w:rFonts w:cs="Times New Roman"/>
                <w:szCs w:val="24"/>
              </w:rPr>
            </w:pPr>
            <w:r w:rsidRPr="00AC1055">
              <w:rPr>
                <w:rFonts w:cs="Times New Roman"/>
                <w:szCs w:val="24"/>
              </w:rPr>
              <w:t>-0.24547</w:t>
            </w:r>
          </w:p>
        </w:tc>
        <w:tc>
          <w:tcPr>
            <w:tcW w:w="1276" w:type="dxa"/>
            <w:noWrap/>
            <w:hideMark/>
          </w:tcPr>
          <w:p w14:paraId="1E1537E4" w14:textId="77777777" w:rsidR="00413229" w:rsidRPr="00AC1055" w:rsidRDefault="00413229" w:rsidP="00413229">
            <w:pPr>
              <w:jc w:val="center"/>
              <w:rPr>
                <w:rFonts w:cs="Times New Roman"/>
                <w:szCs w:val="24"/>
              </w:rPr>
            </w:pPr>
            <w:r w:rsidRPr="00AC1055">
              <w:rPr>
                <w:rFonts w:cs="Times New Roman"/>
                <w:szCs w:val="24"/>
              </w:rPr>
              <w:t>0.064273</w:t>
            </w:r>
          </w:p>
        </w:tc>
        <w:tc>
          <w:tcPr>
            <w:tcW w:w="1276" w:type="dxa"/>
            <w:noWrap/>
            <w:hideMark/>
          </w:tcPr>
          <w:p w14:paraId="2F0DE478" w14:textId="77777777" w:rsidR="00413229" w:rsidRPr="00AC1055" w:rsidRDefault="00413229" w:rsidP="00413229">
            <w:pPr>
              <w:jc w:val="center"/>
              <w:rPr>
                <w:rFonts w:cs="Times New Roman"/>
                <w:szCs w:val="24"/>
              </w:rPr>
            </w:pPr>
            <w:r w:rsidRPr="00AC1055">
              <w:rPr>
                <w:rFonts w:cs="Times New Roman"/>
                <w:szCs w:val="24"/>
              </w:rPr>
              <w:t>0.411433</w:t>
            </w:r>
          </w:p>
        </w:tc>
        <w:tc>
          <w:tcPr>
            <w:tcW w:w="1276" w:type="dxa"/>
            <w:noWrap/>
            <w:hideMark/>
          </w:tcPr>
          <w:p w14:paraId="4302A3BD" w14:textId="77777777" w:rsidR="00413229" w:rsidRPr="00AC1055" w:rsidRDefault="00413229" w:rsidP="00413229">
            <w:pPr>
              <w:jc w:val="center"/>
              <w:rPr>
                <w:rFonts w:cs="Times New Roman"/>
                <w:szCs w:val="24"/>
              </w:rPr>
            </w:pPr>
            <w:r w:rsidRPr="00AC1055">
              <w:rPr>
                <w:rFonts w:cs="Times New Roman"/>
                <w:szCs w:val="24"/>
              </w:rPr>
              <w:t>0.086978</w:t>
            </w:r>
          </w:p>
        </w:tc>
        <w:tc>
          <w:tcPr>
            <w:tcW w:w="1275" w:type="dxa"/>
            <w:noWrap/>
            <w:hideMark/>
          </w:tcPr>
          <w:p w14:paraId="575062D3" w14:textId="77777777" w:rsidR="00413229" w:rsidRPr="00AC1055" w:rsidRDefault="00413229" w:rsidP="00413229">
            <w:pPr>
              <w:jc w:val="center"/>
              <w:rPr>
                <w:rFonts w:cs="Times New Roman"/>
                <w:szCs w:val="24"/>
              </w:rPr>
            </w:pPr>
            <w:r w:rsidRPr="00AC1055">
              <w:rPr>
                <w:rFonts w:cs="Times New Roman"/>
                <w:szCs w:val="24"/>
              </w:rPr>
              <w:t>0.451778</w:t>
            </w:r>
          </w:p>
        </w:tc>
        <w:tc>
          <w:tcPr>
            <w:tcW w:w="1276" w:type="dxa"/>
            <w:noWrap/>
            <w:hideMark/>
          </w:tcPr>
          <w:p w14:paraId="41EC1856" w14:textId="77777777" w:rsidR="00413229" w:rsidRPr="00AC1055" w:rsidRDefault="00413229" w:rsidP="00413229">
            <w:pPr>
              <w:jc w:val="center"/>
              <w:rPr>
                <w:rFonts w:cs="Times New Roman"/>
                <w:szCs w:val="24"/>
              </w:rPr>
            </w:pPr>
            <w:r w:rsidRPr="00AC1055">
              <w:rPr>
                <w:rFonts w:cs="Times New Roman"/>
                <w:szCs w:val="24"/>
              </w:rPr>
              <w:t>1.46E-22</w:t>
            </w:r>
          </w:p>
        </w:tc>
        <w:tc>
          <w:tcPr>
            <w:tcW w:w="1116" w:type="dxa"/>
            <w:noWrap/>
            <w:hideMark/>
          </w:tcPr>
          <w:p w14:paraId="196E735C" w14:textId="77777777" w:rsidR="00413229" w:rsidRPr="00AC1055" w:rsidRDefault="00413229" w:rsidP="00413229">
            <w:pPr>
              <w:jc w:val="center"/>
              <w:rPr>
                <w:rFonts w:cs="Times New Roman"/>
                <w:szCs w:val="24"/>
              </w:rPr>
            </w:pPr>
            <w:r w:rsidRPr="00AC1055">
              <w:rPr>
                <w:rFonts w:cs="Times New Roman"/>
                <w:szCs w:val="24"/>
              </w:rPr>
              <w:t>2.63E-17</w:t>
            </w:r>
          </w:p>
        </w:tc>
        <w:tc>
          <w:tcPr>
            <w:tcW w:w="1116" w:type="dxa"/>
            <w:noWrap/>
            <w:hideMark/>
          </w:tcPr>
          <w:p w14:paraId="3D4C5B47" w14:textId="77777777" w:rsidR="00413229" w:rsidRPr="00AC1055" w:rsidRDefault="00413229" w:rsidP="00413229">
            <w:pPr>
              <w:jc w:val="center"/>
              <w:rPr>
                <w:rFonts w:cs="Times New Roman"/>
                <w:szCs w:val="24"/>
              </w:rPr>
            </w:pPr>
            <w:r w:rsidRPr="00AC1055">
              <w:rPr>
                <w:rFonts w:cs="Times New Roman"/>
                <w:szCs w:val="24"/>
              </w:rPr>
              <w:t>8.09E-26</w:t>
            </w:r>
          </w:p>
        </w:tc>
        <w:tc>
          <w:tcPr>
            <w:tcW w:w="1365" w:type="dxa"/>
            <w:noWrap/>
            <w:hideMark/>
          </w:tcPr>
          <w:p w14:paraId="355677E1" w14:textId="77777777" w:rsidR="00413229" w:rsidRPr="00AC1055" w:rsidRDefault="00413229" w:rsidP="00413229">
            <w:pPr>
              <w:jc w:val="center"/>
              <w:rPr>
                <w:rFonts w:cs="Times New Roman"/>
                <w:szCs w:val="24"/>
              </w:rPr>
            </w:pPr>
            <w:r w:rsidRPr="00AC1055">
              <w:rPr>
                <w:rFonts w:cs="Times New Roman"/>
                <w:szCs w:val="24"/>
              </w:rPr>
              <w:t>2.39E-18</w:t>
            </w:r>
          </w:p>
        </w:tc>
        <w:tc>
          <w:tcPr>
            <w:tcW w:w="1134" w:type="dxa"/>
            <w:noWrap/>
            <w:hideMark/>
          </w:tcPr>
          <w:p w14:paraId="5141B859" w14:textId="77777777" w:rsidR="00413229" w:rsidRPr="00AC1055" w:rsidRDefault="00413229" w:rsidP="00413229">
            <w:pPr>
              <w:jc w:val="center"/>
              <w:rPr>
                <w:rFonts w:cs="Times New Roman"/>
                <w:szCs w:val="24"/>
              </w:rPr>
            </w:pPr>
            <w:r w:rsidRPr="00AC1055">
              <w:rPr>
                <w:rFonts w:cs="Times New Roman"/>
                <w:szCs w:val="24"/>
              </w:rPr>
              <w:t>8.36E-21</w:t>
            </w:r>
          </w:p>
        </w:tc>
      </w:tr>
      <w:tr w:rsidR="00413229" w:rsidRPr="00AC1055" w14:paraId="42A06B53" w14:textId="77777777" w:rsidTr="00413229">
        <w:trPr>
          <w:trHeight w:val="300"/>
        </w:trPr>
        <w:tc>
          <w:tcPr>
            <w:tcW w:w="1526" w:type="dxa"/>
          </w:tcPr>
          <w:p w14:paraId="6EAFC298" w14:textId="77777777" w:rsidR="00413229" w:rsidRPr="00AC1055" w:rsidRDefault="00413229" w:rsidP="00413229">
            <w:pPr>
              <w:jc w:val="center"/>
              <w:rPr>
                <w:rFonts w:cs="Times New Roman"/>
                <w:szCs w:val="24"/>
              </w:rPr>
            </w:pPr>
            <w:r w:rsidRPr="00AC1055">
              <w:rPr>
                <w:rFonts w:cs="Times New Roman"/>
                <w:szCs w:val="24"/>
              </w:rPr>
              <w:t>Argentina</w:t>
            </w:r>
          </w:p>
        </w:tc>
        <w:tc>
          <w:tcPr>
            <w:tcW w:w="1417" w:type="dxa"/>
            <w:noWrap/>
            <w:hideMark/>
          </w:tcPr>
          <w:p w14:paraId="67C943BE" w14:textId="77777777" w:rsidR="00413229" w:rsidRPr="00AC1055" w:rsidRDefault="00413229" w:rsidP="00413229">
            <w:pPr>
              <w:jc w:val="center"/>
              <w:rPr>
                <w:rFonts w:cs="Times New Roman"/>
                <w:szCs w:val="24"/>
              </w:rPr>
            </w:pPr>
            <w:r w:rsidRPr="00AC1055">
              <w:rPr>
                <w:rFonts w:cs="Times New Roman"/>
                <w:szCs w:val="24"/>
              </w:rPr>
              <w:t>-0.32011</w:t>
            </w:r>
          </w:p>
        </w:tc>
        <w:tc>
          <w:tcPr>
            <w:tcW w:w="1276" w:type="dxa"/>
            <w:noWrap/>
            <w:hideMark/>
          </w:tcPr>
          <w:p w14:paraId="2F38B9E6" w14:textId="77777777" w:rsidR="00413229" w:rsidRPr="00AC1055" w:rsidRDefault="00413229" w:rsidP="00413229">
            <w:pPr>
              <w:jc w:val="center"/>
              <w:rPr>
                <w:rFonts w:cs="Times New Roman"/>
                <w:szCs w:val="24"/>
              </w:rPr>
            </w:pPr>
            <w:r w:rsidRPr="00AC1055">
              <w:rPr>
                <w:rFonts w:cs="Times New Roman"/>
                <w:szCs w:val="24"/>
              </w:rPr>
              <w:t>-0.08268</w:t>
            </w:r>
          </w:p>
        </w:tc>
        <w:tc>
          <w:tcPr>
            <w:tcW w:w="1276" w:type="dxa"/>
            <w:noWrap/>
            <w:hideMark/>
          </w:tcPr>
          <w:p w14:paraId="2E407948" w14:textId="77777777" w:rsidR="00413229" w:rsidRPr="00AC1055" w:rsidRDefault="00413229" w:rsidP="00413229">
            <w:pPr>
              <w:jc w:val="center"/>
              <w:rPr>
                <w:rFonts w:cs="Times New Roman"/>
                <w:szCs w:val="24"/>
              </w:rPr>
            </w:pPr>
            <w:r w:rsidRPr="00AC1055">
              <w:rPr>
                <w:rFonts w:cs="Times New Roman"/>
                <w:szCs w:val="24"/>
              </w:rPr>
              <w:t>0.311571</w:t>
            </w:r>
          </w:p>
        </w:tc>
        <w:tc>
          <w:tcPr>
            <w:tcW w:w="1276" w:type="dxa"/>
            <w:noWrap/>
            <w:hideMark/>
          </w:tcPr>
          <w:p w14:paraId="7A7998FE" w14:textId="77777777" w:rsidR="00413229" w:rsidRPr="00AC1055" w:rsidRDefault="00413229" w:rsidP="00413229">
            <w:pPr>
              <w:jc w:val="center"/>
              <w:rPr>
                <w:rFonts w:cs="Times New Roman"/>
                <w:szCs w:val="24"/>
              </w:rPr>
            </w:pPr>
            <w:r w:rsidRPr="00AC1055">
              <w:rPr>
                <w:rFonts w:cs="Times New Roman"/>
                <w:szCs w:val="24"/>
              </w:rPr>
              <w:t>0.149698</w:t>
            </w:r>
          </w:p>
        </w:tc>
        <w:tc>
          <w:tcPr>
            <w:tcW w:w="1275" w:type="dxa"/>
            <w:noWrap/>
            <w:hideMark/>
          </w:tcPr>
          <w:p w14:paraId="25EF404F" w14:textId="77777777" w:rsidR="00413229" w:rsidRPr="00AC1055" w:rsidRDefault="00413229" w:rsidP="00413229">
            <w:pPr>
              <w:jc w:val="center"/>
              <w:rPr>
                <w:rFonts w:cs="Times New Roman"/>
                <w:szCs w:val="24"/>
              </w:rPr>
            </w:pPr>
            <w:r w:rsidRPr="00AC1055">
              <w:rPr>
                <w:rFonts w:cs="Times New Roman"/>
                <w:szCs w:val="24"/>
              </w:rPr>
              <w:t>0.380249</w:t>
            </w:r>
          </w:p>
        </w:tc>
        <w:tc>
          <w:tcPr>
            <w:tcW w:w="1276" w:type="dxa"/>
            <w:noWrap/>
            <w:hideMark/>
          </w:tcPr>
          <w:p w14:paraId="6682F016" w14:textId="77777777" w:rsidR="00413229" w:rsidRPr="00AC1055" w:rsidRDefault="00413229" w:rsidP="00413229">
            <w:pPr>
              <w:jc w:val="center"/>
              <w:rPr>
                <w:rFonts w:cs="Times New Roman"/>
                <w:szCs w:val="24"/>
              </w:rPr>
            </w:pPr>
            <w:r w:rsidRPr="00AC1055">
              <w:rPr>
                <w:rFonts w:cs="Times New Roman"/>
                <w:szCs w:val="24"/>
              </w:rPr>
              <w:t>4.34E-13</w:t>
            </w:r>
          </w:p>
        </w:tc>
        <w:tc>
          <w:tcPr>
            <w:tcW w:w="1116" w:type="dxa"/>
            <w:noWrap/>
            <w:hideMark/>
          </w:tcPr>
          <w:p w14:paraId="48417095" w14:textId="77777777" w:rsidR="00413229" w:rsidRPr="00AC1055" w:rsidRDefault="00413229" w:rsidP="00413229">
            <w:pPr>
              <w:jc w:val="center"/>
              <w:rPr>
                <w:rFonts w:cs="Times New Roman"/>
                <w:szCs w:val="24"/>
              </w:rPr>
            </w:pPr>
            <w:r w:rsidRPr="00AC1055">
              <w:rPr>
                <w:rFonts w:cs="Times New Roman"/>
                <w:szCs w:val="24"/>
              </w:rPr>
              <w:t>5.32E-05</w:t>
            </w:r>
          </w:p>
        </w:tc>
        <w:tc>
          <w:tcPr>
            <w:tcW w:w="1116" w:type="dxa"/>
            <w:noWrap/>
            <w:hideMark/>
          </w:tcPr>
          <w:p w14:paraId="1188CFE2" w14:textId="77777777" w:rsidR="00413229" w:rsidRPr="00AC1055" w:rsidRDefault="00413229" w:rsidP="00413229">
            <w:pPr>
              <w:jc w:val="center"/>
              <w:rPr>
                <w:rFonts w:cs="Times New Roman"/>
                <w:szCs w:val="24"/>
              </w:rPr>
            </w:pPr>
            <w:r w:rsidRPr="00AC1055">
              <w:rPr>
                <w:rFonts w:cs="Times New Roman"/>
                <w:szCs w:val="24"/>
              </w:rPr>
              <w:t>9.83E-09</w:t>
            </w:r>
          </w:p>
        </w:tc>
        <w:tc>
          <w:tcPr>
            <w:tcW w:w="1365" w:type="dxa"/>
            <w:noWrap/>
            <w:hideMark/>
          </w:tcPr>
          <w:p w14:paraId="489BDD14" w14:textId="77777777" w:rsidR="00413229" w:rsidRPr="00AC1055" w:rsidRDefault="00413229" w:rsidP="00413229">
            <w:pPr>
              <w:jc w:val="center"/>
              <w:rPr>
                <w:rFonts w:cs="Times New Roman"/>
                <w:szCs w:val="24"/>
              </w:rPr>
            </w:pPr>
            <w:r w:rsidRPr="00AC1055">
              <w:rPr>
                <w:rFonts w:cs="Times New Roman"/>
                <w:szCs w:val="24"/>
              </w:rPr>
              <w:t>2.37E-07</w:t>
            </w:r>
          </w:p>
        </w:tc>
        <w:tc>
          <w:tcPr>
            <w:tcW w:w="1134" w:type="dxa"/>
            <w:noWrap/>
            <w:hideMark/>
          </w:tcPr>
          <w:p w14:paraId="1E7D2926" w14:textId="77777777" w:rsidR="00413229" w:rsidRPr="00AC1055" w:rsidRDefault="00413229" w:rsidP="00413229">
            <w:pPr>
              <w:jc w:val="center"/>
              <w:rPr>
                <w:rFonts w:cs="Times New Roman"/>
                <w:szCs w:val="24"/>
              </w:rPr>
            </w:pPr>
            <w:r w:rsidRPr="00AC1055">
              <w:rPr>
                <w:rFonts w:cs="Times New Roman"/>
                <w:szCs w:val="24"/>
              </w:rPr>
              <w:t>8.55E-06</w:t>
            </w:r>
          </w:p>
        </w:tc>
      </w:tr>
      <w:tr w:rsidR="00413229" w:rsidRPr="00AC1055" w14:paraId="2EA9F05F" w14:textId="77777777" w:rsidTr="00413229">
        <w:trPr>
          <w:trHeight w:val="300"/>
        </w:trPr>
        <w:tc>
          <w:tcPr>
            <w:tcW w:w="1526" w:type="dxa"/>
          </w:tcPr>
          <w:p w14:paraId="1F4224CC" w14:textId="77777777" w:rsidR="00413229" w:rsidRPr="00AC1055" w:rsidRDefault="00413229" w:rsidP="00413229">
            <w:pPr>
              <w:jc w:val="center"/>
              <w:rPr>
                <w:rFonts w:cs="Times New Roman"/>
                <w:szCs w:val="24"/>
              </w:rPr>
            </w:pPr>
            <w:r w:rsidRPr="00AC1055">
              <w:rPr>
                <w:rFonts w:cs="Times New Roman"/>
                <w:szCs w:val="24"/>
              </w:rPr>
              <w:t>South Africa</w:t>
            </w:r>
          </w:p>
        </w:tc>
        <w:tc>
          <w:tcPr>
            <w:tcW w:w="1417" w:type="dxa"/>
            <w:noWrap/>
            <w:hideMark/>
          </w:tcPr>
          <w:p w14:paraId="478A7130" w14:textId="77777777" w:rsidR="00413229" w:rsidRPr="00AC1055" w:rsidRDefault="00413229" w:rsidP="00413229">
            <w:pPr>
              <w:jc w:val="center"/>
              <w:rPr>
                <w:rFonts w:cs="Times New Roman"/>
                <w:szCs w:val="24"/>
              </w:rPr>
            </w:pPr>
            <w:r w:rsidRPr="00AC1055">
              <w:rPr>
                <w:rFonts w:cs="Times New Roman"/>
                <w:szCs w:val="24"/>
              </w:rPr>
              <w:t>-0.21902</w:t>
            </w:r>
          </w:p>
        </w:tc>
        <w:tc>
          <w:tcPr>
            <w:tcW w:w="1276" w:type="dxa"/>
            <w:noWrap/>
            <w:hideMark/>
          </w:tcPr>
          <w:p w14:paraId="2525186E" w14:textId="77777777" w:rsidR="00413229" w:rsidRPr="00AC1055" w:rsidRDefault="00413229" w:rsidP="00413229">
            <w:pPr>
              <w:jc w:val="center"/>
              <w:rPr>
                <w:rFonts w:cs="Times New Roman"/>
                <w:szCs w:val="24"/>
              </w:rPr>
            </w:pPr>
            <w:r w:rsidRPr="00AC1055">
              <w:rPr>
                <w:rFonts w:cs="Times New Roman"/>
                <w:szCs w:val="24"/>
              </w:rPr>
              <w:t>0.051184</w:t>
            </w:r>
          </w:p>
        </w:tc>
        <w:tc>
          <w:tcPr>
            <w:tcW w:w="1276" w:type="dxa"/>
            <w:noWrap/>
            <w:hideMark/>
          </w:tcPr>
          <w:p w14:paraId="1B26ED35" w14:textId="77777777" w:rsidR="00413229" w:rsidRPr="00AC1055" w:rsidRDefault="00413229" w:rsidP="00413229">
            <w:pPr>
              <w:jc w:val="center"/>
              <w:rPr>
                <w:rFonts w:cs="Times New Roman"/>
                <w:szCs w:val="24"/>
              </w:rPr>
            </w:pPr>
            <w:r w:rsidRPr="00AC1055">
              <w:rPr>
                <w:rFonts w:cs="Times New Roman"/>
                <w:szCs w:val="24"/>
              </w:rPr>
              <w:t>0.460795</w:t>
            </w:r>
          </w:p>
        </w:tc>
        <w:tc>
          <w:tcPr>
            <w:tcW w:w="1276" w:type="dxa"/>
            <w:noWrap/>
            <w:hideMark/>
          </w:tcPr>
          <w:p w14:paraId="3F66DB67" w14:textId="77777777" w:rsidR="00413229" w:rsidRPr="00AC1055" w:rsidRDefault="00413229" w:rsidP="00413229">
            <w:pPr>
              <w:jc w:val="center"/>
              <w:rPr>
                <w:rFonts w:cs="Times New Roman"/>
                <w:szCs w:val="24"/>
              </w:rPr>
            </w:pPr>
            <w:r w:rsidRPr="00AC1055">
              <w:rPr>
                <w:rFonts w:cs="Times New Roman"/>
                <w:szCs w:val="24"/>
              </w:rPr>
              <w:t>0.184856</w:t>
            </w:r>
          </w:p>
        </w:tc>
        <w:tc>
          <w:tcPr>
            <w:tcW w:w="1275" w:type="dxa"/>
            <w:noWrap/>
            <w:hideMark/>
          </w:tcPr>
          <w:p w14:paraId="67FBCD64" w14:textId="77777777" w:rsidR="00413229" w:rsidRPr="00AC1055" w:rsidRDefault="00413229" w:rsidP="00413229">
            <w:pPr>
              <w:jc w:val="center"/>
              <w:rPr>
                <w:rFonts w:cs="Times New Roman"/>
                <w:szCs w:val="24"/>
              </w:rPr>
            </w:pPr>
            <w:r w:rsidRPr="00AC1055">
              <w:rPr>
                <w:rFonts w:cs="Times New Roman"/>
                <w:szCs w:val="24"/>
              </w:rPr>
              <w:t>0.299026</w:t>
            </w:r>
          </w:p>
        </w:tc>
        <w:tc>
          <w:tcPr>
            <w:tcW w:w="1276" w:type="dxa"/>
            <w:noWrap/>
            <w:hideMark/>
          </w:tcPr>
          <w:p w14:paraId="42036067" w14:textId="77777777" w:rsidR="00413229" w:rsidRPr="00AC1055" w:rsidRDefault="00413229" w:rsidP="00413229">
            <w:pPr>
              <w:jc w:val="center"/>
              <w:rPr>
                <w:rFonts w:cs="Times New Roman"/>
                <w:szCs w:val="24"/>
              </w:rPr>
            </w:pPr>
            <w:r w:rsidRPr="00AC1055">
              <w:rPr>
                <w:rFonts w:cs="Times New Roman"/>
                <w:szCs w:val="24"/>
              </w:rPr>
              <w:t>1.22E-10</w:t>
            </w:r>
          </w:p>
        </w:tc>
        <w:tc>
          <w:tcPr>
            <w:tcW w:w="1116" w:type="dxa"/>
            <w:noWrap/>
            <w:hideMark/>
          </w:tcPr>
          <w:p w14:paraId="1696188D" w14:textId="77777777" w:rsidR="00413229" w:rsidRPr="00AC1055" w:rsidRDefault="00413229" w:rsidP="00413229">
            <w:pPr>
              <w:jc w:val="center"/>
              <w:rPr>
                <w:rFonts w:cs="Times New Roman"/>
                <w:szCs w:val="24"/>
              </w:rPr>
            </w:pPr>
            <w:r w:rsidRPr="00AC1055">
              <w:rPr>
                <w:rFonts w:cs="Times New Roman"/>
                <w:szCs w:val="24"/>
              </w:rPr>
              <w:t>2.44E-07</w:t>
            </w:r>
          </w:p>
        </w:tc>
        <w:tc>
          <w:tcPr>
            <w:tcW w:w="1116" w:type="dxa"/>
            <w:noWrap/>
            <w:hideMark/>
          </w:tcPr>
          <w:p w14:paraId="1738977E" w14:textId="77777777" w:rsidR="00413229" w:rsidRPr="00AC1055" w:rsidRDefault="00413229" w:rsidP="00413229">
            <w:pPr>
              <w:jc w:val="center"/>
              <w:rPr>
                <w:rFonts w:cs="Times New Roman"/>
                <w:szCs w:val="24"/>
              </w:rPr>
            </w:pPr>
            <w:r w:rsidRPr="00AC1055">
              <w:rPr>
                <w:rFonts w:cs="Times New Roman"/>
                <w:szCs w:val="24"/>
              </w:rPr>
              <w:t>0.000234</w:t>
            </w:r>
          </w:p>
        </w:tc>
        <w:tc>
          <w:tcPr>
            <w:tcW w:w="1365" w:type="dxa"/>
            <w:noWrap/>
            <w:hideMark/>
          </w:tcPr>
          <w:p w14:paraId="71186E13" w14:textId="77777777" w:rsidR="00413229" w:rsidRPr="00AC1055" w:rsidRDefault="00413229" w:rsidP="00413229">
            <w:pPr>
              <w:jc w:val="center"/>
              <w:rPr>
                <w:rFonts w:cs="Times New Roman"/>
                <w:szCs w:val="24"/>
              </w:rPr>
            </w:pPr>
            <w:r w:rsidRPr="00AC1055">
              <w:rPr>
                <w:rFonts w:cs="Times New Roman"/>
                <w:szCs w:val="24"/>
              </w:rPr>
              <w:t>1.35E-08</w:t>
            </w:r>
          </w:p>
        </w:tc>
        <w:tc>
          <w:tcPr>
            <w:tcW w:w="1134" w:type="dxa"/>
            <w:noWrap/>
            <w:hideMark/>
          </w:tcPr>
          <w:p w14:paraId="5143BCAC" w14:textId="77777777" w:rsidR="00413229" w:rsidRPr="00AC1055" w:rsidRDefault="00413229" w:rsidP="00413229">
            <w:pPr>
              <w:jc w:val="center"/>
              <w:rPr>
                <w:rFonts w:cs="Times New Roman"/>
                <w:szCs w:val="24"/>
              </w:rPr>
            </w:pPr>
            <w:r w:rsidRPr="00AC1055">
              <w:rPr>
                <w:rFonts w:cs="Times New Roman"/>
                <w:szCs w:val="24"/>
              </w:rPr>
              <w:t>0.013631</w:t>
            </w:r>
          </w:p>
        </w:tc>
      </w:tr>
      <w:tr w:rsidR="00413229" w:rsidRPr="00AC1055" w14:paraId="0DF68BB0" w14:textId="77777777" w:rsidTr="00413229">
        <w:trPr>
          <w:trHeight w:val="300"/>
        </w:trPr>
        <w:tc>
          <w:tcPr>
            <w:tcW w:w="1526" w:type="dxa"/>
          </w:tcPr>
          <w:p w14:paraId="487736D7" w14:textId="77777777" w:rsidR="00413229" w:rsidRPr="00AC1055" w:rsidRDefault="00413229" w:rsidP="00413229">
            <w:pPr>
              <w:jc w:val="center"/>
              <w:rPr>
                <w:rFonts w:cs="Times New Roman"/>
                <w:szCs w:val="24"/>
              </w:rPr>
            </w:pPr>
            <w:r w:rsidRPr="00AC1055">
              <w:rPr>
                <w:rFonts w:cs="Times New Roman"/>
                <w:szCs w:val="24"/>
              </w:rPr>
              <w:t>Iran</w:t>
            </w:r>
          </w:p>
        </w:tc>
        <w:tc>
          <w:tcPr>
            <w:tcW w:w="1417" w:type="dxa"/>
            <w:noWrap/>
            <w:hideMark/>
          </w:tcPr>
          <w:p w14:paraId="207FB724" w14:textId="77777777" w:rsidR="00413229" w:rsidRPr="00AC1055" w:rsidRDefault="00413229" w:rsidP="00413229">
            <w:pPr>
              <w:jc w:val="center"/>
              <w:rPr>
                <w:rFonts w:cs="Times New Roman"/>
                <w:szCs w:val="24"/>
              </w:rPr>
            </w:pPr>
            <w:r w:rsidRPr="00AC1055">
              <w:rPr>
                <w:rFonts w:cs="Times New Roman"/>
                <w:szCs w:val="24"/>
              </w:rPr>
              <w:t>-0.2807</w:t>
            </w:r>
          </w:p>
        </w:tc>
        <w:tc>
          <w:tcPr>
            <w:tcW w:w="1276" w:type="dxa"/>
            <w:noWrap/>
            <w:hideMark/>
          </w:tcPr>
          <w:p w14:paraId="5EA19C2B" w14:textId="77777777" w:rsidR="00413229" w:rsidRPr="00AC1055" w:rsidRDefault="00413229" w:rsidP="00413229">
            <w:pPr>
              <w:jc w:val="center"/>
              <w:rPr>
                <w:rFonts w:cs="Times New Roman"/>
                <w:szCs w:val="24"/>
              </w:rPr>
            </w:pPr>
            <w:r w:rsidRPr="00AC1055">
              <w:rPr>
                <w:rFonts w:cs="Times New Roman"/>
                <w:szCs w:val="24"/>
              </w:rPr>
              <w:t>-0.19914</w:t>
            </w:r>
          </w:p>
        </w:tc>
        <w:tc>
          <w:tcPr>
            <w:tcW w:w="1276" w:type="dxa"/>
            <w:noWrap/>
            <w:hideMark/>
          </w:tcPr>
          <w:p w14:paraId="78F11162" w14:textId="77777777" w:rsidR="00413229" w:rsidRPr="00AC1055" w:rsidRDefault="00413229" w:rsidP="00413229">
            <w:pPr>
              <w:jc w:val="center"/>
              <w:rPr>
                <w:rFonts w:cs="Times New Roman"/>
                <w:szCs w:val="24"/>
              </w:rPr>
            </w:pPr>
            <w:r w:rsidRPr="00AC1055">
              <w:rPr>
                <w:rFonts w:cs="Times New Roman"/>
                <w:szCs w:val="24"/>
              </w:rPr>
              <w:t>0.590959</w:t>
            </w:r>
          </w:p>
        </w:tc>
        <w:tc>
          <w:tcPr>
            <w:tcW w:w="1276" w:type="dxa"/>
            <w:noWrap/>
            <w:hideMark/>
          </w:tcPr>
          <w:p w14:paraId="5334CECB" w14:textId="77777777" w:rsidR="00413229" w:rsidRPr="00AC1055" w:rsidRDefault="00413229" w:rsidP="00413229">
            <w:pPr>
              <w:jc w:val="center"/>
              <w:rPr>
                <w:rFonts w:cs="Times New Roman"/>
                <w:szCs w:val="24"/>
              </w:rPr>
            </w:pPr>
            <w:r w:rsidRPr="00AC1055">
              <w:rPr>
                <w:rFonts w:cs="Times New Roman"/>
                <w:szCs w:val="24"/>
              </w:rPr>
              <w:t>0.122274</w:t>
            </w:r>
          </w:p>
        </w:tc>
        <w:tc>
          <w:tcPr>
            <w:tcW w:w="1275" w:type="dxa"/>
            <w:noWrap/>
            <w:hideMark/>
          </w:tcPr>
          <w:p w14:paraId="2BEE14B1" w14:textId="77777777" w:rsidR="00413229" w:rsidRPr="00AC1055" w:rsidRDefault="00413229" w:rsidP="00413229">
            <w:pPr>
              <w:jc w:val="center"/>
              <w:rPr>
                <w:rFonts w:cs="Times New Roman"/>
                <w:szCs w:val="24"/>
              </w:rPr>
            </w:pPr>
            <w:r w:rsidRPr="00AC1055">
              <w:rPr>
                <w:rFonts w:cs="Times New Roman"/>
                <w:szCs w:val="24"/>
              </w:rPr>
              <w:t>0.443141</w:t>
            </w:r>
          </w:p>
        </w:tc>
        <w:tc>
          <w:tcPr>
            <w:tcW w:w="1276" w:type="dxa"/>
            <w:noWrap/>
            <w:hideMark/>
          </w:tcPr>
          <w:p w14:paraId="679CA70F" w14:textId="77777777" w:rsidR="00413229" w:rsidRPr="00AC1055" w:rsidRDefault="00413229" w:rsidP="00413229">
            <w:pPr>
              <w:jc w:val="center"/>
              <w:rPr>
                <w:rFonts w:cs="Times New Roman"/>
                <w:szCs w:val="24"/>
              </w:rPr>
            </w:pPr>
            <w:r w:rsidRPr="00AC1055">
              <w:rPr>
                <w:rFonts w:cs="Times New Roman"/>
                <w:szCs w:val="24"/>
              </w:rPr>
              <w:t>1.15E-09</w:t>
            </w:r>
          </w:p>
        </w:tc>
        <w:tc>
          <w:tcPr>
            <w:tcW w:w="1116" w:type="dxa"/>
            <w:noWrap/>
            <w:hideMark/>
          </w:tcPr>
          <w:p w14:paraId="7FC1E5B4" w14:textId="77777777" w:rsidR="00413229" w:rsidRPr="00AC1055" w:rsidRDefault="00413229" w:rsidP="00413229">
            <w:pPr>
              <w:jc w:val="center"/>
              <w:rPr>
                <w:rFonts w:cs="Times New Roman"/>
                <w:szCs w:val="24"/>
              </w:rPr>
            </w:pPr>
            <w:r w:rsidRPr="00AC1055">
              <w:rPr>
                <w:rFonts w:cs="Times New Roman"/>
                <w:szCs w:val="24"/>
              </w:rPr>
              <w:t>8.23E-06</w:t>
            </w:r>
          </w:p>
        </w:tc>
        <w:tc>
          <w:tcPr>
            <w:tcW w:w="1116" w:type="dxa"/>
            <w:noWrap/>
            <w:hideMark/>
          </w:tcPr>
          <w:p w14:paraId="4C9622E0" w14:textId="77777777" w:rsidR="00413229" w:rsidRPr="00AC1055" w:rsidRDefault="00413229" w:rsidP="00413229">
            <w:pPr>
              <w:jc w:val="center"/>
              <w:rPr>
                <w:rFonts w:cs="Times New Roman"/>
                <w:szCs w:val="24"/>
              </w:rPr>
            </w:pPr>
            <w:r w:rsidRPr="00AC1055">
              <w:rPr>
                <w:rFonts w:cs="Times New Roman"/>
                <w:szCs w:val="24"/>
              </w:rPr>
              <w:t>1.41E-06</w:t>
            </w:r>
          </w:p>
        </w:tc>
        <w:tc>
          <w:tcPr>
            <w:tcW w:w="1365" w:type="dxa"/>
            <w:noWrap/>
            <w:hideMark/>
          </w:tcPr>
          <w:p w14:paraId="36C4C836" w14:textId="77777777" w:rsidR="00413229" w:rsidRPr="00AC1055" w:rsidRDefault="00413229" w:rsidP="00413229">
            <w:pPr>
              <w:jc w:val="center"/>
              <w:rPr>
                <w:rFonts w:cs="Times New Roman"/>
                <w:szCs w:val="24"/>
              </w:rPr>
            </w:pPr>
            <w:r w:rsidRPr="00AC1055">
              <w:rPr>
                <w:rFonts w:cs="Times New Roman"/>
                <w:szCs w:val="24"/>
              </w:rPr>
              <w:t>3.92E-08</w:t>
            </w:r>
          </w:p>
        </w:tc>
        <w:tc>
          <w:tcPr>
            <w:tcW w:w="1134" w:type="dxa"/>
            <w:noWrap/>
            <w:hideMark/>
          </w:tcPr>
          <w:p w14:paraId="36419B7B" w14:textId="77777777" w:rsidR="00413229" w:rsidRPr="00AC1055" w:rsidRDefault="00413229" w:rsidP="00413229">
            <w:pPr>
              <w:jc w:val="center"/>
              <w:rPr>
                <w:rFonts w:cs="Times New Roman"/>
                <w:szCs w:val="24"/>
              </w:rPr>
            </w:pPr>
            <w:r w:rsidRPr="00AC1055">
              <w:rPr>
                <w:rFonts w:cs="Times New Roman"/>
                <w:szCs w:val="24"/>
              </w:rPr>
              <w:t>5.44E-06</w:t>
            </w:r>
          </w:p>
        </w:tc>
      </w:tr>
      <w:tr w:rsidR="00413229" w:rsidRPr="00AC1055" w14:paraId="17171627" w14:textId="77777777" w:rsidTr="00413229">
        <w:trPr>
          <w:trHeight w:val="300"/>
        </w:trPr>
        <w:tc>
          <w:tcPr>
            <w:tcW w:w="1526" w:type="dxa"/>
          </w:tcPr>
          <w:p w14:paraId="465995C9" w14:textId="77777777" w:rsidR="00413229" w:rsidRPr="00AC1055" w:rsidRDefault="00413229" w:rsidP="00413229">
            <w:pPr>
              <w:jc w:val="center"/>
              <w:rPr>
                <w:rFonts w:cs="Times New Roman"/>
                <w:szCs w:val="24"/>
              </w:rPr>
            </w:pPr>
            <w:r w:rsidRPr="00AC1055">
              <w:rPr>
                <w:rFonts w:cs="Times New Roman"/>
                <w:szCs w:val="24"/>
              </w:rPr>
              <w:lastRenderedPageBreak/>
              <w:t>Kenya</w:t>
            </w:r>
          </w:p>
        </w:tc>
        <w:tc>
          <w:tcPr>
            <w:tcW w:w="1417" w:type="dxa"/>
            <w:noWrap/>
            <w:hideMark/>
          </w:tcPr>
          <w:p w14:paraId="75D4185B" w14:textId="77777777" w:rsidR="00413229" w:rsidRPr="00AC1055" w:rsidRDefault="00413229" w:rsidP="00413229">
            <w:pPr>
              <w:jc w:val="center"/>
              <w:rPr>
                <w:rFonts w:cs="Times New Roman"/>
                <w:szCs w:val="24"/>
              </w:rPr>
            </w:pPr>
            <w:r w:rsidRPr="00AC1055">
              <w:rPr>
                <w:rFonts w:cs="Times New Roman"/>
                <w:szCs w:val="24"/>
              </w:rPr>
              <w:t>-0.23664</w:t>
            </w:r>
          </w:p>
        </w:tc>
        <w:tc>
          <w:tcPr>
            <w:tcW w:w="1276" w:type="dxa"/>
            <w:noWrap/>
            <w:hideMark/>
          </w:tcPr>
          <w:p w14:paraId="64B7612E" w14:textId="77777777" w:rsidR="00413229" w:rsidRPr="00AC1055" w:rsidRDefault="00413229" w:rsidP="00413229">
            <w:pPr>
              <w:jc w:val="center"/>
              <w:rPr>
                <w:rFonts w:cs="Times New Roman"/>
                <w:szCs w:val="24"/>
              </w:rPr>
            </w:pPr>
            <w:r w:rsidRPr="00AC1055">
              <w:rPr>
                <w:rFonts w:cs="Times New Roman"/>
                <w:szCs w:val="24"/>
              </w:rPr>
              <w:t>0.049405</w:t>
            </w:r>
          </w:p>
        </w:tc>
        <w:tc>
          <w:tcPr>
            <w:tcW w:w="1276" w:type="dxa"/>
            <w:noWrap/>
            <w:hideMark/>
          </w:tcPr>
          <w:p w14:paraId="6A1800CB" w14:textId="77777777" w:rsidR="00413229" w:rsidRPr="00AC1055" w:rsidRDefault="00413229" w:rsidP="00413229">
            <w:pPr>
              <w:jc w:val="center"/>
              <w:rPr>
                <w:rFonts w:cs="Times New Roman"/>
                <w:szCs w:val="24"/>
              </w:rPr>
            </w:pPr>
            <w:r w:rsidRPr="00AC1055">
              <w:rPr>
                <w:rFonts w:cs="Times New Roman"/>
                <w:szCs w:val="24"/>
              </w:rPr>
              <w:t>0.377399</w:t>
            </w:r>
          </w:p>
        </w:tc>
        <w:tc>
          <w:tcPr>
            <w:tcW w:w="1276" w:type="dxa"/>
            <w:noWrap/>
            <w:hideMark/>
          </w:tcPr>
          <w:p w14:paraId="35E358D8" w14:textId="77777777" w:rsidR="00413229" w:rsidRPr="00AC1055" w:rsidRDefault="00413229" w:rsidP="00413229">
            <w:pPr>
              <w:jc w:val="center"/>
              <w:rPr>
                <w:rFonts w:cs="Times New Roman"/>
                <w:szCs w:val="24"/>
              </w:rPr>
            </w:pPr>
            <w:r w:rsidRPr="00AC1055">
              <w:rPr>
                <w:rFonts w:cs="Times New Roman"/>
                <w:szCs w:val="24"/>
              </w:rPr>
              <w:t>0.064134</w:t>
            </w:r>
          </w:p>
        </w:tc>
        <w:tc>
          <w:tcPr>
            <w:tcW w:w="1275" w:type="dxa"/>
            <w:noWrap/>
            <w:hideMark/>
          </w:tcPr>
          <w:p w14:paraId="6DD41BED" w14:textId="77777777" w:rsidR="00413229" w:rsidRPr="00AC1055" w:rsidRDefault="00413229" w:rsidP="00413229">
            <w:pPr>
              <w:jc w:val="center"/>
              <w:rPr>
                <w:rFonts w:cs="Times New Roman"/>
                <w:szCs w:val="24"/>
              </w:rPr>
            </w:pPr>
            <w:r w:rsidRPr="00AC1055">
              <w:rPr>
                <w:rFonts w:cs="Times New Roman"/>
                <w:szCs w:val="24"/>
              </w:rPr>
              <w:t>0.288727</w:t>
            </w:r>
          </w:p>
        </w:tc>
        <w:tc>
          <w:tcPr>
            <w:tcW w:w="1276" w:type="dxa"/>
            <w:noWrap/>
            <w:hideMark/>
          </w:tcPr>
          <w:p w14:paraId="7D403B8B" w14:textId="77777777" w:rsidR="00413229" w:rsidRPr="00AC1055" w:rsidRDefault="00413229" w:rsidP="00413229">
            <w:pPr>
              <w:jc w:val="center"/>
              <w:rPr>
                <w:rFonts w:cs="Times New Roman"/>
                <w:szCs w:val="24"/>
              </w:rPr>
            </w:pPr>
            <w:r w:rsidRPr="00AC1055">
              <w:rPr>
                <w:rFonts w:cs="Times New Roman"/>
                <w:szCs w:val="24"/>
              </w:rPr>
              <w:t>8.05E-09</w:t>
            </w:r>
          </w:p>
        </w:tc>
        <w:tc>
          <w:tcPr>
            <w:tcW w:w="1116" w:type="dxa"/>
            <w:noWrap/>
            <w:hideMark/>
          </w:tcPr>
          <w:p w14:paraId="24394BA5" w14:textId="77777777" w:rsidR="00413229" w:rsidRPr="00AC1055" w:rsidRDefault="00413229" w:rsidP="00413229">
            <w:pPr>
              <w:jc w:val="center"/>
              <w:rPr>
                <w:rFonts w:cs="Times New Roman"/>
                <w:szCs w:val="24"/>
              </w:rPr>
            </w:pPr>
            <w:r w:rsidRPr="00AC1055">
              <w:rPr>
                <w:rFonts w:cs="Times New Roman"/>
                <w:szCs w:val="24"/>
              </w:rPr>
              <w:t>3.40E-09</w:t>
            </w:r>
          </w:p>
        </w:tc>
        <w:tc>
          <w:tcPr>
            <w:tcW w:w="1116" w:type="dxa"/>
            <w:noWrap/>
            <w:hideMark/>
          </w:tcPr>
          <w:p w14:paraId="4517AE11" w14:textId="77777777" w:rsidR="00413229" w:rsidRPr="00AC1055" w:rsidRDefault="00413229" w:rsidP="00413229">
            <w:pPr>
              <w:jc w:val="center"/>
              <w:rPr>
                <w:rFonts w:cs="Times New Roman"/>
                <w:szCs w:val="24"/>
              </w:rPr>
            </w:pPr>
            <w:r w:rsidRPr="00AC1055">
              <w:rPr>
                <w:rFonts w:cs="Times New Roman"/>
                <w:szCs w:val="24"/>
              </w:rPr>
              <w:t>4.78E-08</w:t>
            </w:r>
          </w:p>
        </w:tc>
        <w:tc>
          <w:tcPr>
            <w:tcW w:w="1365" w:type="dxa"/>
            <w:noWrap/>
            <w:hideMark/>
          </w:tcPr>
          <w:p w14:paraId="387D93B3" w14:textId="77777777" w:rsidR="00413229" w:rsidRPr="00AC1055" w:rsidRDefault="00413229" w:rsidP="00413229">
            <w:pPr>
              <w:jc w:val="center"/>
              <w:rPr>
                <w:rFonts w:cs="Times New Roman"/>
                <w:szCs w:val="24"/>
              </w:rPr>
            </w:pPr>
            <w:r w:rsidRPr="00AC1055">
              <w:rPr>
                <w:rFonts w:cs="Times New Roman"/>
                <w:szCs w:val="24"/>
              </w:rPr>
              <w:t>1.38E-08</w:t>
            </w:r>
          </w:p>
        </w:tc>
        <w:tc>
          <w:tcPr>
            <w:tcW w:w="1134" w:type="dxa"/>
            <w:noWrap/>
            <w:hideMark/>
          </w:tcPr>
          <w:p w14:paraId="4498057B" w14:textId="77777777" w:rsidR="00413229" w:rsidRPr="00AC1055" w:rsidRDefault="00413229" w:rsidP="00413229">
            <w:pPr>
              <w:jc w:val="center"/>
              <w:rPr>
                <w:rFonts w:cs="Times New Roman"/>
                <w:szCs w:val="24"/>
              </w:rPr>
            </w:pPr>
            <w:r w:rsidRPr="00AC1055">
              <w:rPr>
                <w:rFonts w:cs="Times New Roman"/>
                <w:szCs w:val="24"/>
              </w:rPr>
              <w:t>5.31E-09</w:t>
            </w:r>
          </w:p>
        </w:tc>
      </w:tr>
      <w:tr w:rsidR="00413229" w:rsidRPr="00AC1055" w14:paraId="1866E4D3" w14:textId="77777777" w:rsidTr="00413229">
        <w:trPr>
          <w:trHeight w:val="300"/>
        </w:trPr>
        <w:tc>
          <w:tcPr>
            <w:tcW w:w="1526" w:type="dxa"/>
          </w:tcPr>
          <w:p w14:paraId="6BB9A12B" w14:textId="77777777" w:rsidR="00413229" w:rsidRPr="00AC1055" w:rsidRDefault="00413229" w:rsidP="00413229">
            <w:pPr>
              <w:jc w:val="center"/>
              <w:rPr>
                <w:rFonts w:cs="Times New Roman"/>
                <w:szCs w:val="24"/>
              </w:rPr>
            </w:pPr>
            <w:r w:rsidRPr="00AC1055">
              <w:rPr>
                <w:rFonts w:cs="Times New Roman"/>
                <w:szCs w:val="24"/>
              </w:rPr>
              <w:t>Nigeria</w:t>
            </w:r>
          </w:p>
        </w:tc>
        <w:tc>
          <w:tcPr>
            <w:tcW w:w="1417" w:type="dxa"/>
            <w:noWrap/>
            <w:hideMark/>
          </w:tcPr>
          <w:p w14:paraId="4B68E801" w14:textId="77777777" w:rsidR="00413229" w:rsidRPr="00AC1055" w:rsidRDefault="00413229" w:rsidP="00413229">
            <w:pPr>
              <w:jc w:val="center"/>
              <w:rPr>
                <w:rFonts w:cs="Times New Roman"/>
                <w:szCs w:val="24"/>
              </w:rPr>
            </w:pPr>
            <w:r w:rsidRPr="00AC1055">
              <w:rPr>
                <w:rFonts w:cs="Times New Roman"/>
                <w:szCs w:val="24"/>
              </w:rPr>
              <w:t>-0.45282</w:t>
            </w:r>
          </w:p>
        </w:tc>
        <w:tc>
          <w:tcPr>
            <w:tcW w:w="1276" w:type="dxa"/>
            <w:noWrap/>
            <w:hideMark/>
          </w:tcPr>
          <w:p w14:paraId="12995219" w14:textId="77777777" w:rsidR="00413229" w:rsidRPr="00AC1055" w:rsidRDefault="00413229" w:rsidP="00413229">
            <w:pPr>
              <w:jc w:val="center"/>
              <w:rPr>
                <w:rFonts w:cs="Times New Roman"/>
                <w:szCs w:val="24"/>
              </w:rPr>
            </w:pPr>
            <w:r w:rsidRPr="00AC1055">
              <w:rPr>
                <w:rFonts w:cs="Times New Roman"/>
                <w:szCs w:val="24"/>
              </w:rPr>
              <w:t>-0.01946</w:t>
            </w:r>
          </w:p>
        </w:tc>
        <w:tc>
          <w:tcPr>
            <w:tcW w:w="1276" w:type="dxa"/>
            <w:noWrap/>
            <w:hideMark/>
          </w:tcPr>
          <w:p w14:paraId="1EEF337E" w14:textId="77777777" w:rsidR="00413229" w:rsidRPr="00AC1055" w:rsidRDefault="00413229" w:rsidP="00413229">
            <w:pPr>
              <w:jc w:val="center"/>
              <w:rPr>
                <w:rFonts w:cs="Times New Roman"/>
                <w:szCs w:val="24"/>
              </w:rPr>
            </w:pPr>
            <w:r w:rsidRPr="00AC1055">
              <w:rPr>
                <w:rFonts w:cs="Times New Roman"/>
                <w:szCs w:val="24"/>
              </w:rPr>
              <w:t>-0.1454</w:t>
            </w:r>
          </w:p>
        </w:tc>
        <w:tc>
          <w:tcPr>
            <w:tcW w:w="1276" w:type="dxa"/>
            <w:noWrap/>
            <w:hideMark/>
          </w:tcPr>
          <w:p w14:paraId="59973B45" w14:textId="77777777" w:rsidR="00413229" w:rsidRPr="00AC1055" w:rsidRDefault="00413229" w:rsidP="00413229">
            <w:pPr>
              <w:jc w:val="center"/>
              <w:rPr>
                <w:rFonts w:cs="Times New Roman"/>
                <w:szCs w:val="24"/>
              </w:rPr>
            </w:pPr>
            <w:r w:rsidRPr="00AC1055">
              <w:rPr>
                <w:rFonts w:cs="Times New Roman"/>
                <w:szCs w:val="24"/>
              </w:rPr>
              <w:t>0.088249</w:t>
            </w:r>
          </w:p>
        </w:tc>
        <w:tc>
          <w:tcPr>
            <w:tcW w:w="1275" w:type="dxa"/>
            <w:noWrap/>
            <w:hideMark/>
          </w:tcPr>
          <w:p w14:paraId="19C99F62" w14:textId="77777777" w:rsidR="00413229" w:rsidRPr="00AC1055" w:rsidRDefault="00413229" w:rsidP="00413229">
            <w:pPr>
              <w:jc w:val="center"/>
              <w:rPr>
                <w:rFonts w:cs="Times New Roman"/>
                <w:szCs w:val="24"/>
              </w:rPr>
            </w:pPr>
            <w:r w:rsidRPr="00AC1055">
              <w:rPr>
                <w:rFonts w:cs="Times New Roman"/>
                <w:szCs w:val="24"/>
              </w:rPr>
              <w:t>-0.31805</w:t>
            </w:r>
          </w:p>
        </w:tc>
        <w:tc>
          <w:tcPr>
            <w:tcW w:w="1276" w:type="dxa"/>
            <w:noWrap/>
            <w:hideMark/>
          </w:tcPr>
          <w:p w14:paraId="66F439DB" w14:textId="77777777" w:rsidR="00413229" w:rsidRPr="00AC1055" w:rsidRDefault="00413229" w:rsidP="00413229">
            <w:pPr>
              <w:jc w:val="center"/>
              <w:rPr>
                <w:rFonts w:cs="Times New Roman"/>
                <w:szCs w:val="24"/>
              </w:rPr>
            </w:pPr>
            <w:r w:rsidRPr="00AC1055">
              <w:rPr>
                <w:rFonts w:cs="Times New Roman"/>
                <w:szCs w:val="24"/>
              </w:rPr>
              <w:t>0.039874</w:t>
            </w:r>
          </w:p>
        </w:tc>
        <w:tc>
          <w:tcPr>
            <w:tcW w:w="1116" w:type="dxa"/>
            <w:noWrap/>
            <w:hideMark/>
          </w:tcPr>
          <w:p w14:paraId="425C7CCC" w14:textId="77777777" w:rsidR="00413229" w:rsidRPr="00AC1055" w:rsidRDefault="00413229" w:rsidP="00413229">
            <w:pPr>
              <w:jc w:val="center"/>
              <w:rPr>
                <w:rFonts w:cs="Times New Roman"/>
                <w:szCs w:val="24"/>
                <w:u w:val="single"/>
              </w:rPr>
            </w:pPr>
            <w:r w:rsidRPr="00AC1055">
              <w:rPr>
                <w:rFonts w:cs="Times New Roman"/>
                <w:szCs w:val="24"/>
                <w:u w:val="single"/>
              </w:rPr>
              <w:t>0.911714</w:t>
            </w:r>
          </w:p>
        </w:tc>
        <w:tc>
          <w:tcPr>
            <w:tcW w:w="1116" w:type="dxa"/>
            <w:noWrap/>
            <w:hideMark/>
          </w:tcPr>
          <w:p w14:paraId="712C69B6" w14:textId="77777777" w:rsidR="00413229" w:rsidRPr="00AC1055" w:rsidRDefault="00413229" w:rsidP="00413229">
            <w:pPr>
              <w:jc w:val="center"/>
              <w:rPr>
                <w:rFonts w:cs="Times New Roman"/>
                <w:szCs w:val="24"/>
                <w:u w:val="single"/>
              </w:rPr>
            </w:pPr>
            <w:r w:rsidRPr="00AC1055">
              <w:rPr>
                <w:rFonts w:cs="Times New Roman"/>
                <w:szCs w:val="24"/>
                <w:u w:val="single"/>
              </w:rPr>
              <w:t>0.456527</w:t>
            </w:r>
          </w:p>
        </w:tc>
        <w:tc>
          <w:tcPr>
            <w:tcW w:w="1365" w:type="dxa"/>
            <w:noWrap/>
            <w:hideMark/>
          </w:tcPr>
          <w:p w14:paraId="4FE04F85" w14:textId="77777777" w:rsidR="00413229" w:rsidRPr="00AC1055" w:rsidRDefault="00413229" w:rsidP="00413229">
            <w:pPr>
              <w:jc w:val="center"/>
              <w:rPr>
                <w:rFonts w:cs="Times New Roman"/>
                <w:szCs w:val="24"/>
                <w:u w:val="single"/>
              </w:rPr>
            </w:pPr>
            <w:r w:rsidRPr="00AC1055">
              <w:rPr>
                <w:rFonts w:cs="Times New Roman"/>
                <w:szCs w:val="24"/>
                <w:u w:val="single"/>
              </w:rPr>
              <w:t>0.474992</w:t>
            </w:r>
          </w:p>
        </w:tc>
        <w:tc>
          <w:tcPr>
            <w:tcW w:w="1134" w:type="dxa"/>
            <w:noWrap/>
            <w:hideMark/>
          </w:tcPr>
          <w:p w14:paraId="6B578A70" w14:textId="77777777" w:rsidR="00413229" w:rsidRPr="00AC1055" w:rsidRDefault="00413229" w:rsidP="00413229">
            <w:pPr>
              <w:jc w:val="center"/>
              <w:rPr>
                <w:rFonts w:cs="Times New Roman"/>
                <w:szCs w:val="24"/>
                <w:u w:val="single"/>
              </w:rPr>
            </w:pPr>
            <w:r w:rsidRPr="00AC1055">
              <w:rPr>
                <w:rFonts w:cs="Times New Roman"/>
                <w:szCs w:val="24"/>
                <w:u w:val="single"/>
              </w:rPr>
              <w:t>0.300745</w:t>
            </w:r>
          </w:p>
        </w:tc>
      </w:tr>
      <w:tr w:rsidR="00413229" w:rsidRPr="00AC1055" w14:paraId="2C02228C" w14:textId="77777777" w:rsidTr="00413229">
        <w:trPr>
          <w:trHeight w:val="300"/>
        </w:trPr>
        <w:tc>
          <w:tcPr>
            <w:tcW w:w="1526" w:type="dxa"/>
          </w:tcPr>
          <w:p w14:paraId="3E6528FA" w14:textId="77777777" w:rsidR="00413229" w:rsidRPr="00AC1055" w:rsidRDefault="00413229" w:rsidP="00413229">
            <w:pPr>
              <w:jc w:val="center"/>
              <w:rPr>
                <w:rFonts w:cs="Times New Roman"/>
                <w:szCs w:val="24"/>
              </w:rPr>
            </w:pPr>
            <w:r w:rsidRPr="00AC1055">
              <w:rPr>
                <w:rFonts w:cs="Times New Roman"/>
                <w:szCs w:val="24"/>
              </w:rPr>
              <w:t>Hong Kong</w:t>
            </w:r>
          </w:p>
        </w:tc>
        <w:tc>
          <w:tcPr>
            <w:tcW w:w="1417" w:type="dxa"/>
            <w:noWrap/>
            <w:hideMark/>
          </w:tcPr>
          <w:p w14:paraId="49E1CCBF" w14:textId="77777777" w:rsidR="00413229" w:rsidRPr="00AC1055" w:rsidRDefault="00413229" w:rsidP="00413229">
            <w:pPr>
              <w:jc w:val="center"/>
              <w:rPr>
                <w:rFonts w:cs="Times New Roman"/>
                <w:szCs w:val="24"/>
              </w:rPr>
            </w:pPr>
            <w:r w:rsidRPr="00AC1055">
              <w:rPr>
                <w:rFonts w:cs="Times New Roman"/>
                <w:szCs w:val="24"/>
              </w:rPr>
              <w:t>0.201533</w:t>
            </w:r>
          </w:p>
        </w:tc>
        <w:tc>
          <w:tcPr>
            <w:tcW w:w="1276" w:type="dxa"/>
            <w:noWrap/>
            <w:hideMark/>
          </w:tcPr>
          <w:p w14:paraId="767891A0" w14:textId="77777777" w:rsidR="00413229" w:rsidRPr="00AC1055" w:rsidRDefault="00413229" w:rsidP="00413229">
            <w:pPr>
              <w:jc w:val="center"/>
              <w:rPr>
                <w:rFonts w:cs="Times New Roman"/>
                <w:szCs w:val="24"/>
              </w:rPr>
            </w:pPr>
            <w:r w:rsidRPr="00AC1055">
              <w:rPr>
                <w:rFonts w:cs="Times New Roman"/>
                <w:szCs w:val="24"/>
              </w:rPr>
              <w:t>0.380608</w:t>
            </w:r>
          </w:p>
        </w:tc>
        <w:tc>
          <w:tcPr>
            <w:tcW w:w="1276" w:type="dxa"/>
            <w:noWrap/>
            <w:hideMark/>
          </w:tcPr>
          <w:p w14:paraId="0A77A9F4" w14:textId="77777777" w:rsidR="00413229" w:rsidRPr="00AC1055" w:rsidRDefault="00413229" w:rsidP="00413229">
            <w:pPr>
              <w:jc w:val="center"/>
              <w:rPr>
                <w:rFonts w:cs="Times New Roman"/>
                <w:szCs w:val="24"/>
              </w:rPr>
            </w:pPr>
            <w:r w:rsidRPr="00AC1055">
              <w:rPr>
                <w:rFonts w:cs="Times New Roman"/>
                <w:szCs w:val="24"/>
              </w:rPr>
              <w:t>0.372686</w:t>
            </w:r>
          </w:p>
        </w:tc>
        <w:tc>
          <w:tcPr>
            <w:tcW w:w="1276" w:type="dxa"/>
            <w:noWrap/>
            <w:hideMark/>
          </w:tcPr>
          <w:p w14:paraId="2BBFAEAA" w14:textId="77777777" w:rsidR="00413229" w:rsidRPr="00AC1055" w:rsidRDefault="00413229" w:rsidP="00413229">
            <w:pPr>
              <w:jc w:val="center"/>
              <w:rPr>
                <w:rFonts w:cs="Times New Roman"/>
                <w:szCs w:val="24"/>
              </w:rPr>
            </w:pPr>
            <w:r w:rsidRPr="00AC1055">
              <w:rPr>
                <w:rFonts w:cs="Times New Roman"/>
                <w:szCs w:val="24"/>
              </w:rPr>
              <w:t>-0.00216</w:t>
            </w:r>
          </w:p>
        </w:tc>
        <w:tc>
          <w:tcPr>
            <w:tcW w:w="1275" w:type="dxa"/>
            <w:noWrap/>
            <w:hideMark/>
          </w:tcPr>
          <w:p w14:paraId="739C6BFF" w14:textId="77777777" w:rsidR="00413229" w:rsidRPr="00AC1055" w:rsidRDefault="00413229" w:rsidP="00413229">
            <w:pPr>
              <w:jc w:val="center"/>
              <w:rPr>
                <w:rFonts w:cs="Times New Roman"/>
                <w:szCs w:val="24"/>
              </w:rPr>
            </w:pPr>
            <w:r w:rsidRPr="00AC1055">
              <w:rPr>
                <w:rFonts w:cs="Times New Roman"/>
                <w:szCs w:val="24"/>
              </w:rPr>
              <w:t>0.463233</w:t>
            </w:r>
          </w:p>
        </w:tc>
        <w:tc>
          <w:tcPr>
            <w:tcW w:w="1276" w:type="dxa"/>
            <w:noWrap/>
            <w:hideMark/>
          </w:tcPr>
          <w:p w14:paraId="52E81756" w14:textId="77777777" w:rsidR="00413229" w:rsidRPr="00AC1055" w:rsidRDefault="00413229" w:rsidP="00413229">
            <w:pPr>
              <w:jc w:val="center"/>
              <w:rPr>
                <w:rFonts w:cs="Times New Roman"/>
                <w:szCs w:val="24"/>
              </w:rPr>
            </w:pPr>
            <w:r w:rsidRPr="00AC1055">
              <w:rPr>
                <w:rFonts w:cs="Times New Roman"/>
                <w:szCs w:val="24"/>
              </w:rPr>
              <w:t>1.51E-06</w:t>
            </w:r>
          </w:p>
        </w:tc>
        <w:tc>
          <w:tcPr>
            <w:tcW w:w="1116" w:type="dxa"/>
            <w:noWrap/>
            <w:hideMark/>
          </w:tcPr>
          <w:p w14:paraId="2CD42844" w14:textId="77777777" w:rsidR="00413229" w:rsidRPr="00AC1055" w:rsidRDefault="00413229" w:rsidP="00413229">
            <w:pPr>
              <w:jc w:val="center"/>
              <w:rPr>
                <w:rFonts w:cs="Times New Roman"/>
                <w:szCs w:val="24"/>
              </w:rPr>
            </w:pPr>
            <w:r w:rsidRPr="00AC1055">
              <w:rPr>
                <w:rFonts w:cs="Times New Roman"/>
                <w:szCs w:val="24"/>
              </w:rPr>
              <w:t>9.39E-10</w:t>
            </w:r>
          </w:p>
        </w:tc>
        <w:tc>
          <w:tcPr>
            <w:tcW w:w="1116" w:type="dxa"/>
            <w:noWrap/>
            <w:hideMark/>
          </w:tcPr>
          <w:p w14:paraId="6219935D" w14:textId="77777777" w:rsidR="00413229" w:rsidRPr="00AC1055" w:rsidRDefault="00413229" w:rsidP="00413229">
            <w:pPr>
              <w:jc w:val="center"/>
              <w:rPr>
                <w:rFonts w:cs="Times New Roman"/>
                <w:szCs w:val="24"/>
              </w:rPr>
            </w:pPr>
            <w:r w:rsidRPr="00AC1055">
              <w:rPr>
                <w:rFonts w:cs="Times New Roman"/>
                <w:szCs w:val="24"/>
              </w:rPr>
              <w:t>0.000122</w:t>
            </w:r>
          </w:p>
        </w:tc>
        <w:tc>
          <w:tcPr>
            <w:tcW w:w="1365" w:type="dxa"/>
            <w:noWrap/>
            <w:hideMark/>
          </w:tcPr>
          <w:p w14:paraId="0A374EC0" w14:textId="77777777" w:rsidR="00413229" w:rsidRPr="00AC1055" w:rsidRDefault="00413229" w:rsidP="00413229">
            <w:pPr>
              <w:jc w:val="center"/>
              <w:rPr>
                <w:rFonts w:cs="Times New Roman"/>
                <w:szCs w:val="24"/>
                <w:u w:val="single"/>
              </w:rPr>
            </w:pPr>
            <w:r w:rsidRPr="00AC1055">
              <w:rPr>
                <w:rFonts w:cs="Times New Roman"/>
                <w:szCs w:val="24"/>
                <w:u w:val="single"/>
              </w:rPr>
              <w:t>0.920713</w:t>
            </w:r>
          </w:p>
        </w:tc>
        <w:tc>
          <w:tcPr>
            <w:tcW w:w="1134" w:type="dxa"/>
            <w:noWrap/>
            <w:hideMark/>
          </w:tcPr>
          <w:p w14:paraId="06D4C7D0" w14:textId="77777777" w:rsidR="00413229" w:rsidRPr="00AC1055" w:rsidRDefault="00413229" w:rsidP="00413229">
            <w:pPr>
              <w:jc w:val="center"/>
              <w:rPr>
                <w:rFonts w:cs="Times New Roman"/>
                <w:szCs w:val="24"/>
              </w:rPr>
            </w:pPr>
            <w:r w:rsidRPr="00AC1055">
              <w:rPr>
                <w:rFonts w:cs="Times New Roman"/>
                <w:szCs w:val="24"/>
              </w:rPr>
              <w:t>0.00022</w:t>
            </w:r>
          </w:p>
        </w:tc>
      </w:tr>
      <w:tr w:rsidR="00413229" w:rsidRPr="00AC1055" w14:paraId="52098532" w14:textId="77777777" w:rsidTr="00413229">
        <w:trPr>
          <w:trHeight w:val="300"/>
        </w:trPr>
        <w:tc>
          <w:tcPr>
            <w:tcW w:w="1526" w:type="dxa"/>
          </w:tcPr>
          <w:p w14:paraId="68F4203C" w14:textId="77777777" w:rsidR="00413229" w:rsidRPr="00AC1055" w:rsidRDefault="00413229" w:rsidP="00413229">
            <w:pPr>
              <w:jc w:val="center"/>
              <w:rPr>
                <w:rFonts w:cs="Times New Roman"/>
                <w:szCs w:val="24"/>
              </w:rPr>
            </w:pPr>
            <w:r w:rsidRPr="00AC1055">
              <w:rPr>
                <w:rFonts w:cs="Times New Roman"/>
                <w:szCs w:val="24"/>
              </w:rPr>
              <w:t>Philippines</w:t>
            </w:r>
          </w:p>
        </w:tc>
        <w:tc>
          <w:tcPr>
            <w:tcW w:w="1417" w:type="dxa"/>
            <w:noWrap/>
            <w:hideMark/>
          </w:tcPr>
          <w:p w14:paraId="788593A8" w14:textId="77777777" w:rsidR="00413229" w:rsidRPr="00AC1055" w:rsidRDefault="00413229" w:rsidP="00413229">
            <w:pPr>
              <w:jc w:val="center"/>
              <w:rPr>
                <w:rFonts w:cs="Times New Roman"/>
                <w:szCs w:val="24"/>
              </w:rPr>
            </w:pPr>
            <w:r w:rsidRPr="00AC1055">
              <w:rPr>
                <w:rFonts w:cs="Times New Roman"/>
                <w:szCs w:val="24"/>
              </w:rPr>
              <w:t>-0.30529</w:t>
            </w:r>
          </w:p>
        </w:tc>
        <w:tc>
          <w:tcPr>
            <w:tcW w:w="1276" w:type="dxa"/>
            <w:noWrap/>
            <w:hideMark/>
          </w:tcPr>
          <w:p w14:paraId="377E8985" w14:textId="77777777" w:rsidR="00413229" w:rsidRPr="00AC1055" w:rsidRDefault="00413229" w:rsidP="00413229">
            <w:pPr>
              <w:jc w:val="center"/>
              <w:rPr>
                <w:rFonts w:cs="Times New Roman"/>
                <w:szCs w:val="24"/>
              </w:rPr>
            </w:pPr>
            <w:r w:rsidRPr="00AC1055">
              <w:rPr>
                <w:rFonts w:cs="Times New Roman"/>
                <w:szCs w:val="24"/>
              </w:rPr>
              <w:t>0.022953</w:t>
            </w:r>
          </w:p>
        </w:tc>
        <w:tc>
          <w:tcPr>
            <w:tcW w:w="1276" w:type="dxa"/>
            <w:noWrap/>
            <w:hideMark/>
          </w:tcPr>
          <w:p w14:paraId="0C6E85F7" w14:textId="77777777" w:rsidR="00413229" w:rsidRPr="00AC1055" w:rsidRDefault="00413229" w:rsidP="00413229">
            <w:pPr>
              <w:jc w:val="center"/>
              <w:rPr>
                <w:rFonts w:cs="Times New Roman"/>
                <w:szCs w:val="24"/>
              </w:rPr>
            </w:pPr>
            <w:r w:rsidRPr="00AC1055">
              <w:rPr>
                <w:rFonts w:cs="Times New Roman"/>
                <w:szCs w:val="24"/>
              </w:rPr>
              <w:t>0.256987</w:t>
            </w:r>
          </w:p>
        </w:tc>
        <w:tc>
          <w:tcPr>
            <w:tcW w:w="1276" w:type="dxa"/>
            <w:noWrap/>
            <w:hideMark/>
          </w:tcPr>
          <w:p w14:paraId="0716159F" w14:textId="77777777" w:rsidR="00413229" w:rsidRPr="00AC1055" w:rsidRDefault="00413229" w:rsidP="00413229">
            <w:pPr>
              <w:jc w:val="center"/>
              <w:rPr>
                <w:rFonts w:cs="Times New Roman"/>
                <w:szCs w:val="24"/>
              </w:rPr>
            </w:pPr>
            <w:r w:rsidRPr="00AC1055">
              <w:rPr>
                <w:rFonts w:cs="Times New Roman"/>
                <w:szCs w:val="24"/>
              </w:rPr>
              <w:t>0.076865</w:t>
            </w:r>
          </w:p>
        </w:tc>
        <w:tc>
          <w:tcPr>
            <w:tcW w:w="1275" w:type="dxa"/>
            <w:noWrap/>
            <w:hideMark/>
          </w:tcPr>
          <w:p w14:paraId="754833C6" w14:textId="77777777" w:rsidR="00413229" w:rsidRPr="00AC1055" w:rsidRDefault="00413229" w:rsidP="00413229">
            <w:pPr>
              <w:jc w:val="center"/>
              <w:rPr>
                <w:rFonts w:cs="Times New Roman"/>
                <w:szCs w:val="24"/>
              </w:rPr>
            </w:pPr>
            <w:r w:rsidRPr="00AC1055">
              <w:rPr>
                <w:rFonts w:cs="Times New Roman"/>
                <w:szCs w:val="24"/>
              </w:rPr>
              <w:t>0.123642</w:t>
            </w:r>
          </w:p>
        </w:tc>
        <w:tc>
          <w:tcPr>
            <w:tcW w:w="1276" w:type="dxa"/>
            <w:noWrap/>
            <w:hideMark/>
          </w:tcPr>
          <w:p w14:paraId="6DF729EA" w14:textId="77777777" w:rsidR="00413229" w:rsidRPr="00AC1055" w:rsidRDefault="00413229" w:rsidP="00413229">
            <w:pPr>
              <w:jc w:val="center"/>
              <w:rPr>
                <w:rFonts w:cs="Times New Roman"/>
                <w:szCs w:val="24"/>
              </w:rPr>
            </w:pPr>
            <w:r w:rsidRPr="00AC1055">
              <w:rPr>
                <w:rFonts w:cs="Times New Roman"/>
                <w:szCs w:val="24"/>
              </w:rPr>
              <w:t>1.46E-12</w:t>
            </w:r>
          </w:p>
        </w:tc>
        <w:tc>
          <w:tcPr>
            <w:tcW w:w="1116" w:type="dxa"/>
            <w:noWrap/>
            <w:hideMark/>
          </w:tcPr>
          <w:p w14:paraId="3E0FE0EE" w14:textId="77777777" w:rsidR="00413229" w:rsidRPr="00AC1055" w:rsidRDefault="00413229" w:rsidP="00413229">
            <w:pPr>
              <w:jc w:val="center"/>
              <w:rPr>
                <w:rFonts w:cs="Times New Roman"/>
                <w:szCs w:val="24"/>
              </w:rPr>
            </w:pPr>
            <w:r w:rsidRPr="00AC1055">
              <w:rPr>
                <w:rFonts w:cs="Times New Roman"/>
                <w:szCs w:val="24"/>
              </w:rPr>
              <w:t>0.011679</w:t>
            </w:r>
          </w:p>
        </w:tc>
        <w:tc>
          <w:tcPr>
            <w:tcW w:w="1116" w:type="dxa"/>
            <w:noWrap/>
            <w:hideMark/>
          </w:tcPr>
          <w:p w14:paraId="0234EC19" w14:textId="77777777" w:rsidR="00413229" w:rsidRPr="00AC1055" w:rsidRDefault="00413229" w:rsidP="00413229">
            <w:pPr>
              <w:jc w:val="center"/>
              <w:rPr>
                <w:rFonts w:cs="Times New Roman"/>
                <w:szCs w:val="24"/>
              </w:rPr>
            </w:pPr>
            <w:r w:rsidRPr="00AC1055">
              <w:rPr>
                <w:rFonts w:cs="Times New Roman"/>
                <w:szCs w:val="24"/>
              </w:rPr>
              <w:t>3.18E-05</w:t>
            </w:r>
          </w:p>
        </w:tc>
        <w:tc>
          <w:tcPr>
            <w:tcW w:w="1365" w:type="dxa"/>
            <w:noWrap/>
            <w:hideMark/>
          </w:tcPr>
          <w:p w14:paraId="43522232" w14:textId="77777777" w:rsidR="00413229" w:rsidRPr="00AC1055" w:rsidRDefault="00413229" w:rsidP="00413229">
            <w:pPr>
              <w:jc w:val="center"/>
              <w:rPr>
                <w:rFonts w:cs="Times New Roman"/>
                <w:szCs w:val="24"/>
              </w:rPr>
            </w:pPr>
            <w:r w:rsidRPr="00AC1055">
              <w:rPr>
                <w:rFonts w:cs="Times New Roman"/>
                <w:szCs w:val="24"/>
              </w:rPr>
              <w:t>2.09E-05</w:t>
            </w:r>
          </w:p>
        </w:tc>
        <w:tc>
          <w:tcPr>
            <w:tcW w:w="1134" w:type="dxa"/>
            <w:noWrap/>
            <w:hideMark/>
          </w:tcPr>
          <w:p w14:paraId="40F6AAF6" w14:textId="77777777" w:rsidR="00413229" w:rsidRPr="00AC1055" w:rsidRDefault="00413229" w:rsidP="00413229">
            <w:pPr>
              <w:jc w:val="center"/>
              <w:rPr>
                <w:rFonts w:cs="Times New Roman"/>
                <w:szCs w:val="24"/>
              </w:rPr>
            </w:pPr>
            <w:r w:rsidRPr="00AC1055">
              <w:rPr>
                <w:rFonts w:cs="Times New Roman"/>
                <w:szCs w:val="24"/>
              </w:rPr>
              <w:t>0.001053</w:t>
            </w:r>
          </w:p>
        </w:tc>
      </w:tr>
      <w:tr w:rsidR="00413229" w:rsidRPr="00AC1055" w14:paraId="2C80C373" w14:textId="77777777" w:rsidTr="00413229">
        <w:trPr>
          <w:trHeight w:val="300"/>
        </w:trPr>
        <w:tc>
          <w:tcPr>
            <w:tcW w:w="1526" w:type="dxa"/>
          </w:tcPr>
          <w:p w14:paraId="5247A33C" w14:textId="77777777" w:rsidR="00413229" w:rsidRPr="00AC1055" w:rsidRDefault="00413229" w:rsidP="00413229">
            <w:pPr>
              <w:jc w:val="center"/>
              <w:rPr>
                <w:rFonts w:cs="Times New Roman"/>
                <w:szCs w:val="24"/>
              </w:rPr>
            </w:pPr>
            <w:r w:rsidRPr="00AC1055">
              <w:rPr>
                <w:rFonts w:cs="Times New Roman"/>
                <w:szCs w:val="24"/>
              </w:rPr>
              <w:t>El Salvador</w:t>
            </w:r>
          </w:p>
        </w:tc>
        <w:tc>
          <w:tcPr>
            <w:tcW w:w="1417" w:type="dxa"/>
            <w:noWrap/>
            <w:hideMark/>
          </w:tcPr>
          <w:p w14:paraId="214E06FF" w14:textId="77777777" w:rsidR="00413229" w:rsidRPr="00AC1055" w:rsidRDefault="00413229" w:rsidP="00413229">
            <w:pPr>
              <w:jc w:val="center"/>
              <w:rPr>
                <w:rFonts w:cs="Times New Roman"/>
                <w:szCs w:val="24"/>
              </w:rPr>
            </w:pPr>
            <w:r w:rsidRPr="00AC1055">
              <w:rPr>
                <w:rFonts w:cs="Times New Roman"/>
                <w:szCs w:val="24"/>
              </w:rPr>
              <w:t>-0.32644</w:t>
            </w:r>
          </w:p>
        </w:tc>
        <w:tc>
          <w:tcPr>
            <w:tcW w:w="1276" w:type="dxa"/>
            <w:noWrap/>
            <w:hideMark/>
          </w:tcPr>
          <w:p w14:paraId="496F2214" w14:textId="77777777" w:rsidR="00413229" w:rsidRPr="00AC1055" w:rsidRDefault="00413229" w:rsidP="00413229">
            <w:pPr>
              <w:jc w:val="center"/>
              <w:rPr>
                <w:rFonts w:cs="Times New Roman"/>
                <w:szCs w:val="24"/>
              </w:rPr>
            </w:pPr>
            <w:r w:rsidRPr="00AC1055">
              <w:rPr>
                <w:rFonts w:cs="Times New Roman"/>
                <w:szCs w:val="24"/>
              </w:rPr>
              <w:t>0.016982</w:t>
            </w:r>
          </w:p>
        </w:tc>
        <w:tc>
          <w:tcPr>
            <w:tcW w:w="1276" w:type="dxa"/>
            <w:noWrap/>
            <w:hideMark/>
          </w:tcPr>
          <w:p w14:paraId="477B3102" w14:textId="77777777" w:rsidR="00413229" w:rsidRPr="00AC1055" w:rsidRDefault="00413229" w:rsidP="00413229">
            <w:pPr>
              <w:jc w:val="center"/>
              <w:rPr>
                <w:rFonts w:cs="Times New Roman"/>
                <w:szCs w:val="24"/>
              </w:rPr>
            </w:pPr>
            <w:r w:rsidRPr="00AC1055">
              <w:rPr>
                <w:rFonts w:cs="Times New Roman"/>
                <w:szCs w:val="24"/>
              </w:rPr>
              <w:t>0.182318</w:t>
            </w:r>
          </w:p>
        </w:tc>
        <w:tc>
          <w:tcPr>
            <w:tcW w:w="1276" w:type="dxa"/>
            <w:noWrap/>
            <w:hideMark/>
          </w:tcPr>
          <w:p w14:paraId="5C13E81A" w14:textId="77777777" w:rsidR="00413229" w:rsidRPr="00AC1055" w:rsidRDefault="00413229" w:rsidP="00413229">
            <w:pPr>
              <w:jc w:val="center"/>
              <w:rPr>
                <w:rFonts w:cs="Times New Roman"/>
                <w:szCs w:val="24"/>
              </w:rPr>
            </w:pPr>
            <w:r w:rsidRPr="00AC1055">
              <w:rPr>
                <w:rFonts w:cs="Times New Roman"/>
                <w:szCs w:val="24"/>
              </w:rPr>
              <w:t>0.049945</w:t>
            </w:r>
          </w:p>
        </w:tc>
        <w:tc>
          <w:tcPr>
            <w:tcW w:w="1275" w:type="dxa"/>
            <w:noWrap/>
            <w:hideMark/>
          </w:tcPr>
          <w:p w14:paraId="02BC0723" w14:textId="77777777" w:rsidR="00413229" w:rsidRPr="00AC1055" w:rsidRDefault="00413229" w:rsidP="00413229">
            <w:pPr>
              <w:jc w:val="center"/>
              <w:rPr>
                <w:rFonts w:cs="Times New Roman"/>
                <w:szCs w:val="24"/>
              </w:rPr>
            </w:pPr>
            <w:r w:rsidRPr="00AC1055">
              <w:rPr>
                <w:rFonts w:cs="Times New Roman"/>
                <w:szCs w:val="24"/>
              </w:rPr>
              <w:t>0.237212</w:t>
            </w:r>
          </w:p>
        </w:tc>
        <w:tc>
          <w:tcPr>
            <w:tcW w:w="1276" w:type="dxa"/>
            <w:noWrap/>
            <w:hideMark/>
          </w:tcPr>
          <w:p w14:paraId="026A8D74" w14:textId="77777777" w:rsidR="00413229" w:rsidRPr="00AC1055" w:rsidRDefault="00413229" w:rsidP="00413229">
            <w:pPr>
              <w:jc w:val="center"/>
              <w:rPr>
                <w:rFonts w:cs="Times New Roman"/>
                <w:szCs w:val="24"/>
              </w:rPr>
            </w:pPr>
            <w:r w:rsidRPr="00AC1055">
              <w:rPr>
                <w:rFonts w:cs="Times New Roman"/>
                <w:szCs w:val="24"/>
              </w:rPr>
              <w:t>9.98E-07</w:t>
            </w:r>
          </w:p>
        </w:tc>
        <w:tc>
          <w:tcPr>
            <w:tcW w:w="1116" w:type="dxa"/>
            <w:noWrap/>
            <w:hideMark/>
          </w:tcPr>
          <w:p w14:paraId="4CC15669" w14:textId="77777777" w:rsidR="00413229" w:rsidRPr="00AC1055" w:rsidRDefault="00413229" w:rsidP="00413229">
            <w:pPr>
              <w:jc w:val="center"/>
              <w:rPr>
                <w:rFonts w:cs="Times New Roman"/>
                <w:szCs w:val="24"/>
                <w:u w:val="single"/>
              </w:rPr>
            </w:pPr>
            <w:r w:rsidRPr="00AC1055">
              <w:rPr>
                <w:rFonts w:cs="Times New Roman"/>
                <w:szCs w:val="24"/>
                <w:u w:val="single"/>
              </w:rPr>
              <w:t>0.12988</w:t>
            </w:r>
          </w:p>
        </w:tc>
        <w:tc>
          <w:tcPr>
            <w:tcW w:w="1116" w:type="dxa"/>
            <w:noWrap/>
            <w:hideMark/>
          </w:tcPr>
          <w:p w14:paraId="301CDE9F" w14:textId="77777777" w:rsidR="00413229" w:rsidRPr="00AC1055" w:rsidRDefault="00413229" w:rsidP="00413229">
            <w:pPr>
              <w:jc w:val="center"/>
              <w:rPr>
                <w:rFonts w:cs="Times New Roman"/>
                <w:szCs w:val="24"/>
              </w:rPr>
            </w:pPr>
            <w:r w:rsidRPr="00AC1055">
              <w:rPr>
                <w:rFonts w:cs="Times New Roman"/>
                <w:szCs w:val="24"/>
              </w:rPr>
              <w:t>0.000503</w:t>
            </w:r>
          </w:p>
        </w:tc>
        <w:tc>
          <w:tcPr>
            <w:tcW w:w="1365" w:type="dxa"/>
            <w:noWrap/>
            <w:hideMark/>
          </w:tcPr>
          <w:p w14:paraId="5E953BD9" w14:textId="77777777" w:rsidR="00413229" w:rsidRPr="00AC1055" w:rsidRDefault="00413229" w:rsidP="00413229">
            <w:pPr>
              <w:jc w:val="center"/>
              <w:rPr>
                <w:rFonts w:cs="Times New Roman"/>
                <w:szCs w:val="24"/>
              </w:rPr>
            </w:pPr>
            <w:r w:rsidRPr="00AC1055">
              <w:rPr>
                <w:rFonts w:cs="Times New Roman"/>
                <w:szCs w:val="24"/>
              </w:rPr>
              <w:t>0.000129</w:t>
            </w:r>
          </w:p>
        </w:tc>
        <w:tc>
          <w:tcPr>
            <w:tcW w:w="1134" w:type="dxa"/>
            <w:noWrap/>
            <w:hideMark/>
          </w:tcPr>
          <w:p w14:paraId="1E25D59E" w14:textId="77777777" w:rsidR="00413229" w:rsidRPr="00AC1055" w:rsidRDefault="00413229" w:rsidP="00413229">
            <w:pPr>
              <w:jc w:val="center"/>
              <w:rPr>
                <w:rFonts w:cs="Times New Roman"/>
                <w:szCs w:val="24"/>
              </w:rPr>
            </w:pPr>
            <w:r w:rsidRPr="00AC1055">
              <w:rPr>
                <w:rFonts w:cs="Times New Roman"/>
                <w:szCs w:val="24"/>
              </w:rPr>
              <w:t>0.005943</w:t>
            </w:r>
          </w:p>
        </w:tc>
      </w:tr>
      <w:tr w:rsidR="00413229" w:rsidRPr="00AC1055" w14:paraId="41B4B37D" w14:textId="77777777" w:rsidTr="00413229">
        <w:trPr>
          <w:trHeight w:val="300"/>
        </w:trPr>
        <w:tc>
          <w:tcPr>
            <w:tcW w:w="1526" w:type="dxa"/>
          </w:tcPr>
          <w:p w14:paraId="62D6DD54" w14:textId="77777777" w:rsidR="00413229" w:rsidRPr="00AC1055" w:rsidRDefault="00413229" w:rsidP="00413229">
            <w:pPr>
              <w:jc w:val="center"/>
              <w:rPr>
                <w:rFonts w:cs="Times New Roman"/>
                <w:szCs w:val="24"/>
              </w:rPr>
            </w:pPr>
            <w:r w:rsidRPr="00AC1055">
              <w:rPr>
                <w:rFonts w:cs="Times New Roman"/>
                <w:szCs w:val="24"/>
              </w:rPr>
              <w:t>Vietnam</w:t>
            </w:r>
          </w:p>
        </w:tc>
        <w:tc>
          <w:tcPr>
            <w:tcW w:w="1417" w:type="dxa"/>
            <w:noWrap/>
            <w:hideMark/>
          </w:tcPr>
          <w:p w14:paraId="67F5D573" w14:textId="77777777" w:rsidR="00413229" w:rsidRPr="00AC1055" w:rsidRDefault="00413229" w:rsidP="00413229">
            <w:pPr>
              <w:jc w:val="center"/>
              <w:rPr>
                <w:rFonts w:cs="Times New Roman"/>
                <w:szCs w:val="24"/>
              </w:rPr>
            </w:pPr>
            <w:r w:rsidRPr="00AC1055">
              <w:rPr>
                <w:rFonts w:cs="Times New Roman"/>
                <w:szCs w:val="24"/>
              </w:rPr>
              <w:t>-0.04222</w:t>
            </w:r>
          </w:p>
        </w:tc>
        <w:tc>
          <w:tcPr>
            <w:tcW w:w="1276" w:type="dxa"/>
            <w:noWrap/>
            <w:hideMark/>
          </w:tcPr>
          <w:p w14:paraId="5D0A993B" w14:textId="77777777" w:rsidR="00413229" w:rsidRPr="00AC1055" w:rsidRDefault="00413229" w:rsidP="00413229">
            <w:pPr>
              <w:jc w:val="center"/>
              <w:rPr>
                <w:rFonts w:cs="Times New Roman"/>
                <w:szCs w:val="24"/>
              </w:rPr>
            </w:pPr>
            <w:r w:rsidRPr="00AC1055">
              <w:rPr>
                <w:rFonts w:cs="Times New Roman"/>
                <w:szCs w:val="24"/>
              </w:rPr>
              <w:t>0.060918</w:t>
            </w:r>
          </w:p>
        </w:tc>
        <w:tc>
          <w:tcPr>
            <w:tcW w:w="1276" w:type="dxa"/>
            <w:noWrap/>
            <w:hideMark/>
          </w:tcPr>
          <w:p w14:paraId="7AA56152" w14:textId="77777777" w:rsidR="00413229" w:rsidRPr="00AC1055" w:rsidRDefault="00413229" w:rsidP="00413229">
            <w:pPr>
              <w:jc w:val="center"/>
              <w:rPr>
                <w:rFonts w:cs="Times New Roman"/>
                <w:szCs w:val="24"/>
              </w:rPr>
            </w:pPr>
            <w:r w:rsidRPr="00AC1055">
              <w:rPr>
                <w:rFonts w:cs="Times New Roman"/>
                <w:szCs w:val="24"/>
              </w:rPr>
              <w:t>0.458623</w:t>
            </w:r>
          </w:p>
        </w:tc>
        <w:tc>
          <w:tcPr>
            <w:tcW w:w="1276" w:type="dxa"/>
            <w:noWrap/>
            <w:hideMark/>
          </w:tcPr>
          <w:p w14:paraId="35936E6A" w14:textId="77777777" w:rsidR="00413229" w:rsidRPr="00AC1055" w:rsidRDefault="00413229" w:rsidP="00413229">
            <w:pPr>
              <w:jc w:val="center"/>
              <w:rPr>
                <w:rFonts w:cs="Times New Roman"/>
                <w:szCs w:val="24"/>
              </w:rPr>
            </w:pPr>
            <w:r w:rsidRPr="00AC1055">
              <w:rPr>
                <w:rFonts w:cs="Times New Roman"/>
                <w:szCs w:val="24"/>
              </w:rPr>
              <w:t>0.085261</w:t>
            </w:r>
          </w:p>
        </w:tc>
        <w:tc>
          <w:tcPr>
            <w:tcW w:w="1275" w:type="dxa"/>
            <w:noWrap/>
            <w:hideMark/>
          </w:tcPr>
          <w:p w14:paraId="73FFBA70" w14:textId="77777777" w:rsidR="00413229" w:rsidRPr="00AC1055" w:rsidRDefault="00413229" w:rsidP="00413229">
            <w:pPr>
              <w:jc w:val="center"/>
              <w:rPr>
                <w:rFonts w:cs="Times New Roman"/>
                <w:szCs w:val="24"/>
              </w:rPr>
            </w:pPr>
            <w:r w:rsidRPr="00AC1055">
              <w:rPr>
                <w:rFonts w:cs="Times New Roman"/>
                <w:szCs w:val="24"/>
              </w:rPr>
              <w:t>0.381997</w:t>
            </w:r>
          </w:p>
        </w:tc>
        <w:tc>
          <w:tcPr>
            <w:tcW w:w="1276" w:type="dxa"/>
            <w:noWrap/>
            <w:hideMark/>
          </w:tcPr>
          <w:p w14:paraId="34A0440A" w14:textId="77777777" w:rsidR="00413229" w:rsidRPr="00AC1055" w:rsidRDefault="00413229" w:rsidP="00413229">
            <w:pPr>
              <w:jc w:val="center"/>
              <w:rPr>
                <w:rFonts w:cs="Times New Roman"/>
                <w:szCs w:val="24"/>
              </w:rPr>
            </w:pPr>
            <w:r w:rsidRPr="00AC1055">
              <w:rPr>
                <w:rFonts w:cs="Times New Roman"/>
                <w:szCs w:val="24"/>
              </w:rPr>
              <w:t>0.041982</w:t>
            </w:r>
          </w:p>
        </w:tc>
        <w:tc>
          <w:tcPr>
            <w:tcW w:w="1116" w:type="dxa"/>
            <w:noWrap/>
            <w:hideMark/>
          </w:tcPr>
          <w:p w14:paraId="035EF5F3" w14:textId="77777777" w:rsidR="00413229" w:rsidRPr="00AC1055" w:rsidRDefault="00413229" w:rsidP="00413229">
            <w:pPr>
              <w:jc w:val="center"/>
              <w:rPr>
                <w:rFonts w:cs="Times New Roman"/>
                <w:szCs w:val="24"/>
              </w:rPr>
            </w:pPr>
            <w:r w:rsidRPr="00AC1055">
              <w:rPr>
                <w:rFonts w:cs="Times New Roman"/>
                <w:szCs w:val="24"/>
              </w:rPr>
              <w:t>7.16E-11</w:t>
            </w:r>
          </w:p>
        </w:tc>
        <w:tc>
          <w:tcPr>
            <w:tcW w:w="1116" w:type="dxa"/>
            <w:noWrap/>
            <w:hideMark/>
          </w:tcPr>
          <w:p w14:paraId="6D0E153C" w14:textId="77777777" w:rsidR="00413229" w:rsidRPr="00AC1055" w:rsidRDefault="00413229" w:rsidP="00413229">
            <w:pPr>
              <w:jc w:val="center"/>
              <w:rPr>
                <w:rFonts w:cs="Times New Roman"/>
                <w:szCs w:val="24"/>
              </w:rPr>
            </w:pPr>
            <w:r w:rsidRPr="00AC1055">
              <w:rPr>
                <w:rFonts w:cs="Times New Roman"/>
                <w:szCs w:val="24"/>
              </w:rPr>
              <w:t>4.18E-10</w:t>
            </w:r>
          </w:p>
        </w:tc>
        <w:tc>
          <w:tcPr>
            <w:tcW w:w="1365" w:type="dxa"/>
            <w:noWrap/>
            <w:hideMark/>
          </w:tcPr>
          <w:p w14:paraId="50519435" w14:textId="77777777" w:rsidR="00413229" w:rsidRPr="00AC1055" w:rsidRDefault="00413229" w:rsidP="00413229">
            <w:pPr>
              <w:jc w:val="center"/>
              <w:rPr>
                <w:rFonts w:cs="Times New Roman"/>
                <w:szCs w:val="24"/>
              </w:rPr>
            </w:pPr>
            <w:r w:rsidRPr="00AC1055">
              <w:rPr>
                <w:rFonts w:cs="Times New Roman"/>
                <w:szCs w:val="24"/>
              </w:rPr>
              <w:t>6.52E-14</w:t>
            </w:r>
          </w:p>
        </w:tc>
        <w:tc>
          <w:tcPr>
            <w:tcW w:w="1134" w:type="dxa"/>
            <w:noWrap/>
            <w:hideMark/>
          </w:tcPr>
          <w:p w14:paraId="64AFA75E" w14:textId="77777777" w:rsidR="00413229" w:rsidRPr="00AC1055" w:rsidRDefault="00413229" w:rsidP="00413229">
            <w:pPr>
              <w:jc w:val="center"/>
              <w:rPr>
                <w:rFonts w:cs="Times New Roman"/>
                <w:szCs w:val="24"/>
              </w:rPr>
            </w:pPr>
            <w:r w:rsidRPr="00AC1055">
              <w:rPr>
                <w:rFonts w:cs="Times New Roman"/>
                <w:szCs w:val="24"/>
              </w:rPr>
              <w:t>3.47E-11</w:t>
            </w:r>
          </w:p>
        </w:tc>
      </w:tr>
    </w:tbl>
    <w:p w14:paraId="4C56A34B" w14:textId="77777777" w:rsidR="00413229" w:rsidRPr="00AC1055" w:rsidRDefault="00413229" w:rsidP="00413229">
      <w:pPr>
        <w:spacing w:line="480" w:lineRule="auto"/>
        <w:rPr>
          <w:rFonts w:cs="Times New Roman"/>
        </w:rPr>
      </w:pPr>
    </w:p>
    <w:p w14:paraId="32C348C4" w14:textId="77777777" w:rsidR="00413229" w:rsidRPr="00AC1055" w:rsidRDefault="00413229" w:rsidP="00413229">
      <w:pPr>
        <w:rPr>
          <w:rFonts w:cs="Times New Roman"/>
        </w:rPr>
      </w:pPr>
      <w:r w:rsidRPr="00AC1055">
        <w:rPr>
          <w:rFonts w:cs="Times New Roman"/>
        </w:rPr>
        <w:t>Almost all the factors are predicted to be highly significant under the Null hypothesis test. The factors deemed not significant under the Null hypothesis test are underlined (for pr&gt;.05).</w:t>
      </w:r>
    </w:p>
    <w:p w14:paraId="08CB5CDA" w14:textId="77777777" w:rsidR="00413229" w:rsidRPr="00AC1055" w:rsidRDefault="00413229" w:rsidP="00413229">
      <w:pPr>
        <w:spacing w:line="480" w:lineRule="auto"/>
        <w:rPr>
          <w:rFonts w:cs="Times New Roman"/>
        </w:rPr>
        <w:sectPr w:rsidR="00413229" w:rsidRPr="00AC1055" w:rsidSect="00F855D8">
          <w:pgSz w:w="16838" w:h="11906" w:orient="landscape"/>
          <w:pgMar w:top="1440" w:right="1440" w:bottom="1440" w:left="2268" w:header="709" w:footer="709" w:gutter="0"/>
          <w:cols w:space="708"/>
          <w:docGrid w:linePitch="360"/>
        </w:sectPr>
      </w:pPr>
    </w:p>
    <w:p w14:paraId="7CB5BBE8" w14:textId="77777777" w:rsidR="00413229" w:rsidRDefault="00413229" w:rsidP="00413229">
      <w:pPr>
        <w:spacing w:line="480" w:lineRule="auto"/>
        <w:rPr>
          <w:rFonts w:cs="Times New Roman"/>
          <w:u w:val="single"/>
        </w:rPr>
      </w:pPr>
      <w:r>
        <w:rPr>
          <w:rFonts w:cs="Times New Roman"/>
          <w:u w:val="single"/>
        </w:rPr>
        <w:lastRenderedPageBreak/>
        <w:t xml:space="preserve">4.4.1 </w:t>
      </w:r>
      <w:r w:rsidRPr="00AC1055">
        <w:rPr>
          <w:rFonts w:cs="Times New Roman"/>
          <w:u w:val="single"/>
        </w:rPr>
        <w:t>Brazil</w:t>
      </w:r>
    </w:p>
    <w:p w14:paraId="62F6B3A2" w14:textId="77777777" w:rsidR="00413229" w:rsidRDefault="00413229" w:rsidP="00413229">
      <w:pPr>
        <w:spacing w:line="480" w:lineRule="auto"/>
        <w:rPr>
          <w:rFonts w:cs="Times New Roman"/>
          <w:u w:val="single"/>
        </w:rPr>
      </w:pPr>
      <w:r w:rsidRPr="00AC1055">
        <w:rPr>
          <w:rFonts w:cs="Times New Roman"/>
          <w:noProof/>
          <w:lang w:eastAsia="en-GB"/>
        </w:rPr>
        <w:drawing>
          <wp:inline distT="0" distB="0" distL="0" distR="0" wp14:anchorId="73C9C0C8" wp14:editId="1DF5BEB5">
            <wp:extent cx="5619048" cy="3390476"/>
            <wp:effectExtent l="0" t="0" r="1270"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19048" cy="3390476"/>
                    </a:xfrm>
                    <a:prstGeom prst="rect">
                      <a:avLst/>
                    </a:prstGeom>
                  </pic:spPr>
                </pic:pic>
              </a:graphicData>
            </a:graphic>
          </wp:inline>
        </w:drawing>
      </w:r>
    </w:p>
    <w:p w14:paraId="2D562D89" w14:textId="77777777" w:rsidR="00413229" w:rsidRPr="00DB6500" w:rsidRDefault="00413229" w:rsidP="00413229">
      <w:pPr>
        <w:spacing w:line="480" w:lineRule="auto"/>
        <w:rPr>
          <w:rFonts w:cs="Times New Roman"/>
        </w:rPr>
      </w:pPr>
      <w:r w:rsidRPr="00DB6500">
        <w:rPr>
          <w:rFonts w:cs="Times New Roman"/>
        </w:rPr>
        <w:t>The graphs above show that there were t</w:t>
      </w:r>
      <w:r>
        <w:rPr>
          <w:rFonts w:cs="Times New Roman"/>
        </w:rPr>
        <w:t>hree</w:t>
      </w:r>
      <w:r w:rsidRPr="00DB6500">
        <w:rPr>
          <w:rFonts w:cs="Times New Roman"/>
        </w:rPr>
        <w:t xml:space="preserve"> main corporate governance phases in Brazil,</w:t>
      </w:r>
      <w:r>
        <w:rPr>
          <w:rFonts w:cs="Times New Roman"/>
        </w:rPr>
        <w:t xml:space="preserve"> a steady even phase of no shift to shareholder value from 1995 to 2001, a sharp rise in shareholder primacy regulation and then slow growth from 2002 onwards. </w:t>
      </w:r>
      <w:r w:rsidRPr="00DB6500">
        <w:rPr>
          <w:rFonts w:cs="Times New Roman"/>
        </w:rPr>
        <w:t xml:space="preserve">The graph above </w:t>
      </w:r>
      <w:r>
        <w:rPr>
          <w:rFonts w:cs="Times New Roman"/>
        </w:rPr>
        <w:t xml:space="preserve">also </w:t>
      </w:r>
      <w:r w:rsidRPr="00DB6500">
        <w:rPr>
          <w:rFonts w:cs="Times New Roman"/>
        </w:rPr>
        <w:t xml:space="preserve">shows that control variables have more impact and correlate more closely to the changes in financial market development in Brazil than </w:t>
      </w:r>
      <w:r>
        <w:rPr>
          <w:rFonts w:cs="Times New Roman"/>
        </w:rPr>
        <w:t>any</w:t>
      </w:r>
      <w:r w:rsidRPr="00DB6500">
        <w:rPr>
          <w:rFonts w:cs="Times New Roman"/>
        </w:rPr>
        <w:t xml:space="preserve"> change in </w:t>
      </w:r>
      <w:r>
        <w:rPr>
          <w:rFonts w:cs="Times New Roman"/>
        </w:rPr>
        <w:t xml:space="preserve">its </w:t>
      </w:r>
      <w:r w:rsidRPr="00DB6500">
        <w:rPr>
          <w:rFonts w:cs="Times New Roman"/>
        </w:rPr>
        <w:t>corporate governance models.</w:t>
      </w:r>
    </w:p>
    <w:p w14:paraId="5E1DB8E2"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77A1D794" wp14:editId="5147C5BA">
            <wp:extent cx="5694810" cy="1895475"/>
            <wp:effectExtent l="0" t="0" r="127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95419" cy="1895678"/>
                    </a:xfrm>
                    <a:prstGeom prst="rect">
                      <a:avLst/>
                    </a:prstGeom>
                    <a:noFill/>
                    <a:ln>
                      <a:noFill/>
                    </a:ln>
                  </pic:spPr>
                </pic:pic>
              </a:graphicData>
            </a:graphic>
          </wp:inline>
        </w:drawing>
      </w:r>
    </w:p>
    <w:p w14:paraId="354AA752" w14:textId="77777777" w:rsidR="00413229" w:rsidRPr="00AC1055" w:rsidRDefault="00413229" w:rsidP="00413229">
      <w:pPr>
        <w:spacing w:line="480" w:lineRule="auto"/>
        <w:rPr>
          <w:rFonts w:cs="Times New Roman"/>
        </w:rPr>
      </w:pPr>
    </w:p>
    <w:p w14:paraId="0C01B9E0" w14:textId="77777777" w:rsidR="00413229" w:rsidRPr="00AC1055" w:rsidRDefault="00413229" w:rsidP="00413229">
      <w:pPr>
        <w:spacing w:line="480" w:lineRule="auto"/>
        <w:rPr>
          <w:rFonts w:cs="Times New Roman"/>
        </w:rPr>
      </w:pPr>
      <w:r>
        <w:rPr>
          <w:rFonts w:cs="Times New Roman"/>
        </w:rPr>
        <w:lastRenderedPageBreak/>
        <w:t>This is borne out by the three regression graphs above. The graphs show that t</w:t>
      </w:r>
      <w:r w:rsidRPr="00AC1055">
        <w:rPr>
          <w:rFonts w:cs="Times New Roman"/>
        </w:rPr>
        <w:t xml:space="preserve">here was higher financial market development with more shareholder primacy corporate governance. </w:t>
      </w:r>
      <w:r>
        <w:rPr>
          <w:rFonts w:cs="Times New Roman"/>
        </w:rPr>
        <w:t>However,</w:t>
      </w:r>
      <w:r w:rsidRPr="00AC1055">
        <w:rPr>
          <w:rFonts w:cs="Times New Roman"/>
        </w:rPr>
        <w:t xml:space="preserve"> the control variables on the Z axis show that higher financial market development always coincided with higher economic development (control 1) and more high technology export and investment in R&amp;D (control 3). The mean Bayesian and frequentist coefficients diverge significantly for </w:t>
      </w:r>
      <w:r>
        <w:rPr>
          <w:rFonts w:cs="Times New Roman"/>
        </w:rPr>
        <w:t xml:space="preserve">the </w:t>
      </w:r>
      <w:r w:rsidRPr="00AC1055">
        <w:rPr>
          <w:rFonts w:cs="Times New Roman"/>
        </w:rPr>
        <w:t xml:space="preserve">impact of corporate governance. Bayesian analysis </w:t>
      </w:r>
      <w:r>
        <w:rPr>
          <w:rFonts w:cs="Times New Roman"/>
        </w:rPr>
        <w:t>shows</w:t>
      </w:r>
      <w:r w:rsidRPr="00AC1055">
        <w:rPr>
          <w:rFonts w:cs="Times New Roman"/>
        </w:rPr>
        <w:t xml:space="preserve"> almost double the impact of change in corporate governance in comparison to frequentist analysis.</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4663B3EA" w14:textId="77777777" w:rsidTr="00413229">
        <w:tc>
          <w:tcPr>
            <w:tcW w:w="1809" w:type="dxa"/>
          </w:tcPr>
          <w:p w14:paraId="39448BFC" w14:textId="77777777" w:rsidR="00413229" w:rsidRPr="00AC1055" w:rsidRDefault="00413229" w:rsidP="00413229">
            <w:pPr>
              <w:rPr>
                <w:rFonts w:cs="Times New Roman"/>
              </w:rPr>
            </w:pPr>
          </w:p>
        </w:tc>
        <w:tc>
          <w:tcPr>
            <w:tcW w:w="1138" w:type="dxa"/>
          </w:tcPr>
          <w:p w14:paraId="15BB1293" w14:textId="77777777" w:rsidR="00413229" w:rsidRPr="00AC1055" w:rsidRDefault="00413229" w:rsidP="00413229">
            <w:pPr>
              <w:jc w:val="center"/>
              <w:rPr>
                <w:rFonts w:cs="Times New Roman"/>
              </w:rPr>
            </w:pPr>
            <w:r w:rsidRPr="00AC1055">
              <w:rPr>
                <w:rFonts w:cs="Times New Roman"/>
              </w:rPr>
              <w:t>CG</w:t>
            </w:r>
          </w:p>
        </w:tc>
        <w:tc>
          <w:tcPr>
            <w:tcW w:w="1298" w:type="dxa"/>
          </w:tcPr>
          <w:p w14:paraId="44C44494"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3887BDEE"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4A8E16F9"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48141B2F"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5A43FCF8" w14:textId="77777777" w:rsidTr="00413229">
        <w:tc>
          <w:tcPr>
            <w:tcW w:w="1809" w:type="dxa"/>
          </w:tcPr>
          <w:p w14:paraId="79F9E9AD" w14:textId="77777777" w:rsidR="00413229" w:rsidRPr="00AC1055" w:rsidRDefault="00413229" w:rsidP="00413229">
            <w:pPr>
              <w:rPr>
                <w:rFonts w:cs="Times New Roman"/>
              </w:rPr>
            </w:pPr>
            <w:r w:rsidRPr="00AC1055">
              <w:rPr>
                <w:rFonts w:cs="Times New Roman"/>
              </w:rPr>
              <w:t>Mean Bayesian</w:t>
            </w:r>
          </w:p>
        </w:tc>
        <w:tc>
          <w:tcPr>
            <w:tcW w:w="1138" w:type="dxa"/>
          </w:tcPr>
          <w:p w14:paraId="0386919B" w14:textId="77777777" w:rsidR="00413229" w:rsidRPr="00AC1055" w:rsidRDefault="00413229" w:rsidP="00413229">
            <w:pPr>
              <w:jc w:val="center"/>
              <w:rPr>
                <w:rFonts w:cs="Times New Roman"/>
              </w:rPr>
            </w:pPr>
            <w:r w:rsidRPr="00AC1055">
              <w:rPr>
                <w:rFonts w:cs="Times New Roman"/>
              </w:rPr>
              <w:t>0.062853</w:t>
            </w:r>
          </w:p>
        </w:tc>
        <w:tc>
          <w:tcPr>
            <w:tcW w:w="1298" w:type="dxa"/>
            <w:vAlign w:val="bottom"/>
          </w:tcPr>
          <w:p w14:paraId="5C8C8F3E" w14:textId="77777777" w:rsidR="00413229" w:rsidRPr="00AC1055" w:rsidRDefault="00413229" w:rsidP="00413229">
            <w:pPr>
              <w:jc w:val="center"/>
              <w:rPr>
                <w:rFonts w:cs="Times New Roman"/>
                <w:color w:val="000000"/>
                <w:szCs w:val="24"/>
              </w:rPr>
            </w:pPr>
            <w:r w:rsidRPr="00AC1055">
              <w:rPr>
                <w:rFonts w:cs="Times New Roman"/>
                <w:color w:val="000000"/>
                <w:szCs w:val="24"/>
              </w:rPr>
              <w:t>0.418122</w:t>
            </w:r>
          </w:p>
        </w:tc>
        <w:tc>
          <w:tcPr>
            <w:tcW w:w="1395" w:type="dxa"/>
            <w:vAlign w:val="bottom"/>
          </w:tcPr>
          <w:p w14:paraId="1760369C" w14:textId="77777777" w:rsidR="00413229" w:rsidRPr="00AC1055" w:rsidRDefault="00413229" w:rsidP="00413229">
            <w:pPr>
              <w:jc w:val="center"/>
              <w:rPr>
                <w:rFonts w:cs="Times New Roman"/>
                <w:color w:val="000000"/>
                <w:szCs w:val="24"/>
              </w:rPr>
            </w:pPr>
            <w:r w:rsidRPr="00AC1055">
              <w:rPr>
                <w:rFonts w:cs="Times New Roman"/>
                <w:color w:val="000000"/>
                <w:szCs w:val="24"/>
              </w:rPr>
              <w:t>0.084039</w:t>
            </w:r>
          </w:p>
        </w:tc>
        <w:tc>
          <w:tcPr>
            <w:tcW w:w="1395" w:type="dxa"/>
            <w:vAlign w:val="bottom"/>
          </w:tcPr>
          <w:p w14:paraId="611BC687" w14:textId="77777777" w:rsidR="00413229" w:rsidRPr="00AC1055" w:rsidRDefault="00413229" w:rsidP="00413229">
            <w:pPr>
              <w:jc w:val="center"/>
              <w:rPr>
                <w:rFonts w:cs="Times New Roman"/>
                <w:color w:val="000000"/>
                <w:szCs w:val="24"/>
              </w:rPr>
            </w:pPr>
            <w:r w:rsidRPr="00AC1055">
              <w:rPr>
                <w:rFonts w:cs="Times New Roman"/>
                <w:color w:val="000000"/>
                <w:szCs w:val="24"/>
              </w:rPr>
              <w:t>0.43738</w:t>
            </w:r>
          </w:p>
        </w:tc>
        <w:tc>
          <w:tcPr>
            <w:tcW w:w="1379" w:type="dxa"/>
          </w:tcPr>
          <w:p w14:paraId="019C0A4E" w14:textId="77777777" w:rsidR="00413229" w:rsidRPr="00AC1055" w:rsidRDefault="00413229" w:rsidP="00413229">
            <w:pPr>
              <w:jc w:val="center"/>
              <w:rPr>
                <w:rFonts w:cs="Times New Roman"/>
                <w:color w:val="000000"/>
                <w:szCs w:val="24"/>
              </w:rPr>
            </w:pPr>
            <w:r w:rsidRPr="00AC1055">
              <w:rPr>
                <w:rFonts w:cs="Times New Roman"/>
                <w:color w:val="000000"/>
                <w:szCs w:val="24"/>
              </w:rPr>
              <w:t>-0.11515</w:t>
            </w:r>
          </w:p>
        </w:tc>
      </w:tr>
      <w:tr w:rsidR="00413229" w:rsidRPr="00AC1055" w14:paraId="26806F6F" w14:textId="77777777" w:rsidTr="00413229">
        <w:tc>
          <w:tcPr>
            <w:tcW w:w="1809" w:type="dxa"/>
          </w:tcPr>
          <w:p w14:paraId="7D4C9D7E" w14:textId="77777777" w:rsidR="00413229" w:rsidRPr="00AC1055" w:rsidRDefault="00413229" w:rsidP="00413229">
            <w:pPr>
              <w:rPr>
                <w:rFonts w:cs="Times New Roman"/>
              </w:rPr>
            </w:pPr>
            <w:r w:rsidRPr="00AC1055">
              <w:rPr>
                <w:rFonts w:cs="Times New Roman"/>
              </w:rPr>
              <w:t>Frequentist</w:t>
            </w:r>
          </w:p>
        </w:tc>
        <w:tc>
          <w:tcPr>
            <w:tcW w:w="1138" w:type="dxa"/>
          </w:tcPr>
          <w:p w14:paraId="7F42E98C" w14:textId="77777777" w:rsidR="00413229" w:rsidRPr="00AC1055" w:rsidRDefault="00413229" w:rsidP="00413229">
            <w:pPr>
              <w:jc w:val="center"/>
              <w:rPr>
                <w:rFonts w:cs="Times New Roman"/>
              </w:rPr>
            </w:pPr>
            <w:r w:rsidRPr="00AC1055">
              <w:rPr>
                <w:rFonts w:cs="Times New Roman"/>
              </w:rPr>
              <w:t>0.038065</w:t>
            </w:r>
          </w:p>
        </w:tc>
        <w:tc>
          <w:tcPr>
            <w:tcW w:w="1298" w:type="dxa"/>
          </w:tcPr>
          <w:p w14:paraId="4506ACF3" w14:textId="77777777" w:rsidR="00413229" w:rsidRPr="00AC1055" w:rsidRDefault="00413229" w:rsidP="00413229">
            <w:pPr>
              <w:jc w:val="center"/>
              <w:rPr>
                <w:rFonts w:cs="Times New Roman"/>
              </w:rPr>
            </w:pPr>
            <w:r w:rsidRPr="00AC1055">
              <w:rPr>
                <w:rFonts w:cs="Times New Roman"/>
              </w:rPr>
              <w:t>0.42516</w:t>
            </w:r>
          </w:p>
        </w:tc>
        <w:tc>
          <w:tcPr>
            <w:tcW w:w="1395" w:type="dxa"/>
          </w:tcPr>
          <w:p w14:paraId="2C25C151" w14:textId="77777777" w:rsidR="00413229" w:rsidRPr="00AC1055" w:rsidRDefault="00413229" w:rsidP="00413229">
            <w:pPr>
              <w:jc w:val="center"/>
              <w:rPr>
                <w:rFonts w:cs="Times New Roman"/>
              </w:rPr>
            </w:pPr>
            <w:r w:rsidRPr="00AC1055">
              <w:rPr>
                <w:rFonts w:cs="Times New Roman"/>
              </w:rPr>
              <w:t>0.092546</w:t>
            </w:r>
          </w:p>
        </w:tc>
        <w:tc>
          <w:tcPr>
            <w:tcW w:w="1395" w:type="dxa"/>
          </w:tcPr>
          <w:p w14:paraId="3F760E80" w14:textId="77777777" w:rsidR="00413229" w:rsidRPr="00AC1055" w:rsidRDefault="00413229" w:rsidP="00413229">
            <w:pPr>
              <w:jc w:val="center"/>
              <w:rPr>
                <w:rFonts w:cs="Times New Roman"/>
              </w:rPr>
            </w:pPr>
            <w:r w:rsidRPr="00AC1055">
              <w:rPr>
                <w:rFonts w:cs="Times New Roman"/>
              </w:rPr>
              <w:t>0.446796</w:t>
            </w:r>
          </w:p>
        </w:tc>
        <w:tc>
          <w:tcPr>
            <w:tcW w:w="1379" w:type="dxa"/>
          </w:tcPr>
          <w:p w14:paraId="2F1728AE" w14:textId="77777777" w:rsidR="00413229" w:rsidRPr="00AC1055" w:rsidRDefault="00413229" w:rsidP="00413229">
            <w:pPr>
              <w:jc w:val="center"/>
              <w:rPr>
                <w:rFonts w:cs="Times New Roman"/>
              </w:rPr>
            </w:pPr>
            <w:r w:rsidRPr="00AC1055">
              <w:rPr>
                <w:rFonts w:cs="Times New Roman"/>
              </w:rPr>
              <w:t>-0.11254</w:t>
            </w:r>
          </w:p>
        </w:tc>
      </w:tr>
    </w:tbl>
    <w:p w14:paraId="283FAF19" w14:textId="77777777" w:rsidR="00413229" w:rsidRPr="00AC1055" w:rsidRDefault="00413229" w:rsidP="00413229">
      <w:pPr>
        <w:spacing w:line="480" w:lineRule="auto"/>
        <w:rPr>
          <w:rFonts w:cs="Times New Roman"/>
        </w:rPr>
      </w:pPr>
      <w:r w:rsidRPr="00AC1055">
        <w:rPr>
          <w:rFonts w:cs="Times New Roman"/>
        </w:rPr>
        <w:t xml:space="preserve">The Bayesian analysis puts the corporate governance coefficient high density interval to be between 0.049519 and 0.0761. The frequentist coefficient of 0.38065 falls outside this area. Please note that the frequentist coefficient </w:t>
      </w:r>
      <w:r>
        <w:rPr>
          <w:rFonts w:cs="Times New Roman"/>
        </w:rPr>
        <w:t xml:space="preserve">is not treated </w:t>
      </w:r>
      <w:r w:rsidRPr="00AC1055">
        <w:rPr>
          <w:rFonts w:cs="Times New Roman"/>
        </w:rPr>
        <w:t xml:space="preserve">as </w:t>
      </w:r>
      <w:r>
        <w:rPr>
          <w:rFonts w:cs="Times New Roman"/>
        </w:rPr>
        <w:t xml:space="preserve">a </w:t>
      </w:r>
      <w:r w:rsidRPr="00AC1055">
        <w:rPr>
          <w:rFonts w:cs="Times New Roman"/>
        </w:rPr>
        <w:t>marke</w:t>
      </w:r>
      <w:r>
        <w:rPr>
          <w:rFonts w:cs="Times New Roman"/>
        </w:rPr>
        <w:t>r</w:t>
      </w:r>
      <w:r w:rsidRPr="00AC1055">
        <w:rPr>
          <w:rFonts w:cs="Times New Roman"/>
        </w:rPr>
        <w:t xml:space="preserve"> for region of practical equivalence to test the significance of </w:t>
      </w:r>
      <w:r>
        <w:rPr>
          <w:rFonts w:cs="Times New Roman"/>
        </w:rPr>
        <w:t xml:space="preserve">the </w:t>
      </w:r>
      <w:r w:rsidRPr="00AC1055">
        <w:rPr>
          <w:rFonts w:cs="Times New Roman"/>
        </w:rPr>
        <w:t>Bayesian output, as there is no intuitive or scientific reason to prefer frequentist analysis as a standard. However</w:t>
      </w:r>
      <w:r>
        <w:rPr>
          <w:rFonts w:cs="Times New Roman"/>
        </w:rPr>
        <w:t>,</w:t>
      </w:r>
      <w:r w:rsidRPr="00AC1055">
        <w:rPr>
          <w:rFonts w:cs="Times New Roman"/>
        </w:rPr>
        <w:t xml:space="preserve"> what is clear from both the Bayesian and frequentist coefficient is that in comparison to the controls they tend to be insignificant. </w:t>
      </w:r>
    </w:p>
    <w:p w14:paraId="2E2D0748" w14:textId="77777777" w:rsidR="00413229" w:rsidRPr="00AC1055" w:rsidRDefault="00413229" w:rsidP="00413229">
      <w:pPr>
        <w:spacing w:line="480" w:lineRule="auto"/>
        <w:rPr>
          <w:rFonts w:cs="Times New Roman"/>
        </w:rPr>
      </w:pPr>
      <w:r w:rsidRPr="00AC1055">
        <w:rPr>
          <w:rFonts w:cs="Times New Roman"/>
        </w:rPr>
        <w:t>Therefore</w:t>
      </w:r>
      <w:r>
        <w:rPr>
          <w:rFonts w:cs="Times New Roman"/>
        </w:rPr>
        <w:t>,</w:t>
      </w:r>
      <w:r w:rsidRPr="00AC1055">
        <w:rPr>
          <w:rFonts w:cs="Times New Roman"/>
        </w:rPr>
        <w:t xml:space="preserve"> we can conclude that change in corporate governance policies had little impact on financial market development in Brazil</w:t>
      </w:r>
      <w:r>
        <w:rPr>
          <w:rFonts w:cs="Times New Roman"/>
        </w:rPr>
        <w:t xml:space="preserve">, at least compared </w:t>
      </w:r>
      <w:r w:rsidRPr="00AC1055">
        <w:rPr>
          <w:rFonts w:cs="Times New Roman"/>
        </w:rPr>
        <w:t>to the impact of economic, financial and technological investment controls.</w:t>
      </w:r>
    </w:p>
    <w:p w14:paraId="107D2DA6" w14:textId="77777777" w:rsidR="00413229" w:rsidRDefault="00413229" w:rsidP="00413229">
      <w:pPr>
        <w:spacing w:line="480" w:lineRule="auto"/>
        <w:rPr>
          <w:rFonts w:cs="Times New Roman"/>
        </w:rPr>
      </w:pPr>
    </w:p>
    <w:p w14:paraId="2D4D00A3" w14:textId="77777777" w:rsidR="00413229" w:rsidRDefault="00413229" w:rsidP="00413229">
      <w:pPr>
        <w:spacing w:line="480" w:lineRule="auto"/>
        <w:rPr>
          <w:rFonts w:cs="Times New Roman"/>
        </w:rPr>
      </w:pPr>
    </w:p>
    <w:p w14:paraId="7E1E440E" w14:textId="77777777" w:rsidR="00413229" w:rsidRDefault="00413229" w:rsidP="00413229">
      <w:pPr>
        <w:spacing w:line="480" w:lineRule="auto"/>
        <w:rPr>
          <w:rFonts w:cs="Times New Roman"/>
        </w:rPr>
      </w:pPr>
    </w:p>
    <w:p w14:paraId="6A25BAEE" w14:textId="77777777" w:rsidR="00413229" w:rsidRDefault="00413229" w:rsidP="00413229">
      <w:pPr>
        <w:spacing w:line="480" w:lineRule="auto"/>
        <w:rPr>
          <w:rFonts w:cs="Times New Roman"/>
        </w:rPr>
      </w:pPr>
    </w:p>
    <w:p w14:paraId="4481213D" w14:textId="77777777" w:rsidR="00413229" w:rsidRDefault="00413229" w:rsidP="00413229">
      <w:pPr>
        <w:spacing w:line="480" w:lineRule="auto"/>
        <w:rPr>
          <w:rFonts w:cs="Times New Roman"/>
        </w:rPr>
      </w:pPr>
    </w:p>
    <w:p w14:paraId="28E506C4" w14:textId="77777777" w:rsidR="00413229" w:rsidRPr="00AC1055" w:rsidRDefault="00413229" w:rsidP="00413229">
      <w:pPr>
        <w:spacing w:line="480" w:lineRule="auto"/>
        <w:rPr>
          <w:rFonts w:cs="Times New Roman"/>
        </w:rPr>
      </w:pPr>
    </w:p>
    <w:p w14:paraId="75414C5D" w14:textId="77777777" w:rsidR="00413229" w:rsidRDefault="00413229" w:rsidP="00413229">
      <w:pPr>
        <w:spacing w:line="480" w:lineRule="auto"/>
        <w:rPr>
          <w:rFonts w:cs="Times New Roman"/>
          <w:u w:val="single"/>
        </w:rPr>
      </w:pPr>
      <w:r>
        <w:rPr>
          <w:rFonts w:cs="Times New Roman"/>
          <w:u w:val="single"/>
        </w:rPr>
        <w:t xml:space="preserve">4.4.2 </w:t>
      </w:r>
      <w:r w:rsidRPr="00AC1055">
        <w:rPr>
          <w:rFonts w:cs="Times New Roman"/>
          <w:u w:val="single"/>
        </w:rPr>
        <w:t>China</w:t>
      </w:r>
    </w:p>
    <w:p w14:paraId="651B90B5" w14:textId="77777777" w:rsidR="00413229" w:rsidRDefault="00413229" w:rsidP="00413229">
      <w:pPr>
        <w:spacing w:line="480" w:lineRule="auto"/>
        <w:rPr>
          <w:rFonts w:cs="Times New Roman"/>
        </w:rPr>
      </w:pPr>
      <w:r w:rsidRPr="00AC1055">
        <w:rPr>
          <w:rFonts w:cs="Times New Roman"/>
          <w:noProof/>
          <w:lang w:eastAsia="en-GB"/>
        </w:rPr>
        <w:drawing>
          <wp:inline distT="0" distB="0" distL="0" distR="0" wp14:anchorId="0140919C" wp14:editId="251EAD4B">
            <wp:extent cx="5619048" cy="3390476"/>
            <wp:effectExtent l="0" t="0" r="1270"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19048" cy="3390476"/>
                    </a:xfrm>
                    <a:prstGeom prst="rect">
                      <a:avLst/>
                    </a:prstGeom>
                  </pic:spPr>
                </pic:pic>
              </a:graphicData>
            </a:graphic>
          </wp:inline>
        </w:drawing>
      </w:r>
    </w:p>
    <w:p w14:paraId="6D8B526F" w14:textId="77777777" w:rsidR="00413229" w:rsidRPr="00431F7A" w:rsidRDefault="00413229" w:rsidP="00413229">
      <w:pPr>
        <w:spacing w:line="480" w:lineRule="auto"/>
        <w:rPr>
          <w:rFonts w:cs="Times New Roman"/>
        </w:rPr>
      </w:pPr>
      <w:r w:rsidRPr="00431F7A">
        <w:rPr>
          <w:rFonts w:cs="Times New Roman"/>
        </w:rPr>
        <w:t>The graphs above show that in comparison to other countries</w:t>
      </w:r>
      <w:r>
        <w:rPr>
          <w:rFonts w:cs="Times New Roman"/>
        </w:rPr>
        <w:t>,</w:t>
      </w:r>
      <w:r w:rsidRPr="00431F7A">
        <w:rPr>
          <w:rFonts w:cs="Times New Roman"/>
        </w:rPr>
        <w:t xml:space="preserve"> Chinese corporate governance was non-existent for a period of time (the Chinese corporate governance index starts at -3, one of the lowest among the countries studied), then it was aggressively developed over a short period of time with some rapid bursts followed by a slow tapering off (between 1995 and 2014</w:t>
      </w:r>
      <w:r>
        <w:rPr>
          <w:rFonts w:cs="Times New Roman"/>
        </w:rPr>
        <w:t xml:space="preserve"> </w:t>
      </w:r>
      <w:r w:rsidRPr="00431F7A">
        <w:rPr>
          <w:rFonts w:cs="Times New Roman"/>
        </w:rPr>
        <w:t>China ha</w:t>
      </w:r>
      <w:r>
        <w:rPr>
          <w:rFonts w:cs="Times New Roman"/>
        </w:rPr>
        <w:t>d</w:t>
      </w:r>
      <w:r w:rsidRPr="00431F7A">
        <w:rPr>
          <w:rFonts w:cs="Times New Roman"/>
        </w:rPr>
        <w:t xml:space="preserve"> one of the highest </w:t>
      </w:r>
      <w:r>
        <w:rPr>
          <w:rFonts w:cs="Times New Roman"/>
        </w:rPr>
        <w:t>degrees of shareholder value shift</w:t>
      </w:r>
      <w:r w:rsidRPr="00431F7A">
        <w:rPr>
          <w:rFonts w:cs="Times New Roman"/>
        </w:rPr>
        <w:t xml:space="preserve">, in </w:t>
      </w:r>
      <w:r>
        <w:rPr>
          <w:rFonts w:cs="Times New Roman"/>
        </w:rPr>
        <w:t xml:space="preserve">the </w:t>
      </w:r>
      <w:r w:rsidRPr="00431F7A">
        <w:rPr>
          <w:rFonts w:cs="Times New Roman"/>
        </w:rPr>
        <w:t>corporate governance model, among the countries studied).</w:t>
      </w:r>
    </w:p>
    <w:p w14:paraId="14E64EA2" w14:textId="77777777" w:rsidR="00413229" w:rsidRDefault="00413229" w:rsidP="00413229">
      <w:pPr>
        <w:spacing w:line="480" w:lineRule="auto"/>
        <w:rPr>
          <w:rFonts w:cs="Times New Roman"/>
        </w:rPr>
      </w:pPr>
      <w:r>
        <w:rPr>
          <w:rFonts w:cs="Times New Roman"/>
        </w:rPr>
        <w:t>Increased shareholder value</w:t>
      </w:r>
      <w:r w:rsidRPr="00431F7A">
        <w:rPr>
          <w:rFonts w:cs="Times New Roman"/>
        </w:rPr>
        <w:t xml:space="preserve"> corporate governance tends to coincide with higher financial market development, but the control variables show much </w:t>
      </w:r>
      <w:r>
        <w:rPr>
          <w:rFonts w:cs="Times New Roman"/>
        </w:rPr>
        <w:t>greater</w:t>
      </w:r>
      <w:r w:rsidRPr="00431F7A">
        <w:rPr>
          <w:rFonts w:cs="Times New Roman"/>
        </w:rPr>
        <w:t xml:space="preserve"> influence on financial market</w:t>
      </w:r>
      <w:r>
        <w:rPr>
          <w:rFonts w:cs="Times New Roman"/>
        </w:rPr>
        <w:t>s</w:t>
      </w:r>
      <w:r w:rsidRPr="00431F7A">
        <w:rPr>
          <w:rFonts w:cs="Times New Roman"/>
        </w:rPr>
        <w:t>.</w:t>
      </w:r>
    </w:p>
    <w:p w14:paraId="62635C50" w14:textId="77777777" w:rsidR="00413229" w:rsidRPr="00DB6500" w:rsidRDefault="00413229" w:rsidP="00413229">
      <w:pPr>
        <w:spacing w:line="480" w:lineRule="auto"/>
        <w:rPr>
          <w:rFonts w:cs="Times New Roman"/>
        </w:rPr>
      </w:pPr>
    </w:p>
    <w:p w14:paraId="18D9637F"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24EAE2C0" wp14:editId="6209B02F">
            <wp:extent cx="5419725" cy="1643983"/>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21594" cy="1644550"/>
                    </a:xfrm>
                    <a:prstGeom prst="rect">
                      <a:avLst/>
                    </a:prstGeom>
                    <a:noFill/>
                    <a:ln>
                      <a:noFill/>
                    </a:ln>
                  </pic:spPr>
                </pic:pic>
              </a:graphicData>
            </a:graphic>
          </wp:inline>
        </w:drawing>
      </w:r>
    </w:p>
    <w:p w14:paraId="66CAD155" w14:textId="77777777" w:rsidR="00413229" w:rsidRPr="00AC1055" w:rsidRDefault="00413229" w:rsidP="00413229">
      <w:pPr>
        <w:spacing w:line="480" w:lineRule="auto"/>
        <w:rPr>
          <w:rFonts w:cs="Times New Roman"/>
        </w:rPr>
      </w:pPr>
    </w:p>
    <w:p w14:paraId="0DCD8DB0" w14:textId="77777777" w:rsidR="00413229" w:rsidRPr="00AC1055" w:rsidRDefault="00413229" w:rsidP="00413229">
      <w:pPr>
        <w:spacing w:line="480" w:lineRule="auto"/>
        <w:rPr>
          <w:rFonts w:cs="Times New Roman"/>
        </w:rPr>
      </w:pPr>
      <w:r w:rsidRPr="00AC1055">
        <w:rPr>
          <w:rFonts w:cs="Times New Roman"/>
        </w:rPr>
        <w:t xml:space="preserve">This is proved by the fact that the regression planes have </w:t>
      </w:r>
      <w:r>
        <w:rPr>
          <w:rFonts w:cs="Times New Roman"/>
        </w:rPr>
        <w:t xml:space="preserve">a </w:t>
      </w:r>
      <w:r w:rsidRPr="00AC1055">
        <w:rPr>
          <w:rFonts w:cs="Times New Roman"/>
        </w:rPr>
        <w:t xml:space="preserve">remarkably high tilt towards </w:t>
      </w:r>
      <w:r>
        <w:rPr>
          <w:rFonts w:cs="Times New Roman"/>
        </w:rPr>
        <w:t xml:space="preserve">the </w:t>
      </w:r>
      <w:r w:rsidRPr="00AC1055">
        <w:rPr>
          <w:rFonts w:cs="Times New Roman"/>
        </w:rPr>
        <w:t xml:space="preserve">Z axis which denotes the control variables. </w:t>
      </w:r>
      <w:r>
        <w:rPr>
          <w:rFonts w:cs="Times New Roman"/>
        </w:rPr>
        <w:t>C</w:t>
      </w:r>
      <w:r w:rsidRPr="00AC1055">
        <w:rPr>
          <w:rFonts w:cs="Times New Roman"/>
        </w:rPr>
        <w:t xml:space="preserve">hange in corporate governance has </w:t>
      </w:r>
      <w:r>
        <w:rPr>
          <w:rFonts w:cs="Times New Roman"/>
        </w:rPr>
        <w:t xml:space="preserve">an impact </w:t>
      </w:r>
      <w:r w:rsidRPr="00AC1055">
        <w:rPr>
          <w:rFonts w:cs="Times New Roman"/>
        </w:rPr>
        <w:t xml:space="preserve">on financial market growth </w:t>
      </w:r>
      <w:r>
        <w:rPr>
          <w:rFonts w:cs="Times New Roman"/>
        </w:rPr>
        <w:t>comparable with that</w:t>
      </w:r>
      <w:r w:rsidRPr="00AC1055">
        <w:rPr>
          <w:rFonts w:cs="Times New Roman"/>
        </w:rPr>
        <w:t xml:space="preserve"> of financial and technological inclusion (control 2) where the regression plane is almost flat</w:t>
      </w:r>
      <w:r>
        <w:rPr>
          <w:rFonts w:cs="Times New Roman"/>
        </w:rPr>
        <w:t>,</w:t>
      </w:r>
      <w:r w:rsidRPr="00AC1055">
        <w:rPr>
          <w:rFonts w:cs="Times New Roman"/>
        </w:rPr>
        <w:t xml:space="preserve"> signifying similar importance between </w:t>
      </w:r>
      <w:r>
        <w:rPr>
          <w:rFonts w:cs="Times New Roman"/>
        </w:rPr>
        <w:t xml:space="preserve">the </w:t>
      </w:r>
      <w:r w:rsidRPr="00AC1055">
        <w:rPr>
          <w:rFonts w:cs="Times New Roman"/>
        </w:rPr>
        <w:t xml:space="preserve">variables in </w:t>
      </w:r>
      <w:r>
        <w:rPr>
          <w:rFonts w:cs="Times New Roman"/>
        </w:rPr>
        <w:t xml:space="preserve">the </w:t>
      </w:r>
      <w:r w:rsidRPr="00AC1055">
        <w:rPr>
          <w:rFonts w:cs="Times New Roman"/>
        </w:rPr>
        <w:t xml:space="preserve">X axis and </w:t>
      </w:r>
      <w:r>
        <w:rPr>
          <w:rFonts w:cs="Times New Roman"/>
        </w:rPr>
        <w:t xml:space="preserve">the </w:t>
      </w:r>
      <w:r w:rsidRPr="00AC1055">
        <w:rPr>
          <w:rFonts w:cs="Times New Roman"/>
        </w:rPr>
        <w:t>Z axis.</w:t>
      </w:r>
      <w:r>
        <w:rPr>
          <w:rFonts w:cs="Times New Roman"/>
        </w:rPr>
        <w:t xml:space="preserve"> The other control factors like the economic factors (control 1) and increase in investment in R&amp;D and technology-led exports have far more impact than shifts in the corporate governance model.</w:t>
      </w:r>
    </w:p>
    <w:p w14:paraId="21C14A51" w14:textId="77777777" w:rsidR="00413229" w:rsidRPr="00AC1055" w:rsidRDefault="00413229" w:rsidP="00413229">
      <w:pPr>
        <w:spacing w:line="480" w:lineRule="auto"/>
        <w:rPr>
          <w:rFonts w:cs="Times New Roman"/>
        </w:rPr>
      </w:pPr>
      <w:r w:rsidRPr="00AC1055">
        <w:rPr>
          <w:rFonts w:cs="Times New Roman"/>
        </w:rPr>
        <w:t>While the regression coefficients for control variables are comparable, the corporate governance regression coefficient</w:t>
      </w:r>
      <w:r>
        <w:rPr>
          <w:rFonts w:cs="Times New Roman"/>
        </w:rPr>
        <w:t>s</w:t>
      </w:r>
      <w:r w:rsidRPr="00AC1055">
        <w:rPr>
          <w:rFonts w:cs="Times New Roman"/>
        </w:rPr>
        <w:t xml:space="preserve"> diverge extremely between Bayesian and frequentist analysis. Bayesian analysis puts </w:t>
      </w:r>
      <w:r>
        <w:rPr>
          <w:rFonts w:cs="Times New Roman"/>
        </w:rPr>
        <w:t xml:space="preserve">the </w:t>
      </w:r>
      <w:r w:rsidRPr="00AC1055">
        <w:rPr>
          <w:rFonts w:cs="Times New Roman"/>
        </w:rPr>
        <w:t>impact of change in corporate governance at approximately five times that given by frequentist analysis.</w:t>
      </w:r>
    </w:p>
    <w:tbl>
      <w:tblPr>
        <w:tblStyle w:val="TableGrid"/>
        <w:tblW w:w="0" w:type="auto"/>
        <w:tblLook w:val="04A0" w:firstRow="1" w:lastRow="0" w:firstColumn="1" w:lastColumn="0" w:noHBand="0" w:noVBand="1"/>
      </w:tblPr>
      <w:tblGrid>
        <w:gridCol w:w="1809"/>
        <w:gridCol w:w="1162"/>
        <w:gridCol w:w="1434"/>
        <w:gridCol w:w="1367"/>
        <w:gridCol w:w="1435"/>
        <w:gridCol w:w="1207"/>
      </w:tblGrid>
      <w:tr w:rsidR="00413229" w:rsidRPr="00AC1055" w14:paraId="3EA93E42" w14:textId="77777777" w:rsidTr="00413229">
        <w:tc>
          <w:tcPr>
            <w:tcW w:w="1809" w:type="dxa"/>
          </w:tcPr>
          <w:p w14:paraId="0F4CD3CE" w14:textId="77777777" w:rsidR="00413229" w:rsidRPr="00AC1055" w:rsidRDefault="00413229" w:rsidP="00413229">
            <w:pPr>
              <w:rPr>
                <w:rFonts w:cs="Times New Roman"/>
              </w:rPr>
            </w:pPr>
          </w:p>
        </w:tc>
        <w:tc>
          <w:tcPr>
            <w:tcW w:w="1162" w:type="dxa"/>
          </w:tcPr>
          <w:p w14:paraId="1166392A" w14:textId="77777777" w:rsidR="00413229" w:rsidRPr="00AC1055" w:rsidRDefault="00413229" w:rsidP="00413229">
            <w:pPr>
              <w:jc w:val="center"/>
              <w:rPr>
                <w:rFonts w:cs="Times New Roman"/>
              </w:rPr>
            </w:pPr>
            <w:r w:rsidRPr="00AC1055">
              <w:rPr>
                <w:rFonts w:cs="Times New Roman"/>
              </w:rPr>
              <w:t>CG</w:t>
            </w:r>
          </w:p>
        </w:tc>
        <w:tc>
          <w:tcPr>
            <w:tcW w:w="1434" w:type="dxa"/>
          </w:tcPr>
          <w:p w14:paraId="19ABC3FF" w14:textId="77777777" w:rsidR="00413229" w:rsidRPr="00AC1055" w:rsidRDefault="00413229" w:rsidP="00413229">
            <w:pPr>
              <w:jc w:val="center"/>
              <w:rPr>
                <w:rFonts w:cs="Times New Roman"/>
              </w:rPr>
            </w:pPr>
            <w:r w:rsidRPr="00AC1055">
              <w:rPr>
                <w:rFonts w:cs="Times New Roman"/>
              </w:rPr>
              <w:t>Control 1</w:t>
            </w:r>
          </w:p>
        </w:tc>
        <w:tc>
          <w:tcPr>
            <w:tcW w:w="1367" w:type="dxa"/>
          </w:tcPr>
          <w:p w14:paraId="6D8AC8E7" w14:textId="77777777" w:rsidR="00413229" w:rsidRPr="00AC1055" w:rsidRDefault="00413229" w:rsidP="00413229">
            <w:pPr>
              <w:jc w:val="center"/>
              <w:rPr>
                <w:rFonts w:cs="Times New Roman"/>
              </w:rPr>
            </w:pPr>
            <w:r w:rsidRPr="00AC1055">
              <w:rPr>
                <w:rFonts w:cs="Times New Roman"/>
              </w:rPr>
              <w:t>Control 2</w:t>
            </w:r>
          </w:p>
        </w:tc>
        <w:tc>
          <w:tcPr>
            <w:tcW w:w="1435" w:type="dxa"/>
          </w:tcPr>
          <w:p w14:paraId="004A39C3" w14:textId="77777777" w:rsidR="00413229" w:rsidRPr="00AC1055" w:rsidRDefault="00413229" w:rsidP="00413229">
            <w:pPr>
              <w:jc w:val="center"/>
              <w:rPr>
                <w:rFonts w:cs="Times New Roman"/>
              </w:rPr>
            </w:pPr>
            <w:r w:rsidRPr="00AC1055">
              <w:rPr>
                <w:rFonts w:cs="Times New Roman"/>
              </w:rPr>
              <w:t>Control 3</w:t>
            </w:r>
          </w:p>
        </w:tc>
        <w:tc>
          <w:tcPr>
            <w:tcW w:w="1207" w:type="dxa"/>
          </w:tcPr>
          <w:p w14:paraId="3A969A46"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207F4D07" w14:textId="77777777" w:rsidTr="00413229">
        <w:tc>
          <w:tcPr>
            <w:tcW w:w="1809" w:type="dxa"/>
          </w:tcPr>
          <w:p w14:paraId="7DC62F22" w14:textId="77777777" w:rsidR="00413229" w:rsidRPr="00AC1055" w:rsidRDefault="00413229" w:rsidP="00413229">
            <w:pPr>
              <w:rPr>
                <w:rFonts w:cs="Times New Roman"/>
              </w:rPr>
            </w:pPr>
            <w:r w:rsidRPr="00AC1055">
              <w:rPr>
                <w:rFonts w:cs="Times New Roman"/>
              </w:rPr>
              <w:t>Mean Bayesian</w:t>
            </w:r>
          </w:p>
        </w:tc>
        <w:tc>
          <w:tcPr>
            <w:tcW w:w="1162" w:type="dxa"/>
          </w:tcPr>
          <w:p w14:paraId="370B1E4B" w14:textId="77777777" w:rsidR="00413229" w:rsidRPr="00AC1055" w:rsidRDefault="00413229" w:rsidP="00413229">
            <w:pPr>
              <w:jc w:val="center"/>
              <w:rPr>
                <w:rFonts w:cs="Times New Roman"/>
              </w:rPr>
            </w:pPr>
            <w:r w:rsidRPr="00AC1055">
              <w:rPr>
                <w:rFonts w:cs="Times New Roman"/>
              </w:rPr>
              <w:t>0.032681</w:t>
            </w:r>
          </w:p>
        </w:tc>
        <w:tc>
          <w:tcPr>
            <w:tcW w:w="1434" w:type="dxa"/>
            <w:vAlign w:val="bottom"/>
          </w:tcPr>
          <w:p w14:paraId="4095EF26" w14:textId="77777777" w:rsidR="00413229" w:rsidRPr="00AC1055" w:rsidRDefault="00413229" w:rsidP="00413229">
            <w:pPr>
              <w:jc w:val="center"/>
              <w:rPr>
                <w:rFonts w:cs="Times New Roman"/>
                <w:color w:val="000000"/>
                <w:szCs w:val="24"/>
              </w:rPr>
            </w:pPr>
            <w:r w:rsidRPr="00AC1055">
              <w:rPr>
                <w:rFonts w:cs="Times New Roman"/>
                <w:color w:val="000000"/>
                <w:szCs w:val="24"/>
              </w:rPr>
              <w:t>0.46066</w:t>
            </w:r>
          </w:p>
        </w:tc>
        <w:tc>
          <w:tcPr>
            <w:tcW w:w="1367" w:type="dxa"/>
            <w:vAlign w:val="bottom"/>
          </w:tcPr>
          <w:p w14:paraId="53045EB8" w14:textId="77777777" w:rsidR="00413229" w:rsidRPr="00AC1055" w:rsidRDefault="00413229" w:rsidP="00413229">
            <w:pPr>
              <w:jc w:val="center"/>
              <w:rPr>
                <w:rFonts w:cs="Times New Roman"/>
                <w:color w:val="000000"/>
                <w:szCs w:val="24"/>
              </w:rPr>
            </w:pPr>
            <w:r w:rsidRPr="00AC1055">
              <w:rPr>
                <w:rFonts w:cs="Times New Roman"/>
                <w:color w:val="000000"/>
                <w:szCs w:val="24"/>
              </w:rPr>
              <w:t>0.24393</w:t>
            </w:r>
          </w:p>
        </w:tc>
        <w:tc>
          <w:tcPr>
            <w:tcW w:w="1435" w:type="dxa"/>
            <w:vAlign w:val="bottom"/>
          </w:tcPr>
          <w:p w14:paraId="69B2917B" w14:textId="77777777" w:rsidR="00413229" w:rsidRPr="00AC1055" w:rsidRDefault="00413229" w:rsidP="00413229">
            <w:pPr>
              <w:jc w:val="center"/>
              <w:rPr>
                <w:rFonts w:cs="Times New Roman"/>
                <w:color w:val="000000"/>
                <w:szCs w:val="24"/>
              </w:rPr>
            </w:pPr>
            <w:r w:rsidRPr="00AC1055">
              <w:rPr>
                <w:rFonts w:cs="Times New Roman"/>
                <w:color w:val="000000"/>
                <w:szCs w:val="24"/>
              </w:rPr>
              <w:t>0.327721</w:t>
            </w:r>
          </w:p>
        </w:tc>
        <w:tc>
          <w:tcPr>
            <w:tcW w:w="1207" w:type="dxa"/>
          </w:tcPr>
          <w:p w14:paraId="02841752" w14:textId="77777777" w:rsidR="00413229" w:rsidRPr="00AC1055" w:rsidRDefault="00413229" w:rsidP="00413229">
            <w:pPr>
              <w:jc w:val="center"/>
              <w:rPr>
                <w:rFonts w:cs="Times New Roman"/>
                <w:color w:val="000000"/>
                <w:szCs w:val="24"/>
              </w:rPr>
            </w:pPr>
            <w:r w:rsidRPr="00AC1055">
              <w:rPr>
                <w:rFonts w:cs="Times New Roman"/>
                <w:color w:val="000000"/>
                <w:szCs w:val="24"/>
              </w:rPr>
              <w:t>-0.00826</w:t>
            </w:r>
          </w:p>
        </w:tc>
      </w:tr>
      <w:tr w:rsidR="00413229" w:rsidRPr="00AC1055" w14:paraId="1FA50AE4" w14:textId="77777777" w:rsidTr="00413229">
        <w:tc>
          <w:tcPr>
            <w:tcW w:w="1809" w:type="dxa"/>
          </w:tcPr>
          <w:p w14:paraId="4EBACDC7" w14:textId="77777777" w:rsidR="00413229" w:rsidRPr="00AC1055" w:rsidRDefault="00413229" w:rsidP="00413229">
            <w:pPr>
              <w:rPr>
                <w:rFonts w:cs="Times New Roman"/>
              </w:rPr>
            </w:pPr>
            <w:r w:rsidRPr="00AC1055">
              <w:rPr>
                <w:rFonts w:cs="Times New Roman"/>
              </w:rPr>
              <w:t>Frequentist</w:t>
            </w:r>
          </w:p>
        </w:tc>
        <w:tc>
          <w:tcPr>
            <w:tcW w:w="1162" w:type="dxa"/>
          </w:tcPr>
          <w:p w14:paraId="6F7519AA" w14:textId="77777777" w:rsidR="00413229" w:rsidRPr="00AC1055" w:rsidRDefault="00413229" w:rsidP="00413229">
            <w:pPr>
              <w:jc w:val="center"/>
              <w:rPr>
                <w:rFonts w:cs="Times New Roman"/>
              </w:rPr>
            </w:pPr>
            <w:r w:rsidRPr="00AC1055">
              <w:rPr>
                <w:rFonts w:cs="Times New Roman"/>
              </w:rPr>
              <w:t>0.005788</w:t>
            </w:r>
          </w:p>
        </w:tc>
        <w:tc>
          <w:tcPr>
            <w:tcW w:w="1434" w:type="dxa"/>
          </w:tcPr>
          <w:p w14:paraId="7A668ECF" w14:textId="77777777" w:rsidR="00413229" w:rsidRPr="00AC1055" w:rsidRDefault="00413229" w:rsidP="00413229">
            <w:pPr>
              <w:jc w:val="center"/>
              <w:rPr>
                <w:rFonts w:cs="Times New Roman"/>
              </w:rPr>
            </w:pPr>
            <w:r w:rsidRPr="00AC1055">
              <w:rPr>
                <w:rFonts w:cs="Times New Roman"/>
              </w:rPr>
              <w:t>0.460602</w:t>
            </w:r>
          </w:p>
        </w:tc>
        <w:tc>
          <w:tcPr>
            <w:tcW w:w="1367" w:type="dxa"/>
          </w:tcPr>
          <w:p w14:paraId="4B81855F" w14:textId="77777777" w:rsidR="00413229" w:rsidRPr="00AC1055" w:rsidRDefault="00413229" w:rsidP="00413229">
            <w:pPr>
              <w:jc w:val="center"/>
              <w:rPr>
                <w:rFonts w:cs="Times New Roman"/>
              </w:rPr>
            </w:pPr>
            <w:r w:rsidRPr="00AC1055">
              <w:rPr>
                <w:rFonts w:cs="Times New Roman"/>
              </w:rPr>
              <w:t>0.23133</w:t>
            </w:r>
          </w:p>
        </w:tc>
        <w:tc>
          <w:tcPr>
            <w:tcW w:w="1435" w:type="dxa"/>
          </w:tcPr>
          <w:p w14:paraId="42E67630" w14:textId="77777777" w:rsidR="00413229" w:rsidRPr="00AC1055" w:rsidRDefault="00413229" w:rsidP="00413229">
            <w:pPr>
              <w:jc w:val="center"/>
              <w:rPr>
                <w:rFonts w:cs="Times New Roman"/>
              </w:rPr>
            </w:pPr>
            <w:r w:rsidRPr="00AC1055">
              <w:rPr>
                <w:rFonts w:cs="Times New Roman"/>
              </w:rPr>
              <w:t>0.342759</w:t>
            </w:r>
          </w:p>
        </w:tc>
        <w:tc>
          <w:tcPr>
            <w:tcW w:w="1207" w:type="dxa"/>
          </w:tcPr>
          <w:p w14:paraId="1E50DFC3" w14:textId="77777777" w:rsidR="00413229" w:rsidRPr="00AC1055" w:rsidRDefault="00413229" w:rsidP="00413229">
            <w:pPr>
              <w:jc w:val="center"/>
              <w:rPr>
                <w:rFonts w:cs="Times New Roman"/>
              </w:rPr>
            </w:pPr>
            <w:r w:rsidRPr="00AC1055">
              <w:rPr>
                <w:rFonts w:cs="Times New Roman"/>
              </w:rPr>
              <w:t>-0.10093</w:t>
            </w:r>
          </w:p>
        </w:tc>
      </w:tr>
    </w:tbl>
    <w:p w14:paraId="199F9882" w14:textId="77777777" w:rsidR="00413229" w:rsidRDefault="00413229" w:rsidP="00413229">
      <w:pPr>
        <w:spacing w:line="480" w:lineRule="auto"/>
        <w:rPr>
          <w:rFonts w:cs="Times New Roman"/>
        </w:rPr>
      </w:pPr>
      <w:r w:rsidRPr="00AC1055">
        <w:rPr>
          <w:rFonts w:cs="Times New Roman"/>
        </w:rPr>
        <w:t xml:space="preserve">  </w:t>
      </w:r>
    </w:p>
    <w:p w14:paraId="1AAA783D" w14:textId="77777777" w:rsidR="00413229" w:rsidRPr="00AC1055" w:rsidRDefault="00413229" w:rsidP="00413229">
      <w:pPr>
        <w:spacing w:line="480" w:lineRule="auto"/>
        <w:rPr>
          <w:rFonts w:cs="Times New Roman"/>
        </w:rPr>
      </w:pPr>
      <w:r w:rsidRPr="00AC1055">
        <w:rPr>
          <w:rFonts w:cs="Times New Roman"/>
        </w:rPr>
        <w:t>Bayesian analysis puts the high density interval tightly between 0.018637</w:t>
      </w:r>
      <w:r w:rsidRPr="00AC1055">
        <w:rPr>
          <w:rFonts w:cs="Times New Roman"/>
        </w:rPr>
        <w:tab/>
        <w:t xml:space="preserve"> and 0.046816, the frequentist coefficient falls well out of this range. However</w:t>
      </w:r>
      <w:r>
        <w:rPr>
          <w:rFonts w:cs="Times New Roman"/>
        </w:rPr>
        <w:t>,</w:t>
      </w:r>
      <w:r w:rsidRPr="00AC1055">
        <w:rPr>
          <w:rFonts w:cs="Times New Roman"/>
        </w:rPr>
        <w:t xml:space="preserve"> both coefficient</w:t>
      </w:r>
      <w:r>
        <w:rPr>
          <w:rFonts w:cs="Times New Roman"/>
        </w:rPr>
        <w:t>s</w:t>
      </w:r>
      <w:r w:rsidRPr="00AC1055">
        <w:rPr>
          <w:rFonts w:cs="Times New Roman"/>
        </w:rPr>
        <w:t xml:space="preserve"> are </w:t>
      </w:r>
      <w:r>
        <w:rPr>
          <w:rFonts w:cs="Times New Roman"/>
        </w:rPr>
        <w:t xml:space="preserve">much </w:t>
      </w:r>
      <w:r w:rsidRPr="00AC1055">
        <w:rPr>
          <w:rFonts w:cs="Times New Roman"/>
        </w:rPr>
        <w:t>smaller in compariso</w:t>
      </w:r>
      <w:r>
        <w:rPr>
          <w:rFonts w:cs="Times New Roman"/>
        </w:rPr>
        <w:t xml:space="preserve">n to the control coefficients. </w:t>
      </w:r>
    </w:p>
    <w:p w14:paraId="18D37ACE" w14:textId="77777777" w:rsidR="00413229" w:rsidRDefault="00413229" w:rsidP="00413229">
      <w:pPr>
        <w:spacing w:line="480" w:lineRule="auto"/>
        <w:rPr>
          <w:rFonts w:cs="Times New Roman"/>
        </w:rPr>
      </w:pPr>
      <w:r>
        <w:rPr>
          <w:rFonts w:cs="Times New Roman"/>
        </w:rPr>
        <w:lastRenderedPageBreak/>
        <w:t>Thus, i</w:t>
      </w:r>
      <w:r w:rsidRPr="00AC1055">
        <w:rPr>
          <w:rFonts w:cs="Times New Roman"/>
        </w:rPr>
        <w:t xml:space="preserve">t is quite clear that in comparison to other control factors, the change in corporate governance has little correlation to the growth in </w:t>
      </w:r>
      <w:r>
        <w:rPr>
          <w:rFonts w:cs="Times New Roman"/>
        </w:rPr>
        <w:t xml:space="preserve">the </w:t>
      </w:r>
      <w:r w:rsidRPr="00AC1055">
        <w:rPr>
          <w:rFonts w:cs="Times New Roman"/>
        </w:rPr>
        <w:t>financial market in China.</w:t>
      </w:r>
    </w:p>
    <w:p w14:paraId="041ADE9F" w14:textId="77777777" w:rsidR="00413229" w:rsidRPr="00AC1055" w:rsidRDefault="00413229" w:rsidP="00413229">
      <w:pPr>
        <w:spacing w:line="480" w:lineRule="auto"/>
        <w:rPr>
          <w:rFonts w:cs="Times New Roman"/>
        </w:rPr>
      </w:pPr>
    </w:p>
    <w:p w14:paraId="15DB2C91" w14:textId="77777777" w:rsidR="00413229" w:rsidRDefault="00413229" w:rsidP="00413229">
      <w:pPr>
        <w:spacing w:line="480" w:lineRule="auto"/>
        <w:rPr>
          <w:rFonts w:cs="Times New Roman"/>
          <w:u w:val="single"/>
        </w:rPr>
      </w:pPr>
      <w:r w:rsidRPr="00012939">
        <w:rPr>
          <w:rFonts w:cs="Times New Roman"/>
          <w:u w:val="single"/>
        </w:rPr>
        <w:t xml:space="preserve">4.4.3 </w:t>
      </w:r>
      <w:r w:rsidRPr="00AC1055">
        <w:rPr>
          <w:rFonts w:cs="Times New Roman"/>
          <w:u w:val="single"/>
        </w:rPr>
        <w:t>Chile</w:t>
      </w:r>
    </w:p>
    <w:p w14:paraId="14497000" w14:textId="77777777" w:rsidR="00413229" w:rsidRDefault="00413229" w:rsidP="00413229">
      <w:pPr>
        <w:spacing w:line="480" w:lineRule="auto"/>
        <w:rPr>
          <w:rFonts w:cs="Times New Roman"/>
        </w:rPr>
      </w:pPr>
      <w:r w:rsidRPr="00AC1055">
        <w:rPr>
          <w:rFonts w:cs="Times New Roman"/>
          <w:noProof/>
          <w:lang w:eastAsia="en-GB"/>
        </w:rPr>
        <w:drawing>
          <wp:inline distT="0" distB="0" distL="0" distR="0" wp14:anchorId="28B8E7C2" wp14:editId="589FD631">
            <wp:extent cx="5619048" cy="3390476"/>
            <wp:effectExtent l="0" t="0" r="1270" b="6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19048" cy="3390476"/>
                    </a:xfrm>
                    <a:prstGeom prst="rect">
                      <a:avLst/>
                    </a:prstGeom>
                  </pic:spPr>
                </pic:pic>
              </a:graphicData>
            </a:graphic>
          </wp:inline>
        </w:drawing>
      </w:r>
    </w:p>
    <w:p w14:paraId="605A61C0" w14:textId="77777777" w:rsidR="00413229" w:rsidRPr="0020453E" w:rsidRDefault="00413229" w:rsidP="00413229">
      <w:pPr>
        <w:spacing w:line="480" w:lineRule="auto"/>
        <w:rPr>
          <w:rFonts w:cs="Times New Roman"/>
        </w:rPr>
      </w:pPr>
      <w:r>
        <w:rPr>
          <w:rFonts w:cs="Times New Roman"/>
        </w:rPr>
        <w:t>The graph</w:t>
      </w:r>
      <w:r w:rsidRPr="0020453E">
        <w:rPr>
          <w:rFonts w:cs="Times New Roman"/>
        </w:rPr>
        <w:t xml:space="preserve"> above show</w:t>
      </w:r>
      <w:r>
        <w:rPr>
          <w:rFonts w:cs="Times New Roman"/>
        </w:rPr>
        <w:t>s</w:t>
      </w:r>
      <w:r w:rsidRPr="0020453E">
        <w:rPr>
          <w:rFonts w:cs="Times New Roman"/>
        </w:rPr>
        <w:t xml:space="preserve"> that the scale of shift in </w:t>
      </w:r>
      <w:r>
        <w:rPr>
          <w:rFonts w:cs="Times New Roman"/>
        </w:rPr>
        <w:t xml:space="preserve">the </w:t>
      </w:r>
      <w:r w:rsidRPr="0020453E">
        <w:rPr>
          <w:rFonts w:cs="Times New Roman"/>
        </w:rPr>
        <w:t xml:space="preserve">corporate governance model towards a shareholder primacy </w:t>
      </w:r>
      <w:r>
        <w:rPr>
          <w:rFonts w:cs="Times New Roman"/>
        </w:rPr>
        <w:t xml:space="preserve">model </w:t>
      </w:r>
      <w:r w:rsidRPr="0020453E">
        <w:rPr>
          <w:rFonts w:cs="Times New Roman"/>
        </w:rPr>
        <w:t>is low in Chile. The corporate governance regime has remained mostly stable with comparatively very minor</w:t>
      </w:r>
      <w:r>
        <w:rPr>
          <w:rFonts w:cs="Times New Roman"/>
        </w:rPr>
        <w:t>,</w:t>
      </w:r>
      <w:r w:rsidRPr="0020453E">
        <w:rPr>
          <w:rFonts w:cs="Times New Roman"/>
        </w:rPr>
        <w:t xml:space="preserve"> gradual shift towards pro</w:t>
      </w:r>
      <w:r>
        <w:rPr>
          <w:rFonts w:cs="Times New Roman"/>
        </w:rPr>
        <w:t>-</w:t>
      </w:r>
      <w:r w:rsidRPr="0020453E">
        <w:rPr>
          <w:rFonts w:cs="Times New Roman"/>
        </w:rPr>
        <w:t>shareholder policies.</w:t>
      </w:r>
      <w:r>
        <w:rPr>
          <w:rFonts w:cs="Times New Roman"/>
        </w:rPr>
        <w:t xml:space="preserve"> While control 1 and control 3 are highly correlated to financial market growth, there is little correlation between the shift in corporate governance and financial market growth. This predicts a higher impact for control 1 and 3 and relatively lower impact for corporate governance.</w:t>
      </w:r>
    </w:p>
    <w:p w14:paraId="0664F3F8" w14:textId="77777777" w:rsidR="00413229" w:rsidRPr="00AC1055" w:rsidRDefault="00413229" w:rsidP="00413229">
      <w:pPr>
        <w:spacing w:line="480" w:lineRule="auto"/>
        <w:rPr>
          <w:rFonts w:cs="Times New Roman"/>
          <w:u w:val="single"/>
        </w:rPr>
      </w:pPr>
    </w:p>
    <w:p w14:paraId="69F0362D"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06E8F20B" wp14:editId="319A341D">
            <wp:extent cx="5524500" cy="1711202"/>
            <wp:effectExtent l="0" t="0" r="0" b="381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22202" cy="1710490"/>
                    </a:xfrm>
                    <a:prstGeom prst="rect">
                      <a:avLst/>
                    </a:prstGeom>
                    <a:noFill/>
                    <a:ln>
                      <a:noFill/>
                    </a:ln>
                  </pic:spPr>
                </pic:pic>
              </a:graphicData>
            </a:graphic>
          </wp:inline>
        </w:drawing>
      </w:r>
    </w:p>
    <w:p w14:paraId="3F5B4852" w14:textId="77777777" w:rsidR="00413229" w:rsidRPr="00AC1055" w:rsidRDefault="00413229" w:rsidP="00413229">
      <w:pPr>
        <w:spacing w:line="480" w:lineRule="auto"/>
        <w:rPr>
          <w:rFonts w:cs="Times New Roman"/>
        </w:rPr>
      </w:pPr>
      <w:r>
        <w:rPr>
          <w:rFonts w:cs="Times New Roman"/>
        </w:rPr>
        <w:t>The relatively low</w:t>
      </w:r>
      <w:r w:rsidRPr="00AC1055">
        <w:rPr>
          <w:rFonts w:cs="Times New Roman"/>
        </w:rPr>
        <w:t xml:space="preserve"> corporate governance </w:t>
      </w:r>
      <w:r>
        <w:rPr>
          <w:rFonts w:cs="Times New Roman"/>
        </w:rPr>
        <w:t>shift towards a pro-shareholder value model</w:t>
      </w:r>
      <w:r w:rsidRPr="00AC1055">
        <w:rPr>
          <w:rFonts w:cs="Times New Roman"/>
        </w:rPr>
        <w:t xml:space="preserve"> distorts some of the outcomes in the graph, a quick look at the scatter graph</w:t>
      </w:r>
      <w:r>
        <w:rPr>
          <w:rFonts w:cs="Times New Roman"/>
        </w:rPr>
        <w:t>s above</w:t>
      </w:r>
      <w:r w:rsidRPr="00AC1055">
        <w:rPr>
          <w:rFonts w:cs="Times New Roman"/>
        </w:rPr>
        <w:t xml:space="preserve"> would suggest that the direction of regression lines would be from somewhere near the origin to </w:t>
      </w:r>
      <w:r>
        <w:rPr>
          <w:rFonts w:cs="Times New Roman"/>
        </w:rPr>
        <w:t xml:space="preserve">the </w:t>
      </w:r>
      <w:r w:rsidRPr="00AC1055">
        <w:rPr>
          <w:rFonts w:cs="Times New Roman"/>
        </w:rPr>
        <w:t>top end. However</w:t>
      </w:r>
      <w:r>
        <w:rPr>
          <w:rFonts w:cs="Times New Roman"/>
        </w:rPr>
        <w:t>,</w:t>
      </w:r>
      <w:r w:rsidRPr="00AC1055">
        <w:rPr>
          <w:rFonts w:cs="Times New Roman"/>
        </w:rPr>
        <w:t xml:space="preserve"> this disregards the relative invariance of corporate governance in Chile (a shift between -0.12 to -0.02, one of the lowest among the countries studied in this research). The minor shift in corporate governance in Chile also gives a major boost to the impact of corporate governance on financial market development in Bayesian analysis (Chile scores the highest mean corporate governance coefficient among all the countries studied).</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6EF5E6CF" w14:textId="77777777" w:rsidTr="00413229">
        <w:tc>
          <w:tcPr>
            <w:tcW w:w="1809" w:type="dxa"/>
          </w:tcPr>
          <w:p w14:paraId="2BF241D0" w14:textId="77777777" w:rsidR="00413229" w:rsidRPr="00AC1055" w:rsidRDefault="00413229" w:rsidP="00413229">
            <w:pPr>
              <w:rPr>
                <w:rFonts w:cs="Times New Roman"/>
              </w:rPr>
            </w:pPr>
          </w:p>
        </w:tc>
        <w:tc>
          <w:tcPr>
            <w:tcW w:w="1138" w:type="dxa"/>
          </w:tcPr>
          <w:p w14:paraId="07D3A21B" w14:textId="77777777" w:rsidR="00413229" w:rsidRPr="00AC1055" w:rsidRDefault="00413229" w:rsidP="00413229">
            <w:pPr>
              <w:jc w:val="center"/>
              <w:rPr>
                <w:rFonts w:cs="Times New Roman"/>
              </w:rPr>
            </w:pPr>
            <w:r w:rsidRPr="00AC1055">
              <w:rPr>
                <w:rFonts w:cs="Times New Roman"/>
              </w:rPr>
              <w:t>CG</w:t>
            </w:r>
          </w:p>
        </w:tc>
        <w:tc>
          <w:tcPr>
            <w:tcW w:w="1298" w:type="dxa"/>
          </w:tcPr>
          <w:p w14:paraId="5CFE9B9B"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2EA4732F"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75E39ECC"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384FF850"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0EFF858E" w14:textId="77777777" w:rsidTr="00413229">
        <w:tc>
          <w:tcPr>
            <w:tcW w:w="1809" w:type="dxa"/>
          </w:tcPr>
          <w:p w14:paraId="6AA4738E" w14:textId="77777777" w:rsidR="00413229" w:rsidRPr="00AC1055" w:rsidRDefault="00413229" w:rsidP="00413229">
            <w:pPr>
              <w:rPr>
                <w:rFonts w:cs="Times New Roman"/>
              </w:rPr>
            </w:pPr>
            <w:r w:rsidRPr="00AC1055">
              <w:rPr>
                <w:rFonts w:cs="Times New Roman"/>
              </w:rPr>
              <w:t>Mean Bayesian</w:t>
            </w:r>
          </w:p>
        </w:tc>
        <w:tc>
          <w:tcPr>
            <w:tcW w:w="1138" w:type="dxa"/>
          </w:tcPr>
          <w:p w14:paraId="41F1FF0E" w14:textId="77777777" w:rsidR="00413229" w:rsidRPr="00AC1055" w:rsidRDefault="00413229" w:rsidP="00413229">
            <w:pPr>
              <w:jc w:val="center"/>
              <w:rPr>
                <w:rFonts w:cs="Times New Roman"/>
              </w:rPr>
            </w:pPr>
            <w:r w:rsidRPr="00AC1055">
              <w:rPr>
                <w:rFonts w:cs="Times New Roman"/>
              </w:rPr>
              <w:t>0.139975</w:t>
            </w:r>
          </w:p>
        </w:tc>
        <w:tc>
          <w:tcPr>
            <w:tcW w:w="1298" w:type="dxa"/>
            <w:vAlign w:val="bottom"/>
          </w:tcPr>
          <w:p w14:paraId="7BD28836" w14:textId="77777777" w:rsidR="00413229" w:rsidRPr="00AC1055" w:rsidRDefault="00413229" w:rsidP="00413229">
            <w:pPr>
              <w:jc w:val="center"/>
              <w:rPr>
                <w:rFonts w:cs="Times New Roman"/>
                <w:color w:val="000000"/>
                <w:szCs w:val="24"/>
              </w:rPr>
            </w:pPr>
            <w:r w:rsidRPr="00AC1055">
              <w:rPr>
                <w:rFonts w:cs="Times New Roman"/>
                <w:color w:val="000000"/>
                <w:szCs w:val="24"/>
              </w:rPr>
              <w:t>0.399509</w:t>
            </w:r>
          </w:p>
        </w:tc>
        <w:tc>
          <w:tcPr>
            <w:tcW w:w="1395" w:type="dxa"/>
            <w:vAlign w:val="bottom"/>
          </w:tcPr>
          <w:p w14:paraId="56C06E6F" w14:textId="77777777" w:rsidR="00413229" w:rsidRPr="00AC1055" w:rsidRDefault="00413229" w:rsidP="00413229">
            <w:pPr>
              <w:jc w:val="center"/>
              <w:rPr>
                <w:rFonts w:cs="Times New Roman"/>
                <w:color w:val="000000"/>
                <w:szCs w:val="24"/>
              </w:rPr>
            </w:pPr>
            <w:r w:rsidRPr="00AC1055">
              <w:rPr>
                <w:rFonts w:cs="Times New Roman"/>
                <w:color w:val="000000"/>
                <w:szCs w:val="24"/>
              </w:rPr>
              <w:t>0.079426</w:t>
            </w:r>
          </w:p>
        </w:tc>
        <w:tc>
          <w:tcPr>
            <w:tcW w:w="1395" w:type="dxa"/>
            <w:vAlign w:val="bottom"/>
          </w:tcPr>
          <w:p w14:paraId="2F598B0A" w14:textId="77777777" w:rsidR="00413229" w:rsidRPr="00AC1055" w:rsidRDefault="00413229" w:rsidP="00413229">
            <w:pPr>
              <w:jc w:val="center"/>
              <w:rPr>
                <w:rFonts w:cs="Times New Roman"/>
                <w:color w:val="000000"/>
                <w:szCs w:val="24"/>
              </w:rPr>
            </w:pPr>
            <w:r w:rsidRPr="00AC1055">
              <w:rPr>
                <w:rFonts w:cs="Times New Roman"/>
                <w:color w:val="000000"/>
                <w:szCs w:val="24"/>
              </w:rPr>
              <w:t>0.468502</w:t>
            </w:r>
          </w:p>
        </w:tc>
        <w:tc>
          <w:tcPr>
            <w:tcW w:w="1379" w:type="dxa"/>
          </w:tcPr>
          <w:p w14:paraId="1937DBFF" w14:textId="77777777" w:rsidR="00413229" w:rsidRPr="00AC1055" w:rsidRDefault="00413229" w:rsidP="00413229">
            <w:pPr>
              <w:jc w:val="center"/>
              <w:rPr>
                <w:rFonts w:cs="Times New Roman"/>
              </w:rPr>
            </w:pPr>
            <w:r w:rsidRPr="00AC1055">
              <w:rPr>
                <w:rFonts w:cs="Times New Roman"/>
              </w:rPr>
              <w:t>-0.14729</w:t>
            </w:r>
          </w:p>
        </w:tc>
      </w:tr>
      <w:tr w:rsidR="00413229" w:rsidRPr="00AC1055" w14:paraId="51900863" w14:textId="77777777" w:rsidTr="00413229">
        <w:tc>
          <w:tcPr>
            <w:tcW w:w="1809" w:type="dxa"/>
          </w:tcPr>
          <w:p w14:paraId="7BB349BC" w14:textId="77777777" w:rsidR="00413229" w:rsidRPr="00AC1055" w:rsidRDefault="00413229" w:rsidP="00413229">
            <w:pPr>
              <w:rPr>
                <w:rFonts w:cs="Times New Roman"/>
              </w:rPr>
            </w:pPr>
            <w:r w:rsidRPr="00AC1055">
              <w:rPr>
                <w:rFonts w:cs="Times New Roman"/>
              </w:rPr>
              <w:t>Frequentist</w:t>
            </w:r>
          </w:p>
        </w:tc>
        <w:tc>
          <w:tcPr>
            <w:tcW w:w="1138" w:type="dxa"/>
          </w:tcPr>
          <w:p w14:paraId="2820B77F" w14:textId="77777777" w:rsidR="00413229" w:rsidRPr="00AC1055" w:rsidRDefault="00413229" w:rsidP="00413229">
            <w:pPr>
              <w:jc w:val="center"/>
              <w:rPr>
                <w:rFonts w:cs="Times New Roman"/>
              </w:rPr>
            </w:pPr>
            <w:r w:rsidRPr="00AC1055">
              <w:rPr>
                <w:rFonts w:cs="Times New Roman"/>
              </w:rPr>
              <w:t>0.039628</w:t>
            </w:r>
          </w:p>
        </w:tc>
        <w:tc>
          <w:tcPr>
            <w:tcW w:w="1298" w:type="dxa"/>
          </w:tcPr>
          <w:p w14:paraId="0A2C42E8" w14:textId="77777777" w:rsidR="00413229" w:rsidRPr="00AC1055" w:rsidRDefault="00413229" w:rsidP="00413229">
            <w:pPr>
              <w:jc w:val="center"/>
              <w:rPr>
                <w:rFonts w:cs="Times New Roman"/>
              </w:rPr>
            </w:pPr>
            <w:r w:rsidRPr="00AC1055">
              <w:rPr>
                <w:rFonts w:cs="Times New Roman"/>
              </w:rPr>
              <w:t>0.407343</w:t>
            </w:r>
          </w:p>
        </w:tc>
        <w:tc>
          <w:tcPr>
            <w:tcW w:w="1395" w:type="dxa"/>
          </w:tcPr>
          <w:p w14:paraId="5F0F617F" w14:textId="77777777" w:rsidR="00413229" w:rsidRPr="00AC1055" w:rsidRDefault="00413229" w:rsidP="00413229">
            <w:pPr>
              <w:jc w:val="center"/>
              <w:rPr>
                <w:rFonts w:cs="Times New Roman"/>
              </w:rPr>
            </w:pPr>
            <w:r w:rsidRPr="00AC1055">
              <w:rPr>
                <w:rFonts w:cs="Times New Roman"/>
              </w:rPr>
              <w:t>0.08679</w:t>
            </w:r>
          </w:p>
        </w:tc>
        <w:tc>
          <w:tcPr>
            <w:tcW w:w="1395" w:type="dxa"/>
          </w:tcPr>
          <w:p w14:paraId="6C1C2D36" w14:textId="77777777" w:rsidR="00413229" w:rsidRPr="00AC1055" w:rsidRDefault="00413229" w:rsidP="00413229">
            <w:pPr>
              <w:jc w:val="center"/>
              <w:rPr>
                <w:rFonts w:cs="Times New Roman"/>
              </w:rPr>
            </w:pPr>
            <w:r w:rsidRPr="00AC1055">
              <w:rPr>
                <w:rFonts w:cs="Times New Roman"/>
              </w:rPr>
              <w:t>0.458427</w:t>
            </w:r>
          </w:p>
        </w:tc>
        <w:tc>
          <w:tcPr>
            <w:tcW w:w="1379" w:type="dxa"/>
          </w:tcPr>
          <w:p w14:paraId="0FFF55EC" w14:textId="77777777" w:rsidR="00413229" w:rsidRPr="00AC1055" w:rsidRDefault="00413229" w:rsidP="00413229">
            <w:pPr>
              <w:jc w:val="center"/>
              <w:rPr>
                <w:rFonts w:cs="Times New Roman"/>
              </w:rPr>
            </w:pPr>
            <w:r w:rsidRPr="00AC1055">
              <w:rPr>
                <w:rFonts w:cs="Times New Roman"/>
              </w:rPr>
              <w:t>-0.15745</w:t>
            </w:r>
          </w:p>
        </w:tc>
      </w:tr>
    </w:tbl>
    <w:p w14:paraId="1D9EAD03" w14:textId="77777777" w:rsidR="00413229" w:rsidRDefault="00413229" w:rsidP="00413229">
      <w:pPr>
        <w:spacing w:line="480" w:lineRule="auto"/>
        <w:rPr>
          <w:rFonts w:cs="Times New Roman"/>
        </w:rPr>
      </w:pPr>
      <w:r w:rsidRPr="00AC1055">
        <w:rPr>
          <w:rFonts w:cs="Times New Roman"/>
        </w:rPr>
        <w:t xml:space="preserve"> </w:t>
      </w:r>
    </w:p>
    <w:p w14:paraId="6B6006E8" w14:textId="77777777" w:rsidR="00413229" w:rsidRPr="00AC1055" w:rsidRDefault="00413229" w:rsidP="00413229">
      <w:pPr>
        <w:spacing w:line="480" w:lineRule="auto"/>
        <w:rPr>
          <w:rFonts w:cs="Times New Roman"/>
        </w:rPr>
      </w:pPr>
      <w:r w:rsidRPr="00AC1055">
        <w:rPr>
          <w:rFonts w:cs="Times New Roman"/>
        </w:rPr>
        <w:t>However given the relative stability of corporate governance, the high density interval compensates with an extremely wide range with values between -1.24498</w:t>
      </w:r>
      <w:r w:rsidRPr="00AC1055">
        <w:rPr>
          <w:rFonts w:cs="Times New Roman"/>
        </w:rPr>
        <w:tab/>
        <w:t xml:space="preserve">to 2.030255. This extreme </w:t>
      </w:r>
      <w:r>
        <w:rPr>
          <w:rFonts w:cs="Times New Roman"/>
        </w:rPr>
        <w:t xml:space="preserve">statistical </w:t>
      </w:r>
      <w:r w:rsidRPr="00AC1055">
        <w:rPr>
          <w:rFonts w:cs="Times New Roman"/>
        </w:rPr>
        <w:t xml:space="preserve">range suggests that </w:t>
      </w:r>
      <w:r>
        <w:rPr>
          <w:rFonts w:cs="Times New Roman"/>
        </w:rPr>
        <w:t xml:space="preserve">under a Bayesian model it is difficult to confidently predict the impact of </w:t>
      </w:r>
      <w:r w:rsidRPr="00AC1055">
        <w:rPr>
          <w:rFonts w:cs="Times New Roman"/>
        </w:rPr>
        <w:t xml:space="preserve">corporate governance </w:t>
      </w:r>
      <w:r>
        <w:rPr>
          <w:rFonts w:cs="Times New Roman"/>
        </w:rPr>
        <w:t>shift</w:t>
      </w:r>
      <w:r w:rsidRPr="00AC1055">
        <w:rPr>
          <w:rFonts w:cs="Times New Roman"/>
        </w:rPr>
        <w:t xml:space="preserve">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 xml:space="preserve">financial market in Chile. </w:t>
      </w:r>
      <w:r>
        <w:rPr>
          <w:rFonts w:cs="Times New Roman"/>
        </w:rPr>
        <w:t xml:space="preserve">Bayesian mean values for the impact of corporate governance shift on financial marker growth, as discussed above, is the highest among the countries studied, but this can also be due to the relatively flat corporate governance shift in Chile. </w:t>
      </w:r>
      <w:r w:rsidRPr="00AC1055">
        <w:rPr>
          <w:rFonts w:cs="Times New Roman"/>
        </w:rPr>
        <w:t xml:space="preserve">This argument is bolstered by the frequentist </w:t>
      </w:r>
      <w:r w:rsidRPr="00AC1055">
        <w:rPr>
          <w:rFonts w:cs="Times New Roman"/>
        </w:rPr>
        <w:lastRenderedPageBreak/>
        <w:t xml:space="preserve">analysis which puts the impact of corporate governance </w:t>
      </w:r>
      <w:r>
        <w:rPr>
          <w:rFonts w:cs="Times New Roman"/>
        </w:rPr>
        <w:t xml:space="preserve">much </w:t>
      </w:r>
      <w:r w:rsidRPr="00AC1055">
        <w:rPr>
          <w:rFonts w:cs="Times New Roman"/>
        </w:rPr>
        <w:t>lower than other control variables.</w:t>
      </w:r>
    </w:p>
    <w:p w14:paraId="5DF5E2AC" w14:textId="77777777" w:rsidR="00413229" w:rsidRDefault="00413229" w:rsidP="00413229">
      <w:pPr>
        <w:spacing w:line="480" w:lineRule="auto"/>
        <w:rPr>
          <w:rFonts w:cs="Times New Roman"/>
        </w:rPr>
      </w:pPr>
      <w:r>
        <w:rPr>
          <w:rFonts w:cs="Times New Roman"/>
        </w:rPr>
        <w:t xml:space="preserve">Quantitatively, it is difficult to isolate the impact of change in the corporate governance model on financial growth in Chile. </w:t>
      </w:r>
      <w:r w:rsidRPr="00AC1055">
        <w:rPr>
          <w:rFonts w:cs="Times New Roman"/>
        </w:rPr>
        <w:t>Therefore</w:t>
      </w:r>
      <w:r>
        <w:rPr>
          <w:rFonts w:cs="Times New Roman"/>
        </w:rPr>
        <w:t>,</w:t>
      </w:r>
      <w:r w:rsidRPr="00AC1055">
        <w:rPr>
          <w:rFonts w:cs="Times New Roman"/>
        </w:rPr>
        <w:t xml:space="preserve"> </w:t>
      </w:r>
      <w:r>
        <w:rPr>
          <w:rFonts w:cs="Times New Roman"/>
        </w:rPr>
        <w:t>it</w:t>
      </w:r>
      <w:r w:rsidRPr="00AC1055">
        <w:rPr>
          <w:rFonts w:cs="Times New Roman"/>
        </w:rPr>
        <w:t xml:space="preserve"> can </w:t>
      </w:r>
      <w:r>
        <w:rPr>
          <w:rFonts w:cs="Times New Roman"/>
        </w:rPr>
        <w:t xml:space="preserve">be </w:t>
      </w:r>
      <w:r w:rsidRPr="00AC1055">
        <w:rPr>
          <w:rFonts w:cs="Times New Roman"/>
        </w:rPr>
        <w:t>conclude</w:t>
      </w:r>
      <w:r>
        <w:rPr>
          <w:rFonts w:cs="Times New Roman"/>
        </w:rPr>
        <w:t>d</w:t>
      </w:r>
      <w:r w:rsidRPr="00AC1055">
        <w:rPr>
          <w:rFonts w:cs="Times New Roman"/>
        </w:rPr>
        <w:t xml:space="preserve"> that in Chile</w:t>
      </w:r>
      <w:r>
        <w:rPr>
          <w:rFonts w:cs="Times New Roman"/>
        </w:rPr>
        <w:t>,</w:t>
      </w:r>
      <w:r w:rsidRPr="00AC1055">
        <w:rPr>
          <w:rFonts w:cs="Times New Roman"/>
        </w:rPr>
        <w:t xml:space="preserve"> corporate governance </w:t>
      </w:r>
      <w:r>
        <w:rPr>
          <w:rFonts w:cs="Times New Roman"/>
        </w:rPr>
        <w:t>may play a varying role</w:t>
      </w:r>
      <w:r w:rsidRPr="00AC1055">
        <w:rPr>
          <w:rFonts w:cs="Times New Roman"/>
        </w:rPr>
        <w:t xml:space="preserve"> in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 xml:space="preserve">financial market which is </w:t>
      </w:r>
      <w:r>
        <w:rPr>
          <w:rFonts w:cs="Times New Roman"/>
        </w:rPr>
        <w:t xml:space="preserve">still </w:t>
      </w:r>
      <w:r w:rsidRPr="00AC1055">
        <w:rPr>
          <w:rFonts w:cs="Times New Roman"/>
        </w:rPr>
        <w:t xml:space="preserve">mostly affected by financial </w:t>
      </w:r>
      <w:r>
        <w:rPr>
          <w:rFonts w:cs="Times New Roman"/>
        </w:rPr>
        <w:t xml:space="preserve">and economic control variables. It is a case fit for further qualitative study to act as an interlocutor between the varying Bayesian and frequentist results, and to analyse the effect that corporate governance change may have on financial market growth in Chile.  </w:t>
      </w:r>
    </w:p>
    <w:p w14:paraId="3D05CC02" w14:textId="77777777" w:rsidR="00413229" w:rsidRPr="00AC1055" w:rsidRDefault="00413229" w:rsidP="00413229">
      <w:pPr>
        <w:spacing w:line="480" w:lineRule="auto"/>
        <w:rPr>
          <w:rFonts w:cs="Times New Roman"/>
        </w:rPr>
      </w:pPr>
    </w:p>
    <w:p w14:paraId="2270354E" w14:textId="77777777" w:rsidR="00413229" w:rsidRPr="00AC1055" w:rsidRDefault="00413229" w:rsidP="00413229">
      <w:pPr>
        <w:spacing w:line="480" w:lineRule="auto"/>
        <w:rPr>
          <w:rFonts w:cs="Times New Roman"/>
          <w:u w:val="single"/>
        </w:rPr>
      </w:pPr>
      <w:r>
        <w:rPr>
          <w:rFonts w:cs="Times New Roman"/>
          <w:u w:val="single"/>
        </w:rPr>
        <w:t xml:space="preserve">4.4.4 </w:t>
      </w:r>
      <w:r w:rsidRPr="00AC1055">
        <w:rPr>
          <w:rFonts w:cs="Times New Roman"/>
          <w:u w:val="single"/>
        </w:rPr>
        <w:t>Colombia</w:t>
      </w:r>
    </w:p>
    <w:p w14:paraId="45B9BD3D"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03CE0525" wp14:editId="11A8104C">
            <wp:extent cx="5619048" cy="3390476"/>
            <wp:effectExtent l="0" t="0" r="1270"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19048" cy="3390476"/>
                    </a:xfrm>
                    <a:prstGeom prst="rect">
                      <a:avLst/>
                    </a:prstGeom>
                  </pic:spPr>
                </pic:pic>
              </a:graphicData>
            </a:graphic>
          </wp:inline>
        </w:drawing>
      </w:r>
    </w:p>
    <w:p w14:paraId="019DA714" w14:textId="77777777" w:rsidR="00413229" w:rsidRDefault="00413229" w:rsidP="00413229">
      <w:pPr>
        <w:spacing w:line="480" w:lineRule="auto"/>
        <w:rPr>
          <w:rFonts w:cs="Times New Roman"/>
        </w:rPr>
      </w:pPr>
      <w:r>
        <w:rPr>
          <w:rFonts w:cs="Times New Roman"/>
        </w:rPr>
        <w:t>The graph</w:t>
      </w:r>
      <w:r w:rsidRPr="00AC1055">
        <w:rPr>
          <w:rFonts w:cs="Times New Roman"/>
        </w:rPr>
        <w:t xml:space="preserve"> above show</w:t>
      </w:r>
      <w:r>
        <w:rPr>
          <w:rFonts w:cs="Times New Roman"/>
        </w:rPr>
        <w:t>s</w:t>
      </w:r>
      <w:r w:rsidRPr="00AC1055">
        <w:rPr>
          <w:rFonts w:cs="Times New Roman"/>
        </w:rPr>
        <w:t xml:space="preserve"> that the corporate governance regime in Colombia has gradually shifted towards a pro</w:t>
      </w:r>
      <w:r>
        <w:rPr>
          <w:rFonts w:cs="Times New Roman"/>
        </w:rPr>
        <w:t>-</w:t>
      </w:r>
      <w:r w:rsidRPr="00AC1055">
        <w:rPr>
          <w:rFonts w:cs="Times New Roman"/>
        </w:rPr>
        <w:t xml:space="preserve">shareholder approach. </w:t>
      </w:r>
      <w:r>
        <w:rPr>
          <w:rFonts w:cs="Times New Roman"/>
        </w:rPr>
        <w:t>As this has occurred, t</w:t>
      </w:r>
      <w:r w:rsidRPr="00AC1055">
        <w:rPr>
          <w:rFonts w:cs="Times New Roman"/>
        </w:rPr>
        <w:t xml:space="preserve">he financial market has </w:t>
      </w:r>
      <w:r>
        <w:rPr>
          <w:rFonts w:cs="Times New Roman"/>
        </w:rPr>
        <w:t>developed</w:t>
      </w:r>
      <w:r w:rsidRPr="00AC1055">
        <w:rPr>
          <w:rFonts w:cs="Times New Roman"/>
        </w:rPr>
        <w:t xml:space="preserve">. </w:t>
      </w:r>
      <w:r w:rsidRPr="0061335B">
        <w:rPr>
          <w:rFonts w:cs="Times New Roman"/>
        </w:rPr>
        <w:t xml:space="preserve">The economic variables (control 1) and R&amp;D expenditure along with technological export (control 3) closely mirror the growth in </w:t>
      </w:r>
      <w:r>
        <w:rPr>
          <w:rFonts w:cs="Times New Roman"/>
        </w:rPr>
        <w:lastRenderedPageBreak/>
        <w:t xml:space="preserve">the </w:t>
      </w:r>
      <w:r w:rsidRPr="0061335B">
        <w:rPr>
          <w:rFonts w:cs="Times New Roman"/>
        </w:rPr>
        <w:t xml:space="preserve">financial market, while financial </w:t>
      </w:r>
      <w:r>
        <w:rPr>
          <w:rFonts w:cs="Times New Roman"/>
        </w:rPr>
        <w:t xml:space="preserve">and technological </w:t>
      </w:r>
      <w:r w:rsidRPr="0061335B">
        <w:rPr>
          <w:rFonts w:cs="Times New Roman"/>
        </w:rPr>
        <w:t>inclusion (control 2) is erratic.</w:t>
      </w:r>
      <w:r>
        <w:rPr>
          <w:rFonts w:cs="Times New Roman"/>
        </w:rPr>
        <w:t xml:space="preserve"> It can be thus surmised that statistically control 1 and control 3 </w:t>
      </w:r>
      <w:r w:rsidRPr="00AC1055">
        <w:rPr>
          <w:rFonts w:cs="Times New Roman"/>
        </w:rPr>
        <w:t xml:space="preserve">are more </w:t>
      </w:r>
      <w:r>
        <w:rPr>
          <w:rFonts w:cs="Times New Roman"/>
        </w:rPr>
        <w:t xml:space="preserve">likely to be </w:t>
      </w:r>
      <w:r w:rsidRPr="00AC1055">
        <w:rPr>
          <w:rFonts w:cs="Times New Roman"/>
        </w:rPr>
        <w:t xml:space="preserve">significant than change in </w:t>
      </w:r>
      <w:r>
        <w:rPr>
          <w:rFonts w:cs="Times New Roman"/>
        </w:rPr>
        <w:t xml:space="preserve">the </w:t>
      </w:r>
      <w:r w:rsidRPr="00AC1055">
        <w:rPr>
          <w:rFonts w:cs="Times New Roman"/>
        </w:rPr>
        <w:t xml:space="preserve">corporate governance model in </w:t>
      </w:r>
      <w:r>
        <w:rPr>
          <w:rFonts w:cs="Times New Roman"/>
        </w:rPr>
        <w:t>driving</w:t>
      </w:r>
      <w:r w:rsidRPr="00AC1055">
        <w:rPr>
          <w:rFonts w:cs="Times New Roman"/>
        </w:rPr>
        <w:t xml:space="preserve">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financial market</w:t>
      </w:r>
      <w:r>
        <w:rPr>
          <w:rFonts w:cs="Times New Roman"/>
        </w:rPr>
        <w:t xml:space="preserve"> in Colombia, and that control 2 is similar or less impactful than corporate governance.</w:t>
      </w:r>
    </w:p>
    <w:p w14:paraId="181F5C8C" w14:textId="77777777" w:rsidR="00413229" w:rsidRDefault="00413229" w:rsidP="00413229">
      <w:pPr>
        <w:spacing w:line="480" w:lineRule="auto"/>
        <w:rPr>
          <w:rFonts w:cs="Times New Roman"/>
        </w:rPr>
      </w:pPr>
      <w:r w:rsidRPr="00AC1055">
        <w:rPr>
          <w:rFonts w:cs="Times New Roman"/>
          <w:noProof/>
          <w:lang w:eastAsia="en-GB"/>
        </w:rPr>
        <w:drawing>
          <wp:inline distT="0" distB="0" distL="0" distR="0" wp14:anchorId="7785DB65" wp14:editId="0F0DC9D2">
            <wp:extent cx="5484414" cy="1752600"/>
            <wp:effectExtent l="0" t="0" r="254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92697" cy="1755247"/>
                    </a:xfrm>
                    <a:prstGeom prst="rect">
                      <a:avLst/>
                    </a:prstGeom>
                    <a:noFill/>
                    <a:ln>
                      <a:noFill/>
                    </a:ln>
                  </pic:spPr>
                </pic:pic>
              </a:graphicData>
            </a:graphic>
          </wp:inline>
        </w:drawing>
      </w:r>
    </w:p>
    <w:p w14:paraId="062E15C5" w14:textId="77777777" w:rsidR="00413229" w:rsidRPr="00AC1055" w:rsidRDefault="00413229" w:rsidP="00413229">
      <w:pPr>
        <w:spacing w:line="480" w:lineRule="auto"/>
        <w:rPr>
          <w:rFonts w:cs="Times New Roman"/>
        </w:rPr>
      </w:pPr>
      <w:r w:rsidRPr="00AC1055">
        <w:rPr>
          <w:rFonts w:cs="Times New Roman"/>
        </w:rPr>
        <w:t xml:space="preserve">This is </w:t>
      </w:r>
      <w:r>
        <w:rPr>
          <w:rFonts w:cs="Times New Roman"/>
        </w:rPr>
        <w:t>proved</w:t>
      </w:r>
      <w:r w:rsidRPr="00AC1055">
        <w:rPr>
          <w:rFonts w:cs="Times New Roman"/>
        </w:rPr>
        <w:t xml:space="preserve"> </w:t>
      </w:r>
      <w:r>
        <w:rPr>
          <w:rFonts w:cs="Times New Roman"/>
        </w:rPr>
        <w:t xml:space="preserve">experimentally in the scatter plot and regression plane graphs, where in the middle plot in the </w:t>
      </w:r>
      <w:r w:rsidRPr="00AC1055">
        <w:rPr>
          <w:rFonts w:cs="Times New Roman"/>
        </w:rPr>
        <w:t xml:space="preserve">graph </w:t>
      </w:r>
      <w:r>
        <w:rPr>
          <w:rFonts w:cs="Times New Roman"/>
        </w:rPr>
        <w:t xml:space="preserve">above, </w:t>
      </w:r>
      <w:r w:rsidRPr="00AC1055">
        <w:rPr>
          <w:rFonts w:cs="Times New Roman"/>
        </w:rPr>
        <w:t xml:space="preserve">the regression plane moves across </w:t>
      </w:r>
      <w:r>
        <w:rPr>
          <w:rFonts w:cs="Times New Roman"/>
        </w:rPr>
        <w:t xml:space="preserve">the </w:t>
      </w:r>
      <w:r w:rsidRPr="00AC1055">
        <w:rPr>
          <w:rFonts w:cs="Times New Roman"/>
        </w:rPr>
        <w:t>ZX plane in comparison to other plots</w:t>
      </w:r>
      <w:r>
        <w:rPr>
          <w:rFonts w:cs="Times New Roman"/>
        </w:rPr>
        <w:t>, illustrating the higher or equal impact of change in corporate governance and control 2 on financial growth in Colombia</w:t>
      </w:r>
      <w:r w:rsidRPr="00AC1055">
        <w:rPr>
          <w:rFonts w:cs="Times New Roman"/>
        </w:rPr>
        <w:t>.</w:t>
      </w:r>
    </w:p>
    <w:p w14:paraId="3105DA4E" w14:textId="77777777" w:rsidR="00413229" w:rsidRPr="00AC1055" w:rsidRDefault="00413229" w:rsidP="00413229">
      <w:pPr>
        <w:spacing w:line="480" w:lineRule="auto"/>
        <w:rPr>
          <w:rFonts w:cs="Times New Roman"/>
        </w:rPr>
      </w:pPr>
      <w:r w:rsidRPr="00AC1055">
        <w:rPr>
          <w:rFonts w:cs="Times New Roman"/>
        </w:rPr>
        <w:t xml:space="preserve">The mean Bayesian coefficient for corporate governance of 0.075378 varies a </w:t>
      </w:r>
      <w:r>
        <w:rPr>
          <w:rFonts w:cs="Times New Roman"/>
        </w:rPr>
        <w:t>little</w:t>
      </w:r>
      <w:r w:rsidRPr="00AC1055">
        <w:rPr>
          <w:rFonts w:cs="Times New Roman"/>
        </w:rPr>
        <w:t xml:space="preserve"> in comparison to the frequentist value of 0.075378. However</w:t>
      </w:r>
      <w:r>
        <w:rPr>
          <w:rFonts w:cs="Times New Roman"/>
        </w:rPr>
        <w:t>,</w:t>
      </w:r>
      <w:r w:rsidRPr="00AC1055">
        <w:rPr>
          <w:rFonts w:cs="Times New Roman"/>
        </w:rPr>
        <w:t xml:space="preserve"> the high density interval of the distribution of Bayesian values range from -0.03726 to 0.185066, the frequentist value falls within the range.</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403BBE39" w14:textId="77777777" w:rsidTr="00413229">
        <w:tc>
          <w:tcPr>
            <w:tcW w:w="1809" w:type="dxa"/>
          </w:tcPr>
          <w:p w14:paraId="4894B937" w14:textId="77777777" w:rsidR="00413229" w:rsidRPr="00AC1055" w:rsidRDefault="00413229" w:rsidP="00413229">
            <w:pPr>
              <w:rPr>
                <w:rFonts w:cs="Times New Roman"/>
              </w:rPr>
            </w:pPr>
          </w:p>
        </w:tc>
        <w:tc>
          <w:tcPr>
            <w:tcW w:w="1138" w:type="dxa"/>
          </w:tcPr>
          <w:p w14:paraId="0C925122" w14:textId="77777777" w:rsidR="00413229" w:rsidRPr="00AC1055" w:rsidRDefault="00413229" w:rsidP="00413229">
            <w:pPr>
              <w:jc w:val="center"/>
              <w:rPr>
                <w:rFonts w:cs="Times New Roman"/>
              </w:rPr>
            </w:pPr>
            <w:r w:rsidRPr="00AC1055">
              <w:rPr>
                <w:rFonts w:cs="Times New Roman"/>
              </w:rPr>
              <w:t>CG</w:t>
            </w:r>
          </w:p>
        </w:tc>
        <w:tc>
          <w:tcPr>
            <w:tcW w:w="1298" w:type="dxa"/>
          </w:tcPr>
          <w:p w14:paraId="643F2E8F"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66EA2067"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3EEA044E"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32B40BF7"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066A11BB" w14:textId="77777777" w:rsidTr="00413229">
        <w:tc>
          <w:tcPr>
            <w:tcW w:w="1809" w:type="dxa"/>
          </w:tcPr>
          <w:p w14:paraId="4EFD7316" w14:textId="77777777" w:rsidR="00413229" w:rsidRPr="00AC1055" w:rsidRDefault="00413229" w:rsidP="00413229">
            <w:pPr>
              <w:rPr>
                <w:rFonts w:cs="Times New Roman"/>
              </w:rPr>
            </w:pPr>
            <w:r w:rsidRPr="00AC1055">
              <w:rPr>
                <w:rFonts w:cs="Times New Roman"/>
              </w:rPr>
              <w:t>Mean Bayesian</w:t>
            </w:r>
          </w:p>
        </w:tc>
        <w:tc>
          <w:tcPr>
            <w:tcW w:w="1138" w:type="dxa"/>
          </w:tcPr>
          <w:p w14:paraId="6C34FFC9" w14:textId="77777777" w:rsidR="00413229" w:rsidRPr="00AC1055" w:rsidRDefault="00413229" w:rsidP="00413229">
            <w:pPr>
              <w:jc w:val="center"/>
              <w:rPr>
                <w:rFonts w:cs="Times New Roman"/>
              </w:rPr>
            </w:pPr>
            <w:r w:rsidRPr="00AC1055">
              <w:rPr>
                <w:rFonts w:cs="Times New Roman"/>
              </w:rPr>
              <w:t>0.075378</w:t>
            </w:r>
          </w:p>
        </w:tc>
        <w:tc>
          <w:tcPr>
            <w:tcW w:w="1298" w:type="dxa"/>
            <w:vAlign w:val="bottom"/>
          </w:tcPr>
          <w:p w14:paraId="4845B855" w14:textId="77777777" w:rsidR="00413229" w:rsidRPr="00AC1055" w:rsidRDefault="00413229" w:rsidP="00413229">
            <w:pPr>
              <w:jc w:val="center"/>
              <w:rPr>
                <w:rFonts w:cs="Times New Roman"/>
                <w:color w:val="000000"/>
                <w:szCs w:val="24"/>
              </w:rPr>
            </w:pPr>
            <w:r w:rsidRPr="00AC1055">
              <w:rPr>
                <w:rFonts w:cs="Times New Roman"/>
                <w:color w:val="000000"/>
                <w:szCs w:val="24"/>
              </w:rPr>
              <w:t>0.425973</w:t>
            </w:r>
          </w:p>
        </w:tc>
        <w:tc>
          <w:tcPr>
            <w:tcW w:w="1395" w:type="dxa"/>
            <w:vAlign w:val="bottom"/>
          </w:tcPr>
          <w:p w14:paraId="35BD6787" w14:textId="77777777" w:rsidR="00413229" w:rsidRPr="00AC1055" w:rsidRDefault="00413229" w:rsidP="00413229">
            <w:pPr>
              <w:jc w:val="center"/>
              <w:rPr>
                <w:rFonts w:cs="Times New Roman"/>
                <w:color w:val="000000"/>
                <w:szCs w:val="24"/>
              </w:rPr>
            </w:pPr>
            <w:r w:rsidRPr="00AC1055">
              <w:rPr>
                <w:rFonts w:cs="Times New Roman"/>
                <w:color w:val="000000"/>
                <w:szCs w:val="24"/>
              </w:rPr>
              <w:t>0.079505</w:t>
            </w:r>
          </w:p>
        </w:tc>
        <w:tc>
          <w:tcPr>
            <w:tcW w:w="1395" w:type="dxa"/>
            <w:vAlign w:val="bottom"/>
          </w:tcPr>
          <w:p w14:paraId="3E3966EE" w14:textId="77777777" w:rsidR="00413229" w:rsidRPr="00AC1055" w:rsidRDefault="00413229" w:rsidP="00413229">
            <w:pPr>
              <w:jc w:val="center"/>
              <w:rPr>
                <w:rFonts w:cs="Times New Roman"/>
                <w:color w:val="000000"/>
                <w:szCs w:val="24"/>
              </w:rPr>
            </w:pPr>
            <w:r w:rsidRPr="00AC1055">
              <w:rPr>
                <w:rFonts w:cs="Times New Roman"/>
                <w:color w:val="000000"/>
                <w:szCs w:val="24"/>
              </w:rPr>
              <w:t>0.429411</w:t>
            </w:r>
          </w:p>
        </w:tc>
        <w:tc>
          <w:tcPr>
            <w:tcW w:w="1379" w:type="dxa"/>
          </w:tcPr>
          <w:p w14:paraId="3B2E9DD7" w14:textId="77777777" w:rsidR="00413229" w:rsidRPr="00AC1055" w:rsidRDefault="00413229" w:rsidP="00413229">
            <w:pPr>
              <w:jc w:val="center"/>
              <w:rPr>
                <w:rFonts w:cs="Times New Roman"/>
              </w:rPr>
            </w:pPr>
            <w:r w:rsidRPr="00AC1055">
              <w:rPr>
                <w:rFonts w:cs="Times New Roman"/>
              </w:rPr>
              <w:t>-0.13884</w:t>
            </w:r>
          </w:p>
        </w:tc>
      </w:tr>
      <w:tr w:rsidR="00413229" w:rsidRPr="00AC1055" w14:paraId="496CFBB7" w14:textId="77777777" w:rsidTr="00413229">
        <w:tc>
          <w:tcPr>
            <w:tcW w:w="1809" w:type="dxa"/>
          </w:tcPr>
          <w:p w14:paraId="2E36F77F" w14:textId="77777777" w:rsidR="00413229" w:rsidRPr="00AC1055" w:rsidRDefault="00413229" w:rsidP="00413229">
            <w:pPr>
              <w:rPr>
                <w:rFonts w:cs="Times New Roman"/>
              </w:rPr>
            </w:pPr>
            <w:r w:rsidRPr="00AC1055">
              <w:rPr>
                <w:rFonts w:cs="Times New Roman"/>
              </w:rPr>
              <w:t>Frequentist</w:t>
            </w:r>
          </w:p>
        </w:tc>
        <w:tc>
          <w:tcPr>
            <w:tcW w:w="1138" w:type="dxa"/>
          </w:tcPr>
          <w:p w14:paraId="0DC17E55" w14:textId="77777777" w:rsidR="00413229" w:rsidRPr="00AC1055" w:rsidRDefault="00413229" w:rsidP="00413229">
            <w:pPr>
              <w:jc w:val="center"/>
              <w:rPr>
                <w:rFonts w:cs="Times New Roman"/>
              </w:rPr>
            </w:pPr>
            <w:r w:rsidRPr="00AC1055">
              <w:rPr>
                <w:rFonts w:cs="Times New Roman"/>
              </w:rPr>
              <w:t>0.123907</w:t>
            </w:r>
          </w:p>
        </w:tc>
        <w:tc>
          <w:tcPr>
            <w:tcW w:w="1298" w:type="dxa"/>
          </w:tcPr>
          <w:p w14:paraId="53184963" w14:textId="77777777" w:rsidR="00413229" w:rsidRPr="00AC1055" w:rsidRDefault="00413229" w:rsidP="00413229">
            <w:pPr>
              <w:jc w:val="center"/>
              <w:rPr>
                <w:rFonts w:cs="Times New Roman"/>
              </w:rPr>
            </w:pPr>
            <w:r w:rsidRPr="00AC1055">
              <w:rPr>
                <w:rFonts w:cs="Times New Roman"/>
              </w:rPr>
              <w:t>0.407344</w:t>
            </w:r>
          </w:p>
        </w:tc>
        <w:tc>
          <w:tcPr>
            <w:tcW w:w="1395" w:type="dxa"/>
          </w:tcPr>
          <w:p w14:paraId="65C431E1" w14:textId="77777777" w:rsidR="00413229" w:rsidRPr="00AC1055" w:rsidRDefault="00413229" w:rsidP="00413229">
            <w:pPr>
              <w:jc w:val="center"/>
              <w:rPr>
                <w:rFonts w:cs="Times New Roman"/>
              </w:rPr>
            </w:pPr>
            <w:r w:rsidRPr="00AC1055">
              <w:rPr>
                <w:rFonts w:cs="Times New Roman"/>
              </w:rPr>
              <w:t>0.067939</w:t>
            </w:r>
          </w:p>
        </w:tc>
        <w:tc>
          <w:tcPr>
            <w:tcW w:w="1395" w:type="dxa"/>
          </w:tcPr>
          <w:p w14:paraId="32BA798D" w14:textId="77777777" w:rsidR="00413229" w:rsidRPr="00AC1055" w:rsidRDefault="00413229" w:rsidP="00413229">
            <w:pPr>
              <w:jc w:val="center"/>
              <w:rPr>
                <w:rFonts w:cs="Times New Roman"/>
              </w:rPr>
            </w:pPr>
            <w:r w:rsidRPr="00AC1055">
              <w:rPr>
                <w:rFonts w:cs="Times New Roman"/>
              </w:rPr>
              <w:t>0.319288</w:t>
            </w:r>
          </w:p>
        </w:tc>
        <w:tc>
          <w:tcPr>
            <w:tcW w:w="1379" w:type="dxa"/>
          </w:tcPr>
          <w:p w14:paraId="36D5F6E2" w14:textId="77777777" w:rsidR="00413229" w:rsidRPr="00AC1055" w:rsidRDefault="00413229" w:rsidP="00413229">
            <w:pPr>
              <w:jc w:val="center"/>
              <w:rPr>
                <w:rFonts w:cs="Times New Roman"/>
              </w:rPr>
            </w:pPr>
            <w:r w:rsidRPr="00AC1055">
              <w:rPr>
                <w:rFonts w:cs="Times New Roman"/>
              </w:rPr>
              <w:t>-0.13978</w:t>
            </w:r>
          </w:p>
        </w:tc>
      </w:tr>
    </w:tbl>
    <w:p w14:paraId="75017D7C" w14:textId="77777777" w:rsidR="00413229" w:rsidRDefault="00413229" w:rsidP="00413229">
      <w:pPr>
        <w:spacing w:line="480" w:lineRule="auto"/>
        <w:rPr>
          <w:rFonts w:cs="Times New Roman"/>
        </w:rPr>
      </w:pPr>
    </w:p>
    <w:p w14:paraId="5537EE5D" w14:textId="77777777" w:rsidR="00413229" w:rsidRPr="00AC1055" w:rsidRDefault="00413229" w:rsidP="00413229">
      <w:pPr>
        <w:spacing w:line="480" w:lineRule="auto"/>
        <w:rPr>
          <w:rFonts w:cs="Times New Roman"/>
        </w:rPr>
      </w:pPr>
      <w:r w:rsidRPr="00AC1055">
        <w:rPr>
          <w:rFonts w:cs="Times New Roman"/>
        </w:rPr>
        <w:t>As has been mentioned above</w:t>
      </w:r>
      <w:r>
        <w:rPr>
          <w:rFonts w:cs="Times New Roman"/>
        </w:rPr>
        <w:t>,</w:t>
      </w:r>
      <w:r w:rsidRPr="00AC1055">
        <w:rPr>
          <w:rFonts w:cs="Times New Roman"/>
        </w:rPr>
        <w:t xml:space="preserve"> the corporate governance regression coefficients are similar or more than that of control 2, however</w:t>
      </w:r>
      <w:r>
        <w:rPr>
          <w:rFonts w:cs="Times New Roman"/>
        </w:rPr>
        <w:t>,</w:t>
      </w:r>
      <w:r w:rsidRPr="00AC1055">
        <w:rPr>
          <w:rFonts w:cs="Times New Roman"/>
        </w:rPr>
        <w:t xml:space="preserve"> the corporate governance impact is much less in comparison to that of control 1 and control 3.</w:t>
      </w:r>
    </w:p>
    <w:p w14:paraId="5DC04A6A" w14:textId="77777777" w:rsidR="00413229" w:rsidRPr="00AC1055" w:rsidRDefault="00413229" w:rsidP="00413229">
      <w:pPr>
        <w:spacing w:line="480" w:lineRule="auto"/>
        <w:rPr>
          <w:rFonts w:cs="Times New Roman"/>
        </w:rPr>
      </w:pPr>
      <w:r w:rsidRPr="00AC1055">
        <w:rPr>
          <w:rFonts w:cs="Times New Roman"/>
        </w:rPr>
        <w:lastRenderedPageBreak/>
        <w:t xml:space="preserve">Thus </w:t>
      </w:r>
      <w:r>
        <w:rPr>
          <w:rFonts w:cs="Times New Roman"/>
        </w:rPr>
        <w:t>it</w:t>
      </w:r>
      <w:r w:rsidRPr="00AC1055">
        <w:rPr>
          <w:rFonts w:cs="Times New Roman"/>
        </w:rPr>
        <w:t xml:space="preserve"> can </w:t>
      </w:r>
      <w:r>
        <w:rPr>
          <w:rFonts w:cs="Times New Roman"/>
        </w:rPr>
        <w:t xml:space="preserve">be </w:t>
      </w:r>
      <w:r w:rsidRPr="00AC1055">
        <w:rPr>
          <w:rFonts w:cs="Times New Roman"/>
        </w:rPr>
        <w:t>conclude</w:t>
      </w:r>
      <w:r>
        <w:rPr>
          <w:rFonts w:cs="Times New Roman"/>
        </w:rPr>
        <w:t>d</w:t>
      </w:r>
      <w:r w:rsidRPr="00AC1055">
        <w:rPr>
          <w:rFonts w:cs="Times New Roman"/>
        </w:rPr>
        <w:t xml:space="preserve"> that in comparison to economic and technological innovation controls, corporate governance </w:t>
      </w:r>
      <w:r>
        <w:rPr>
          <w:rFonts w:cs="Times New Roman"/>
        </w:rPr>
        <w:t>shift towards a shareholder value model</w:t>
      </w:r>
      <w:r w:rsidRPr="00AC1055">
        <w:rPr>
          <w:rFonts w:cs="Times New Roman"/>
        </w:rPr>
        <w:t xml:space="preserve"> has low impact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financial market. However</w:t>
      </w:r>
      <w:r>
        <w:rPr>
          <w:rFonts w:cs="Times New Roman"/>
        </w:rPr>
        <w:t>,</w:t>
      </w:r>
      <w:r w:rsidRPr="00AC1055">
        <w:rPr>
          <w:rFonts w:cs="Times New Roman"/>
        </w:rPr>
        <w:t xml:space="preserve"> in comparison to other countries</w:t>
      </w:r>
      <w:r>
        <w:rPr>
          <w:rFonts w:cs="Times New Roman"/>
        </w:rPr>
        <w:t>, the</w:t>
      </w:r>
      <w:r w:rsidRPr="00AC1055">
        <w:rPr>
          <w:rFonts w:cs="Times New Roman"/>
        </w:rPr>
        <w:t xml:space="preserve"> financial market in Colombia shows </w:t>
      </w:r>
      <w:r>
        <w:rPr>
          <w:rFonts w:cs="Times New Roman"/>
        </w:rPr>
        <w:t>a more</w:t>
      </w:r>
      <w:r w:rsidRPr="00AC1055">
        <w:rPr>
          <w:rFonts w:cs="Times New Roman"/>
        </w:rPr>
        <w:t xml:space="preserve"> positive response to change in </w:t>
      </w:r>
      <w:r>
        <w:rPr>
          <w:rFonts w:cs="Times New Roman"/>
        </w:rPr>
        <w:t xml:space="preserve">the </w:t>
      </w:r>
      <w:r w:rsidRPr="00AC1055">
        <w:rPr>
          <w:rFonts w:cs="Times New Roman"/>
        </w:rPr>
        <w:t xml:space="preserve">corporate governance model. </w:t>
      </w:r>
      <w:r>
        <w:rPr>
          <w:rFonts w:cs="Times New Roman"/>
        </w:rPr>
        <w:t xml:space="preserve">Therefore, it merits further qualitative research to isolate the sui generis factors that might be present in Colombia which have led to a more positive response to shift towards a shareholder primacy corporate governance model. </w:t>
      </w:r>
    </w:p>
    <w:p w14:paraId="6F560A28" w14:textId="77777777" w:rsidR="00413229" w:rsidRPr="00AC1055" w:rsidRDefault="00413229" w:rsidP="00413229">
      <w:pPr>
        <w:spacing w:line="480" w:lineRule="auto"/>
        <w:rPr>
          <w:rFonts w:cs="Times New Roman"/>
        </w:rPr>
      </w:pPr>
    </w:p>
    <w:p w14:paraId="52D09143" w14:textId="77777777" w:rsidR="00413229" w:rsidRDefault="00413229" w:rsidP="00413229">
      <w:pPr>
        <w:spacing w:line="480" w:lineRule="auto"/>
        <w:rPr>
          <w:rFonts w:cs="Times New Roman"/>
          <w:u w:val="single"/>
        </w:rPr>
      </w:pPr>
      <w:r>
        <w:rPr>
          <w:rFonts w:cs="Times New Roman"/>
          <w:u w:val="single"/>
        </w:rPr>
        <w:t>4.4.5 India</w:t>
      </w:r>
    </w:p>
    <w:p w14:paraId="26619FB8" w14:textId="77777777" w:rsidR="00413229" w:rsidRDefault="00413229" w:rsidP="00413229">
      <w:pPr>
        <w:spacing w:line="480" w:lineRule="auto"/>
        <w:rPr>
          <w:rFonts w:cs="Times New Roman"/>
          <w:u w:val="single"/>
        </w:rPr>
      </w:pPr>
      <w:r w:rsidRPr="00AC1055">
        <w:rPr>
          <w:rFonts w:cs="Times New Roman"/>
          <w:noProof/>
          <w:lang w:eastAsia="en-GB"/>
        </w:rPr>
        <w:drawing>
          <wp:inline distT="0" distB="0" distL="0" distR="0" wp14:anchorId="2E13B435" wp14:editId="44F50F66">
            <wp:extent cx="5619048" cy="3390476"/>
            <wp:effectExtent l="0" t="0" r="1270"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19048" cy="3390476"/>
                    </a:xfrm>
                    <a:prstGeom prst="rect">
                      <a:avLst/>
                    </a:prstGeom>
                  </pic:spPr>
                </pic:pic>
              </a:graphicData>
            </a:graphic>
          </wp:inline>
        </w:drawing>
      </w:r>
    </w:p>
    <w:p w14:paraId="0A390A4C" w14:textId="77777777" w:rsidR="00413229" w:rsidRPr="00AF2D72" w:rsidRDefault="00413229" w:rsidP="00413229">
      <w:pPr>
        <w:spacing w:line="480" w:lineRule="auto"/>
        <w:rPr>
          <w:rFonts w:cs="Times New Roman"/>
        </w:rPr>
      </w:pPr>
      <w:r>
        <w:rPr>
          <w:rFonts w:cs="Times New Roman"/>
        </w:rPr>
        <w:t>From the graph</w:t>
      </w:r>
      <w:r w:rsidRPr="00F47D75">
        <w:rPr>
          <w:rFonts w:cs="Times New Roman"/>
        </w:rPr>
        <w:t xml:space="preserve"> above</w:t>
      </w:r>
      <w:r>
        <w:rPr>
          <w:rFonts w:cs="Times New Roman"/>
        </w:rPr>
        <w:t>,</w:t>
      </w:r>
      <w:r w:rsidRPr="00F47D75">
        <w:rPr>
          <w:rFonts w:cs="Times New Roman"/>
        </w:rPr>
        <w:t xml:space="preserve"> </w:t>
      </w:r>
      <w:r>
        <w:rPr>
          <w:rFonts w:cs="Times New Roman"/>
        </w:rPr>
        <w:t xml:space="preserve">it </w:t>
      </w:r>
      <w:r w:rsidRPr="00F47D75">
        <w:rPr>
          <w:rFonts w:cs="Times New Roman"/>
        </w:rPr>
        <w:t xml:space="preserve">can </w:t>
      </w:r>
      <w:r>
        <w:rPr>
          <w:rFonts w:cs="Times New Roman"/>
        </w:rPr>
        <w:t xml:space="preserve">be </w:t>
      </w:r>
      <w:r w:rsidRPr="00F47D75">
        <w:rPr>
          <w:rFonts w:cs="Times New Roman"/>
        </w:rPr>
        <w:t>summarise</w:t>
      </w:r>
      <w:r>
        <w:rPr>
          <w:rFonts w:cs="Times New Roman"/>
        </w:rPr>
        <w:t>d</w:t>
      </w:r>
      <w:r w:rsidRPr="00F47D75">
        <w:rPr>
          <w:rFonts w:cs="Times New Roman"/>
        </w:rPr>
        <w:t xml:space="preserve"> that corporate governance in India has </w:t>
      </w:r>
      <w:r>
        <w:rPr>
          <w:rFonts w:cs="Times New Roman"/>
        </w:rPr>
        <w:t>shifted</w:t>
      </w:r>
      <w:r w:rsidRPr="00F47D75">
        <w:rPr>
          <w:rFonts w:cs="Times New Roman"/>
        </w:rPr>
        <w:t xml:space="preserve"> steadily </w:t>
      </w:r>
      <w:r>
        <w:rPr>
          <w:rFonts w:cs="Times New Roman"/>
        </w:rPr>
        <w:t xml:space="preserve">towards a shareholder value model </w:t>
      </w:r>
      <w:r w:rsidRPr="00F47D75">
        <w:rPr>
          <w:rFonts w:cs="Times New Roman"/>
        </w:rPr>
        <w:t xml:space="preserve">over the period of time studied under this research. The shift in corporate governance has coincided with growth in </w:t>
      </w:r>
      <w:r>
        <w:rPr>
          <w:rFonts w:cs="Times New Roman"/>
        </w:rPr>
        <w:t xml:space="preserve">the </w:t>
      </w:r>
      <w:r w:rsidRPr="00F47D75">
        <w:rPr>
          <w:rFonts w:cs="Times New Roman"/>
        </w:rPr>
        <w:t>financial market. However</w:t>
      </w:r>
      <w:r>
        <w:rPr>
          <w:rFonts w:cs="Times New Roman"/>
        </w:rPr>
        <w:t>,</w:t>
      </w:r>
      <w:r w:rsidRPr="00F47D75">
        <w:rPr>
          <w:rFonts w:cs="Times New Roman"/>
        </w:rPr>
        <w:t xml:space="preserve"> the growth in </w:t>
      </w:r>
      <w:r>
        <w:rPr>
          <w:rFonts w:cs="Times New Roman"/>
        </w:rPr>
        <w:t xml:space="preserve">the </w:t>
      </w:r>
      <w:r w:rsidRPr="00F47D75">
        <w:rPr>
          <w:rFonts w:cs="Times New Roman"/>
        </w:rPr>
        <w:t>financi</w:t>
      </w:r>
      <w:r>
        <w:rPr>
          <w:rFonts w:cs="Times New Roman"/>
        </w:rPr>
        <w:t xml:space="preserve">al market </w:t>
      </w:r>
      <w:r w:rsidRPr="00F47D75">
        <w:rPr>
          <w:rFonts w:cs="Times New Roman"/>
        </w:rPr>
        <w:t xml:space="preserve">also corresponds to economic (control 1) growth and </w:t>
      </w:r>
      <w:r>
        <w:rPr>
          <w:rFonts w:cs="Times New Roman"/>
        </w:rPr>
        <w:t xml:space="preserve">an </w:t>
      </w:r>
      <w:r w:rsidRPr="00F47D75">
        <w:rPr>
          <w:rFonts w:cs="Times New Roman"/>
        </w:rPr>
        <w:t xml:space="preserve">increase in R&amp;D expenditure and high </w:t>
      </w:r>
      <w:r w:rsidRPr="00F47D75">
        <w:rPr>
          <w:rFonts w:cs="Times New Roman"/>
        </w:rPr>
        <w:lastRenderedPageBreak/>
        <w:t>technology export (control 3).</w:t>
      </w:r>
      <w:r>
        <w:rPr>
          <w:rFonts w:cs="Times New Roman"/>
        </w:rPr>
        <w:t xml:space="preserve"> Prima facie control 1 and control 3 are more correlated to financial market development than change in corporate governance.</w:t>
      </w:r>
    </w:p>
    <w:p w14:paraId="494CBEC8"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085C9419" wp14:editId="177276EB">
            <wp:extent cx="5495925" cy="1782462"/>
            <wp:effectExtent l="0" t="0" r="0" b="825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504855" cy="1785358"/>
                    </a:xfrm>
                    <a:prstGeom prst="rect">
                      <a:avLst/>
                    </a:prstGeom>
                    <a:noFill/>
                    <a:ln>
                      <a:noFill/>
                    </a:ln>
                  </pic:spPr>
                </pic:pic>
              </a:graphicData>
            </a:graphic>
          </wp:inline>
        </w:drawing>
      </w:r>
    </w:p>
    <w:p w14:paraId="203FC8D6" w14:textId="77777777" w:rsidR="00413229" w:rsidRPr="00AC1055" w:rsidRDefault="00413229" w:rsidP="00413229">
      <w:pPr>
        <w:spacing w:line="480" w:lineRule="auto"/>
        <w:rPr>
          <w:rFonts w:cs="Times New Roman"/>
        </w:rPr>
      </w:pPr>
      <w:r>
        <w:rPr>
          <w:rFonts w:cs="Times New Roman"/>
        </w:rPr>
        <w:t>This is experimentally proven by the regression planes and scatter plot in the graphs above. However, t</w:t>
      </w:r>
      <w:r w:rsidRPr="00AC1055">
        <w:rPr>
          <w:rFonts w:cs="Times New Roman"/>
        </w:rPr>
        <w:t xml:space="preserve">he corporate governance regression coefficient for </w:t>
      </w:r>
      <w:r>
        <w:rPr>
          <w:rFonts w:cs="Times New Roman"/>
        </w:rPr>
        <w:t xml:space="preserve">the </w:t>
      </w:r>
      <w:r w:rsidRPr="00AC1055">
        <w:rPr>
          <w:rFonts w:cs="Times New Roman"/>
        </w:rPr>
        <w:t>Bayesian analysis differs significantly in comparison to frequentist analysis. The high density interval for the Bayesian analysis lies between 0.003676 and 0.120785, the frequentist coefficient of 0.140102 lies just beyond this area.</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01B2D3C5" w14:textId="77777777" w:rsidTr="00413229">
        <w:tc>
          <w:tcPr>
            <w:tcW w:w="1809" w:type="dxa"/>
          </w:tcPr>
          <w:p w14:paraId="4A088CD6" w14:textId="77777777" w:rsidR="00413229" w:rsidRPr="00AC1055" w:rsidRDefault="00413229" w:rsidP="00413229">
            <w:pPr>
              <w:rPr>
                <w:rFonts w:cs="Times New Roman"/>
              </w:rPr>
            </w:pPr>
          </w:p>
        </w:tc>
        <w:tc>
          <w:tcPr>
            <w:tcW w:w="1138" w:type="dxa"/>
          </w:tcPr>
          <w:p w14:paraId="450FD871" w14:textId="77777777" w:rsidR="00413229" w:rsidRPr="00AC1055" w:rsidRDefault="00413229" w:rsidP="00413229">
            <w:pPr>
              <w:jc w:val="center"/>
              <w:rPr>
                <w:rFonts w:cs="Times New Roman"/>
              </w:rPr>
            </w:pPr>
            <w:r w:rsidRPr="00AC1055">
              <w:rPr>
                <w:rFonts w:cs="Times New Roman"/>
              </w:rPr>
              <w:t>CG</w:t>
            </w:r>
          </w:p>
        </w:tc>
        <w:tc>
          <w:tcPr>
            <w:tcW w:w="1298" w:type="dxa"/>
          </w:tcPr>
          <w:p w14:paraId="0BEF33B5"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729F5342"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654A0721"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64007C70"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3045248C" w14:textId="77777777" w:rsidTr="00413229">
        <w:tc>
          <w:tcPr>
            <w:tcW w:w="1809" w:type="dxa"/>
          </w:tcPr>
          <w:p w14:paraId="4472E271" w14:textId="77777777" w:rsidR="00413229" w:rsidRPr="00AC1055" w:rsidRDefault="00413229" w:rsidP="00413229">
            <w:pPr>
              <w:rPr>
                <w:rFonts w:cs="Times New Roman"/>
              </w:rPr>
            </w:pPr>
            <w:r w:rsidRPr="00AC1055">
              <w:rPr>
                <w:rFonts w:cs="Times New Roman"/>
              </w:rPr>
              <w:t>Mean Bayesian</w:t>
            </w:r>
          </w:p>
        </w:tc>
        <w:tc>
          <w:tcPr>
            <w:tcW w:w="1138" w:type="dxa"/>
          </w:tcPr>
          <w:p w14:paraId="0665D389" w14:textId="77777777" w:rsidR="00413229" w:rsidRPr="00AC1055" w:rsidRDefault="00413229" w:rsidP="00413229">
            <w:pPr>
              <w:jc w:val="center"/>
              <w:rPr>
                <w:rFonts w:cs="Times New Roman"/>
              </w:rPr>
            </w:pPr>
            <w:r w:rsidRPr="00AC1055">
              <w:rPr>
                <w:rFonts w:cs="Times New Roman"/>
              </w:rPr>
              <w:t>0.062502</w:t>
            </w:r>
          </w:p>
        </w:tc>
        <w:tc>
          <w:tcPr>
            <w:tcW w:w="1298" w:type="dxa"/>
            <w:vAlign w:val="bottom"/>
          </w:tcPr>
          <w:p w14:paraId="0B70E805" w14:textId="77777777" w:rsidR="00413229" w:rsidRPr="00AC1055" w:rsidRDefault="00413229" w:rsidP="00413229">
            <w:pPr>
              <w:jc w:val="center"/>
              <w:rPr>
                <w:rFonts w:cs="Times New Roman"/>
                <w:color w:val="000000"/>
                <w:szCs w:val="24"/>
              </w:rPr>
            </w:pPr>
            <w:r w:rsidRPr="00AC1055">
              <w:rPr>
                <w:rFonts w:cs="Times New Roman"/>
                <w:color w:val="000000"/>
                <w:szCs w:val="24"/>
              </w:rPr>
              <w:t>0.398711</w:t>
            </w:r>
          </w:p>
        </w:tc>
        <w:tc>
          <w:tcPr>
            <w:tcW w:w="1395" w:type="dxa"/>
            <w:vAlign w:val="bottom"/>
          </w:tcPr>
          <w:p w14:paraId="0581B29B" w14:textId="77777777" w:rsidR="00413229" w:rsidRPr="00AC1055" w:rsidRDefault="00413229" w:rsidP="00413229">
            <w:pPr>
              <w:jc w:val="center"/>
              <w:rPr>
                <w:rFonts w:cs="Times New Roman"/>
                <w:color w:val="000000"/>
                <w:szCs w:val="24"/>
              </w:rPr>
            </w:pPr>
            <w:r w:rsidRPr="00AC1055">
              <w:rPr>
                <w:rFonts w:cs="Times New Roman"/>
                <w:color w:val="000000"/>
                <w:szCs w:val="24"/>
              </w:rPr>
              <w:t>0.057521</w:t>
            </w:r>
          </w:p>
        </w:tc>
        <w:tc>
          <w:tcPr>
            <w:tcW w:w="1395" w:type="dxa"/>
            <w:vAlign w:val="bottom"/>
          </w:tcPr>
          <w:p w14:paraId="5BAD8CEB" w14:textId="77777777" w:rsidR="00413229" w:rsidRPr="00AC1055" w:rsidRDefault="00413229" w:rsidP="00413229">
            <w:pPr>
              <w:jc w:val="center"/>
              <w:rPr>
                <w:rFonts w:cs="Times New Roman"/>
                <w:color w:val="000000"/>
                <w:szCs w:val="24"/>
              </w:rPr>
            </w:pPr>
            <w:r w:rsidRPr="00AC1055">
              <w:rPr>
                <w:rFonts w:cs="Times New Roman"/>
                <w:color w:val="000000"/>
                <w:szCs w:val="24"/>
              </w:rPr>
              <w:t>0.472082</w:t>
            </w:r>
          </w:p>
        </w:tc>
        <w:tc>
          <w:tcPr>
            <w:tcW w:w="1379" w:type="dxa"/>
          </w:tcPr>
          <w:p w14:paraId="2C03FE72" w14:textId="77777777" w:rsidR="00413229" w:rsidRPr="00AC1055" w:rsidRDefault="00413229" w:rsidP="00413229">
            <w:pPr>
              <w:jc w:val="center"/>
              <w:rPr>
                <w:rFonts w:cs="Times New Roman"/>
              </w:rPr>
            </w:pPr>
            <w:r w:rsidRPr="00AC1055">
              <w:rPr>
                <w:rFonts w:cs="Times New Roman"/>
              </w:rPr>
              <w:t>-0.01918</w:t>
            </w:r>
          </w:p>
        </w:tc>
      </w:tr>
      <w:tr w:rsidR="00413229" w:rsidRPr="00AC1055" w14:paraId="51E7D8C2" w14:textId="77777777" w:rsidTr="00413229">
        <w:tc>
          <w:tcPr>
            <w:tcW w:w="1809" w:type="dxa"/>
          </w:tcPr>
          <w:p w14:paraId="6797CD1F" w14:textId="77777777" w:rsidR="00413229" w:rsidRPr="00AC1055" w:rsidRDefault="00413229" w:rsidP="00413229">
            <w:pPr>
              <w:rPr>
                <w:rFonts w:cs="Times New Roman"/>
              </w:rPr>
            </w:pPr>
            <w:r w:rsidRPr="00AC1055">
              <w:rPr>
                <w:rFonts w:cs="Times New Roman"/>
              </w:rPr>
              <w:t>Frequentist</w:t>
            </w:r>
          </w:p>
        </w:tc>
        <w:tc>
          <w:tcPr>
            <w:tcW w:w="1138" w:type="dxa"/>
          </w:tcPr>
          <w:p w14:paraId="45A51C4B" w14:textId="77777777" w:rsidR="00413229" w:rsidRPr="00AC1055" w:rsidRDefault="00413229" w:rsidP="00413229">
            <w:pPr>
              <w:jc w:val="center"/>
              <w:rPr>
                <w:rFonts w:cs="Times New Roman"/>
              </w:rPr>
            </w:pPr>
            <w:r w:rsidRPr="00AC1055">
              <w:rPr>
                <w:rFonts w:cs="Times New Roman"/>
              </w:rPr>
              <w:t>0.140102</w:t>
            </w:r>
          </w:p>
        </w:tc>
        <w:tc>
          <w:tcPr>
            <w:tcW w:w="1298" w:type="dxa"/>
          </w:tcPr>
          <w:p w14:paraId="6A3B30A7" w14:textId="77777777" w:rsidR="00413229" w:rsidRPr="00AC1055" w:rsidRDefault="00413229" w:rsidP="00413229">
            <w:pPr>
              <w:jc w:val="center"/>
              <w:rPr>
                <w:rFonts w:cs="Times New Roman"/>
              </w:rPr>
            </w:pPr>
            <w:r w:rsidRPr="00AC1055">
              <w:rPr>
                <w:rFonts w:cs="Times New Roman"/>
              </w:rPr>
              <w:t>0.342849</w:t>
            </w:r>
          </w:p>
        </w:tc>
        <w:tc>
          <w:tcPr>
            <w:tcW w:w="1395" w:type="dxa"/>
          </w:tcPr>
          <w:p w14:paraId="7BC6547A" w14:textId="77777777" w:rsidR="00413229" w:rsidRPr="00AC1055" w:rsidRDefault="00413229" w:rsidP="00413229">
            <w:pPr>
              <w:jc w:val="center"/>
              <w:rPr>
                <w:rFonts w:cs="Times New Roman"/>
              </w:rPr>
            </w:pPr>
            <w:r w:rsidRPr="00AC1055">
              <w:rPr>
                <w:rFonts w:cs="Times New Roman"/>
              </w:rPr>
              <w:t>0.021449</w:t>
            </w:r>
          </w:p>
        </w:tc>
        <w:tc>
          <w:tcPr>
            <w:tcW w:w="1395" w:type="dxa"/>
          </w:tcPr>
          <w:p w14:paraId="02A3B60C" w14:textId="77777777" w:rsidR="00413229" w:rsidRPr="00AC1055" w:rsidRDefault="00413229" w:rsidP="00413229">
            <w:pPr>
              <w:jc w:val="center"/>
              <w:rPr>
                <w:rFonts w:cs="Times New Roman"/>
              </w:rPr>
            </w:pPr>
            <w:r w:rsidRPr="00AC1055">
              <w:rPr>
                <w:rFonts w:cs="Times New Roman"/>
              </w:rPr>
              <w:t>0.541839</w:t>
            </w:r>
          </w:p>
        </w:tc>
        <w:tc>
          <w:tcPr>
            <w:tcW w:w="1379" w:type="dxa"/>
          </w:tcPr>
          <w:p w14:paraId="5D8BA939" w14:textId="77777777" w:rsidR="00413229" w:rsidRPr="00AC1055" w:rsidRDefault="00413229" w:rsidP="00413229">
            <w:pPr>
              <w:jc w:val="center"/>
              <w:rPr>
                <w:rFonts w:cs="Times New Roman"/>
              </w:rPr>
            </w:pPr>
            <w:r w:rsidRPr="00AC1055">
              <w:rPr>
                <w:rFonts w:cs="Times New Roman"/>
              </w:rPr>
              <w:t>-0.16607</w:t>
            </w:r>
          </w:p>
        </w:tc>
      </w:tr>
    </w:tbl>
    <w:p w14:paraId="46736E48" w14:textId="77777777" w:rsidR="00413229" w:rsidRDefault="00413229" w:rsidP="00413229">
      <w:pPr>
        <w:spacing w:line="480" w:lineRule="auto"/>
        <w:rPr>
          <w:rFonts w:cs="Times New Roman"/>
        </w:rPr>
      </w:pPr>
    </w:p>
    <w:p w14:paraId="555A97E5" w14:textId="77777777" w:rsidR="00413229" w:rsidRPr="00AC1055" w:rsidRDefault="00413229" w:rsidP="00413229">
      <w:pPr>
        <w:spacing w:line="480" w:lineRule="auto"/>
        <w:rPr>
          <w:rFonts w:cs="Times New Roman"/>
        </w:rPr>
      </w:pPr>
      <w:r w:rsidRPr="00AC1055">
        <w:rPr>
          <w:rFonts w:cs="Times New Roman"/>
        </w:rPr>
        <w:t>However</w:t>
      </w:r>
      <w:r>
        <w:rPr>
          <w:rFonts w:cs="Times New Roman"/>
        </w:rPr>
        <w:t>,</w:t>
      </w:r>
      <w:r w:rsidRPr="00AC1055">
        <w:rPr>
          <w:rFonts w:cs="Times New Roman"/>
        </w:rPr>
        <w:t xml:space="preserve"> both the regression analyses show that </w:t>
      </w:r>
      <w:r>
        <w:rPr>
          <w:rFonts w:cs="Times New Roman"/>
        </w:rPr>
        <w:t xml:space="preserve">the </w:t>
      </w:r>
      <w:r w:rsidRPr="00AC1055">
        <w:rPr>
          <w:rFonts w:cs="Times New Roman"/>
        </w:rPr>
        <w:t xml:space="preserve">corporate governance regression coefficient is low in comparison to </w:t>
      </w:r>
      <w:r>
        <w:rPr>
          <w:rFonts w:cs="Times New Roman"/>
        </w:rPr>
        <w:t xml:space="preserve">the </w:t>
      </w:r>
      <w:r w:rsidRPr="00AC1055">
        <w:rPr>
          <w:rFonts w:cs="Times New Roman"/>
        </w:rPr>
        <w:t>mean control 1 and control 3 coefficient. Its impact is similar to control 2 for Bayesian analysis and seven times larger in frequentist analysis. The frequentist analysis also predicts that the corporate governance change in India has the second highest impact on financial market growth among the countri</w:t>
      </w:r>
      <w:r>
        <w:rPr>
          <w:rFonts w:cs="Times New Roman"/>
        </w:rPr>
        <w:t>es studied under this research, while Bayesian analysis puts India at eighth among the nineteen developing countries studied in this research. Thus there is a need for further qualitative study to explore the reason behind this apparent dissociation between the results predicted by Bayesian and frequentist methods.</w:t>
      </w:r>
    </w:p>
    <w:p w14:paraId="70AD9679" w14:textId="0E64BD75" w:rsidR="00413229" w:rsidRDefault="00413229" w:rsidP="00413229">
      <w:pPr>
        <w:spacing w:line="480" w:lineRule="auto"/>
        <w:rPr>
          <w:rFonts w:cs="Times New Roman"/>
        </w:rPr>
      </w:pPr>
      <w:r>
        <w:rPr>
          <w:rFonts w:cs="Times New Roman"/>
        </w:rPr>
        <w:lastRenderedPageBreak/>
        <w:t>It</w:t>
      </w:r>
      <w:r w:rsidRPr="00AC1055">
        <w:rPr>
          <w:rFonts w:cs="Times New Roman"/>
        </w:rPr>
        <w:t xml:space="preserve"> can </w:t>
      </w:r>
      <w:r>
        <w:rPr>
          <w:rFonts w:cs="Times New Roman"/>
        </w:rPr>
        <w:t xml:space="preserve">thus be </w:t>
      </w:r>
      <w:r w:rsidRPr="00AC1055">
        <w:rPr>
          <w:rFonts w:cs="Times New Roman"/>
        </w:rPr>
        <w:t>conclude</w:t>
      </w:r>
      <w:r>
        <w:rPr>
          <w:rFonts w:cs="Times New Roman"/>
        </w:rPr>
        <w:t>d</w:t>
      </w:r>
      <w:r w:rsidRPr="00AC1055">
        <w:rPr>
          <w:rFonts w:cs="Times New Roman"/>
        </w:rPr>
        <w:t xml:space="preserve"> that although change</w:t>
      </w:r>
      <w:r>
        <w:rPr>
          <w:rFonts w:cs="Times New Roman"/>
        </w:rPr>
        <w:t>s</w:t>
      </w:r>
      <w:r w:rsidRPr="00AC1055">
        <w:rPr>
          <w:rFonts w:cs="Times New Roman"/>
        </w:rPr>
        <w:t xml:space="preserve"> in </w:t>
      </w:r>
      <w:r>
        <w:rPr>
          <w:rFonts w:cs="Times New Roman"/>
        </w:rPr>
        <w:t xml:space="preserve">the </w:t>
      </w:r>
      <w:r w:rsidRPr="00AC1055">
        <w:rPr>
          <w:rFonts w:cs="Times New Roman"/>
        </w:rPr>
        <w:t xml:space="preserve">corporate governance model in India may have some impact (based on frequentist analysis)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Indian financial market, it is still several times lowe</w:t>
      </w:r>
      <w:r w:rsidR="00991CFF">
        <w:rPr>
          <w:rFonts w:cs="Times New Roman"/>
        </w:rPr>
        <w:t>r than control 1 and control 3.</w:t>
      </w:r>
    </w:p>
    <w:p w14:paraId="4E72A375" w14:textId="77777777" w:rsidR="00413229" w:rsidRPr="00AC1055" w:rsidRDefault="00413229" w:rsidP="00413229">
      <w:pPr>
        <w:spacing w:line="480" w:lineRule="auto"/>
        <w:rPr>
          <w:rFonts w:cs="Times New Roman"/>
        </w:rPr>
      </w:pPr>
    </w:p>
    <w:p w14:paraId="1EF590F4" w14:textId="77777777" w:rsidR="00413229" w:rsidRPr="00AC1055" w:rsidRDefault="00413229" w:rsidP="00413229">
      <w:pPr>
        <w:spacing w:line="480" w:lineRule="auto"/>
        <w:rPr>
          <w:rFonts w:cs="Times New Roman"/>
          <w:u w:val="single"/>
        </w:rPr>
      </w:pPr>
      <w:r>
        <w:rPr>
          <w:rFonts w:cs="Times New Roman"/>
          <w:u w:val="single"/>
        </w:rPr>
        <w:t xml:space="preserve">4.4.6 </w:t>
      </w:r>
      <w:r w:rsidRPr="00AC1055">
        <w:rPr>
          <w:rFonts w:cs="Times New Roman"/>
          <w:u w:val="single"/>
        </w:rPr>
        <w:t>Indonesia</w:t>
      </w:r>
    </w:p>
    <w:p w14:paraId="4DC6A520"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971614D" wp14:editId="4DAE8C35">
            <wp:extent cx="5619048" cy="3390476"/>
            <wp:effectExtent l="0" t="0" r="1270" b="63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19048" cy="3390476"/>
                    </a:xfrm>
                    <a:prstGeom prst="rect">
                      <a:avLst/>
                    </a:prstGeom>
                  </pic:spPr>
                </pic:pic>
              </a:graphicData>
            </a:graphic>
          </wp:inline>
        </w:drawing>
      </w:r>
    </w:p>
    <w:p w14:paraId="58B99736" w14:textId="77777777" w:rsidR="00413229" w:rsidRPr="00AC1055" w:rsidRDefault="00413229" w:rsidP="00413229">
      <w:pPr>
        <w:spacing w:line="480" w:lineRule="auto"/>
        <w:rPr>
          <w:rFonts w:cs="Times New Roman"/>
        </w:rPr>
      </w:pPr>
      <w:r w:rsidRPr="00AC1055">
        <w:rPr>
          <w:rFonts w:cs="Times New Roman"/>
        </w:rPr>
        <w:t>Corporate governance shift in Indonesia can be grouped into three periods</w:t>
      </w:r>
      <w:r>
        <w:rPr>
          <w:rFonts w:cs="Times New Roman"/>
        </w:rPr>
        <w:t>:</w:t>
      </w:r>
      <w:r w:rsidRPr="00AC1055">
        <w:rPr>
          <w:rFonts w:cs="Times New Roman"/>
        </w:rPr>
        <w:t xml:space="preserve"> the period of slow gradual reform between 1995</w:t>
      </w:r>
      <w:r>
        <w:rPr>
          <w:rFonts w:cs="Times New Roman"/>
        </w:rPr>
        <w:t xml:space="preserve"> and </w:t>
      </w:r>
      <w:r w:rsidRPr="00AC1055">
        <w:rPr>
          <w:rFonts w:cs="Times New Roman"/>
        </w:rPr>
        <w:t>2006, the period of intense restructuring 2006-2007 to attract foreign investor</w:t>
      </w:r>
      <w:r>
        <w:rPr>
          <w:rFonts w:cs="Times New Roman"/>
        </w:rPr>
        <w:t>s</w:t>
      </w:r>
      <w:r w:rsidRPr="00AC1055">
        <w:rPr>
          <w:rFonts w:cs="Times New Roman"/>
        </w:rPr>
        <w:t xml:space="preserve"> in the period of global financial upswing and finally the period of moderate reforms in the aftermath of </w:t>
      </w:r>
      <w:r>
        <w:rPr>
          <w:rFonts w:cs="Times New Roman"/>
        </w:rPr>
        <w:t xml:space="preserve">the </w:t>
      </w:r>
      <w:r w:rsidRPr="00AC1055">
        <w:rPr>
          <w:rFonts w:cs="Times New Roman"/>
        </w:rPr>
        <w:t>global financial crisis.</w:t>
      </w:r>
    </w:p>
    <w:p w14:paraId="62EAE39B" w14:textId="77777777" w:rsidR="00413229" w:rsidRPr="00AC1055" w:rsidRDefault="00413229" w:rsidP="00413229">
      <w:pPr>
        <w:spacing w:line="480" w:lineRule="auto"/>
        <w:rPr>
          <w:rFonts w:cs="Times New Roman"/>
        </w:rPr>
      </w:pPr>
      <w:r w:rsidRPr="00AC1055">
        <w:rPr>
          <w:rFonts w:cs="Times New Roman"/>
        </w:rPr>
        <w:t xml:space="preserve">Financial market development </w:t>
      </w:r>
      <w:r>
        <w:rPr>
          <w:rFonts w:cs="Times New Roman"/>
        </w:rPr>
        <w:t>wa</w:t>
      </w:r>
      <w:r w:rsidRPr="00AC1055">
        <w:rPr>
          <w:rFonts w:cs="Times New Roman"/>
        </w:rPr>
        <w:t xml:space="preserve">s generally steady and </w:t>
      </w:r>
      <w:r>
        <w:rPr>
          <w:rFonts w:cs="Times New Roman"/>
        </w:rPr>
        <w:t xml:space="preserve">this </w:t>
      </w:r>
      <w:r w:rsidRPr="00AC1055">
        <w:rPr>
          <w:rFonts w:cs="Times New Roman"/>
        </w:rPr>
        <w:t>is consistent with other developing countr</w:t>
      </w:r>
      <w:r>
        <w:rPr>
          <w:rFonts w:cs="Times New Roman"/>
        </w:rPr>
        <w:t>ies</w:t>
      </w:r>
      <w:r w:rsidRPr="00AC1055">
        <w:rPr>
          <w:rFonts w:cs="Times New Roman"/>
        </w:rPr>
        <w:t xml:space="preserve"> in SE Asia. Indonesia </w:t>
      </w:r>
      <w:r>
        <w:rPr>
          <w:rFonts w:cs="Times New Roman"/>
        </w:rPr>
        <w:t>wa</w:t>
      </w:r>
      <w:r w:rsidRPr="00AC1055">
        <w:rPr>
          <w:rFonts w:cs="Times New Roman"/>
        </w:rPr>
        <w:t xml:space="preserve">s not greatly affected by </w:t>
      </w:r>
      <w:r>
        <w:rPr>
          <w:rFonts w:cs="Times New Roman"/>
        </w:rPr>
        <w:t xml:space="preserve">the </w:t>
      </w:r>
      <w:r w:rsidRPr="00AC1055">
        <w:rPr>
          <w:rFonts w:cs="Times New Roman"/>
        </w:rPr>
        <w:t>glob</w:t>
      </w:r>
      <w:r>
        <w:rPr>
          <w:rFonts w:cs="Times New Roman"/>
        </w:rPr>
        <w:t>al financial crisis and recovered</w:t>
      </w:r>
      <w:r w:rsidRPr="00AC1055">
        <w:rPr>
          <w:rFonts w:cs="Times New Roman"/>
        </w:rPr>
        <w:t xml:space="preserve"> quickly. Control 1 and control 3 mirror the financial market growth but control 2 echoes the corporate governance development more than it does financial market growth. </w:t>
      </w:r>
    </w:p>
    <w:p w14:paraId="682AAE36" w14:textId="77777777" w:rsidR="00413229" w:rsidRPr="00AC1055" w:rsidRDefault="00413229" w:rsidP="00413229">
      <w:pPr>
        <w:spacing w:line="480" w:lineRule="auto"/>
        <w:rPr>
          <w:rFonts w:cs="Times New Roman"/>
        </w:rPr>
      </w:pPr>
    </w:p>
    <w:p w14:paraId="486A45F4"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C45A0CD" wp14:editId="76903FBD">
            <wp:extent cx="5619750" cy="1723389"/>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23201" cy="1724447"/>
                    </a:xfrm>
                    <a:prstGeom prst="rect">
                      <a:avLst/>
                    </a:prstGeom>
                    <a:noFill/>
                    <a:ln>
                      <a:noFill/>
                    </a:ln>
                  </pic:spPr>
                </pic:pic>
              </a:graphicData>
            </a:graphic>
          </wp:inline>
        </w:drawing>
      </w:r>
    </w:p>
    <w:p w14:paraId="300A708B" w14:textId="77777777" w:rsidR="00413229" w:rsidRPr="00AC1055" w:rsidRDefault="00413229" w:rsidP="00413229">
      <w:pPr>
        <w:spacing w:line="480" w:lineRule="auto"/>
        <w:rPr>
          <w:rFonts w:cs="Times New Roman"/>
        </w:rPr>
      </w:pPr>
    </w:p>
    <w:p w14:paraId="1B8C423D" w14:textId="77777777" w:rsidR="00413229" w:rsidRPr="00AC1055" w:rsidRDefault="00413229" w:rsidP="00413229">
      <w:pPr>
        <w:spacing w:line="480" w:lineRule="auto"/>
        <w:rPr>
          <w:rFonts w:cs="Times New Roman"/>
        </w:rPr>
      </w:pPr>
      <w:r w:rsidRPr="00AC1055">
        <w:rPr>
          <w:rFonts w:cs="Times New Roman"/>
        </w:rPr>
        <w:t xml:space="preserve">The graphs above show the overall regression analysis between </w:t>
      </w:r>
      <w:r>
        <w:rPr>
          <w:rFonts w:cs="Times New Roman"/>
        </w:rPr>
        <w:t xml:space="preserve">the </w:t>
      </w:r>
      <w:r w:rsidRPr="00AC1055">
        <w:rPr>
          <w:rFonts w:cs="Times New Roman"/>
        </w:rPr>
        <w:t xml:space="preserve">financial market development as </w:t>
      </w:r>
      <w:r>
        <w:rPr>
          <w:rFonts w:cs="Times New Roman"/>
        </w:rPr>
        <w:t xml:space="preserve">a </w:t>
      </w:r>
      <w:r w:rsidRPr="00AC1055">
        <w:rPr>
          <w:rFonts w:cs="Times New Roman"/>
        </w:rPr>
        <w:t xml:space="preserve">dependent variable, corporate governance as </w:t>
      </w:r>
      <w:r>
        <w:rPr>
          <w:rFonts w:cs="Times New Roman"/>
        </w:rPr>
        <w:t xml:space="preserve">an </w:t>
      </w:r>
      <w:r w:rsidRPr="00AC1055">
        <w:rPr>
          <w:rFonts w:cs="Times New Roman"/>
        </w:rPr>
        <w:t>explanatory or independent variable and three control variables. The results are presented below:</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6A9A264B" w14:textId="77777777" w:rsidTr="00413229">
        <w:tc>
          <w:tcPr>
            <w:tcW w:w="1809" w:type="dxa"/>
          </w:tcPr>
          <w:p w14:paraId="6ED5EB69" w14:textId="77777777" w:rsidR="00413229" w:rsidRPr="00AC1055" w:rsidRDefault="00413229" w:rsidP="00413229">
            <w:pPr>
              <w:rPr>
                <w:rFonts w:cs="Times New Roman"/>
              </w:rPr>
            </w:pPr>
          </w:p>
        </w:tc>
        <w:tc>
          <w:tcPr>
            <w:tcW w:w="1138" w:type="dxa"/>
          </w:tcPr>
          <w:p w14:paraId="1FB4FF67" w14:textId="77777777" w:rsidR="00413229" w:rsidRPr="00AC1055" w:rsidRDefault="00413229" w:rsidP="00413229">
            <w:pPr>
              <w:jc w:val="center"/>
              <w:rPr>
                <w:rFonts w:cs="Times New Roman"/>
              </w:rPr>
            </w:pPr>
            <w:r w:rsidRPr="00AC1055">
              <w:rPr>
                <w:rFonts w:cs="Times New Roman"/>
              </w:rPr>
              <w:t>CG</w:t>
            </w:r>
          </w:p>
        </w:tc>
        <w:tc>
          <w:tcPr>
            <w:tcW w:w="1298" w:type="dxa"/>
          </w:tcPr>
          <w:p w14:paraId="7DB6C73D"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68067189"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5A3E70B5"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2876A4B9"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1C4E9DEC" w14:textId="77777777" w:rsidTr="00413229">
        <w:tc>
          <w:tcPr>
            <w:tcW w:w="1809" w:type="dxa"/>
          </w:tcPr>
          <w:p w14:paraId="36BC0A53" w14:textId="77777777" w:rsidR="00413229" w:rsidRPr="00AC1055" w:rsidRDefault="00413229" w:rsidP="00413229">
            <w:pPr>
              <w:rPr>
                <w:rFonts w:cs="Times New Roman"/>
              </w:rPr>
            </w:pPr>
            <w:r w:rsidRPr="00AC1055">
              <w:rPr>
                <w:rFonts w:cs="Times New Roman"/>
              </w:rPr>
              <w:t>Mean Bayesian</w:t>
            </w:r>
          </w:p>
        </w:tc>
        <w:tc>
          <w:tcPr>
            <w:tcW w:w="1138" w:type="dxa"/>
          </w:tcPr>
          <w:p w14:paraId="66E4EE63" w14:textId="77777777" w:rsidR="00413229" w:rsidRPr="00AC1055" w:rsidRDefault="00413229" w:rsidP="00413229">
            <w:pPr>
              <w:jc w:val="center"/>
              <w:rPr>
                <w:rFonts w:cs="Times New Roman"/>
              </w:rPr>
            </w:pPr>
            <w:r w:rsidRPr="00AC1055">
              <w:rPr>
                <w:rFonts w:cs="Times New Roman"/>
              </w:rPr>
              <w:t>0.066574</w:t>
            </w:r>
          </w:p>
        </w:tc>
        <w:tc>
          <w:tcPr>
            <w:tcW w:w="1298" w:type="dxa"/>
            <w:vAlign w:val="bottom"/>
          </w:tcPr>
          <w:p w14:paraId="779A3CCE" w14:textId="77777777" w:rsidR="00413229" w:rsidRPr="00AC1055" w:rsidRDefault="00413229" w:rsidP="00413229">
            <w:pPr>
              <w:jc w:val="center"/>
              <w:rPr>
                <w:rFonts w:cs="Times New Roman"/>
                <w:color w:val="000000"/>
                <w:szCs w:val="24"/>
              </w:rPr>
            </w:pPr>
            <w:r w:rsidRPr="00AC1055">
              <w:rPr>
                <w:rFonts w:cs="Times New Roman"/>
                <w:color w:val="000000"/>
                <w:szCs w:val="24"/>
              </w:rPr>
              <w:t>0.411826</w:t>
            </w:r>
          </w:p>
        </w:tc>
        <w:tc>
          <w:tcPr>
            <w:tcW w:w="1395" w:type="dxa"/>
            <w:vAlign w:val="bottom"/>
          </w:tcPr>
          <w:p w14:paraId="731B99CD" w14:textId="77777777" w:rsidR="00413229" w:rsidRPr="00AC1055" w:rsidRDefault="00413229" w:rsidP="00413229">
            <w:pPr>
              <w:jc w:val="center"/>
              <w:rPr>
                <w:rFonts w:cs="Times New Roman"/>
                <w:color w:val="000000"/>
                <w:szCs w:val="24"/>
              </w:rPr>
            </w:pPr>
            <w:r w:rsidRPr="00AC1055">
              <w:rPr>
                <w:rFonts w:cs="Times New Roman"/>
                <w:color w:val="000000"/>
                <w:szCs w:val="24"/>
              </w:rPr>
              <w:t>0.087087</w:t>
            </w:r>
          </w:p>
        </w:tc>
        <w:tc>
          <w:tcPr>
            <w:tcW w:w="1395" w:type="dxa"/>
            <w:vAlign w:val="bottom"/>
          </w:tcPr>
          <w:p w14:paraId="04E84E21" w14:textId="77777777" w:rsidR="00413229" w:rsidRPr="00AC1055" w:rsidRDefault="00413229" w:rsidP="00413229">
            <w:pPr>
              <w:jc w:val="center"/>
              <w:rPr>
                <w:rFonts w:cs="Times New Roman"/>
                <w:color w:val="000000"/>
                <w:szCs w:val="24"/>
              </w:rPr>
            </w:pPr>
            <w:r w:rsidRPr="00AC1055">
              <w:rPr>
                <w:rFonts w:cs="Times New Roman"/>
                <w:color w:val="000000"/>
                <w:szCs w:val="24"/>
              </w:rPr>
              <w:t>0.465394</w:t>
            </w:r>
          </w:p>
        </w:tc>
        <w:tc>
          <w:tcPr>
            <w:tcW w:w="1379" w:type="dxa"/>
          </w:tcPr>
          <w:p w14:paraId="5F09F6D1" w14:textId="77777777" w:rsidR="00413229" w:rsidRPr="00AC1055" w:rsidRDefault="00413229" w:rsidP="00413229">
            <w:pPr>
              <w:jc w:val="center"/>
              <w:rPr>
                <w:rFonts w:cs="Times New Roman"/>
              </w:rPr>
            </w:pPr>
            <w:r w:rsidRPr="00AC1055">
              <w:rPr>
                <w:rFonts w:cs="Times New Roman"/>
              </w:rPr>
              <w:t>-0.14892</w:t>
            </w:r>
          </w:p>
        </w:tc>
      </w:tr>
      <w:tr w:rsidR="00413229" w:rsidRPr="00AC1055" w14:paraId="0E5DAACD" w14:textId="77777777" w:rsidTr="00413229">
        <w:tc>
          <w:tcPr>
            <w:tcW w:w="1809" w:type="dxa"/>
          </w:tcPr>
          <w:p w14:paraId="0F0D3317" w14:textId="77777777" w:rsidR="00413229" w:rsidRPr="00AC1055" w:rsidRDefault="00413229" w:rsidP="00413229">
            <w:pPr>
              <w:rPr>
                <w:rFonts w:cs="Times New Roman"/>
              </w:rPr>
            </w:pPr>
            <w:r w:rsidRPr="00AC1055">
              <w:rPr>
                <w:rFonts w:cs="Times New Roman"/>
              </w:rPr>
              <w:t>Frequentist</w:t>
            </w:r>
          </w:p>
        </w:tc>
        <w:tc>
          <w:tcPr>
            <w:tcW w:w="1138" w:type="dxa"/>
          </w:tcPr>
          <w:p w14:paraId="086DB05B" w14:textId="77777777" w:rsidR="00413229" w:rsidRPr="00AC1055" w:rsidRDefault="00413229" w:rsidP="00413229">
            <w:pPr>
              <w:jc w:val="center"/>
              <w:rPr>
                <w:rFonts w:cs="Times New Roman"/>
              </w:rPr>
            </w:pPr>
            <w:r w:rsidRPr="00AC1055">
              <w:rPr>
                <w:rFonts w:cs="Times New Roman"/>
              </w:rPr>
              <w:t>0.085853</w:t>
            </w:r>
          </w:p>
        </w:tc>
        <w:tc>
          <w:tcPr>
            <w:tcW w:w="1298" w:type="dxa"/>
          </w:tcPr>
          <w:p w14:paraId="731352F8" w14:textId="77777777" w:rsidR="00413229" w:rsidRPr="00AC1055" w:rsidRDefault="00413229" w:rsidP="00413229">
            <w:pPr>
              <w:jc w:val="center"/>
              <w:rPr>
                <w:rFonts w:cs="Times New Roman"/>
              </w:rPr>
            </w:pPr>
            <w:r w:rsidRPr="00AC1055">
              <w:rPr>
                <w:rFonts w:cs="Times New Roman"/>
              </w:rPr>
              <w:t>0.397137</w:t>
            </w:r>
          </w:p>
        </w:tc>
        <w:tc>
          <w:tcPr>
            <w:tcW w:w="1395" w:type="dxa"/>
          </w:tcPr>
          <w:p w14:paraId="4762F1F9" w14:textId="77777777" w:rsidR="00413229" w:rsidRPr="00AC1055" w:rsidRDefault="00413229" w:rsidP="00413229">
            <w:pPr>
              <w:jc w:val="center"/>
              <w:rPr>
                <w:rFonts w:cs="Times New Roman"/>
              </w:rPr>
            </w:pPr>
            <w:r w:rsidRPr="00AC1055">
              <w:rPr>
                <w:rFonts w:cs="Times New Roman"/>
              </w:rPr>
              <w:t>0.072739</w:t>
            </w:r>
          </w:p>
        </w:tc>
        <w:tc>
          <w:tcPr>
            <w:tcW w:w="1395" w:type="dxa"/>
          </w:tcPr>
          <w:p w14:paraId="39E9BD4A" w14:textId="77777777" w:rsidR="00413229" w:rsidRPr="00AC1055" w:rsidRDefault="00413229" w:rsidP="00413229">
            <w:pPr>
              <w:jc w:val="center"/>
              <w:rPr>
                <w:rFonts w:cs="Times New Roman"/>
              </w:rPr>
            </w:pPr>
            <w:r w:rsidRPr="00AC1055">
              <w:rPr>
                <w:rFonts w:cs="Times New Roman"/>
              </w:rPr>
              <w:t>0.47568</w:t>
            </w:r>
          </w:p>
        </w:tc>
        <w:tc>
          <w:tcPr>
            <w:tcW w:w="1379" w:type="dxa"/>
          </w:tcPr>
          <w:p w14:paraId="570FA5EF" w14:textId="77777777" w:rsidR="00413229" w:rsidRPr="00AC1055" w:rsidRDefault="00413229" w:rsidP="00413229">
            <w:pPr>
              <w:jc w:val="center"/>
              <w:rPr>
                <w:rFonts w:cs="Times New Roman"/>
              </w:rPr>
            </w:pPr>
            <w:r w:rsidRPr="00AC1055">
              <w:rPr>
                <w:rFonts w:cs="Times New Roman"/>
              </w:rPr>
              <w:t>-0.15773</w:t>
            </w:r>
          </w:p>
        </w:tc>
      </w:tr>
    </w:tbl>
    <w:p w14:paraId="3A6E404E" w14:textId="77777777" w:rsidR="00413229" w:rsidRDefault="00413229" w:rsidP="00413229">
      <w:pPr>
        <w:spacing w:line="480" w:lineRule="auto"/>
        <w:rPr>
          <w:rFonts w:cs="Times New Roman"/>
        </w:rPr>
      </w:pPr>
    </w:p>
    <w:p w14:paraId="32A5D544" w14:textId="77777777" w:rsidR="00413229" w:rsidRPr="00AC1055" w:rsidRDefault="00413229" w:rsidP="00413229">
      <w:pPr>
        <w:spacing w:line="480" w:lineRule="auto"/>
        <w:rPr>
          <w:rFonts w:cs="Times New Roman"/>
        </w:rPr>
      </w:pPr>
      <w:r>
        <w:rPr>
          <w:rFonts w:cs="Times New Roman"/>
        </w:rPr>
        <w:t>It is found</w:t>
      </w:r>
      <w:r w:rsidRPr="00AC1055">
        <w:rPr>
          <w:rFonts w:cs="Times New Roman"/>
        </w:rPr>
        <w:t xml:space="preserve"> that Bayesian and frequentist values generally match each other. The mean coefficient for corporate governance is 0.066574 under Bayesian analysis with the high density interval ranging from 0.038958 to 0.094967, the frequentist coefficient of 0.085853 falls within this range. </w:t>
      </w:r>
    </w:p>
    <w:p w14:paraId="1EF35EE2" w14:textId="77777777" w:rsidR="00413229" w:rsidRPr="00AC1055" w:rsidRDefault="00413229" w:rsidP="00413229">
      <w:pPr>
        <w:spacing w:line="480" w:lineRule="auto"/>
        <w:rPr>
          <w:rFonts w:cs="Times New Roman"/>
        </w:rPr>
      </w:pPr>
      <w:r w:rsidRPr="00AC1055">
        <w:rPr>
          <w:rFonts w:cs="Times New Roman"/>
        </w:rPr>
        <w:t xml:space="preserve">The impact of corporate governance on financial market development is comparable to that of control 2, but is much lower than that of control 1 and control 3. So </w:t>
      </w:r>
      <w:r>
        <w:rPr>
          <w:rFonts w:cs="Times New Roman"/>
        </w:rPr>
        <w:t>it</w:t>
      </w:r>
      <w:r w:rsidRPr="00AC1055">
        <w:rPr>
          <w:rFonts w:cs="Times New Roman"/>
        </w:rPr>
        <w:t xml:space="preserve"> can </w:t>
      </w:r>
      <w:r>
        <w:rPr>
          <w:rFonts w:cs="Times New Roman"/>
        </w:rPr>
        <w:t xml:space="preserve">be </w:t>
      </w:r>
      <w:r w:rsidRPr="00AC1055">
        <w:rPr>
          <w:rFonts w:cs="Times New Roman"/>
        </w:rPr>
        <w:t>safely conclude</w:t>
      </w:r>
      <w:r>
        <w:rPr>
          <w:rFonts w:cs="Times New Roman"/>
        </w:rPr>
        <w:t>d</w:t>
      </w:r>
      <w:r w:rsidRPr="00AC1055">
        <w:rPr>
          <w:rFonts w:cs="Times New Roman"/>
        </w:rPr>
        <w:t xml:space="preserve"> that in comparison to </w:t>
      </w:r>
      <w:r>
        <w:rPr>
          <w:rFonts w:cs="Times New Roman"/>
        </w:rPr>
        <w:t xml:space="preserve">the </w:t>
      </w:r>
      <w:r w:rsidRPr="00AC1055">
        <w:rPr>
          <w:rFonts w:cs="Times New Roman"/>
        </w:rPr>
        <w:t>impact of economic and technological growth, change in corporate governance has</w:t>
      </w:r>
      <w:r>
        <w:rPr>
          <w:rFonts w:cs="Times New Roman"/>
        </w:rPr>
        <w:t xml:space="preserve"> had</w:t>
      </w:r>
      <w:r w:rsidRPr="00AC1055">
        <w:rPr>
          <w:rFonts w:cs="Times New Roman"/>
        </w:rPr>
        <w:t xml:space="preserve"> little impact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financial market in Indonesia.</w:t>
      </w:r>
    </w:p>
    <w:p w14:paraId="798BBB05" w14:textId="77777777" w:rsidR="00413229" w:rsidRPr="00AC1055" w:rsidRDefault="00413229" w:rsidP="00413229">
      <w:pPr>
        <w:spacing w:line="480" w:lineRule="auto"/>
        <w:rPr>
          <w:rFonts w:cs="Times New Roman"/>
        </w:rPr>
      </w:pPr>
    </w:p>
    <w:p w14:paraId="0092B47E" w14:textId="77777777" w:rsidR="00413229" w:rsidRPr="00AC1055" w:rsidRDefault="00413229" w:rsidP="00413229">
      <w:pPr>
        <w:spacing w:line="480" w:lineRule="auto"/>
        <w:rPr>
          <w:rFonts w:cs="Times New Roman"/>
        </w:rPr>
      </w:pPr>
    </w:p>
    <w:p w14:paraId="5FA87900" w14:textId="77777777" w:rsidR="00413229" w:rsidRPr="00AC1055" w:rsidRDefault="00413229" w:rsidP="00413229">
      <w:pPr>
        <w:spacing w:line="480" w:lineRule="auto"/>
        <w:rPr>
          <w:rFonts w:cs="Times New Roman"/>
        </w:rPr>
      </w:pPr>
      <w:r w:rsidRPr="00AC1055">
        <w:rPr>
          <w:rFonts w:cs="Times New Roman"/>
        </w:rPr>
        <w:t xml:space="preserve"> </w:t>
      </w:r>
    </w:p>
    <w:p w14:paraId="5D36DADD" w14:textId="77777777" w:rsidR="00413229" w:rsidRPr="00AC1055" w:rsidRDefault="00413229" w:rsidP="00413229">
      <w:pPr>
        <w:spacing w:line="480" w:lineRule="auto"/>
        <w:rPr>
          <w:rFonts w:cs="Times New Roman"/>
          <w:u w:val="single"/>
        </w:rPr>
      </w:pPr>
      <w:r>
        <w:rPr>
          <w:rFonts w:cs="Times New Roman"/>
          <w:u w:val="single"/>
        </w:rPr>
        <w:lastRenderedPageBreak/>
        <w:t xml:space="preserve">4.4.7 </w:t>
      </w:r>
      <w:r w:rsidRPr="00AC1055">
        <w:rPr>
          <w:rFonts w:cs="Times New Roman"/>
          <w:u w:val="single"/>
        </w:rPr>
        <w:t>Peru</w:t>
      </w:r>
    </w:p>
    <w:p w14:paraId="1C773B0F"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08AEB7E8" wp14:editId="31D1EE0A">
            <wp:extent cx="5619048" cy="3390476"/>
            <wp:effectExtent l="0" t="0" r="1270"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19048" cy="3390476"/>
                    </a:xfrm>
                    <a:prstGeom prst="rect">
                      <a:avLst/>
                    </a:prstGeom>
                  </pic:spPr>
                </pic:pic>
              </a:graphicData>
            </a:graphic>
          </wp:inline>
        </w:drawing>
      </w:r>
    </w:p>
    <w:p w14:paraId="25218212" w14:textId="77777777" w:rsidR="00413229" w:rsidRPr="00AC1055" w:rsidRDefault="00413229" w:rsidP="00413229">
      <w:pPr>
        <w:spacing w:line="480" w:lineRule="auto"/>
        <w:rPr>
          <w:rFonts w:cs="Times New Roman"/>
        </w:rPr>
      </w:pPr>
      <w:r w:rsidRPr="00AC1055">
        <w:rPr>
          <w:rFonts w:cs="Times New Roman"/>
        </w:rPr>
        <w:t>As explained in the previous subchapter and as is clear from the graph above</w:t>
      </w:r>
      <w:r>
        <w:rPr>
          <w:rFonts w:cs="Times New Roman"/>
        </w:rPr>
        <w:t>,</w:t>
      </w:r>
      <w:r w:rsidRPr="00AC1055">
        <w:rPr>
          <w:rFonts w:cs="Times New Roman"/>
        </w:rPr>
        <w:t xml:space="preserve"> corporate governance in Peru has shifted over time towards a more OECD model of corporate governance with </w:t>
      </w:r>
      <w:r>
        <w:rPr>
          <w:rFonts w:cs="Times New Roman"/>
        </w:rPr>
        <w:t xml:space="preserve">a </w:t>
      </w:r>
      <w:r w:rsidRPr="00AC1055">
        <w:rPr>
          <w:rFonts w:cs="Times New Roman"/>
        </w:rPr>
        <w:t>pro</w:t>
      </w:r>
      <w:r>
        <w:rPr>
          <w:rFonts w:cs="Times New Roman"/>
        </w:rPr>
        <w:t>-</w:t>
      </w:r>
      <w:r w:rsidRPr="00AC1055">
        <w:rPr>
          <w:rFonts w:cs="Times New Roman"/>
        </w:rPr>
        <w:t xml:space="preserve">shareholder tilt. The financial market development has remained relatively flat and the control variables have remained relatively stable except for financial and technological inclusion (control 2) which has grown at an exponential rate from 2005 onwards. </w:t>
      </w:r>
    </w:p>
    <w:p w14:paraId="1187BB4B"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5DA5B64B" wp14:editId="394F5215">
            <wp:extent cx="5610225" cy="1736794"/>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618700" cy="1739418"/>
                    </a:xfrm>
                    <a:prstGeom prst="rect">
                      <a:avLst/>
                    </a:prstGeom>
                    <a:noFill/>
                    <a:ln>
                      <a:noFill/>
                    </a:ln>
                  </pic:spPr>
                </pic:pic>
              </a:graphicData>
            </a:graphic>
          </wp:inline>
        </w:drawing>
      </w:r>
    </w:p>
    <w:p w14:paraId="1F28DC0D" w14:textId="77777777" w:rsidR="00413229" w:rsidRPr="00AC1055" w:rsidRDefault="00413229" w:rsidP="00413229">
      <w:pPr>
        <w:spacing w:line="480" w:lineRule="auto"/>
        <w:rPr>
          <w:rFonts w:cs="Times New Roman"/>
        </w:rPr>
      </w:pPr>
    </w:p>
    <w:p w14:paraId="7D8EB436" w14:textId="77777777" w:rsidR="00413229" w:rsidRPr="00AC1055" w:rsidRDefault="00413229" w:rsidP="00413229">
      <w:pPr>
        <w:spacing w:line="480" w:lineRule="auto"/>
        <w:rPr>
          <w:rFonts w:cs="Times New Roman"/>
        </w:rPr>
      </w:pPr>
      <w:r w:rsidRPr="00AC1055">
        <w:rPr>
          <w:rFonts w:cs="Times New Roman"/>
        </w:rPr>
        <w:lastRenderedPageBreak/>
        <w:t>Prima facie</w:t>
      </w:r>
      <w:r>
        <w:rPr>
          <w:rFonts w:cs="Times New Roman"/>
        </w:rPr>
        <w:t>,</w:t>
      </w:r>
      <w:r w:rsidRPr="00AC1055">
        <w:rPr>
          <w:rFonts w:cs="Times New Roman"/>
        </w:rPr>
        <w:t xml:space="preserve"> it would seem that change in corporate governance has little impact on financial market development, the frequentist analysis puts the regression coefficient for corporate governance </w:t>
      </w:r>
      <w:r>
        <w:rPr>
          <w:rFonts w:cs="Times New Roman"/>
        </w:rPr>
        <w:t>at</w:t>
      </w:r>
      <w:r w:rsidRPr="00AC1055">
        <w:rPr>
          <w:rFonts w:cs="Times New Roman"/>
        </w:rPr>
        <w:t xml:space="preserve"> 0.01, one of the lowest in </w:t>
      </w:r>
      <w:r>
        <w:rPr>
          <w:rFonts w:cs="Times New Roman"/>
        </w:rPr>
        <w:t>this</w:t>
      </w:r>
      <w:r w:rsidRPr="00AC1055">
        <w:rPr>
          <w:rFonts w:cs="Times New Roman"/>
        </w:rPr>
        <w:t xml:space="preserve"> study. However</w:t>
      </w:r>
      <w:r>
        <w:rPr>
          <w:rFonts w:cs="Times New Roman"/>
        </w:rPr>
        <w:t>,</w:t>
      </w:r>
      <w:r w:rsidRPr="00AC1055">
        <w:rPr>
          <w:rFonts w:cs="Times New Roman"/>
        </w:rPr>
        <w:t xml:space="preserve"> the Bayesian mean of 0.06 diverges widely from the frequentist estimates; the frequentist estimate falls just outside </w:t>
      </w:r>
      <w:r>
        <w:rPr>
          <w:rFonts w:cs="Times New Roman"/>
        </w:rPr>
        <w:t xml:space="preserve">of </w:t>
      </w:r>
      <w:r w:rsidRPr="00AC1055">
        <w:rPr>
          <w:rFonts w:cs="Times New Roman"/>
        </w:rPr>
        <w:t xml:space="preserve">the high density interval for </w:t>
      </w:r>
      <w:r>
        <w:rPr>
          <w:rFonts w:cs="Times New Roman"/>
        </w:rPr>
        <w:t xml:space="preserve">the </w:t>
      </w:r>
      <w:r w:rsidRPr="00AC1055">
        <w:rPr>
          <w:rFonts w:cs="Times New Roman"/>
        </w:rPr>
        <w:t xml:space="preserve">Bayesian estimate ranging from 0.011902 to 0.116667. </w:t>
      </w:r>
    </w:p>
    <w:p w14:paraId="66A4857C" w14:textId="77777777" w:rsidR="00413229" w:rsidRPr="00AC1055" w:rsidRDefault="00413229" w:rsidP="00413229">
      <w:pPr>
        <w:spacing w:line="480" w:lineRule="auto"/>
        <w:rPr>
          <w:rFonts w:cs="Times New Roman"/>
        </w:rPr>
      </w:pPr>
      <w:r w:rsidRPr="00AC1055">
        <w:rPr>
          <w:rFonts w:cs="Times New Roman"/>
        </w:rPr>
        <w:t>As is clear from the graphs above</w:t>
      </w:r>
      <w:r>
        <w:rPr>
          <w:rFonts w:cs="Times New Roman"/>
        </w:rPr>
        <w:t>,</w:t>
      </w:r>
      <w:r w:rsidRPr="00AC1055">
        <w:rPr>
          <w:rFonts w:cs="Times New Roman"/>
        </w:rPr>
        <w:t xml:space="preserve"> the Bayesian and frequentist estimates vary on all parameters, frequentist estimate</w:t>
      </w:r>
      <w:r>
        <w:rPr>
          <w:rFonts w:cs="Times New Roman"/>
        </w:rPr>
        <w:t>s</w:t>
      </w:r>
      <w:r w:rsidRPr="00AC1055">
        <w:rPr>
          <w:rFonts w:cs="Times New Roman"/>
        </w:rPr>
        <w:t xml:space="preserve"> for research and development investment and high technology export (control 3) is in negative</w:t>
      </w:r>
      <w:r>
        <w:rPr>
          <w:rFonts w:cs="Times New Roman"/>
        </w:rPr>
        <w:t>,</w:t>
      </w:r>
      <w:r w:rsidRPr="00AC1055">
        <w:rPr>
          <w:rFonts w:cs="Times New Roman"/>
        </w:rPr>
        <w:t xml:space="preserve"> while for </w:t>
      </w:r>
      <w:r>
        <w:rPr>
          <w:rFonts w:cs="Times New Roman"/>
        </w:rPr>
        <w:t xml:space="preserve">the </w:t>
      </w:r>
      <w:r w:rsidRPr="00AC1055">
        <w:rPr>
          <w:rFonts w:cs="Times New Roman"/>
        </w:rPr>
        <w:t>Bayesian mean estimate its impact is predicted to be as high as that of economic control factors (control 1). However</w:t>
      </w:r>
      <w:r>
        <w:rPr>
          <w:rFonts w:cs="Times New Roman"/>
        </w:rPr>
        <w:t>,</w:t>
      </w:r>
      <w:r w:rsidRPr="00AC1055">
        <w:rPr>
          <w:rFonts w:cs="Times New Roman"/>
        </w:rPr>
        <w:t xml:space="preserve"> it can also be noted that the negative estimate for control 3 under </w:t>
      </w:r>
      <w:r>
        <w:rPr>
          <w:rFonts w:cs="Times New Roman"/>
        </w:rPr>
        <w:t xml:space="preserve">the </w:t>
      </w:r>
      <w:r w:rsidRPr="00AC1055">
        <w:rPr>
          <w:rFonts w:cs="Times New Roman"/>
        </w:rPr>
        <w:t xml:space="preserve">frequentist method falls within the Bayesian credible interval which ranges from -0.070311675 to 0.921943003. This anomaly can be attributed to </w:t>
      </w:r>
      <w:r>
        <w:rPr>
          <w:rFonts w:cs="Times New Roman"/>
        </w:rPr>
        <w:t xml:space="preserve">the </w:t>
      </w:r>
      <w:r w:rsidRPr="00AC1055">
        <w:rPr>
          <w:rFonts w:cs="Times New Roman"/>
        </w:rPr>
        <w:t>relative stability of the variables which leads to such wide difference in estimation.</w:t>
      </w:r>
    </w:p>
    <w:tbl>
      <w:tblPr>
        <w:tblStyle w:val="TableGrid"/>
        <w:tblW w:w="0" w:type="auto"/>
        <w:tblLook w:val="04A0" w:firstRow="1" w:lastRow="0" w:firstColumn="1" w:lastColumn="0" w:noHBand="0" w:noVBand="1"/>
      </w:tblPr>
      <w:tblGrid>
        <w:gridCol w:w="1809"/>
        <w:gridCol w:w="1152"/>
        <w:gridCol w:w="1302"/>
        <w:gridCol w:w="1401"/>
        <w:gridCol w:w="1363"/>
        <w:gridCol w:w="1387"/>
      </w:tblGrid>
      <w:tr w:rsidR="00413229" w:rsidRPr="00AC1055" w14:paraId="658A46B6" w14:textId="77777777" w:rsidTr="00413229">
        <w:tc>
          <w:tcPr>
            <w:tcW w:w="1809" w:type="dxa"/>
          </w:tcPr>
          <w:p w14:paraId="50A1C847" w14:textId="77777777" w:rsidR="00413229" w:rsidRPr="00AC1055" w:rsidRDefault="00413229" w:rsidP="00413229">
            <w:pPr>
              <w:rPr>
                <w:rFonts w:cs="Times New Roman"/>
              </w:rPr>
            </w:pPr>
          </w:p>
        </w:tc>
        <w:tc>
          <w:tcPr>
            <w:tcW w:w="1152" w:type="dxa"/>
          </w:tcPr>
          <w:p w14:paraId="698D2AA6" w14:textId="77777777" w:rsidR="00413229" w:rsidRPr="00AC1055" w:rsidRDefault="00413229" w:rsidP="00413229">
            <w:pPr>
              <w:jc w:val="center"/>
              <w:rPr>
                <w:rFonts w:cs="Times New Roman"/>
              </w:rPr>
            </w:pPr>
            <w:r w:rsidRPr="00AC1055">
              <w:rPr>
                <w:rFonts w:cs="Times New Roman"/>
              </w:rPr>
              <w:t>CG</w:t>
            </w:r>
          </w:p>
        </w:tc>
        <w:tc>
          <w:tcPr>
            <w:tcW w:w="1302" w:type="dxa"/>
          </w:tcPr>
          <w:p w14:paraId="67AA20DB" w14:textId="77777777" w:rsidR="00413229" w:rsidRPr="00AC1055" w:rsidRDefault="00413229" w:rsidP="00413229">
            <w:pPr>
              <w:jc w:val="center"/>
              <w:rPr>
                <w:rFonts w:cs="Times New Roman"/>
              </w:rPr>
            </w:pPr>
            <w:r w:rsidRPr="00AC1055">
              <w:rPr>
                <w:rFonts w:cs="Times New Roman"/>
              </w:rPr>
              <w:t>Control 1</w:t>
            </w:r>
          </w:p>
        </w:tc>
        <w:tc>
          <w:tcPr>
            <w:tcW w:w="1401" w:type="dxa"/>
          </w:tcPr>
          <w:p w14:paraId="04BB69BF" w14:textId="77777777" w:rsidR="00413229" w:rsidRPr="00AC1055" w:rsidRDefault="00413229" w:rsidP="00413229">
            <w:pPr>
              <w:jc w:val="center"/>
              <w:rPr>
                <w:rFonts w:cs="Times New Roman"/>
              </w:rPr>
            </w:pPr>
            <w:r w:rsidRPr="00AC1055">
              <w:rPr>
                <w:rFonts w:cs="Times New Roman"/>
              </w:rPr>
              <w:t>Control 2</w:t>
            </w:r>
          </w:p>
        </w:tc>
        <w:tc>
          <w:tcPr>
            <w:tcW w:w="1363" w:type="dxa"/>
          </w:tcPr>
          <w:p w14:paraId="24D4855A" w14:textId="77777777" w:rsidR="00413229" w:rsidRPr="00AC1055" w:rsidRDefault="00413229" w:rsidP="00413229">
            <w:pPr>
              <w:jc w:val="center"/>
              <w:rPr>
                <w:rFonts w:cs="Times New Roman"/>
              </w:rPr>
            </w:pPr>
            <w:r w:rsidRPr="00AC1055">
              <w:rPr>
                <w:rFonts w:cs="Times New Roman"/>
              </w:rPr>
              <w:t>Control 3</w:t>
            </w:r>
          </w:p>
        </w:tc>
        <w:tc>
          <w:tcPr>
            <w:tcW w:w="1387" w:type="dxa"/>
          </w:tcPr>
          <w:p w14:paraId="080C93AF"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3719430D" w14:textId="77777777" w:rsidTr="00413229">
        <w:tc>
          <w:tcPr>
            <w:tcW w:w="1809" w:type="dxa"/>
          </w:tcPr>
          <w:p w14:paraId="04C79F6B" w14:textId="77777777" w:rsidR="00413229" w:rsidRPr="00AC1055" w:rsidRDefault="00413229" w:rsidP="00413229">
            <w:pPr>
              <w:rPr>
                <w:rFonts w:cs="Times New Roman"/>
              </w:rPr>
            </w:pPr>
            <w:r w:rsidRPr="00AC1055">
              <w:rPr>
                <w:rFonts w:cs="Times New Roman"/>
              </w:rPr>
              <w:t>Mean Bayesian</w:t>
            </w:r>
          </w:p>
        </w:tc>
        <w:tc>
          <w:tcPr>
            <w:tcW w:w="1152" w:type="dxa"/>
          </w:tcPr>
          <w:p w14:paraId="793B838A" w14:textId="77777777" w:rsidR="00413229" w:rsidRPr="00AC1055" w:rsidRDefault="00413229" w:rsidP="00413229">
            <w:pPr>
              <w:jc w:val="center"/>
              <w:rPr>
                <w:rFonts w:cs="Times New Roman"/>
              </w:rPr>
            </w:pPr>
            <w:r w:rsidRPr="00AC1055">
              <w:rPr>
                <w:rFonts w:cs="Times New Roman"/>
              </w:rPr>
              <w:t>0.060262</w:t>
            </w:r>
          </w:p>
        </w:tc>
        <w:tc>
          <w:tcPr>
            <w:tcW w:w="1302" w:type="dxa"/>
            <w:vAlign w:val="bottom"/>
          </w:tcPr>
          <w:p w14:paraId="7B3243C2" w14:textId="77777777" w:rsidR="00413229" w:rsidRPr="00AC1055" w:rsidRDefault="00413229" w:rsidP="00413229">
            <w:pPr>
              <w:jc w:val="center"/>
              <w:rPr>
                <w:rFonts w:cs="Times New Roman"/>
                <w:color w:val="000000"/>
                <w:szCs w:val="24"/>
              </w:rPr>
            </w:pPr>
            <w:r w:rsidRPr="00AC1055">
              <w:rPr>
                <w:rFonts w:cs="Times New Roman"/>
                <w:color w:val="000000"/>
                <w:szCs w:val="24"/>
              </w:rPr>
              <w:t>0.394241</w:t>
            </w:r>
          </w:p>
        </w:tc>
        <w:tc>
          <w:tcPr>
            <w:tcW w:w="1401" w:type="dxa"/>
            <w:vAlign w:val="bottom"/>
          </w:tcPr>
          <w:p w14:paraId="525E68A1" w14:textId="77777777" w:rsidR="00413229" w:rsidRPr="00AC1055" w:rsidRDefault="00413229" w:rsidP="00413229">
            <w:pPr>
              <w:jc w:val="center"/>
              <w:rPr>
                <w:rFonts w:cs="Times New Roman"/>
                <w:color w:val="000000"/>
                <w:szCs w:val="24"/>
              </w:rPr>
            </w:pPr>
            <w:r w:rsidRPr="00AC1055">
              <w:rPr>
                <w:rFonts w:cs="Times New Roman"/>
                <w:color w:val="000000"/>
                <w:szCs w:val="24"/>
              </w:rPr>
              <w:t>0.079355</w:t>
            </w:r>
          </w:p>
        </w:tc>
        <w:tc>
          <w:tcPr>
            <w:tcW w:w="1363" w:type="dxa"/>
            <w:vAlign w:val="bottom"/>
          </w:tcPr>
          <w:p w14:paraId="0AE0CBC6" w14:textId="77777777" w:rsidR="00413229" w:rsidRPr="00AC1055" w:rsidRDefault="00413229" w:rsidP="00413229">
            <w:pPr>
              <w:jc w:val="center"/>
              <w:rPr>
                <w:rFonts w:cs="Times New Roman"/>
                <w:color w:val="000000"/>
                <w:szCs w:val="24"/>
              </w:rPr>
            </w:pPr>
            <w:r w:rsidRPr="00AC1055">
              <w:rPr>
                <w:rFonts w:cs="Times New Roman"/>
                <w:color w:val="000000"/>
                <w:szCs w:val="24"/>
              </w:rPr>
              <w:t>0.39691</w:t>
            </w:r>
          </w:p>
        </w:tc>
        <w:tc>
          <w:tcPr>
            <w:tcW w:w="1387" w:type="dxa"/>
            <w:vAlign w:val="bottom"/>
          </w:tcPr>
          <w:p w14:paraId="6CF611E4" w14:textId="77777777" w:rsidR="00413229" w:rsidRPr="00AC1055" w:rsidRDefault="00413229" w:rsidP="00413229">
            <w:pPr>
              <w:jc w:val="center"/>
              <w:rPr>
                <w:rFonts w:cs="Times New Roman"/>
                <w:color w:val="000000"/>
                <w:szCs w:val="24"/>
              </w:rPr>
            </w:pPr>
            <w:r w:rsidRPr="00AC1055">
              <w:rPr>
                <w:rFonts w:cs="Times New Roman"/>
                <w:color w:val="000000"/>
                <w:szCs w:val="24"/>
              </w:rPr>
              <w:t>-0.20842</w:t>
            </w:r>
          </w:p>
        </w:tc>
      </w:tr>
      <w:tr w:rsidR="00413229" w:rsidRPr="00AC1055" w14:paraId="5F1E7BBF" w14:textId="77777777" w:rsidTr="00413229">
        <w:tc>
          <w:tcPr>
            <w:tcW w:w="1809" w:type="dxa"/>
          </w:tcPr>
          <w:p w14:paraId="5F2E20DD" w14:textId="77777777" w:rsidR="00413229" w:rsidRPr="00AC1055" w:rsidRDefault="00413229" w:rsidP="00413229">
            <w:pPr>
              <w:rPr>
                <w:rFonts w:cs="Times New Roman"/>
              </w:rPr>
            </w:pPr>
            <w:r w:rsidRPr="00AC1055">
              <w:rPr>
                <w:rFonts w:cs="Times New Roman"/>
              </w:rPr>
              <w:t>Frequentist</w:t>
            </w:r>
          </w:p>
        </w:tc>
        <w:tc>
          <w:tcPr>
            <w:tcW w:w="1152" w:type="dxa"/>
          </w:tcPr>
          <w:p w14:paraId="07AFA1A5" w14:textId="77777777" w:rsidR="00413229" w:rsidRPr="00AC1055" w:rsidRDefault="00413229" w:rsidP="00413229">
            <w:pPr>
              <w:jc w:val="center"/>
              <w:rPr>
                <w:rFonts w:cs="Times New Roman"/>
              </w:rPr>
            </w:pPr>
            <w:r w:rsidRPr="00AC1055">
              <w:rPr>
                <w:rFonts w:cs="Times New Roman"/>
              </w:rPr>
              <w:t>0.010709</w:t>
            </w:r>
          </w:p>
        </w:tc>
        <w:tc>
          <w:tcPr>
            <w:tcW w:w="1302" w:type="dxa"/>
          </w:tcPr>
          <w:p w14:paraId="77D8E4DF" w14:textId="77777777" w:rsidR="00413229" w:rsidRPr="00AC1055" w:rsidRDefault="00413229" w:rsidP="00413229">
            <w:pPr>
              <w:jc w:val="center"/>
              <w:rPr>
                <w:rFonts w:cs="Times New Roman"/>
              </w:rPr>
            </w:pPr>
            <w:r w:rsidRPr="00AC1055">
              <w:rPr>
                <w:rFonts w:cs="Times New Roman"/>
              </w:rPr>
              <w:t>0.269808</w:t>
            </w:r>
          </w:p>
        </w:tc>
        <w:tc>
          <w:tcPr>
            <w:tcW w:w="1401" w:type="dxa"/>
          </w:tcPr>
          <w:p w14:paraId="56D1261D" w14:textId="77777777" w:rsidR="00413229" w:rsidRPr="00AC1055" w:rsidRDefault="00413229" w:rsidP="00413229">
            <w:pPr>
              <w:jc w:val="center"/>
              <w:rPr>
                <w:rFonts w:cs="Times New Roman"/>
              </w:rPr>
            </w:pPr>
            <w:r w:rsidRPr="00AC1055">
              <w:rPr>
                <w:rFonts w:cs="Times New Roman"/>
              </w:rPr>
              <w:t>0.044918</w:t>
            </w:r>
          </w:p>
        </w:tc>
        <w:tc>
          <w:tcPr>
            <w:tcW w:w="1363" w:type="dxa"/>
          </w:tcPr>
          <w:p w14:paraId="30AFFDFA" w14:textId="77777777" w:rsidR="00413229" w:rsidRPr="00AC1055" w:rsidRDefault="00413229" w:rsidP="00413229">
            <w:pPr>
              <w:jc w:val="center"/>
              <w:rPr>
                <w:rFonts w:cs="Times New Roman"/>
              </w:rPr>
            </w:pPr>
            <w:r w:rsidRPr="00AC1055">
              <w:rPr>
                <w:rFonts w:cs="Times New Roman"/>
              </w:rPr>
              <w:t>-0.0278</w:t>
            </w:r>
          </w:p>
        </w:tc>
        <w:tc>
          <w:tcPr>
            <w:tcW w:w="1387" w:type="dxa"/>
          </w:tcPr>
          <w:p w14:paraId="6AAF38AF" w14:textId="77777777" w:rsidR="00413229" w:rsidRPr="00AC1055" w:rsidRDefault="00413229" w:rsidP="00413229">
            <w:pPr>
              <w:jc w:val="center"/>
              <w:rPr>
                <w:rFonts w:cs="Times New Roman"/>
              </w:rPr>
            </w:pPr>
            <w:r w:rsidRPr="00AC1055">
              <w:rPr>
                <w:rFonts w:cs="Times New Roman"/>
              </w:rPr>
              <w:t>-0.33505</w:t>
            </w:r>
          </w:p>
        </w:tc>
      </w:tr>
    </w:tbl>
    <w:p w14:paraId="2F7E36FD" w14:textId="77777777" w:rsidR="00413229" w:rsidRDefault="00413229" w:rsidP="00413229">
      <w:pPr>
        <w:spacing w:line="480" w:lineRule="auto"/>
        <w:rPr>
          <w:rFonts w:cs="Times New Roman"/>
        </w:rPr>
      </w:pPr>
    </w:p>
    <w:p w14:paraId="18105145" w14:textId="77777777" w:rsidR="00413229" w:rsidRPr="00AC1055" w:rsidRDefault="00413229" w:rsidP="00413229">
      <w:pPr>
        <w:spacing w:line="480" w:lineRule="auto"/>
        <w:rPr>
          <w:rFonts w:cs="Times New Roman"/>
        </w:rPr>
      </w:pPr>
      <w:r w:rsidRPr="00AC1055">
        <w:rPr>
          <w:rFonts w:cs="Times New Roman"/>
        </w:rPr>
        <w:t xml:space="preserve">Based on the Bayesian mean estimates, </w:t>
      </w:r>
      <w:r>
        <w:rPr>
          <w:rFonts w:cs="Times New Roman"/>
        </w:rPr>
        <w:t xml:space="preserve">it </w:t>
      </w:r>
      <w:r w:rsidRPr="00AC1055">
        <w:rPr>
          <w:rFonts w:cs="Times New Roman"/>
        </w:rPr>
        <w:t xml:space="preserve">can </w:t>
      </w:r>
      <w:r>
        <w:rPr>
          <w:rFonts w:cs="Times New Roman"/>
        </w:rPr>
        <w:t xml:space="preserve">be </w:t>
      </w:r>
      <w:r w:rsidRPr="00AC1055">
        <w:rPr>
          <w:rFonts w:cs="Times New Roman"/>
        </w:rPr>
        <w:t>conclude</w:t>
      </w:r>
      <w:r>
        <w:rPr>
          <w:rFonts w:cs="Times New Roman"/>
        </w:rPr>
        <w:t>d</w:t>
      </w:r>
      <w:r w:rsidRPr="00AC1055">
        <w:rPr>
          <w:rFonts w:cs="Times New Roman"/>
        </w:rPr>
        <w:t xml:space="preserve"> that corporate governance change </w:t>
      </w:r>
      <w:r>
        <w:rPr>
          <w:rFonts w:cs="Times New Roman"/>
        </w:rPr>
        <w:t xml:space="preserve">towards a more shareholder value model </w:t>
      </w:r>
      <w:r w:rsidRPr="00AC1055">
        <w:rPr>
          <w:rFonts w:cs="Times New Roman"/>
        </w:rPr>
        <w:t xml:space="preserve">has </w:t>
      </w:r>
      <w:r>
        <w:rPr>
          <w:rFonts w:cs="Times New Roman"/>
        </w:rPr>
        <w:t>0.15 times the</w:t>
      </w:r>
      <w:r w:rsidRPr="00AC1055">
        <w:rPr>
          <w:rFonts w:cs="Times New Roman"/>
        </w:rPr>
        <w:t xml:space="preserve"> impact on financial market development </w:t>
      </w:r>
      <w:r>
        <w:rPr>
          <w:rFonts w:cs="Times New Roman"/>
        </w:rPr>
        <w:t>in relation to</w:t>
      </w:r>
      <w:r w:rsidRPr="00AC1055">
        <w:rPr>
          <w:rFonts w:cs="Times New Roman"/>
        </w:rPr>
        <w:t xml:space="preserve"> financial and economic growth (control 1), and </w:t>
      </w:r>
      <w:r>
        <w:rPr>
          <w:rFonts w:cs="Times New Roman"/>
        </w:rPr>
        <w:t xml:space="preserve">an </w:t>
      </w:r>
      <w:r w:rsidRPr="00AC1055">
        <w:rPr>
          <w:rFonts w:cs="Times New Roman"/>
        </w:rPr>
        <w:t>increase in technological export</w:t>
      </w:r>
      <w:r>
        <w:rPr>
          <w:rFonts w:cs="Times New Roman"/>
        </w:rPr>
        <w:t>s</w:t>
      </w:r>
      <w:r w:rsidRPr="00AC1055">
        <w:rPr>
          <w:rFonts w:cs="Times New Roman"/>
        </w:rPr>
        <w:t xml:space="preserve"> an</w:t>
      </w:r>
      <w:r>
        <w:rPr>
          <w:rFonts w:cs="Times New Roman"/>
        </w:rPr>
        <w:t xml:space="preserve">d research spending (control 3), and is hence negligible as a factor affecting the growth of the financial market. </w:t>
      </w:r>
    </w:p>
    <w:p w14:paraId="450A70E0" w14:textId="77777777" w:rsidR="00413229" w:rsidRDefault="00413229" w:rsidP="00413229">
      <w:pPr>
        <w:spacing w:line="480" w:lineRule="auto"/>
        <w:rPr>
          <w:rFonts w:cs="Times New Roman"/>
        </w:rPr>
      </w:pPr>
    </w:p>
    <w:p w14:paraId="16EA24C8" w14:textId="77777777" w:rsidR="00991CFF" w:rsidRDefault="00991CFF" w:rsidP="00413229">
      <w:pPr>
        <w:spacing w:line="480" w:lineRule="auto"/>
        <w:rPr>
          <w:rFonts w:cs="Times New Roman"/>
        </w:rPr>
      </w:pPr>
    </w:p>
    <w:p w14:paraId="57C37204" w14:textId="77777777" w:rsidR="00413229" w:rsidRPr="00AC1055" w:rsidRDefault="00413229" w:rsidP="00413229">
      <w:pPr>
        <w:spacing w:line="480" w:lineRule="auto"/>
        <w:rPr>
          <w:rFonts w:cs="Times New Roman"/>
          <w:u w:val="single"/>
        </w:rPr>
      </w:pPr>
      <w:r>
        <w:rPr>
          <w:rFonts w:cs="Times New Roman"/>
          <w:u w:val="single"/>
        </w:rPr>
        <w:lastRenderedPageBreak/>
        <w:t xml:space="preserve">4.4.8 </w:t>
      </w:r>
      <w:r w:rsidRPr="00AC1055">
        <w:rPr>
          <w:rFonts w:cs="Times New Roman"/>
          <w:u w:val="single"/>
        </w:rPr>
        <w:t>Pakistan</w:t>
      </w:r>
    </w:p>
    <w:p w14:paraId="7FF9D712"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30CCC9E" wp14:editId="0D128CD6">
            <wp:extent cx="5619048" cy="3390476"/>
            <wp:effectExtent l="0" t="0" r="1270" b="63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19048" cy="3390476"/>
                    </a:xfrm>
                    <a:prstGeom prst="rect">
                      <a:avLst/>
                    </a:prstGeom>
                  </pic:spPr>
                </pic:pic>
              </a:graphicData>
            </a:graphic>
          </wp:inline>
        </w:drawing>
      </w:r>
    </w:p>
    <w:p w14:paraId="2EBCC2A7" w14:textId="77777777" w:rsidR="00413229" w:rsidRPr="00AC1055" w:rsidRDefault="00413229" w:rsidP="00413229">
      <w:pPr>
        <w:spacing w:line="480" w:lineRule="auto"/>
        <w:rPr>
          <w:rFonts w:cs="Times New Roman"/>
        </w:rPr>
      </w:pPr>
      <w:r w:rsidRPr="00AC1055">
        <w:rPr>
          <w:rFonts w:cs="Times New Roman"/>
        </w:rPr>
        <w:t>Pakistan has one of the highest shareholder primacy corporat</w:t>
      </w:r>
      <w:r>
        <w:rPr>
          <w:rFonts w:cs="Times New Roman"/>
        </w:rPr>
        <w:t>e governance regulation ratings;</w:t>
      </w:r>
      <w:r w:rsidRPr="00AC1055">
        <w:rPr>
          <w:rFonts w:cs="Times New Roman"/>
        </w:rPr>
        <w:t xml:space="preserve"> its laws mirror OECD regulations to a very high degree. Yet its financial market development is relatively under</w:t>
      </w:r>
      <w:r>
        <w:rPr>
          <w:rFonts w:cs="Times New Roman"/>
        </w:rPr>
        <w:t>-</w:t>
      </w:r>
      <w:r w:rsidRPr="00AC1055">
        <w:rPr>
          <w:rFonts w:cs="Times New Roman"/>
        </w:rPr>
        <w:t xml:space="preserve">developed. Despite </w:t>
      </w:r>
      <w:r>
        <w:rPr>
          <w:rFonts w:cs="Times New Roman"/>
        </w:rPr>
        <w:t xml:space="preserve">changes in the corporate governance model to give </w:t>
      </w:r>
      <w:r w:rsidRPr="00AC1055">
        <w:rPr>
          <w:rFonts w:cs="Times New Roman"/>
        </w:rPr>
        <w:t>high protection to shareholder</w:t>
      </w:r>
      <w:r>
        <w:rPr>
          <w:rFonts w:cs="Times New Roman"/>
        </w:rPr>
        <w:t>s</w:t>
      </w:r>
      <w:r w:rsidRPr="00AC1055">
        <w:rPr>
          <w:rFonts w:cs="Times New Roman"/>
        </w:rPr>
        <w:t xml:space="preserve">, </w:t>
      </w:r>
      <w:r>
        <w:rPr>
          <w:rFonts w:cs="Times New Roman"/>
        </w:rPr>
        <w:t xml:space="preserve">there does not appear to have been </w:t>
      </w:r>
      <w:r w:rsidRPr="00AC1055">
        <w:rPr>
          <w:rFonts w:cs="Times New Roman"/>
        </w:rPr>
        <w:t>any effect on financial market growth, which remain</w:t>
      </w:r>
      <w:r>
        <w:rPr>
          <w:rFonts w:cs="Times New Roman"/>
        </w:rPr>
        <w:t>ed</w:t>
      </w:r>
      <w:r w:rsidRPr="00AC1055">
        <w:rPr>
          <w:rFonts w:cs="Times New Roman"/>
        </w:rPr>
        <w:t xml:space="preserve"> low </w:t>
      </w:r>
      <w:r>
        <w:rPr>
          <w:rFonts w:cs="Times New Roman"/>
        </w:rPr>
        <w:t xml:space="preserve">throughout the period </w:t>
      </w:r>
      <w:r w:rsidRPr="00AC1055">
        <w:rPr>
          <w:rFonts w:cs="Times New Roman"/>
        </w:rPr>
        <w:t>and post global financial crisis bec</w:t>
      </w:r>
      <w:r>
        <w:rPr>
          <w:rFonts w:cs="Times New Roman"/>
        </w:rPr>
        <w:t>a</w:t>
      </w:r>
      <w:r w:rsidRPr="00AC1055">
        <w:rPr>
          <w:rFonts w:cs="Times New Roman"/>
        </w:rPr>
        <w:t xml:space="preserve">me negative. </w:t>
      </w:r>
    </w:p>
    <w:p w14:paraId="1A8456EA"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1BB1B381" wp14:editId="024AEC95">
            <wp:extent cx="5433176" cy="166687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31887" cy="1666479"/>
                    </a:xfrm>
                    <a:prstGeom prst="rect">
                      <a:avLst/>
                    </a:prstGeom>
                    <a:noFill/>
                    <a:ln>
                      <a:noFill/>
                    </a:ln>
                  </pic:spPr>
                </pic:pic>
              </a:graphicData>
            </a:graphic>
          </wp:inline>
        </w:drawing>
      </w:r>
    </w:p>
    <w:p w14:paraId="6207051B" w14:textId="77777777" w:rsidR="00413229" w:rsidRPr="00AC1055" w:rsidRDefault="00413229" w:rsidP="00413229">
      <w:pPr>
        <w:spacing w:line="480" w:lineRule="auto"/>
        <w:rPr>
          <w:rFonts w:cs="Times New Roman"/>
        </w:rPr>
      </w:pPr>
      <w:r w:rsidRPr="00AC1055">
        <w:rPr>
          <w:rFonts w:cs="Times New Roman"/>
        </w:rPr>
        <w:lastRenderedPageBreak/>
        <w:t xml:space="preserve">This view is well reflected in the regression graphs above, where in spite of </w:t>
      </w:r>
      <w:r>
        <w:rPr>
          <w:rFonts w:cs="Times New Roman"/>
        </w:rPr>
        <w:t xml:space="preserve">a </w:t>
      </w:r>
      <w:r w:rsidRPr="00AC1055">
        <w:rPr>
          <w:rFonts w:cs="Times New Roman"/>
        </w:rPr>
        <w:t>very high corporate governance index</w:t>
      </w:r>
      <w:r>
        <w:rPr>
          <w:rFonts w:cs="Times New Roman"/>
        </w:rPr>
        <w:t>,</w:t>
      </w:r>
      <w:r w:rsidRPr="00AC1055">
        <w:rPr>
          <w:rFonts w:cs="Times New Roman"/>
        </w:rPr>
        <w:t xml:space="preserve"> the regression coefficient for corporate governance is low in comparison to control 1 and control 3.</w:t>
      </w:r>
    </w:p>
    <w:p w14:paraId="425BBC31" w14:textId="77777777" w:rsidR="00413229" w:rsidRPr="00AC1055" w:rsidRDefault="00413229" w:rsidP="00413229">
      <w:pPr>
        <w:spacing w:line="480" w:lineRule="auto"/>
        <w:rPr>
          <w:rFonts w:cs="Times New Roman"/>
        </w:rPr>
      </w:pPr>
      <w:r w:rsidRPr="00AC1055">
        <w:rPr>
          <w:rFonts w:cs="Times New Roman"/>
        </w:rPr>
        <w:t xml:space="preserve">The corporate governance coefficient for mean Bayesian and frequentist estimates are quite similar, the frequentist estimate of 0.074 falls well within the credible interval of </w:t>
      </w:r>
      <w:r>
        <w:rPr>
          <w:rFonts w:cs="Times New Roman"/>
        </w:rPr>
        <w:t xml:space="preserve">the </w:t>
      </w:r>
      <w:r w:rsidRPr="00AC1055">
        <w:rPr>
          <w:rFonts w:cs="Times New Roman"/>
        </w:rPr>
        <w:t>Bayesian estimate of 0.033106 to 0.091461.</w:t>
      </w:r>
    </w:p>
    <w:tbl>
      <w:tblPr>
        <w:tblStyle w:val="TableGrid"/>
        <w:tblW w:w="0" w:type="auto"/>
        <w:tblLook w:val="04A0" w:firstRow="1" w:lastRow="0" w:firstColumn="1" w:lastColumn="0" w:noHBand="0" w:noVBand="1"/>
      </w:tblPr>
      <w:tblGrid>
        <w:gridCol w:w="1809"/>
        <w:gridCol w:w="1152"/>
        <w:gridCol w:w="1263"/>
        <w:gridCol w:w="1401"/>
        <w:gridCol w:w="1402"/>
        <w:gridCol w:w="1387"/>
      </w:tblGrid>
      <w:tr w:rsidR="00413229" w:rsidRPr="00AC1055" w14:paraId="345B5F55" w14:textId="77777777" w:rsidTr="00413229">
        <w:tc>
          <w:tcPr>
            <w:tcW w:w="1809" w:type="dxa"/>
          </w:tcPr>
          <w:p w14:paraId="544F8668" w14:textId="77777777" w:rsidR="00413229" w:rsidRPr="00AC1055" w:rsidRDefault="00413229" w:rsidP="00413229">
            <w:pPr>
              <w:rPr>
                <w:rFonts w:cs="Times New Roman"/>
              </w:rPr>
            </w:pPr>
          </w:p>
        </w:tc>
        <w:tc>
          <w:tcPr>
            <w:tcW w:w="1152" w:type="dxa"/>
          </w:tcPr>
          <w:p w14:paraId="09E41F1F" w14:textId="77777777" w:rsidR="00413229" w:rsidRPr="00AC1055" w:rsidRDefault="00413229" w:rsidP="00413229">
            <w:pPr>
              <w:jc w:val="center"/>
              <w:rPr>
                <w:rFonts w:cs="Times New Roman"/>
              </w:rPr>
            </w:pPr>
            <w:r w:rsidRPr="00AC1055">
              <w:rPr>
                <w:rFonts w:cs="Times New Roman"/>
              </w:rPr>
              <w:t>CG</w:t>
            </w:r>
          </w:p>
        </w:tc>
        <w:tc>
          <w:tcPr>
            <w:tcW w:w="1263" w:type="dxa"/>
          </w:tcPr>
          <w:p w14:paraId="0F8AABDA" w14:textId="77777777" w:rsidR="00413229" w:rsidRPr="00AC1055" w:rsidRDefault="00413229" w:rsidP="00413229">
            <w:pPr>
              <w:jc w:val="center"/>
              <w:rPr>
                <w:rFonts w:cs="Times New Roman"/>
              </w:rPr>
            </w:pPr>
            <w:r w:rsidRPr="00AC1055">
              <w:rPr>
                <w:rFonts w:cs="Times New Roman"/>
              </w:rPr>
              <w:t>Control 1</w:t>
            </w:r>
          </w:p>
        </w:tc>
        <w:tc>
          <w:tcPr>
            <w:tcW w:w="1401" w:type="dxa"/>
          </w:tcPr>
          <w:p w14:paraId="55EF7787" w14:textId="77777777" w:rsidR="00413229" w:rsidRPr="00AC1055" w:rsidRDefault="00413229" w:rsidP="00413229">
            <w:pPr>
              <w:jc w:val="center"/>
              <w:rPr>
                <w:rFonts w:cs="Times New Roman"/>
              </w:rPr>
            </w:pPr>
            <w:r w:rsidRPr="00AC1055">
              <w:rPr>
                <w:rFonts w:cs="Times New Roman"/>
              </w:rPr>
              <w:t>Control 2</w:t>
            </w:r>
          </w:p>
        </w:tc>
        <w:tc>
          <w:tcPr>
            <w:tcW w:w="1402" w:type="dxa"/>
          </w:tcPr>
          <w:p w14:paraId="5EC94BC2" w14:textId="77777777" w:rsidR="00413229" w:rsidRPr="00AC1055" w:rsidRDefault="00413229" w:rsidP="00413229">
            <w:pPr>
              <w:jc w:val="center"/>
              <w:rPr>
                <w:rFonts w:cs="Times New Roman"/>
              </w:rPr>
            </w:pPr>
            <w:r w:rsidRPr="00AC1055">
              <w:rPr>
                <w:rFonts w:cs="Times New Roman"/>
              </w:rPr>
              <w:t>Control 3</w:t>
            </w:r>
          </w:p>
        </w:tc>
        <w:tc>
          <w:tcPr>
            <w:tcW w:w="1387" w:type="dxa"/>
          </w:tcPr>
          <w:p w14:paraId="6B6C49E2"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73D597E1" w14:textId="77777777" w:rsidTr="00413229">
        <w:tc>
          <w:tcPr>
            <w:tcW w:w="1809" w:type="dxa"/>
          </w:tcPr>
          <w:p w14:paraId="30651FDD" w14:textId="77777777" w:rsidR="00413229" w:rsidRPr="00AC1055" w:rsidRDefault="00413229" w:rsidP="00413229">
            <w:pPr>
              <w:rPr>
                <w:rFonts w:cs="Times New Roman"/>
              </w:rPr>
            </w:pPr>
            <w:r w:rsidRPr="00AC1055">
              <w:rPr>
                <w:rFonts w:cs="Times New Roman"/>
              </w:rPr>
              <w:t>Mean Bayesian</w:t>
            </w:r>
          </w:p>
        </w:tc>
        <w:tc>
          <w:tcPr>
            <w:tcW w:w="1152" w:type="dxa"/>
          </w:tcPr>
          <w:p w14:paraId="32842EE9" w14:textId="77777777" w:rsidR="00413229" w:rsidRPr="00AC1055" w:rsidRDefault="00413229" w:rsidP="00413229">
            <w:pPr>
              <w:jc w:val="center"/>
              <w:rPr>
                <w:rFonts w:cs="Times New Roman"/>
              </w:rPr>
            </w:pPr>
            <w:r w:rsidRPr="00AC1055">
              <w:rPr>
                <w:rFonts w:cs="Times New Roman"/>
              </w:rPr>
              <w:t>0.062161</w:t>
            </w:r>
          </w:p>
        </w:tc>
        <w:tc>
          <w:tcPr>
            <w:tcW w:w="1263" w:type="dxa"/>
            <w:vAlign w:val="bottom"/>
          </w:tcPr>
          <w:p w14:paraId="14088161" w14:textId="77777777" w:rsidR="00413229" w:rsidRPr="00AC1055" w:rsidRDefault="00413229" w:rsidP="00413229">
            <w:pPr>
              <w:jc w:val="center"/>
              <w:rPr>
                <w:rFonts w:cs="Times New Roman"/>
                <w:color w:val="000000"/>
                <w:szCs w:val="24"/>
              </w:rPr>
            </w:pPr>
            <w:r w:rsidRPr="00AC1055">
              <w:rPr>
                <w:rFonts w:cs="Times New Roman"/>
                <w:color w:val="000000"/>
                <w:szCs w:val="24"/>
              </w:rPr>
              <w:t>0.43312</w:t>
            </w:r>
          </w:p>
        </w:tc>
        <w:tc>
          <w:tcPr>
            <w:tcW w:w="1401" w:type="dxa"/>
            <w:vAlign w:val="bottom"/>
          </w:tcPr>
          <w:p w14:paraId="25582CD3" w14:textId="77777777" w:rsidR="00413229" w:rsidRPr="00AC1055" w:rsidRDefault="00413229" w:rsidP="00413229">
            <w:pPr>
              <w:jc w:val="center"/>
              <w:rPr>
                <w:rFonts w:cs="Times New Roman"/>
                <w:color w:val="000000"/>
                <w:szCs w:val="24"/>
              </w:rPr>
            </w:pPr>
            <w:r w:rsidRPr="00AC1055">
              <w:rPr>
                <w:rFonts w:cs="Times New Roman"/>
                <w:color w:val="000000"/>
                <w:szCs w:val="24"/>
              </w:rPr>
              <w:t>0.079625</w:t>
            </w:r>
          </w:p>
        </w:tc>
        <w:tc>
          <w:tcPr>
            <w:tcW w:w="1402" w:type="dxa"/>
            <w:vAlign w:val="bottom"/>
          </w:tcPr>
          <w:p w14:paraId="42BC522D" w14:textId="77777777" w:rsidR="00413229" w:rsidRPr="00AC1055" w:rsidRDefault="00413229" w:rsidP="00413229">
            <w:pPr>
              <w:jc w:val="center"/>
              <w:rPr>
                <w:rFonts w:cs="Times New Roman"/>
                <w:color w:val="000000"/>
                <w:szCs w:val="24"/>
              </w:rPr>
            </w:pPr>
            <w:r w:rsidRPr="00AC1055">
              <w:rPr>
                <w:rFonts w:cs="Times New Roman"/>
                <w:color w:val="000000"/>
                <w:szCs w:val="24"/>
              </w:rPr>
              <w:t>0.414556</w:t>
            </w:r>
          </w:p>
        </w:tc>
        <w:tc>
          <w:tcPr>
            <w:tcW w:w="1387" w:type="dxa"/>
          </w:tcPr>
          <w:p w14:paraId="4DA952AD" w14:textId="77777777" w:rsidR="00413229" w:rsidRPr="00AC1055" w:rsidRDefault="00413229" w:rsidP="00413229">
            <w:pPr>
              <w:jc w:val="center"/>
              <w:rPr>
                <w:rFonts w:cs="Times New Roman"/>
              </w:rPr>
            </w:pPr>
            <w:r w:rsidRPr="00AC1055">
              <w:rPr>
                <w:rFonts w:cs="Times New Roman"/>
              </w:rPr>
              <w:t>-0.25478</w:t>
            </w:r>
          </w:p>
        </w:tc>
      </w:tr>
      <w:tr w:rsidR="00413229" w:rsidRPr="00AC1055" w14:paraId="6FFC3475" w14:textId="77777777" w:rsidTr="00413229">
        <w:tc>
          <w:tcPr>
            <w:tcW w:w="1809" w:type="dxa"/>
          </w:tcPr>
          <w:p w14:paraId="64307531" w14:textId="77777777" w:rsidR="00413229" w:rsidRPr="00AC1055" w:rsidRDefault="00413229" w:rsidP="00413229">
            <w:pPr>
              <w:rPr>
                <w:rFonts w:cs="Times New Roman"/>
              </w:rPr>
            </w:pPr>
            <w:r w:rsidRPr="00AC1055">
              <w:rPr>
                <w:rFonts w:cs="Times New Roman"/>
              </w:rPr>
              <w:t>Frequentist</w:t>
            </w:r>
          </w:p>
        </w:tc>
        <w:tc>
          <w:tcPr>
            <w:tcW w:w="1152" w:type="dxa"/>
          </w:tcPr>
          <w:p w14:paraId="320CCC91" w14:textId="77777777" w:rsidR="00413229" w:rsidRPr="00AC1055" w:rsidRDefault="00413229" w:rsidP="00413229">
            <w:pPr>
              <w:jc w:val="center"/>
              <w:rPr>
                <w:rFonts w:cs="Times New Roman"/>
              </w:rPr>
            </w:pPr>
            <w:r w:rsidRPr="00AC1055">
              <w:rPr>
                <w:rFonts w:cs="Times New Roman"/>
              </w:rPr>
              <w:t>0.074054</w:t>
            </w:r>
          </w:p>
        </w:tc>
        <w:tc>
          <w:tcPr>
            <w:tcW w:w="1263" w:type="dxa"/>
          </w:tcPr>
          <w:p w14:paraId="3010A281" w14:textId="77777777" w:rsidR="00413229" w:rsidRPr="00AC1055" w:rsidRDefault="00413229" w:rsidP="00413229">
            <w:pPr>
              <w:jc w:val="center"/>
              <w:rPr>
                <w:rFonts w:cs="Times New Roman"/>
              </w:rPr>
            </w:pPr>
            <w:r w:rsidRPr="00AC1055">
              <w:rPr>
                <w:rFonts w:cs="Times New Roman"/>
              </w:rPr>
              <w:t>0.37303</w:t>
            </w:r>
          </w:p>
        </w:tc>
        <w:tc>
          <w:tcPr>
            <w:tcW w:w="1401" w:type="dxa"/>
          </w:tcPr>
          <w:p w14:paraId="093701D0" w14:textId="77777777" w:rsidR="00413229" w:rsidRPr="00AC1055" w:rsidRDefault="00413229" w:rsidP="00413229">
            <w:pPr>
              <w:jc w:val="center"/>
              <w:rPr>
                <w:rFonts w:cs="Times New Roman"/>
              </w:rPr>
            </w:pPr>
            <w:r w:rsidRPr="00AC1055">
              <w:rPr>
                <w:rFonts w:cs="Times New Roman"/>
              </w:rPr>
              <w:t>0.051913</w:t>
            </w:r>
          </w:p>
        </w:tc>
        <w:tc>
          <w:tcPr>
            <w:tcW w:w="1402" w:type="dxa"/>
          </w:tcPr>
          <w:p w14:paraId="1E4D3EF6" w14:textId="77777777" w:rsidR="00413229" w:rsidRPr="00AC1055" w:rsidRDefault="00413229" w:rsidP="00413229">
            <w:pPr>
              <w:jc w:val="center"/>
              <w:rPr>
                <w:rFonts w:cs="Times New Roman"/>
              </w:rPr>
            </w:pPr>
            <w:r w:rsidRPr="00AC1055">
              <w:rPr>
                <w:rFonts w:cs="Times New Roman"/>
              </w:rPr>
              <w:t>0.406858</w:t>
            </w:r>
          </w:p>
        </w:tc>
        <w:tc>
          <w:tcPr>
            <w:tcW w:w="1387" w:type="dxa"/>
          </w:tcPr>
          <w:p w14:paraId="14753844" w14:textId="77777777" w:rsidR="00413229" w:rsidRPr="00AC1055" w:rsidRDefault="00413229" w:rsidP="00413229">
            <w:pPr>
              <w:jc w:val="center"/>
              <w:rPr>
                <w:rFonts w:cs="Times New Roman"/>
              </w:rPr>
            </w:pPr>
            <w:r w:rsidRPr="00AC1055">
              <w:rPr>
                <w:rFonts w:cs="Times New Roman"/>
              </w:rPr>
              <w:t>-0.3114</w:t>
            </w:r>
          </w:p>
        </w:tc>
      </w:tr>
    </w:tbl>
    <w:p w14:paraId="39756FB4" w14:textId="77777777" w:rsidR="00413229" w:rsidRDefault="00413229" w:rsidP="00413229">
      <w:pPr>
        <w:spacing w:line="480" w:lineRule="auto"/>
        <w:rPr>
          <w:rFonts w:cs="Times New Roman"/>
        </w:rPr>
      </w:pPr>
    </w:p>
    <w:p w14:paraId="7987D032" w14:textId="58815F4E" w:rsidR="00413229" w:rsidRDefault="00413229" w:rsidP="00413229">
      <w:pPr>
        <w:spacing w:line="480" w:lineRule="auto"/>
        <w:rPr>
          <w:rFonts w:cs="Times New Roman"/>
        </w:rPr>
      </w:pPr>
      <w:r>
        <w:rPr>
          <w:rFonts w:cs="Times New Roman"/>
        </w:rPr>
        <w:t>It</w:t>
      </w:r>
      <w:r w:rsidRPr="00AC1055">
        <w:rPr>
          <w:rFonts w:cs="Times New Roman"/>
        </w:rPr>
        <w:t xml:space="preserve"> can thus </w:t>
      </w:r>
      <w:r>
        <w:rPr>
          <w:rFonts w:cs="Times New Roman"/>
        </w:rPr>
        <w:t xml:space="preserve">be </w:t>
      </w:r>
      <w:r w:rsidRPr="00AC1055">
        <w:rPr>
          <w:rFonts w:cs="Times New Roman"/>
        </w:rPr>
        <w:t>conclude</w:t>
      </w:r>
      <w:r>
        <w:rPr>
          <w:rFonts w:cs="Times New Roman"/>
        </w:rPr>
        <w:t>d</w:t>
      </w:r>
      <w:r w:rsidRPr="00AC1055">
        <w:rPr>
          <w:rFonts w:cs="Times New Roman"/>
        </w:rPr>
        <w:t xml:space="preserve"> that </w:t>
      </w:r>
      <w:r>
        <w:rPr>
          <w:rFonts w:cs="Times New Roman"/>
        </w:rPr>
        <w:t xml:space="preserve">a </w:t>
      </w:r>
      <w:r w:rsidRPr="00AC1055">
        <w:rPr>
          <w:rFonts w:cs="Times New Roman"/>
        </w:rPr>
        <w:t xml:space="preserve">change in corporate governance does not play an important role in the growth of </w:t>
      </w:r>
      <w:r>
        <w:rPr>
          <w:rFonts w:cs="Times New Roman"/>
        </w:rPr>
        <w:t xml:space="preserve">the </w:t>
      </w:r>
      <w:r w:rsidRPr="00AC1055">
        <w:rPr>
          <w:rFonts w:cs="Times New Roman"/>
        </w:rPr>
        <w:t>financial market in Pakistan</w:t>
      </w:r>
      <w:r>
        <w:rPr>
          <w:rFonts w:cs="Times New Roman"/>
        </w:rPr>
        <w:t>,</w:t>
      </w:r>
      <w:r w:rsidRPr="00AC1055">
        <w:rPr>
          <w:rFonts w:cs="Times New Roman"/>
        </w:rPr>
        <w:t xml:space="preserve"> especially in comparison to other control factors. Pakistan gives the best credible evidence of the hypothesis that a high shareholder primacy rules</w:t>
      </w:r>
      <w:r>
        <w:rPr>
          <w:rFonts w:cs="Times New Roman"/>
        </w:rPr>
        <w:t>-based system does not per se</w:t>
      </w:r>
      <w:r w:rsidRPr="00AC1055">
        <w:rPr>
          <w:rFonts w:cs="Times New Roman"/>
        </w:rPr>
        <w:t xml:space="preserve"> result in higher financial market growth. It is also quite interesting to note that </w:t>
      </w:r>
      <w:r>
        <w:rPr>
          <w:rFonts w:cs="Times New Roman"/>
        </w:rPr>
        <w:t xml:space="preserve">the </w:t>
      </w:r>
      <w:r w:rsidRPr="00AC1055">
        <w:rPr>
          <w:rFonts w:cs="Times New Roman"/>
        </w:rPr>
        <w:t xml:space="preserve">largest number of research papers on explicitly linking shareholder primacy corporate governance to higher growth in </w:t>
      </w:r>
      <w:r>
        <w:rPr>
          <w:rFonts w:cs="Times New Roman"/>
        </w:rPr>
        <w:t xml:space="preserve">the </w:t>
      </w:r>
      <w:r w:rsidRPr="00AC1055">
        <w:rPr>
          <w:rFonts w:cs="Times New Roman"/>
        </w:rPr>
        <w:t>financial market come from the roundtable discussions of international financial or</w:t>
      </w:r>
      <w:r w:rsidR="00991CFF">
        <w:rPr>
          <w:rFonts w:cs="Times New Roman"/>
        </w:rPr>
        <w:t xml:space="preserve">ganisations held in Pakistan.  </w:t>
      </w:r>
    </w:p>
    <w:p w14:paraId="76321185" w14:textId="77777777" w:rsidR="00991CFF" w:rsidRDefault="00991CFF" w:rsidP="00413229">
      <w:pPr>
        <w:spacing w:line="480" w:lineRule="auto"/>
        <w:rPr>
          <w:rFonts w:cs="Times New Roman"/>
        </w:rPr>
      </w:pPr>
    </w:p>
    <w:p w14:paraId="79D70184" w14:textId="77777777" w:rsidR="00991CFF" w:rsidRDefault="00991CFF" w:rsidP="00413229">
      <w:pPr>
        <w:spacing w:line="480" w:lineRule="auto"/>
        <w:rPr>
          <w:rFonts w:cs="Times New Roman"/>
        </w:rPr>
      </w:pPr>
    </w:p>
    <w:p w14:paraId="48621BDD" w14:textId="77777777" w:rsidR="00991CFF" w:rsidRDefault="00991CFF" w:rsidP="00413229">
      <w:pPr>
        <w:spacing w:line="480" w:lineRule="auto"/>
        <w:rPr>
          <w:rFonts w:cs="Times New Roman"/>
        </w:rPr>
      </w:pPr>
    </w:p>
    <w:p w14:paraId="76D3D150" w14:textId="77777777" w:rsidR="00991CFF" w:rsidRDefault="00991CFF" w:rsidP="00413229">
      <w:pPr>
        <w:spacing w:line="480" w:lineRule="auto"/>
        <w:rPr>
          <w:rFonts w:cs="Times New Roman"/>
        </w:rPr>
      </w:pPr>
    </w:p>
    <w:p w14:paraId="3711D6B6" w14:textId="77777777" w:rsidR="00991CFF" w:rsidRDefault="00991CFF" w:rsidP="00413229">
      <w:pPr>
        <w:spacing w:line="480" w:lineRule="auto"/>
        <w:rPr>
          <w:rFonts w:cs="Times New Roman"/>
        </w:rPr>
      </w:pPr>
    </w:p>
    <w:p w14:paraId="4266C621" w14:textId="77777777" w:rsidR="00991CFF" w:rsidRDefault="00991CFF" w:rsidP="00413229">
      <w:pPr>
        <w:spacing w:line="480" w:lineRule="auto"/>
        <w:rPr>
          <w:rFonts w:cs="Times New Roman"/>
        </w:rPr>
      </w:pPr>
    </w:p>
    <w:p w14:paraId="7BCBBACC" w14:textId="77777777" w:rsidR="00991CFF" w:rsidRDefault="00991CFF" w:rsidP="00413229">
      <w:pPr>
        <w:spacing w:line="480" w:lineRule="auto"/>
        <w:rPr>
          <w:rFonts w:cs="Times New Roman"/>
        </w:rPr>
      </w:pPr>
    </w:p>
    <w:p w14:paraId="51CA2A01" w14:textId="77777777" w:rsidR="00991CFF" w:rsidRPr="00AC1055" w:rsidRDefault="00991CFF" w:rsidP="00413229">
      <w:pPr>
        <w:spacing w:line="480" w:lineRule="auto"/>
        <w:rPr>
          <w:rFonts w:cs="Times New Roman"/>
        </w:rPr>
      </w:pPr>
    </w:p>
    <w:p w14:paraId="6A4AFF01" w14:textId="77777777" w:rsidR="00413229" w:rsidRPr="00AC1055" w:rsidRDefault="00413229" w:rsidP="00413229">
      <w:pPr>
        <w:spacing w:line="480" w:lineRule="auto"/>
        <w:rPr>
          <w:rFonts w:cs="Times New Roman"/>
          <w:u w:val="single"/>
        </w:rPr>
      </w:pPr>
      <w:r>
        <w:rPr>
          <w:rFonts w:cs="Times New Roman"/>
          <w:u w:val="single"/>
        </w:rPr>
        <w:lastRenderedPageBreak/>
        <w:t xml:space="preserve">4.4.9 </w:t>
      </w:r>
      <w:r w:rsidRPr="00AC1055">
        <w:rPr>
          <w:rFonts w:cs="Times New Roman"/>
          <w:u w:val="single"/>
        </w:rPr>
        <w:t>Poland</w:t>
      </w:r>
    </w:p>
    <w:p w14:paraId="5A25B855"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437672A" wp14:editId="4C7D932B">
            <wp:extent cx="5619048" cy="3390476"/>
            <wp:effectExtent l="0" t="0" r="1270" b="63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19048" cy="3390476"/>
                    </a:xfrm>
                    <a:prstGeom prst="rect">
                      <a:avLst/>
                    </a:prstGeom>
                  </pic:spPr>
                </pic:pic>
              </a:graphicData>
            </a:graphic>
          </wp:inline>
        </w:drawing>
      </w:r>
    </w:p>
    <w:p w14:paraId="741D6F17" w14:textId="77777777" w:rsidR="00413229" w:rsidRPr="00AC1055" w:rsidRDefault="00413229" w:rsidP="00413229">
      <w:pPr>
        <w:spacing w:line="480" w:lineRule="auto"/>
        <w:rPr>
          <w:rFonts w:cs="Times New Roman"/>
        </w:rPr>
      </w:pPr>
      <w:r w:rsidRPr="00AC1055">
        <w:rPr>
          <w:rFonts w:cs="Times New Roman"/>
        </w:rPr>
        <w:t>Corporate governance in Poland has gradually shifted towards a pro</w:t>
      </w:r>
      <w:r>
        <w:rPr>
          <w:rFonts w:cs="Times New Roman"/>
        </w:rPr>
        <w:t>-</w:t>
      </w:r>
      <w:r w:rsidRPr="00AC1055">
        <w:rPr>
          <w:rFonts w:cs="Times New Roman"/>
        </w:rPr>
        <w:t>shareholder approach</w:t>
      </w:r>
      <w:r>
        <w:rPr>
          <w:rFonts w:cs="Times New Roman"/>
        </w:rPr>
        <w:t>. Progress was slow</w:t>
      </w:r>
      <w:r w:rsidRPr="00AC1055">
        <w:rPr>
          <w:rFonts w:cs="Times New Roman"/>
        </w:rPr>
        <w:t xml:space="preserve"> </w:t>
      </w:r>
      <w:r>
        <w:rPr>
          <w:rFonts w:cs="Times New Roman"/>
        </w:rPr>
        <w:t>until</w:t>
      </w:r>
      <w:r w:rsidRPr="00AC1055">
        <w:rPr>
          <w:rFonts w:cs="Times New Roman"/>
        </w:rPr>
        <w:t xml:space="preserve"> </w:t>
      </w:r>
      <w:r>
        <w:rPr>
          <w:rFonts w:cs="Times New Roman"/>
        </w:rPr>
        <w:t>2003;</w:t>
      </w:r>
      <w:r w:rsidRPr="00AC1055">
        <w:rPr>
          <w:rFonts w:cs="Times New Roman"/>
        </w:rPr>
        <w:t xml:space="preserve"> rapid between 2004 and 2007</w:t>
      </w:r>
      <w:r>
        <w:rPr>
          <w:rFonts w:cs="Times New Roman"/>
        </w:rPr>
        <w:t>;</w:t>
      </w:r>
      <w:r w:rsidRPr="00AC1055">
        <w:rPr>
          <w:rFonts w:cs="Times New Roman"/>
        </w:rPr>
        <w:t xml:space="preserve"> and since then </w:t>
      </w:r>
      <w:r>
        <w:rPr>
          <w:rFonts w:cs="Times New Roman"/>
        </w:rPr>
        <w:t>there have</w:t>
      </w:r>
      <w:r w:rsidRPr="00AC1055">
        <w:rPr>
          <w:rFonts w:cs="Times New Roman"/>
        </w:rPr>
        <w:t xml:space="preserve"> </w:t>
      </w:r>
      <w:r>
        <w:rPr>
          <w:rFonts w:cs="Times New Roman"/>
        </w:rPr>
        <w:t>been only slow incremental changes</w:t>
      </w:r>
      <w:r w:rsidRPr="00AC1055">
        <w:rPr>
          <w:rFonts w:cs="Times New Roman"/>
        </w:rPr>
        <w:t xml:space="preserve">. This shift in corporate governance regulation parallels the slow growth of </w:t>
      </w:r>
      <w:r>
        <w:rPr>
          <w:rFonts w:cs="Times New Roman"/>
        </w:rPr>
        <w:t xml:space="preserve">the </w:t>
      </w:r>
      <w:r w:rsidRPr="00AC1055">
        <w:rPr>
          <w:rFonts w:cs="Times New Roman"/>
        </w:rPr>
        <w:t xml:space="preserve">Polish financial market </w:t>
      </w:r>
      <w:r>
        <w:rPr>
          <w:rFonts w:cs="Times New Roman"/>
        </w:rPr>
        <w:t>until</w:t>
      </w:r>
      <w:r w:rsidRPr="00AC1055">
        <w:rPr>
          <w:rFonts w:cs="Times New Roman"/>
        </w:rPr>
        <w:t xml:space="preserve"> 2004, the rapid bursts between 2005 and 2008, and then the gradual decline. It is also interesting to note from the graph above the high correlation between control 1 and control 3, and the financial market development.</w:t>
      </w:r>
    </w:p>
    <w:p w14:paraId="283BB9DF"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0883BB75" wp14:editId="40BB1B05">
            <wp:extent cx="5635925" cy="1686503"/>
            <wp:effectExtent l="0" t="0" r="317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635925" cy="1686503"/>
                    </a:xfrm>
                    <a:prstGeom prst="rect">
                      <a:avLst/>
                    </a:prstGeom>
                    <a:noFill/>
                    <a:ln>
                      <a:noFill/>
                    </a:ln>
                  </pic:spPr>
                </pic:pic>
              </a:graphicData>
            </a:graphic>
          </wp:inline>
        </w:drawing>
      </w:r>
    </w:p>
    <w:p w14:paraId="165664E0" w14:textId="77777777" w:rsidR="00413229" w:rsidRPr="00AC1055" w:rsidRDefault="00413229" w:rsidP="00413229">
      <w:pPr>
        <w:spacing w:line="480" w:lineRule="auto"/>
        <w:rPr>
          <w:rFonts w:cs="Times New Roman"/>
        </w:rPr>
      </w:pPr>
      <w:r w:rsidRPr="00AC1055">
        <w:rPr>
          <w:rFonts w:cs="Times New Roman"/>
        </w:rPr>
        <w:lastRenderedPageBreak/>
        <w:t xml:space="preserve">This is amply highlighted in the graphs above which show that financial market development is impacted more by change in financial indicators (control 1) and </w:t>
      </w:r>
      <w:r>
        <w:rPr>
          <w:rFonts w:cs="Times New Roman"/>
        </w:rPr>
        <w:t xml:space="preserve">a </w:t>
      </w:r>
      <w:r w:rsidRPr="00AC1055">
        <w:rPr>
          <w:rFonts w:cs="Times New Roman"/>
        </w:rPr>
        <w:t xml:space="preserve">rise in research investment and high technology exports (control 3), than by </w:t>
      </w:r>
      <w:r>
        <w:rPr>
          <w:rFonts w:cs="Times New Roman"/>
        </w:rPr>
        <w:t xml:space="preserve">a </w:t>
      </w:r>
      <w:r w:rsidRPr="00AC1055">
        <w:rPr>
          <w:rFonts w:cs="Times New Roman"/>
        </w:rPr>
        <w:t xml:space="preserve">change in corporate governance to make it more shareholder friendly. The only indicator which has </w:t>
      </w:r>
      <w:r>
        <w:rPr>
          <w:rFonts w:cs="Times New Roman"/>
        </w:rPr>
        <w:t xml:space="preserve">the </w:t>
      </w:r>
      <w:r w:rsidRPr="00AC1055">
        <w:rPr>
          <w:rFonts w:cs="Times New Roman"/>
        </w:rPr>
        <w:t>same impact as change</w:t>
      </w:r>
      <w:r>
        <w:rPr>
          <w:rFonts w:cs="Times New Roman"/>
        </w:rPr>
        <w:t>s</w:t>
      </w:r>
      <w:r w:rsidRPr="00AC1055">
        <w:rPr>
          <w:rFonts w:cs="Times New Roman"/>
        </w:rPr>
        <w:t xml:space="preserve"> in </w:t>
      </w:r>
      <w:r>
        <w:rPr>
          <w:rFonts w:cs="Times New Roman"/>
        </w:rPr>
        <w:t xml:space="preserve">the </w:t>
      </w:r>
      <w:r w:rsidRPr="00AC1055">
        <w:rPr>
          <w:rFonts w:cs="Times New Roman"/>
        </w:rPr>
        <w:t>corporate governance model is that of financial and technological inclusion (control 2). However</w:t>
      </w:r>
      <w:r>
        <w:rPr>
          <w:rFonts w:cs="Times New Roman"/>
        </w:rPr>
        <w:t>,</w:t>
      </w:r>
      <w:r w:rsidRPr="00AC1055">
        <w:rPr>
          <w:rFonts w:cs="Times New Roman"/>
        </w:rPr>
        <w:t xml:space="preserve"> in comparison to other countries studied in this research, Poland has the second highest </w:t>
      </w:r>
      <w:r>
        <w:rPr>
          <w:rFonts w:cs="Times New Roman"/>
        </w:rPr>
        <w:t xml:space="preserve">impact of change in </w:t>
      </w:r>
      <w:r w:rsidRPr="00AC1055">
        <w:rPr>
          <w:rFonts w:cs="Times New Roman"/>
        </w:rPr>
        <w:t xml:space="preserve">corporate governance </w:t>
      </w:r>
      <w:r>
        <w:rPr>
          <w:rFonts w:cs="Times New Roman"/>
        </w:rPr>
        <w:t>in relation to control 3 and the fifth highest impact of change in corporate governance in relation to control 1, on the growth of the financial market.</w:t>
      </w:r>
      <w:r w:rsidRPr="00AC1055">
        <w:rPr>
          <w:rFonts w:cs="Times New Roman"/>
        </w:rPr>
        <w:t xml:space="preserve"> </w:t>
      </w:r>
      <w:r>
        <w:rPr>
          <w:rFonts w:cs="Times New Roman"/>
        </w:rPr>
        <w:t>This</w:t>
      </w:r>
      <w:r w:rsidRPr="00AC1055">
        <w:rPr>
          <w:rFonts w:cs="Times New Roman"/>
        </w:rPr>
        <w:t xml:space="preserve"> means that change</w:t>
      </w:r>
      <w:r>
        <w:rPr>
          <w:rFonts w:cs="Times New Roman"/>
        </w:rPr>
        <w:t>s</w:t>
      </w:r>
      <w:r w:rsidRPr="00AC1055">
        <w:rPr>
          <w:rFonts w:cs="Times New Roman"/>
        </w:rPr>
        <w:t xml:space="preserve"> in corporate governance in Poland had more impact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 xml:space="preserve">financial market than in almost all other countries. </w:t>
      </w:r>
      <w:r>
        <w:rPr>
          <w:rFonts w:cs="Times New Roman"/>
        </w:rPr>
        <w:t>However, under frequentist models, Poland is ranked eleventh and twelfth for the relative impact of change in corporate governance in relation to control 1 and control 3 respectively, on the growth of the financial market. Although</w:t>
      </w:r>
      <w:r w:rsidRPr="00AC1055">
        <w:rPr>
          <w:rFonts w:cs="Times New Roman"/>
        </w:rPr>
        <w:t xml:space="preserve"> frequentist and Bayesian mean estimates vary,</w:t>
      </w:r>
      <w:r>
        <w:rPr>
          <w:rFonts w:cs="Times New Roman"/>
        </w:rPr>
        <w:t xml:space="preserve"> </w:t>
      </w:r>
      <w:r w:rsidRPr="00AC1055">
        <w:rPr>
          <w:rFonts w:cs="Times New Roman"/>
        </w:rPr>
        <w:t xml:space="preserve">the frequentist estimate of 0.046818 is within the credible interval of -0.00566 to 0.158403 predicted by Bayesian estimates. </w:t>
      </w:r>
      <w:r>
        <w:rPr>
          <w:rFonts w:cs="Times New Roman"/>
        </w:rPr>
        <w:t>However the relative gap, highlighted by comparing with other countries, shows that further qualitative studies are required to understand what other factors may have affected the growth of the financial market in Poland, it can be surmised that entry into the Eurozone may have had some impact. However, to obtain definite proof further in depth study is required.</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1C7D5E33" w14:textId="77777777" w:rsidTr="00413229">
        <w:tc>
          <w:tcPr>
            <w:tcW w:w="1809" w:type="dxa"/>
          </w:tcPr>
          <w:p w14:paraId="0B689615" w14:textId="77777777" w:rsidR="00413229" w:rsidRPr="00AC1055" w:rsidRDefault="00413229" w:rsidP="00413229">
            <w:pPr>
              <w:rPr>
                <w:rFonts w:cs="Times New Roman"/>
              </w:rPr>
            </w:pPr>
            <w:r w:rsidRPr="00AC1055">
              <w:rPr>
                <w:rFonts w:cs="Times New Roman"/>
              </w:rPr>
              <w:t xml:space="preserve">  </w:t>
            </w:r>
          </w:p>
        </w:tc>
        <w:tc>
          <w:tcPr>
            <w:tcW w:w="1138" w:type="dxa"/>
          </w:tcPr>
          <w:p w14:paraId="465259A7" w14:textId="77777777" w:rsidR="00413229" w:rsidRPr="00AC1055" w:rsidRDefault="00413229" w:rsidP="00413229">
            <w:pPr>
              <w:jc w:val="center"/>
              <w:rPr>
                <w:rFonts w:cs="Times New Roman"/>
              </w:rPr>
            </w:pPr>
            <w:r w:rsidRPr="00AC1055">
              <w:rPr>
                <w:rFonts w:cs="Times New Roman"/>
              </w:rPr>
              <w:t>CG</w:t>
            </w:r>
          </w:p>
        </w:tc>
        <w:tc>
          <w:tcPr>
            <w:tcW w:w="1298" w:type="dxa"/>
          </w:tcPr>
          <w:p w14:paraId="60463415"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0048F05C"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0939AE06"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04D5E34B"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539FD018" w14:textId="77777777" w:rsidTr="00413229">
        <w:tc>
          <w:tcPr>
            <w:tcW w:w="1809" w:type="dxa"/>
          </w:tcPr>
          <w:p w14:paraId="10938A53" w14:textId="77777777" w:rsidR="00413229" w:rsidRPr="00AC1055" w:rsidRDefault="00413229" w:rsidP="00413229">
            <w:pPr>
              <w:rPr>
                <w:rFonts w:cs="Times New Roman"/>
              </w:rPr>
            </w:pPr>
            <w:r w:rsidRPr="00AC1055">
              <w:rPr>
                <w:rFonts w:cs="Times New Roman"/>
              </w:rPr>
              <w:t>Mean Bayesian</w:t>
            </w:r>
          </w:p>
        </w:tc>
        <w:tc>
          <w:tcPr>
            <w:tcW w:w="1138" w:type="dxa"/>
          </w:tcPr>
          <w:p w14:paraId="072E3CCA" w14:textId="77777777" w:rsidR="00413229" w:rsidRPr="00AC1055" w:rsidRDefault="00413229" w:rsidP="00413229">
            <w:pPr>
              <w:jc w:val="center"/>
              <w:rPr>
                <w:rFonts w:cs="Times New Roman"/>
              </w:rPr>
            </w:pPr>
            <w:r w:rsidRPr="00AC1055">
              <w:rPr>
                <w:rFonts w:cs="Times New Roman"/>
              </w:rPr>
              <w:t>0.077912</w:t>
            </w:r>
          </w:p>
        </w:tc>
        <w:tc>
          <w:tcPr>
            <w:tcW w:w="1298" w:type="dxa"/>
            <w:vAlign w:val="bottom"/>
          </w:tcPr>
          <w:p w14:paraId="13DED26C" w14:textId="77777777" w:rsidR="00413229" w:rsidRPr="00AC1055" w:rsidRDefault="00413229" w:rsidP="00413229">
            <w:pPr>
              <w:jc w:val="center"/>
              <w:rPr>
                <w:rFonts w:cs="Times New Roman"/>
                <w:color w:val="000000"/>
                <w:szCs w:val="24"/>
              </w:rPr>
            </w:pPr>
            <w:r w:rsidRPr="00AC1055">
              <w:rPr>
                <w:rFonts w:cs="Times New Roman"/>
                <w:color w:val="000000"/>
                <w:szCs w:val="24"/>
              </w:rPr>
              <w:t>0.480641</w:t>
            </w:r>
          </w:p>
        </w:tc>
        <w:tc>
          <w:tcPr>
            <w:tcW w:w="1395" w:type="dxa"/>
            <w:vAlign w:val="bottom"/>
          </w:tcPr>
          <w:p w14:paraId="663B462F" w14:textId="77777777" w:rsidR="00413229" w:rsidRPr="00AC1055" w:rsidRDefault="00413229" w:rsidP="00413229">
            <w:pPr>
              <w:jc w:val="center"/>
              <w:rPr>
                <w:rFonts w:cs="Times New Roman"/>
                <w:color w:val="000000"/>
                <w:szCs w:val="24"/>
              </w:rPr>
            </w:pPr>
            <w:r w:rsidRPr="00AC1055">
              <w:rPr>
                <w:rFonts w:cs="Times New Roman"/>
                <w:color w:val="000000"/>
                <w:szCs w:val="24"/>
              </w:rPr>
              <w:t>0.070058</w:t>
            </w:r>
          </w:p>
        </w:tc>
        <w:tc>
          <w:tcPr>
            <w:tcW w:w="1395" w:type="dxa"/>
            <w:vAlign w:val="bottom"/>
          </w:tcPr>
          <w:p w14:paraId="0B0067D2" w14:textId="77777777" w:rsidR="00413229" w:rsidRPr="00AC1055" w:rsidRDefault="00413229" w:rsidP="00413229">
            <w:pPr>
              <w:jc w:val="center"/>
              <w:rPr>
                <w:rFonts w:cs="Times New Roman"/>
                <w:color w:val="000000"/>
                <w:szCs w:val="24"/>
              </w:rPr>
            </w:pPr>
            <w:r w:rsidRPr="00AC1055">
              <w:rPr>
                <w:rFonts w:cs="Times New Roman"/>
                <w:color w:val="000000"/>
                <w:szCs w:val="24"/>
              </w:rPr>
              <w:t>0.393737</w:t>
            </w:r>
          </w:p>
        </w:tc>
        <w:tc>
          <w:tcPr>
            <w:tcW w:w="1379" w:type="dxa"/>
          </w:tcPr>
          <w:p w14:paraId="299BA899" w14:textId="77777777" w:rsidR="00413229" w:rsidRPr="00AC1055" w:rsidRDefault="00413229" w:rsidP="00413229">
            <w:pPr>
              <w:jc w:val="center"/>
              <w:rPr>
                <w:rFonts w:cs="Times New Roman"/>
              </w:rPr>
            </w:pPr>
            <w:r w:rsidRPr="00AC1055">
              <w:rPr>
                <w:rFonts w:cs="Times New Roman"/>
              </w:rPr>
              <w:t>-0.3002</w:t>
            </w:r>
          </w:p>
        </w:tc>
      </w:tr>
      <w:tr w:rsidR="00413229" w:rsidRPr="00AC1055" w14:paraId="2C9B9993" w14:textId="77777777" w:rsidTr="00413229">
        <w:tc>
          <w:tcPr>
            <w:tcW w:w="1809" w:type="dxa"/>
          </w:tcPr>
          <w:p w14:paraId="34FF12BE" w14:textId="77777777" w:rsidR="00413229" w:rsidRPr="00AC1055" w:rsidRDefault="00413229" w:rsidP="00413229">
            <w:pPr>
              <w:rPr>
                <w:rFonts w:cs="Times New Roman"/>
              </w:rPr>
            </w:pPr>
            <w:r w:rsidRPr="00AC1055">
              <w:rPr>
                <w:rFonts w:cs="Times New Roman"/>
              </w:rPr>
              <w:t>Frequentist</w:t>
            </w:r>
          </w:p>
        </w:tc>
        <w:tc>
          <w:tcPr>
            <w:tcW w:w="1138" w:type="dxa"/>
          </w:tcPr>
          <w:p w14:paraId="387EDDB0" w14:textId="77777777" w:rsidR="00413229" w:rsidRPr="00AC1055" w:rsidRDefault="00413229" w:rsidP="00413229">
            <w:pPr>
              <w:jc w:val="center"/>
              <w:rPr>
                <w:rFonts w:cs="Times New Roman"/>
              </w:rPr>
            </w:pPr>
            <w:r w:rsidRPr="00AC1055">
              <w:rPr>
                <w:rFonts w:cs="Times New Roman"/>
              </w:rPr>
              <w:t>0.046818</w:t>
            </w:r>
          </w:p>
        </w:tc>
        <w:tc>
          <w:tcPr>
            <w:tcW w:w="1298" w:type="dxa"/>
          </w:tcPr>
          <w:p w14:paraId="760B7A88" w14:textId="77777777" w:rsidR="00413229" w:rsidRPr="00AC1055" w:rsidRDefault="00413229" w:rsidP="00413229">
            <w:pPr>
              <w:jc w:val="center"/>
              <w:rPr>
                <w:rFonts w:cs="Times New Roman"/>
              </w:rPr>
            </w:pPr>
            <w:r w:rsidRPr="00AC1055">
              <w:rPr>
                <w:rFonts w:cs="Times New Roman"/>
              </w:rPr>
              <w:t>0.470849</w:t>
            </w:r>
          </w:p>
        </w:tc>
        <w:tc>
          <w:tcPr>
            <w:tcW w:w="1395" w:type="dxa"/>
          </w:tcPr>
          <w:p w14:paraId="3168AC31" w14:textId="77777777" w:rsidR="00413229" w:rsidRPr="00AC1055" w:rsidRDefault="00413229" w:rsidP="00413229">
            <w:pPr>
              <w:jc w:val="center"/>
              <w:rPr>
                <w:rFonts w:cs="Times New Roman"/>
              </w:rPr>
            </w:pPr>
            <w:r w:rsidRPr="00AC1055">
              <w:rPr>
                <w:rFonts w:cs="Times New Roman"/>
              </w:rPr>
              <w:t>0.083779</w:t>
            </w:r>
          </w:p>
        </w:tc>
        <w:tc>
          <w:tcPr>
            <w:tcW w:w="1395" w:type="dxa"/>
          </w:tcPr>
          <w:p w14:paraId="17A2A626" w14:textId="77777777" w:rsidR="00413229" w:rsidRPr="00AC1055" w:rsidRDefault="00413229" w:rsidP="00413229">
            <w:pPr>
              <w:jc w:val="center"/>
              <w:rPr>
                <w:rFonts w:cs="Times New Roman"/>
              </w:rPr>
            </w:pPr>
            <w:r w:rsidRPr="00AC1055">
              <w:rPr>
                <w:rFonts w:cs="Times New Roman"/>
              </w:rPr>
              <w:t>0.393734</w:t>
            </w:r>
          </w:p>
        </w:tc>
        <w:tc>
          <w:tcPr>
            <w:tcW w:w="1379" w:type="dxa"/>
          </w:tcPr>
          <w:p w14:paraId="55CCCB2E" w14:textId="77777777" w:rsidR="00413229" w:rsidRPr="00AC1055" w:rsidRDefault="00413229" w:rsidP="00413229">
            <w:pPr>
              <w:jc w:val="center"/>
              <w:rPr>
                <w:rFonts w:cs="Times New Roman"/>
              </w:rPr>
            </w:pPr>
            <w:r w:rsidRPr="00AC1055">
              <w:rPr>
                <w:rFonts w:cs="Times New Roman"/>
              </w:rPr>
              <w:t>-0.2897</w:t>
            </w:r>
          </w:p>
        </w:tc>
      </w:tr>
    </w:tbl>
    <w:p w14:paraId="685F6B86" w14:textId="77777777" w:rsidR="00413229" w:rsidRDefault="00413229" w:rsidP="00413229">
      <w:pPr>
        <w:spacing w:line="480" w:lineRule="auto"/>
        <w:rPr>
          <w:rFonts w:cs="Times New Roman"/>
        </w:rPr>
      </w:pPr>
    </w:p>
    <w:p w14:paraId="2FACECB1" w14:textId="77777777" w:rsidR="00413229" w:rsidRPr="00AC1055" w:rsidRDefault="00413229" w:rsidP="00413229">
      <w:pPr>
        <w:spacing w:line="480" w:lineRule="auto"/>
        <w:rPr>
          <w:rFonts w:cs="Times New Roman"/>
        </w:rPr>
      </w:pPr>
      <w:r w:rsidRPr="00AC1055">
        <w:rPr>
          <w:rFonts w:cs="Times New Roman"/>
        </w:rPr>
        <w:lastRenderedPageBreak/>
        <w:t>To conclude</w:t>
      </w:r>
      <w:r>
        <w:rPr>
          <w:rFonts w:cs="Times New Roman"/>
        </w:rPr>
        <w:t>,</w:t>
      </w:r>
      <w:r w:rsidRPr="00AC1055">
        <w:rPr>
          <w:rFonts w:cs="Times New Roman"/>
        </w:rPr>
        <w:t xml:space="preserve"> change in corporate governance to make it more shareholder friendly or OECD compliant may </w:t>
      </w:r>
      <w:r>
        <w:rPr>
          <w:rFonts w:cs="Times New Roman"/>
        </w:rPr>
        <w:t xml:space="preserve">have </w:t>
      </w:r>
      <w:r w:rsidRPr="00AC1055">
        <w:rPr>
          <w:rFonts w:cs="Times New Roman"/>
        </w:rPr>
        <w:t>play</w:t>
      </w:r>
      <w:r>
        <w:rPr>
          <w:rFonts w:cs="Times New Roman"/>
        </w:rPr>
        <w:t>ed</w:t>
      </w:r>
      <w:r w:rsidRPr="00AC1055">
        <w:rPr>
          <w:rFonts w:cs="Times New Roman"/>
        </w:rPr>
        <w:t xml:space="preserve"> a role in the financial market development in Poland</w:t>
      </w:r>
      <w:r>
        <w:rPr>
          <w:rFonts w:cs="Times New Roman"/>
        </w:rPr>
        <w:t>;</w:t>
      </w:r>
      <w:r w:rsidRPr="00AC1055">
        <w:rPr>
          <w:rFonts w:cs="Times New Roman"/>
        </w:rPr>
        <w:t xml:space="preserve"> however this impact is many times less than the impact of economic growth and </w:t>
      </w:r>
      <w:r>
        <w:rPr>
          <w:rFonts w:cs="Times New Roman"/>
        </w:rPr>
        <w:t xml:space="preserve">the </w:t>
      </w:r>
      <w:r w:rsidRPr="00AC1055">
        <w:rPr>
          <w:rFonts w:cs="Times New Roman"/>
        </w:rPr>
        <w:t>increase in technology</w:t>
      </w:r>
      <w:r>
        <w:rPr>
          <w:rFonts w:cs="Times New Roman"/>
        </w:rPr>
        <w:t>-</w:t>
      </w:r>
      <w:r w:rsidRPr="00AC1055">
        <w:rPr>
          <w:rFonts w:cs="Times New Roman"/>
        </w:rPr>
        <w:t>based exports.</w:t>
      </w:r>
    </w:p>
    <w:p w14:paraId="18010331" w14:textId="77777777" w:rsidR="00413229" w:rsidRDefault="00413229" w:rsidP="00413229">
      <w:pPr>
        <w:spacing w:line="480" w:lineRule="auto"/>
        <w:rPr>
          <w:rFonts w:cs="Times New Roman"/>
          <w:u w:val="single"/>
        </w:rPr>
      </w:pPr>
    </w:p>
    <w:p w14:paraId="79E42DD0" w14:textId="77777777" w:rsidR="00413229" w:rsidRPr="00AC1055" w:rsidRDefault="00413229" w:rsidP="00413229">
      <w:pPr>
        <w:spacing w:line="480" w:lineRule="auto"/>
        <w:rPr>
          <w:rFonts w:cs="Times New Roman"/>
          <w:u w:val="single"/>
        </w:rPr>
      </w:pPr>
      <w:r>
        <w:rPr>
          <w:rFonts w:cs="Times New Roman"/>
          <w:u w:val="single"/>
        </w:rPr>
        <w:t xml:space="preserve">4.4.10 </w:t>
      </w:r>
      <w:r w:rsidRPr="00AC1055">
        <w:rPr>
          <w:rFonts w:cs="Times New Roman"/>
          <w:u w:val="single"/>
        </w:rPr>
        <w:t>Russia</w:t>
      </w:r>
    </w:p>
    <w:p w14:paraId="41BE7B8D"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65086C66" wp14:editId="0F33803D">
            <wp:extent cx="5619048" cy="3390476"/>
            <wp:effectExtent l="0" t="0" r="1270" b="63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19048" cy="3390476"/>
                    </a:xfrm>
                    <a:prstGeom prst="rect">
                      <a:avLst/>
                    </a:prstGeom>
                  </pic:spPr>
                </pic:pic>
              </a:graphicData>
            </a:graphic>
          </wp:inline>
        </w:drawing>
      </w:r>
    </w:p>
    <w:p w14:paraId="439694C8" w14:textId="77777777" w:rsidR="00413229" w:rsidRPr="00AC1055" w:rsidRDefault="00413229" w:rsidP="00413229">
      <w:pPr>
        <w:spacing w:line="480" w:lineRule="auto"/>
        <w:rPr>
          <w:rFonts w:cs="Times New Roman"/>
        </w:rPr>
      </w:pPr>
      <w:r w:rsidRPr="00AC1055">
        <w:rPr>
          <w:rFonts w:cs="Times New Roman"/>
        </w:rPr>
        <w:t xml:space="preserve">Corporate governance </w:t>
      </w:r>
      <w:r>
        <w:rPr>
          <w:rFonts w:cs="Times New Roman"/>
        </w:rPr>
        <w:t xml:space="preserve">as understood in this research was largely absent in Russia before 1995, between 1995 and 1996 </w:t>
      </w:r>
      <w:r w:rsidRPr="00AC1055">
        <w:rPr>
          <w:rFonts w:cs="Times New Roman"/>
        </w:rPr>
        <w:t xml:space="preserve">Russia </w:t>
      </w:r>
      <w:r>
        <w:rPr>
          <w:rFonts w:cs="Times New Roman"/>
        </w:rPr>
        <w:t>adopted several company law reforms with a view to bringing the company law structure in line with the Anglo-Saxon model of company law and heralding the advent of capitalism and a break from the socialist structures of the USSR;</w:t>
      </w:r>
      <w:r w:rsidRPr="00AC1055">
        <w:rPr>
          <w:rFonts w:cs="Times New Roman"/>
        </w:rPr>
        <w:t xml:space="preserve"> </w:t>
      </w:r>
      <w:r>
        <w:rPr>
          <w:rFonts w:cs="Times New Roman"/>
        </w:rPr>
        <w:t>this was</w:t>
      </w:r>
      <w:r w:rsidRPr="00AC1055">
        <w:rPr>
          <w:rFonts w:cs="Times New Roman"/>
        </w:rPr>
        <w:t xml:space="preserve"> followed by</w:t>
      </w:r>
      <w:r>
        <w:rPr>
          <w:rFonts w:cs="Times New Roman"/>
        </w:rPr>
        <w:t xml:space="preserve"> almost a decade of no change in company law, then from 2007 onwards Russia has slowly adopted pro-shareholder corporate governance principles with the aim of</w:t>
      </w:r>
      <w:r w:rsidRPr="00AC1055">
        <w:rPr>
          <w:rFonts w:cs="Times New Roman"/>
        </w:rPr>
        <w:t xml:space="preserve"> harmonis</w:t>
      </w:r>
      <w:r>
        <w:rPr>
          <w:rFonts w:cs="Times New Roman"/>
        </w:rPr>
        <w:t>ing</w:t>
      </w:r>
      <w:r w:rsidRPr="00AC1055">
        <w:rPr>
          <w:rFonts w:cs="Times New Roman"/>
        </w:rPr>
        <w:t xml:space="preserve"> with OECD Principles of Corporate Governance. </w:t>
      </w:r>
      <w:r>
        <w:rPr>
          <w:rFonts w:cs="Times New Roman"/>
        </w:rPr>
        <w:t xml:space="preserve">Russia is one of the very few countries which has changed its corporate governance policies to create more pro-shareholder values after the </w:t>
      </w:r>
      <w:r>
        <w:rPr>
          <w:rFonts w:cs="Times New Roman"/>
        </w:rPr>
        <w:lastRenderedPageBreak/>
        <w:t xml:space="preserve">Global Financial crisis of 2008. </w:t>
      </w:r>
      <w:r w:rsidRPr="00AC1055">
        <w:rPr>
          <w:rFonts w:cs="Times New Roman"/>
        </w:rPr>
        <w:t>The financial market growth does not reflect this evolution in corporate governance. The financial market growth more or less mirrors the changes in economic growth and technology</w:t>
      </w:r>
      <w:r>
        <w:rPr>
          <w:rFonts w:cs="Times New Roman"/>
        </w:rPr>
        <w:t>-</w:t>
      </w:r>
      <w:r w:rsidRPr="00AC1055">
        <w:rPr>
          <w:rFonts w:cs="Times New Roman"/>
        </w:rPr>
        <w:t>led export</w:t>
      </w:r>
      <w:r>
        <w:rPr>
          <w:rFonts w:cs="Times New Roman"/>
        </w:rPr>
        <w:t xml:space="preserve">s. </w:t>
      </w:r>
    </w:p>
    <w:p w14:paraId="02D69E38"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45CB6F50" wp14:editId="725CAA76">
            <wp:extent cx="5481302" cy="1771650"/>
            <wp:effectExtent l="0" t="0" r="571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98510" cy="1777212"/>
                    </a:xfrm>
                    <a:prstGeom prst="rect">
                      <a:avLst/>
                    </a:prstGeom>
                    <a:noFill/>
                    <a:ln>
                      <a:noFill/>
                    </a:ln>
                  </pic:spPr>
                </pic:pic>
              </a:graphicData>
            </a:graphic>
          </wp:inline>
        </w:drawing>
      </w:r>
    </w:p>
    <w:p w14:paraId="7E806A7C" w14:textId="77777777" w:rsidR="00413229" w:rsidRPr="00AC1055" w:rsidRDefault="00413229" w:rsidP="00413229">
      <w:pPr>
        <w:spacing w:line="480" w:lineRule="auto"/>
        <w:rPr>
          <w:rFonts w:cs="Times New Roman"/>
        </w:rPr>
      </w:pPr>
    </w:p>
    <w:p w14:paraId="1F821455" w14:textId="77777777" w:rsidR="00413229" w:rsidRPr="00AC1055" w:rsidRDefault="00413229" w:rsidP="00413229">
      <w:pPr>
        <w:spacing w:line="480" w:lineRule="auto"/>
        <w:rPr>
          <w:rFonts w:cs="Times New Roman"/>
        </w:rPr>
      </w:pPr>
      <w:r w:rsidRPr="00AC1055">
        <w:rPr>
          <w:rFonts w:cs="Times New Roman"/>
        </w:rPr>
        <w:t>The relative stability in corporate governance for most of the period</w:t>
      </w:r>
      <w:r>
        <w:rPr>
          <w:rFonts w:cs="Times New Roman"/>
        </w:rPr>
        <w:t xml:space="preserve"> studied in this research,</w:t>
      </w:r>
      <w:r w:rsidRPr="00AC1055">
        <w:rPr>
          <w:rFonts w:cs="Times New Roman"/>
        </w:rPr>
        <w:t xml:space="preserve"> </w:t>
      </w:r>
      <w:r>
        <w:rPr>
          <w:rFonts w:cs="Times New Roman"/>
        </w:rPr>
        <w:t xml:space="preserve">the </w:t>
      </w:r>
      <w:r w:rsidRPr="00AC1055">
        <w:rPr>
          <w:rFonts w:cs="Times New Roman"/>
        </w:rPr>
        <w:t xml:space="preserve">high correlation between control 1 and control 3 with financial market development, </w:t>
      </w:r>
      <w:r>
        <w:rPr>
          <w:rFonts w:cs="Times New Roman"/>
        </w:rPr>
        <w:t xml:space="preserve">coupled with the fall of the financial market coinciding with the rise in corporate governance </w:t>
      </w:r>
      <w:r w:rsidRPr="00AC1055">
        <w:rPr>
          <w:rFonts w:cs="Times New Roman"/>
        </w:rPr>
        <w:t>leads to a negative estimation of corporate governance regres</w:t>
      </w:r>
      <w:r>
        <w:rPr>
          <w:rFonts w:cs="Times New Roman"/>
        </w:rPr>
        <w:t>sion coefficient under frequentist methods. In effect, a</w:t>
      </w:r>
      <w:r w:rsidRPr="00AC1055">
        <w:rPr>
          <w:rFonts w:cs="Times New Roman"/>
        </w:rPr>
        <w:t xml:space="preserve"> frequentist estimate suggests </w:t>
      </w:r>
      <w:r>
        <w:rPr>
          <w:rFonts w:cs="Times New Roman"/>
        </w:rPr>
        <w:t>that</w:t>
      </w:r>
      <w:r w:rsidRPr="00AC1055">
        <w:rPr>
          <w:rFonts w:cs="Times New Roman"/>
        </w:rPr>
        <w:t xml:space="preserve"> </w:t>
      </w:r>
      <w:r>
        <w:rPr>
          <w:rFonts w:cs="Times New Roman"/>
        </w:rPr>
        <w:t>an</w:t>
      </w:r>
      <w:r w:rsidRPr="00AC1055">
        <w:rPr>
          <w:rFonts w:cs="Times New Roman"/>
        </w:rPr>
        <w:t xml:space="preserve"> increase in shareholder primacy corporate governance in Russia </w:t>
      </w:r>
      <w:r>
        <w:rPr>
          <w:rFonts w:cs="Times New Roman"/>
        </w:rPr>
        <w:t>leads to</w:t>
      </w:r>
      <w:r w:rsidRPr="00AC1055">
        <w:rPr>
          <w:rFonts w:cs="Times New Roman"/>
        </w:rPr>
        <w:t xml:space="preserve"> a decline in Russian financial market development. This is not so for Bayesian analysis where the mean coefficient for corporate governance is low at 0.064709 but not negative, and the credible interval is also po</w:t>
      </w:r>
      <w:r>
        <w:rPr>
          <w:rFonts w:cs="Times New Roman"/>
        </w:rPr>
        <w:t xml:space="preserve">sitive ranging between 0.051765 </w:t>
      </w:r>
      <w:r w:rsidRPr="00AC1055">
        <w:rPr>
          <w:rFonts w:cs="Times New Roman"/>
        </w:rPr>
        <w:t xml:space="preserve">to 0.077738. </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277F7D20" w14:textId="77777777" w:rsidTr="00413229">
        <w:tc>
          <w:tcPr>
            <w:tcW w:w="1809" w:type="dxa"/>
          </w:tcPr>
          <w:p w14:paraId="5C52BFE4" w14:textId="77777777" w:rsidR="00413229" w:rsidRPr="00AC1055" w:rsidRDefault="00413229" w:rsidP="00413229">
            <w:pPr>
              <w:rPr>
                <w:rFonts w:cs="Times New Roman"/>
              </w:rPr>
            </w:pPr>
          </w:p>
        </w:tc>
        <w:tc>
          <w:tcPr>
            <w:tcW w:w="1138" w:type="dxa"/>
          </w:tcPr>
          <w:p w14:paraId="6D9884D0" w14:textId="77777777" w:rsidR="00413229" w:rsidRPr="00AC1055" w:rsidRDefault="00413229" w:rsidP="00413229">
            <w:pPr>
              <w:jc w:val="center"/>
              <w:rPr>
                <w:rFonts w:cs="Times New Roman"/>
              </w:rPr>
            </w:pPr>
            <w:r w:rsidRPr="00AC1055">
              <w:rPr>
                <w:rFonts w:cs="Times New Roman"/>
              </w:rPr>
              <w:t>CG</w:t>
            </w:r>
          </w:p>
        </w:tc>
        <w:tc>
          <w:tcPr>
            <w:tcW w:w="1298" w:type="dxa"/>
          </w:tcPr>
          <w:p w14:paraId="0F2C0A7D"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279B18AE"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040E98B1"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3F046ABC"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083529DD" w14:textId="77777777" w:rsidTr="00413229">
        <w:tc>
          <w:tcPr>
            <w:tcW w:w="1809" w:type="dxa"/>
          </w:tcPr>
          <w:p w14:paraId="60EFEB65" w14:textId="77777777" w:rsidR="00413229" w:rsidRPr="00AC1055" w:rsidRDefault="00413229" w:rsidP="00413229">
            <w:pPr>
              <w:rPr>
                <w:rFonts w:cs="Times New Roman"/>
              </w:rPr>
            </w:pPr>
            <w:r w:rsidRPr="00AC1055">
              <w:rPr>
                <w:rFonts w:cs="Times New Roman"/>
              </w:rPr>
              <w:t>Mean Bayesian</w:t>
            </w:r>
          </w:p>
        </w:tc>
        <w:tc>
          <w:tcPr>
            <w:tcW w:w="1138" w:type="dxa"/>
          </w:tcPr>
          <w:p w14:paraId="6F26796D" w14:textId="77777777" w:rsidR="00413229" w:rsidRPr="00AC1055" w:rsidRDefault="00413229" w:rsidP="00413229">
            <w:pPr>
              <w:jc w:val="center"/>
              <w:rPr>
                <w:rFonts w:cs="Times New Roman"/>
              </w:rPr>
            </w:pPr>
            <w:r w:rsidRPr="00AC1055">
              <w:rPr>
                <w:rFonts w:cs="Times New Roman"/>
              </w:rPr>
              <w:t>0.064709</w:t>
            </w:r>
          </w:p>
        </w:tc>
        <w:tc>
          <w:tcPr>
            <w:tcW w:w="1298" w:type="dxa"/>
            <w:vAlign w:val="bottom"/>
          </w:tcPr>
          <w:p w14:paraId="320D2E7A" w14:textId="77777777" w:rsidR="00413229" w:rsidRPr="00AC1055" w:rsidRDefault="00413229" w:rsidP="00413229">
            <w:pPr>
              <w:jc w:val="center"/>
              <w:rPr>
                <w:rFonts w:cs="Times New Roman"/>
                <w:color w:val="000000"/>
                <w:szCs w:val="24"/>
              </w:rPr>
            </w:pPr>
            <w:r w:rsidRPr="00AC1055">
              <w:rPr>
                <w:rFonts w:cs="Times New Roman"/>
                <w:color w:val="000000"/>
                <w:szCs w:val="24"/>
              </w:rPr>
              <w:t>0.413657</w:t>
            </w:r>
          </w:p>
        </w:tc>
        <w:tc>
          <w:tcPr>
            <w:tcW w:w="1395" w:type="dxa"/>
            <w:vAlign w:val="bottom"/>
          </w:tcPr>
          <w:p w14:paraId="3EBCDD1B" w14:textId="77777777" w:rsidR="00413229" w:rsidRPr="00AC1055" w:rsidRDefault="00413229" w:rsidP="00413229">
            <w:pPr>
              <w:jc w:val="center"/>
              <w:rPr>
                <w:rFonts w:cs="Times New Roman"/>
                <w:color w:val="000000"/>
                <w:szCs w:val="24"/>
              </w:rPr>
            </w:pPr>
            <w:r w:rsidRPr="00AC1055">
              <w:rPr>
                <w:rFonts w:cs="Times New Roman"/>
                <w:color w:val="000000"/>
                <w:szCs w:val="24"/>
              </w:rPr>
              <w:t>0.084067</w:t>
            </w:r>
          </w:p>
        </w:tc>
        <w:tc>
          <w:tcPr>
            <w:tcW w:w="1395" w:type="dxa"/>
            <w:vAlign w:val="bottom"/>
          </w:tcPr>
          <w:p w14:paraId="6E7B2607" w14:textId="77777777" w:rsidR="00413229" w:rsidRPr="00AC1055" w:rsidRDefault="00413229" w:rsidP="00413229">
            <w:pPr>
              <w:jc w:val="center"/>
              <w:rPr>
                <w:rFonts w:cs="Times New Roman"/>
                <w:color w:val="000000"/>
                <w:szCs w:val="24"/>
              </w:rPr>
            </w:pPr>
            <w:r w:rsidRPr="00AC1055">
              <w:rPr>
                <w:rFonts w:cs="Times New Roman"/>
                <w:color w:val="000000"/>
                <w:szCs w:val="24"/>
              </w:rPr>
              <w:t>0.452866</w:t>
            </w:r>
          </w:p>
        </w:tc>
        <w:tc>
          <w:tcPr>
            <w:tcW w:w="1379" w:type="dxa"/>
          </w:tcPr>
          <w:p w14:paraId="056ED6DA" w14:textId="77777777" w:rsidR="00413229" w:rsidRPr="00AC1055" w:rsidRDefault="00413229" w:rsidP="00413229">
            <w:pPr>
              <w:jc w:val="center"/>
              <w:rPr>
                <w:rFonts w:cs="Times New Roman"/>
              </w:rPr>
            </w:pPr>
            <w:r w:rsidRPr="00AC1055">
              <w:rPr>
                <w:rFonts w:cs="Times New Roman"/>
              </w:rPr>
              <w:t>-0.24181</w:t>
            </w:r>
          </w:p>
        </w:tc>
      </w:tr>
      <w:tr w:rsidR="00413229" w:rsidRPr="00AC1055" w14:paraId="6D8C5559" w14:textId="77777777" w:rsidTr="00413229">
        <w:tc>
          <w:tcPr>
            <w:tcW w:w="1809" w:type="dxa"/>
          </w:tcPr>
          <w:p w14:paraId="7A93AD64" w14:textId="77777777" w:rsidR="00413229" w:rsidRPr="00AC1055" w:rsidRDefault="00413229" w:rsidP="00413229">
            <w:pPr>
              <w:rPr>
                <w:rFonts w:cs="Times New Roman"/>
              </w:rPr>
            </w:pPr>
            <w:r w:rsidRPr="00AC1055">
              <w:rPr>
                <w:rFonts w:cs="Times New Roman"/>
              </w:rPr>
              <w:t>Frequentist</w:t>
            </w:r>
          </w:p>
        </w:tc>
        <w:tc>
          <w:tcPr>
            <w:tcW w:w="1138" w:type="dxa"/>
          </w:tcPr>
          <w:p w14:paraId="0E6FD8AE" w14:textId="77777777" w:rsidR="00413229" w:rsidRPr="00AC1055" w:rsidRDefault="00413229" w:rsidP="00413229">
            <w:pPr>
              <w:jc w:val="center"/>
              <w:rPr>
                <w:rFonts w:cs="Times New Roman"/>
              </w:rPr>
            </w:pPr>
            <w:r w:rsidRPr="00AC1055">
              <w:rPr>
                <w:rFonts w:cs="Times New Roman"/>
              </w:rPr>
              <w:t>-0.24547</w:t>
            </w:r>
          </w:p>
        </w:tc>
        <w:tc>
          <w:tcPr>
            <w:tcW w:w="1298" w:type="dxa"/>
          </w:tcPr>
          <w:p w14:paraId="73D84EB8" w14:textId="77777777" w:rsidR="00413229" w:rsidRPr="00AC1055" w:rsidRDefault="00413229" w:rsidP="00413229">
            <w:pPr>
              <w:jc w:val="center"/>
              <w:rPr>
                <w:rFonts w:cs="Times New Roman"/>
              </w:rPr>
            </w:pPr>
            <w:r w:rsidRPr="00AC1055">
              <w:rPr>
                <w:rFonts w:cs="Times New Roman"/>
              </w:rPr>
              <w:t>0.411433</w:t>
            </w:r>
          </w:p>
        </w:tc>
        <w:tc>
          <w:tcPr>
            <w:tcW w:w="1395" w:type="dxa"/>
          </w:tcPr>
          <w:p w14:paraId="4C50DBEF" w14:textId="77777777" w:rsidR="00413229" w:rsidRPr="00AC1055" w:rsidRDefault="00413229" w:rsidP="00413229">
            <w:pPr>
              <w:jc w:val="center"/>
              <w:rPr>
                <w:rFonts w:cs="Times New Roman"/>
              </w:rPr>
            </w:pPr>
            <w:r w:rsidRPr="00AC1055">
              <w:rPr>
                <w:rFonts w:cs="Times New Roman"/>
              </w:rPr>
              <w:t>0.086978</w:t>
            </w:r>
          </w:p>
        </w:tc>
        <w:tc>
          <w:tcPr>
            <w:tcW w:w="1395" w:type="dxa"/>
          </w:tcPr>
          <w:p w14:paraId="551239AA" w14:textId="77777777" w:rsidR="00413229" w:rsidRPr="00AC1055" w:rsidRDefault="00413229" w:rsidP="00413229">
            <w:pPr>
              <w:jc w:val="center"/>
              <w:rPr>
                <w:rFonts w:cs="Times New Roman"/>
              </w:rPr>
            </w:pPr>
            <w:r w:rsidRPr="00AC1055">
              <w:rPr>
                <w:rFonts w:cs="Times New Roman"/>
              </w:rPr>
              <w:t>0.451778</w:t>
            </w:r>
          </w:p>
        </w:tc>
        <w:tc>
          <w:tcPr>
            <w:tcW w:w="1379" w:type="dxa"/>
          </w:tcPr>
          <w:p w14:paraId="373B006E" w14:textId="77777777" w:rsidR="00413229" w:rsidRPr="00AC1055" w:rsidRDefault="00413229" w:rsidP="00413229">
            <w:pPr>
              <w:jc w:val="center"/>
              <w:rPr>
                <w:rFonts w:cs="Times New Roman"/>
              </w:rPr>
            </w:pPr>
            <w:r w:rsidRPr="00AC1055">
              <w:rPr>
                <w:rFonts w:cs="Times New Roman"/>
              </w:rPr>
              <w:t>-0.24547</w:t>
            </w:r>
          </w:p>
        </w:tc>
      </w:tr>
    </w:tbl>
    <w:p w14:paraId="3BB32BEC" w14:textId="77777777" w:rsidR="00413229" w:rsidRDefault="00413229" w:rsidP="00413229">
      <w:pPr>
        <w:spacing w:line="480" w:lineRule="auto"/>
        <w:rPr>
          <w:rFonts w:cs="Times New Roman"/>
        </w:rPr>
      </w:pPr>
    </w:p>
    <w:p w14:paraId="63A8C87C" w14:textId="77777777" w:rsidR="00413229" w:rsidRPr="00AC1055" w:rsidRDefault="00413229" w:rsidP="00413229">
      <w:pPr>
        <w:spacing w:line="480" w:lineRule="auto"/>
        <w:rPr>
          <w:rFonts w:cs="Times New Roman"/>
        </w:rPr>
      </w:pPr>
      <w:r>
        <w:rPr>
          <w:rFonts w:cs="Times New Roman"/>
        </w:rPr>
        <w:t>It</w:t>
      </w:r>
      <w:r w:rsidRPr="00AC1055">
        <w:rPr>
          <w:rFonts w:cs="Times New Roman"/>
        </w:rPr>
        <w:t xml:space="preserve"> can thus </w:t>
      </w:r>
      <w:r>
        <w:rPr>
          <w:rFonts w:cs="Times New Roman"/>
        </w:rPr>
        <w:t xml:space="preserve">be </w:t>
      </w:r>
      <w:r w:rsidRPr="00AC1055">
        <w:rPr>
          <w:rFonts w:cs="Times New Roman"/>
        </w:rPr>
        <w:t>conclude</w:t>
      </w:r>
      <w:r>
        <w:rPr>
          <w:rFonts w:cs="Times New Roman"/>
        </w:rPr>
        <w:t>d</w:t>
      </w:r>
      <w:r w:rsidRPr="00AC1055">
        <w:rPr>
          <w:rFonts w:cs="Times New Roman"/>
        </w:rPr>
        <w:t xml:space="preserve"> that corporate governance may have a role to play in financial market development in Russia, but this might be because Russian corporate governance before 1998/99 was non-existent and is still quite far from being </w:t>
      </w:r>
      <w:r w:rsidRPr="00AC1055">
        <w:rPr>
          <w:rFonts w:cs="Times New Roman"/>
        </w:rPr>
        <w:lastRenderedPageBreak/>
        <w:t xml:space="preserve">compliant with many of the provisions of </w:t>
      </w:r>
      <w:r>
        <w:rPr>
          <w:rFonts w:cs="Times New Roman"/>
        </w:rPr>
        <w:t xml:space="preserve">the </w:t>
      </w:r>
      <w:r w:rsidRPr="00AC1055">
        <w:rPr>
          <w:rFonts w:cs="Times New Roman"/>
        </w:rPr>
        <w:t>OECD principl</w:t>
      </w:r>
      <w:r>
        <w:rPr>
          <w:rFonts w:cs="Times New Roman"/>
        </w:rPr>
        <w:t>es of corporate governance. As under many other countries in this study,</w:t>
      </w:r>
      <w:r w:rsidRPr="00AC1055">
        <w:rPr>
          <w:rFonts w:cs="Times New Roman"/>
        </w:rPr>
        <w:t xml:space="preserve"> corporate governance has little impact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financial market</w:t>
      </w:r>
      <w:r>
        <w:rPr>
          <w:rFonts w:cs="Times New Roman"/>
        </w:rPr>
        <w:t xml:space="preserve"> </w:t>
      </w:r>
      <w:r w:rsidRPr="00422208">
        <w:rPr>
          <w:rFonts w:cs="Times New Roman"/>
        </w:rPr>
        <w:t>in comparison to other economic factors</w:t>
      </w:r>
      <w:r w:rsidRPr="00AC1055">
        <w:rPr>
          <w:rFonts w:cs="Times New Roman"/>
        </w:rPr>
        <w:t>.</w:t>
      </w:r>
    </w:p>
    <w:p w14:paraId="5D202F63" w14:textId="77777777" w:rsidR="00413229" w:rsidRPr="00AC1055" w:rsidRDefault="00413229" w:rsidP="00413229">
      <w:pPr>
        <w:spacing w:line="480" w:lineRule="auto"/>
        <w:rPr>
          <w:rFonts w:cs="Times New Roman"/>
        </w:rPr>
      </w:pPr>
    </w:p>
    <w:p w14:paraId="36C6C9D9" w14:textId="77777777" w:rsidR="00413229" w:rsidRPr="00AC1055" w:rsidRDefault="00413229" w:rsidP="00413229">
      <w:pPr>
        <w:spacing w:line="480" w:lineRule="auto"/>
        <w:rPr>
          <w:rFonts w:cs="Times New Roman"/>
          <w:u w:val="single"/>
        </w:rPr>
      </w:pPr>
      <w:r>
        <w:rPr>
          <w:rFonts w:cs="Times New Roman"/>
          <w:u w:val="single"/>
        </w:rPr>
        <w:t xml:space="preserve">4.4.11 </w:t>
      </w:r>
      <w:r w:rsidRPr="00AC1055">
        <w:rPr>
          <w:rFonts w:cs="Times New Roman"/>
          <w:u w:val="single"/>
        </w:rPr>
        <w:t>Argentina</w:t>
      </w:r>
    </w:p>
    <w:p w14:paraId="033A5E5B" w14:textId="77777777" w:rsidR="00413229" w:rsidRPr="00AC1055" w:rsidRDefault="00413229" w:rsidP="00413229">
      <w:pPr>
        <w:spacing w:line="480" w:lineRule="auto"/>
        <w:rPr>
          <w:rFonts w:cs="Times New Roman"/>
          <w:u w:val="single"/>
        </w:rPr>
      </w:pPr>
      <w:r w:rsidRPr="00AC1055">
        <w:rPr>
          <w:rFonts w:cs="Times New Roman"/>
          <w:noProof/>
          <w:lang w:eastAsia="en-GB"/>
        </w:rPr>
        <w:drawing>
          <wp:inline distT="0" distB="0" distL="0" distR="0" wp14:anchorId="72B7684D" wp14:editId="012949DD">
            <wp:extent cx="5619048" cy="3390476"/>
            <wp:effectExtent l="0" t="0" r="1270" b="6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19048" cy="3390476"/>
                    </a:xfrm>
                    <a:prstGeom prst="rect">
                      <a:avLst/>
                    </a:prstGeom>
                  </pic:spPr>
                </pic:pic>
              </a:graphicData>
            </a:graphic>
          </wp:inline>
        </w:drawing>
      </w:r>
    </w:p>
    <w:p w14:paraId="71427856" w14:textId="77777777" w:rsidR="00413229" w:rsidRPr="00AC1055" w:rsidRDefault="00413229" w:rsidP="00413229">
      <w:pPr>
        <w:spacing w:line="480" w:lineRule="auto"/>
        <w:rPr>
          <w:rFonts w:cs="Times New Roman"/>
        </w:rPr>
      </w:pPr>
      <w:r w:rsidRPr="00AC1055">
        <w:rPr>
          <w:rFonts w:cs="Times New Roman"/>
        </w:rPr>
        <w:t xml:space="preserve">As has been discussed in </w:t>
      </w:r>
      <w:r>
        <w:rPr>
          <w:rFonts w:cs="Times New Roman"/>
        </w:rPr>
        <w:t xml:space="preserve">the </w:t>
      </w:r>
      <w:r w:rsidRPr="00AC1055">
        <w:rPr>
          <w:rFonts w:cs="Times New Roman"/>
        </w:rPr>
        <w:t xml:space="preserve">previous subchapter and </w:t>
      </w:r>
      <w:r>
        <w:rPr>
          <w:rFonts w:cs="Times New Roman"/>
        </w:rPr>
        <w:t xml:space="preserve">as </w:t>
      </w:r>
      <w:r w:rsidRPr="00AC1055">
        <w:rPr>
          <w:rFonts w:cs="Times New Roman"/>
        </w:rPr>
        <w:t>is apparent from the graph above</w:t>
      </w:r>
      <w:r>
        <w:rPr>
          <w:rFonts w:cs="Times New Roman"/>
        </w:rPr>
        <w:t>,</w:t>
      </w:r>
      <w:r w:rsidRPr="00AC1055">
        <w:rPr>
          <w:rFonts w:cs="Times New Roman"/>
        </w:rPr>
        <w:t xml:space="preserve"> corporate governance in Argentina developed in three distinct phases, the period of relative stability with no shift towards shareholder primacy between 1995 and 2000, followed by a period of rapid shift between 2000 and 2003, followed by a period of gradual increase in </w:t>
      </w:r>
      <w:r>
        <w:rPr>
          <w:rFonts w:cs="Times New Roman"/>
        </w:rPr>
        <w:t xml:space="preserve">the </w:t>
      </w:r>
      <w:r w:rsidRPr="00AC1055">
        <w:rPr>
          <w:rFonts w:cs="Times New Roman"/>
        </w:rPr>
        <w:t>adoption of pro</w:t>
      </w:r>
      <w:r>
        <w:rPr>
          <w:rFonts w:cs="Times New Roman"/>
        </w:rPr>
        <w:t>-</w:t>
      </w:r>
      <w:r w:rsidRPr="00AC1055">
        <w:rPr>
          <w:rFonts w:cs="Times New Roman"/>
        </w:rPr>
        <w:t>shareholder policies</w:t>
      </w:r>
      <w:r>
        <w:rPr>
          <w:rFonts w:cs="Times New Roman"/>
        </w:rPr>
        <w:t xml:space="preserve"> after that</w:t>
      </w:r>
      <w:r w:rsidRPr="00AC1055">
        <w:rPr>
          <w:rFonts w:cs="Times New Roman"/>
        </w:rPr>
        <w:t>. For most of the period studied in this research, corporate governance shifts c</w:t>
      </w:r>
      <w:r>
        <w:rPr>
          <w:rFonts w:cs="Times New Roman"/>
        </w:rPr>
        <w:t>a</w:t>
      </w:r>
      <w:r w:rsidRPr="00AC1055">
        <w:rPr>
          <w:rFonts w:cs="Times New Roman"/>
        </w:rPr>
        <w:t xml:space="preserve">me after a fall in the financial market, </w:t>
      </w:r>
      <w:r>
        <w:rPr>
          <w:rFonts w:cs="Times New Roman"/>
        </w:rPr>
        <w:t xml:space="preserve">and </w:t>
      </w:r>
      <w:r w:rsidRPr="00AC1055">
        <w:rPr>
          <w:rFonts w:cs="Times New Roman"/>
        </w:rPr>
        <w:t xml:space="preserve">to compensate for that the corporate governance </w:t>
      </w:r>
      <w:r>
        <w:rPr>
          <w:rFonts w:cs="Times New Roman"/>
        </w:rPr>
        <w:t xml:space="preserve">has been lagged </w:t>
      </w:r>
      <w:r w:rsidRPr="00AC1055">
        <w:rPr>
          <w:rFonts w:cs="Times New Roman"/>
        </w:rPr>
        <w:t xml:space="preserve">by one year. </w:t>
      </w:r>
    </w:p>
    <w:p w14:paraId="1E0F6CB0"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28034860" wp14:editId="5630E2B4">
            <wp:extent cx="5648325" cy="1689377"/>
            <wp:effectExtent l="0" t="0" r="0" b="635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51089" cy="1690204"/>
                    </a:xfrm>
                    <a:prstGeom prst="rect">
                      <a:avLst/>
                    </a:prstGeom>
                    <a:noFill/>
                    <a:ln>
                      <a:noFill/>
                    </a:ln>
                  </pic:spPr>
                </pic:pic>
              </a:graphicData>
            </a:graphic>
          </wp:inline>
        </w:drawing>
      </w:r>
    </w:p>
    <w:p w14:paraId="50C9667E" w14:textId="77777777" w:rsidR="00413229" w:rsidRPr="00AC1055" w:rsidRDefault="00413229" w:rsidP="00413229">
      <w:pPr>
        <w:spacing w:line="480" w:lineRule="auto"/>
        <w:rPr>
          <w:rFonts w:cs="Times New Roman"/>
        </w:rPr>
      </w:pPr>
      <w:r w:rsidRPr="00AC1055">
        <w:rPr>
          <w:rFonts w:cs="Times New Roman"/>
        </w:rPr>
        <w:t xml:space="preserve">But even then, as shown in </w:t>
      </w:r>
      <w:r>
        <w:rPr>
          <w:rFonts w:cs="Times New Roman"/>
        </w:rPr>
        <w:t xml:space="preserve">the </w:t>
      </w:r>
      <w:r w:rsidRPr="00AC1055">
        <w:rPr>
          <w:rFonts w:cs="Times New Roman"/>
        </w:rPr>
        <w:t xml:space="preserve">graphs above, the apparent dissociation between corporate governance growth and financial market growth, accentuated by the high correlation between financial market growth and economic growth (control 1), pushes the frequentist estimate of </w:t>
      </w:r>
      <w:r>
        <w:rPr>
          <w:rFonts w:cs="Times New Roman"/>
        </w:rPr>
        <w:t xml:space="preserve">the </w:t>
      </w:r>
      <w:r w:rsidRPr="00AC1055">
        <w:rPr>
          <w:rFonts w:cs="Times New Roman"/>
        </w:rPr>
        <w:t>corporate governance regression coefficient to negative. However the mean Bayesian estimate predicts the coefficient to be positive, it is estimated at 0.066942. The credible interval or the high density interval for the Bayesian prediction is between -0.01842 to 0.158039. The frequentist estimation falls outside this predicted Bayesian boundary.</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17D1737F" w14:textId="77777777" w:rsidTr="00413229">
        <w:tc>
          <w:tcPr>
            <w:tcW w:w="1809" w:type="dxa"/>
          </w:tcPr>
          <w:p w14:paraId="596DBF59" w14:textId="77777777" w:rsidR="00413229" w:rsidRPr="00AC1055" w:rsidRDefault="00413229" w:rsidP="00413229">
            <w:pPr>
              <w:rPr>
                <w:rFonts w:cs="Times New Roman"/>
              </w:rPr>
            </w:pPr>
          </w:p>
        </w:tc>
        <w:tc>
          <w:tcPr>
            <w:tcW w:w="1138" w:type="dxa"/>
          </w:tcPr>
          <w:p w14:paraId="62528F6C" w14:textId="77777777" w:rsidR="00413229" w:rsidRPr="00AC1055" w:rsidRDefault="00413229" w:rsidP="00413229">
            <w:pPr>
              <w:jc w:val="center"/>
              <w:rPr>
                <w:rFonts w:cs="Times New Roman"/>
              </w:rPr>
            </w:pPr>
            <w:r w:rsidRPr="00AC1055">
              <w:rPr>
                <w:rFonts w:cs="Times New Roman"/>
              </w:rPr>
              <w:t>CG</w:t>
            </w:r>
          </w:p>
        </w:tc>
        <w:tc>
          <w:tcPr>
            <w:tcW w:w="1298" w:type="dxa"/>
          </w:tcPr>
          <w:p w14:paraId="14551720"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1F64E7E4"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7D20D151"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6F0B192B"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0083D3B6" w14:textId="77777777" w:rsidTr="00413229">
        <w:tc>
          <w:tcPr>
            <w:tcW w:w="1809" w:type="dxa"/>
          </w:tcPr>
          <w:p w14:paraId="59487FC4" w14:textId="77777777" w:rsidR="00413229" w:rsidRPr="00AC1055" w:rsidRDefault="00413229" w:rsidP="00413229">
            <w:pPr>
              <w:rPr>
                <w:rFonts w:cs="Times New Roman"/>
              </w:rPr>
            </w:pPr>
            <w:r w:rsidRPr="00AC1055">
              <w:rPr>
                <w:rFonts w:cs="Times New Roman"/>
              </w:rPr>
              <w:t>Mean Bayesian</w:t>
            </w:r>
          </w:p>
        </w:tc>
        <w:tc>
          <w:tcPr>
            <w:tcW w:w="1138" w:type="dxa"/>
            <w:vAlign w:val="bottom"/>
          </w:tcPr>
          <w:p w14:paraId="4D5A579F" w14:textId="77777777" w:rsidR="00413229" w:rsidRPr="00AC1055" w:rsidRDefault="00413229" w:rsidP="00413229">
            <w:pPr>
              <w:jc w:val="center"/>
              <w:rPr>
                <w:rFonts w:cs="Times New Roman"/>
                <w:color w:val="000000"/>
                <w:szCs w:val="24"/>
              </w:rPr>
            </w:pPr>
            <w:r w:rsidRPr="00AC1055">
              <w:rPr>
                <w:rFonts w:cs="Times New Roman"/>
                <w:color w:val="000000"/>
                <w:szCs w:val="24"/>
              </w:rPr>
              <w:t>0.066942</w:t>
            </w:r>
          </w:p>
        </w:tc>
        <w:tc>
          <w:tcPr>
            <w:tcW w:w="1298" w:type="dxa"/>
            <w:vAlign w:val="bottom"/>
          </w:tcPr>
          <w:p w14:paraId="1DE04B4D" w14:textId="77777777" w:rsidR="00413229" w:rsidRPr="00AC1055" w:rsidRDefault="00413229" w:rsidP="00413229">
            <w:pPr>
              <w:jc w:val="center"/>
              <w:rPr>
                <w:rFonts w:cs="Times New Roman"/>
                <w:color w:val="000000"/>
                <w:szCs w:val="24"/>
              </w:rPr>
            </w:pPr>
            <w:r w:rsidRPr="00AC1055">
              <w:rPr>
                <w:rFonts w:cs="Times New Roman"/>
                <w:color w:val="000000"/>
                <w:szCs w:val="24"/>
              </w:rPr>
              <w:t>0.413628</w:t>
            </w:r>
          </w:p>
        </w:tc>
        <w:tc>
          <w:tcPr>
            <w:tcW w:w="1395" w:type="dxa"/>
            <w:vAlign w:val="bottom"/>
          </w:tcPr>
          <w:p w14:paraId="40B588F6" w14:textId="77777777" w:rsidR="00413229" w:rsidRPr="00AC1055" w:rsidRDefault="00413229" w:rsidP="00413229">
            <w:pPr>
              <w:jc w:val="center"/>
              <w:rPr>
                <w:rFonts w:cs="Times New Roman"/>
                <w:color w:val="000000"/>
                <w:szCs w:val="24"/>
              </w:rPr>
            </w:pPr>
            <w:r w:rsidRPr="00AC1055">
              <w:rPr>
                <w:rFonts w:cs="Times New Roman"/>
                <w:color w:val="000000"/>
                <w:szCs w:val="24"/>
              </w:rPr>
              <w:t>0.08443</w:t>
            </w:r>
          </w:p>
        </w:tc>
        <w:tc>
          <w:tcPr>
            <w:tcW w:w="1395" w:type="dxa"/>
            <w:vAlign w:val="bottom"/>
          </w:tcPr>
          <w:p w14:paraId="0F5423DB" w14:textId="77777777" w:rsidR="00413229" w:rsidRPr="00AC1055" w:rsidRDefault="00413229" w:rsidP="00413229">
            <w:pPr>
              <w:jc w:val="center"/>
              <w:rPr>
                <w:rFonts w:cs="Times New Roman"/>
                <w:color w:val="000000"/>
                <w:szCs w:val="24"/>
              </w:rPr>
            </w:pPr>
            <w:r w:rsidRPr="00AC1055">
              <w:rPr>
                <w:rFonts w:cs="Times New Roman"/>
                <w:color w:val="000000"/>
                <w:szCs w:val="24"/>
              </w:rPr>
              <w:t>0.456878</w:t>
            </w:r>
          </w:p>
        </w:tc>
        <w:tc>
          <w:tcPr>
            <w:tcW w:w="1379" w:type="dxa"/>
          </w:tcPr>
          <w:p w14:paraId="29F03DE9" w14:textId="77777777" w:rsidR="00413229" w:rsidRPr="00AC1055" w:rsidRDefault="00413229" w:rsidP="00413229">
            <w:pPr>
              <w:jc w:val="center"/>
              <w:rPr>
                <w:rFonts w:cs="Times New Roman"/>
              </w:rPr>
            </w:pPr>
            <w:r w:rsidRPr="00AC1055">
              <w:rPr>
                <w:rFonts w:cs="Times New Roman"/>
              </w:rPr>
              <w:t>-0.2454</w:t>
            </w:r>
          </w:p>
        </w:tc>
      </w:tr>
      <w:tr w:rsidR="00413229" w:rsidRPr="00AC1055" w14:paraId="4E1C467C" w14:textId="77777777" w:rsidTr="00413229">
        <w:tc>
          <w:tcPr>
            <w:tcW w:w="1809" w:type="dxa"/>
          </w:tcPr>
          <w:p w14:paraId="5C5DAC35" w14:textId="77777777" w:rsidR="00413229" w:rsidRPr="00AC1055" w:rsidRDefault="00413229" w:rsidP="00413229">
            <w:pPr>
              <w:rPr>
                <w:rFonts w:cs="Times New Roman"/>
              </w:rPr>
            </w:pPr>
            <w:r w:rsidRPr="00AC1055">
              <w:rPr>
                <w:rFonts w:cs="Times New Roman"/>
              </w:rPr>
              <w:t>Frequentist</w:t>
            </w:r>
          </w:p>
        </w:tc>
        <w:tc>
          <w:tcPr>
            <w:tcW w:w="1138" w:type="dxa"/>
          </w:tcPr>
          <w:p w14:paraId="10A444D9" w14:textId="77777777" w:rsidR="00413229" w:rsidRPr="00AC1055" w:rsidRDefault="00413229" w:rsidP="00413229">
            <w:pPr>
              <w:jc w:val="center"/>
              <w:rPr>
                <w:rFonts w:cs="Times New Roman"/>
              </w:rPr>
            </w:pPr>
            <w:r w:rsidRPr="00AC1055">
              <w:rPr>
                <w:rFonts w:cs="Times New Roman"/>
              </w:rPr>
              <w:t>-0.08268</w:t>
            </w:r>
          </w:p>
        </w:tc>
        <w:tc>
          <w:tcPr>
            <w:tcW w:w="1298" w:type="dxa"/>
          </w:tcPr>
          <w:p w14:paraId="08F204BD" w14:textId="77777777" w:rsidR="00413229" w:rsidRPr="00AC1055" w:rsidRDefault="00413229" w:rsidP="00413229">
            <w:pPr>
              <w:jc w:val="center"/>
              <w:rPr>
                <w:rFonts w:cs="Times New Roman"/>
              </w:rPr>
            </w:pPr>
            <w:r w:rsidRPr="00AC1055">
              <w:rPr>
                <w:rFonts w:cs="Times New Roman"/>
              </w:rPr>
              <w:t>0.311571</w:t>
            </w:r>
          </w:p>
        </w:tc>
        <w:tc>
          <w:tcPr>
            <w:tcW w:w="1395" w:type="dxa"/>
          </w:tcPr>
          <w:p w14:paraId="47AC7A36" w14:textId="77777777" w:rsidR="00413229" w:rsidRPr="00AC1055" w:rsidRDefault="00413229" w:rsidP="00413229">
            <w:pPr>
              <w:jc w:val="center"/>
              <w:rPr>
                <w:rFonts w:cs="Times New Roman"/>
              </w:rPr>
            </w:pPr>
            <w:r w:rsidRPr="00AC1055">
              <w:rPr>
                <w:rFonts w:cs="Times New Roman"/>
              </w:rPr>
              <w:t>0.149698</w:t>
            </w:r>
          </w:p>
        </w:tc>
        <w:tc>
          <w:tcPr>
            <w:tcW w:w="1395" w:type="dxa"/>
          </w:tcPr>
          <w:p w14:paraId="3ED94242" w14:textId="77777777" w:rsidR="00413229" w:rsidRPr="00AC1055" w:rsidRDefault="00413229" w:rsidP="00413229">
            <w:pPr>
              <w:jc w:val="center"/>
              <w:rPr>
                <w:rFonts w:cs="Times New Roman"/>
              </w:rPr>
            </w:pPr>
            <w:r w:rsidRPr="00AC1055">
              <w:rPr>
                <w:rFonts w:cs="Times New Roman"/>
              </w:rPr>
              <w:t>0.380249</w:t>
            </w:r>
          </w:p>
        </w:tc>
        <w:tc>
          <w:tcPr>
            <w:tcW w:w="1379" w:type="dxa"/>
          </w:tcPr>
          <w:p w14:paraId="2FCFB33F" w14:textId="77777777" w:rsidR="00413229" w:rsidRPr="00AC1055" w:rsidRDefault="00413229" w:rsidP="00413229">
            <w:pPr>
              <w:jc w:val="center"/>
              <w:rPr>
                <w:rFonts w:cs="Times New Roman"/>
              </w:rPr>
            </w:pPr>
            <w:r w:rsidRPr="00AC1055">
              <w:rPr>
                <w:rFonts w:cs="Times New Roman"/>
              </w:rPr>
              <w:t>-0.32011</w:t>
            </w:r>
          </w:p>
        </w:tc>
      </w:tr>
    </w:tbl>
    <w:p w14:paraId="2DC8F1A4" w14:textId="77777777" w:rsidR="00413229" w:rsidRDefault="00413229" w:rsidP="00413229">
      <w:pPr>
        <w:spacing w:line="480" w:lineRule="auto"/>
        <w:rPr>
          <w:rFonts w:cs="Times New Roman"/>
        </w:rPr>
      </w:pPr>
    </w:p>
    <w:p w14:paraId="10EAFE51" w14:textId="77777777" w:rsidR="00413229" w:rsidRPr="00AC1055" w:rsidRDefault="00413229" w:rsidP="00413229">
      <w:pPr>
        <w:spacing w:line="480" w:lineRule="auto"/>
        <w:rPr>
          <w:rFonts w:cs="Times New Roman"/>
        </w:rPr>
      </w:pPr>
      <w:r w:rsidRPr="00AC1055">
        <w:rPr>
          <w:rFonts w:cs="Times New Roman"/>
        </w:rPr>
        <w:t>The co</w:t>
      </w:r>
      <w:r>
        <w:rPr>
          <w:rFonts w:cs="Times New Roman"/>
        </w:rPr>
        <w:t>efficient for controls also varies</w:t>
      </w:r>
      <w:r w:rsidRPr="00AC1055">
        <w:rPr>
          <w:rFonts w:cs="Times New Roman"/>
        </w:rPr>
        <w:t xml:space="preserve"> between the Bayesian and frequentist estimates. If the frequentist estimate of a negative coefficient for corporate governance</w:t>
      </w:r>
      <w:r>
        <w:rPr>
          <w:rFonts w:cs="Times New Roman"/>
        </w:rPr>
        <w:t xml:space="preserve"> is not disregarded</w:t>
      </w:r>
      <w:r w:rsidRPr="00AC1055">
        <w:rPr>
          <w:rFonts w:cs="Times New Roman"/>
        </w:rPr>
        <w:t xml:space="preserve">, </w:t>
      </w:r>
      <w:r>
        <w:rPr>
          <w:rFonts w:cs="Times New Roman"/>
        </w:rPr>
        <w:t>it</w:t>
      </w:r>
      <w:r w:rsidRPr="00AC1055">
        <w:rPr>
          <w:rFonts w:cs="Times New Roman"/>
        </w:rPr>
        <w:t xml:space="preserve"> can </w:t>
      </w:r>
      <w:r>
        <w:rPr>
          <w:rFonts w:cs="Times New Roman"/>
        </w:rPr>
        <w:t xml:space="preserve">be </w:t>
      </w:r>
      <w:r w:rsidRPr="00AC1055">
        <w:rPr>
          <w:rFonts w:cs="Times New Roman"/>
        </w:rPr>
        <w:t>conclude that</w:t>
      </w:r>
      <w:r>
        <w:rPr>
          <w:rFonts w:cs="Times New Roman"/>
        </w:rPr>
        <w:t>,</w:t>
      </w:r>
      <w:r w:rsidRPr="00AC1055">
        <w:rPr>
          <w:rFonts w:cs="Times New Roman"/>
        </w:rPr>
        <w:t xml:space="preserve"> in comparison to the other controls</w:t>
      </w:r>
      <w:r>
        <w:rPr>
          <w:rFonts w:cs="Times New Roman"/>
        </w:rPr>
        <w:t>,</w:t>
      </w:r>
      <w:r w:rsidRPr="00AC1055">
        <w:rPr>
          <w:rFonts w:cs="Times New Roman"/>
        </w:rPr>
        <w:t xml:space="preserve"> </w:t>
      </w:r>
      <w:r>
        <w:rPr>
          <w:rFonts w:cs="Times New Roman"/>
        </w:rPr>
        <w:t xml:space="preserve">a </w:t>
      </w:r>
      <w:r w:rsidRPr="00AC1055">
        <w:rPr>
          <w:rFonts w:cs="Times New Roman"/>
        </w:rPr>
        <w:t xml:space="preserve">change in </w:t>
      </w:r>
      <w:r>
        <w:rPr>
          <w:rFonts w:cs="Times New Roman"/>
        </w:rPr>
        <w:t xml:space="preserve">the </w:t>
      </w:r>
      <w:r w:rsidRPr="00AC1055">
        <w:rPr>
          <w:rFonts w:cs="Times New Roman"/>
        </w:rPr>
        <w:t xml:space="preserve">corporate governance model does not have much impact on the growth of </w:t>
      </w:r>
      <w:r>
        <w:rPr>
          <w:rFonts w:cs="Times New Roman"/>
        </w:rPr>
        <w:t xml:space="preserve">the </w:t>
      </w:r>
      <w:r w:rsidRPr="00AC1055">
        <w:rPr>
          <w:rFonts w:cs="Times New Roman"/>
        </w:rPr>
        <w:t xml:space="preserve">financial market in Argentina. </w:t>
      </w:r>
    </w:p>
    <w:p w14:paraId="222B25D2" w14:textId="77777777" w:rsidR="00413229" w:rsidRDefault="00413229" w:rsidP="00413229">
      <w:pPr>
        <w:spacing w:line="480" w:lineRule="auto"/>
        <w:rPr>
          <w:rFonts w:cs="Times New Roman"/>
        </w:rPr>
      </w:pPr>
    </w:p>
    <w:p w14:paraId="6C56AC33" w14:textId="77777777" w:rsidR="00413229" w:rsidRDefault="00413229" w:rsidP="00413229">
      <w:pPr>
        <w:spacing w:line="480" w:lineRule="auto"/>
        <w:rPr>
          <w:rFonts w:cs="Times New Roman"/>
        </w:rPr>
      </w:pPr>
    </w:p>
    <w:p w14:paraId="5419023C" w14:textId="77777777" w:rsidR="00413229" w:rsidRDefault="00413229" w:rsidP="00413229">
      <w:pPr>
        <w:spacing w:line="480" w:lineRule="auto"/>
        <w:rPr>
          <w:rFonts w:cs="Times New Roman"/>
        </w:rPr>
      </w:pPr>
    </w:p>
    <w:p w14:paraId="5E778C3D" w14:textId="77777777" w:rsidR="00413229" w:rsidRDefault="00413229" w:rsidP="00413229">
      <w:pPr>
        <w:spacing w:line="480" w:lineRule="auto"/>
        <w:rPr>
          <w:rFonts w:cs="Times New Roman"/>
        </w:rPr>
      </w:pPr>
    </w:p>
    <w:p w14:paraId="2B4BF533" w14:textId="77777777" w:rsidR="00413229" w:rsidRPr="00AC1055" w:rsidRDefault="00413229" w:rsidP="00413229">
      <w:pPr>
        <w:spacing w:line="480" w:lineRule="auto"/>
        <w:rPr>
          <w:rFonts w:cs="Times New Roman"/>
        </w:rPr>
      </w:pPr>
    </w:p>
    <w:p w14:paraId="1C0A74BB" w14:textId="77777777" w:rsidR="00413229" w:rsidRPr="00AC1055" w:rsidRDefault="00413229" w:rsidP="00413229">
      <w:pPr>
        <w:spacing w:line="480" w:lineRule="auto"/>
        <w:rPr>
          <w:rFonts w:cs="Times New Roman"/>
          <w:u w:val="single"/>
        </w:rPr>
      </w:pPr>
      <w:r>
        <w:rPr>
          <w:rFonts w:cs="Times New Roman"/>
          <w:u w:val="single"/>
        </w:rPr>
        <w:t xml:space="preserve">4.4.12 </w:t>
      </w:r>
      <w:r w:rsidRPr="00AC1055">
        <w:rPr>
          <w:rFonts w:cs="Times New Roman"/>
          <w:u w:val="single"/>
        </w:rPr>
        <w:t>South Africa</w:t>
      </w:r>
    </w:p>
    <w:p w14:paraId="582CDD2F"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0D2F437A" wp14:editId="693C5AA0">
            <wp:extent cx="5600700" cy="320992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00700" cy="3209925"/>
                    </a:xfrm>
                    <a:prstGeom prst="rect">
                      <a:avLst/>
                    </a:prstGeom>
                    <a:noFill/>
                    <a:ln>
                      <a:noFill/>
                    </a:ln>
                  </pic:spPr>
                </pic:pic>
              </a:graphicData>
            </a:graphic>
          </wp:inline>
        </w:drawing>
      </w:r>
    </w:p>
    <w:p w14:paraId="4C2E3734" w14:textId="77777777" w:rsidR="00413229" w:rsidRPr="00AC1055" w:rsidRDefault="00413229" w:rsidP="00413229">
      <w:pPr>
        <w:spacing w:line="480" w:lineRule="auto"/>
        <w:rPr>
          <w:rFonts w:cs="Times New Roman"/>
        </w:rPr>
      </w:pPr>
      <w:r w:rsidRPr="00AC1055">
        <w:rPr>
          <w:rFonts w:cs="Times New Roman"/>
        </w:rPr>
        <w:t xml:space="preserve">Like most other top performing developing countries, </w:t>
      </w:r>
      <w:r>
        <w:rPr>
          <w:rFonts w:cs="Times New Roman"/>
        </w:rPr>
        <w:t>in economic terms</w:t>
      </w:r>
      <w:r w:rsidRPr="00AC1055">
        <w:rPr>
          <w:rFonts w:cs="Times New Roman"/>
        </w:rPr>
        <w:t>, South Africa developed its corporate gove</w:t>
      </w:r>
      <w:r>
        <w:rPr>
          <w:rFonts w:cs="Times New Roman"/>
        </w:rPr>
        <w:t>rnance in three distinct phases.</w:t>
      </w:r>
      <w:r w:rsidRPr="00AC1055">
        <w:rPr>
          <w:rFonts w:cs="Times New Roman"/>
        </w:rPr>
        <w:t xml:space="preserve"> </w:t>
      </w:r>
      <w:r>
        <w:rPr>
          <w:rFonts w:cs="Times New Roman"/>
        </w:rPr>
        <w:t>H</w:t>
      </w:r>
      <w:r w:rsidRPr="00AC1055">
        <w:rPr>
          <w:rFonts w:cs="Times New Roman"/>
        </w:rPr>
        <w:t>owever</w:t>
      </w:r>
      <w:r>
        <w:rPr>
          <w:rFonts w:cs="Times New Roman"/>
        </w:rPr>
        <w:t>,</w:t>
      </w:r>
      <w:r w:rsidRPr="00AC1055">
        <w:rPr>
          <w:rFonts w:cs="Times New Roman"/>
        </w:rPr>
        <w:t xml:space="preserve"> unlike other countries</w:t>
      </w:r>
      <w:r>
        <w:rPr>
          <w:rFonts w:cs="Times New Roman"/>
        </w:rPr>
        <w:t>,</w:t>
      </w:r>
      <w:r w:rsidRPr="00AC1055">
        <w:rPr>
          <w:rFonts w:cs="Times New Roman"/>
        </w:rPr>
        <w:t xml:space="preserve"> South Africa had a head start with some early developments in</w:t>
      </w:r>
      <w:r>
        <w:rPr>
          <w:rFonts w:cs="Times New Roman"/>
        </w:rPr>
        <w:t xml:space="preserve"> the</w:t>
      </w:r>
      <w:r w:rsidRPr="00AC1055">
        <w:rPr>
          <w:rFonts w:cs="Times New Roman"/>
        </w:rPr>
        <w:t xml:space="preserve"> early to mid</w:t>
      </w:r>
      <w:r>
        <w:rPr>
          <w:rFonts w:cs="Times New Roman"/>
        </w:rPr>
        <w:t>-</w:t>
      </w:r>
      <w:r w:rsidRPr="00AC1055">
        <w:rPr>
          <w:rFonts w:cs="Times New Roman"/>
        </w:rPr>
        <w:t>1990s. Shift</w:t>
      </w:r>
      <w:r>
        <w:rPr>
          <w:rFonts w:cs="Times New Roman"/>
        </w:rPr>
        <w:t>s</w:t>
      </w:r>
      <w:r w:rsidRPr="00AC1055">
        <w:rPr>
          <w:rFonts w:cs="Times New Roman"/>
        </w:rPr>
        <w:t xml:space="preserve"> in corporate governance more or less follow</w:t>
      </w:r>
      <w:r>
        <w:rPr>
          <w:rFonts w:cs="Times New Roman"/>
        </w:rPr>
        <w:t>ed</w:t>
      </w:r>
      <w:r w:rsidRPr="00AC1055">
        <w:rPr>
          <w:rFonts w:cs="Times New Roman"/>
        </w:rPr>
        <w:t xml:space="preserve"> the movement of </w:t>
      </w:r>
      <w:r>
        <w:rPr>
          <w:rFonts w:cs="Times New Roman"/>
        </w:rPr>
        <w:t xml:space="preserve">the </w:t>
      </w:r>
      <w:r w:rsidRPr="00AC1055">
        <w:rPr>
          <w:rFonts w:cs="Times New Roman"/>
        </w:rPr>
        <w:t>financial market. In 2000</w:t>
      </w:r>
      <w:r>
        <w:rPr>
          <w:rFonts w:cs="Times New Roman"/>
        </w:rPr>
        <w:t>,</w:t>
      </w:r>
      <w:r w:rsidRPr="00AC1055">
        <w:rPr>
          <w:rFonts w:cs="Times New Roman"/>
        </w:rPr>
        <w:t xml:space="preserve"> the market contracted, the government responded by increasing shareholder primacy corporate governance, between 2001 </w:t>
      </w:r>
      <w:r>
        <w:rPr>
          <w:rFonts w:cs="Times New Roman"/>
        </w:rPr>
        <w:t>and</w:t>
      </w:r>
      <w:r w:rsidRPr="00AC1055">
        <w:rPr>
          <w:rFonts w:cs="Times New Roman"/>
        </w:rPr>
        <w:t xml:space="preserve"> 2008 when </w:t>
      </w:r>
      <w:r>
        <w:rPr>
          <w:rFonts w:cs="Times New Roman"/>
        </w:rPr>
        <w:t xml:space="preserve">the </w:t>
      </w:r>
      <w:r w:rsidRPr="00AC1055">
        <w:rPr>
          <w:rFonts w:cs="Times New Roman"/>
        </w:rPr>
        <w:t xml:space="preserve">market grew </w:t>
      </w:r>
      <w:r>
        <w:rPr>
          <w:rFonts w:cs="Times New Roman"/>
        </w:rPr>
        <w:t xml:space="preserve">and </w:t>
      </w:r>
      <w:r w:rsidRPr="00AC1055">
        <w:rPr>
          <w:rFonts w:cs="Times New Roman"/>
        </w:rPr>
        <w:t>corporate governance remained unchanged. Post</w:t>
      </w:r>
      <w:r>
        <w:rPr>
          <w:rFonts w:cs="Times New Roman"/>
        </w:rPr>
        <w:t>-</w:t>
      </w:r>
      <w:r w:rsidRPr="00AC1055">
        <w:rPr>
          <w:rFonts w:cs="Times New Roman"/>
        </w:rPr>
        <w:t xml:space="preserve">global financial crisis, there is a huge </w:t>
      </w:r>
      <w:r>
        <w:rPr>
          <w:rFonts w:cs="Times New Roman"/>
        </w:rPr>
        <w:t>shift</w:t>
      </w:r>
      <w:r w:rsidRPr="00AC1055">
        <w:rPr>
          <w:rFonts w:cs="Times New Roman"/>
        </w:rPr>
        <w:t xml:space="preserve"> in corporate governance to shareholder primacy and attendant OECD regulation. Once the market stabilised</w:t>
      </w:r>
      <w:r>
        <w:rPr>
          <w:rFonts w:cs="Times New Roman"/>
        </w:rPr>
        <w:t>,</w:t>
      </w:r>
      <w:r w:rsidRPr="00AC1055">
        <w:rPr>
          <w:rFonts w:cs="Times New Roman"/>
        </w:rPr>
        <w:t xml:space="preserve"> the pace of reform in corporate governance also slackened. On an individual country basis South Africa is one of the best examples to prove the hypothesis that corporate governance reform generally follows an economic or financial upheaval.</w:t>
      </w:r>
    </w:p>
    <w:p w14:paraId="2408ABA5" w14:textId="77777777" w:rsidR="00413229" w:rsidRPr="00AC1055" w:rsidRDefault="00413229" w:rsidP="00413229">
      <w:pPr>
        <w:spacing w:line="480" w:lineRule="auto"/>
        <w:rPr>
          <w:rFonts w:cs="Times New Roman"/>
        </w:rPr>
      </w:pPr>
      <w:r w:rsidRPr="00AC1055">
        <w:rPr>
          <w:rFonts w:cs="Times New Roman"/>
        </w:rPr>
        <w:lastRenderedPageBreak/>
        <w:t>The control variables, especially</w:t>
      </w:r>
      <w:r>
        <w:rPr>
          <w:rFonts w:cs="Times New Roman"/>
        </w:rPr>
        <w:t xml:space="preserve"> </w:t>
      </w:r>
      <w:r w:rsidRPr="00AC1055">
        <w:rPr>
          <w:rFonts w:cs="Times New Roman"/>
        </w:rPr>
        <w:t>economic growth (control 1) and technological improvement (control 3)  follow the financial mark</w:t>
      </w:r>
      <w:r>
        <w:rPr>
          <w:rFonts w:cs="Times New Roman"/>
        </w:rPr>
        <w:t>et development very closely, whilst</w:t>
      </w:r>
      <w:r w:rsidRPr="00AC1055">
        <w:rPr>
          <w:rFonts w:cs="Times New Roman"/>
        </w:rPr>
        <w:t xml:space="preserve"> financial inclusion (control 2) follows the trend of financial market development but is less closely correlated than other controls. </w:t>
      </w:r>
    </w:p>
    <w:p w14:paraId="7BADA60A"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4B6D9044" wp14:editId="4343004C">
            <wp:extent cx="5572125" cy="1944352"/>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576489" cy="1945875"/>
                    </a:xfrm>
                    <a:prstGeom prst="rect">
                      <a:avLst/>
                    </a:prstGeom>
                    <a:noFill/>
                    <a:ln>
                      <a:noFill/>
                    </a:ln>
                  </pic:spPr>
                </pic:pic>
              </a:graphicData>
            </a:graphic>
          </wp:inline>
        </w:drawing>
      </w:r>
    </w:p>
    <w:p w14:paraId="4FC7CA50" w14:textId="77777777" w:rsidR="00413229" w:rsidRPr="00AC1055" w:rsidRDefault="00413229" w:rsidP="00413229">
      <w:pPr>
        <w:spacing w:line="480" w:lineRule="auto"/>
        <w:rPr>
          <w:rFonts w:cs="Times New Roman"/>
        </w:rPr>
      </w:pPr>
      <w:r w:rsidRPr="00AC1055">
        <w:rPr>
          <w:rFonts w:cs="Times New Roman"/>
        </w:rPr>
        <w:t>The regression analysis confirms the conclusion rea</w:t>
      </w:r>
      <w:r>
        <w:rPr>
          <w:rFonts w:cs="Times New Roman"/>
        </w:rPr>
        <w:t xml:space="preserve">ched in the previous paragraph: the </w:t>
      </w:r>
      <w:r w:rsidRPr="00AC1055">
        <w:rPr>
          <w:rFonts w:cs="Times New Roman"/>
        </w:rPr>
        <w:t>coefficient for corporate governance impact is low compared to financial and technological controls. The mean Bayesian estimate and the frequentist estimate are close to each other. The frequentist estimate of 0.051184 falls just outside the credible interval of the Bayesian estimate ranging from 0.053535 to 0.07527.</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7A44AAC6" w14:textId="77777777" w:rsidTr="00413229">
        <w:tc>
          <w:tcPr>
            <w:tcW w:w="1809" w:type="dxa"/>
          </w:tcPr>
          <w:p w14:paraId="3EA9427E" w14:textId="77777777" w:rsidR="00413229" w:rsidRPr="00AC1055" w:rsidRDefault="00413229" w:rsidP="00413229">
            <w:pPr>
              <w:rPr>
                <w:rFonts w:cs="Times New Roman"/>
              </w:rPr>
            </w:pPr>
          </w:p>
        </w:tc>
        <w:tc>
          <w:tcPr>
            <w:tcW w:w="1138" w:type="dxa"/>
          </w:tcPr>
          <w:p w14:paraId="7E68B708" w14:textId="77777777" w:rsidR="00413229" w:rsidRPr="00AC1055" w:rsidRDefault="00413229" w:rsidP="00413229">
            <w:pPr>
              <w:jc w:val="center"/>
              <w:rPr>
                <w:rFonts w:cs="Times New Roman"/>
              </w:rPr>
            </w:pPr>
            <w:r w:rsidRPr="00AC1055">
              <w:rPr>
                <w:rFonts w:cs="Times New Roman"/>
              </w:rPr>
              <w:t>CG</w:t>
            </w:r>
          </w:p>
        </w:tc>
        <w:tc>
          <w:tcPr>
            <w:tcW w:w="1298" w:type="dxa"/>
          </w:tcPr>
          <w:p w14:paraId="1242B741"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247CEA25"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672F4363"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1B3924C7"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53D12E04" w14:textId="77777777" w:rsidTr="00413229">
        <w:tc>
          <w:tcPr>
            <w:tcW w:w="1809" w:type="dxa"/>
          </w:tcPr>
          <w:p w14:paraId="37586EE2" w14:textId="77777777" w:rsidR="00413229" w:rsidRPr="00AC1055" w:rsidRDefault="00413229" w:rsidP="00413229">
            <w:pPr>
              <w:rPr>
                <w:rFonts w:cs="Times New Roman"/>
              </w:rPr>
            </w:pPr>
            <w:r w:rsidRPr="00AC1055">
              <w:rPr>
                <w:rFonts w:cs="Times New Roman"/>
              </w:rPr>
              <w:t>Mean Bayesian</w:t>
            </w:r>
          </w:p>
        </w:tc>
        <w:tc>
          <w:tcPr>
            <w:tcW w:w="1138" w:type="dxa"/>
          </w:tcPr>
          <w:p w14:paraId="56A29ECE" w14:textId="77777777" w:rsidR="00413229" w:rsidRPr="00AC1055" w:rsidRDefault="00413229" w:rsidP="00413229">
            <w:pPr>
              <w:jc w:val="center"/>
              <w:rPr>
                <w:rFonts w:cs="Times New Roman"/>
              </w:rPr>
            </w:pPr>
            <w:r w:rsidRPr="00AC1055">
              <w:rPr>
                <w:rFonts w:cs="Times New Roman"/>
              </w:rPr>
              <w:t>0.064471</w:t>
            </w:r>
          </w:p>
        </w:tc>
        <w:tc>
          <w:tcPr>
            <w:tcW w:w="1298" w:type="dxa"/>
            <w:vAlign w:val="bottom"/>
          </w:tcPr>
          <w:p w14:paraId="37B32259" w14:textId="77777777" w:rsidR="00413229" w:rsidRPr="00AC1055" w:rsidRDefault="00413229" w:rsidP="00413229">
            <w:pPr>
              <w:jc w:val="center"/>
              <w:rPr>
                <w:rFonts w:cs="Times New Roman"/>
                <w:color w:val="000000"/>
                <w:szCs w:val="24"/>
              </w:rPr>
            </w:pPr>
            <w:r w:rsidRPr="00AC1055">
              <w:rPr>
                <w:rFonts w:cs="Times New Roman"/>
                <w:color w:val="000000"/>
                <w:szCs w:val="24"/>
              </w:rPr>
              <w:t>0.417834</w:t>
            </w:r>
          </w:p>
        </w:tc>
        <w:tc>
          <w:tcPr>
            <w:tcW w:w="1395" w:type="dxa"/>
            <w:vAlign w:val="bottom"/>
          </w:tcPr>
          <w:p w14:paraId="6E397E2E" w14:textId="77777777" w:rsidR="00413229" w:rsidRPr="00AC1055" w:rsidRDefault="00413229" w:rsidP="00413229">
            <w:pPr>
              <w:jc w:val="center"/>
              <w:rPr>
                <w:rFonts w:cs="Times New Roman"/>
                <w:color w:val="000000"/>
                <w:szCs w:val="24"/>
              </w:rPr>
            </w:pPr>
            <w:r w:rsidRPr="00AC1055">
              <w:rPr>
                <w:rFonts w:cs="Times New Roman"/>
                <w:color w:val="000000"/>
                <w:szCs w:val="24"/>
              </w:rPr>
              <w:t>0.087343</w:t>
            </w:r>
          </w:p>
        </w:tc>
        <w:tc>
          <w:tcPr>
            <w:tcW w:w="1395" w:type="dxa"/>
            <w:vAlign w:val="bottom"/>
          </w:tcPr>
          <w:p w14:paraId="2EAAA05A" w14:textId="77777777" w:rsidR="00413229" w:rsidRPr="00AC1055" w:rsidRDefault="00413229" w:rsidP="00413229">
            <w:pPr>
              <w:jc w:val="center"/>
              <w:rPr>
                <w:rFonts w:cs="Times New Roman"/>
                <w:color w:val="000000"/>
                <w:szCs w:val="24"/>
              </w:rPr>
            </w:pPr>
            <w:r w:rsidRPr="00AC1055">
              <w:rPr>
                <w:rFonts w:cs="Times New Roman"/>
                <w:color w:val="000000"/>
                <w:szCs w:val="24"/>
              </w:rPr>
              <w:t>0.435347</w:t>
            </w:r>
          </w:p>
        </w:tc>
        <w:tc>
          <w:tcPr>
            <w:tcW w:w="1379" w:type="dxa"/>
          </w:tcPr>
          <w:p w14:paraId="62D656EA" w14:textId="77777777" w:rsidR="00413229" w:rsidRPr="00AC1055" w:rsidRDefault="00413229" w:rsidP="00413229">
            <w:pPr>
              <w:jc w:val="center"/>
              <w:rPr>
                <w:rFonts w:cs="Times New Roman"/>
              </w:rPr>
            </w:pPr>
            <w:r w:rsidRPr="00AC1055">
              <w:rPr>
                <w:rFonts w:cs="Times New Roman"/>
              </w:rPr>
              <w:t>-0.11819</w:t>
            </w:r>
          </w:p>
        </w:tc>
      </w:tr>
      <w:tr w:rsidR="00413229" w:rsidRPr="00AC1055" w14:paraId="147C6201" w14:textId="77777777" w:rsidTr="00413229">
        <w:tc>
          <w:tcPr>
            <w:tcW w:w="1809" w:type="dxa"/>
          </w:tcPr>
          <w:p w14:paraId="1ADF3595" w14:textId="77777777" w:rsidR="00413229" w:rsidRPr="00AC1055" w:rsidRDefault="00413229" w:rsidP="00413229">
            <w:pPr>
              <w:rPr>
                <w:rFonts w:cs="Times New Roman"/>
              </w:rPr>
            </w:pPr>
            <w:r w:rsidRPr="00AC1055">
              <w:rPr>
                <w:rFonts w:cs="Times New Roman"/>
              </w:rPr>
              <w:t>Frequentist</w:t>
            </w:r>
          </w:p>
        </w:tc>
        <w:tc>
          <w:tcPr>
            <w:tcW w:w="1138" w:type="dxa"/>
          </w:tcPr>
          <w:p w14:paraId="00175EB6" w14:textId="77777777" w:rsidR="00413229" w:rsidRPr="00AC1055" w:rsidRDefault="00413229" w:rsidP="00413229">
            <w:pPr>
              <w:jc w:val="center"/>
              <w:rPr>
                <w:rFonts w:cs="Times New Roman"/>
              </w:rPr>
            </w:pPr>
            <w:r w:rsidRPr="00AC1055">
              <w:rPr>
                <w:rFonts w:cs="Times New Roman"/>
              </w:rPr>
              <w:t>0.051184</w:t>
            </w:r>
          </w:p>
        </w:tc>
        <w:tc>
          <w:tcPr>
            <w:tcW w:w="1298" w:type="dxa"/>
          </w:tcPr>
          <w:p w14:paraId="1B992DD5" w14:textId="77777777" w:rsidR="00413229" w:rsidRPr="00AC1055" w:rsidRDefault="00413229" w:rsidP="00413229">
            <w:pPr>
              <w:jc w:val="center"/>
              <w:rPr>
                <w:rFonts w:cs="Times New Roman"/>
              </w:rPr>
            </w:pPr>
            <w:r w:rsidRPr="00AC1055">
              <w:rPr>
                <w:rFonts w:cs="Times New Roman"/>
              </w:rPr>
              <w:t>0.460795</w:t>
            </w:r>
          </w:p>
        </w:tc>
        <w:tc>
          <w:tcPr>
            <w:tcW w:w="1395" w:type="dxa"/>
          </w:tcPr>
          <w:p w14:paraId="5E800352" w14:textId="77777777" w:rsidR="00413229" w:rsidRPr="00AC1055" w:rsidRDefault="00413229" w:rsidP="00413229">
            <w:pPr>
              <w:jc w:val="center"/>
              <w:rPr>
                <w:rFonts w:cs="Times New Roman"/>
              </w:rPr>
            </w:pPr>
            <w:r w:rsidRPr="00AC1055">
              <w:rPr>
                <w:rFonts w:cs="Times New Roman"/>
              </w:rPr>
              <w:t>0.184856</w:t>
            </w:r>
          </w:p>
        </w:tc>
        <w:tc>
          <w:tcPr>
            <w:tcW w:w="1395" w:type="dxa"/>
          </w:tcPr>
          <w:p w14:paraId="700C3814" w14:textId="77777777" w:rsidR="00413229" w:rsidRPr="00AC1055" w:rsidRDefault="00413229" w:rsidP="00413229">
            <w:pPr>
              <w:jc w:val="center"/>
              <w:rPr>
                <w:rFonts w:cs="Times New Roman"/>
              </w:rPr>
            </w:pPr>
            <w:r w:rsidRPr="00AC1055">
              <w:rPr>
                <w:rFonts w:cs="Times New Roman"/>
              </w:rPr>
              <w:t>0.299026</w:t>
            </w:r>
          </w:p>
        </w:tc>
        <w:tc>
          <w:tcPr>
            <w:tcW w:w="1379" w:type="dxa"/>
          </w:tcPr>
          <w:p w14:paraId="1FD0488F" w14:textId="77777777" w:rsidR="00413229" w:rsidRPr="00AC1055" w:rsidRDefault="00413229" w:rsidP="00413229">
            <w:pPr>
              <w:jc w:val="center"/>
              <w:rPr>
                <w:rFonts w:cs="Times New Roman"/>
              </w:rPr>
            </w:pPr>
            <w:r w:rsidRPr="00AC1055">
              <w:rPr>
                <w:rFonts w:cs="Times New Roman"/>
              </w:rPr>
              <w:t>-0.21902</w:t>
            </w:r>
          </w:p>
        </w:tc>
      </w:tr>
    </w:tbl>
    <w:p w14:paraId="02C881DB" w14:textId="77777777" w:rsidR="00413229" w:rsidRDefault="00413229" w:rsidP="00413229">
      <w:pPr>
        <w:spacing w:line="480" w:lineRule="auto"/>
        <w:rPr>
          <w:rFonts w:cs="Times New Roman"/>
        </w:rPr>
      </w:pPr>
    </w:p>
    <w:p w14:paraId="612A5897" w14:textId="77777777" w:rsidR="00413229" w:rsidRPr="00AC1055" w:rsidRDefault="00413229" w:rsidP="00413229">
      <w:pPr>
        <w:spacing w:line="480" w:lineRule="auto"/>
        <w:rPr>
          <w:rFonts w:cs="Times New Roman"/>
        </w:rPr>
      </w:pPr>
      <w:r>
        <w:rPr>
          <w:rFonts w:cs="Times New Roman"/>
        </w:rPr>
        <w:t>It</w:t>
      </w:r>
      <w:r w:rsidRPr="00AC1055">
        <w:rPr>
          <w:rFonts w:cs="Times New Roman"/>
        </w:rPr>
        <w:t xml:space="preserve"> can </w:t>
      </w:r>
      <w:r>
        <w:rPr>
          <w:rFonts w:cs="Times New Roman"/>
        </w:rPr>
        <w:t xml:space="preserve">be </w:t>
      </w:r>
      <w:r w:rsidRPr="00AC1055">
        <w:rPr>
          <w:rFonts w:cs="Times New Roman"/>
        </w:rPr>
        <w:t>conclude</w:t>
      </w:r>
      <w:r>
        <w:rPr>
          <w:rFonts w:cs="Times New Roman"/>
        </w:rPr>
        <w:t>d</w:t>
      </w:r>
      <w:r w:rsidRPr="00AC1055">
        <w:rPr>
          <w:rFonts w:cs="Times New Roman"/>
        </w:rPr>
        <w:t xml:space="preserve"> that corporate governance developm</w:t>
      </w:r>
      <w:r>
        <w:rPr>
          <w:rFonts w:cs="Times New Roman"/>
        </w:rPr>
        <w:t xml:space="preserve">ent in South Africa follows the </w:t>
      </w:r>
      <w:r w:rsidRPr="00AC1055">
        <w:rPr>
          <w:rFonts w:cs="Times New Roman"/>
        </w:rPr>
        <w:t>change</w:t>
      </w:r>
      <w:r>
        <w:rPr>
          <w:rFonts w:cs="Times New Roman"/>
        </w:rPr>
        <w:t>s</w:t>
      </w:r>
      <w:r w:rsidRPr="00AC1055">
        <w:rPr>
          <w:rFonts w:cs="Times New Roman"/>
        </w:rPr>
        <w:t xml:space="preserve"> in financial market development. Even </w:t>
      </w:r>
      <w:r>
        <w:rPr>
          <w:rFonts w:cs="Times New Roman"/>
        </w:rPr>
        <w:t>when a lag is created</w:t>
      </w:r>
      <w:r w:rsidRPr="00AC1055">
        <w:rPr>
          <w:rFonts w:cs="Times New Roman"/>
        </w:rPr>
        <w:t xml:space="preserve"> for the corporate governance shift we find comparatively little impact of change in corporate governance policy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 xml:space="preserve">financial market, especially in relation to the control variables. </w:t>
      </w:r>
    </w:p>
    <w:p w14:paraId="3095953D" w14:textId="77777777" w:rsidR="00413229" w:rsidRDefault="00413229" w:rsidP="00413229">
      <w:pPr>
        <w:spacing w:line="480" w:lineRule="auto"/>
        <w:rPr>
          <w:rFonts w:cs="Times New Roman"/>
        </w:rPr>
      </w:pPr>
    </w:p>
    <w:p w14:paraId="758B23B7" w14:textId="77777777" w:rsidR="00413229" w:rsidRDefault="00413229" w:rsidP="00413229">
      <w:pPr>
        <w:spacing w:line="480" w:lineRule="auto"/>
        <w:rPr>
          <w:rFonts w:cs="Times New Roman"/>
        </w:rPr>
      </w:pPr>
    </w:p>
    <w:p w14:paraId="003FE7B6" w14:textId="77777777" w:rsidR="00413229" w:rsidRPr="00AC1055" w:rsidRDefault="00413229" w:rsidP="00413229">
      <w:pPr>
        <w:spacing w:line="480" w:lineRule="auto"/>
        <w:rPr>
          <w:rFonts w:cs="Times New Roman"/>
          <w:u w:val="single"/>
        </w:rPr>
      </w:pPr>
      <w:r>
        <w:rPr>
          <w:rFonts w:cs="Times New Roman"/>
          <w:u w:val="single"/>
        </w:rPr>
        <w:lastRenderedPageBreak/>
        <w:t xml:space="preserve">4.4.13 </w:t>
      </w:r>
      <w:r w:rsidRPr="00AC1055">
        <w:rPr>
          <w:rFonts w:cs="Times New Roman"/>
          <w:u w:val="single"/>
        </w:rPr>
        <w:t>Iran</w:t>
      </w:r>
    </w:p>
    <w:p w14:paraId="2EA8D935"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6BD666B5" wp14:editId="1B2F1A41">
            <wp:extent cx="5619048" cy="3390476"/>
            <wp:effectExtent l="0" t="0" r="1270" b="6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619048" cy="3390476"/>
                    </a:xfrm>
                    <a:prstGeom prst="rect">
                      <a:avLst/>
                    </a:prstGeom>
                  </pic:spPr>
                </pic:pic>
              </a:graphicData>
            </a:graphic>
          </wp:inline>
        </w:drawing>
      </w:r>
    </w:p>
    <w:p w14:paraId="1EA1808D" w14:textId="77777777" w:rsidR="00413229" w:rsidRPr="00AC1055" w:rsidRDefault="00413229" w:rsidP="00413229">
      <w:pPr>
        <w:spacing w:line="480" w:lineRule="auto"/>
        <w:rPr>
          <w:rFonts w:cs="Times New Roman"/>
        </w:rPr>
      </w:pPr>
      <w:r w:rsidRPr="00AC1055">
        <w:rPr>
          <w:rFonts w:cs="Times New Roman"/>
        </w:rPr>
        <w:t>Iranian corporate governance development</w:t>
      </w:r>
      <w:r>
        <w:rPr>
          <w:rFonts w:cs="Times New Roman"/>
        </w:rPr>
        <w:t xml:space="preserve"> in a shareholder value direction</w:t>
      </w:r>
      <w:r w:rsidRPr="00AC1055">
        <w:rPr>
          <w:rFonts w:cs="Times New Roman"/>
        </w:rPr>
        <w:t xml:space="preserve"> has been slow and until 2005 </w:t>
      </w:r>
      <w:r>
        <w:rPr>
          <w:rFonts w:cs="Times New Roman"/>
        </w:rPr>
        <w:t>was</w:t>
      </w:r>
      <w:r w:rsidRPr="00AC1055">
        <w:rPr>
          <w:rFonts w:cs="Times New Roman"/>
        </w:rPr>
        <w:t xml:space="preserve"> almost imperceptible. </w:t>
      </w:r>
      <w:r>
        <w:rPr>
          <w:rFonts w:cs="Times New Roman"/>
        </w:rPr>
        <w:t>Since</w:t>
      </w:r>
      <w:r w:rsidRPr="00AC1055">
        <w:rPr>
          <w:rFonts w:cs="Times New Roman"/>
        </w:rPr>
        <w:t xml:space="preserve"> 2005 there has been an upswing</w:t>
      </w:r>
      <w:r>
        <w:rPr>
          <w:rFonts w:cs="Times New Roman"/>
        </w:rPr>
        <w:t>,</w:t>
      </w:r>
      <w:r w:rsidRPr="00AC1055">
        <w:rPr>
          <w:rFonts w:cs="Times New Roman"/>
        </w:rPr>
        <w:t xml:space="preserve"> with the Tehran Stock Exchange taking a leading role in bringing </w:t>
      </w:r>
      <w:r>
        <w:rPr>
          <w:rFonts w:cs="Times New Roman"/>
        </w:rPr>
        <w:t xml:space="preserve">the </w:t>
      </w:r>
      <w:r w:rsidRPr="00AC1055">
        <w:rPr>
          <w:rFonts w:cs="Times New Roman"/>
        </w:rPr>
        <w:t xml:space="preserve">Iranian corporate governance regime to the shareholder </w:t>
      </w:r>
      <w:r>
        <w:rPr>
          <w:rFonts w:cs="Times New Roman"/>
        </w:rPr>
        <w:t xml:space="preserve">value </w:t>
      </w:r>
      <w:r w:rsidRPr="00AC1055">
        <w:rPr>
          <w:rFonts w:cs="Times New Roman"/>
        </w:rPr>
        <w:t xml:space="preserve">fold. The slow shift in corporate governance mirrors the gentle growth in </w:t>
      </w:r>
      <w:r>
        <w:rPr>
          <w:rFonts w:cs="Times New Roman"/>
        </w:rPr>
        <w:t xml:space="preserve">the </w:t>
      </w:r>
      <w:r w:rsidRPr="00AC1055">
        <w:rPr>
          <w:rFonts w:cs="Times New Roman"/>
        </w:rPr>
        <w:t>financial market in Iran, which has been stifled by a multitude of financial sanction</w:t>
      </w:r>
      <w:r>
        <w:rPr>
          <w:rFonts w:cs="Times New Roman"/>
        </w:rPr>
        <w:t>s</w:t>
      </w:r>
      <w:r w:rsidRPr="00AC1055">
        <w:rPr>
          <w:rFonts w:cs="Times New Roman"/>
        </w:rPr>
        <w:t xml:space="preserve">. This relative isolation from </w:t>
      </w:r>
      <w:r>
        <w:rPr>
          <w:rFonts w:cs="Times New Roman"/>
        </w:rPr>
        <w:t xml:space="preserve">the </w:t>
      </w:r>
      <w:r w:rsidRPr="00AC1055">
        <w:rPr>
          <w:rFonts w:cs="Times New Roman"/>
        </w:rPr>
        <w:t xml:space="preserve">external world provides an opportunity to isolate the impact of change in corporate governance on </w:t>
      </w:r>
      <w:r>
        <w:rPr>
          <w:rFonts w:cs="Times New Roman"/>
        </w:rPr>
        <w:t xml:space="preserve">the </w:t>
      </w:r>
      <w:r w:rsidRPr="00AC1055">
        <w:rPr>
          <w:rFonts w:cs="Times New Roman"/>
        </w:rPr>
        <w:t xml:space="preserve">financial market in </w:t>
      </w:r>
      <w:r>
        <w:rPr>
          <w:rFonts w:cs="Times New Roman"/>
        </w:rPr>
        <w:t xml:space="preserve">the </w:t>
      </w:r>
      <w:r w:rsidRPr="00AC1055">
        <w:rPr>
          <w:rFonts w:cs="Times New Roman"/>
        </w:rPr>
        <w:t xml:space="preserve">absence of external factors.  </w:t>
      </w:r>
    </w:p>
    <w:p w14:paraId="34CD6F39"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790EE3AF" wp14:editId="08B98009">
            <wp:extent cx="5695950" cy="1788062"/>
            <wp:effectExtent l="0" t="0" r="0" b="317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693947" cy="1787433"/>
                    </a:xfrm>
                    <a:prstGeom prst="rect">
                      <a:avLst/>
                    </a:prstGeom>
                    <a:noFill/>
                    <a:ln>
                      <a:noFill/>
                    </a:ln>
                  </pic:spPr>
                </pic:pic>
              </a:graphicData>
            </a:graphic>
          </wp:inline>
        </w:drawing>
      </w:r>
    </w:p>
    <w:p w14:paraId="4830BAEB" w14:textId="77777777" w:rsidR="00413229" w:rsidRPr="00AC1055" w:rsidRDefault="00413229" w:rsidP="00413229">
      <w:pPr>
        <w:spacing w:line="480" w:lineRule="auto"/>
        <w:rPr>
          <w:rFonts w:cs="Times New Roman"/>
        </w:rPr>
      </w:pPr>
      <w:r>
        <w:rPr>
          <w:rFonts w:cs="Times New Roman"/>
        </w:rPr>
        <w:lastRenderedPageBreak/>
        <w:t xml:space="preserve">The </w:t>
      </w:r>
      <w:r w:rsidRPr="00AC1055">
        <w:rPr>
          <w:rFonts w:cs="Times New Roman"/>
        </w:rPr>
        <w:t xml:space="preserve">mean Bayesian estimate is low at 0.019438, which is unsubstantial in comparison to </w:t>
      </w:r>
      <w:r>
        <w:rPr>
          <w:rFonts w:cs="Times New Roman"/>
        </w:rPr>
        <w:t xml:space="preserve">the </w:t>
      </w:r>
      <w:r w:rsidRPr="00AC1055">
        <w:rPr>
          <w:rFonts w:cs="Times New Roman"/>
        </w:rPr>
        <w:t xml:space="preserve">economic factors which have </w:t>
      </w:r>
      <w:r>
        <w:rPr>
          <w:rFonts w:cs="Times New Roman"/>
        </w:rPr>
        <w:t xml:space="preserve">a </w:t>
      </w:r>
      <w:r w:rsidRPr="00AC1055">
        <w:rPr>
          <w:rFonts w:cs="Times New Roman"/>
        </w:rPr>
        <w:t xml:space="preserve">coefficient in the range of 0.49, technological improvements and investments </w:t>
      </w:r>
      <w:r>
        <w:rPr>
          <w:rFonts w:cs="Times New Roman"/>
        </w:rPr>
        <w:t xml:space="preserve">with a </w:t>
      </w:r>
      <w:r w:rsidRPr="00AC1055">
        <w:rPr>
          <w:rFonts w:cs="Times New Roman"/>
        </w:rPr>
        <w:t xml:space="preserve">coefficient in the range of 0.43. This relative unimportance of corporate governance is more starkly represented in the frequentist analysis which predicts the value to be in the negative. This value is within the credible interval for </w:t>
      </w:r>
      <w:r>
        <w:rPr>
          <w:rFonts w:cs="Times New Roman"/>
        </w:rPr>
        <w:t xml:space="preserve">the </w:t>
      </w:r>
      <w:r w:rsidRPr="00AC1055">
        <w:rPr>
          <w:rFonts w:cs="Times New Roman"/>
        </w:rPr>
        <w:t xml:space="preserve">Bayesian estimate range of -0.27192 to 0.308407. </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3254D56F" w14:textId="77777777" w:rsidTr="00413229">
        <w:tc>
          <w:tcPr>
            <w:tcW w:w="1809" w:type="dxa"/>
          </w:tcPr>
          <w:p w14:paraId="107FA1B7" w14:textId="77777777" w:rsidR="00413229" w:rsidRPr="00AC1055" w:rsidRDefault="00413229" w:rsidP="00413229">
            <w:pPr>
              <w:rPr>
                <w:rFonts w:cs="Times New Roman"/>
              </w:rPr>
            </w:pPr>
          </w:p>
        </w:tc>
        <w:tc>
          <w:tcPr>
            <w:tcW w:w="1138" w:type="dxa"/>
          </w:tcPr>
          <w:p w14:paraId="0B6BA2E1" w14:textId="77777777" w:rsidR="00413229" w:rsidRPr="00AC1055" w:rsidRDefault="00413229" w:rsidP="00413229">
            <w:pPr>
              <w:jc w:val="center"/>
              <w:rPr>
                <w:rFonts w:cs="Times New Roman"/>
              </w:rPr>
            </w:pPr>
            <w:r w:rsidRPr="00AC1055">
              <w:rPr>
                <w:rFonts w:cs="Times New Roman"/>
              </w:rPr>
              <w:t>CG</w:t>
            </w:r>
          </w:p>
        </w:tc>
        <w:tc>
          <w:tcPr>
            <w:tcW w:w="1298" w:type="dxa"/>
          </w:tcPr>
          <w:p w14:paraId="3B544A76"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2BB9579A"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00627468"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5C187BDE"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547D2A88" w14:textId="77777777" w:rsidTr="00413229">
        <w:tc>
          <w:tcPr>
            <w:tcW w:w="1809" w:type="dxa"/>
          </w:tcPr>
          <w:p w14:paraId="7B8CC6C2" w14:textId="77777777" w:rsidR="00413229" w:rsidRPr="00AC1055" w:rsidRDefault="00413229" w:rsidP="00413229">
            <w:pPr>
              <w:rPr>
                <w:rFonts w:cs="Times New Roman"/>
              </w:rPr>
            </w:pPr>
            <w:r w:rsidRPr="00AC1055">
              <w:rPr>
                <w:rFonts w:cs="Times New Roman"/>
              </w:rPr>
              <w:t>Mean Bayesian</w:t>
            </w:r>
          </w:p>
        </w:tc>
        <w:tc>
          <w:tcPr>
            <w:tcW w:w="1138" w:type="dxa"/>
          </w:tcPr>
          <w:p w14:paraId="62B1EC99" w14:textId="77777777" w:rsidR="00413229" w:rsidRPr="00AC1055" w:rsidRDefault="00413229" w:rsidP="00413229">
            <w:pPr>
              <w:jc w:val="center"/>
              <w:rPr>
                <w:rFonts w:cs="Times New Roman"/>
              </w:rPr>
            </w:pPr>
            <w:r w:rsidRPr="00AC1055">
              <w:rPr>
                <w:rFonts w:cs="Times New Roman"/>
              </w:rPr>
              <w:t>0.019438</w:t>
            </w:r>
          </w:p>
        </w:tc>
        <w:tc>
          <w:tcPr>
            <w:tcW w:w="1298" w:type="dxa"/>
            <w:vAlign w:val="bottom"/>
          </w:tcPr>
          <w:p w14:paraId="5ECE879E" w14:textId="77777777" w:rsidR="00413229" w:rsidRPr="00AC1055" w:rsidRDefault="00413229" w:rsidP="00413229">
            <w:pPr>
              <w:jc w:val="center"/>
              <w:rPr>
                <w:rFonts w:cs="Times New Roman"/>
                <w:color w:val="000000"/>
                <w:szCs w:val="24"/>
              </w:rPr>
            </w:pPr>
            <w:r w:rsidRPr="00AC1055">
              <w:rPr>
                <w:rFonts w:cs="Times New Roman"/>
                <w:color w:val="000000"/>
                <w:szCs w:val="24"/>
              </w:rPr>
              <w:t>0.489304</w:t>
            </w:r>
          </w:p>
        </w:tc>
        <w:tc>
          <w:tcPr>
            <w:tcW w:w="1395" w:type="dxa"/>
            <w:vAlign w:val="bottom"/>
          </w:tcPr>
          <w:p w14:paraId="343590AA" w14:textId="77777777" w:rsidR="00413229" w:rsidRPr="00AC1055" w:rsidRDefault="00413229" w:rsidP="00413229">
            <w:pPr>
              <w:jc w:val="center"/>
              <w:rPr>
                <w:rFonts w:cs="Times New Roman"/>
                <w:color w:val="000000"/>
                <w:szCs w:val="24"/>
              </w:rPr>
            </w:pPr>
            <w:r w:rsidRPr="00AC1055">
              <w:rPr>
                <w:rFonts w:cs="Times New Roman"/>
                <w:color w:val="000000"/>
                <w:szCs w:val="24"/>
              </w:rPr>
              <w:t>0.088699</w:t>
            </w:r>
          </w:p>
        </w:tc>
        <w:tc>
          <w:tcPr>
            <w:tcW w:w="1395" w:type="dxa"/>
            <w:vAlign w:val="bottom"/>
          </w:tcPr>
          <w:p w14:paraId="05FBA28D" w14:textId="77777777" w:rsidR="00413229" w:rsidRPr="00AC1055" w:rsidRDefault="00413229" w:rsidP="00413229">
            <w:pPr>
              <w:jc w:val="center"/>
              <w:rPr>
                <w:rFonts w:cs="Times New Roman"/>
                <w:color w:val="000000"/>
                <w:szCs w:val="24"/>
              </w:rPr>
            </w:pPr>
            <w:r w:rsidRPr="00AC1055">
              <w:rPr>
                <w:rFonts w:cs="Times New Roman"/>
                <w:color w:val="000000"/>
                <w:szCs w:val="24"/>
              </w:rPr>
              <w:t>0.428396</w:t>
            </w:r>
          </w:p>
        </w:tc>
        <w:tc>
          <w:tcPr>
            <w:tcW w:w="1379" w:type="dxa"/>
          </w:tcPr>
          <w:p w14:paraId="2197B811" w14:textId="77777777" w:rsidR="00413229" w:rsidRPr="00AC1055" w:rsidRDefault="00413229" w:rsidP="00413229">
            <w:pPr>
              <w:jc w:val="center"/>
              <w:rPr>
                <w:rFonts w:cs="Times New Roman"/>
              </w:rPr>
            </w:pPr>
            <w:r w:rsidRPr="00AC1055">
              <w:rPr>
                <w:rFonts w:cs="Times New Roman"/>
              </w:rPr>
              <w:t>-0.27136</w:t>
            </w:r>
          </w:p>
        </w:tc>
      </w:tr>
      <w:tr w:rsidR="00413229" w:rsidRPr="00AC1055" w14:paraId="586DDFBA" w14:textId="77777777" w:rsidTr="00413229">
        <w:tc>
          <w:tcPr>
            <w:tcW w:w="1809" w:type="dxa"/>
          </w:tcPr>
          <w:p w14:paraId="60D592BF" w14:textId="77777777" w:rsidR="00413229" w:rsidRPr="00AC1055" w:rsidRDefault="00413229" w:rsidP="00413229">
            <w:pPr>
              <w:rPr>
                <w:rFonts w:cs="Times New Roman"/>
              </w:rPr>
            </w:pPr>
            <w:r w:rsidRPr="00AC1055">
              <w:rPr>
                <w:rFonts w:cs="Times New Roman"/>
              </w:rPr>
              <w:t>Frequentist</w:t>
            </w:r>
          </w:p>
        </w:tc>
        <w:tc>
          <w:tcPr>
            <w:tcW w:w="1138" w:type="dxa"/>
          </w:tcPr>
          <w:p w14:paraId="7C6BA670" w14:textId="77777777" w:rsidR="00413229" w:rsidRPr="00AC1055" w:rsidRDefault="00413229" w:rsidP="00413229">
            <w:pPr>
              <w:jc w:val="center"/>
              <w:rPr>
                <w:rFonts w:cs="Times New Roman"/>
              </w:rPr>
            </w:pPr>
            <w:r w:rsidRPr="00AC1055">
              <w:rPr>
                <w:rFonts w:cs="Times New Roman"/>
              </w:rPr>
              <w:t>-0.19914</w:t>
            </w:r>
          </w:p>
        </w:tc>
        <w:tc>
          <w:tcPr>
            <w:tcW w:w="1298" w:type="dxa"/>
          </w:tcPr>
          <w:p w14:paraId="48DD1CF5" w14:textId="77777777" w:rsidR="00413229" w:rsidRPr="00AC1055" w:rsidRDefault="00413229" w:rsidP="00413229">
            <w:pPr>
              <w:jc w:val="center"/>
              <w:rPr>
                <w:rFonts w:cs="Times New Roman"/>
              </w:rPr>
            </w:pPr>
            <w:r w:rsidRPr="00AC1055">
              <w:rPr>
                <w:rFonts w:cs="Times New Roman"/>
              </w:rPr>
              <w:t>0.590959</w:t>
            </w:r>
          </w:p>
        </w:tc>
        <w:tc>
          <w:tcPr>
            <w:tcW w:w="1395" w:type="dxa"/>
          </w:tcPr>
          <w:p w14:paraId="65ACD006" w14:textId="77777777" w:rsidR="00413229" w:rsidRPr="00AC1055" w:rsidRDefault="00413229" w:rsidP="00413229">
            <w:pPr>
              <w:jc w:val="center"/>
              <w:rPr>
                <w:rFonts w:cs="Times New Roman"/>
              </w:rPr>
            </w:pPr>
            <w:r w:rsidRPr="00AC1055">
              <w:rPr>
                <w:rFonts w:cs="Times New Roman"/>
              </w:rPr>
              <w:t>0.122274</w:t>
            </w:r>
          </w:p>
        </w:tc>
        <w:tc>
          <w:tcPr>
            <w:tcW w:w="1395" w:type="dxa"/>
          </w:tcPr>
          <w:p w14:paraId="31B55B09" w14:textId="77777777" w:rsidR="00413229" w:rsidRPr="00AC1055" w:rsidRDefault="00413229" w:rsidP="00413229">
            <w:pPr>
              <w:jc w:val="center"/>
              <w:rPr>
                <w:rFonts w:cs="Times New Roman"/>
              </w:rPr>
            </w:pPr>
            <w:r w:rsidRPr="00AC1055">
              <w:rPr>
                <w:rFonts w:cs="Times New Roman"/>
              </w:rPr>
              <w:t>0.443141</w:t>
            </w:r>
          </w:p>
        </w:tc>
        <w:tc>
          <w:tcPr>
            <w:tcW w:w="1379" w:type="dxa"/>
          </w:tcPr>
          <w:p w14:paraId="15722E7B" w14:textId="77777777" w:rsidR="00413229" w:rsidRPr="00AC1055" w:rsidRDefault="00413229" w:rsidP="00413229">
            <w:pPr>
              <w:jc w:val="center"/>
              <w:rPr>
                <w:rFonts w:cs="Times New Roman"/>
              </w:rPr>
            </w:pPr>
            <w:r w:rsidRPr="00AC1055">
              <w:rPr>
                <w:rFonts w:cs="Times New Roman"/>
              </w:rPr>
              <w:t>-0.2807</w:t>
            </w:r>
          </w:p>
        </w:tc>
      </w:tr>
    </w:tbl>
    <w:p w14:paraId="0A2CC182" w14:textId="77777777" w:rsidR="00413229" w:rsidRDefault="00413229" w:rsidP="00413229">
      <w:pPr>
        <w:spacing w:line="480" w:lineRule="auto"/>
        <w:rPr>
          <w:rFonts w:cs="Times New Roman"/>
        </w:rPr>
      </w:pPr>
    </w:p>
    <w:p w14:paraId="72085105" w14:textId="77777777" w:rsidR="00413229" w:rsidRDefault="00413229" w:rsidP="00413229">
      <w:pPr>
        <w:spacing w:line="480" w:lineRule="auto"/>
        <w:rPr>
          <w:rFonts w:cs="Times New Roman"/>
        </w:rPr>
      </w:pPr>
      <w:r>
        <w:rPr>
          <w:rFonts w:cs="Times New Roman"/>
        </w:rPr>
        <w:t>W</w:t>
      </w:r>
      <w:r w:rsidRPr="00AC1055">
        <w:rPr>
          <w:rFonts w:cs="Times New Roman"/>
        </w:rPr>
        <w:t xml:space="preserve">hat is predicted is that </w:t>
      </w:r>
      <w:r>
        <w:rPr>
          <w:rFonts w:cs="Times New Roman"/>
        </w:rPr>
        <w:t xml:space="preserve">the </w:t>
      </w:r>
      <w:r w:rsidRPr="00AC1055">
        <w:rPr>
          <w:rFonts w:cs="Times New Roman"/>
        </w:rPr>
        <w:t>shareholder corporate governance shift has absolutely no impact on financial market development in Iran</w:t>
      </w:r>
      <w:r>
        <w:rPr>
          <w:rFonts w:cs="Times New Roman"/>
        </w:rPr>
        <w:t>,</w:t>
      </w:r>
      <w:r w:rsidRPr="00AC1055">
        <w:rPr>
          <w:rFonts w:cs="Times New Roman"/>
        </w:rPr>
        <w:t xml:space="preserve"> based on the model used in this research. However</w:t>
      </w:r>
      <w:r>
        <w:rPr>
          <w:rFonts w:cs="Times New Roman"/>
        </w:rPr>
        <w:t>,</w:t>
      </w:r>
      <w:r w:rsidRPr="00AC1055">
        <w:rPr>
          <w:rFonts w:cs="Times New Roman"/>
        </w:rPr>
        <w:t xml:space="preserve"> </w:t>
      </w:r>
      <w:r>
        <w:rPr>
          <w:rFonts w:cs="Times New Roman"/>
        </w:rPr>
        <w:t>these</w:t>
      </w:r>
      <w:r w:rsidRPr="00AC1055">
        <w:rPr>
          <w:rFonts w:cs="Times New Roman"/>
        </w:rPr>
        <w:t xml:space="preserve"> finding</w:t>
      </w:r>
      <w:r>
        <w:rPr>
          <w:rFonts w:cs="Times New Roman"/>
        </w:rPr>
        <w:t>s may be criticised on the basis that a primary</w:t>
      </w:r>
      <w:r w:rsidRPr="00AC1055">
        <w:rPr>
          <w:rFonts w:cs="Times New Roman"/>
        </w:rPr>
        <w:t xml:space="preserve"> reason </w:t>
      </w:r>
      <w:r>
        <w:rPr>
          <w:rFonts w:cs="Times New Roman"/>
        </w:rPr>
        <w:t>for having</w:t>
      </w:r>
      <w:r w:rsidRPr="00AC1055">
        <w:rPr>
          <w:rFonts w:cs="Times New Roman"/>
        </w:rPr>
        <w:t xml:space="preserve"> shareholder primacy corporate governance is to encourage foreign investors to come and invest in a certain country. For Iran</w:t>
      </w:r>
      <w:r>
        <w:rPr>
          <w:rFonts w:cs="Times New Roman"/>
        </w:rPr>
        <w:t>,</w:t>
      </w:r>
      <w:r w:rsidRPr="00AC1055">
        <w:rPr>
          <w:rFonts w:cs="Times New Roman"/>
        </w:rPr>
        <w:t xml:space="preserve"> due to financial sanctions this transmission mechanism </w:t>
      </w:r>
      <w:r>
        <w:rPr>
          <w:rFonts w:cs="Times New Roman"/>
        </w:rPr>
        <w:t xml:space="preserve">may have </w:t>
      </w:r>
      <w:r w:rsidRPr="00AC1055">
        <w:rPr>
          <w:rFonts w:cs="Times New Roman"/>
        </w:rPr>
        <w:t>fail</w:t>
      </w:r>
      <w:r>
        <w:rPr>
          <w:rFonts w:cs="Times New Roman"/>
        </w:rPr>
        <w:t>ed</w:t>
      </w:r>
      <w:r w:rsidRPr="00AC1055">
        <w:rPr>
          <w:rFonts w:cs="Times New Roman"/>
        </w:rPr>
        <w:t xml:space="preserve">, so the country has to depend on </w:t>
      </w:r>
      <w:r>
        <w:rPr>
          <w:rFonts w:cs="Times New Roman"/>
        </w:rPr>
        <w:t xml:space="preserve">the </w:t>
      </w:r>
      <w:r w:rsidRPr="00AC1055">
        <w:rPr>
          <w:rFonts w:cs="Times New Roman"/>
        </w:rPr>
        <w:t xml:space="preserve">internal market to provide </w:t>
      </w:r>
      <w:r>
        <w:rPr>
          <w:rFonts w:cs="Times New Roman"/>
        </w:rPr>
        <w:t xml:space="preserve">the </w:t>
      </w:r>
      <w:r w:rsidRPr="00AC1055">
        <w:rPr>
          <w:rFonts w:cs="Times New Roman"/>
        </w:rPr>
        <w:t>necessary capital and financial investments. This</w:t>
      </w:r>
      <w:r>
        <w:rPr>
          <w:rFonts w:cs="Times New Roman"/>
        </w:rPr>
        <w:t xml:space="preserve"> is arguably </w:t>
      </w:r>
      <w:r w:rsidRPr="00AC1055">
        <w:rPr>
          <w:rFonts w:cs="Times New Roman"/>
        </w:rPr>
        <w:t>the reason for Iran having the lowest corporate governance regression coefficient and at the same time the highest coefficient for control variables among the countries studied under this research.</w:t>
      </w:r>
      <w:r>
        <w:rPr>
          <w:rFonts w:cs="Times New Roman"/>
        </w:rPr>
        <w:t xml:space="preserve"> </w:t>
      </w:r>
    </w:p>
    <w:p w14:paraId="441920E1" w14:textId="77777777" w:rsidR="00413229" w:rsidRPr="00AC1055" w:rsidRDefault="00413229" w:rsidP="00413229">
      <w:pPr>
        <w:spacing w:line="480" w:lineRule="auto"/>
        <w:rPr>
          <w:rFonts w:cs="Times New Roman"/>
        </w:rPr>
      </w:pPr>
      <w:r>
        <w:rPr>
          <w:rFonts w:cs="Times New Roman"/>
        </w:rPr>
        <w:t>This makes Iran one of the best candidates for further research to investigate the impact of changes of corporate governance on a relatively closed economy. There is potential for the Iranian economy being opened to foreign investors in the next five years, especially with the easing of tensions with USA, it will be a fascinating time to assess the importance of external capital on financial market growth and if it affects or drives corporate governance shift.</w:t>
      </w:r>
    </w:p>
    <w:p w14:paraId="130F3F84" w14:textId="77777777" w:rsidR="00413229" w:rsidRPr="00AC1055" w:rsidRDefault="00413229" w:rsidP="00413229">
      <w:pPr>
        <w:spacing w:line="480" w:lineRule="auto"/>
        <w:rPr>
          <w:rFonts w:cs="Times New Roman"/>
        </w:rPr>
      </w:pPr>
    </w:p>
    <w:p w14:paraId="4B047462" w14:textId="77777777" w:rsidR="00413229" w:rsidRPr="00AC1055" w:rsidRDefault="00413229" w:rsidP="00413229">
      <w:pPr>
        <w:spacing w:line="480" w:lineRule="auto"/>
        <w:rPr>
          <w:rFonts w:cs="Times New Roman"/>
          <w:u w:val="single"/>
        </w:rPr>
      </w:pPr>
      <w:r>
        <w:rPr>
          <w:rFonts w:cs="Times New Roman"/>
          <w:u w:val="single"/>
        </w:rPr>
        <w:t xml:space="preserve">4.4.14 </w:t>
      </w:r>
      <w:r w:rsidRPr="00AC1055">
        <w:rPr>
          <w:rFonts w:cs="Times New Roman"/>
          <w:u w:val="single"/>
        </w:rPr>
        <w:t>Kenya</w:t>
      </w:r>
    </w:p>
    <w:p w14:paraId="04F1ADBF"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389240F" wp14:editId="2F3924AC">
            <wp:extent cx="5619048" cy="3390476"/>
            <wp:effectExtent l="0" t="0" r="1270"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19048" cy="3390476"/>
                    </a:xfrm>
                    <a:prstGeom prst="rect">
                      <a:avLst/>
                    </a:prstGeom>
                  </pic:spPr>
                </pic:pic>
              </a:graphicData>
            </a:graphic>
          </wp:inline>
        </w:drawing>
      </w:r>
    </w:p>
    <w:p w14:paraId="46A31935" w14:textId="77777777" w:rsidR="00413229" w:rsidRPr="00AC1055" w:rsidRDefault="00413229" w:rsidP="00413229">
      <w:pPr>
        <w:spacing w:line="480" w:lineRule="auto"/>
        <w:rPr>
          <w:rFonts w:cs="Times New Roman"/>
        </w:rPr>
      </w:pPr>
      <w:r>
        <w:rPr>
          <w:rFonts w:cs="Times New Roman"/>
        </w:rPr>
        <w:t xml:space="preserve">Corporate governance </w:t>
      </w:r>
      <w:r w:rsidRPr="00AC1055">
        <w:rPr>
          <w:rFonts w:cs="Times New Roman"/>
        </w:rPr>
        <w:t xml:space="preserve">dramatically shifted towards </w:t>
      </w:r>
      <w:r>
        <w:rPr>
          <w:rFonts w:cs="Times New Roman"/>
        </w:rPr>
        <w:t xml:space="preserve">a </w:t>
      </w:r>
      <w:r w:rsidRPr="00AC1055">
        <w:rPr>
          <w:rFonts w:cs="Times New Roman"/>
        </w:rPr>
        <w:t>shareholder primacy model in Kenya between 2001 and 2004. While the economic (control 1) and technological (control 3) p</w:t>
      </w:r>
      <w:r>
        <w:rPr>
          <w:rFonts w:cs="Times New Roman"/>
        </w:rPr>
        <w:t xml:space="preserve">arameters show contraction, </w:t>
      </w:r>
      <w:r w:rsidRPr="00AC1055">
        <w:rPr>
          <w:rFonts w:cs="Times New Roman"/>
        </w:rPr>
        <w:t xml:space="preserve">financial market development </w:t>
      </w:r>
      <w:r>
        <w:rPr>
          <w:rFonts w:cs="Times New Roman"/>
        </w:rPr>
        <w:t>wa</w:t>
      </w:r>
      <w:r w:rsidRPr="00AC1055">
        <w:rPr>
          <w:rFonts w:cs="Times New Roman"/>
        </w:rPr>
        <w:t>s almost static. This unusual co</w:t>
      </w:r>
      <w:r>
        <w:rPr>
          <w:rFonts w:cs="Times New Roman"/>
        </w:rPr>
        <w:t>mbination of factors have led</w:t>
      </w:r>
      <w:r w:rsidRPr="00AC1055">
        <w:rPr>
          <w:rFonts w:cs="Times New Roman"/>
        </w:rPr>
        <w:t xml:space="preserve"> the Bayesian estimates to converge after </w:t>
      </w:r>
      <w:r>
        <w:rPr>
          <w:rFonts w:cs="Times New Roman"/>
        </w:rPr>
        <w:t xml:space="preserve">an </w:t>
      </w:r>
      <w:r w:rsidRPr="00AC1055">
        <w:rPr>
          <w:rFonts w:cs="Times New Roman"/>
        </w:rPr>
        <w:t>unusu</w:t>
      </w:r>
      <w:r>
        <w:rPr>
          <w:rFonts w:cs="Times New Roman"/>
        </w:rPr>
        <w:t>ally large number of iterations.</w:t>
      </w:r>
      <w:r w:rsidRPr="00AC1055">
        <w:rPr>
          <w:rFonts w:cs="Times New Roman"/>
        </w:rPr>
        <w:t xml:space="preserve"> </w:t>
      </w:r>
      <w:r>
        <w:rPr>
          <w:rFonts w:cs="Times New Roman"/>
        </w:rPr>
        <w:t>E</w:t>
      </w:r>
      <w:r w:rsidRPr="00AC1055">
        <w:rPr>
          <w:rFonts w:cs="Times New Roman"/>
        </w:rPr>
        <w:t>ven then</w:t>
      </w:r>
      <w:r>
        <w:rPr>
          <w:rFonts w:cs="Times New Roman"/>
        </w:rPr>
        <w:t>,</w:t>
      </w:r>
      <w:r w:rsidRPr="00AC1055">
        <w:rPr>
          <w:rFonts w:cs="Times New Roman"/>
        </w:rPr>
        <w:t xml:space="preserve"> the high density interval is so large that it is almost impossible to draw any meaningful conclusion</w:t>
      </w:r>
      <w:r>
        <w:rPr>
          <w:rFonts w:cs="Times New Roman"/>
        </w:rPr>
        <w:t>s</w:t>
      </w:r>
      <w:r w:rsidRPr="00AC1055">
        <w:rPr>
          <w:rFonts w:cs="Times New Roman"/>
        </w:rPr>
        <w:t xml:space="preserve">. </w:t>
      </w:r>
      <w:r>
        <w:rPr>
          <w:rFonts w:cs="Times New Roman"/>
        </w:rPr>
        <w:t>The regression results are shown</w:t>
      </w:r>
      <w:r w:rsidRPr="00AC1055">
        <w:rPr>
          <w:rFonts w:cs="Times New Roman"/>
        </w:rPr>
        <w:t xml:space="preserve"> below:</w:t>
      </w:r>
    </w:p>
    <w:p w14:paraId="7A0ACF28" w14:textId="77777777" w:rsidR="00413229" w:rsidRDefault="00413229" w:rsidP="00413229">
      <w:pPr>
        <w:spacing w:line="480" w:lineRule="auto"/>
        <w:rPr>
          <w:rFonts w:cs="Times New Roman"/>
        </w:rPr>
      </w:pPr>
      <w:r w:rsidRPr="00AC1055">
        <w:rPr>
          <w:rFonts w:cs="Times New Roman"/>
          <w:noProof/>
          <w:lang w:eastAsia="en-GB"/>
        </w:rPr>
        <w:drawing>
          <wp:inline distT="0" distB="0" distL="0" distR="0" wp14:anchorId="3E40B06D" wp14:editId="52BD2C8C">
            <wp:extent cx="5749760" cy="1608326"/>
            <wp:effectExtent l="0" t="0" r="381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49760" cy="1608326"/>
                    </a:xfrm>
                    <a:prstGeom prst="rect">
                      <a:avLst/>
                    </a:prstGeom>
                    <a:noFill/>
                    <a:ln>
                      <a:noFill/>
                    </a:ln>
                  </pic:spPr>
                </pic:pic>
              </a:graphicData>
            </a:graphic>
          </wp:inline>
        </w:drawing>
      </w:r>
    </w:p>
    <w:p w14:paraId="0BBA279F" w14:textId="77777777" w:rsidR="00413229" w:rsidRDefault="00413229" w:rsidP="00413229">
      <w:pPr>
        <w:spacing w:line="480" w:lineRule="auto"/>
        <w:rPr>
          <w:rFonts w:cs="Times New Roman"/>
        </w:rPr>
      </w:pPr>
    </w:p>
    <w:p w14:paraId="7F8EBC6D" w14:textId="77777777" w:rsidR="00413229" w:rsidRPr="00AC1055" w:rsidRDefault="00413229" w:rsidP="00413229">
      <w:pPr>
        <w:spacing w:line="480" w:lineRule="auto"/>
        <w:rPr>
          <w:rFonts w:cs="Times New Roman"/>
        </w:rPr>
      </w:pP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1D797CF4" w14:textId="77777777" w:rsidTr="00413229">
        <w:tc>
          <w:tcPr>
            <w:tcW w:w="1809" w:type="dxa"/>
          </w:tcPr>
          <w:p w14:paraId="21DF8E3F" w14:textId="77777777" w:rsidR="00413229" w:rsidRPr="00AC1055" w:rsidRDefault="00413229" w:rsidP="00413229">
            <w:pPr>
              <w:rPr>
                <w:rFonts w:cs="Times New Roman"/>
              </w:rPr>
            </w:pPr>
          </w:p>
        </w:tc>
        <w:tc>
          <w:tcPr>
            <w:tcW w:w="1138" w:type="dxa"/>
          </w:tcPr>
          <w:p w14:paraId="1860C8E7" w14:textId="77777777" w:rsidR="00413229" w:rsidRPr="00AC1055" w:rsidRDefault="00413229" w:rsidP="00413229">
            <w:pPr>
              <w:jc w:val="center"/>
              <w:rPr>
                <w:rFonts w:cs="Times New Roman"/>
              </w:rPr>
            </w:pPr>
            <w:r w:rsidRPr="00AC1055">
              <w:rPr>
                <w:rFonts w:cs="Times New Roman"/>
              </w:rPr>
              <w:t>CG</w:t>
            </w:r>
          </w:p>
        </w:tc>
        <w:tc>
          <w:tcPr>
            <w:tcW w:w="1298" w:type="dxa"/>
          </w:tcPr>
          <w:p w14:paraId="5407FA5E"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511CC7AE"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58254EC1"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2A4B1536"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1A086F13" w14:textId="77777777" w:rsidTr="00413229">
        <w:tc>
          <w:tcPr>
            <w:tcW w:w="1809" w:type="dxa"/>
          </w:tcPr>
          <w:p w14:paraId="58BB694B" w14:textId="77777777" w:rsidR="00413229" w:rsidRPr="00AC1055" w:rsidRDefault="00413229" w:rsidP="00413229">
            <w:pPr>
              <w:rPr>
                <w:rFonts w:cs="Times New Roman"/>
              </w:rPr>
            </w:pPr>
            <w:r w:rsidRPr="00AC1055">
              <w:rPr>
                <w:rFonts w:cs="Times New Roman"/>
              </w:rPr>
              <w:t>Mean Bayesian</w:t>
            </w:r>
          </w:p>
        </w:tc>
        <w:tc>
          <w:tcPr>
            <w:tcW w:w="1138" w:type="dxa"/>
          </w:tcPr>
          <w:p w14:paraId="28C3351E" w14:textId="77777777" w:rsidR="00413229" w:rsidRPr="00AC1055" w:rsidRDefault="00413229" w:rsidP="00413229">
            <w:pPr>
              <w:jc w:val="center"/>
              <w:rPr>
                <w:rFonts w:cs="Times New Roman"/>
              </w:rPr>
            </w:pPr>
            <w:r w:rsidRPr="00AC1055">
              <w:rPr>
                <w:rFonts w:cs="Times New Roman"/>
              </w:rPr>
              <w:t>0.097896</w:t>
            </w:r>
          </w:p>
        </w:tc>
        <w:tc>
          <w:tcPr>
            <w:tcW w:w="1298" w:type="dxa"/>
            <w:vAlign w:val="bottom"/>
          </w:tcPr>
          <w:p w14:paraId="63D995B1" w14:textId="77777777" w:rsidR="00413229" w:rsidRPr="00AC1055" w:rsidRDefault="00413229" w:rsidP="00413229">
            <w:pPr>
              <w:jc w:val="center"/>
              <w:rPr>
                <w:rFonts w:cs="Times New Roman"/>
                <w:color w:val="000000"/>
                <w:szCs w:val="24"/>
                <w:highlight w:val="cyan"/>
              </w:rPr>
            </w:pPr>
            <w:r w:rsidRPr="00AC1055">
              <w:rPr>
                <w:rFonts w:cs="Times New Roman"/>
                <w:color w:val="000000"/>
                <w:szCs w:val="24"/>
              </w:rPr>
              <w:t>0.65547</w:t>
            </w:r>
          </w:p>
        </w:tc>
        <w:tc>
          <w:tcPr>
            <w:tcW w:w="1395" w:type="dxa"/>
            <w:vAlign w:val="bottom"/>
          </w:tcPr>
          <w:p w14:paraId="2D508051" w14:textId="77777777" w:rsidR="00413229" w:rsidRPr="00AC1055" w:rsidRDefault="00413229" w:rsidP="00413229">
            <w:pPr>
              <w:jc w:val="center"/>
              <w:rPr>
                <w:rFonts w:cs="Times New Roman"/>
                <w:color w:val="000000"/>
                <w:szCs w:val="24"/>
                <w:highlight w:val="cyan"/>
              </w:rPr>
            </w:pPr>
            <w:r w:rsidRPr="00AC1055">
              <w:rPr>
                <w:rFonts w:cs="Times New Roman"/>
                <w:color w:val="000000"/>
                <w:szCs w:val="24"/>
              </w:rPr>
              <w:t>0.142408</w:t>
            </w:r>
          </w:p>
        </w:tc>
        <w:tc>
          <w:tcPr>
            <w:tcW w:w="1395" w:type="dxa"/>
            <w:vAlign w:val="bottom"/>
          </w:tcPr>
          <w:p w14:paraId="0457752D" w14:textId="77777777" w:rsidR="00413229" w:rsidRPr="00AC1055" w:rsidRDefault="00413229" w:rsidP="00413229">
            <w:pPr>
              <w:jc w:val="center"/>
              <w:rPr>
                <w:rFonts w:cs="Times New Roman"/>
                <w:color w:val="000000"/>
                <w:szCs w:val="24"/>
              </w:rPr>
            </w:pPr>
            <w:r w:rsidRPr="00AC1055">
              <w:rPr>
                <w:rFonts w:cs="Times New Roman"/>
                <w:color w:val="000000"/>
                <w:szCs w:val="24"/>
              </w:rPr>
              <w:t>0.66122</w:t>
            </w:r>
          </w:p>
        </w:tc>
        <w:tc>
          <w:tcPr>
            <w:tcW w:w="1379" w:type="dxa"/>
          </w:tcPr>
          <w:p w14:paraId="2A36F958" w14:textId="77777777" w:rsidR="00413229" w:rsidRPr="00AC1055" w:rsidRDefault="00413229" w:rsidP="00413229">
            <w:pPr>
              <w:jc w:val="center"/>
              <w:rPr>
                <w:rFonts w:cs="Times New Roman"/>
              </w:rPr>
            </w:pPr>
            <w:r w:rsidRPr="00AC1055">
              <w:rPr>
                <w:rFonts w:cs="Times New Roman"/>
              </w:rPr>
              <w:t>-0.00781</w:t>
            </w:r>
          </w:p>
        </w:tc>
      </w:tr>
      <w:tr w:rsidR="00413229" w:rsidRPr="00AC1055" w14:paraId="05AF056E" w14:textId="77777777" w:rsidTr="00413229">
        <w:tc>
          <w:tcPr>
            <w:tcW w:w="1809" w:type="dxa"/>
          </w:tcPr>
          <w:p w14:paraId="5099F807" w14:textId="77777777" w:rsidR="00413229" w:rsidRPr="00AC1055" w:rsidRDefault="00413229" w:rsidP="00413229">
            <w:pPr>
              <w:rPr>
                <w:rFonts w:cs="Times New Roman"/>
              </w:rPr>
            </w:pPr>
            <w:r w:rsidRPr="00AC1055">
              <w:rPr>
                <w:rFonts w:cs="Times New Roman"/>
              </w:rPr>
              <w:t>Frequentist</w:t>
            </w:r>
          </w:p>
        </w:tc>
        <w:tc>
          <w:tcPr>
            <w:tcW w:w="1138" w:type="dxa"/>
          </w:tcPr>
          <w:p w14:paraId="3DCD135D" w14:textId="77777777" w:rsidR="00413229" w:rsidRPr="00AC1055" w:rsidRDefault="00413229" w:rsidP="00413229">
            <w:pPr>
              <w:jc w:val="center"/>
              <w:rPr>
                <w:rFonts w:cs="Times New Roman"/>
              </w:rPr>
            </w:pPr>
            <w:r w:rsidRPr="00AC1055">
              <w:rPr>
                <w:rFonts w:cs="Times New Roman"/>
              </w:rPr>
              <w:t>0.049405</w:t>
            </w:r>
          </w:p>
        </w:tc>
        <w:tc>
          <w:tcPr>
            <w:tcW w:w="1298" w:type="dxa"/>
          </w:tcPr>
          <w:p w14:paraId="7F6CA30F" w14:textId="77777777" w:rsidR="00413229" w:rsidRPr="00AC1055" w:rsidRDefault="00413229" w:rsidP="00413229">
            <w:pPr>
              <w:jc w:val="center"/>
              <w:rPr>
                <w:rFonts w:cs="Times New Roman"/>
              </w:rPr>
            </w:pPr>
            <w:r w:rsidRPr="00AC1055">
              <w:rPr>
                <w:rFonts w:cs="Times New Roman"/>
              </w:rPr>
              <w:t>0.377399</w:t>
            </w:r>
          </w:p>
        </w:tc>
        <w:tc>
          <w:tcPr>
            <w:tcW w:w="1395" w:type="dxa"/>
          </w:tcPr>
          <w:p w14:paraId="05B87335" w14:textId="77777777" w:rsidR="00413229" w:rsidRPr="00AC1055" w:rsidRDefault="00413229" w:rsidP="00413229">
            <w:pPr>
              <w:jc w:val="center"/>
              <w:rPr>
                <w:rFonts w:cs="Times New Roman"/>
              </w:rPr>
            </w:pPr>
            <w:r w:rsidRPr="00AC1055">
              <w:rPr>
                <w:rFonts w:cs="Times New Roman"/>
              </w:rPr>
              <w:t>0.064134</w:t>
            </w:r>
          </w:p>
        </w:tc>
        <w:tc>
          <w:tcPr>
            <w:tcW w:w="1395" w:type="dxa"/>
          </w:tcPr>
          <w:p w14:paraId="10287C5E" w14:textId="77777777" w:rsidR="00413229" w:rsidRPr="00AC1055" w:rsidRDefault="00413229" w:rsidP="00413229">
            <w:pPr>
              <w:jc w:val="center"/>
              <w:rPr>
                <w:rFonts w:cs="Times New Roman"/>
              </w:rPr>
            </w:pPr>
            <w:r w:rsidRPr="00AC1055">
              <w:rPr>
                <w:rFonts w:cs="Times New Roman"/>
              </w:rPr>
              <w:t>0.288727</w:t>
            </w:r>
          </w:p>
        </w:tc>
        <w:tc>
          <w:tcPr>
            <w:tcW w:w="1379" w:type="dxa"/>
          </w:tcPr>
          <w:p w14:paraId="7C37D9E4" w14:textId="77777777" w:rsidR="00413229" w:rsidRPr="00AC1055" w:rsidRDefault="00413229" w:rsidP="00413229">
            <w:pPr>
              <w:jc w:val="center"/>
              <w:rPr>
                <w:rFonts w:cs="Times New Roman"/>
              </w:rPr>
            </w:pPr>
            <w:r w:rsidRPr="00AC1055">
              <w:rPr>
                <w:rFonts w:cs="Times New Roman"/>
              </w:rPr>
              <w:t>-0.23664</w:t>
            </w:r>
          </w:p>
        </w:tc>
      </w:tr>
    </w:tbl>
    <w:p w14:paraId="266FFB58" w14:textId="77777777" w:rsidR="00413229" w:rsidRDefault="00413229" w:rsidP="00413229">
      <w:pPr>
        <w:spacing w:line="480" w:lineRule="auto"/>
        <w:rPr>
          <w:rFonts w:cs="Times New Roman"/>
        </w:rPr>
      </w:pPr>
    </w:p>
    <w:p w14:paraId="310A2328" w14:textId="77777777" w:rsidR="00413229" w:rsidRPr="00AC1055" w:rsidRDefault="00413229" w:rsidP="00413229">
      <w:pPr>
        <w:spacing w:line="480" w:lineRule="auto"/>
        <w:rPr>
          <w:rFonts w:cs="Times New Roman"/>
        </w:rPr>
      </w:pPr>
      <w:r w:rsidRPr="00AC1055">
        <w:rPr>
          <w:rFonts w:cs="Times New Roman"/>
        </w:rPr>
        <w:t xml:space="preserve">Given the unusual data the Bayesian and frequentist estimates vary significantly, although </w:t>
      </w:r>
      <w:r>
        <w:rPr>
          <w:rFonts w:cs="Times New Roman"/>
        </w:rPr>
        <w:t xml:space="preserve">the </w:t>
      </w:r>
      <w:r w:rsidRPr="00AC1055">
        <w:rPr>
          <w:rFonts w:cs="Times New Roman"/>
        </w:rPr>
        <w:t xml:space="preserve">mean Bayesian estimate for </w:t>
      </w:r>
      <w:r>
        <w:rPr>
          <w:rFonts w:cs="Times New Roman"/>
        </w:rPr>
        <w:t xml:space="preserve">the </w:t>
      </w:r>
      <w:r w:rsidRPr="00AC1055">
        <w:rPr>
          <w:rFonts w:cs="Times New Roman"/>
        </w:rPr>
        <w:t xml:space="preserve">corporate governance coefficient is 0.0978 and </w:t>
      </w:r>
      <w:r>
        <w:rPr>
          <w:rFonts w:cs="Times New Roman"/>
        </w:rPr>
        <w:t xml:space="preserve">the </w:t>
      </w:r>
      <w:r w:rsidRPr="00AC1055">
        <w:rPr>
          <w:rFonts w:cs="Times New Roman"/>
        </w:rPr>
        <w:t>frequentist estimate is 0.0494, the high density interval for</w:t>
      </w:r>
      <w:r>
        <w:rPr>
          <w:rFonts w:cs="Times New Roman"/>
        </w:rPr>
        <w:t xml:space="preserve"> the </w:t>
      </w:r>
      <w:r w:rsidRPr="00AC1055">
        <w:rPr>
          <w:rFonts w:cs="Times New Roman"/>
        </w:rPr>
        <w:t xml:space="preserve">Bayesian estimate ranges from -0.95621 to 0.881144, the width is so large that any meaningful comparison is futile. Similarly for the control variables the credible interval is so large </w:t>
      </w:r>
      <w:r>
        <w:rPr>
          <w:rFonts w:cs="Times New Roman"/>
        </w:rPr>
        <w:t xml:space="preserve">that </w:t>
      </w:r>
      <w:r w:rsidRPr="00AC1055">
        <w:rPr>
          <w:rFonts w:cs="Times New Roman"/>
        </w:rPr>
        <w:t xml:space="preserve">control 1 ranges from -5.29 to 5.7, control 2 ranges from -1.69 to 1.55, control 3 ranges from -7.94 to 7.28, </w:t>
      </w:r>
      <w:r>
        <w:rPr>
          <w:rFonts w:cs="Times New Roman"/>
        </w:rPr>
        <w:t xml:space="preserve">so </w:t>
      </w:r>
      <w:r w:rsidRPr="00AC1055">
        <w:rPr>
          <w:rFonts w:cs="Times New Roman"/>
        </w:rPr>
        <w:t xml:space="preserve">the only conclusion that can be reached is that on an individual country basis, with the variables </w:t>
      </w:r>
      <w:r>
        <w:rPr>
          <w:rFonts w:cs="Times New Roman"/>
        </w:rPr>
        <w:t>considered at</w:t>
      </w:r>
      <w:r w:rsidRPr="00AC1055">
        <w:rPr>
          <w:rFonts w:cs="Times New Roman"/>
        </w:rPr>
        <w:t xml:space="preserve"> </w:t>
      </w:r>
      <w:r>
        <w:rPr>
          <w:rFonts w:cs="Times New Roman"/>
        </w:rPr>
        <w:t>it is impossible to determine whether</w:t>
      </w:r>
      <w:r w:rsidRPr="00AC1055">
        <w:rPr>
          <w:rFonts w:cs="Times New Roman"/>
        </w:rPr>
        <w:t xml:space="preserve"> corporate governance has any meaningful impact on </w:t>
      </w:r>
      <w:r>
        <w:rPr>
          <w:rFonts w:cs="Times New Roman"/>
        </w:rPr>
        <w:t xml:space="preserve">the </w:t>
      </w:r>
      <w:r w:rsidRPr="00AC1055">
        <w:rPr>
          <w:rFonts w:cs="Times New Roman"/>
        </w:rPr>
        <w:t>financial market development in Kenya.</w:t>
      </w:r>
    </w:p>
    <w:p w14:paraId="6CF3743E" w14:textId="77777777" w:rsidR="00413229" w:rsidRPr="00AC1055" w:rsidRDefault="00413229" w:rsidP="00413229">
      <w:pPr>
        <w:spacing w:line="480" w:lineRule="auto"/>
        <w:rPr>
          <w:rFonts w:cs="Times New Roman"/>
        </w:rPr>
      </w:pPr>
    </w:p>
    <w:p w14:paraId="52BF7000" w14:textId="77777777" w:rsidR="00413229" w:rsidRPr="00AC1055" w:rsidRDefault="00413229" w:rsidP="00413229">
      <w:pPr>
        <w:spacing w:line="480" w:lineRule="auto"/>
        <w:rPr>
          <w:rFonts w:cs="Times New Roman"/>
          <w:u w:val="single"/>
        </w:rPr>
      </w:pPr>
      <w:r>
        <w:rPr>
          <w:rFonts w:cs="Times New Roman"/>
          <w:u w:val="single"/>
        </w:rPr>
        <w:t xml:space="preserve">4.4.15 </w:t>
      </w:r>
      <w:r w:rsidRPr="00AC1055">
        <w:rPr>
          <w:rFonts w:cs="Times New Roman"/>
          <w:u w:val="single"/>
        </w:rPr>
        <w:t>Nigeria</w:t>
      </w:r>
    </w:p>
    <w:p w14:paraId="1538850C"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3E62E6BA" wp14:editId="733A4EAD">
            <wp:extent cx="5524500" cy="276225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24500" cy="2762250"/>
                    </a:xfrm>
                    <a:prstGeom prst="rect">
                      <a:avLst/>
                    </a:prstGeom>
                    <a:noFill/>
                    <a:ln>
                      <a:noFill/>
                    </a:ln>
                  </pic:spPr>
                </pic:pic>
              </a:graphicData>
            </a:graphic>
          </wp:inline>
        </w:drawing>
      </w:r>
    </w:p>
    <w:p w14:paraId="3454D70E" w14:textId="77777777" w:rsidR="00413229" w:rsidRPr="00AC1055" w:rsidRDefault="00413229" w:rsidP="00413229">
      <w:pPr>
        <w:spacing w:line="480" w:lineRule="auto"/>
        <w:rPr>
          <w:rFonts w:cs="Times New Roman"/>
        </w:rPr>
      </w:pPr>
      <w:r w:rsidRPr="00AC1055">
        <w:rPr>
          <w:rFonts w:cs="Times New Roman"/>
        </w:rPr>
        <w:lastRenderedPageBreak/>
        <w:t xml:space="preserve">There has been a steady shift towards shareholder primacy corporate governance in Nigeria, the pace of which has accelerated since 2005. </w:t>
      </w:r>
      <w:r>
        <w:rPr>
          <w:rFonts w:cs="Times New Roman"/>
        </w:rPr>
        <w:t>F</w:t>
      </w:r>
      <w:r w:rsidRPr="00AC1055">
        <w:rPr>
          <w:rFonts w:cs="Times New Roman"/>
        </w:rPr>
        <w:t>inancial market development remained steady and fell post</w:t>
      </w:r>
      <w:r>
        <w:rPr>
          <w:rFonts w:cs="Times New Roman"/>
        </w:rPr>
        <w:t>-</w:t>
      </w:r>
      <w:r w:rsidRPr="00AC1055">
        <w:rPr>
          <w:rFonts w:cs="Times New Roman"/>
        </w:rPr>
        <w:t>Global Financial Crisis. The financial and ec</w:t>
      </w:r>
      <w:r>
        <w:rPr>
          <w:rFonts w:cs="Times New Roman"/>
        </w:rPr>
        <w:t>onomic factors (control 1) seem</w:t>
      </w:r>
      <w:r w:rsidRPr="00AC1055">
        <w:rPr>
          <w:rFonts w:cs="Times New Roman"/>
        </w:rPr>
        <w:t xml:space="preserve"> to be inversely correlated to investment in technology and R&amp;D (control 3). Only financial and technological inclusion rises steadily.</w:t>
      </w:r>
    </w:p>
    <w:p w14:paraId="35CB08AE"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1EE92C46" wp14:editId="674B92E6">
            <wp:extent cx="5534025" cy="1742442"/>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33689" cy="1742336"/>
                    </a:xfrm>
                    <a:prstGeom prst="rect">
                      <a:avLst/>
                    </a:prstGeom>
                    <a:noFill/>
                    <a:ln>
                      <a:noFill/>
                    </a:ln>
                  </pic:spPr>
                </pic:pic>
              </a:graphicData>
            </a:graphic>
          </wp:inline>
        </w:drawing>
      </w:r>
    </w:p>
    <w:p w14:paraId="591C809C" w14:textId="77777777" w:rsidR="00413229" w:rsidRPr="00AC1055" w:rsidRDefault="00413229" w:rsidP="00413229">
      <w:pPr>
        <w:spacing w:line="480" w:lineRule="auto"/>
        <w:rPr>
          <w:rFonts w:cs="Times New Roman"/>
        </w:rPr>
      </w:pPr>
      <w:r w:rsidRPr="00AC1055">
        <w:rPr>
          <w:rFonts w:cs="Times New Roman"/>
        </w:rPr>
        <w:t>Faced with this dataset</w:t>
      </w:r>
      <w:r>
        <w:rPr>
          <w:rFonts w:cs="Times New Roman"/>
        </w:rPr>
        <w:t>,</w:t>
      </w:r>
      <w:r w:rsidRPr="00AC1055">
        <w:rPr>
          <w:rFonts w:cs="Times New Roman"/>
        </w:rPr>
        <w:t xml:space="preserve"> the frequentist estimate lowers the intercept value (</w:t>
      </w:r>
      <w:r>
        <w:rPr>
          <w:rFonts w:cs="Times New Roman"/>
        </w:rPr>
        <w:t xml:space="preserve">the </w:t>
      </w:r>
      <w:r w:rsidRPr="00AC1055">
        <w:rPr>
          <w:rFonts w:cs="Times New Roman"/>
        </w:rPr>
        <w:t xml:space="preserve">analysis predicts Nigeria to have the lowest intercept among all the countries studied under this research) and lowers the impact for other explanatory variables. The Bayesian mean estimates and the frequentist estimates vary widely except for </w:t>
      </w:r>
      <w:r>
        <w:rPr>
          <w:rFonts w:cs="Times New Roman"/>
        </w:rPr>
        <w:t xml:space="preserve">the </w:t>
      </w:r>
      <w:r w:rsidRPr="00AC1055">
        <w:rPr>
          <w:rFonts w:cs="Times New Roman"/>
        </w:rPr>
        <w:t xml:space="preserve">coefficient for control 2 which </w:t>
      </w:r>
      <w:r>
        <w:rPr>
          <w:rFonts w:cs="Times New Roman"/>
        </w:rPr>
        <w:t>is</w:t>
      </w:r>
      <w:r w:rsidRPr="00AC1055">
        <w:rPr>
          <w:rFonts w:cs="Times New Roman"/>
        </w:rPr>
        <w:t xml:space="preserve"> almost exactly the same. The Bayesian mean estimate for </w:t>
      </w:r>
      <w:r>
        <w:rPr>
          <w:rFonts w:cs="Times New Roman"/>
        </w:rPr>
        <w:t xml:space="preserve">the </w:t>
      </w:r>
      <w:r w:rsidRPr="00AC1055">
        <w:rPr>
          <w:rFonts w:cs="Times New Roman"/>
        </w:rPr>
        <w:t xml:space="preserve">control 1 regression coefficient is 0.416 and the credible interval ranges between 0.2486 </w:t>
      </w:r>
      <w:r>
        <w:rPr>
          <w:rFonts w:cs="Times New Roman"/>
        </w:rPr>
        <w:t xml:space="preserve">and </w:t>
      </w:r>
      <w:r w:rsidRPr="00AC1055">
        <w:rPr>
          <w:rFonts w:cs="Times New Roman"/>
        </w:rPr>
        <w:t xml:space="preserve">0.60, the frequentist estimate of -0.1454 falls outside this range, similarly for control 3 the Bayesian credible interval ranges from 0.189 to 0.717, the frequentist estimate of -0.318 falls outside this range. The corporate governance regression coefficient under </w:t>
      </w:r>
      <w:r>
        <w:rPr>
          <w:rFonts w:cs="Times New Roman"/>
        </w:rPr>
        <w:t xml:space="preserve">the </w:t>
      </w:r>
      <w:r w:rsidRPr="00AC1055">
        <w:rPr>
          <w:rFonts w:cs="Times New Roman"/>
        </w:rPr>
        <w:t xml:space="preserve">Bayesian credible interval varies between -0.07813 and 0.182682, with a mean </w:t>
      </w:r>
      <w:r>
        <w:rPr>
          <w:rFonts w:cs="Times New Roman"/>
        </w:rPr>
        <w:t xml:space="preserve">of </w:t>
      </w:r>
      <w:r w:rsidRPr="00AC1055">
        <w:rPr>
          <w:rFonts w:cs="Times New Roman"/>
        </w:rPr>
        <w:t>0.055, the frequentist estimate is negative at -0.019, and this estimate is within the range of Bayesian estimates.</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045DF020" w14:textId="77777777" w:rsidTr="00413229">
        <w:tc>
          <w:tcPr>
            <w:tcW w:w="1809" w:type="dxa"/>
          </w:tcPr>
          <w:p w14:paraId="357EBB09" w14:textId="77777777" w:rsidR="00413229" w:rsidRPr="00AC1055" w:rsidRDefault="00413229" w:rsidP="00413229">
            <w:pPr>
              <w:rPr>
                <w:rFonts w:cs="Times New Roman"/>
              </w:rPr>
            </w:pPr>
          </w:p>
        </w:tc>
        <w:tc>
          <w:tcPr>
            <w:tcW w:w="1138" w:type="dxa"/>
          </w:tcPr>
          <w:p w14:paraId="59DA245B" w14:textId="77777777" w:rsidR="00413229" w:rsidRPr="00AC1055" w:rsidRDefault="00413229" w:rsidP="00413229">
            <w:pPr>
              <w:jc w:val="center"/>
              <w:rPr>
                <w:rFonts w:cs="Times New Roman"/>
              </w:rPr>
            </w:pPr>
            <w:r w:rsidRPr="00AC1055">
              <w:rPr>
                <w:rFonts w:cs="Times New Roman"/>
              </w:rPr>
              <w:t>CG</w:t>
            </w:r>
          </w:p>
        </w:tc>
        <w:tc>
          <w:tcPr>
            <w:tcW w:w="1298" w:type="dxa"/>
          </w:tcPr>
          <w:p w14:paraId="20B199F7"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586C6994"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521B2C3B"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777CA8A0"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167D25FC" w14:textId="77777777" w:rsidTr="00413229">
        <w:tc>
          <w:tcPr>
            <w:tcW w:w="1809" w:type="dxa"/>
          </w:tcPr>
          <w:p w14:paraId="22D1A19E" w14:textId="77777777" w:rsidR="00413229" w:rsidRPr="00AC1055" w:rsidRDefault="00413229" w:rsidP="00413229">
            <w:pPr>
              <w:rPr>
                <w:rFonts w:cs="Times New Roman"/>
              </w:rPr>
            </w:pPr>
            <w:r w:rsidRPr="00AC1055">
              <w:rPr>
                <w:rFonts w:cs="Times New Roman"/>
              </w:rPr>
              <w:t>Mean Bayesian</w:t>
            </w:r>
          </w:p>
        </w:tc>
        <w:tc>
          <w:tcPr>
            <w:tcW w:w="1138" w:type="dxa"/>
          </w:tcPr>
          <w:p w14:paraId="5F31E165" w14:textId="77777777" w:rsidR="00413229" w:rsidRPr="00AC1055" w:rsidRDefault="00413229" w:rsidP="00413229">
            <w:pPr>
              <w:jc w:val="center"/>
              <w:rPr>
                <w:rFonts w:cs="Times New Roman"/>
              </w:rPr>
            </w:pPr>
            <w:r w:rsidRPr="00AC1055">
              <w:rPr>
                <w:rFonts w:cs="Times New Roman"/>
              </w:rPr>
              <w:t>0.055016</w:t>
            </w:r>
          </w:p>
        </w:tc>
        <w:tc>
          <w:tcPr>
            <w:tcW w:w="1298" w:type="dxa"/>
            <w:vAlign w:val="bottom"/>
          </w:tcPr>
          <w:p w14:paraId="17A0C5F9" w14:textId="77777777" w:rsidR="00413229" w:rsidRPr="00AC1055" w:rsidRDefault="00413229" w:rsidP="00413229">
            <w:pPr>
              <w:jc w:val="center"/>
              <w:rPr>
                <w:rFonts w:cs="Times New Roman"/>
                <w:color w:val="000000"/>
                <w:szCs w:val="24"/>
              </w:rPr>
            </w:pPr>
            <w:r w:rsidRPr="00AC1055">
              <w:rPr>
                <w:rFonts w:cs="Times New Roman"/>
                <w:color w:val="000000"/>
                <w:szCs w:val="24"/>
              </w:rPr>
              <w:t>0.416011</w:t>
            </w:r>
          </w:p>
        </w:tc>
        <w:tc>
          <w:tcPr>
            <w:tcW w:w="1395" w:type="dxa"/>
            <w:vAlign w:val="bottom"/>
          </w:tcPr>
          <w:p w14:paraId="0DD7929D" w14:textId="77777777" w:rsidR="00413229" w:rsidRPr="00AC1055" w:rsidRDefault="00413229" w:rsidP="00413229">
            <w:pPr>
              <w:jc w:val="center"/>
              <w:rPr>
                <w:rFonts w:cs="Times New Roman"/>
                <w:color w:val="000000"/>
                <w:szCs w:val="24"/>
              </w:rPr>
            </w:pPr>
            <w:r w:rsidRPr="00AC1055">
              <w:rPr>
                <w:rFonts w:cs="Times New Roman"/>
                <w:color w:val="000000"/>
                <w:szCs w:val="24"/>
              </w:rPr>
              <w:t>0.088196</w:t>
            </w:r>
          </w:p>
        </w:tc>
        <w:tc>
          <w:tcPr>
            <w:tcW w:w="1395" w:type="dxa"/>
            <w:vAlign w:val="bottom"/>
          </w:tcPr>
          <w:p w14:paraId="22204A82" w14:textId="77777777" w:rsidR="00413229" w:rsidRPr="00AC1055" w:rsidRDefault="00413229" w:rsidP="00413229">
            <w:pPr>
              <w:jc w:val="center"/>
              <w:rPr>
                <w:rFonts w:cs="Times New Roman"/>
                <w:color w:val="000000"/>
                <w:szCs w:val="24"/>
              </w:rPr>
            </w:pPr>
            <w:r w:rsidRPr="00AC1055">
              <w:rPr>
                <w:rFonts w:cs="Times New Roman"/>
                <w:color w:val="000000"/>
                <w:szCs w:val="24"/>
              </w:rPr>
              <w:t>0.436266</w:t>
            </w:r>
          </w:p>
        </w:tc>
        <w:tc>
          <w:tcPr>
            <w:tcW w:w="1379" w:type="dxa"/>
          </w:tcPr>
          <w:p w14:paraId="4BD71CEA" w14:textId="77777777" w:rsidR="00413229" w:rsidRPr="00AC1055" w:rsidRDefault="00413229" w:rsidP="00413229">
            <w:pPr>
              <w:jc w:val="center"/>
              <w:rPr>
                <w:rFonts w:cs="Times New Roman"/>
              </w:rPr>
            </w:pPr>
            <w:r w:rsidRPr="00AC1055">
              <w:rPr>
                <w:rFonts w:cs="Times New Roman"/>
              </w:rPr>
              <w:t>-0.19151</w:t>
            </w:r>
          </w:p>
        </w:tc>
      </w:tr>
      <w:tr w:rsidR="00413229" w:rsidRPr="00AC1055" w14:paraId="341E76AD" w14:textId="77777777" w:rsidTr="00413229">
        <w:tc>
          <w:tcPr>
            <w:tcW w:w="1809" w:type="dxa"/>
          </w:tcPr>
          <w:p w14:paraId="5A26FA61" w14:textId="77777777" w:rsidR="00413229" w:rsidRPr="00AC1055" w:rsidRDefault="00413229" w:rsidP="00413229">
            <w:pPr>
              <w:rPr>
                <w:rFonts w:cs="Times New Roman"/>
              </w:rPr>
            </w:pPr>
            <w:r w:rsidRPr="00AC1055">
              <w:rPr>
                <w:rFonts w:cs="Times New Roman"/>
              </w:rPr>
              <w:t>Frequentist</w:t>
            </w:r>
          </w:p>
        </w:tc>
        <w:tc>
          <w:tcPr>
            <w:tcW w:w="1138" w:type="dxa"/>
          </w:tcPr>
          <w:p w14:paraId="2460402B" w14:textId="77777777" w:rsidR="00413229" w:rsidRPr="00AC1055" w:rsidRDefault="00413229" w:rsidP="00413229">
            <w:pPr>
              <w:jc w:val="center"/>
              <w:rPr>
                <w:rFonts w:cs="Times New Roman"/>
              </w:rPr>
            </w:pPr>
            <w:r w:rsidRPr="00AC1055">
              <w:rPr>
                <w:rFonts w:cs="Times New Roman"/>
              </w:rPr>
              <w:t>-0.01946</w:t>
            </w:r>
          </w:p>
        </w:tc>
        <w:tc>
          <w:tcPr>
            <w:tcW w:w="1298" w:type="dxa"/>
          </w:tcPr>
          <w:p w14:paraId="1B8A7ECD" w14:textId="77777777" w:rsidR="00413229" w:rsidRPr="00AC1055" w:rsidRDefault="00413229" w:rsidP="00413229">
            <w:pPr>
              <w:jc w:val="center"/>
              <w:rPr>
                <w:rFonts w:cs="Times New Roman"/>
              </w:rPr>
            </w:pPr>
            <w:r w:rsidRPr="00AC1055">
              <w:rPr>
                <w:rFonts w:cs="Times New Roman"/>
              </w:rPr>
              <w:t>-0.1454</w:t>
            </w:r>
          </w:p>
        </w:tc>
        <w:tc>
          <w:tcPr>
            <w:tcW w:w="1395" w:type="dxa"/>
          </w:tcPr>
          <w:p w14:paraId="2B2F3566" w14:textId="77777777" w:rsidR="00413229" w:rsidRPr="00AC1055" w:rsidRDefault="00413229" w:rsidP="00413229">
            <w:pPr>
              <w:jc w:val="center"/>
              <w:rPr>
                <w:rFonts w:cs="Times New Roman"/>
              </w:rPr>
            </w:pPr>
            <w:r w:rsidRPr="00AC1055">
              <w:rPr>
                <w:rFonts w:cs="Times New Roman"/>
              </w:rPr>
              <w:t>0.088249</w:t>
            </w:r>
          </w:p>
        </w:tc>
        <w:tc>
          <w:tcPr>
            <w:tcW w:w="1395" w:type="dxa"/>
          </w:tcPr>
          <w:p w14:paraId="4D204300" w14:textId="77777777" w:rsidR="00413229" w:rsidRPr="00AC1055" w:rsidRDefault="00413229" w:rsidP="00413229">
            <w:pPr>
              <w:jc w:val="center"/>
              <w:rPr>
                <w:rFonts w:cs="Times New Roman"/>
              </w:rPr>
            </w:pPr>
            <w:r w:rsidRPr="00AC1055">
              <w:rPr>
                <w:rFonts w:cs="Times New Roman"/>
              </w:rPr>
              <w:t>-0.31805</w:t>
            </w:r>
          </w:p>
        </w:tc>
        <w:tc>
          <w:tcPr>
            <w:tcW w:w="1379" w:type="dxa"/>
          </w:tcPr>
          <w:p w14:paraId="69B732A3" w14:textId="77777777" w:rsidR="00413229" w:rsidRPr="00AC1055" w:rsidRDefault="00413229" w:rsidP="00413229">
            <w:pPr>
              <w:jc w:val="center"/>
              <w:rPr>
                <w:rFonts w:cs="Times New Roman"/>
              </w:rPr>
            </w:pPr>
            <w:r w:rsidRPr="00AC1055">
              <w:rPr>
                <w:rFonts w:cs="Times New Roman"/>
              </w:rPr>
              <w:t>-0.45282</w:t>
            </w:r>
          </w:p>
        </w:tc>
      </w:tr>
    </w:tbl>
    <w:p w14:paraId="0FBB8E10" w14:textId="77777777" w:rsidR="00413229" w:rsidRDefault="00413229" w:rsidP="00413229">
      <w:pPr>
        <w:spacing w:line="480" w:lineRule="auto"/>
        <w:rPr>
          <w:rFonts w:cs="Times New Roman"/>
        </w:rPr>
      </w:pPr>
    </w:p>
    <w:p w14:paraId="2945ACAB" w14:textId="77777777" w:rsidR="00413229" w:rsidRPr="00AC1055" w:rsidRDefault="00413229" w:rsidP="00413229">
      <w:pPr>
        <w:spacing w:line="480" w:lineRule="auto"/>
        <w:rPr>
          <w:rFonts w:cs="Times New Roman"/>
        </w:rPr>
      </w:pPr>
      <w:r w:rsidRPr="00AC1055">
        <w:rPr>
          <w:rFonts w:cs="Times New Roman"/>
        </w:rPr>
        <w:lastRenderedPageBreak/>
        <w:t>This high divergence between frequentist and Bayesian estimates for control 1 and control 3 is because of the high inverse correlation. Almost all the prediction</w:t>
      </w:r>
      <w:r>
        <w:rPr>
          <w:rFonts w:cs="Times New Roman"/>
        </w:rPr>
        <w:t>s</w:t>
      </w:r>
      <w:r w:rsidRPr="00AC1055">
        <w:rPr>
          <w:rFonts w:cs="Times New Roman"/>
        </w:rPr>
        <w:t xml:space="preserve"> from </w:t>
      </w:r>
      <w:r>
        <w:rPr>
          <w:rFonts w:cs="Times New Roman"/>
        </w:rPr>
        <w:t xml:space="preserve">the </w:t>
      </w:r>
      <w:r w:rsidRPr="00AC1055">
        <w:rPr>
          <w:rFonts w:cs="Times New Roman"/>
        </w:rPr>
        <w:t>frequentist analysis</w:t>
      </w:r>
      <w:r>
        <w:rPr>
          <w:rFonts w:cs="Times New Roman"/>
        </w:rPr>
        <w:t>, for other countries,</w:t>
      </w:r>
      <w:r w:rsidRPr="00AC1055">
        <w:rPr>
          <w:rFonts w:cs="Times New Roman"/>
        </w:rPr>
        <w:t xml:space="preserve"> </w:t>
      </w:r>
      <w:r>
        <w:rPr>
          <w:rFonts w:cs="Times New Roman"/>
        </w:rPr>
        <w:t>are</w:t>
      </w:r>
      <w:r w:rsidRPr="00AC1055">
        <w:rPr>
          <w:rFonts w:cs="Times New Roman"/>
        </w:rPr>
        <w:t xml:space="preserve"> judged to be highly significant</w:t>
      </w:r>
      <w:r>
        <w:rPr>
          <w:rFonts w:cs="Times New Roman"/>
        </w:rPr>
        <w:t xml:space="preserve"> under the null hypothesis test;</w:t>
      </w:r>
      <w:r w:rsidRPr="00AC1055">
        <w:rPr>
          <w:rFonts w:cs="Times New Roman"/>
        </w:rPr>
        <w:t xml:space="preserve"> however all the coefficients for Nigeria </w:t>
      </w:r>
      <w:r>
        <w:rPr>
          <w:rFonts w:cs="Times New Roman"/>
        </w:rPr>
        <w:t>are</w:t>
      </w:r>
      <w:r w:rsidRPr="00AC1055">
        <w:rPr>
          <w:rFonts w:cs="Times New Roman"/>
        </w:rPr>
        <w:t xml:space="preserve"> judged to be insignificant under the null hypothesis testing. This is again due to the peculiar data for Nigeria. This also </w:t>
      </w:r>
      <w:r>
        <w:rPr>
          <w:rFonts w:cs="Times New Roman"/>
        </w:rPr>
        <w:t>makes it possible</w:t>
      </w:r>
      <w:r w:rsidRPr="00AC1055">
        <w:rPr>
          <w:rFonts w:cs="Times New Roman"/>
        </w:rPr>
        <w:t xml:space="preserve"> to show the best example of advantages of Bayesian regression which</w:t>
      </w:r>
      <w:r>
        <w:rPr>
          <w:rFonts w:cs="Times New Roman"/>
        </w:rPr>
        <w:t>,</w:t>
      </w:r>
      <w:r w:rsidRPr="00AC1055">
        <w:rPr>
          <w:rFonts w:cs="Times New Roman"/>
        </w:rPr>
        <w:t xml:space="preserve"> through simulations</w:t>
      </w:r>
      <w:r>
        <w:rPr>
          <w:rFonts w:cs="Times New Roman"/>
        </w:rPr>
        <w:t>,</w:t>
      </w:r>
      <w:r w:rsidRPr="00AC1055">
        <w:rPr>
          <w:rFonts w:cs="Times New Roman"/>
        </w:rPr>
        <w:t xml:space="preserve"> can salvage meaningful results from partially correlated data. </w:t>
      </w:r>
    </w:p>
    <w:p w14:paraId="70FDE014" w14:textId="77777777" w:rsidR="00413229" w:rsidRPr="00AC1055" w:rsidRDefault="00413229" w:rsidP="00413229">
      <w:pPr>
        <w:spacing w:line="480" w:lineRule="auto"/>
        <w:rPr>
          <w:rFonts w:cs="Times New Roman"/>
        </w:rPr>
      </w:pPr>
      <w:r w:rsidRPr="00AC1055">
        <w:rPr>
          <w:rFonts w:cs="Times New Roman"/>
        </w:rPr>
        <w:t>We can conclude from the mean Bayesian estimate that control 1 and control 3 do have a far greater role to play on financial market development and that change</w:t>
      </w:r>
      <w:r>
        <w:rPr>
          <w:rFonts w:cs="Times New Roman"/>
        </w:rPr>
        <w:t>s</w:t>
      </w:r>
      <w:r w:rsidRPr="00AC1055">
        <w:rPr>
          <w:rFonts w:cs="Times New Roman"/>
        </w:rPr>
        <w:t xml:space="preserve"> in corporate governance ha</w:t>
      </w:r>
      <w:r>
        <w:rPr>
          <w:rFonts w:cs="Times New Roman"/>
        </w:rPr>
        <w:t>ve a</w:t>
      </w:r>
      <w:r w:rsidRPr="00AC1055">
        <w:rPr>
          <w:rFonts w:cs="Times New Roman"/>
        </w:rPr>
        <w:t xml:space="preserve"> relatively minor effect.</w:t>
      </w:r>
    </w:p>
    <w:p w14:paraId="568A55CD" w14:textId="77777777" w:rsidR="00413229" w:rsidRPr="00AC1055" w:rsidRDefault="00413229" w:rsidP="00413229">
      <w:pPr>
        <w:spacing w:line="480" w:lineRule="auto"/>
        <w:rPr>
          <w:rFonts w:cs="Times New Roman"/>
        </w:rPr>
      </w:pPr>
    </w:p>
    <w:p w14:paraId="140A80F4" w14:textId="77777777" w:rsidR="00413229" w:rsidRPr="00AC1055" w:rsidRDefault="00413229" w:rsidP="00413229">
      <w:pPr>
        <w:spacing w:line="480" w:lineRule="auto"/>
        <w:rPr>
          <w:rFonts w:cs="Times New Roman"/>
          <w:u w:val="single"/>
        </w:rPr>
      </w:pPr>
      <w:r>
        <w:rPr>
          <w:rFonts w:cs="Times New Roman"/>
          <w:u w:val="single"/>
        </w:rPr>
        <w:t xml:space="preserve">4.4.16 </w:t>
      </w:r>
      <w:r w:rsidRPr="00AC1055">
        <w:rPr>
          <w:rFonts w:cs="Times New Roman"/>
          <w:u w:val="single"/>
        </w:rPr>
        <w:t>Hong Kong</w:t>
      </w:r>
    </w:p>
    <w:p w14:paraId="7201BE32"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2592EC31" wp14:editId="107BDF1B">
            <wp:extent cx="5619048" cy="3390476"/>
            <wp:effectExtent l="0" t="0" r="1270"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19048" cy="3390476"/>
                    </a:xfrm>
                    <a:prstGeom prst="rect">
                      <a:avLst/>
                    </a:prstGeom>
                  </pic:spPr>
                </pic:pic>
              </a:graphicData>
            </a:graphic>
          </wp:inline>
        </w:drawing>
      </w:r>
    </w:p>
    <w:p w14:paraId="47EA6EC9" w14:textId="77777777" w:rsidR="00413229" w:rsidRPr="00AC1055" w:rsidRDefault="00413229" w:rsidP="00413229">
      <w:pPr>
        <w:spacing w:line="480" w:lineRule="auto"/>
        <w:rPr>
          <w:rFonts w:cs="Times New Roman"/>
        </w:rPr>
      </w:pPr>
      <w:r w:rsidRPr="00AC1055">
        <w:rPr>
          <w:rFonts w:cs="Times New Roman"/>
        </w:rPr>
        <w:t xml:space="preserve">Hong Kong has been the best performing ‘developing country’ in terms of financial market development and one of the higher rated ‘countries’ in terms of corporate </w:t>
      </w:r>
      <w:r w:rsidRPr="00AC1055">
        <w:rPr>
          <w:rFonts w:cs="Times New Roman"/>
        </w:rPr>
        <w:lastRenderedPageBreak/>
        <w:t xml:space="preserve">governance development. </w:t>
      </w:r>
      <w:r>
        <w:rPr>
          <w:rFonts w:cs="Times New Roman"/>
        </w:rPr>
        <w:t>Shareholder value c</w:t>
      </w:r>
      <w:r w:rsidRPr="00AC1055">
        <w:rPr>
          <w:rFonts w:cs="Times New Roman"/>
        </w:rPr>
        <w:t>orporate governance in Hong Kong was high to start with and it has developed gradually and has steadily updated its shareholder primacy</w:t>
      </w:r>
      <w:r>
        <w:rPr>
          <w:rFonts w:cs="Times New Roman"/>
        </w:rPr>
        <w:t>-</w:t>
      </w:r>
      <w:r w:rsidRPr="00AC1055">
        <w:rPr>
          <w:rFonts w:cs="Times New Roman"/>
        </w:rPr>
        <w:t>based regulations. The financial market development is closely correlated to the control variables, especially the financial and economic variables (control 1), and the increase in technology</w:t>
      </w:r>
      <w:r>
        <w:rPr>
          <w:rFonts w:cs="Times New Roman"/>
        </w:rPr>
        <w:t>-</w:t>
      </w:r>
      <w:r w:rsidRPr="00AC1055">
        <w:rPr>
          <w:rFonts w:cs="Times New Roman"/>
        </w:rPr>
        <w:t xml:space="preserve">led export and proxies for R&amp;D investments (control 3). The technological and financial inclusion variable (control 2) is one of the highest among the countries studied in this research. It steadily rises with some minor slow down coinciding with economic downturns.  </w:t>
      </w:r>
    </w:p>
    <w:p w14:paraId="07A90125"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7B2AD756" wp14:editId="5FA94554">
            <wp:extent cx="5648325" cy="1878168"/>
            <wp:effectExtent l="0" t="0" r="0" b="825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45085" cy="1877091"/>
                    </a:xfrm>
                    <a:prstGeom prst="rect">
                      <a:avLst/>
                    </a:prstGeom>
                    <a:noFill/>
                    <a:ln>
                      <a:noFill/>
                    </a:ln>
                  </pic:spPr>
                </pic:pic>
              </a:graphicData>
            </a:graphic>
          </wp:inline>
        </w:drawing>
      </w:r>
    </w:p>
    <w:p w14:paraId="799DA009" w14:textId="77777777" w:rsidR="00413229" w:rsidRPr="00AC1055" w:rsidRDefault="00413229" w:rsidP="00413229">
      <w:pPr>
        <w:spacing w:line="480" w:lineRule="auto"/>
        <w:rPr>
          <w:rFonts w:cs="Times New Roman"/>
        </w:rPr>
      </w:pPr>
      <w:r w:rsidRPr="00AC1055">
        <w:rPr>
          <w:rFonts w:cs="Times New Roman"/>
        </w:rPr>
        <w:t xml:space="preserve">There is </w:t>
      </w:r>
      <w:r>
        <w:rPr>
          <w:rFonts w:cs="Times New Roman"/>
        </w:rPr>
        <w:t xml:space="preserve">a </w:t>
      </w:r>
      <w:r w:rsidRPr="00AC1055">
        <w:rPr>
          <w:rFonts w:cs="Times New Roman"/>
        </w:rPr>
        <w:t>high correlation between corporate governance shift</w:t>
      </w:r>
      <w:r>
        <w:rPr>
          <w:rFonts w:cs="Times New Roman"/>
        </w:rPr>
        <w:t>s</w:t>
      </w:r>
      <w:r w:rsidRPr="00AC1055">
        <w:rPr>
          <w:rFonts w:cs="Times New Roman"/>
        </w:rPr>
        <w:t xml:space="preserve"> and financial market growth, this results in the highest regression coefficient for corporate governance</w:t>
      </w:r>
      <w:r>
        <w:rPr>
          <w:rFonts w:cs="Times New Roman"/>
        </w:rPr>
        <w:t>, and also the highest impact relative to control 1 and control 3 on financial market growth</w:t>
      </w:r>
      <w:r w:rsidRPr="00AC1055">
        <w:rPr>
          <w:rFonts w:cs="Times New Roman"/>
        </w:rPr>
        <w:t xml:space="preserve"> for Hong Kong under frequentist analysis among the countries studied under this research. However</w:t>
      </w:r>
      <w:r>
        <w:rPr>
          <w:rFonts w:cs="Times New Roman"/>
        </w:rPr>
        <w:t>,</w:t>
      </w:r>
      <w:r w:rsidRPr="00AC1055">
        <w:rPr>
          <w:rFonts w:cs="Times New Roman"/>
        </w:rPr>
        <w:t xml:space="preserve"> the mean Bayesian estimate for </w:t>
      </w:r>
      <w:r>
        <w:rPr>
          <w:rFonts w:cs="Times New Roman"/>
        </w:rPr>
        <w:t xml:space="preserve">the </w:t>
      </w:r>
      <w:r w:rsidRPr="00AC1055">
        <w:rPr>
          <w:rFonts w:cs="Times New Roman"/>
        </w:rPr>
        <w:t xml:space="preserve">corporate governance regression coefficient diverges widely and is about a fifth of the frequentist estimate. The credible interval for </w:t>
      </w:r>
      <w:r>
        <w:rPr>
          <w:rFonts w:cs="Times New Roman"/>
        </w:rPr>
        <w:t xml:space="preserve">the </w:t>
      </w:r>
      <w:r w:rsidRPr="00AC1055">
        <w:rPr>
          <w:rFonts w:cs="Times New Roman"/>
        </w:rPr>
        <w:t>Bayesian regression coefficient for corporate governance ranges between -0.063 to 0.212, this is outside the frequentist estimates.</w:t>
      </w:r>
    </w:p>
    <w:tbl>
      <w:tblPr>
        <w:tblStyle w:val="TableGrid"/>
        <w:tblW w:w="0" w:type="auto"/>
        <w:tblLook w:val="04A0" w:firstRow="1" w:lastRow="0" w:firstColumn="1" w:lastColumn="0" w:noHBand="0" w:noVBand="1"/>
      </w:tblPr>
      <w:tblGrid>
        <w:gridCol w:w="1809"/>
        <w:gridCol w:w="1147"/>
        <w:gridCol w:w="1301"/>
        <w:gridCol w:w="1359"/>
        <w:gridCol w:w="1399"/>
        <w:gridCol w:w="1399"/>
      </w:tblGrid>
      <w:tr w:rsidR="00413229" w:rsidRPr="00AC1055" w14:paraId="783FE65B" w14:textId="77777777" w:rsidTr="00413229">
        <w:tc>
          <w:tcPr>
            <w:tcW w:w="1809" w:type="dxa"/>
          </w:tcPr>
          <w:p w14:paraId="2F1170EE" w14:textId="77777777" w:rsidR="00413229" w:rsidRPr="00AC1055" w:rsidRDefault="00413229" w:rsidP="00413229">
            <w:pPr>
              <w:rPr>
                <w:rFonts w:cs="Times New Roman"/>
              </w:rPr>
            </w:pPr>
          </w:p>
        </w:tc>
        <w:tc>
          <w:tcPr>
            <w:tcW w:w="1147" w:type="dxa"/>
          </w:tcPr>
          <w:p w14:paraId="4B263772" w14:textId="77777777" w:rsidR="00413229" w:rsidRPr="00AC1055" w:rsidRDefault="00413229" w:rsidP="00413229">
            <w:pPr>
              <w:jc w:val="center"/>
              <w:rPr>
                <w:rFonts w:cs="Times New Roman"/>
              </w:rPr>
            </w:pPr>
            <w:r w:rsidRPr="00AC1055">
              <w:rPr>
                <w:rFonts w:cs="Times New Roman"/>
              </w:rPr>
              <w:t>CG</w:t>
            </w:r>
          </w:p>
        </w:tc>
        <w:tc>
          <w:tcPr>
            <w:tcW w:w="1301" w:type="dxa"/>
          </w:tcPr>
          <w:p w14:paraId="1429FA37" w14:textId="77777777" w:rsidR="00413229" w:rsidRPr="00AC1055" w:rsidRDefault="00413229" w:rsidP="00413229">
            <w:pPr>
              <w:jc w:val="center"/>
              <w:rPr>
                <w:rFonts w:cs="Times New Roman"/>
              </w:rPr>
            </w:pPr>
            <w:r w:rsidRPr="00AC1055">
              <w:rPr>
                <w:rFonts w:cs="Times New Roman"/>
              </w:rPr>
              <w:t>Control 1</w:t>
            </w:r>
          </w:p>
        </w:tc>
        <w:tc>
          <w:tcPr>
            <w:tcW w:w="1359" w:type="dxa"/>
          </w:tcPr>
          <w:p w14:paraId="2970D5BE" w14:textId="77777777" w:rsidR="00413229" w:rsidRPr="00AC1055" w:rsidRDefault="00413229" w:rsidP="00413229">
            <w:pPr>
              <w:jc w:val="center"/>
              <w:rPr>
                <w:rFonts w:cs="Times New Roman"/>
              </w:rPr>
            </w:pPr>
            <w:r w:rsidRPr="00AC1055">
              <w:rPr>
                <w:rFonts w:cs="Times New Roman"/>
              </w:rPr>
              <w:t>Control 2</w:t>
            </w:r>
          </w:p>
        </w:tc>
        <w:tc>
          <w:tcPr>
            <w:tcW w:w="1399" w:type="dxa"/>
          </w:tcPr>
          <w:p w14:paraId="68C4919E" w14:textId="77777777" w:rsidR="00413229" w:rsidRPr="00AC1055" w:rsidRDefault="00413229" w:rsidP="00413229">
            <w:pPr>
              <w:jc w:val="center"/>
              <w:rPr>
                <w:rFonts w:cs="Times New Roman"/>
              </w:rPr>
            </w:pPr>
            <w:r w:rsidRPr="00AC1055">
              <w:rPr>
                <w:rFonts w:cs="Times New Roman"/>
              </w:rPr>
              <w:t>Control 3</w:t>
            </w:r>
          </w:p>
        </w:tc>
        <w:tc>
          <w:tcPr>
            <w:tcW w:w="1399" w:type="dxa"/>
          </w:tcPr>
          <w:p w14:paraId="5813520F"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2983E711" w14:textId="77777777" w:rsidTr="00413229">
        <w:tc>
          <w:tcPr>
            <w:tcW w:w="1809" w:type="dxa"/>
          </w:tcPr>
          <w:p w14:paraId="46753A41" w14:textId="77777777" w:rsidR="00413229" w:rsidRPr="00AC1055" w:rsidRDefault="00413229" w:rsidP="00413229">
            <w:pPr>
              <w:rPr>
                <w:rFonts w:cs="Times New Roman"/>
              </w:rPr>
            </w:pPr>
            <w:r w:rsidRPr="00AC1055">
              <w:rPr>
                <w:rFonts w:cs="Times New Roman"/>
              </w:rPr>
              <w:t>Mean Bayesian</w:t>
            </w:r>
          </w:p>
        </w:tc>
        <w:tc>
          <w:tcPr>
            <w:tcW w:w="1147" w:type="dxa"/>
          </w:tcPr>
          <w:p w14:paraId="1A489992" w14:textId="77777777" w:rsidR="00413229" w:rsidRPr="00AC1055" w:rsidRDefault="00413229" w:rsidP="00413229">
            <w:pPr>
              <w:jc w:val="center"/>
              <w:rPr>
                <w:rFonts w:cs="Times New Roman"/>
              </w:rPr>
            </w:pPr>
            <w:r w:rsidRPr="00AC1055">
              <w:rPr>
                <w:rFonts w:cs="Times New Roman"/>
              </w:rPr>
              <w:t>0.074224</w:t>
            </w:r>
          </w:p>
        </w:tc>
        <w:tc>
          <w:tcPr>
            <w:tcW w:w="1301" w:type="dxa"/>
            <w:vAlign w:val="bottom"/>
          </w:tcPr>
          <w:p w14:paraId="6E38343A" w14:textId="77777777" w:rsidR="00413229" w:rsidRPr="00AC1055" w:rsidRDefault="00413229" w:rsidP="00413229">
            <w:pPr>
              <w:jc w:val="center"/>
              <w:rPr>
                <w:rFonts w:cs="Times New Roman"/>
                <w:color w:val="000000"/>
                <w:szCs w:val="24"/>
              </w:rPr>
            </w:pPr>
            <w:r w:rsidRPr="00AC1055">
              <w:rPr>
                <w:rFonts w:cs="Times New Roman"/>
                <w:color w:val="000000"/>
                <w:szCs w:val="24"/>
              </w:rPr>
              <w:t>0.410382</w:t>
            </w:r>
          </w:p>
        </w:tc>
        <w:tc>
          <w:tcPr>
            <w:tcW w:w="1359" w:type="dxa"/>
            <w:vAlign w:val="bottom"/>
          </w:tcPr>
          <w:p w14:paraId="7D388C21" w14:textId="77777777" w:rsidR="00413229" w:rsidRPr="00AC1055" w:rsidRDefault="00413229" w:rsidP="00413229">
            <w:pPr>
              <w:jc w:val="center"/>
              <w:rPr>
                <w:rFonts w:cs="Times New Roman"/>
                <w:color w:val="000000"/>
                <w:szCs w:val="24"/>
              </w:rPr>
            </w:pPr>
            <w:r w:rsidRPr="00AC1055">
              <w:rPr>
                <w:rFonts w:cs="Times New Roman"/>
                <w:color w:val="000000"/>
                <w:szCs w:val="24"/>
              </w:rPr>
              <w:t>0.0851</w:t>
            </w:r>
          </w:p>
        </w:tc>
        <w:tc>
          <w:tcPr>
            <w:tcW w:w="1399" w:type="dxa"/>
            <w:vAlign w:val="bottom"/>
          </w:tcPr>
          <w:p w14:paraId="7D64BFF3" w14:textId="77777777" w:rsidR="00413229" w:rsidRPr="00AC1055" w:rsidRDefault="00413229" w:rsidP="00413229">
            <w:pPr>
              <w:jc w:val="center"/>
              <w:rPr>
                <w:rFonts w:cs="Times New Roman"/>
                <w:color w:val="000000"/>
                <w:szCs w:val="24"/>
              </w:rPr>
            </w:pPr>
            <w:r w:rsidRPr="00AC1055">
              <w:rPr>
                <w:rFonts w:cs="Times New Roman"/>
                <w:color w:val="000000"/>
                <w:szCs w:val="24"/>
              </w:rPr>
              <w:t>0.453187</w:t>
            </w:r>
          </w:p>
        </w:tc>
        <w:tc>
          <w:tcPr>
            <w:tcW w:w="1399" w:type="dxa"/>
          </w:tcPr>
          <w:p w14:paraId="1D24D81F" w14:textId="77777777" w:rsidR="00413229" w:rsidRPr="00AC1055" w:rsidRDefault="00413229" w:rsidP="00413229">
            <w:pPr>
              <w:jc w:val="center"/>
              <w:rPr>
                <w:rFonts w:cs="Times New Roman"/>
              </w:rPr>
            </w:pPr>
            <w:r w:rsidRPr="00AC1055">
              <w:rPr>
                <w:rFonts w:cs="Times New Roman"/>
              </w:rPr>
              <w:t>0.274053</w:t>
            </w:r>
          </w:p>
        </w:tc>
      </w:tr>
      <w:tr w:rsidR="00413229" w:rsidRPr="00AC1055" w14:paraId="72E9EAFE" w14:textId="77777777" w:rsidTr="00413229">
        <w:tc>
          <w:tcPr>
            <w:tcW w:w="1809" w:type="dxa"/>
          </w:tcPr>
          <w:p w14:paraId="44444DCB" w14:textId="77777777" w:rsidR="00413229" w:rsidRPr="00AC1055" w:rsidRDefault="00413229" w:rsidP="00413229">
            <w:pPr>
              <w:rPr>
                <w:rFonts w:cs="Times New Roman"/>
              </w:rPr>
            </w:pPr>
            <w:r w:rsidRPr="00AC1055">
              <w:rPr>
                <w:rFonts w:cs="Times New Roman"/>
              </w:rPr>
              <w:t>Frequentist</w:t>
            </w:r>
          </w:p>
        </w:tc>
        <w:tc>
          <w:tcPr>
            <w:tcW w:w="1147" w:type="dxa"/>
          </w:tcPr>
          <w:p w14:paraId="0B693DB1" w14:textId="77777777" w:rsidR="00413229" w:rsidRPr="00AC1055" w:rsidRDefault="00413229" w:rsidP="00413229">
            <w:pPr>
              <w:jc w:val="center"/>
              <w:rPr>
                <w:rFonts w:cs="Times New Roman"/>
              </w:rPr>
            </w:pPr>
            <w:r w:rsidRPr="00AC1055">
              <w:rPr>
                <w:rFonts w:cs="Times New Roman"/>
              </w:rPr>
              <w:t>0.380608</w:t>
            </w:r>
          </w:p>
        </w:tc>
        <w:tc>
          <w:tcPr>
            <w:tcW w:w="1301" w:type="dxa"/>
          </w:tcPr>
          <w:p w14:paraId="5F7053B7" w14:textId="77777777" w:rsidR="00413229" w:rsidRPr="00AC1055" w:rsidRDefault="00413229" w:rsidP="00413229">
            <w:pPr>
              <w:jc w:val="center"/>
              <w:rPr>
                <w:rFonts w:cs="Times New Roman"/>
              </w:rPr>
            </w:pPr>
            <w:r w:rsidRPr="00AC1055">
              <w:rPr>
                <w:rFonts w:cs="Times New Roman"/>
              </w:rPr>
              <w:t>0.372686</w:t>
            </w:r>
          </w:p>
        </w:tc>
        <w:tc>
          <w:tcPr>
            <w:tcW w:w="1359" w:type="dxa"/>
          </w:tcPr>
          <w:p w14:paraId="734877F5" w14:textId="77777777" w:rsidR="00413229" w:rsidRPr="00AC1055" w:rsidRDefault="00413229" w:rsidP="00413229">
            <w:pPr>
              <w:jc w:val="center"/>
              <w:rPr>
                <w:rFonts w:cs="Times New Roman"/>
              </w:rPr>
            </w:pPr>
            <w:r w:rsidRPr="00AC1055">
              <w:rPr>
                <w:rFonts w:cs="Times New Roman"/>
              </w:rPr>
              <w:t>-0.00216</w:t>
            </w:r>
          </w:p>
        </w:tc>
        <w:tc>
          <w:tcPr>
            <w:tcW w:w="1399" w:type="dxa"/>
          </w:tcPr>
          <w:p w14:paraId="3E2EE219" w14:textId="77777777" w:rsidR="00413229" w:rsidRPr="00AC1055" w:rsidRDefault="00413229" w:rsidP="00413229">
            <w:pPr>
              <w:jc w:val="center"/>
              <w:rPr>
                <w:rFonts w:cs="Times New Roman"/>
              </w:rPr>
            </w:pPr>
            <w:r w:rsidRPr="00AC1055">
              <w:rPr>
                <w:rFonts w:cs="Times New Roman"/>
              </w:rPr>
              <w:t>0.463233</w:t>
            </w:r>
          </w:p>
        </w:tc>
        <w:tc>
          <w:tcPr>
            <w:tcW w:w="1399" w:type="dxa"/>
          </w:tcPr>
          <w:p w14:paraId="27A4A8BC" w14:textId="77777777" w:rsidR="00413229" w:rsidRPr="00AC1055" w:rsidRDefault="00413229" w:rsidP="00413229">
            <w:pPr>
              <w:jc w:val="center"/>
              <w:rPr>
                <w:rFonts w:cs="Times New Roman"/>
              </w:rPr>
            </w:pPr>
            <w:r w:rsidRPr="00AC1055">
              <w:rPr>
                <w:rFonts w:cs="Times New Roman"/>
              </w:rPr>
              <w:t>0.201533</w:t>
            </w:r>
          </w:p>
        </w:tc>
      </w:tr>
    </w:tbl>
    <w:p w14:paraId="12E9030B" w14:textId="77777777" w:rsidR="00413229" w:rsidRDefault="00413229" w:rsidP="00413229">
      <w:pPr>
        <w:spacing w:line="480" w:lineRule="auto"/>
        <w:rPr>
          <w:rFonts w:cs="Times New Roman"/>
        </w:rPr>
      </w:pPr>
    </w:p>
    <w:p w14:paraId="10267EB6" w14:textId="77777777" w:rsidR="00413229" w:rsidRPr="00AC1055" w:rsidRDefault="00413229" w:rsidP="00413229">
      <w:pPr>
        <w:spacing w:line="480" w:lineRule="auto"/>
        <w:rPr>
          <w:rFonts w:cs="Times New Roman"/>
        </w:rPr>
      </w:pPr>
      <w:r w:rsidRPr="00AC1055">
        <w:rPr>
          <w:rFonts w:cs="Times New Roman"/>
        </w:rPr>
        <w:lastRenderedPageBreak/>
        <w:t xml:space="preserve">So although frequentist estimates show a highly significant role for corporate governance in </w:t>
      </w:r>
      <w:r>
        <w:rPr>
          <w:rFonts w:cs="Times New Roman"/>
        </w:rPr>
        <w:t xml:space="preserve">the </w:t>
      </w:r>
      <w:r w:rsidRPr="00AC1055">
        <w:rPr>
          <w:rFonts w:cs="Times New Roman"/>
        </w:rPr>
        <w:t xml:space="preserve">development of the financial market in Hong Kong, </w:t>
      </w:r>
      <w:r>
        <w:rPr>
          <w:rFonts w:cs="Times New Roman"/>
        </w:rPr>
        <w:t>on</w:t>
      </w:r>
      <w:r w:rsidRPr="00AC1055">
        <w:rPr>
          <w:rFonts w:cs="Times New Roman"/>
        </w:rPr>
        <w:t xml:space="preserve"> par with economic factors (control 1), the Bayesian estimate on the other hand suggests only a minor role,</w:t>
      </w:r>
      <w:r>
        <w:rPr>
          <w:rFonts w:cs="Times New Roman"/>
        </w:rPr>
        <w:t xml:space="preserve"> about 0.18 times as impactful as control 1,</w:t>
      </w:r>
      <w:r w:rsidRPr="00AC1055">
        <w:rPr>
          <w:rFonts w:cs="Times New Roman"/>
        </w:rPr>
        <w:t xml:space="preserve"> and at best only about half as important as economic and technological controls. Thus</w:t>
      </w:r>
      <w:r>
        <w:rPr>
          <w:rFonts w:cs="Times New Roman"/>
        </w:rPr>
        <w:t>,</w:t>
      </w:r>
      <w:r w:rsidRPr="00AC1055">
        <w:rPr>
          <w:rFonts w:cs="Times New Roman"/>
        </w:rPr>
        <w:t xml:space="preserve"> </w:t>
      </w:r>
      <w:r>
        <w:rPr>
          <w:rFonts w:cs="Times New Roman"/>
        </w:rPr>
        <w:t>it</w:t>
      </w:r>
      <w:r w:rsidRPr="00AC1055">
        <w:rPr>
          <w:rFonts w:cs="Times New Roman"/>
        </w:rPr>
        <w:t xml:space="preserve"> can </w:t>
      </w:r>
      <w:r>
        <w:rPr>
          <w:rFonts w:cs="Times New Roman"/>
        </w:rPr>
        <w:t xml:space="preserve">be </w:t>
      </w:r>
      <w:r w:rsidRPr="00AC1055">
        <w:rPr>
          <w:rFonts w:cs="Times New Roman"/>
        </w:rPr>
        <w:t>conclude</w:t>
      </w:r>
      <w:r>
        <w:rPr>
          <w:rFonts w:cs="Times New Roman"/>
        </w:rPr>
        <w:t>d</w:t>
      </w:r>
      <w:r w:rsidRPr="00AC1055">
        <w:rPr>
          <w:rFonts w:cs="Times New Roman"/>
        </w:rPr>
        <w:t xml:space="preserve"> that given the high incumbent financial market growth in Hong Kong, a continued shift in corporate governance regulations towards ensuring greater shareholder control, may have </w:t>
      </w:r>
      <w:r>
        <w:rPr>
          <w:rFonts w:cs="Times New Roman"/>
        </w:rPr>
        <w:t xml:space="preserve">a </w:t>
      </w:r>
      <w:r w:rsidRPr="00AC1055">
        <w:rPr>
          <w:rFonts w:cs="Times New Roman"/>
        </w:rPr>
        <w:t xml:space="preserve">noticeable impact on further growth in </w:t>
      </w:r>
      <w:r>
        <w:rPr>
          <w:rFonts w:cs="Times New Roman"/>
        </w:rPr>
        <w:t xml:space="preserve">the </w:t>
      </w:r>
      <w:r w:rsidRPr="00AC1055">
        <w:rPr>
          <w:rFonts w:cs="Times New Roman"/>
        </w:rPr>
        <w:t xml:space="preserve">financial market. </w:t>
      </w:r>
      <w:r>
        <w:rPr>
          <w:rFonts w:cs="Times New Roman"/>
        </w:rPr>
        <w:t>This could be because of several extraneous factors outside the scope of the present model - the position of Hong Kong as a gateway to the Chinese financial market on a shareholder value term, higher rule of law (which was not used in the per-country regression analysis), a history as a hub of the financial market etc.</w:t>
      </w:r>
    </w:p>
    <w:p w14:paraId="2FD7CB0F" w14:textId="77777777" w:rsidR="00413229" w:rsidRPr="00AC1055" w:rsidRDefault="00413229" w:rsidP="00413229">
      <w:pPr>
        <w:spacing w:line="480" w:lineRule="auto"/>
        <w:rPr>
          <w:rFonts w:cs="Times New Roman"/>
        </w:rPr>
      </w:pPr>
    </w:p>
    <w:p w14:paraId="0495C81C" w14:textId="77777777" w:rsidR="00413229" w:rsidRPr="00AC1055" w:rsidRDefault="00413229" w:rsidP="00413229">
      <w:pPr>
        <w:spacing w:line="480" w:lineRule="auto"/>
        <w:rPr>
          <w:rFonts w:cs="Times New Roman"/>
          <w:u w:val="single"/>
        </w:rPr>
      </w:pPr>
      <w:r>
        <w:rPr>
          <w:rFonts w:cs="Times New Roman"/>
          <w:u w:val="single"/>
        </w:rPr>
        <w:t xml:space="preserve">4.4.17 </w:t>
      </w:r>
      <w:r w:rsidRPr="00AC1055">
        <w:rPr>
          <w:rFonts w:cs="Times New Roman"/>
          <w:u w:val="single"/>
        </w:rPr>
        <w:t xml:space="preserve">Philippines </w:t>
      </w:r>
    </w:p>
    <w:p w14:paraId="012A7C7E"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0898388C" wp14:editId="52BDF7E0">
            <wp:extent cx="5619048" cy="3390476"/>
            <wp:effectExtent l="0" t="0" r="1270" b="63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19048" cy="3390476"/>
                    </a:xfrm>
                    <a:prstGeom prst="rect">
                      <a:avLst/>
                    </a:prstGeom>
                  </pic:spPr>
                </pic:pic>
              </a:graphicData>
            </a:graphic>
          </wp:inline>
        </w:drawing>
      </w:r>
    </w:p>
    <w:p w14:paraId="55F6A897" w14:textId="77777777" w:rsidR="00413229" w:rsidRPr="00AC1055" w:rsidRDefault="00413229" w:rsidP="00413229">
      <w:pPr>
        <w:spacing w:line="480" w:lineRule="auto"/>
        <w:rPr>
          <w:rFonts w:cs="Times New Roman"/>
        </w:rPr>
      </w:pPr>
      <w:r w:rsidRPr="00AC1055">
        <w:rPr>
          <w:rFonts w:cs="Times New Roman"/>
        </w:rPr>
        <w:lastRenderedPageBreak/>
        <w:t xml:space="preserve">Corporate governance in </w:t>
      </w:r>
      <w:r>
        <w:rPr>
          <w:rFonts w:cs="Times New Roman"/>
        </w:rPr>
        <w:t xml:space="preserve">the </w:t>
      </w:r>
      <w:r w:rsidRPr="00AC1055">
        <w:rPr>
          <w:rFonts w:cs="Times New Roman"/>
        </w:rPr>
        <w:t xml:space="preserve">Philippines has steadily shifted towards a shareholder primacy model, the shift is one of the </w:t>
      </w:r>
      <w:r>
        <w:rPr>
          <w:rFonts w:cs="Times New Roman"/>
        </w:rPr>
        <w:t>greater ones</w:t>
      </w:r>
      <w:r w:rsidRPr="00AC1055">
        <w:rPr>
          <w:rFonts w:cs="Times New Roman"/>
        </w:rPr>
        <w:t xml:space="preserve"> among the countries studied under this research. </w:t>
      </w:r>
      <w:r>
        <w:rPr>
          <w:rFonts w:cs="Times New Roman"/>
        </w:rPr>
        <w:t>F</w:t>
      </w:r>
      <w:r w:rsidRPr="00AC1055">
        <w:rPr>
          <w:rFonts w:cs="Times New Roman"/>
        </w:rPr>
        <w:t xml:space="preserve">inancial market development has remained relatively stable with a spike in 2006. The economic factors (control 1) closely follows financial market growth, the financial and technological factor (control 2) seems to vary independently with </w:t>
      </w:r>
      <w:r>
        <w:rPr>
          <w:rFonts w:cs="Times New Roman"/>
        </w:rPr>
        <w:t xml:space="preserve">a </w:t>
      </w:r>
      <w:r w:rsidRPr="00AC1055">
        <w:rPr>
          <w:rFonts w:cs="Times New Roman"/>
        </w:rPr>
        <w:t>rapid upswing in 2011, the investment in R&amp;D and technology</w:t>
      </w:r>
      <w:r>
        <w:rPr>
          <w:rFonts w:cs="Times New Roman"/>
        </w:rPr>
        <w:t>-</w:t>
      </w:r>
      <w:r w:rsidRPr="00AC1055">
        <w:rPr>
          <w:rFonts w:cs="Times New Roman"/>
        </w:rPr>
        <w:t>led export variables (control 3) show signs of gradual decline.</w:t>
      </w:r>
    </w:p>
    <w:p w14:paraId="72AE993F"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5CDB1BDF" wp14:editId="6535D0FA">
            <wp:extent cx="5743575" cy="1787276"/>
            <wp:effectExtent l="0" t="0" r="0" b="381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57642" cy="1791653"/>
                    </a:xfrm>
                    <a:prstGeom prst="rect">
                      <a:avLst/>
                    </a:prstGeom>
                    <a:noFill/>
                    <a:ln>
                      <a:noFill/>
                    </a:ln>
                  </pic:spPr>
                </pic:pic>
              </a:graphicData>
            </a:graphic>
          </wp:inline>
        </w:drawing>
      </w:r>
    </w:p>
    <w:p w14:paraId="2F39FCE0" w14:textId="77777777" w:rsidR="00413229" w:rsidRPr="00AC1055" w:rsidRDefault="00413229" w:rsidP="00413229">
      <w:pPr>
        <w:spacing w:line="480" w:lineRule="auto"/>
        <w:rPr>
          <w:rFonts w:cs="Times New Roman"/>
        </w:rPr>
      </w:pPr>
      <w:r w:rsidRPr="00AC1055">
        <w:rPr>
          <w:rFonts w:cs="Times New Roman"/>
        </w:rPr>
        <w:t xml:space="preserve">The corporate governance regression coefficient for </w:t>
      </w:r>
      <w:r>
        <w:rPr>
          <w:rFonts w:cs="Times New Roman"/>
        </w:rPr>
        <w:t xml:space="preserve">the </w:t>
      </w:r>
      <w:r w:rsidRPr="00AC1055">
        <w:rPr>
          <w:rFonts w:cs="Times New Roman"/>
        </w:rPr>
        <w:t>Philippines is similar in Bayesian and frequentist inferences, the frequentist estimate is well within the Bayesian credible interval estimate range of 0.017428 to 0.089057. The coefficients for control 2 under Bayesian and frequentist inference</w:t>
      </w:r>
      <w:r>
        <w:rPr>
          <w:rFonts w:cs="Times New Roman"/>
        </w:rPr>
        <w:t xml:space="preserve"> match closely.  </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4B8BB0C0" w14:textId="77777777" w:rsidTr="00413229">
        <w:tc>
          <w:tcPr>
            <w:tcW w:w="1809" w:type="dxa"/>
          </w:tcPr>
          <w:p w14:paraId="5EA6E1EF" w14:textId="77777777" w:rsidR="00413229" w:rsidRPr="00AC1055" w:rsidRDefault="00413229" w:rsidP="00413229">
            <w:pPr>
              <w:rPr>
                <w:rFonts w:cs="Times New Roman"/>
              </w:rPr>
            </w:pPr>
          </w:p>
        </w:tc>
        <w:tc>
          <w:tcPr>
            <w:tcW w:w="1138" w:type="dxa"/>
          </w:tcPr>
          <w:p w14:paraId="43366F62" w14:textId="77777777" w:rsidR="00413229" w:rsidRPr="00AC1055" w:rsidRDefault="00413229" w:rsidP="00413229">
            <w:pPr>
              <w:jc w:val="center"/>
              <w:rPr>
                <w:rFonts w:cs="Times New Roman"/>
              </w:rPr>
            </w:pPr>
            <w:r w:rsidRPr="00AC1055">
              <w:rPr>
                <w:rFonts w:cs="Times New Roman"/>
              </w:rPr>
              <w:t>CG</w:t>
            </w:r>
          </w:p>
        </w:tc>
        <w:tc>
          <w:tcPr>
            <w:tcW w:w="1298" w:type="dxa"/>
          </w:tcPr>
          <w:p w14:paraId="1A5BC91D"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4E3F0E17"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640C56CE"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486AFD7E"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179C8EE8" w14:textId="77777777" w:rsidTr="00413229">
        <w:tc>
          <w:tcPr>
            <w:tcW w:w="1809" w:type="dxa"/>
          </w:tcPr>
          <w:p w14:paraId="490897C2" w14:textId="77777777" w:rsidR="00413229" w:rsidRPr="00AC1055" w:rsidRDefault="00413229" w:rsidP="00413229">
            <w:pPr>
              <w:rPr>
                <w:rFonts w:cs="Times New Roman"/>
              </w:rPr>
            </w:pPr>
            <w:r w:rsidRPr="00AC1055">
              <w:rPr>
                <w:rFonts w:cs="Times New Roman"/>
              </w:rPr>
              <w:t>Mean Bayesian</w:t>
            </w:r>
          </w:p>
        </w:tc>
        <w:tc>
          <w:tcPr>
            <w:tcW w:w="1138" w:type="dxa"/>
          </w:tcPr>
          <w:p w14:paraId="69B2B76E" w14:textId="77777777" w:rsidR="00413229" w:rsidRPr="00AC1055" w:rsidRDefault="00413229" w:rsidP="00413229">
            <w:pPr>
              <w:jc w:val="center"/>
              <w:rPr>
                <w:rFonts w:cs="Times New Roman"/>
              </w:rPr>
            </w:pPr>
            <w:r w:rsidRPr="00AC1055">
              <w:rPr>
                <w:rFonts w:cs="Times New Roman"/>
              </w:rPr>
              <w:t>0.054709</w:t>
            </w:r>
          </w:p>
        </w:tc>
        <w:tc>
          <w:tcPr>
            <w:tcW w:w="1298" w:type="dxa"/>
            <w:vAlign w:val="bottom"/>
          </w:tcPr>
          <w:p w14:paraId="0833DB85" w14:textId="77777777" w:rsidR="00413229" w:rsidRPr="00AC1055" w:rsidRDefault="00413229" w:rsidP="00413229">
            <w:pPr>
              <w:jc w:val="center"/>
              <w:rPr>
                <w:rFonts w:cs="Times New Roman"/>
                <w:color w:val="000000"/>
                <w:szCs w:val="24"/>
              </w:rPr>
            </w:pPr>
            <w:r w:rsidRPr="00AC1055">
              <w:rPr>
                <w:rFonts w:cs="Times New Roman"/>
                <w:color w:val="000000"/>
                <w:szCs w:val="24"/>
              </w:rPr>
              <w:t>0.421624</w:t>
            </w:r>
          </w:p>
        </w:tc>
        <w:tc>
          <w:tcPr>
            <w:tcW w:w="1395" w:type="dxa"/>
            <w:vAlign w:val="bottom"/>
          </w:tcPr>
          <w:p w14:paraId="487927A7" w14:textId="77777777" w:rsidR="00413229" w:rsidRPr="00AC1055" w:rsidRDefault="00413229" w:rsidP="00413229">
            <w:pPr>
              <w:jc w:val="center"/>
              <w:rPr>
                <w:rFonts w:cs="Times New Roman"/>
                <w:color w:val="000000"/>
                <w:szCs w:val="24"/>
              </w:rPr>
            </w:pPr>
            <w:r w:rsidRPr="00AC1055">
              <w:rPr>
                <w:rFonts w:cs="Times New Roman"/>
                <w:color w:val="000000"/>
                <w:szCs w:val="24"/>
              </w:rPr>
              <w:t>0.07878</w:t>
            </w:r>
          </w:p>
        </w:tc>
        <w:tc>
          <w:tcPr>
            <w:tcW w:w="1395" w:type="dxa"/>
            <w:vAlign w:val="bottom"/>
          </w:tcPr>
          <w:p w14:paraId="6AF2FD32" w14:textId="77777777" w:rsidR="00413229" w:rsidRPr="00AC1055" w:rsidRDefault="00413229" w:rsidP="00413229">
            <w:pPr>
              <w:jc w:val="center"/>
              <w:rPr>
                <w:rFonts w:cs="Times New Roman"/>
                <w:color w:val="000000"/>
                <w:szCs w:val="24"/>
              </w:rPr>
            </w:pPr>
            <w:r w:rsidRPr="00AC1055">
              <w:rPr>
                <w:rFonts w:cs="Times New Roman"/>
                <w:color w:val="000000"/>
                <w:szCs w:val="24"/>
              </w:rPr>
              <w:t>0.351537</w:t>
            </w:r>
          </w:p>
        </w:tc>
        <w:tc>
          <w:tcPr>
            <w:tcW w:w="1379" w:type="dxa"/>
          </w:tcPr>
          <w:p w14:paraId="06E8449A" w14:textId="77777777" w:rsidR="00413229" w:rsidRPr="00AC1055" w:rsidRDefault="00413229" w:rsidP="00413229">
            <w:pPr>
              <w:jc w:val="center"/>
              <w:rPr>
                <w:rFonts w:cs="Times New Roman"/>
              </w:rPr>
            </w:pPr>
            <w:r w:rsidRPr="00AC1055">
              <w:rPr>
                <w:rFonts w:cs="Times New Roman"/>
              </w:rPr>
              <w:t>-0.25566</w:t>
            </w:r>
          </w:p>
        </w:tc>
      </w:tr>
      <w:tr w:rsidR="00413229" w:rsidRPr="00AC1055" w14:paraId="586918A4" w14:textId="77777777" w:rsidTr="00413229">
        <w:tc>
          <w:tcPr>
            <w:tcW w:w="1809" w:type="dxa"/>
          </w:tcPr>
          <w:p w14:paraId="6C230E47" w14:textId="77777777" w:rsidR="00413229" w:rsidRPr="00AC1055" w:rsidRDefault="00413229" w:rsidP="00413229">
            <w:pPr>
              <w:rPr>
                <w:rFonts w:cs="Times New Roman"/>
              </w:rPr>
            </w:pPr>
            <w:r w:rsidRPr="00AC1055">
              <w:rPr>
                <w:rFonts w:cs="Times New Roman"/>
              </w:rPr>
              <w:t>Frequentist</w:t>
            </w:r>
          </w:p>
        </w:tc>
        <w:tc>
          <w:tcPr>
            <w:tcW w:w="1138" w:type="dxa"/>
          </w:tcPr>
          <w:p w14:paraId="17E7BC3F" w14:textId="77777777" w:rsidR="00413229" w:rsidRPr="00AC1055" w:rsidRDefault="00413229" w:rsidP="00413229">
            <w:pPr>
              <w:jc w:val="center"/>
              <w:rPr>
                <w:rFonts w:cs="Times New Roman"/>
              </w:rPr>
            </w:pPr>
            <w:r w:rsidRPr="00AC1055">
              <w:rPr>
                <w:rFonts w:cs="Times New Roman"/>
              </w:rPr>
              <w:t>0.022953</w:t>
            </w:r>
          </w:p>
        </w:tc>
        <w:tc>
          <w:tcPr>
            <w:tcW w:w="1298" w:type="dxa"/>
          </w:tcPr>
          <w:p w14:paraId="302D7981" w14:textId="77777777" w:rsidR="00413229" w:rsidRPr="00AC1055" w:rsidRDefault="00413229" w:rsidP="00413229">
            <w:pPr>
              <w:jc w:val="center"/>
              <w:rPr>
                <w:rFonts w:cs="Times New Roman"/>
              </w:rPr>
            </w:pPr>
            <w:r w:rsidRPr="00AC1055">
              <w:rPr>
                <w:rFonts w:cs="Times New Roman"/>
              </w:rPr>
              <w:t>0.256987</w:t>
            </w:r>
          </w:p>
        </w:tc>
        <w:tc>
          <w:tcPr>
            <w:tcW w:w="1395" w:type="dxa"/>
          </w:tcPr>
          <w:p w14:paraId="5B9B21AE" w14:textId="77777777" w:rsidR="00413229" w:rsidRPr="00AC1055" w:rsidRDefault="00413229" w:rsidP="00413229">
            <w:pPr>
              <w:jc w:val="center"/>
              <w:rPr>
                <w:rFonts w:cs="Times New Roman"/>
              </w:rPr>
            </w:pPr>
            <w:r w:rsidRPr="00AC1055">
              <w:rPr>
                <w:rFonts w:cs="Times New Roman"/>
              </w:rPr>
              <w:t>0.076865</w:t>
            </w:r>
          </w:p>
        </w:tc>
        <w:tc>
          <w:tcPr>
            <w:tcW w:w="1395" w:type="dxa"/>
          </w:tcPr>
          <w:p w14:paraId="6967E58D" w14:textId="77777777" w:rsidR="00413229" w:rsidRPr="00AC1055" w:rsidRDefault="00413229" w:rsidP="00413229">
            <w:pPr>
              <w:jc w:val="center"/>
              <w:rPr>
                <w:rFonts w:cs="Times New Roman"/>
              </w:rPr>
            </w:pPr>
            <w:r w:rsidRPr="00AC1055">
              <w:rPr>
                <w:rFonts w:cs="Times New Roman"/>
              </w:rPr>
              <w:t>0.123642</w:t>
            </w:r>
          </w:p>
        </w:tc>
        <w:tc>
          <w:tcPr>
            <w:tcW w:w="1379" w:type="dxa"/>
          </w:tcPr>
          <w:p w14:paraId="51DE4E27" w14:textId="77777777" w:rsidR="00413229" w:rsidRPr="00AC1055" w:rsidRDefault="00413229" w:rsidP="00413229">
            <w:pPr>
              <w:jc w:val="center"/>
              <w:rPr>
                <w:rFonts w:cs="Times New Roman"/>
              </w:rPr>
            </w:pPr>
            <w:r w:rsidRPr="00AC1055">
              <w:rPr>
                <w:rFonts w:cs="Times New Roman"/>
              </w:rPr>
              <w:t>-0.30529</w:t>
            </w:r>
          </w:p>
        </w:tc>
      </w:tr>
    </w:tbl>
    <w:p w14:paraId="52E329B0" w14:textId="77777777" w:rsidR="00413229" w:rsidRDefault="00413229" w:rsidP="00413229">
      <w:pPr>
        <w:spacing w:line="480" w:lineRule="auto"/>
        <w:rPr>
          <w:rFonts w:cs="Times New Roman"/>
        </w:rPr>
      </w:pPr>
    </w:p>
    <w:p w14:paraId="6FC3242B" w14:textId="77777777" w:rsidR="00413229" w:rsidRPr="00AC1055" w:rsidRDefault="00413229" w:rsidP="00413229">
      <w:pPr>
        <w:spacing w:line="480" w:lineRule="auto"/>
        <w:rPr>
          <w:rFonts w:cs="Times New Roman"/>
        </w:rPr>
      </w:pPr>
      <w:r w:rsidRPr="00AC1055">
        <w:rPr>
          <w:rFonts w:cs="Times New Roman"/>
        </w:rPr>
        <w:t xml:space="preserve">The corporate governance coefficient under both Bayesian and frequentist inferences are quite low in comparison to </w:t>
      </w:r>
      <w:r>
        <w:rPr>
          <w:rFonts w:cs="Times New Roman"/>
        </w:rPr>
        <w:t xml:space="preserve">the </w:t>
      </w:r>
      <w:r w:rsidRPr="00AC1055">
        <w:rPr>
          <w:rFonts w:cs="Times New Roman"/>
        </w:rPr>
        <w:t xml:space="preserve">control coefficient. So we can conclude that for </w:t>
      </w:r>
      <w:r>
        <w:rPr>
          <w:rFonts w:cs="Times New Roman"/>
        </w:rPr>
        <w:t xml:space="preserve">the Philippines, </w:t>
      </w:r>
      <w:r w:rsidRPr="00AC1055">
        <w:rPr>
          <w:rFonts w:cs="Times New Roman"/>
        </w:rPr>
        <w:t>change</w:t>
      </w:r>
      <w:r>
        <w:rPr>
          <w:rFonts w:cs="Times New Roman"/>
        </w:rPr>
        <w:t>s</w:t>
      </w:r>
      <w:r w:rsidRPr="00AC1055">
        <w:rPr>
          <w:rFonts w:cs="Times New Roman"/>
        </w:rPr>
        <w:t xml:space="preserve"> in corporate governance </w:t>
      </w:r>
      <w:r>
        <w:rPr>
          <w:rFonts w:cs="Times New Roman"/>
        </w:rPr>
        <w:t>have had</w:t>
      </w:r>
      <w:r w:rsidRPr="00AC1055">
        <w:rPr>
          <w:rFonts w:cs="Times New Roman"/>
        </w:rPr>
        <w:t xml:space="preserve"> little impact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 xml:space="preserve">financial market, especially in comparison to financial and economic controls.  </w:t>
      </w:r>
    </w:p>
    <w:p w14:paraId="2C4F80A8" w14:textId="77777777" w:rsidR="00413229" w:rsidRDefault="00413229" w:rsidP="00413229">
      <w:pPr>
        <w:spacing w:line="480" w:lineRule="auto"/>
        <w:rPr>
          <w:rFonts w:cs="Times New Roman"/>
        </w:rPr>
      </w:pPr>
    </w:p>
    <w:p w14:paraId="3A495036" w14:textId="77777777" w:rsidR="00413229" w:rsidRPr="00AC1055" w:rsidRDefault="00413229" w:rsidP="00413229">
      <w:pPr>
        <w:spacing w:line="480" w:lineRule="auto"/>
        <w:rPr>
          <w:rFonts w:cs="Times New Roman"/>
          <w:u w:val="single"/>
        </w:rPr>
      </w:pPr>
      <w:r>
        <w:rPr>
          <w:rFonts w:cs="Times New Roman"/>
          <w:u w:val="single"/>
        </w:rPr>
        <w:lastRenderedPageBreak/>
        <w:t xml:space="preserve">4.4.18 </w:t>
      </w:r>
      <w:r w:rsidRPr="00AC1055">
        <w:rPr>
          <w:rFonts w:cs="Times New Roman"/>
          <w:u w:val="single"/>
        </w:rPr>
        <w:t>El Salvador</w:t>
      </w:r>
    </w:p>
    <w:p w14:paraId="2996F445"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2D301426" wp14:editId="2881B6B2">
            <wp:extent cx="5619048" cy="3390476"/>
            <wp:effectExtent l="0" t="0" r="1270"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619048" cy="3390476"/>
                    </a:xfrm>
                    <a:prstGeom prst="rect">
                      <a:avLst/>
                    </a:prstGeom>
                  </pic:spPr>
                </pic:pic>
              </a:graphicData>
            </a:graphic>
          </wp:inline>
        </w:drawing>
      </w:r>
    </w:p>
    <w:p w14:paraId="1F25CDF0" w14:textId="77777777" w:rsidR="00413229" w:rsidRPr="00AC1055" w:rsidRDefault="00413229" w:rsidP="00413229">
      <w:pPr>
        <w:spacing w:line="480" w:lineRule="auto"/>
        <w:rPr>
          <w:rFonts w:cs="Times New Roman"/>
        </w:rPr>
      </w:pPr>
      <w:r>
        <w:rPr>
          <w:rFonts w:cs="Times New Roman"/>
        </w:rPr>
        <w:t>F</w:t>
      </w:r>
      <w:r w:rsidRPr="00AC1055">
        <w:rPr>
          <w:rFonts w:cs="Times New Roman"/>
        </w:rPr>
        <w:t xml:space="preserve">inancial market development has remained remarkably stable </w:t>
      </w:r>
      <w:r>
        <w:rPr>
          <w:rFonts w:cs="Times New Roman"/>
        </w:rPr>
        <w:t xml:space="preserve">in El Salvador </w:t>
      </w:r>
      <w:r w:rsidRPr="00AC1055">
        <w:rPr>
          <w:rFonts w:cs="Times New Roman"/>
        </w:rPr>
        <w:t xml:space="preserve">in comparison to other variables. The corporate governance development and control 2 seems to be correlated, although there is little </w:t>
      </w:r>
      <w:r>
        <w:rPr>
          <w:rFonts w:cs="Times New Roman"/>
        </w:rPr>
        <w:t xml:space="preserve">obvious </w:t>
      </w:r>
      <w:r w:rsidRPr="00AC1055">
        <w:rPr>
          <w:rFonts w:cs="Times New Roman"/>
        </w:rPr>
        <w:t>reason for their correlation. The economic and financial variables (control 1) seem also to be correlated to some extent to investment in R&amp;D and technology</w:t>
      </w:r>
      <w:r>
        <w:rPr>
          <w:rFonts w:cs="Times New Roman"/>
        </w:rPr>
        <w:t>-</w:t>
      </w:r>
      <w:r w:rsidRPr="00AC1055">
        <w:rPr>
          <w:rFonts w:cs="Times New Roman"/>
        </w:rPr>
        <w:t xml:space="preserve">based exports (control 3). There </w:t>
      </w:r>
      <w:r>
        <w:rPr>
          <w:rFonts w:cs="Times New Roman"/>
        </w:rPr>
        <w:t>was</w:t>
      </w:r>
      <w:r w:rsidRPr="00AC1055">
        <w:rPr>
          <w:rFonts w:cs="Times New Roman"/>
        </w:rPr>
        <w:t xml:space="preserve"> some missing data for El Salvador which have further compounded the problem. All these unconnected reasons have made it extremely difficult to correctly predict the impact of change in corporate governance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financial market in El Salvador. Like Kenya before, El Salvador is the only country among those being studied in this research that needs about eight time</w:t>
      </w:r>
      <w:r>
        <w:rPr>
          <w:rFonts w:cs="Times New Roman"/>
        </w:rPr>
        <w:t>s</w:t>
      </w:r>
      <w:r w:rsidRPr="00AC1055">
        <w:rPr>
          <w:rFonts w:cs="Times New Roman"/>
        </w:rPr>
        <w:t xml:space="preserve"> more iterations than other countries, to reach a converging Bayesian model. Even then</w:t>
      </w:r>
      <w:r>
        <w:rPr>
          <w:rFonts w:cs="Times New Roman"/>
        </w:rPr>
        <w:t>,</w:t>
      </w:r>
      <w:r w:rsidRPr="00AC1055">
        <w:rPr>
          <w:rFonts w:cs="Times New Roman"/>
        </w:rPr>
        <w:t xml:space="preserve"> the credible intervals are too large to come to any meaningful comparison. </w:t>
      </w:r>
      <w:r>
        <w:rPr>
          <w:rFonts w:cs="Times New Roman"/>
        </w:rPr>
        <w:t>So it can be surmised that the data does not fit the model being used to explain financial market growth.</w:t>
      </w:r>
    </w:p>
    <w:p w14:paraId="085A45FC" w14:textId="77777777" w:rsidR="00413229" w:rsidRPr="00AC1055" w:rsidRDefault="00413229" w:rsidP="00413229">
      <w:pPr>
        <w:spacing w:line="480" w:lineRule="auto"/>
        <w:rPr>
          <w:rFonts w:cs="Times New Roman"/>
        </w:rPr>
      </w:pPr>
    </w:p>
    <w:p w14:paraId="0A3B8734" w14:textId="77777777" w:rsidR="00413229" w:rsidRPr="00AC1055" w:rsidRDefault="00413229" w:rsidP="00413229">
      <w:pPr>
        <w:spacing w:line="480" w:lineRule="auto"/>
        <w:rPr>
          <w:rFonts w:cs="Times New Roman"/>
        </w:rPr>
      </w:pPr>
      <w:r w:rsidRPr="00AC1055">
        <w:rPr>
          <w:rFonts w:cs="Times New Roman"/>
          <w:noProof/>
          <w:lang w:eastAsia="en-GB"/>
        </w:rPr>
        <w:lastRenderedPageBreak/>
        <w:drawing>
          <wp:inline distT="0" distB="0" distL="0" distR="0" wp14:anchorId="134A89AF" wp14:editId="6EFD8B4D">
            <wp:extent cx="5448300" cy="1763051"/>
            <wp:effectExtent l="0" t="0" r="0" b="889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64409" cy="1768264"/>
                    </a:xfrm>
                    <a:prstGeom prst="rect">
                      <a:avLst/>
                    </a:prstGeom>
                    <a:noFill/>
                    <a:ln>
                      <a:noFill/>
                    </a:ln>
                  </pic:spPr>
                </pic:pic>
              </a:graphicData>
            </a:graphic>
          </wp:inline>
        </w:drawing>
      </w:r>
    </w:p>
    <w:p w14:paraId="28BE8147" w14:textId="77777777" w:rsidR="00413229" w:rsidRPr="00AC1055" w:rsidRDefault="00413229" w:rsidP="00413229">
      <w:pPr>
        <w:spacing w:line="480" w:lineRule="auto"/>
        <w:rPr>
          <w:rFonts w:cs="Times New Roman"/>
        </w:rPr>
      </w:pPr>
    </w:p>
    <w:p w14:paraId="2F723ACA" w14:textId="77777777" w:rsidR="00413229" w:rsidRPr="00AC1055" w:rsidRDefault="00413229" w:rsidP="00413229">
      <w:pPr>
        <w:spacing w:line="480" w:lineRule="auto"/>
        <w:rPr>
          <w:rFonts w:cs="Times New Roman"/>
        </w:rPr>
      </w:pPr>
      <w:r w:rsidRPr="00AC1055">
        <w:rPr>
          <w:rFonts w:cs="Times New Roman"/>
        </w:rPr>
        <w:t xml:space="preserve">The regression analysis gives extremely wide results for credible intervals, the Bayesian estimate for intercept ranges from -7.67 to 6.69, </w:t>
      </w:r>
      <w:r>
        <w:rPr>
          <w:rFonts w:cs="Times New Roman"/>
        </w:rPr>
        <w:t xml:space="preserve">the </w:t>
      </w:r>
      <w:r w:rsidRPr="00AC1055">
        <w:rPr>
          <w:rFonts w:cs="Times New Roman"/>
        </w:rPr>
        <w:t xml:space="preserve">corporate governance regression coefficient ranges from 2.03 to -2.02, </w:t>
      </w:r>
      <w:r>
        <w:rPr>
          <w:rFonts w:cs="Times New Roman"/>
        </w:rPr>
        <w:t xml:space="preserve">the </w:t>
      </w:r>
      <w:r w:rsidRPr="00AC1055">
        <w:rPr>
          <w:rFonts w:cs="Times New Roman"/>
        </w:rPr>
        <w:t xml:space="preserve">control 1 regression coefficient is estimated to be between -8.83 to 9.27, </w:t>
      </w:r>
      <w:r>
        <w:rPr>
          <w:rFonts w:cs="Times New Roman"/>
        </w:rPr>
        <w:t xml:space="preserve">the </w:t>
      </w:r>
      <w:r w:rsidRPr="00AC1055">
        <w:rPr>
          <w:rFonts w:cs="Times New Roman"/>
        </w:rPr>
        <w:t>control 2 regre</w:t>
      </w:r>
      <w:r>
        <w:rPr>
          <w:rFonts w:cs="Times New Roman"/>
        </w:rPr>
        <w:t xml:space="preserve">ssion is inferred to be between  </w:t>
      </w:r>
      <w:r w:rsidRPr="00AC1055">
        <w:rPr>
          <w:rFonts w:cs="Times New Roman"/>
        </w:rPr>
        <w:t xml:space="preserve">-1.54 to 1.63, and finally the high density interval for </w:t>
      </w:r>
      <w:r>
        <w:rPr>
          <w:rFonts w:cs="Times New Roman"/>
        </w:rPr>
        <w:t xml:space="preserve">the </w:t>
      </w:r>
      <w:r w:rsidRPr="00AC1055">
        <w:rPr>
          <w:rFonts w:cs="Times New Roman"/>
        </w:rPr>
        <w:t>control 3 regression coefficient is between -10.4 to 11.1. Given the wide intervals in Bayesian estimates all the frequentist inferences fall within the credible intervals.</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2E438661" w14:textId="77777777" w:rsidTr="00413229">
        <w:tc>
          <w:tcPr>
            <w:tcW w:w="1809" w:type="dxa"/>
          </w:tcPr>
          <w:p w14:paraId="4C46217D" w14:textId="77777777" w:rsidR="00413229" w:rsidRPr="00AC1055" w:rsidRDefault="00413229" w:rsidP="00413229">
            <w:pPr>
              <w:rPr>
                <w:rFonts w:cs="Times New Roman"/>
              </w:rPr>
            </w:pPr>
          </w:p>
        </w:tc>
        <w:tc>
          <w:tcPr>
            <w:tcW w:w="1138" w:type="dxa"/>
          </w:tcPr>
          <w:p w14:paraId="397F848A" w14:textId="77777777" w:rsidR="00413229" w:rsidRPr="00AC1055" w:rsidRDefault="00413229" w:rsidP="00413229">
            <w:pPr>
              <w:jc w:val="center"/>
              <w:rPr>
                <w:rFonts w:cs="Times New Roman"/>
              </w:rPr>
            </w:pPr>
            <w:r w:rsidRPr="00AC1055">
              <w:rPr>
                <w:rFonts w:cs="Times New Roman"/>
              </w:rPr>
              <w:t>CG</w:t>
            </w:r>
          </w:p>
        </w:tc>
        <w:tc>
          <w:tcPr>
            <w:tcW w:w="1298" w:type="dxa"/>
          </w:tcPr>
          <w:p w14:paraId="6C0C6A96"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3361EF22"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4F1FC1BE"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1058806D"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09B3CF1B" w14:textId="77777777" w:rsidTr="00413229">
        <w:tc>
          <w:tcPr>
            <w:tcW w:w="1809" w:type="dxa"/>
          </w:tcPr>
          <w:p w14:paraId="6F86F43A" w14:textId="77777777" w:rsidR="00413229" w:rsidRPr="00AC1055" w:rsidRDefault="00413229" w:rsidP="00413229">
            <w:pPr>
              <w:rPr>
                <w:rFonts w:cs="Times New Roman"/>
              </w:rPr>
            </w:pPr>
            <w:r w:rsidRPr="00AC1055">
              <w:rPr>
                <w:rFonts w:cs="Times New Roman"/>
              </w:rPr>
              <w:t>Mean Bayesian</w:t>
            </w:r>
          </w:p>
        </w:tc>
        <w:tc>
          <w:tcPr>
            <w:tcW w:w="1138" w:type="dxa"/>
          </w:tcPr>
          <w:p w14:paraId="27544FBB" w14:textId="77777777" w:rsidR="00413229" w:rsidRPr="00AC1055" w:rsidRDefault="00413229" w:rsidP="00413229">
            <w:pPr>
              <w:jc w:val="center"/>
              <w:rPr>
                <w:rFonts w:cs="Times New Roman"/>
              </w:rPr>
            </w:pPr>
            <w:r w:rsidRPr="00AC1055">
              <w:rPr>
                <w:rFonts w:cs="Times New Roman"/>
              </w:rPr>
              <w:t>0.097482</w:t>
            </w:r>
          </w:p>
        </w:tc>
        <w:tc>
          <w:tcPr>
            <w:tcW w:w="1298" w:type="dxa"/>
            <w:vAlign w:val="bottom"/>
          </w:tcPr>
          <w:p w14:paraId="688379BF" w14:textId="77777777" w:rsidR="00413229" w:rsidRPr="00AC1055" w:rsidRDefault="00413229" w:rsidP="00413229">
            <w:pPr>
              <w:jc w:val="center"/>
              <w:rPr>
                <w:rFonts w:cs="Times New Roman"/>
                <w:color w:val="000000"/>
                <w:szCs w:val="24"/>
                <w:highlight w:val="cyan"/>
              </w:rPr>
            </w:pPr>
            <w:r w:rsidRPr="00AC1055">
              <w:rPr>
                <w:rFonts w:cs="Times New Roman"/>
                <w:color w:val="000000"/>
                <w:szCs w:val="24"/>
              </w:rPr>
              <w:t>0.548885</w:t>
            </w:r>
          </w:p>
        </w:tc>
        <w:tc>
          <w:tcPr>
            <w:tcW w:w="1395" w:type="dxa"/>
            <w:vAlign w:val="bottom"/>
          </w:tcPr>
          <w:p w14:paraId="16E272CD" w14:textId="77777777" w:rsidR="00413229" w:rsidRPr="00AC1055" w:rsidRDefault="00413229" w:rsidP="00413229">
            <w:pPr>
              <w:jc w:val="center"/>
              <w:rPr>
                <w:rFonts w:cs="Times New Roman"/>
                <w:color w:val="000000"/>
                <w:szCs w:val="24"/>
                <w:highlight w:val="cyan"/>
              </w:rPr>
            </w:pPr>
            <w:r w:rsidRPr="00AC1055">
              <w:rPr>
                <w:rFonts w:cs="Times New Roman"/>
                <w:color w:val="000000"/>
                <w:szCs w:val="24"/>
              </w:rPr>
              <w:t>0.107545</w:t>
            </w:r>
          </w:p>
        </w:tc>
        <w:tc>
          <w:tcPr>
            <w:tcW w:w="1395" w:type="dxa"/>
            <w:vAlign w:val="bottom"/>
          </w:tcPr>
          <w:p w14:paraId="085AD0DB" w14:textId="77777777" w:rsidR="00413229" w:rsidRPr="00AC1055" w:rsidRDefault="00413229" w:rsidP="00413229">
            <w:pPr>
              <w:jc w:val="center"/>
              <w:rPr>
                <w:rFonts w:cs="Times New Roman"/>
                <w:color w:val="000000"/>
                <w:szCs w:val="24"/>
              </w:rPr>
            </w:pPr>
            <w:r w:rsidRPr="00AC1055">
              <w:rPr>
                <w:rFonts w:cs="Times New Roman"/>
                <w:color w:val="000000"/>
                <w:szCs w:val="24"/>
              </w:rPr>
              <w:t>0.604804</w:t>
            </w:r>
          </w:p>
        </w:tc>
        <w:tc>
          <w:tcPr>
            <w:tcW w:w="1379" w:type="dxa"/>
          </w:tcPr>
          <w:p w14:paraId="1F0B25BF" w14:textId="77777777" w:rsidR="00413229" w:rsidRPr="00AC1055" w:rsidRDefault="00413229" w:rsidP="00413229">
            <w:pPr>
              <w:jc w:val="center"/>
              <w:rPr>
                <w:rFonts w:cs="Times New Roman"/>
              </w:rPr>
            </w:pPr>
            <w:r w:rsidRPr="00AC1055">
              <w:rPr>
                <w:rFonts w:cs="Times New Roman"/>
              </w:rPr>
              <w:t>-0.04713</w:t>
            </w:r>
          </w:p>
        </w:tc>
      </w:tr>
      <w:tr w:rsidR="00413229" w:rsidRPr="00AC1055" w14:paraId="6DCFC3FF" w14:textId="77777777" w:rsidTr="00413229">
        <w:tc>
          <w:tcPr>
            <w:tcW w:w="1809" w:type="dxa"/>
          </w:tcPr>
          <w:p w14:paraId="521CF38F" w14:textId="77777777" w:rsidR="00413229" w:rsidRPr="00AC1055" w:rsidRDefault="00413229" w:rsidP="00413229">
            <w:pPr>
              <w:rPr>
                <w:rFonts w:cs="Times New Roman"/>
              </w:rPr>
            </w:pPr>
            <w:r w:rsidRPr="00AC1055">
              <w:rPr>
                <w:rFonts w:cs="Times New Roman"/>
              </w:rPr>
              <w:t>Frequentist</w:t>
            </w:r>
          </w:p>
        </w:tc>
        <w:tc>
          <w:tcPr>
            <w:tcW w:w="1138" w:type="dxa"/>
          </w:tcPr>
          <w:p w14:paraId="3BB889FE" w14:textId="77777777" w:rsidR="00413229" w:rsidRPr="00AC1055" w:rsidRDefault="00413229" w:rsidP="00413229">
            <w:pPr>
              <w:jc w:val="center"/>
              <w:rPr>
                <w:rFonts w:cs="Times New Roman"/>
              </w:rPr>
            </w:pPr>
            <w:r w:rsidRPr="00AC1055">
              <w:rPr>
                <w:rFonts w:cs="Times New Roman"/>
              </w:rPr>
              <w:t>0.016982</w:t>
            </w:r>
          </w:p>
        </w:tc>
        <w:tc>
          <w:tcPr>
            <w:tcW w:w="1298" w:type="dxa"/>
          </w:tcPr>
          <w:p w14:paraId="3192B555" w14:textId="77777777" w:rsidR="00413229" w:rsidRPr="00AC1055" w:rsidRDefault="00413229" w:rsidP="00413229">
            <w:pPr>
              <w:jc w:val="center"/>
              <w:rPr>
                <w:rFonts w:cs="Times New Roman"/>
              </w:rPr>
            </w:pPr>
            <w:r w:rsidRPr="00AC1055">
              <w:rPr>
                <w:rFonts w:cs="Times New Roman"/>
              </w:rPr>
              <w:t>0.182318</w:t>
            </w:r>
          </w:p>
        </w:tc>
        <w:tc>
          <w:tcPr>
            <w:tcW w:w="1395" w:type="dxa"/>
          </w:tcPr>
          <w:p w14:paraId="64435279" w14:textId="77777777" w:rsidR="00413229" w:rsidRPr="00AC1055" w:rsidRDefault="00413229" w:rsidP="00413229">
            <w:pPr>
              <w:jc w:val="center"/>
              <w:rPr>
                <w:rFonts w:cs="Times New Roman"/>
              </w:rPr>
            </w:pPr>
            <w:r w:rsidRPr="00AC1055">
              <w:rPr>
                <w:rFonts w:cs="Times New Roman"/>
              </w:rPr>
              <w:t>0.049945</w:t>
            </w:r>
          </w:p>
        </w:tc>
        <w:tc>
          <w:tcPr>
            <w:tcW w:w="1395" w:type="dxa"/>
          </w:tcPr>
          <w:p w14:paraId="05BFC893" w14:textId="77777777" w:rsidR="00413229" w:rsidRPr="00AC1055" w:rsidRDefault="00413229" w:rsidP="00413229">
            <w:pPr>
              <w:jc w:val="center"/>
              <w:rPr>
                <w:rFonts w:cs="Times New Roman"/>
              </w:rPr>
            </w:pPr>
            <w:r w:rsidRPr="00AC1055">
              <w:rPr>
                <w:rFonts w:cs="Times New Roman"/>
              </w:rPr>
              <w:t>0.237212</w:t>
            </w:r>
          </w:p>
        </w:tc>
        <w:tc>
          <w:tcPr>
            <w:tcW w:w="1379" w:type="dxa"/>
          </w:tcPr>
          <w:p w14:paraId="297E4FFF" w14:textId="77777777" w:rsidR="00413229" w:rsidRPr="00AC1055" w:rsidRDefault="00413229" w:rsidP="00413229">
            <w:pPr>
              <w:jc w:val="center"/>
              <w:rPr>
                <w:rFonts w:cs="Times New Roman"/>
              </w:rPr>
            </w:pPr>
            <w:r w:rsidRPr="00AC1055">
              <w:rPr>
                <w:rFonts w:cs="Times New Roman"/>
              </w:rPr>
              <w:t>-0.32644</w:t>
            </w:r>
          </w:p>
        </w:tc>
      </w:tr>
    </w:tbl>
    <w:p w14:paraId="569F1016" w14:textId="77777777" w:rsidR="00413229" w:rsidRDefault="00413229" w:rsidP="00413229">
      <w:pPr>
        <w:spacing w:line="480" w:lineRule="auto"/>
        <w:rPr>
          <w:rFonts w:cs="Times New Roman"/>
        </w:rPr>
      </w:pPr>
    </w:p>
    <w:p w14:paraId="2F38FEF9" w14:textId="77777777" w:rsidR="00413229" w:rsidRPr="00AC1055" w:rsidRDefault="00413229" w:rsidP="00413229">
      <w:pPr>
        <w:spacing w:line="480" w:lineRule="auto"/>
        <w:rPr>
          <w:rFonts w:cs="Times New Roman"/>
        </w:rPr>
      </w:pPr>
      <w:r w:rsidRPr="00AC1055">
        <w:rPr>
          <w:rFonts w:cs="Times New Roman"/>
        </w:rPr>
        <w:t xml:space="preserve">The high density intervals are so large that it is impossible to deduce any meaningful conclusion from the results. What can </w:t>
      </w:r>
      <w:r>
        <w:rPr>
          <w:rFonts w:cs="Times New Roman"/>
        </w:rPr>
        <w:t xml:space="preserve">be </w:t>
      </w:r>
      <w:r w:rsidRPr="00AC1055">
        <w:rPr>
          <w:rFonts w:cs="Times New Roman"/>
        </w:rPr>
        <w:t>surmise</w:t>
      </w:r>
      <w:r>
        <w:rPr>
          <w:rFonts w:cs="Times New Roman"/>
        </w:rPr>
        <w:t>d</w:t>
      </w:r>
      <w:r w:rsidRPr="00AC1055">
        <w:rPr>
          <w:rFonts w:cs="Times New Roman"/>
        </w:rPr>
        <w:t xml:space="preserve"> is that El Salvador is an outlier and does not fit the model being predicted by us. We can thus surmise that corporate governance does not have any major role to play in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 xml:space="preserve">financial market in El Salvador, and it is quite possible that none of the explanatory variables used in this study adequately explain the growth of </w:t>
      </w:r>
      <w:r>
        <w:rPr>
          <w:rFonts w:cs="Times New Roman"/>
        </w:rPr>
        <w:t xml:space="preserve">the </w:t>
      </w:r>
      <w:r w:rsidRPr="00AC1055">
        <w:rPr>
          <w:rFonts w:cs="Times New Roman"/>
        </w:rPr>
        <w:t>financial market in El Salvador.</w:t>
      </w:r>
      <w:r>
        <w:rPr>
          <w:rFonts w:cs="Times New Roman"/>
        </w:rPr>
        <w:t xml:space="preserve"> These external factors can be relative political instability, low rule of law, higher corruption, lower industrial development, small size, dense population etc. </w:t>
      </w:r>
    </w:p>
    <w:p w14:paraId="389A6E46" w14:textId="77777777" w:rsidR="00413229" w:rsidRPr="00AC1055" w:rsidRDefault="00413229" w:rsidP="00413229">
      <w:pPr>
        <w:spacing w:line="480" w:lineRule="auto"/>
        <w:rPr>
          <w:rFonts w:cs="Times New Roman"/>
        </w:rPr>
      </w:pPr>
    </w:p>
    <w:p w14:paraId="6F45A97F" w14:textId="77777777" w:rsidR="00413229" w:rsidRPr="00AC1055" w:rsidRDefault="00413229" w:rsidP="00413229">
      <w:pPr>
        <w:spacing w:line="480" w:lineRule="auto"/>
        <w:rPr>
          <w:rFonts w:cs="Times New Roman"/>
          <w:u w:val="single"/>
        </w:rPr>
      </w:pPr>
      <w:r>
        <w:rPr>
          <w:rFonts w:cs="Times New Roman"/>
          <w:u w:val="single"/>
        </w:rPr>
        <w:lastRenderedPageBreak/>
        <w:t xml:space="preserve">4.4.19 </w:t>
      </w:r>
      <w:r w:rsidRPr="00AC1055">
        <w:rPr>
          <w:rFonts w:cs="Times New Roman"/>
          <w:u w:val="single"/>
        </w:rPr>
        <w:t>Vietnam</w:t>
      </w:r>
    </w:p>
    <w:p w14:paraId="5E84579C"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21A9DE4E" wp14:editId="0CC21188">
            <wp:extent cx="5619048" cy="3390476"/>
            <wp:effectExtent l="0" t="0" r="1270"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619048" cy="3390476"/>
                    </a:xfrm>
                    <a:prstGeom prst="rect">
                      <a:avLst/>
                    </a:prstGeom>
                  </pic:spPr>
                </pic:pic>
              </a:graphicData>
            </a:graphic>
          </wp:inline>
        </w:drawing>
      </w:r>
    </w:p>
    <w:p w14:paraId="1621D9DC" w14:textId="77777777" w:rsidR="00413229" w:rsidRPr="00AC1055" w:rsidRDefault="00413229" w:rsidP="00413229">
      <w:pPr>
        <w:spacing w:line="480" w:lineRule="auto"/>
        <w:rPr>
          <w:rFonts w:cs="Times New Roman"/>
        </w:rPr>
      </w:pPr>
      <w:r w:rsidRPr="00AC1055">
        <w:rPr>
          <w:rFonts w:cs="Times New Roman"/>
        </w:rPr>
        <w:t xml:space="preserve">Vietnam has the highest shift towards </w:t>
      </w:r>
      <w:r>
        <w:rPr>
          <w:rFonts w:cs="Times New Roman"/>
        </w:rPr>
        <w:t xml:space="preserve">a </w:t>
      </w:r>
      <w:r w:rsidRPr="00AC1055">
        <w:rPr>
          <w:rFonts w:cs="Times New Roman"/>
        </w:rPr>
        <w:t xml:space="preserve">shareholder primacy corporate governance model. </w:t>
      </w:r>
      <w:r>
        <w:rPr>
          <w:rFonts w:cs="Times New Roman"/>
        </w:rPr>
        <w:t>F</w:t>
      </w:r>
      <w:r w:rsidRPr="00AC1055">
        <w:rPr>
          <w:rFonts w:cs="Times New Roman"/>
        </w:rPr>
        <w:t xml:space="preserve">inancial market growth has remained stable in comparison to other factors, with variations around the Global Financial Crisis 2008. Economic controls and investment in R&amp;D controls are correlated to an extent. The financial and technological inclusion has steady growth between 1996 and 2005 and an exponential </w:t>
      </w:r>
      <w:r>
        <w:rPr>
          <w:rFonts w:cs="Times New Roman"/>
        </w:rPr>
        <w:t xml:space="preserve">growth </w:t>
      </w:r>
      <w:r w:rsidRPr="00AC1055">
        <w:rPr>
          <w:rFonts w:cs="Times New Roman"/>
        </w:rPr>
        <w:t>after 2005.</w:t>
      </w:r>
    </w:p>
    <w:p w14:paraId="2BAF8CC3" w14:textId="77777777" w:rsidR="00413229" w:rsidRPr="00AC1055" w:rsidRDefault="00413229" w:rsidP="00413229">
      <w:pPr>
        <w:spacing w:line="480" w:lineRule="auto"/>
        <w:rPr>
          <w:rFonts w:cs="Times New Roman"/>
        </w:rPr>
      </w:pPr>
    </w:p>
    <w:p w14:paraId="08B7E564" w14:textId="77777777" w:rsidR="00413229" w:rsidRPr="00AC1055" w:rsidRDefault="00413229" w:rsidP="00413229">
      <w:pPr>
        <w:spacing w:line="480" w:lineRule="auto"/>
        <w:rPr>
          <w:rFonts w:cs="Times New Roman"/>
        </w:rPr>
      </w:pPr>
      <w:r w:rsidRPr="00AC1055">
        <w:rPr>
          <w:rFonts w:cs="Times New Roman"/>
          <w:noProof/>
          <w:lang w:eastAsia="en-GB"/>
        </w:rPr>
        <w:drawing>
          <wp:inline distT="0" distB="0" distL="0" distR="0" wp14:anchorId="0C2754EB" wp14:editId="6D975EBB">
            <wp:extent cx="5667375" cy="1848789"/>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673964" cy="1850938"/>
                    </a:xfrm>
                    <a:prstGeom prst="rect">
                      <a:avLst/>
                    </a:prstGeom>
                    <a:noFill/>
                    <a:ln>
                      <a:noFill/>
                    </a:ln>
                  </pic:spPr>
                </pic:pic>
              </a:graphicData>
            </a:graphic>
          </wp:inline>
        </w:drawing>
      </w:r>
    </w:p>
    <w:p w14:paraId="11E7EAEC" w14:textId="77777777" w:rsidR="00413229" w:rsidRPr="00AC1055" w:rsidRDefault="00413229" w:rsidP="00413229">
      <w:pPr>
        <w:spacing w:line="480" w:lineRule="auto"/>
        <w:rPr>
          <w:rFonts w:cs="Times New Roman"/>
        </w:rPr>
      </w:pPr>
      <w:r w:rsidRPr="00AC1055">
        <w:rPr>
          <w:rFonts w:cs="Times New Roman"/>
        </w:rPr>
        <w:lastRenderedPageBreak/>
        <w:t xml:space="preserve">Vietnam is one of the very few countries where the mean Bayesian estimates and the frequentist results are almost same. The regression analysis as shown above clearly demonstrates that the regression planes for Bayesian and frequentist inferences are almost parallel to each other. The corporate governance regression coefficient for </w:t>
      </w:r>
      <w:r>
        <w:rPr>
          <w:rFonts w:cs="Times New Roman"/>
        </w:rPr>
        <w:t xml:space="preserve">the </w:t>
      </w:r>
      <w:r w:rsidRPr="00AC1055">
        <w:rPr>
          <w:rFonts w:cs="Times New Roman"/>
        </w:rPr>
        <w:t xml:space="preserve">Bayesian mean is estimated to be at 0.06, the frequentist coefficient is also 0.06, the credible interval for </w:t>
      </w:r>
      <w:r>
        <w:rPr>
          <w:rFonts w:cs="Times New Roman"/>
        </w:rPr>
        <w:t xml:space="preserve">the </w:t>
      </w:r>
      <w:r w:rsidRPr="00AC1055">
        <w:rPr>
          <w:rFonts w:cs="Times New Roman"/>
        </w:rPr>
        <w:t>Bayesian estimate range is quite narrow</w:t>
      </w:r>
      <w:r>
        <w:rPr>
          <w:rFonts w:cs="Times New Roman"/>
        </w:rPr>
        <w:t xml:space="preserve"> -</w:t>
      </w:r>
      <w:r w:rsidRPr="00AC1055">
        <w:rPr>
          <w:rFonts w:cs="Times New Roman"/>
        </w:rPr>
        <w:t xml:space="preserve"> between 0.0378 to 0.0862. </w:t>
      </w:r>
    </w:p>
    <w:tbl>
      <w:tblPr>
        <w:tblStyle w:val="TableGrid"/>
        <w:tblW w:w="0" w:type="auto"/>
        <w:tblLook w:val="04A0" w:firstRow="1" w:lastRow="0" w:firstColumn="1" w:lastColumn="0" w:noHBand="0" w:noVBand="1"/>
      </w:tblPr>
      <w:tblGrid>
        <w:gridCol w:w="1809"/>
        <w:gridCol w:w="1138"/>
        <w:gridCol w:w="1298"/>
        <w:gridCol w:w="1395"/>
        <w:gridCol w:w="1395"/>
        <w:gridCol w:w="1379"/>
      </w:tblGrid>
      <w:tr w:rsidR="00413229" w:rsidRPr="00AC1055" w14:paraId="5DE5B120" w14:textId="77777777" w:rsidTr="00413229">
        <w:tc>
          <w:tcPr>
            <w:tcW w:w="1809" w:type="dxa"/>
          </w:tcPr>
          <w:p w14:paraId="092C1F0D" w14:textId="77777777" w:rsidR="00413229" w:rsidRPr="00AC1055" w:rsidRDefault="00413229" w:rsidP="00413229">
            <w:pPr>
              <w:rPr>
                <w:rFonts w:cs="Times New Roman"/>
              </w:rPr>
            </w:pPr>
          </w:p>
        </w:tc>
        <w:tc>
          <w:tcPr>
            <w:tcW w:w="1138" w:type="dxa"/>
          </w:tcPr>
          <w:p w14:paraId="7CAFFBDA" w14:textId="77777777" w:rsidR="00413229" w:rsidRPr="00AC1055" w:rsidRDefault="00413229" w:rsidP="00413229">
            <w:pPr>
              <w:jc w:val="center"/>
              <w:rPr>
                <w:rFonts w:cs="Times New Roman"/>
              </w:rPr>
            </w:pPr>
            <w:r w:rsidRPr="00AC1055">
              <w:rPr>
                <w:rFonts w:cs="Times New Roman"/>
              </w:rPr>
              <w:t>CG</w:t>
            </w:r>
          </w:p>
        </w:tc>
        <w:tc>
          <w:tcPr>
            <w:tcW w:w="1298" w:type="dxa"/>
          </w:tcPr>
          <w:p w14:paraId="065DDB00" w14:textId="77777777" w:rsidR="00413229" w:rsidRPr="00AC1055" w:rsidRDefault="00413229" w:rsidP="00413229">
            <w:pPr>
              <w:jc w:val="center"/>
              <w:rPr>
                <w:rFonts w:cs="Times New Roman"/>
              </w:rPr>
            </w:pPr>
            <w:r w:rsidRPr="00AC1055">
              <w:rPr>
                <w:rFonts w:cs="Times New Roman"/>
              </w:rPr>
              <w:t>Control 1</w:t>
            </w:r>
          </w:p>
        </w:tc>
        <w:tc>
          <w:tcPr>
            <w:tcW w:w="1395" w:type="dxa"/>
          </w:tcPr>
          <w:p w14:paraId="59A74BC4" w14:textId="77777777" w:rsidR="00413229" w:rsidRPr="00AC1055" w:rsidRDefault="00413229" w:rsidP="00413229">
            <w:pPr>
              <w:jc w:val="center"/>
              <w:rPr>
                <w:rFonts w:cs="Times New Roman"/>
              </w:rPr>
            </w:pPr>
            <w:r w:rsidRPr="00AC1055">
              <w:rPr>
                <w:rFonts w:cs="Times New Roman"/>
              </w:rPr>
              <w:t>Control 2</w:t>
            </w:r>
          </w:p>
        </w:tc>
        <w:tc>
          <w:tcPr>
            <w:tcW w:w="1395" w:type="dxa"/>
          </w:tcPr>
          <w:p w14:paraId="021283F6" w14:textId="77777777" w:rsidR="00413229" w:rsidRPr="00AC1055" w:rsidRDefault="00413229" w:rsidP="00413229">
            <w:pPr>
              <w:jc w:val="center"/>
              <w:rPr>
                <w:rFonts w:cs="Times New Roman"/>
              </w:rPr>
            </w:pPr>
            <w:r w:rsidRPr="00AC1055">
              <w:rPr>
                <w:rFonts w:cs="Times New Roman"/>
              </w:rPr>
              <w:t>Control 3</w:t>
            </w:r>
          </w:p>
        </w:tc>
        <w:tc>
          <w:tcPr>
            <w:tcW w:w="1379" w:type="dxa"/>
          </w:tcPr>
          <w:p w14:paraId="1B5D1B1C" w14:textId="77777777" w:rsidR="00413229" w:rsidRPr="00AC1055" w:rsidRDefault="00413229" w:rsidP="00413229">
            <w:pPr>
              <w:jc w:val="center"/>
              <w:rPr>
                <w:rFonts w:cs="Times New Roman"/>
              </w:rPr>
            </w:pPr>
            <w:r w:rsidRPr="00AC1055">
              <w:rPr>
                <w:rFonts w:cs="Times New Roman"/>
              </w:rPr>
              <w:t>Intercept</w:t>
            </w:r>
          </w:p>
        </w:tc>
      </w:tr>
      <w:tr w:rsidR="00413229" w:rsidRPr="00AC1055" w14:paraId="19CF52F3" w14:textId="77777777" w:rsidTr="00413229">
        <w:tc>
          <w:tcPr>
            <w:tcW w:w="1809" w:type="dxa"/>
          </w:tcPr>
          <w:p w14:paraId="4FC9130F" w14:textId="77777777" w:rsidR="00413229" w:rsidRPr="00AC1055" w:rsidRDefault="00413229" w:rsidP="00413229">
            <w:pPr>
              <w:rPr>
                <w:rFonts w:cs="Times New Roman"/>
              </w:rPr>
            </w:pPr>
            <w:r w:rsidRPr="00AC1055">
              <w:rPr>
                <w:rFonts w:cs="Times New Roman"/>
              </w:rPr>
              <w:t>Mean Bayesian</w:t>
            </w:r>
          </w:p>
        </w:tc>
        <w:tc>
          <w:tcPr>
            <w:tcW w:w="1138" w:type="dxa"/>
          </w:tcPr>
          <w:p w14:paraId="6FECF8A5" w14:textId="77777777" w:rsidR="00413229" w:rsidRPr="00AC1055" w:rsidRDefault="00413229" w:rsidP="00413229">
            <w:pPr>
              <w:jc w:val="center"/>
              <w:rPr>
                <w:rFonts w:cs="Times New Roman"/>
              </w:rPr>
            </w:pPr>
            <w:r w:rsidRPr="00AC1055">
              <w:rPr>
                <w:rFonts w:cs="Times New Roman"/>
              </w:rPr>
              <w:t>0.060049</w:t>
            </w:r>
          </w:p>
        </w:tc>
        <w:tc>
          <w:tcPr>
            <w:tcW w:w="1298" w:type="dxa"/>
            <w:vAlign w:val="bottom"/>
          </w:tcPr>
          <w:p w14:paraId="710BB5BE" w14:textId="77777777" w:rsidR="00413229" w:rsidRPr="00AC1055" w:rsidRDefault="00413229" w:rsidP="00413229">
            <w:pPr>
              <w:jc w:val="center"/>
              <w:rPr>
                <w:rFonts w:cs="Times New Roman"/>
                <w:color w:val="000000"/>
                <w:szCs w:val="24"/>
              </w:rPr>
            </w:pPr>
            <w:r w:rsidRPr="00AC1055">
              <w:rPr>
                <w:rFonts w:cs="Times New Roman"/>
                <w:color w:val="000000"/>
                <w:szCs w:val="24"/>
              </w:rPr>
              <w:t>0.450734</w:t>
            </w:r>
          </w:p>
        </w:tc>
        <w:tc>
          <w:tcPr>
            <w:tcW w:w="1395" w:type="dxa"/>
            <w:vAlign w:val="bottom"/>
          </w:tcPr>
          <w:p w14:paraId="69483820" w14:textId="77777777" w:rsidR="00413229" w:rsidRPr="00AC1055" w:rsidRDefault="00413229" w:rsidP="00413229">
            <w:pPr>
              <w:jc w:val="center"/>
              <w:rPr>
                <w:rFonts w:cs="Times New Roman"/>
                <w:color w:val="000000"/>
                <w:szCs w:val="24"/>
              </w:rPr>
            </w:pPr>
            <w:r w:rsidRPr="00AC1055">
              <w:rPr>
                <w:rFonts w:cs="Times New Roman"/>
                <w:color w:val="000000"/>
                <w:szCs w:val="24"/>
              </w:rPr>
              <w:t>0.084713</w:t>
            </w:r>
          </w:p>
        </w:tc>
        <w:tc>
          <w:tcPr>
            <w:tcW w:w="1395" w:type="dxa"/>
            <w:vAlign w:val="bottom"/>
          </w:tcPr>
          <w:p w14:paraId="129E1871" w14:textId="77777777" w:rsidR="00413229" w:rsidRPr="00AC1055" w:rsidRDefault="00413229" w:rsidP="00413229">
            <w:pPr>
              <w:jc w:val="center"/>
              <w:rPr>
                <w:rFonts w:cs="Times New Roman"/>
                <w:color w:val="000000"/>
                <w:szCs w:val="24"/>
              </w:rPr>
            </w:pPr>
            <w:r w:rsidRPr="00AC1055">
              <w:rPr>
                <w:rFonts w:cs="Times New Roman"/>
                <w:color w:val="000000"/>
                <w:szCs w:val="24"/>
              </w:rPr>
              <w:t>0.37679</w:t>
            </w:r>
          </w:p>
        </w:tc>
        <w:tc>
          <w:tcPr>
            <w:tcW w:w="1379" w:type="dxa"/>
            <w:vAlign w:val="bottom"/>
          </w:tcPr>
          <w:p w14:paraId="561C6158" w14:textId="77777777" w:rsidR="00413229" w:rsidRPr="00AC1055" w:rsidRDefault="00413229" w:rsidP="00413229">
            <w:pPr>
              <w:jc w:val="center"/>
              <w:rPr>
                <w:rFonts w:cs="Times New Roman"/>
                <w:color w:val="000000"/>
                <w:szCs w:val="24"/>
              </w:rPr>
            </w:pPr>
            <w:r w:rsidRPr="00AC1055">
              <w:rPr>
                <w:rFonts w:cs="Times New Roman"/>
                <w:color w:val="000000"/>
                <w:szCs w:val="24"/>
              </w:rPr>
              <w:t>-0.04812</w:t>
            </w:r>
          </w:p>
        </w:tc>
      </w:tr>
      <w:tr w:rsidR="00413229" w:rsidRPr="00AC1055" w14:paraId="6B7F94C3" w14:textId="77777777" w:rsidTr="00413229">
        <w:tc>
          <w:tcPr>
            <w:tcW w:w="1809" w:type="dxa"/>
          </w:tcPr>
          <w:p w14:paraId="41ADEFEC" w14:textId="77777777" w:rsidR="00413229" w:rsidRPr="00AC1055" w:rsidRDefault="00413229" w:rsidP="00413229">
            <w:pPr>
              <w:rPr>
                <w:rFonts w:cs="Times New Roman"/>
              </w:rPr>
            </w:pPr>
            <w:r w:rsidRPr="00AC1055">
              <w:rPr>
                <w:rFonts w:cs="Times New Roman"/>
              </w:rPr>
              <w:t>Frequentist</w:t>
            </w:r>
          </w:p>
        </w:tc>
        <w:tc>
          <w:tcPr>
            <w:tcW w:w="1138" w:type="dxa"/>
          </w:tcPr>
          <w:p w14:paraId="48D9FAB0" w14:textId="77777777" w:rsidR="00413229" w:rsidRPr="00AC1055" w:rsidRDefault="00413229" w:rsidP="00413229">
            <w:pPr>
              <w:jc w:val="center"/>
              <w:rPr>
                <w:rFonts w:cs="Times New Roman"/>
              </w:rPr>
            </w:pPr>
            <w:r w:rsidRPr="00AC1055">
              <w:rPr>
                <w:rFonts w:cs="Times New Roman"/>
              </w:rPr>
              <w:t>0.060918</w:t>
            </w:r>
          </w:p>
        </w:tc>
        <w:tc>
          <w:tcPr>
            <w:tcW w:w="1298" w:type="dxa"/>
          </w:tcPr>
          <w:p w14:paraId="6D73167D" w14:textId="77777777" w:rsidR="00413229" w:rsidRPr="00AC1055" w:rsidRDefault="00413229" w:rsidP="00413229">
            <w:pPr>
              <w:jc w:val="center"/>
              <w:rPr>
                <w:rFonts w:cs="Times New Roman"/>
              </w:rPr>
            </w:pPr>
            <w:r w:rsidRPr="00AC1055">
              <w:rPr>
                <w:rFonts w:cs="Times New Roman"/>
              </w:rPr>
              <w:t>0.458623</w:t>
            </w:r>
          </w:p>
        </w:tc>
        <w:tc>
          <w:tcPr>
            <w:tcW w:w="1395" w:type="dxa"/>
          </w:tcPr>
          <w:p w14:paraId="7332B078" w14:textId="77777777" w:rsidR="00413229" w:rsidRPr="00AC1055" w:rsidRDefault="00413229" w:rsidP="00413229">
            <w:pPr>
              <w:jc w:val="center"/>
              <w:rPr>
                <w:rFonts w:cs="Times New Roman"/>
              </w:rPr>
            </w:pPr>
            <w:r w:rsidRPr="00AC1055">
              <w:rPr>
                <w:rFonts w:cs="Times New Roman"/>
              </w:rPr>
              <w:t>0.085261</w:t>
            </w:r>
          </w:p>
        </w:tc>
        <w:tc>
          <w:tcPr>
            <w:tcW w:w="1395" w:type="dxa"/>
          </w:tcPr>
          <w:p w14:paraId="7AA8DD8E" w14:textId="77777777" w:rsidR="00413229" w:rsidRPr="00AC1055" w:rsidRDefault="00413229" w:rsidP="00413229">
            <w:pPr>
              <w:jc w:val="center"/>
              <w:rPr>
                <w:rFonts w:cs="Times New Roman"/>
              </w:rPr>
            </w:pPr>
            <w:r w:rsidRPr="00AC1055">
              <w:rPr>
                <w:rFonts w:cs="Times New Roman"/>
              </w:rPr>
              <w:t>0.381997</w:t>
            </w:r>
          </w:p>
        </w:tc>
        <w:tc>
          <w:tcPr>
            <w:tcW w:w="1379" w:type="dxa"/>
          </w:tcPr>
          <w:p w14:paraId="3B489B6E" w14:textId="77777777" w:rsidR="00413229" w:rsidRPr="00AC1055" w:rsidRDefault="00413229" w:rsidP="00413229">
            <w:pPr>
              <w:jc w:val="center"/>
              <w:rPr>
                <w:rFonts w:cs="Times New Roman"/>
              </w:rPr>
            </w:pPr>
            <w:r w:rsidRPr="00AC1055">
              <w:rPr>
                <w:rFonts w:cs="Times New Roman"/>
              </w:rPr>
              <w:t>-0.04222</w:t>
            </w:r>
          </w:p>
        </w:tc>
      </w:tr>
    </w:tbl>
    <w:p w14:paraId="187AF9D3" w14:textId="77777777" w:rsidR="00413229" w:rsidRDefault="00413229" w:rsidP="00413229">
      <w:pPr>
        <w:spacing w:line="480" w:lineRule="auto"/>
        <w:rPr>
          <w:rFonts w:cs="Times New Roman"/>
        </w:rPr>
      </w:pPr>
    </w:p>
    <w:p w14:paraId="40CEC63B" w14:textId="77777777" w:rsidR="00413229" w:rsidRPr="00AC1055" w:rsidRDefault="00413229" w:rsidP="00413229">
      <w:pPr>
        <w:spacing w:line="480" w:lineRule="auto"/>
        <w:rPr>
          <w:rFonts w:cs="Times New Roman"/>
        </w:rPr>
      </w:pPr>
      <w:r w:rsidRPr="00AC1055">
        <w:rPr>
          <w:rFonts w:cs="Times New Roman"/>
        </w:rPr>
        <w:t xml:space="preserve">From the regression analysis </w:t>
      </w:r>
      <w:r>
        <w:rPr>
          <w:rFonts w:cs="Times New Roman"/>
        </w:rPr>
        <w:t>it</w:t>
      </w:r>
      <w:r w:rsidRPr="00AC1055">
        <w:rPr>
          <w:rFonts w:cs="Times New Roman"/>
        </w:rPr>
        <w:t xml:space="preserve"> can </w:t>
      </w:r>
      <w:r>
        <w:rPr>
          <w:rFonts w:cs="Times New Roman"/>
        </w:rPr>
        <w:t xml:space="preserve">be </w:t>
      </w:r>
      <w:r w:rsidRPr="00AC1055">
        <w:rPr>
          <w:rFonts w:cs="Times New Roman"/>
        </w:rPr>
        <w:t>conclude</w:t>
      </w:r>
      <w:r>
        <w:rPr>
          <w:rFonts w:cs="Times New Roman"/>
        </w:rPr>
        <w:t>d</w:t>
      </w:r>
      <w:r w:rsidRPr="00AC1055">
        <w:rPr>
          <w:rFonts w:cs="Times New Roman"/>
        </w:rPr>
        <w:t xml:space="preserve"> that in comparison to </w:t>
      </w:r>
      <w:r>
        <w:rPr>
          <w:rFonts w:cs="Times New Roman"/>
        </w:rPr>
        <w:t xml:space="preserve">the </w:t>
      </w:r>
      <w:r w:rsidRPr="00AC1055">
        <w:rPr>
          <w:rFonts w:cs="Times New Roman"/>
        </w:rPr>
        <w:t xml:space="preserve">impact of financial and economic growth (control 1) and </w:t>
      </w:r>
      <w:r>
        <w:rPr>
          <w:rFonts w:cs="Times New Roman"/>
        </w:rPr>
        <w:t xml:space="preserve">an </w:t>
      </w:r>
      <w:r w:rsidRPr="00AC1055">
        <w:rPr>
          <w:rFonts w:cs="Times New Roman"/>
        </w:rPr>
        <w:t>increase in investment for R&amp;D and technology</w:t>
      </w:r>
      <w:r>
        <w:rPr>
          <w:rFonts w:cs="Times New Roman"/>
        </w:rPr>
        <w:t>-</w:t>
      </w:r>
      <w:r w:rsidRPr="00AC1055">
        <w:rPr>
          <w:rFonts w:cs="Times New Roman"/>
        </w:rPr>
        <w:t>led export</w:t>
      </w:r>
      <w:r>
        <w:rPr>
          <w:rFonts w:cs="Times New Roman"/>
        </w:rPr>
        <w:t>s</w:t>
      </w:r>
      <w:r w:rsidRPr="00AC1055">
        <w:rPr>
          <w:rFonts w:cs="Times New Roman"/>
        </w:rPr>
        <w:t>, the impact of change in corporate governance in Vietnam is only minor.</w:t>
      </w:r>
    </w:p>
    <w:p w14:paraId="57979036" w14:textId="77777777" w:rsidR="00413229" w:rsidRDefault="00413229" w:rsidP="00413229">
      <w:pPr>
        <w:spacing w:line="480" w:lineRule="auto"/>
        <w:rPr>
          <w:rFonts w:cs="Times New Roman"/>
        </w:rPr>
      </w:pPr>
    </w:p>
    <w:p w14:paraId="6C844C18" w14:textId="77777777" w:rsidR="00413229" w:rsidRPr="007C4854" w:rsidRDefault="00413229" w:rsidP="00413229">
      <w:pPr>
        <w:spacing w:line="480" w:lineRule="auto"/>
        <w:rPr>
          <w:rFonts w:cs="Times New Roman"/>
          <w:u w:val="single"/>
        </w:rPr>
      </w:pPr>
      <w:r w:rsidRPr="007C4854">
        <w:rPr>
          <w:rFonts w:cs="Times New Roman"/>
          <w:u w:val="single"/>
        </w:rPr>
        <w:t>4.4.20 Conclusion</w:t>
      </w:r>
    </w:p>
    <w:p w14:paraId="78590F35" w14:textId="302ED171" w:rsidR="00413229" w:rsidRDefault="00413229" w:rsidP="00413229">
      <w:pPr>
        <w:spacing w:line="480" w:lineRule="auto"/>
        <w:rPr>
          <w:rFonts w:cs="Times New Roman"/>
        </w:rPr>
      </w:pPr>
      <w:r>
        <w:rPr>
          <w:rFonts w:cs="Times New Roman"/>
        </w:rPr>
        <w:t>It can be</w:t>
      </w:r>
      <w:r w:rsidRPr="00AC1055">
        <w:rPr>
          <w:rFonts w:cs="Times New Roman"/>
        </w:rPr>
        <w:t xml:space="preserve"> conclude</w:t>
      </w:r>
      <w:r>
        <w:rPr>
          <w:rFonts w:cs="Times New Roman"/>
        </w:rPr>
        <w:t>d</w:t>
      </w:r>
      <w:r w:rsidRPr="00AC1055">
        <w:rPr>
          <w:rFonts w:cs="Times New Roman"/>
        </w:rPr>
        <w:t xml:space="preserve"> that for the majority of the countries</w:t>
      </w:r>
      <w:r>
        <w:rPr>
          <w:rFonts w:cs="Times New Roman"/>
        </w:rPr>
        <w:t>,</w:t>
      </w:r>
      <w:r w:rsidRPr="00AC1055">
        <w:rPr>
          <w:rFonts w:cs="Times New Roman"/>
        </w:rPr>
        <w:t xml:space="preserve"> change</w:t>
      </w:r>
      <w:r>
        <w:rPr>
          <w:rFonts w:cs="Times New Roman"/>
        </w:rPr>
        <w:t>s</w:t>
      </w:r>
      <w:r w:rsidRPr="00AC1055">
        <w:rPr>
          <w:rFonts w:cs="Times New Roman"/>
        </w:rPr>
        <w:t xml:space="preserve"> in corporate governance ha</w:t>
      </w:r>
      <w:r>
        <w:rPr>
          <w:rFonts w:cs="Times New Roman"/>
        </w:rPr>
        <w:t>ve</w:t>
      </w:r>
      <w:r w:rsidRPr="00AC1055">
        <w:rPr>
          <w:rFonts w:cs="Times New Roman"/>
        </w:rPr>
        <w:t xml:space="preserve"> no major role to play in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financial market in that country. However</w:t>
      </w:r>
      <w:r>
        <w:rPr>
          <w:rFonts w:cs="Times New Roman"/>
        </w:rPr>
        <w:t>,</w:t>
      </w:r>
      <w:r w:rsidRPr="00AC1055">
        <w:rPr>
          <w:rFonts w:cs="Times New Roman"/>
        </w:rPr>
        <w:t xml:space="preserve"> the impact does vary, more so under frequentist methods than under Bayesian inference</w:t>
      </w:r>
      <w:r>
        <w:rPr>
          <w:rFonts w:cs="Times New Roman"/>
        </w:rPr>
        <w:t>s</w:t>
      </w:r>
      <w:r w:rsidRPr="00AC1055">
        <w:rPr>
          <w:rFonts w:cs="Times New Roman"/>
        </w:rPr>
        <w:t xml:space="preserve">. </w:t>
      </w:r>
      <w:r>
        <w:rPr>
          <w:rFonts w:cs="Times New Roman"/>
        </w:rPr>
        <w:t>At this point it will be interesting to compute and contrast the relative impact of shifts in corporate governance towards a shareholder value model in relation to economic growth (control 1), and increases in investment for R&amp;D and technology-led export (control 3) on the growth of the financial market. This is computed an</w:t>
      </w:r>
      <w:r w:rsidR="00991CFF">
        <w:rPr>
          <w:rFonts w:cs="Times New Roman"/>
        </w:rPr>
        <w:t>d presented in the table below.</w:t>
      </w:r>
    </w:p>
    <w:p w14:paraId="0BA967AF" w14:textId="77777777" w:rsidR="00413229" w:rsidRDefault="00413229" w:rsidP="00413229">
      <w:pPr>
        <w:spacing w:line="480" w:lineRule="auto"/>
        <w:rPr>
          <w:rFonts w:cs="Times New Roman"/>
        </w:rPr>
      </w:pPr>
    </w:p>
    <w:p w14:paraId="7CFB489D" w14:textId="77777777" w:rsidR="00413229" w:rsidRDefault="00413229" w:rsidP="00413229">
      <w:pPr>
        <w:spacing w:line="480" w:lineRule="auto"/>
        <w:rPr>
          <w:rFonts w:cs="Times New Roman"/>
        </w:rPr>
        <w:sectPr w:rsidR="00413229" w:rsidSect="00F855D8">
          <w:footerReference w:type="default" r:id="rId151"/>
          <w:pgSz w:w="11906" w:h="16838"/>
          <w:pgMar w:top="1440" w:right="1440" w:bottom="1440" w:left="2268" w:header="708" w:footer="708" w:gutter="0"/>
          <w:cols w:space="708"/>
          <w:docGrid w:linePitch="360"/>
        </w:sectPr>
      </w:pPr>
    </w:p>
    <w:p w14:paraId="0F25B6DE" w14:textId="77777777" w:rsidR="00991CFF" w:rsidRDefault="00991CFF" w:rsidP="00413229">
      <w:pPr>
        <w:spacing w:line="480" w:lineRule="auto"/>
        <w:rPr>
          <w:rFonts w:cs="Times New Roman"/>
        </w:rPr>
      </w:pPr>
    </w:p>
    <w:p w14:paraId="4F1D9709" w14:textId="77777777" w:rsidR="00413229" w:rsidRPr="00AC1055" w:rsidRDefault="00413229" w:rsidP="00413229">
      <w:pPr>
        <w:spacing w:line="480" w:lineRule="auto"/>
        <w:rPr>
          <w:rFonts w:cs="Times New Roman"/>
        </w:rPr>
      </w:pPr>
      <w:r>
        <w:rPr>
          <w:rFonts w:cs="Times New Roman"/>
        </w:rPr>
        <w:t>In comparing</w:t>
      </w:r>
      <w:r w:rsidRPr="00AC1055">
        <w:rPr>
          <w:rFonts w:cs="Times New Roman"/>
        </w:rPr>
        <w:t xml:space="preserve"> the relative impact of change in corporate governance to control 1 and control 3 predicted by Bayesian and frequent</w:t>
      </w:r>
      <w:r>
        <w:rPr>
          <w:rFonts w:cs="Times New Roman"/>
        </w:rPr>
        <w:t>ist methods</w:t>
      </w:r>
      <w:r w:rsidRPr="00AC1055">
        <w:rPr>
          <w:rFonts w:cs="Times New Roman"/>
        </w:rPr>
        <w:t xml:space="preserve"> the following results</w:t>
      </w:r>
      <w:r>
        <w:rPr>
          <w:rFonts w:cs="Times New Roman"/>
        </w:rPr>
        <w:t xml:space="preserve"> are obtained</w:t>
      </w:r>
      <w:r w:rsidRPr="00AC1055">
        <w:rPr>
          <w:rFonts w:cs="Times New Roman"/>
        </w:rPr>
        <w:t>:</w:t>
      </w:r>
    </w:p>
    <w:tbl>
      <w:tblPr>
        <w:tblStyle w:val="TableGrid"/>
        <w:tblW w:w="15416" w:type="dxa"/>
        <w:jc w:val="center"/>
        <w:tblLook w:val="04A0" w:firstRow="1" w:lastRow="0" w:firstColumn="1" w:lastColumn="0" w:noHBand="0" w:noVBand="1"/>
      </w:tblPr>
      <w:tblGrid>
        <w:gridCol w:w="1482"/>
        <w:gridCol w:w="1286"/>
        <w:gridCol w:w="1285"/>
        <w:gridCol w:w="1286"/>
        <w:gridCol w:w="1197"/>
        <w:gridCol w:w="1529"/>
        <w:gridCol w:w="1471"/>
        <w:gridCol w:w="1470"/>
        <w:gridCol w:w="1470"/>
        <w:gridCol w:w="1470"/>
        <w:gridCol w:w="1470"/>
      </w:tblGrid>
      <w:tr w:rsidR="00413229" w:rsidRPr="00FE5F49" w14:paraId="2F2C3240" w14:textId="77777777" w:rsidTr="00413229">
        <w:trPr>
          <w:trHeight w:val="308"/>
          <w:jc w:val="center"/>
        </w:trPr>
        <w:tc>
          <w:tcPr>
            <w:tcW w:w="1482" w:type="dxa"/>
          </w:tcPr>
          <w:p w14:paraId="3D38129B" w14:textId="77777777" w:rsidR="00413229" w:rsidRPr="00FE5F49" w:rsidRDefault="00413229" w:rsidP="00413229">
            <w:pPr>
              <w:rPr>
                <w:rFonts w:cs="Times New Roman"/>
                <w:szCs w:val="24"/>
              </w:rPr>
            </w:pPr>
          </w:p>
        </w:tc>
        <w:tc>
          <w:tcPr>
            <w:tcW w:w="2571" w:type="dxa"/>
            <w:gridSpan w:val="2"/>
            <w:noWrap/>
          </w:tcPr>
          <w:p w14:paraId="2B2E9216" w14:textId="77777777" w:rsidR="00413229" w:rsidRPr="00FE5F49" w:rsidRDefault="00413229" w:rsidP="00413229">
            <w:pPr>
              <w:jc w:val="center"/>
              <w:rPr>
                <w:rFonts w:cs="Times New Roman"/>
                <w:szCs w:val="24"/>
              </w:rPr>
            </w:pPr>
            <w:r w:rsidRPr="00FE5F49">
              <w:rPr>
                <w:rFonts w:cs="Times New Roman"/>
                <w:szCs w:val="24"/>
              </w:rPr>
              <w:t>Mean Bayesian</w:t>
            </w:r>
          </w:p>
        </w:tc>
        <w:tc>
          <w:tcPr>
            <w:tcW w:w="2483" w:type="dxa"/>
            <w:gridSpan w:val="2"/>
            <w:noWrap/>
          </w:tcPr>
          <w:p w14:paraId="34A71E4D" w14:textId="77777777" w:rsidR="00413229" w:rsidRPr="00FE5F49" w:rsidRDefault="00413229" w:rsidP="00413229">
            <w:pPr>
              <w:jc w:val="center"/>
              <w:rPr>
                <w:rFonts w:cs="Times New Roman"/>
                <w:szCs w:val="24"/>
              </w:rPr>
            </w:pPr>
            <w:r w:rsidRPr="00FE5F49">
              <w:rPr>
                <w:rFonts w:cs="Times New Roman"/>
                <w:szCs w:val="24"/>
              </w:rPr>
              <w:t>Frequentist</w:t>
            </w:r>
          </w:p>
        </w:tc>
        <w:tc>
          <w:tcPr>
            <w:tcW w:w="3000" w:type="dxa"/>
            <w:gridSpan w:val="2"/>
          </w:tcPr>
          <w:p w14:paraId="0A422E51" w14:textId="77777777" w:rsidR="00413229" w:rsidRPr="00FE5F49" w:rsidRDefault="00413229" w:rsidP="00413229">
            <w:pPr>
              <w:jc w:val="center"/>
              <w:rPr>
                <w:rFonts w:cs="Times New Roman"/>
                <w:szCs w:val="24"/>
              </w:rPr>
            </w:pPr>
            <w:r w:rsidRPr="00FE5F49">
              <w:rPr>
                <w:rFonts w:cs="Times New Roman"/>
                <w:szCs w:val="24"/>
              </w:rPr>
              <w:t>Bayesian : Frequentist</w:t>
            </w:r>
          </w:p>
        </w:tc>
        <w:tc>
          <w:tcPr>
            <w:tcW w:w="2940" w:type="dxa"/>
            <w:gridSpan w:val="2"/>
          </w:tcPr>
          <w:p w14:paraId="27F791B3" w14:textId="77777777" w:rsidR="00413229" w:rsidRPr="00FE5F49" w:rsidRDefault="00413229" w:rsidP="00413229">
            <w:pPr>
              <w:jc w:val="center"/>
              <w:rPr>
                <w:rFonts w:cs="Times New Roman"/>
                <w:szCs w:val="24"/>
              </w:rPr>
            </w:pPr>
            <w:r w:rsidRPr="00FE5F49">
              <w:rPr>
                <w:rFonts w:cs="Times New Roman"/>
                <w:szCs w:val="24"/>
              </w:rPr>
              <w:t>Mean Bayesian</w:t>
            </w:r>
          </w:p>
        </w:tc>
        <w:tc>
          <w:tcPr>
            <w:tcW w:w="2940" w:type="dxa"/>
            <w:gridSpan w:val="2"/>
          </w:tcPr>
          <w:p w14:paraId="5F9D4350" w14:textId="77777777" w:rsidR="00413229" w:rsidRPr="00FE5F49" w:rsidRDefault="00413229" w:rsidP="00413229">
            <w:pPr>
              <w:jc w:val="center"/>
              <w:rPr>
                <w:rFonts w:cs="Times New Roman"/>
                <w:szCs w:val="24"/>
              </w:rPr>
            </w:pPr>
            <w:r w:rsidRPr="00FE5F49">
              <w:rPr>
                <w:rFonts w:cs="Times New Roman"/>
                <w:szCs w:val="24"/>
              </w:rPr>
              <w:t>Frequentist</w:t>
            </w:r>
          </w:p>
        </w:tc>
      </w:tr>
      <w:tr w:rsidR="00413229" w:rsidRPr="00FE5F49" w14:paraId="06DC8996" w14:textId="77777777" w:rsidTr="00413229">
        <w:trPr>
          <w:trHeight w:val="308"/>
          <w:jc w:val="center"/>
        </w:trPr>
        <w:tc>
          <w:tcPr>
            <w:tcW w:w="1482" w:type="dxa"/>
          </w:tcPr>
          <w:p w14:paraId="4D908117" w14:textId="77777777" w:rsidR="00413229" w:rsidRPr="00FE5F49" w:rsidRDefault="00413229" w:rsidP="00413229">
            <w:pPr>
              <w:rPr>
                <w:rFonts w:cs="Times New Roman"/>
                <w:szCs w:val="24"/>
              </w:rPr>
            </w:pPr>
            <w:r w:rsidRPr="00FE5F49">
              <w:rPr>
                <w:rFonts w:cs="Times New Roman"/>
                <w:szCs w:val="24"/>
              </w:rPr>
              <w:t>Countries</w:t>
            </w:r>
          </w:p>
        </w:tc>
        <w:tc>
          <w:tcPr>
            <w:tcW w:w="1286" w:type="dxa"/>
            <w:noWrap/>
            <w:hideMark/>
          </w:tcPr>
          <w:p w14:paraId="3BB51FE7" w14:textId="77777777" w:rsidR="00413229" w:rsidRPr="00FE5F49" w:rsidRDefault="00413229" w:rsidP="00413229">
            <w:pPr>
              <w:rPr>
                <w:rFonts w:cs="Times New Roman"/>
                <w:szCs w:val="24"/>
              </w:rPr>
            </w:pPr>
            <w:r w:rsidRPr="00FE5F49">
              <w:rPr>
                <w:rFonts w:cs="Times New Roman"/>
                <w:szCs w:val="24"/>
              </w:rPr>
              <w:t>CG:Ctrl1</w:t>
            </w:r>
          </w:p>
        </w:tc>
        <w:tc>
          <w:tcPr>
            <w:tcW w:w="1285" w:type="dxa"/>
            <w:noWrap/>
            <w:hideMark/>
          </w:tcPr>
          <w:p w14:paraId="2E95C4E0" w14:textId="77777777" w:rsidR="00413229" w:rsidRPr="00FE5F49" w:rsidRDefault="00413229" w:rsidP="00413229">
            <w:pPr>
              <w:rPr>
                <w:rFonts w:cs="Times New Roman"/>
                <w:szCs w:val="24"/>
              </w:rPr>
            </w:pPr>
            <w:r w:rsidRPr="00FE5F49">
              <w:rPr>
                <w:rFonts w:cs="Times New Roman"/>
                <w:szCs w:val="24"/>
              </w:rPr>
              <w:t>CG:Ctrl3</w:t>
            </w:r>
          </w:p>
        </w:tc>
        <w:tc>
          <w:tcPr>
            <w:tcW w:w="1286" w:type="dxa"/>
            <w:noWrap/>
            <w:hideMark/>
          </w:tcPr>
          <w:p w14:paraId="42AE84B1" w14:textId="77777777" w:rsidR="00413229" w:rsidRPr="00FE5F49" w:rsidRDefault="00413229" w:rsidP="00413229">
            <w:pPr>
              <w:rPr>
                <w:rFonts w:cs="Times New Roman"/>
                <w:szCs w:val="24"/>
              </w:rPr>
            </w:pPr>
            <w:r w:rsidRPr="00FE5F49">
              <w:rPr>
                <w:rFonts w:cs="Times New Roman"/>
                <w:szCs w:val="24"/>
              </w:rPr>
              <w:t>CG:Ctrl1</w:t>
            </w:r>
          </w:p>
        </w:tc>
        <w:tc>
          <w:tcPr>
            <w:tcW w:w="1197" w:type="dxa"/>
            <w:noWrap/>
            <w:hideMark/>
          </w:tcPr>
          <w:p w14:paraId="3C25406F" w14:textId="77777777" w:rsidR="00413229" w:rsidRPr="00FE5F49" w:rsidRDefault="00413229" w:rsidP="00413229">
            <w:pPr>
              <w:rPr>
                <w:rFonts w:cs="Times New Roman"/>
                <w:szCs w:val="24"/>
              </w:rPr>
            </w:pPr>
            <w:r w:rsidRPr="00FE5F49">
              <w:rPr>
                <w:rFonts w:cs="Times New Roman"/>
                <w:szCs w:val="24"/>
              </w:rPr>
              <w:t>CG:Ctrl3</w:t>
            </w:r>
          </w:p>
        </w:tc>
        <w:tc>
          <w:tcPr>
            <w:tcW w:w="1529" w:type="dxa"/>
          </w:tcPr>
          <w:p w14:paraId="7C25BCC2" w14:textId="77777777" w:rsidR="00413229" w:rsidRPr="00FE5F49" w:rsidRDefault="00413229" w:rsidP="00413229">
            <w:pPr>
              <w:jc w:val="center"/>
              <w:rPr>
                <w:rFonts w:cs="Times New Roman"/>
                <w:szCs w:val="24"/>
              </w:rPr>
            </w:pPr>
            <w:r w:rsidRPr="00FE5F49">
              <w:rPr>
                <w:rFonts w:cs="Times New Roman"/>
                <w:szCs w:val="24"/>
              </w:rPr>
              <w:t>CG:Ctrl1</w:t>
            </w:r>
          </w:p>
        </w:tc>
        <w:tc>
          <w:tcPr>
            <w:tcW w:w="1471" w:type="dxa"/>
          </w:tcPr>
          <w:p w14:paraId="4EC767E5" w14:textId="77777777" w:rsidR="00413229" w:rsidRPr="00FE5F49" w:rsidRDefault="00413229" w:rsidP="00413229">
            <w:pPr>
              <w:jc w:val="center"/>
              <w:rPr>
                <w:rFonts w:cs="Times New Roman"/>
                <w:szCs w:val="24"/>
              </w:rPr>
            </w:pPr>
            <w:r w:rsidRPr="00FE5F49">
              <w:rPr>
                <w:rFonts w:cs="Times New Roman"/>
                <w:szCs w:val="24"/>
              </w:rPr>
              <w:t>CG:Ctrl3</w:t>
            </w:r>
          </w:p>
        </w:tc>
        <w:tc>
          <w:tcPr>
            <w:tcW w:w="1470" w:type="dxa"/>
          </w:tcPr>
          <w:p w14:paraId="52E99AFA" w14:textId="77777777" w:rsidR="00413229" w:rsidRPr="00FE5F49" w:rsidRDefault="00413229" w:rsidP="00413229">
            <w:pPr>
              <w:jc w:val="center"/>
              <w:rPr>
                <w:rFonts w:cs="Times New Roman"/>
                <w:szCs w:val="24"/>
              </w:rPr>
            </w:pPr>
            <w:r w:rsidRPr="00FE5F49">
              <w:rPr>
                <w:rFonts w:cs="Times New Roman"/>
                <w:szCs w:val="24"/>
              </w:rPr>
              <w:t>Ctrl1</w:t>
            </w:r>
            <w:r>
              <w:rPr>
                <w:rFonts w:cs="Times New Roman"/>
                <w:szCs w:val="24"/>
              </w:rPr>
              <w:t>:CG</w:t>
            </w:r>
          </w:p>
        </w:tc>
        <w:tc>
          <w:tcPr>
            <w:tcW w:w="1470" w:type="dxa"/>
          </w:tcPr>
          <w:p w14:paraId="66EB3A0A" w14:textId="77777777" w:rsidR="00413229" w:rsidRPr="00FE5F49" w:rsidRDefault="00413229" w:rsidP="00413229">
            <w:pPr>
              <w:jc w:val="center"/>
              <w:rPr>
                <w:rFonts w:cs="Times New Roman"/>
                <w:szCs w:val="24"/>
              </w:rPr>
            </w:pPr>
            <w:r w:rsidRPr="00FE5F49">
              <w:rPr>
                <w:rFonts w:cs="Times New Roman"/>
                <w:szCs w:val="24"/>
              </w:rPr>
              <w:t>Ctrl3</w:t>
            </w:r>
            <w:r>
              <w:rPr>
                <w:rFonts w:cs="Times New Roman"/>
                <w:szCs w:val="24"/>
              </w:rPr>
              <w:t>:CG</w:t>
            </w:r>
          </w:p>
        </w:tc>
        <w:tc>
          <w:tcPr>
            <w:tcW w:w="1470" w:type="dxa"/>
          </w:tcPr>
          <w:p w14:paraId="691E8DF0" w14:textId="77777777" w:rsidR="00413229" w:rsidRPr="00FE5F49" w:rsidRDefault="00413229" w:rsidP="00413229">
            <w:pPr>
              <w:jc w:val="center"/>
              <w:rPr>
                <w:rFonts w:cs="Times New Roman"/>
                <w:szCs w:val="24"/>
              </w:rPr>
            </w:pPr>
            <w:r w:rsidRPr="00FE5F49">
              <w:rPr>
                <w:rFonts w:cs="Times New Roman"/>
                <w:szCs w:val="24"/>
              </w:rPr>
              <w:t>Ctrl1</w:t>
            </w:r>
            <w:r>
              <w:rPr>
                <w:rFonts w:cs="Times New Roman"/>
                <w:szCs w:val="24"/>
              </w:rPr>
              <w:t>:CG</w:t>
            </w:r>
          </w:p>
        </w:tc>
        <w:tc>
          <w:tcPr>
            <w:tcW w:w="1470" w:type="dxa"/>
          </w:tcPr>
          <w:p w14:paraId="54381723" w14:textId="77777777" w:rsidR="00413229" w:rsidRPr="00FE5F49" w:rsidRDefault="00413229" w:rsidP="00413229">
            <w:pPr>
              <w:jc w:val="center"/>
              <w:rPr>
                <w:rFonts w:cs="Times New Roman"/>
                <w:szCs w:val="24"/>
              </w:rPr>
            </w:pPr>
            <w:r w:rsidRPr="00FE5F49">
              <w:rPr>
                <w:rFonts w:cs="Times New Roman"/>
                <w:szCs w:val="24"/>
              </w:rPr>
              <w:t>Ctrl3</w:t>
            </w:r>
            <w:r>
              <w:rPr>
                <w:rFonts w:cs="Times New Roman"/>
                <w:szCs w:val="24"/>
              </w:rPr>
              <w:t>:CG</w:t>
            </w:r>
          </w:p>
        </w:tc>
      </w:tr>
      <w:tr w:rsidR="00413229" w:rsidRPr="00FE5F49" w14:paraId="1388E8F9" w14:textId="77777777" w:rsidTr="00413229">
        <w:trPr>
          <w:trHeight w:val="308"/>
          <w:jc w:val="center"/>
        </w:trPr>
        <w:tc>
          <w:tcPr>
            <w:tcW w:w="1482" w:type="dxa"/>
          </w:tcPr>
          <w:p w14:paraId="5596FA3C" w14:textId="77777777" w:rsidR="00413229" w:rsidRPr="00FE5F49" w:rsidRDefault="00413229" w:rsidP="00413229">
            <w:pPr>
              <w:jc w:val="center"/>
              <w:rPr>
                <w:rFonts w:cs="Times New Roman"/>
                <w:szCs w:val="24"/>
              </w:rPr>
            </w:pPr>
            <w:r w:rsidRPr="00FE5F49">
              <w:rPr>
                <w:rFonts w:cs="Times New Roman"/>
                <w:szCs w:val="24"/>
              </w:rPr>
              <w:t>Brazil</w:t>
            </w:r>
          </w:p>
        </w:tc>
        <w:tc>
          <w:tcPr>
            <w:tcW w:w="1286" w:type="dxa"/>
            <w:noWrap/>
            <w:hideMark/>
          </w:tcPr>
          <w:p w14:paraId="1C0AB939" w14:textId="77777777" w:rsidR="00413229" w:rsidRPr="00FE5F49" w:rsidRDefault="00413229" w:rsidP="00413229">
            <w:pPr>
              <w:rPr>
                <w:rFonts w:cs="Times New Roman"/>
                <w:szCs w:val="24"/>
              </w:rPr>
            </w:pPr>
            <w:r w:rsidRPr="00FE5F49">
              <w:rPr>
                <w:rFonts w:cs="Times New Roman"/>
                <w:szCs w:val="24"/>
              </w:rPr>
              <w:t>1 : 6.6524</w:t>
            </w:r>
          </w:p>
        </w:tc>
        <w:tc>
          <w:tcPr>
            <w:tcW w:w="1285" w:type="dxa"/>
            <w:noWrap/>
            <w:hideMark/>
          </w:tcPr>
          <w:p w14:paraId="627088FC" w14:textId="77777777" w:rsidR="00413229" w:rsidRPr="00FE5F49" w:rsidRDefault="00413229" w:rsidP="00413229">
            <w:pPr>
              <w:rPr>
                <w:rFonts w:cs="Times New Roman"/>
                <w:szCs w:val="24"/>
              </w:rPr>
            </w:pPr>
            <w:r w:rsidRPr="00FE5F49">
              <w:rPr>
                <w:rFonts w:cs="Times New Roman"/>
                <w:szCs w:val="24"/>
              </w:rPr>
              <w:t>1 : 6.9588</w:t>
            </w:r>
          </w:p>
        </w:tc>
        <w:tc>
          <w:tcPr>
            <w:tcW w:w="1286" w:type="dxa"/>
            <w:noWrap/>
            <w:hideMark/>
          </w:tcPr>
          <w:p w14:paraId="12441E1E" w14:textId="77777777" w:rsidR="00413229" w:rsidRPr="00FE5F49" w:rsidRDefault="00413229" w:rsidP="00413229">
            <w:pPr>
              <w:rPr>
                <w:rFonts w:cs="Times New Roman"/>
                <w:szCs w:val="24"/>
              </w:rPr>
            </w:pPr>
            <w:r w:rsidRPr="00FE5F49">
              <w:rPr>
                <w:rFonts w:cs="Times New Roman"/>
                <w:szCs w:val="24"/>
              </w:rPr>
              <w:t>1 : 11.169</w:t>
            </w:r>
          </w:p>
        </w:tc>
        <w:tc>
          <w:tcPr>
            <w:tcW w:w="1197" w:type="dxa"/>
            <w:noWrap/>
            <w:hideMark/>
          </w:tcPr>
          <w:p w14:paraId="5A440DF5" w14:textId="77777777" w:rsidR="00413229" w:rsidRPr="00FE5F49" w:rsidRDefault="00413229" w:rsidP="00413229">
            <w:pPr>
              <w:rPr>
                <w:rFonts w:cs="Times New Roman"/>
                <w:szCs w:val="24"/>
              </w:rPr>
            </w:pPr>
            <w:r w:rsidRPr="00FE5F49">
              <w:rPr>
                <w:rFonts w:cs="Times New Roman"/>
                <w:szCs w:val="24"/>
              </w:rPr>
              <w:t>1 : 11.74</w:t>
            </w:r>
          </w:p>
        </w:tc>
        <w:tc>
          <w:tcPr>
            <w:tcW w:w="1529" w:type="dxa"/>
            <w:vAlign w:val="bottom"/>
          </w:tcPr>
          <w:p w14:paraId="7FD85E85" w14:textId="77777777" w:rsidR="00413229" w:rsidRPr="00FE5F49" w:rsidRDefault="00413229" w:rsidP="00413229">
            <w:pPr>
              <w:jc w:val="center"/>
              <w:rPr>
                <w:rFonts w:cs="Times New Roman"/>
                <w:color w:val="000000"/>
                <w:szCs w:val="24"/>
              </w:rPr>
            </w:pPr>
            <w:r w:rsidRPr="00FE5F49">
              <w:rPr>
                <w:rFonts w:cs="Times New Roman"/>
                <w:color w:val="000000"/>
                <w:szCs w:val="24"/>
              </w:rPr>
              <w:t>1 : 1.678976</w:t>
            </w:r>
          </w:p>
        </w:tc>
        <w:tc>
          <w:tcPr>
            <w:tcW w:w="1471" w:type="dxa"/>
            <w:vAlign w:val="bottom"/>
          </w:tcPr>
          <w:p w14:paraId="2AAF1173" w14:textId="77777777" w:rsidR="00413229" w:rsidRPr="00FE5F49" w:rsidRDefault="00413229" w:rsidP="00413229">
            <w:pPr>
              <w:jc w:val="center"/>
              <w:rPr>
                <w:rFonts w:cs="Times New Roman"/>
                <w:color w:val="000000"/>
                <w:szCs w:val="24"/>
              </w:rPr>
            </w:pPr>
            <w:r w:rsidRPr="00FE5F49">
              <w:rPr>
                <w:rFonts w:cs="Times New Roman"/>
                <w:color w:val="000000"/>
                <w:szCs w:val="24"/>
              </w:rPr>
              <w:t>1 : 1.686728</w:t>
            </w:r>
          </w:p>
        </w:tc>
        <w:tc>
          <w:tcPr>
            <w:tcW w:w="1470" w:type="dxa"/>
            <w:vAlign w:val="bottom"/>
          </w:tcPr>
          <w:p w14:paraId="193D294B" w14:textId="77777777" w:rsidR="00413229" w:rsidRPr="00FE5F49" w:rsidRDefault="00413229" w:rsidP="00413229">
            <w:pPr>
              <w:jc w:val="center"/>
              <w:rPr>
                <w:rFonts w:cs="Times New Roman"/>
                <w:color w:val="000000"/>
                <w:szCs w:val="24"/>
              </w:rPr>
            </w:pPr>
            <w:r>
              <w:rPr>
                <w:rFonts w:cs="Times New Roman"/>
                <w:color w:val="000000"/>
                <w:szCs w:val="24"/>
              </w:rPr>
              <w:t xml:space="preserve">1 : </w:t>
            </w:r>
            <w:r w:rsidRPr="00FE5F49">
              <w:rPr>
                <w:rFonts w:cs="Times New Roman"/>
                <w:color w:val="000000"/>
                <w:szCs w:val="24"/>
              </w:rPr>
              <w:t>0.150322</w:t>
            </w:r>
          </w:p>
        </w:tc>
        <w:tc>
          <w:tcPr>
            <w:tcW w:w="1470" w:type="dxa"/>
            <w:vAlign w:val="bottom"/>
          </w:tcPr>
          <w:p w14:paraId="5A65E4C8" w14:textId="77777777" w:rsidR="00413229" w:rsidRPr="00FE5F49" w:rsidRDefault="00413229" w:rsidP="00413229">
            <w:pPr>
              <w:jc w:val="center"/>
              <w:rPr>
                <w:rFonts w:cs="Times New Roman"/>
                <w:color w:val="000000"/>
                <w:szCs w:val="24"/>
              </w:rPr>
            </w:pPr>
            <w:r>
              <w:rPr>
                <w:rFonts w:cs="Times New Roman"/>
                <w:color w:val="000000"/>
                <w:szCs w:val="24"/>
              </w:rPr>
              <w:t xml:space="preserve">1 : </w:t>
            </w:r>
            <w:r w:rsidRPr="00FE5F49">
              <w:rPr>
                <w:rFonts w:cs="Times New Roman"/>
                <w:color w:val="000000"/>
                <w:szCs w:val="24"/>
              </w:rPr>
              <w:t>0.143703</w:t>
            </w:r>
          </w:p>
        </w:tc>
        <w:tc>
          <w:tcPr>
            <w:tcW w:w="1470" w:type="dxa"/>
            <w:vAlign w:val="bottom"/>
          </w:tcPr>
          <w:p w14:paraId="1206B1E3" w14:textId="77777777" w:rsidR="00413229" w:rsidRPr="00FE5F49" w:rsidRDefault="00413229" w:rsidP="00413229">
            <w:pPr>
              <w:jc w:val="center"/>
              <w:rPr>
                <w:rFonts w:cs="Times New Roman"/>
                <w:color w:val="000000"/>
                <w:szCs w:val="24"/>
              </w:rPr>
            </w:pPr>
            <w:r w:rsidRPr="00FE5F49">
              <w:rPr>
                <w:rFonts w:cs="Times New Roman"/>
                <w:color w:val="000000"/>
                <w:szCs w:val="24"/>
              </w:rPr>
              <w:t>1 : 0.089532</w:t>
            </w:r>
          </w:p>
        </w:tc>
        <w:tc>
          <w:tcPr>
            <w:tcW w:w="1470" w:type="dxa"/>
            <w:vAlign w:val="bottom"/>
          </w:tcPr>
          <w:p w14:paraId="25E31427"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0.085196</w:t>
            </w:r>
          </w:p>
        </w:tc>
      </w:tr>
      <w:tr w:rsidR="00413229" w:rsidRPr="00FE5F49" w14:paraId="48AB6466" w14:textId="77777777" w:rsidTr="00413229">
        <w:trPr>
          <w:trHeight w:val="308"/>
          <w:jc w:val="center"/>
        </w:trPr>
        <w:tc>
          <w:tcPr>
            <w:tcW w:w="1482" w:type="dxa"/>
          </w:tcPr>
          <w:p w14:paraId="065E52E8" w14:textId="77777777" w:rsidR="00413229" w:rsidRPr="00FE5F49" w:rsidRDefault="00413229" w:rsidP="00413229">
            <w:pPr>
              <w:jc w:val="center"/>
              <w:rPr>
                <w:rFonts w:cs="Times New Roman"/>
                <w:szCs w:val="24"/>
              </w:rPr>
            </w:pPr>
            <w:r w:rsidRPr="00FE5F49">
              <w:rPr>
                <w:rFonts w:cs="Times New Roman"/>
                <w:szCs w:val="24"/>
              </w:rPr>
              <w:t>China</w:t>
            </w:r>
          </w:p>
        </w:tc>
        <w:tc>
          <w:tcPr>
            <w:tcW w:w="1286" w:type="dxa"/>
            <w:noWrap/>
            <w:hideMark/>
          </w:tcPr>
          <w:p w14:paraId="6B9F3577" w14:textId="77777777" w:rsidR="00413229" w:rsidRPr="00FE5F49" w:rsidRDefault="00413229" w:rsidP="00413229">
            <w:pPr>
              <w:rPr>
                <w:rFonts w:cs="Times New Roman"/>
                <w:szCs w:val="24"/>
              </w:rPr>
            </w:pPr>
            <w:r w:rsidRPr="00FE5F49">
              <w:rPr>
                <w:rFonts w:cs="Times New Roman"/>
                <w:szCs w:val="24"/>
              </w:rPr>
              <w:t>1 : 14.096</w:t>
            </w:r>
          </w:p>
        </w:tc>
        <w:tc>
          <w:tcPr>
            <w:tcW w:w="1285" w:type="dxa"/>
            <w:noWrap/>
            <w:hideMark/>
          </w:tcPr>
          <w:p w14:paraId="55D3165B" w14:textId="77777777" w:rsidR="00413229" w:rsidRPr="00FE5F49" w:rsidRDefault="00413229" w:rsidP="00413229">
            <w:pPr>
              <w:rPr>
                <w:rFonts w:cs="Times New Roman"/>
                <w:szCs w:val="24"/>
              </w:rPr>
            </w:pPr>
            <w:r w:rsidRPr="00FE5F49">
              <w:rPr>
                <w:rFonts w:cs="Times New Roman"/>
                <w:szCs w:val="24"/>
              </w:rPr>
              <w:t>1 : 10.028</w:t>
            </w:r>
          </w:p>
        </w:tc>
        <w:tc>
          <w:tcPr>
            <w:tcW w:w="1286" w:type="dxa"/>
            <w:noWrap/>
            <w:hideMark/>
          </w:tcPr>
          <w:p w14:paraId="1E0D9221" w14:textId="77777777" w:rsidR="00413229" w:rsidRPr="00FE5F49" w:rsidRDefault="00413229" w:rsidP="00413229">
            <w:pPr>
              <w:rPr>
                <w:rFonts w:cs="Times New Roman"/>
                <w:szCs w:val="24"/>
              </w:rPr>
            </w:pPr>
            <w:r w:rsidRPr="00FE5F49">
              <w:rPr>
                <w:rFonts w:cs="Times New Roman"/>
                <w:szCs w:val="24"/>
              </w:rPr>
              <w:t>1 : 79.581</w:t>
            </w:r>
          </w:p>
        </w:tc>
        <w:tc>
          <w:tcPr>
            <w:tcW w:w="1197" w:type="dxa"/>
            <w:noWrap/>
            <w:hideMark/>
          </w:tcPr>
          <w:p w14:paraId="09ABB324" w14:textId="77777777" w:rsidR="00413229" w:rsidRPr="00FE5F49" w:rsidRDefault="00413229" w:rsidP="00413229">
            <w:pPr>
              <w:rPr>
                <w:rFonts w:cs="Times New Roman"/>
                <w:szCs w:val="24"/>
              </w:rPr>
            </w:pPr>
            <w:r w:rsidRPr="00FE5F49">
              <w:rPr>
                <w:rFonts w:cs="Times New Roman"/>
                <w:szCs w:val="24"/>
              </w:rPr>
              <w:t>1 : 59.22</w:t>
            </w:r>
          </w:p>
        </w:tc>
        <w:tc>
          <w:tcPr>
            <w:tcW w:w="1529" w:type="dxa"/>
            <w:vAlign w:val="bottom"/>
          </w:tcPr>
          <w:p w14:paraId="1B041391" w14:textId="77777777" w:rsidR="00413229" w:rsidRPr="00FE5F49" w:rsidRDefault="00413229" w:rsidP="00413229">
            <w:pPr>
              <w:jc w:val="center"/>
              <w:rPr>
                <w:rFonts w:cs="Times New Roman"/>
                <w:color w:val="000000"/>
                <w:szCs w:val="24"/>
              </w:rPr>
            </w:pPr>
            <w:r w:rsidRPr="00FE5F49">
              <w:rPr>
                <w:rFonts w:cs="Times New Roman"/>
                <w:color w:val="000000"/>
                <w:szCs w:val="24"/>
              </w:rPr>
              <w:t>1 : 5.645692</w:t>
            </w:r>
          </w:p>
        </w:tc>
        <w:tc>
          <w:tcPr>
            <w:tcW w:w="1471" w:type="dxa"/>
            <w:vAlign w:val="bottom"/>
          </w:tcPr>
          <w:p w14:paraId="066F70F4" w14:textId="77777777" w:rsidR="00413229" w:rsidRPr="00FE5F49" w:rsidRDefault="00413229" w:rsidP="00413229">
            <w:pPr>
              <w:jc w:val="center"/>
              <w:rPr>
                <w:rFonts w:cs="Times New Roman"/>
                <w:color w:val="000000"/>
                <w:szCs w:val="24"/>
              </w:rPr>
            </w:pPr>
            <w:r w:rsidRPr="00FE5F49">
              <w:rPr>
                <w:rFonts w:cs="Times New Roman"/>
                <w:color w:val="000000"/>
                <w:szCs w:val="24"/>
              </w:rPr>
              <w:t>1 : 5.905502</w:t>
            </w:r>
          </w:p>
        </w:tc>
        <w:tc>
          <w:tcPr>
            <w:tcW w:w="1470" w:type="dxa"/>
            <w:vAlign w:val="bottom"/>
          </w:tcPr>
          <w:p w14:paraId="7C4CFADB"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0.070943</w:t>
            </w:r>
          </w:p>
        </w:tc>
        <w:tc>
          <w:tcPr>
            <w:tcW w:w="1470" w:type="dxa"/>
            <w:vAlign w:val="bottom"/>
          </w:tcPr>
          <w:p w14:paraId="3040A8EF" w14:textId="77777777" w:rsidR="00413229" w:rsidRPr="00FE5F49" w:rsidRDefault="00413229" w:rsidP="00413229">
            <w:pPr>
              <w:jc w:val="center"/>
              <w:rPr>
                <w:rFonts w:cs="Times New Roman"/>
                <w:color w:val="000000"/>
                <w:szCs w:val="24"/>
              </w:rPr>
            </w:pPr>
            <w:r w:rsidRPr="00FE5F49">
              <w:rPr>
                <w:rFonts w:cs="Times New Roman"/>
                <w:color w:val="000000"/>
                <w:szCs w:val="24"/>
              </w:rPr>
              <w:t>1 : 0.099721</w:t>
            </w:r>
          </w:p>
        </w:tc>
        <w:tc>
          <w:tcPr>
            <w:tcW w:w="1470" w:type="dxa"/>
            <w:vAlign w:val="bottom"/>
          </w:tcPr>
          <w:p w14:paraId="3B9D9897"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0.012566</w:t>
            </w:r>
          </w:p>
        </w:tc>
        <w:tc>
          <w:tcPr>
            <w:tcW w:w="1470" w:type="dxa"/>
            <w:vAlign w:val="bottom"/>
          </w:tcPr>
          <w:p w14:paraId="27F3A270"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0.016886</w:t>
            </w:r>
          </w:p>
        </w:tc>
      </w:tr>
      <w:tr w:rsidR="00413229" w:rsidRPr="00FE5F49" w14:paraId="35655777" w14:textId="77777777" w:rsidTr="00413229">
        <w:trPr>
          <w:trHeight w:val="308"/>
          <w:jc w:val="center"/>
        </w:trPr>
        <w:tc>
          <w:tcPr>
            <w:tcW w:w="1482" w:type="dxa"/>
          </w:tcPr>
          <w:p w14:paraId="7237825B" w14:textId="77777777" w:rsidR="00413229" w:rsidRPr="00FE5F49" w:rsidRDefault="00413229" w:rsidP="00413229">
            <w:pPr>
              <w:jc w:val="center"/>
              <w:rPr>
                <w:rFonts w:cs="Times New Roman"/>
                <w:szCs w:val="24"/>
              </w:rPr>
            </w:pPr>
            <w:r w:rsidRPr="00FE5F49">
              <w:rPr>
                <w:rFonts w:cs="Times New Roman"/>
                <w:szCs w:val="24"/>
              </w:rPr>
              <w:t>Chile</w:t>
            </w:r>
          </w:p>
        </w:tc>
        <w:tc>
          <w:tcPr>
            <w:tcW w:w="1286" w:type="dxa"/>
            <w:noWrap/>
            <w:hideMark/>
          </w:tcPr>
          <w:p w14:paraId="5690CD13" w14:textId="77777777" w:rsidR="00413229" w:rsidRPr="00FE5F49" w:rsidRDefault="00413229" w:rsidP="00413229">
            <w:pPr>
              <w:rPr>
                <w:rFonts w:cs="Times New Roman"/>
                <w:szCs w:val="24"/>
              </w:rPr>
            </w:pPr>
            <w:r w:rsidRPr="00FE5F49">
              <w:rPr>
                <w:rFonts w:cs="Times New Roman"/>
                <w:szCs w:val="24"/>
              </w:rPr>
              <w:t>1 : 2.8541</w:t>
            </w:r>
          </w:p>
        </w:tc>
        <w:tc>
          <w:tcPr>
            <w:tcW w:w="1285" w:type="dxa"/>
            <w:noWrap/>
            <w:hideMark/>
          </w:tcPr>
          <w:p w14:paraId="0C184106" w14:textId="77777777" w:rsidR="00413229" w:rsidRPr="00FE5F49" w:rsidRDefault="00413229" w:rsidP="00413229">
            <w:pPr>
              <w:rPr>
                <w:rFonts w:cs="Times New Roman"/>
                <w:szCs w:val="24"/>
              </w:rPr>
            </w:pPr>
            <w:r w:rsidRPr="00FE5F49">
              <w:rPr>
                <w:rFonts w:cs="Times New Roman"/>
                <w:szCs w:val="24"/>
              </w:rPr>
              <w:t>1 : 3.347</w:t>
            </w:r>
          </w:p>
        </w:tc>
        <w:tc>
          <w:tcPr>
            <w:tcW w:w="1286" w:type="dxa"/>
            <w:noWrap/>
            <w:hideMark/>
          </w:tcPr>
          <w:p w14:paraId="198344F8" w14:textId="77777777" w:rsidR="00413229" w:rsidRPr="00FE5F49" w:rsidRDefault="00413229" w:rsidP="00413229">
            <w:pPr>
              <w:rPr>
                <w:rFonts w:cs="Times New Roman"/>
                <w:szCs w:val="24"/>
              </w:rPr>
            </w:pPr>
            <w:r w:rsidRPr="00FE5F49">
              <w:rPr>
                <w:rFonts w:cs="Times New Roman"/>
                <w:szCs w:val="24"/>
              </w:rPr>
              <w:t>1 : 10.279</w:t>
            </w:r>
          </w:p>
        </w:tc>
        <w:tc>
          <w:tcPr>
            <w:tcW w:w="1197" w:type="dxa"/>
            <w:noWrap/>
            <w:hideMark/>
          </w:tcPr>
          <w:p w14:paraId="5BF9A400" w14:textId="77777777" w:rsidR="00413229" w:rsidRPr="00FE5F49" w:rsidRDefault="00413229" w:rsidP="00413229">
            <w:pPr>
              <w:rPr>
                <w:rFonts w:cs="Times New Roman"/>
                <w:szCs w:val="24"/>
              </w:rPr>
            </w:pPr>
            <w:r w:rsidRPr="00FE5F49">
              <w:rPr>
                <w:rFonts w:cs="Times New Roman"/>
                <w:szCs w:val="24"/>
              </w:rPr>
              <w:t>1 : 11.568</w:t>
            </w:r>
          </w:p>
        </w:tc>
        <w:tc>
          <w:tcPr>
            <w:tcW w:w="1529" w:type="dxa"/>
            <w:vAlign w:val="bottom"/>
          </w:tcPr>
          <w:p w14:paraId="13157FE6" w14:textId="77777777" w:rsidR="00413229" w:rsidRPr="00FE5F49" w:rsidRDefault="00413229" w:rsidP="00413229">
            <w:pPr>
              <w:jc w:val="center"/>
              <w:rPr>
                <w:rFonts w:cs="Times New Roman"/>
                <w:color w:val="000000"/>
                <w:szCs w:val="24"/>
              </w:rPr>
            </w:pPr>
            <w:r w:rsidRPr="00FE5F49">
              <w:rPr>
                <w:rFonts w:cs="Times New Roman"/>
                <w:color w:val="000000"/>
                <w:szCs w:val="24"/>
              </w:rPr>
              <w:t>1 : 3.601473</w:t>
            </w:r>
          </w:p>
        </w:tc>
        <w:tc>
          <w:tcPr>
            <w:tcW w:w="1471" w:type="dxa"/>
            <w:vAlign w:val="bottom"/>
          </w:tcPr>
          <w:p w14:paraId="3AD8639C" w14:textId="77777777" w:rsidR="00413229" w:rsidRPr="00FE5F49" w:rsidRDefault="00413229" w:rsidP="00413229">
            <w:pPr>
              <w:jc w:val="center"/>
              <w:rPr>
                <w:rFonts w:cs="Times New Roman"/>
                <w:color w:val="000000"/>
                <w:szCs w:val="24"/>
              </w:rPr>
            </w:pPr>
            <w:r w:rsidRPr="00FE5F49">
              <w:rPr>
                <w:rFonts w:cs="Times New Roman"/>
                <w:color w:val="000000"/>
                <w:szCs w:val="24"/>
              </w:rPr>
              <w:t>1 : 3.456244</w:t>
            </w:r>
          </w:p>
        </w:tc>
        <w:tc>
          <w:tcPr>
            <w:tcW w:w="1470" w:type="dxa"/>
            <w:vAlign w:val="bottom"/>
          </w:tcPr>
          <w:p w14:paraId="1A723556"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0.350368</w:t>
            </w:r>
          </w:p>
        </w:tc>
        <w:tc>
          <w:tcPr>
            <w:tcW w:w="1470" w:type="dxa"/>
            <w:vAlign w:val="bottom"/>
          </w:tcPr>
          <w:p w14:paraId="2A74D9AB" w14:textId="77777777" w:rsidR="00413229" w:rsidRPr="00FE5F49" w:rsidRDefault="00413229" w:rsidP="00413229">
            <w:pPr>
              <w:jc w:val="center"/>
              <w:rPr>
                <w:rFonts w:cs="Times New Roman"/>
                <w:color w:val="000000"/>
                <w:szCs w:val="24"/>
              </w:rPr>
            </w:pPr>
            <w:r w:rsidRPr="00FE5F49">
              <w:rPr>
                <w:rFonts w:cs="Times New Roman"/>
                <w:color w:val="000000"/>
                <w:szCs w:val="24"/>
              </w:rPr>
              <w:t>1 : 0.298772</w:t>
            </w:r>
          </w:p>
        </w:tc>
        <w:tc>
          <w:tcPr>
            <w:tcW w:w="1470" w:type="dxa"/>
            <w:vAlign w:val="bottom"/>
          </w:tcPr>
          <w:p w14:paraId="5FCF3C27"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0.097285</w:t>
            </w:r>
          </w:p>
        </w:tc>
        <w:tc>
          <w:tcPr>
            <w:tcW w:w="1470" w:type="dxa"/>
            <w:vAlign w:val="bottom"/>
          </w:tcPr>
          <w:p w14:paraId="2C438580"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0.086444</w:t>
            </w:r>
          </w:p>
        </w:tc>
      </w:tr>
      <w:tr w:rsidR="00413229" w:rsidRPr="00FE5F49" w14:paraId="29F31B4C" w14:textId="77777777" w:rsidTr="00413229">
        <w:trPr>
          <w:trHeight w:val="308"/>
          <w:jc w:val="center"/>
        </w:trPr>
        <w:tc>
          <w:tcPr>
            <w:tcW w:w="1482" w:type="dxa"/>
          </w:tcPr>
          <w:p w14:paraId="0BD95384" w14:textId="77777777" w:rsidR="00413229" w:rsidRPr="00FE5F49" w:rsidRDefault="00413229" w:rsidP="00413229">
            <w:pPr>
              <w:jc w:val="center"/>
              <w:rPr>
                <w:rFonts w:cs="Times New Roman"/>
                <w:szCs w:val="24"/>
              </w:rPr>
            </w:pPr>
            <w:r w:rsidRPr="00FE5F49">
              <w:rPr>
                <w:rFonts w:cs="Times New Roman"/>
                <w:szCs w:val="24"/>
              </w:rPr>
              <w:t>Colombia</w:t>
            </w:r>
          </w:p>
        </w:tc>
        <w:tc>
          <w:tcPr>
            <w:tcW w:w="1286" w:type="dxa"/>
            <w:noWrap/>
            <w:hideMark/>
          </w:tcPr>
          <w:p w14:paraId="2B6595EB" w14:textId="77777777" w:rsidR="00413229" w:rsidRPr="00FE5F49" w:rsidRDefault="00413229" w:rsidP="00413229">
            <w:pPr>
              <w:rPr>
                <w:rFonts w:cs="Times New Roman"/>
                <w:szCs w:val="24"/>
              </w:rPr>
            </w:pPr>
            <w:r w:rsidRPr="00FE5F49">
              <w:rPr>
                <w:rFonts w:cs="Times New Roman"/>
                <w:szCs w:val="24"/>
              </w:rPr>
              <w:t>1 : 5.6512</w:t>
            </w:r>
          </w:p>
        </w:tc>
        <w:tc>
          <w:tcPr>
            <w:tcW w:w="1285" w:type="dxa"/>
            <w:noWrap/>
            <w:hideMark/>
          </w:tcPr>
          <w:p w14:paraId="73351D3A" w14:textId="77777777" w:rsidR="00413229" w:rsidRPr="00FE5F49" w:rsidRDefault="00413229" w:rsidP="00413229">
            <w:pPr>
              <w:rPr>
                <w:rFonts w:cs="Times New Roman"/>
                <w:szCs w:val="24"/>
              </w:rPr>
            </w:pPr>
            <w:r w:rsidRPr="00FE5F49">
              <w:rPr>
                <w:rFonts w:cs="Times New Roman"/>
                <w:szCs w:val="24"/>
              </w:rPr>
              <w:t>1 : 5.6968</w:t>
            </w:r>
          </w:p>
        </w:tc>
        <w:tc>
          <w:tcPr>
            <w:tcW w:w="1286" w:type="dxa"/>
            <w:noWrap/>
            <w:hideMark/>
          </w:tcPr>
          <w:p w14:paraId="57AF3780" w14:textId="77777777" w:rsidR="00413229" w:rsidRPr="00FE5F49" w:rsidRDefault="00413229" w:rsidP="00413229">
            <w:pPr>
              <w:rPr>
                <w:rFonts w:cs="Times New Roman"/>
                <w:szCs w:val="24"/>
              </w:rPr>
            </w:pPr>
            <w:r w:rsidRPr="00FE5F49">
              <w:rPr>
                <w:rFonts w:cs="Times New Roman"/>
                <w:szCs w:val="24"/>
              </w:rPr>
              <w:t>1 : 3.2875</w:t>
            </w:r>
          </w:p>
        </w:tc>
        <w:tc>
          <w:tcPr>
            <w:tcW w:w="1197" w:type="dxa"/>
            <w:noWrap/>
            <w:hideMark/>
          </w:tcPr>
          <w:p w14:paraId="77F105E2" w14:textId="77777777" w:rsidR="00413229" w:rsidRPr="00FE5F49" w:rsidRDefault="00413229" w:rsidP="00413229">
            <w:pPr>
              <w:rPr>
                <w:rFonts w:cs="Times New Roman"/>
                <w:szCs w:val="24"/>
              </w:rPr>
            </w:pPr>
            <w:r w:rsidRPr="00FE5F49">
              <w:rPr>
                <w:rFonts w:cs="Times New Roman"/>
                <w:szCs w:val="24"/>
              </w:rPr>
              <w:t>1 : 2.5768</w:t>
            </w:r>
          </w:p>
        </w:tc>
        <w:tc>
          <w:tcPr>
            <w:tcW w:w="1529" w:type="dxa"/>
            <w:vAlign w:val="bottom"/>
          </w:tcPr>
          <w:p w14:paraId="747BADE1" w14:textId="77777777" w:rsidR="00413229" w:rsidRPr="00FE5F49" w:rsidRDefault="00413229" w:rsidP="00413229">
            <w:pPr>
              <w:jc w:val="center"/>
              <w:rPr>
                <w:rFonts w:cs="Times New Roman"/>
                <w:color w:val="000000"/>
                <w:szCs w:val="24"/>
              </w:rPr>
            </w:pPr>
            <w:r w:rsidRPr="00FE5F49">
              <w:rPr>
                <w:rFonts w:cs="Times New Roman"/>
                <w:color w:val="000000"/>
                <w:szCs w:val="24"/>
              </w:rPr>
              <w:t>1 : 0.581737</w:t>
            </w:r>
          </w:p>
        </w:tc>
        <w:tc>
          <w:tcPr>
            <w:tcW w:w="1471" w:type="dxa"/>
            <w:vAlign w:val="bottom"/>
          </w:tcPr>
          <w:p w14:paraId="47CA7777" w14:textId="77777777" w:rsidR="00413229" w:rsidRPr="00FE5F49" w:rsidRDefault="00413229" w:rsidP="00413229">
            <w:pPr>
              <w:jc w:val="center"/>
              <w:rPr>
                <w:rFonts w:cs="Times New Roman"/>
                <w:color w:val="000000"/>
                <w:szCs w:val="24"/>
              </w:rPr>
            </w:pPr>
            <w:r w:rsidRPr="00FE5F49">
              <w:rPr>
                <w:rFonts w:cs="Times New Roman"/>
                <w:color w:val="000000"/>
                <w:szCs w:val="24"/>
              </w:rPr>
              <w:t>1 : 0.452332</w:t>
            </w:r>
          </w:p>
        </w:tc>
        <w:tc>
          <w:tcPr>
            <w:tcW w:w="1470" w:type="dxa"/>
            <w:vAlign w:val="bottom"/>
          </w:tcPr>
          <w:p w14:paraId="3D55EB45"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0.176954</w:t>
            </w:r>
          </w:p>
        </w:tc>
        <w:tc>
          <w:tcPr>
            <w:tcW w:w="1470" w:type="dxa"/>
            <w:vAlign w:val="bottom"/>
          </w:tcPr>
          <w:p w14:paraId="242F8425" w14:textId="77777777" w:rsidR="00413229" w:rsidRPr="00FE5F49" w:rsidRDefault="00413229" w:rsidP="00413229">
            <w:pPr>
              <w:jc w:val="center"/>
              <w:rPr>
                <w:rFonts w:cs="Times New Roman"/>
                <w:color w:val="000000"/>
                <w:szCs w:val="24"/>
              </w:rPr>
            </w:pPr>
            <w:r w:rsidRPr="00FE5F49">
              <w:rPr>
                <w:rFonts w:cs="Times New Roman"/>
                <w:color w:val="000000"/>
                <w:szCs w:val="24"/>
              </w:rPr>
              <w:t>1 : 0.175537</w:t>
            </w:r>
          </w:p>
        </w:tc>
        <w:tc>
          <w:tcPr>
            <w:tcW w:w="1470" w:type="dxa"/>
            <w:vAlign w:val="bottom"/>
          </w:tcPr>
          <w:p w14:paraId="4DED3D42"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0.304182</w:t>
            </w:r>
          </w:p>
        </w:tc>
        <w:tc>
          <w:tcPr>
            <w:tcW w:w="1470" w:type="dxa"/>
            <w:vAlign w:val="bottom"/>
          </w:tcPr>
          <w:p w14:paraId="2153E133"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0.388072</w:t>
            </w:r>
          </w:p>
        </w:tc>
      </w:tr>
      <w:tr w:rsidR="00413229" w:rsidRPr="00FE5F49" w14:paraId="1CF72CE9" w14:textId="77777777" w:rsidTr="00413229">
        <w:trPr>
          <w:trHeight w:val="308"/>
          <w:jc w:val="center"/>
        </w:trPr>
        <w:tc>
          <w:tcPr>
            <w:tcW w:w="1482" w:type="dxa"/>
          </w:tcPr>
          <w:p w14:paraId="6E6B0E2B" w14:textId="77777777" w:rsidR="00413229" w:rsidRPr="00FE5F49" w:rsidRDefault="00413229" w:rsidP="00413229">
            <w:pPr>
              <w:jc w:val="center"/>
              <w:rPr>
                <w:rFonts w:cs="Times New Roman"/>
                <w:szCs w:val="24"/>
              </w:rPr>
            </w:pPr>
            <w:r w:rsidRPr="00FE5F49">
              <w:rPr>
                <w:rFonts w:cs="Times New Roman"/>
                <w:szCs w:val="24"/>
              </w:rPr>
              <w:t>India</w:t>
            </w:r>
          </w:p>
        </w:tc>
        <w:tc>
          <w:tcPr>
            <w:tcW w:w="1286" w:type="dxa"/>
            <w:noWrap/>
            <w:hideMark/>
          </w:tcPr>
          <w:p w14:paraId="1C0B867A" w14:textId="77777777" w:rsidR="00413229" w:rsidRPr="00FE5F49" w:rsidRDefault="00413229" w:rsidP="00413229">
            <w:pPr>
              <w:rPr>
                <w:rFonts w:cs="Times New Roman"/>
                <w:szCs w:val="24"/>
              </w:rPr>
            </w:pPr>
            <w:r w:rsidRPr="00FE5F49">
              <w:rPr>
                <w:rFonts w:cs="Times New Roman"/>
                <w:szCs w:val="24"/>
              </w:rPr>
              <w:t>1 : 6.3792</w:t>
            </w:r>
          </w:p>
        </w:tc>
        <w:tc>
          <w:tcPr>
            <w:tcW w:w="1285" w:type="dxa"/>
            <w:noWrap/>
            <w:hideMark/>
          </w:tcPr>
          <w:p w14:paraId="0132BDBB" w14:textId="77777777" w:rsidR="00413229" w:rsidRPr="00FE5F49" w:rsidRDefault="00413229" w:rsidP="00413229">
            <w:pPr>
              <w:rPr>
                <w:rFonts w:cs="Times New Roman"/>
                <w:szCs w:val="24"/>
              </w:rPr>
            </w:pPr>
            <w:r w:rsidRPr="00FE5F49">
              <w:rPr>
                <w:rFonts w:cs="Times New Roman"/>
                <w:szCs w:val="24"/>
              </w:rPr>
              <w:t>1 : 7.5531</w:t>
            </w:r>
          </w:p>
        </w:tc>
        <w:tc>
          <w:tcPr>
            <w:tcW w:w="1286" w:type="dxa"/>
            <w:noWrap/>
            <w:hideMark/>
          </w:tcPr>
          <w:p w14:paraId="12A56662" w14:textId="77777777" w:rsidR="00413229" w:rsidRPr="00FE5F49" w:rsidRDefault="00413229" w:rsidP="00413229">
            <w:pPr>
              <w:rPr>
                <w:rFonts w:cs="Times New Roman"/>
                <w:szCs w:val="24"/>
              </w:rPr>
            </w:pPr>
            <w:r w:rsidRPr="00FE5F49">
              <w:rPr>
                <w:rFonts w:cs="Times New Roman"/>
                <w:szCs w:val="24"/>
              </w:rPr>
              <w:t>1 : 2.447</w:t>
            </w:r>
          </w:p>
        </w:tc>
        <w:tc>
          <w:tcPr>
            <w:tcW w:w="1197" w:type="dxa"/>
            <w:noWrap/>
            <w:hideMark/>
          </w:tcPr>
          <w:p w14:paraId="6E5580F6" w14:textId="77777777" w:rsidR="00413229" w:rsidRPr="00FE5F49" w:rsidRDefault="00413229" w:rsidP="00413229">
            <w:pPr>
              <w:rPr>
                <w:rFonts w:cs="Times New Roman"/>
                <w:szCs w:val="24"/>
              </w:rPr>
            </w:pPr>
            <w:r w:rsidRPr="00FE5F49">
              <w:rPr>
                <w:rFonts w:cs="Times New Roman"/>
                <w:szCs w:val="24"/>
              </w:rPr>
              <w:t>1 : 3.868</w:t>
            </w:r>
          </w:p>
        </w:tc>
        <w:tc>
          <w:tcPr>
            <w:tcW w:w="1529" w:type="dxa"/>
            <w:vAlign w:val="bottom"/>
          </w:tcPr>
          <w:p w14:paraId="61414E05" w14:textId="77777777" w:rsidR="00413229" w:rsidRPr="00FE5F49" w:rsidRDefault="00413229" w:rsidP="00413229">
            <w:pPr>
              <w:jc w:val="center"/>
              <w:rPr>
                <w:rFonts w:cs="Times New Roman"/>
                <w:color w:val="000000"/>
                <w:szCs w:val="24"/>
              </w:rPr>
            </w:pPr>
            <w:r w:rsidRPr="00FE5F49">
              <w:rPr>
                <w:rFonts w:cs="Times New Roman"/>
                <w:color w:val="000000"/>
                <w:szCs w:val="24"/>
              </w:rPr>
              <w:t>1 : 0.383613</w:t>
            </w:r>
          </w:p>
        </w:tc>
        <w:tc>
          <w:tcPr>
            <w:tcW w:w="1471" w:type="dxa"/>
            <w:vAlign w:val="bottom"/>
          </w:tcPr>
          <w:p w14:paraId="215B0696" w14:textId="77777777" w:rsidR="00413229" w:rsidRPr="00FE5F49" w:rsidRDefault="00413229" w:rsidP="00413229">
            <w:pPr>
              <w:jc w:val="center"/>
              <w:rPr>
                <w:rFonts w:cs="Times New Roman"/>
                <w:color w:val="000000"/>
                <w:szCs w:val="24"/>
              </w:rPr>
            </w:pPr>
            <w:r w:rsidRPr="00FE5F49">
              <w:rPr>
                <w:rFonts w:cs="Times New Roman"/>
                <w:color w:val="000000"/>
                <w:szCs w:val="24"/>
              </w:rPr>
              <w:t>1 : 0.512036</w:t>
            </w:r>
          </w:p>
        </w:tc>
        <w:tc>
          <w:tcPr>
            <w:tcW w:w="1470" w:type="dxa"/>
            <w:vAlign w:val="bottom"/>
          </w:tcPr>
          <w:p w14:paraId="3C186A21"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0.15676</w:t>
            </w:r>
          </w:p>
        </w:tc>
        <w:tc>
          <w:tcPr>
            <w:tcW w:w="1470" w:type="dxa"/>
            <w:vAlign w:val="bottom"/>
          </w:tcPr>
          <w:p w14:paraId="0FAC5254" w14:textId="77777777" w:rsidR="00413229" w:rsidRPr="00FE5F49" w:rsidRDefault="00413229" w:rsidP="00413229">
            <w:pPr>
              <w:jc w:val="center"/>
              <w:rPr>
                <w:rFonts w:cs="Times New Roman"/>
                <w:color w:val="000000"/>
                <w:szCs w:val="24"/>
              </w:rPr>
            </w:pPr>
            <w:r w:rsidRPr="00FE5F49">
              <w:rPr>
                <w:rFonts w:cs="Times New Roman"/>
                <w:color w:val="000000"/>
                <w:szCs w:val="24"/>
              </w:rPr>
              <w:t>1 : 0.132396</w:t>
            </w:r>
          </w:p>
        </w:tc>
        <w:tc>
          <w:tcPr>
            <w:tcW w:w="1470" w:type="dxa"/>
            <w:vAlign w:val="bottom"/>
          </w:tcPr>
          <w:p w14:paraId="60DF07ED"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0.408641</w:t>
            </w:r>
          </w:p>
        </w:tc>
        <w:tc>
          <w:tcPr>
            <w:tcW w:w="1470" w:type="dxa"/>
            <w:vAlign w:val="bottom"/>
          </w:tcPr>
          <w:p w14:paraId="673FFDC4"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0.258568</w:t>
            </w:r>
          </w:p>
        </w:tc>
      </w:tr>
      <w:tr w:rsidR="00413229" w:rsidRPr="00FE5F49" w14:paraId="10BCA282" w14:textId="77777777" w:rsidTr="00413229">
        <w:trPr>
          <w:trHeight w:val="308"/>
          <w:jc w:val="center"/>
        </w:trPr>
        <w:tc>
          <w:tcPr>
            <w:tcW w:w="1482" w:type="dxa"/>
          </w:tcPr>
          <w:p w14:paraId="51829EEA" w14:textId="77777777" w:rsidR="00413229" w:rsidRPr="00FE5F49" w:rsidRDefault="00413229" w:rsidP="00413229">
            <w:pPr>
              <w:jc w:val="center"/>
              <w:rPr>
                <w:rFonts w:cs="Times New Roman"/>
                <w:szCs w:val="24"/>
              </w:rPr>
            </w:pPr>
            <w:r w:rsidRPr="00FE5F49">
              <w:rPr>
                <w:rFonts w:cs="Times New Roman"/>
                <w:szCs w:val="24"/>
              </w:rPr>
              <w:t>Indonesia</w:t>
            </w:r>
          </w:p>
        </w:tc>
        <w:tc>
          <w:tcPr>
            <w:tcW w:w="1286" w:type="dxa"/>
            <w:noWrap/>
            <w:hideMark/>
          </w:tcPr>
          <w:p w14:paraId="1B1760A9" w14:textId="77777777" w:rsidR="00413229" w:rsidRPr="00FE5F49" w:rsidRDefault="00413229" w:rsidP="00413229">
            <w:pPr>
              <w:rPr>
                <w:rFonts w:cs="Times New Roman"/>
                <w:szCs w:val="24"/>
              </w:rPr>
            </w:pPr>
            <w:r w:rsidRPr="00FE5F49">
              <w:rPr>
                <w:rFonts w:cs="Times New Roman"/>
                <w:szCs w:val="24"/>
              </w:rPr>
              <w:t>1 : 6.186</w:t>
            </w:r>
          </w:p>
        </w:tc>
        <w:tc>
          <w:tcPr>
            <w:tcW w:w="1285" w:type="dxa"/>
            <w:noWrap/>
            <w:hideMark/>
          </w:tcPr>
          <w:p w14:paraId="6AE3EB37" w14:textId="77777777" w:rsidR="00413229" w:rsidRPr="00FE5F49" w:rsidRDefault="00413229" w:rsidP="00413229">
            <w:pPr>
              <w:rPr>
                <w:rFonts w:cs="Times New Roman"/>
                <w:szCs w:val="24"/>
              </w:rPr>
            </w:pPr>
            <w:r w:rsidRPr="00FE5F49">
              <w:rPr>
                <w:rFonts w:cs="Times New Roman"/>
                <w:szCs w:val="24"/>
              </w:rPr>
              <w:t>1 : 6.991</w:t>
            </w:r>
          </w:p>
        </w:tc>
        <w:tc>
          <w:tcPr>
            <w:tcW w:w="1286" w:type="dxa"/>
            <w:noWrap/>
            <w:hideMark/>
          </w:tcPr>
          <w:p w14:paraId="44C3832F" w14:textId="77777777" w:rsidR="00413229" w:rsidRPr="00FE5F49" w:rsidRDefault="00413229" w:rsidP="00413229">
            <w:pPr>
              <w:rPr>
                <w:rFonts w:cs="Times New Roman"/>
                <w:szCs w:val="24"/>
              </w:rPr>
            </w:pPr>
            <w:r w:rsidRPr="00FE5F49">
              <w:rPr>
                <w:rFonts w:cs="Times New Roman"/>
                <w:szCs w:val="24"/>
              </w:rPr>
              <w:t>1 : 4.6258</w:t>
            </w:r>
          </w:p>
        </w:tc>
        <w:tc>
          <w:tcPr>
            <w:tcW w:w="1197" w:type="dxa"/>
            <w:noWrap/>
            <w:hideMark/>
          </w:tcPr>
          <w:p w14:paraId="1B8C72A0" w14:textId="77777777" w:rsidR="00413229" w:rsidRPr="00FE5F49" w:rsidRDefault="00413229" w:rsidP="00413229">
            <w:pPr>
              <w:rPr>
                <w:rFonts w:cs="Times New Roman"/>
                <w:szCs w:val="24"/>
              </w:rPr>
            </w:pPr>
            <w:r w:rsidRPr="00FE5F49">
              <w:rPr>
                <w:rFonts w:cs="Times New Roman"/>
                <w:szCs w:val="24"/>
              </w:rPr>
              <w:t>1 : 5.5406</w:t>
            </w:r>
          </w:p>
        </w:tc>
        <w:tc>
          <w:tcPr>
            <w:tcW w:w="1529" w:type="dxa"/>
            <w:vAlign w:val="bottom"/>
          </w:tcPr>
          <w:p w14:paraId="761621B7" w14:textId="77777777" w:rsidR="00413229" w:rsidRPr="00FE5F49" w:rsidRDefault="00413229" w:rsidP="00413229">
            <w:pPr>
              <w:jc w:val="center"/>
              <w:rPr>
                <w:rFonts w:cs="Times New Roman"/>
                <w:color w:val="000000"/>
                <w:szCs w:val="24"/>
              </w:rPr>
            </w:pPr>
            <w:r w:rsidRPr="00FE5F49">
              <w:rPr>
                <w:rFonts w:cs="Times New Roman"/>
                <w:color w:val="000000"/>
                <w:szCs w:val="24"/>
              </w:rPr>
              <w:t>1 : 0.747776</w:t>
            </w:r>
          </w:p>
        </w:tc>
        <w:tc>
          <w:tcPr>
            <w:tcW w:w="1471" w:type="dxa"/>
            <w:vAlign w:val="bottom"/>
          </w:tcPr>
          <w:p w14:paraId="4A184F28" w14:textId="77777777" w:rsidR="00413229" w:rsidRPr="00FE5F49" w:rsidRDefault="00413229" w:rsidP="00413229">
            <w:pPr>
              <w:jc w:val="center"/>
              <w:rPr>
                <w:rFonts w:cs="Times New Roman"/>
                <w:color w:val="000000"/>
                <w:szCs w:val="24"/>
              </w:rPr>
            </w:pPr>
            <w:r w:rsidRPr="00FE5F49">
              <w:rPr>
                <w:rFonts w:cs="Times New Roman"/>
                <w:color w:val="000000"/>
                <w:szCs w:val="24"/>
              </w:rPr>
              <w:t>1 : 0.792572</w:t>
            </w:r>
          </w:p>
        </w:tc>
        <w:tc>
          <w:tcPr>
            <w:tcW w:w="1470" w:type="dxa"/>
            <w:vAlign w:val="bottom"/>
          </w:tcPr>
          <w:p w14:paraId="21A19E1B"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0.161655</w:t>
            </w:r>
          </w:p>
        </w:tc>
        <w:tc>
          <w:tcPr>
            <w:tcW w:w="1470" w:type="dxa"/>
            <w:vAlign w:val="bottom"/>
          </w:tcPr>
          <w:p w14:paraId="503B2CDA" w14:textId="77777777" w:rsidR="00413229" w:rsidRPr="00FE5F49" w:rsidRDefault="00413229" w:rsidP="00413229">
            <w:pPr>
              <w:jc w:val="center"/>
              <w:rPr>
                <w:rFonts w:cs="Times New Roman"/>
                <w:color w:val="000000"/>
                <w:szCs w:val="24"/>
              </w:rPr>
            </w:pPr>
            <w:r w:rsidRPr="00FE5F49">
              <w:rPr>
                <w:rFonts w:cs="Times New Roman"/>
                <w:color w:val="000000"/>
                <w:szCs w:val="24"/>
              </w:rPr>
              <w:t>1 : 0.143048</w:t>
            </w:r>
          </w:p>
        </w:tc>
        <w:tc>
          <w:tcPr>
            <w:tcW w:w="1470" w:type="dxa"/>
            <w:vAlign w:val="bottom"/>
          </w:tcPr>
          <w:p w14:paraId="09348622"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0.216181</w:t>
            </w:r>
          </w:p>
        </w:tc>
        <w:tc>
          <w:tcPr>
            <w:tcW w:w="1470" w:type="dxa"/>
            <w:vAlign w:val="bottom"/>
          </w:tcPr>
          <w:p w14:paraId="3F0A7F26"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0.180486</w:t>
            </w:r>
          </w:p>
        </w:tc>
      </w:tr>
      <w:tr w:rsidR="00413229" w:rsidRPr="00FE5F49" w14:paraId="5EBB350F" w14:textId="77777777" w:rsidTr="00413229">
        <w:trPr>
          <w:trHeight w:val="308"/>
          <w:jc w:val="center"/>
        </w:trPr>
        <w:tc>
          <w:tcPr>
            <w:tcW w:w="1482" w:type="dxa"/>
          </w:tcPr>
          <w:p w14:paraId="2FB31691" w14:textId="77777777" w:rsidR="00413229" w:rsidRPr="00FE5F49" w:rsidRDefault="00413229" w:rsidP="00413229">
            <w:pPr>
              <w:jc w:val="center"/>
              <w:rPr>
                <w:rFonts w:cs="Times New Roman"/>
                <w:szCs w:val="24"/>
              </w:rPr>
            </w:pPr>
            <w:r w:rsidRPr="00FE5F49">
              <w:rPr>
                <w:rFonts w:cs="Times New Roman"/>
                <w:szCs w:val="24"/>
              </w:rPr>
              <w:t>Peru</w:t>
            </w:r>
          </w:p>
        </w:tc>
        <w:tc>
          <w:tcPr>
            <w:tcW w:w="1286" w:type="dxa"/>
            <w:noWrap/>
            <w:hideMark/>
          </w:tcPr>
          <w:p w14:paraId="04757B24" w14:textId="77777777" w:rsidR="00413229" w:rsidRPr="00FE5F49" w:rsidRDefault="00413229" w:rsidP="00413229">
            <w:pPr>
              <w:rPr>
                <w:rFonts w:cs="Times New Roman"/>
                <w:szCs w:val="24"/>
              </w:rPr>
            </w:pPr>
            <w:r w:rsidRPr="00FE5F49">
              <w:rPr>
                <w:rFonts w:cs="Times New Roman"/>
                <w:szCs w:val="24"/>
              </w:rPr>
              <w:t>1 : 6.5422</w:t>
            </w:r>
          </w:p>
        </w:tc>
        <w:tc>
          <w:tcPr>
            <w:tcW w:w="1285" w:type="dxa"/>
            <w:noWrap/>
            <w:hideMark/>
          </w:tcPr>
          <w:p w14:paraId="2A01CBFA" w14:textId="77777777" w:rsidR="00413229" w:rsidRPr="00FE5F49" w:rsidRDefault="00413229" w:rsidP="00413229">
            <w:pPr>
              <w:rPr>
                <w:rFonts w:cs="Times New Roman"/>
                <w:szCs w:val="24"/>
              </w:rPr>
            </w:pPr>
            <w:r w:rsidRPr="00FE5F49">
              <w:rPr>
                <w:rFonts w:cs="Times New Roman"/>
                <w:szCs w:val="24"/>
              </w:rPr>
              <w:t>1 : 6.5864</w:t>
            </w:r>
          </w:p>
        </w:tc>
        <w:tc>
          <w:tcPr>
            <w:tcW w:w="1286" w:type="dxa"/>
            <w:noWrap/>
            <w:hideMark/>
          </w:tcPr>
          <w:p w14:paraId="21FAFCA1" w14:textId="77777777" w:rsidR="00413229" w:rsidRPr="00FE5F49" w:rsidRDefault="00413229" w:rsidP="00413229">
            <w:pPr>
              <w:rPr>
                <w:rFonts w:cs="Times New Roman"/>
                <w:szCs w:val="24"/>
              </w:rPr>
            </w:pPr>
            <w:r w:rsidRPr="00FE5F49">
              <w:rPr>
                <w:rFonts w:cs="Times New Roman"/>
                <w:szCs w:val="24"/>
              </w:rPr>
              <w:t>1 : 25.195</w:t>
            </w:r>
          </w:p>
        </w:tc>
        <w:tc>
          <w:tcPr>
            <w:tcW w:w="1197" w:type="dxa"/>
            <w:noWrap/>
            <w:hideMark/>
          </w:tcPr>
          <w:p w14:paraId="34BA78EB" w14:textId="77777777" w:rsidR="00413229" w:rsidRPr="00FE5F49" w:rsidRDefault="00413229" w:rsidP="00413229">
            <w:pPr>
              <w:rPr>
                <w:rFonts w:cs="Times New Roman"/>
                <w:szCs w:val="24"/>
              </w:rPr>
            </w:pPr>
            <w:r w:rsidRPr="00FE5F49">
              <w:rPr>
                <w:rFonts w:cs="Times New Roman"/>
                <w:szCs w:val="24"/>
              </w:rPr>
              <w:t>1 : -2.596</w:t>
            </w:r>
          </w:p>
        </w:tc>
        <w:tc>
          <w:tcPr>
            <w:tcW w:w="1529" w:type="dxa"/>
            <w:vAlign w:val="bottom"/>
          </w:tcPr>
          <w:p w14:paraId="70BD8D56" w14:textId="77777777" w:rsidR="00413229" w:rsidRPr="00FE5F49" w:rsidRDefault="00413229" w:rsidP="00413229">
            <w:pPr>
              <w:jc w:val="center"/>
              <w:rPr>
                <w:rFonts w:cs="Times New Roman"/>
                <w:color w:val="000000"/>
                <w:szCs w:val="24"/>
              </w:rPr>
            </w:pPr>
            <w:r w:rsidRPr="00FE5F49">
              <w:rPr>
                <w:rFonts w:cs="Times New Roman"/>
                <w:color w:val="000000"/>
                <w:szCs w:val="24"/>
              </w:rPr>
              <w:t>1 : 3.851141</w:t>
            </w:r>
          </w:p>
        </w:tc>
        <w:tc>
          <w:tcPr>
            <w:tcW w:w="1471" w:type="dxa"/>
            <w:vAlign w:val="bottom"/>
          </w:tcPr>
          <w:p w14:paraId="32E3FE66" w14:textId="77777777" w:rsidR="00413229" w:rsidRPr="00FE5F49" w:rsidRDefault="00413229" w:rsidP="00413229">
            <w:pPr>
              <w:jc w:val="center"/>
              <w:rPr>
                <w:rFonts w:cs="Times New Roman"/>
                <w:color w:val="000000"/>
                <w:szCs w:val="24"/>
              </w:rPr>
            </w:pPr>
            <w:r w:rsidRPr="00FE5F49">
              <w:rPr>
                <w:rFonts w:cs="Times New Roman"/>
                <w:color w:val="000000"/>
                <w:szCs w:val="24"/>
              </w:rPr>
              <w:t>1 : -0.39416</w:t>
            </w:r>
          </w:p>
        </w:tc>
        <w:tc>
          <w:tcPr>
            <w:tcW w:w="1470" w:type="dxa"/>
            <w:vAlign w:val="bottom"/>
          </w:tcPr>
          <w:p w14:paraId="6FA366F1"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0.152855</w:t>
            </w:r>
          </w:p>
        </w:tc>
        <w:tc>
          <w:tcPr>
            <w:tcW w:w="1470" w:type="dxa"/>
            <w:vAlign w:val="bottom"/>
          </w:tcPr>
          <w:p w14:paraId="6AB12E39" w14:textId="77777777" w:rsidR="00413229" w:rsidRPr="00FE5F49" w:rsidRDefault="00413229" w:rsidP="00413229">
            <w:pPr>
              <w:jc w:val="center"/>
              <w:rPr>
                <w:rFonts w:cs="Times New Roman"/>
                <w:color w:val="000000"/>
                <w:szCs w:val="24"/>
              </w:rPr>
            </w:pPr>
            <w:r w:rsidRPr="00FE5F49">
              <w:rPr>
                <w:rFonts w:cs="Times New Roman"/>
                <w:color w:val="000000"/>
                <w:szCs w:val="24"/>
              </w:rPr>
              <w:t>1 : 0.151827</w:t>
            </w:r>
          </w:p>
        </w:tc>
        <w:tc>
          <w:tcPr>
            <w:tcW w:w="1470" w:type="dxa"/>
            <w:vAlign w:val="bottom"/>
          </w:tcPr>
          <w:p w14:paraId="2A473885"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0.039691</w:t>
            </w:r>
          </w:p>
        </w:tc>
        <w:tc>
          <w:tcPr>
            <w:tcW w:w="1470" w:type="dxa"/>
            <w:vAlign w:val="bottom"/>
          </w:tcPr>
          <w:p w14:paraId="09500ACE"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0.385191</w:t>
            </w:r>
          </w:p>
        </w:tc>
      </w:tr>
      <w:tr w:rsidR="00413229" w:rsidRPr="00FE5F49" w14:paraId="5C15D214" w14:textId="77777777" w:rsidTr="00413229">
        <w:trPr>
          <w:trHeight w:val="308"/>
          <w:jc w:val="center"/>
        </w:trPr>
        <w:tc>
          <w:tcPr>
            <w:tcW w:w="1482" w:type="dxa"/>
          </w:tcPr>
          <w:p w14:paraId="4EEF7171" w14:textId="77777777" w:rsidR="00413229" w:rsidRPr="00FE5F49" w:rsidRDefault="00413229" w:rsidP="00413229">
            <w:pPr>
              <w:jc w:val="center"/>
              <w:rPr>
                <w:rFonts w:cs="Times New Roman"/>
                <w:szCs w:val="24"/>
              </w:rPr>
            </w:pPr>
            <w:r w:rsidRPr="00FE5F49">
              <w:rPr>
                <w:rFonts w:cs="Times New Roman"/>
                <w:szCs w:val="24"/>
              </w:rPr>
              <w:t>Pakistan</w:t>
            </w:r>
          </w:p>
        </w:tc>
        <w:tc>
          <w:tcPr>
            <w:tcW w:w="1286" w:type="dxa"/>
            <w:noWrap/>
            <w:hideMark/>
          </w:tcPr>
          <w:p w14:paraId="52DFD298" w14:textId="77777777" w:rsidR="00413229" w:rsidRPr="00FE5F49" w:rsidRDefault="00413229" w:rsidP="00413229">
            <w:pPr>
              <w:rPr>
                <w:rFonts w:cs="Times New Roman"/>
                <w:szCs w:val="24"/>
              </w:rPr>
            </w:pPr>
            <w:r w:rsidRPr="00FE5F49">
              <w:rPr>
                <w:rFonts w:cs="Times New Roman"/>
                <w:szCs w:val="24"/>
              </w:rPr>
              <w:t>1 : 6.9677</w:t>
            </w:r>
          </w:p>
        </w:tc>
        <w:tc>
          <w:tcPr>
            <w:tcW w:w="1285" w:type="dxa"/>
            <w:noWrap/>
            <w:hideMark/>
          </w:tcPr>
          <w:p w14:paraId="6F9EE330" w14:textId="77777777" w:rsidR="00413229" w:rsidRPr="00FE5F49" w:rsidRDefault="00413229" w:rsidP="00413229">
            <w:pPr>
              <w:rPr>
                <w:rFonts w:cs="Times New Roman"/>
                <w:szCs w:val="24"/>
              </w:rPr>
            </w:pPr>
            <w:r w:rsidRPr="00FE5F49">
              <w:rPr>
                <w:rFonts w:cs="Times New Roman"/>
                <w:szCs w:val="24"/>
              </w:rPr>
              <w:t>1 : 6.6691</w:t>
            </w:r>
          </w:p>
        </w:tc>
        <w:tc>
          <w:tcPr>
            <w:tcW w:w="1286" w:type="dxa"/>
            <w:noWrap/>
            <w:hideMark/>
          </w:tcPr>
          <w:p w14:paraId="3D7E9DB3" w14:textId="77777777" w:rsidR="00413229" w:rsidRPr="00FE5F49" w:rsidRDefault="00413229" w:rsidP="00413229">
            <w:pPr>
              <w:rPr>
                <w:rFonts w:cs="Times New Roman"/>
                <w:szCs w:val="24"/>
              </w:rPr>
            </w:pPr>
            <w:r w:rsidRPr="00FE5F49">
              <w:rPr>
                <w:rFonts w:cs="Times New Roman"/>
                <w:szCs w:val="24"/>
              </w:rPr>
              <w:t>1 : 5.0373</w:t>
            </w:r>
          </w:p>
        </w:tc>
        <w:tc>
          <w:tcPr>
            <w:tcW w:w="1197" w:type="dxa"/>
            <w:noWrap/>
            <w:hideMark/>
          </w:tcPr>
          <w:p w14:paraId="3D74C035" w14:textId="77777777" w:rsidR="00413229" w:rsidRPr="00FE5F49" w:rsidRDefault="00413229" w:rsidP="00413229">
            <w:pPr>
              <w:rPr>
                <w:rFonts w:cs="Times New Roman"/>
                <w:szCs w:val="24"/>
              </w:rPr>
            </w:pPr>
            <w:r w:rsidRPr="00FE5F49">
              <w:rPr>
                <w:rFonts w:cs="Times New Roman"/>
                <w:szCs w:val="24"/>
              </w:rPr>
              <w:t>1 : 5.4941</w:t>
            </w:r>
          </w:p>
        </w:tc>
        <w:tc>
          <w:tcPr>
            <w:tcW w:w="1529" w:type="dxa"/>
            <w:vAlign w:val="bottom"/>
          </w:tcPr>
          <w:p w14:paraId="42FE8579" w14:textId="77777777" w:rsidR="00413229" w:rsidRPr="00FE5F49" w:rsidRDefault="00413229" w:rsidP="00413229">
            <w:pPr>
              <w:jc w:val="center"/>
              <w:rPr>
                <w:rFonts w:cs="Times New Roman"/>
                <w:color w:val="000000"/>
                <w:szCs w:val="24"/>
              </w:rPr>
            </w:pPr>
            <w:r w:rsidRPr="00FE5F49">
              <w:rPr>
                <w:rFonts w:cs="Times New Roman"/>
                <w:color w:val="000000"/>
                <w:szCs w:val="24"/>
              </w:rPr>
              <w:t>1 : 0.722945</w:t>
            </w:r>
          </w:p>
        </w:tc>
        <w:tc>
          <w:tcPr>
            <w:tcW w:w="1471" w:type="dxa"/>
            <w:vAlign w:val="bottom"/>
          </w:tcPr>
          <w:p w14:paraId="39535317" w14:textId="77777777" w:rsidR="00413229" w:rsidRPr="00FE5F49" w:rsidRDefault="00413229" w:rsidP="00413229">
            <w:pPr>
              <w:jc w:val="center"/>
              <w:rPr>
                <w:rFonts w:cs="Times New Roman"/>
                <w:color w:val="000000"/>
                <w:szCs w:val="24"/>
              </w:rPr>
            </w:pPr>
            <w:r w:rsidRPr="00FE5F49">
              <w:rPr>
                <w:rFonts w:cs="Times New Roman"/>
                <w:color w:val="000000"/>
                <w:szCs w:val="24"/>
              </w:rPr>
              <w:t>1 : 0.823816</w:t>
            </w:r>
          </w:p>
        </w:tc>
        <w:tc>
          <w:tcPr>
            <w:tcW w:w="1470" w:type="dxa"/>
            <w:vAlign w:val="bottom"/>
          </w:tcPr>
          <w:p w14:paraId="4CA774EB"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0.143519</w:t>
            </w:r>
          </w:p>
        </w:tc>
        <w:tc>
          <w:tcPr>
            <w:tcW w:w="1470" w:type="dxa"/>
            <w:vAlign w:val="bottom"/>
          </w:tcPr>
          <w:p w14:paraId="4F3D33DC" w14:textId="77777777" w:rsidR="00413229" w:rsidRPr="00FE5F49" w:rsidRDefault="00413229" w:rsidP="00413229">
            <w:pPr>
              <w:jc w:val="center"/>
              <w:rPr>
                <w:rFonts w:cs="Times New Roman"/>
                <w:color w:val="000000"/>
                <w:szCs w:val="24"/>
              </w:rPr>
            </w:pPr>
            <w:r w:rsidRPr="00FE5F49">
              <w:rPr>
                <w:rFonts w:cs="Times New Roman"/>
                <w:color w:val="000000"/>
                <w:szCs w:val="24"/>
              </w:rPr>
              <w:t>1 : 0.149946</w:t>
            </w:r>
          </w:p>
        </w:tc>
        <w:tc>
          <w:tcPr>
            <w:tcW w:w="1470" w:type="dxa"/>
            <w:vAlign w:val="bottom"/>
          </w:tcPr>
          <w:p w14:paraId="79FB6C9D"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0.19852</w:t>
            </w:r>
          </w:p>
        </w:tc>
        <w:tc>
          <w:tcPr>
            <w:tcW w:w="1470" w:type="dxa"/>
            <w:vAlign w:val="bottom"/>
          </w:tcPr>
          <w:p w14:paraId="3D82C03E"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0.182014</w:t>
            </w:r>
          </w:p>
        </w:tc>
      </w:tr>
      <w:tr w:rsidR="00413229" w:rsidRPr="00FE5F49" w14:paraId="5A76E214" w14:textId="77777777" w:rsidTr="00413229">
        <w:trPr>
          <w:trHeight w:val="308"/>
          <w:jc w:val="center"/>
        </w:trPr>
        <w:tc>
          <w:tcPr>
            <w:tcW w:w="1482" w:type="dxa"/>
          </w:tcPr>
          <w:p w14:paraId="4C293503" w14:textId="77777777" w:rsidR="00413229" w:rsidRPr="00FE5F49" w:rsidRDefault="00413229" w:rsidP="00413229">
            <w:pPr>
              <w:jc w:val="center"/>
              <w:rPr>
                <w:rFonts w:cs="Times New Roman"/>
                <w:szCs w:val="24"/>
              </w:rPr>
            </w:pPr>
            <w:r w:rsidRPr="00FE5F49">
              <w:rPr>
                <w:rFonts w:cs="Times New Roman"/>
                <w:szCs w:val="24"/>
              </w:rPr>
              <w:t>Poland</w:t>
            </w:r>
          </w:p>
        </w:tc>
        <w:tc>
          <w:tcPr>
            <w:tcW w:w="1286" w:type="dxa"/>
            <w:noWrap/>
            <w:hideMark/>
          </w:tcPr>
          <w:p w14:paraId="63E39592" w14:textId="77777777" w:rsidR="00413229" w:rsidRPr="00FE5F49" w:rsidRDefault="00413229" w:rsidP="00413229">
            <w:pPr>
              <w:rPr>
                <w:rFonts w:cs="Times New Roman"/>
                <w:szCs w:val="24"/>
              </w:rPr>
            </w:pPr>
            <w:r w:rsidRPr="00FE5F49">
              <w:rPr>
                <w:rFonts w:cs="Times New Roman"/>
                <w:szCs w:val="24"/>
              </w:rPr>
              <w:t>1 : 6.169</w:t>
            </w:r>
          </w:p>
        </w:tc>
        <w:tc>
          <w:tcPr>
            <w:tcW w:w="1285" w:type="dxa"/>
            <w:noWrap/>
            <w:hideMark/>
          </w:tcPr>
          <w:p w14:paraId="2CEDE7F1" w14:textId="77777777" w:rsidR="00413229" w:rsidRPr="00FE5F49" w:rsidRDefault="00413229" w:rsidP="00413229">
            <w:pPr>
              <w:rPr>
                <w:rFonts w:cs="Times New Roman"/>
                <w:szCs w:val="24"/>
              </w:rPr>
            </w:pPr>
            <w:r w:rsidRPr="00FE5F49">
              <w:rPr>
                <w:rFonts w:cs="Times New Roman"/>
                <w:szCs w:val="24"/>
              </w:rPr>
              <w:t>1 : 5.0536</w:t>
            </w:r>
          </w:p>
        </w:tc>
        <w:tc>
          <w:tcPr>
            <w:tcW w:w="1286" w:type="dxa"/>
            <w:noWrap/>
            <w:hideMark/>
          </w:tcPr>
          <w:p w14:paraId="3DE7E397" w14:textId="77777777" w:rsidR="00413229" w:rsidRPr="00FE5F49" w:rsidRDefault="00413229" w:rsidP="00413229">
            <w:pPr>
              <w:rPr>
                <w:rFonts w:cs="Times New Roman"/>
                <w:szCs w:val="24"/>
              </w:rPr>
            </w:pPr>
            <w:r w:rsidRPr="00FE5F49">
              <w:rPr>
                <w:rFonts w:cs="Times New Roman"/>
                <w:szCs w:val="24"/>
              </w:rPr>
              <w:t>1 : 10.057</w:t>
            </w:r>
          </w:p>
        </w:tc>
        <w:tc>
          <w:tcPr>
            <w:tcW w:w="1197" w:type="dxa"/>
            <w:noWrap/>
            <w:hideMark/>
          </w:tcPr>
          <w:p w14:paraId="0412E5EF" w14:textId="77777777" w:rsidR="00413229" w:rsidRPr="00FE5F49" w:rsidRDefault="00413229" w:rsidP="00413229">
            <w:pPr>
              <w:rPr>
                <w:rFonts w:cs="Times New Roman"/>
                <w:szCs w:val="24"/>
              </w:rPr>
            </w:pPr>
            <w:r w:rsidRPr="00FE5F49">
              <w:rPr>
                <w:rFonts w:cs="Times New Roman"/>
                <w:szCs w:val="24"/>
              </w:rPr>
              <w:t>1 : 8.4099</w:t>
            </w:r>
          </w:p>
        </w:tc>
        <w:tc>
          <w:tcPr>
            <w:tcW w:w="1529" w:type="dxa"/>
            <w:vAlign w:val="bottom"/>
          </w:tcPr>
          <w:p w14:paraId="640BBFA3" w14:textId="77777777" w:rsidR="00413229" w:rsidRPr="00FE5F49" w:rsidRDefault="00413229" w:rsidP="00413229">
            <w:pPr>
              <w:jc w:val="center"/>
              <w:rPr>
                <w:rFonts w:cs="Times New Roman"/>
                <w:color w:val="000000"/>
                <w:szCs w:val="24"/>
              </w:rPr>
            </w:pPr>
            <w:r w:rsidRPr="00FE5F49">
              <w:rPr>
                <w:rFonts w:cs="Times New Roman"/>
                <w:color w:val="000000"/>
                <w:szCs w:val="24"/>
              </w:rPr>
              <w:t>1 : 1.630256</w:t>
            </w:r>
          </w:p>
        </w:tc>
        <w:tc>
          <w:tcPr>
            <w:tcW w:w="1471" w:type="dxa"/>
            <w:vAlign w:val="bottom"/>
          </w:tcPr>
          <w:p w14:paraId="31C3CACC" w14:textId="77777777" w:rsidR="00413229" w:rsidRPr="00FE5F49" w:rsidRDefault="00413229" w:rsidP="00413229">
            <w:pPr>
              <w:jc w:val="center"/>
              <w:rPr>
                <w:rFonts w:cs="Times New Roman"/>
                <w:color w:val="000000"/>
                <w:szCs w:val="24"/>
              </w:rPr>
            </w:pPr>
            <w:r w:rsidRPr="00FE5F49">
              <w:rPr>
                <w:rFonts w:cs="Times New Roman"/>
                <w:color w:val="000000"/>
                <w:szCs w:val="24"/>
              </w:rPr>
              <w:t>1 : 1.664144</w:t>
            </w:r>
          </w:p>
        </w:tc>
        <w:tc>
          <w:tcPr>
            <w:tcW w:w="1470" w:type="dxa"/>
            <w:vAlign w:val="bottom"/>
          </w:tcPr>
          <w:p w14:paraId="3F47D43E"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0.162101</w:t>
            </w:r>
          </w:p>
        </w:tc>
        <w:tc>
          <w:tcPr>
            <w:tcW w:w="1470" w:type="dxa"/>
            <w:vAlign w:val="bottom"/>
          </w:tcPr>
          <w:p w14:paraId="41A62A16" w14:textId="77777777" w:rsidR="00413229" w:rsidRPr="00FE5F49" w:rsidRDefault="00413229" w:rsidP="00413229">
            <w:pPr>
              <w:jc w:val="center"/>
              <w:rPr>
                <w:rFonts w:cs="Times New Roman"/>
                <w:color w:val="000000"/>
                <w:szCs w:val="24"/>
              </w:rPr>
            </w:pPr>
            <w:r w:rsidRPr="00FE5F49">
              <w:rPr>
                <w:rFonts w:cs="Times New Roman"/>
                <w:color w:val="000000"/>
                <w:szCs w:val="24"/>
              </w:rPr>
              <w:t>1 : 0.197879</w:t>
            </w:r>
          </w:p>
        </w:tc>
        <w:tc>
          <w:tcPr>
            <w:tcW w:w="1470" w:type="dxa"/>
            <w:vAlign w:val="bottom"/>
          </w:tcPr>
          <w:p w14:paraId="1EA9667C"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0.099433</w:t>
            </w:r>
          </w:p>
        </w:tc>
        <w:tc>
          <w:tcPr>
            <w:tcW w:w="1470" w:type="dxa"/>
            <w:vAlign w:val="bottom"/>
          </w:tcPr>
          <w:p w14:paraId="63CD6A60"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0.118908</w:t>
            </w:r>
          </w:p>
        </w:tc>
      </w:tr>
      <w:tr w:rsidR="00413229" w:rsidRPr="00FE5F49" w14:paraId="5AF7272B" w14:textId="77777777" w:rsidTr="00413229">
        <w:trPr>
          <w:trHeight w:val="308"/>
          <w:jc w:val="center"/>
        </w:trPr>
        <w:tc>
          <w:tcPr>
            <w:tcW w:w="1482" w:type="dxa"/>
          </w:tcPr>
          <w:p w14:paraId="1DCC071D" w14:textId="77777777" w:rsidR="00413229" w:rsidRPr="00FE5F49" w:rsidRDefault="00413229" w:rsidP="00413229">
            <w:pPr>
              <w:jc w:val="center"/>
              <w:rPr>
                <w:rFonts w:cs="Times New Roman"/>
                <w:szCs w:val="24"/>
              </w:rPr>
            </w:pPr>
            <w:r w:rsidRPr="00FE5F49">
              <w:rPr>
                <w:rFonts w:cs="Times New Roman"/>
                <w:szCs w:val="24"/>
              </w:rPr>
              <w:t>Russia</w:t>
            </w:r>
          </w:p>
        </w:tc>
        <w:tc>
          <w:tcPr>
            <w:tcW w:w="1286" w:type="dxa"/>
            <w:noWrap/>
            <w:hideMark/>
          </w:tcPr>
          <w:p w14:paraId="3739A1F4" w14:textId="77777777" w:rsidR="00413229" w:rsidRPr="00FE5F49" w:rsidRDefault="00413229" w:rsidP="00413229">
            <w:pPr>
              <w:rPr>
                <w:rFonts w:cs="Times New Roman"/>
                <w:szCs w:val="24"/>
              </w:rPr>
            </w:pPr>
            <w:r w:rsidRPr="00FE5F49">
              <w:rPr>
                <w:rFonts w:cs="Times New Roman"/>
                <w:szCs w:val="24"/>
              </w:rPr>
              <w:t>1 : 6.3925</w:t>
            </w:r>
          </w:p>
        </w:tc>
        <w:tc>
          <w:tcPr>
            <w:tcW w:w="1285" w:type="dxa"/>
            <w:noWrap/>
            <w:hideMark/>
          </w:tcPr>
          <w:p w14:paraId="3906CCE1" w14:textId="77777777" w:rsidR="00413229" w:rsidRPr="00FE5F49" w:rsidRDefault="00413229" w:rsidP="00413229">
            <w:pPr>
              <w:rPr>
                <w:rFonts w:cs="Times New Roman"/>
                <w:szCs w:val="24"/>
              </w:rPr>
            </w:pPr>
            <w:r w:rsidRPr="00FE5F49">
              <w:rPr>
                <w:rFonts w:cs="Times New Roman"/>
                <w:szCs w:val="24"/>
              </w:rPr>
              <w:t>1 : 6.9985</w:t>
            </w:r>
          </w:p>
        </w:tc>
        <w:tc>
          <w:tcPr>
            <w:tcW w:w="1286" w:type="dxa"/>
            <w:noWrap/>
            <w:hideMark/>
          </w:tcPr>
          <w:p w14:paraId="54EEB944" w14:textId="77777777" w:rsidR="00413229" w:rsidRPr="00FE5F49" w:rsidRDefault="00413229" w:rsidP="00413229">
            <w:pPr>
              <w:rPr>
                <w:rFonts w:cs="Times New Roman"/>
                <w:szCs w:val="24"/>
              </w:rPr>
            </w:pPr>
            <w:r w:rsidRPr="00FE5F49">
              <w:rPr>
                <w:rFonts w:cs="Times New Roman"/>
                <w:szCs w:val="24"/>
              </w:rPr>
              <w:t>1 : 6.4014</w:t>
            </w:r>
          </w:p>
        </w:tc>
        <w:tc>
          <w:tcPr>
            <w:tcW w:w="1197" w:type="dxa"/>
            <w:noWrap/>
            <w:hideMark/>
          </w:tcPr>
          <w:p w14:paraId="65464443" w14:textId="77777777" w:rsidR="00413229" w:rsidRPr="00FE5F49" w:rsidRDefault="00413229" w:rsidP="00413229">
            <w:pPr>
              <w:rPr>
                <w:rFonts w:cs="Times New Roman"/>
                <w:szCs w:val="24"/>
              </w:rPr>
            </w:pPr>
            <w:r w:rsidRPr="00FE5F49">
              <w:rPr>
                <w:rFonts w:cs="Times New Roman"/>
                <w:szCs w:val="24"/>
              </w:rPr>
              <w:t>1 : 7.0291</w:t>
            </w:r>
          </w:p>
        </w:tc>
        <w:tc>
          <w:tcPr>
            <w:tcW w:w="1529" w:type="dxa"/>
            <w:vAlign w:val="bottom"/>
          </w:tcPr>
          <w:p w14:paraId="53B5A105" w14:textId="77777777" w:rsidR="00413229" w:rsidRPr="00FE5F49" w:rsidRDefault="00413229" w:rsidP="00413229">
            <w:pPr>
              <w:jc w:val="center"/>
              <w:rPr>
                <w:rFonts w:cs="Times New Roman"/>
                <w:color w:val="000000"/>
                <w:szCs w:val="24"/>
              </w:rPr>
            </w:pPr>
            <w:r w:rsidRPr="00FE5F49">
              <w:rPr>
                <w:rFonts w:cs="Times New Roman"/>
                <w:color w:val="000000"/>
                <w:szCs w:val="24"/>
              </w:rPr>
              <w:t>1 : 1.001381</w:t>
            </w:r>
          </w:p>
        </w:tc>
        <w:tc>
          <w:tcPr>
            <w:tcW w:w="1471" w:type="dxa"/>
            <w:vAlign w:val="bottom"/>
          </w:tcPr>
          <w:p w14:paraId="79EF1F1E" w14:textId="77777777" w:rsidR="00413229" w:rsidRPr="00FE5F49" w:rsidRDefault="00413229" w:rsidP="00413229">
            <w:pPr>
              <w:jc w:val="center"/>
              <w:rPr>
                <w:rFonts w:cs="Times New Roman"/>
                <w:color w:val="000000"/>
                <w:szCs w:val="24"/>
              </w:rPr>
            </w:pPr>
            <w:r w:rsidRPr="00FE5F49">
              <w:rPr>
                <w:rFonts w:cs="Times New Roman"/>
                <w:color w:val="000000"/>
                <w:szCs w:val="24"/>
              </w:rPr>
              <w:t>1 : 1.004377</w:t>
            </w:r>
          </w:p>
        </w:tc>
        <w:tc>
          <w:tcPr>
            <w:tcW w:w="1470" w:type="dxa"/>
            <w:vAlign w:val="bottom"/>
          </w:tcPr>
          <w:p w14:paraId="6589CE16"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0.156432</w:t>
            </w:r>
          </w:p>
        </w:tc>
        <w:tc>
          <w:tcPr>
            <w:tcW w:w="1470" w:type="dxa"/>
            <w:vAlign w:val="bottom"/>
          </w:tcPr>
          <w:p w14:paraId="72B41C7F" w14:textId="77777777" w:rsidR="00413229" w:rsidRPr="00FE5F49" w:rsidRDefault="00413229" w:rsidP="00413229">
            <w:pPr>
              <w:jc w:val="center"/>
              <w:rPr>
                <w:rFonts w:cs="Times New Roman"/>
                <w:color w:val="000000"/>
                <w:szCs w:val="24"/>
              </w:rPr>
            </w:pPr>
            <w:r w:rsidRPr="00FE5F49">
              <w:rPr>
                <w:rFonts w:cs="Times New Roman"/>
                <w:color w:val="000000"/>
                <w:szCs w:val="24"/>
              </w:rPr>
              <w:t>1 : 0.142889</w:t>
            </w:r>
          </w:p>
        </w:tc>
        <w:tc>
          <w:tcPr>
            <w:tcW w:w="1470" w:type="dxa"/>
            <w:vAlign w:val="bottom"/>
          </w:tcPr>
          <w:p w14:paraId="02B633AB"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0.156217</w:t>
            </w:r>
          </w:p>
        </w:tc>
        <w:tc>
          <w:tcPr>
            <w:tcW w:w="1470" w:type="dxa"/>
            <w:vAlign w:val="bottom"/>
          </w:tcPr>
          <w:p w14:paraId="22E8E071"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0.142266</w:t>
            </w:r>
          </w:p>
        </w:tc>
      </w:tr>
      <w:tr w:rsidR="00413229" w:rsidRPr="00FE5F49" w14:paraId="2B95115B" w14:textId="77777777" w:rsidTr="00413229">
        <w:trPr>
          <w:trHeight w:val="308"/>
          <w:jc w:val="center"/>
        </w:trPr>
        <w:tc>
          <w:tcPr>
            <w:tcW w:w="1482" w:type="dxa"/>
          </w:tcPr>
          <w:p w14:paraId="56A67E7A" w14:textId="77777777" w:rsidR="00413229" w:rsidRPr="00FE5F49" w:rsidRDefault="00413229" w:rsidP="00413229">
            <w:pPr>
              <w:jc w:val="center"/>
              <w:rPr>
                <w:rFonts w:cs="Times New Roman"/>
                <w:szCs w:val="24"/>
              </w:rPr>
            </w:pPr>
            <w:r w:rsidRPr="00FE5F49">
              <w:rPr>
                <w:rFonts w:cs="Times New Roman"/>
                <w:szCs w:val="24"/>
              </w:rPr>
              <w:t>Argentina</w:t>
            </w:r>
          </w:p>
        </w:tc>
        <w:tc>
          <w:tcPr>
            <w:tcW w:w="1286" w:type="dxa"/>
            <w:noWrap/>
            <w:hideMark/>
          </w:tcPr>
          <w:p w14:paraId="4C4EF0B3" w14:textId="77777777" w:rsidR="00413229" w:rsidRPr="00FE5F49" w:rsidRDefault="00413229" w:rsidP="00413229">
            <w:pPr>
              <w:rPr>
                <w:rFonts w:cs="Times New Roman"/>
                <w:szCs w:val="24"/>
              </w:rPr>
            </w:pPr>
            <w:r w:rsidRPr="00FE5F49">
              <w:rPr>
                <w:rFonts w:cs="Times New Roman"/>
                <w:szCs w:val="24"/>
              </w:rPr>
              <w:t>1 : 6.1789</w:t>
            </w:r>
          </w:p>
        </w:tc>
        <w:tc>
          <w:tcPr>
            <w:tcW w:w="1285" w:type="dxa"/>
            <w:noWrap/>
            <w:hideMark/>
          </w:tcPr>
          <w:p w14:paraId="0B74EFD4" w14:textId="77777777" w:rsidR="00413229" w:rsidRPr="00FE5F49" w:rsidRDefault="00413229" w:rsidP="00413229">
            <w:pPr>
              <w:rPr>
                <w:rFonts w:cs="Times New Roman"/>
                <w:szCs w:val="24"/>
              </w:rPr>
            </w:pPr>
            <w:r w:rsidRPr="00FE5F49">
              <w:rPr>
                <w:rFonts w:cs="Times New Roman"/>
                <w:szCs w:val="24"/>
              </w:rPr>
              <w:t>1 : 6.825</w:t>
            </w:r>
          </w:p>
        </w:tc>
        <w:tc>
          <w:tcPr>
            <w:tcW w:w="1286" w:type="dxa"/>
            <w:noWrap/>
            <w:hideMark/>
          </w:tcPr>
          <w:p w14:paraId="2021419A" w14:textId="77777777" w:rsidR="00413229" w:rsidRPr="00FE5F49" w:rsidRDefault="00413229" w:rsidP="00413229">
            <w:pPr>
              <w:rPr>
                <w:rFonts w:cs="Times New Roman"/>
                <w:szCs w:val="24"/>
              </w:rPr>
            </w:pPr>
            <w:r w:rsidRPr="00FE5F49">
              <w:rPr>
                <w:rFonts w:cs="Times New Roman"/>
                <w:szCs w:val="24"/>
              </w:rPr>
              <w:t>1 : -3.768</w:t>
            </w:r>
          </w:p>
        </w:tc>
        <w:tc>
          <w:tcPr>
            <w:tcW w:w="1197" w:type="dxa"/>
            <w:noWrap/>
            <w:hideMark/>
          </w:tcPr>
          <w:p w14:paraId="36DE8384" w14:textId="77777777" w:rsidR="00413229" w:rsidRPr="00FE5F49" w:rsidRDefault="00413229" w:rsidP="00413229">
            <w:pPr>
              <w:rPr>
                <w:rFonts w:cs="Times New Roman"/>
                <w:szCs w:val="24"/>
              </w:rPr>
            </w:pPr>
            <w:r w:rsidRPr="00FE5F49">
              <w:rPr>
                <w:rFonts w:cs="Times New Roman"/>
                <w:szCs w:val="24"/>
              </w:rPr>
              <w:t>1 : -4.599</w:t>
            </w:r>
          </w:p>
        </w:tc>
        <w:tc>
          <w:tcPr>
            <w:tcW w:w="1529" w:type="dxa"/>
            <w:vAlign w:val="bottom"/>
          </w:tcPr>
          <w:p w14:paraId="11683F3D" w14:textId="77777777" w:rsidR="00413229" w:rsidRPr="00FE5F49" w:rsidRDefault="00413229" w:rsidP="00413229">
            <w:pPr>
              <w:jc w:val="center"/>
              <w:rPr>
                <w:rFonts w:cs="Times New Roman"/>
                <w:color w:val="000000"/>
                <w:szCs w:val="24"/>
              </w:rPr>
            </w:pPr>
            <w:r w:rsidRPr="00FE5F49">
              <w:rPr>
                <w:rFonts w:cs="Times New Roman"/>
                <w:color w:val="000000"/>
                <w:szCs w:val="24"/>
              </w:rPr>
              <w:t>1 : -0.60987</w:t>
            </w:r>
          </w:p>
        </w:tc>
        <w:tc>
          <w:tcPr>
            <w:tcW w:w="1471" w:type="dxa"/>
            <w:vAlign w:val="bottom"/>
          </w:tcPr>
          <w:p w14:paraId="674ECA4B" w14:textId="77777777" w:rsidR="00413229" w:rsidRPr="00FE5F49" w:rsidRDefault="00413229" w:rsidP="00413229">
            <w:pPr>
              <w:jc w:val="center"/>
              <w:rPr>
                <w:rFonts w:cs="Times New Roman"/>
                <w:color w:val="000000"/>
                <w:szCs w:val="24"/>
              </w:rPr>
            </w:pPr>
            <w:r w:rsidRPr="00FE5F49">
              <w:rPr>
                <w:rFonts w:cs="Times New Roman"/>
                <w:color w:val="000000"/>
                <w:szCs w:val="24"/>
              </w:rPr>
              <w:t>1 : -0.67384</w:t>
            </w:r>
          </w:p>
        </w:tc>
        <w:tc>
          <w:tcPr>
            <w:tcW w:w="1470" w:type="dxa"/>
            <w:vAlign w:val="bottom"/>
          </w:tcPr>
          <w:p w14:paraId="54B395DB"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0.161842</w:t>
            </w:r>
          </w:p>
        </w:tc>
        <w:tc>
          <w:tcPr>
            <w:tcW w:w="1470" w:type="dxa"/>
            <w:vAlign w:val="bottom"/>
          </w:tcPr>
          <w:p w14:paraId="0888E102" w14:textId="77777777" w:rsidR="00413229" w:rsidRPr="00FE5F49" w:rsidRDefault="00413229" w:rsidP="00413229">
            <w:pPr>
              <w:jc w:val="center"/>
              <w:rPr>
                <w:rFonts w:cs="Times New Roman"/>
                <w:color w:val="000000"/>
                <w:szCs w:val="24"/>
              </w:rPr>
            </w:pPr>
            <w:r w:rsidRPr="00FE5F49">
              <w:rPr>
                <w:rFonts w:cs="Times New Roman"/>
                <w:color w:val="000000"/>
                <w:szCs w:val="24"/>
              </w:rPr>
              <w:t>1 : 0.146521</w:t>
            </w:r>
          </w:p>
        </w:tc>
        <w:tc>
          <w:tcPr>
            <w:tcW w:w="1470" w:type="dxa"/>
            <w:vAlign w:val="bottom"/>
          </w:tcPr>
          <w:p w14:paraId="062CB32A"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-0.26537</w:t>
            </w:r>
          </w:p>
        </w:tc>
        <w:tc>
          <w:tcPr>
            <w:tcW w:w="1470" w:type="dxa"/>
            <w:vAlign w:val="bottom"/>
          </w:tcPr>
          <w:p w14:paraId="7BE216E4"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-0.21744</w:t>
            </w:r>
          </w:p>
        </w:tc>
      </w:tr>
      <w:tr w:rsidR="00413229" w:rsidRPr="00FE5F49" w14:paraId="564BB8C2" w14:textId="77777777" w:rsidTr="00413229">
        <w:trPr>
          <w:trHeight w:val="308"/>
          <w:jc w:val="center"/>
        </w:trPr>
        <w:tc>
          <w:tcPr>
            <w:tcW w:w="1482" w:type="dxa"/>
          </w:tcPr>
          <w:p w14:paraId="10C79286" w14:textId="77777777" w:rsidR="00413229" w:rsidRPr="00FE5F49" w:rsidRDefault="00413229" w:rsidP="00413229">
            <w:pPr>
              <w:jc w:val="center"/>
              <w:rPr>
                <w:rFonts w:cs="Times New Roman"/>
                <w:szCs w:val="24"/>
              </w:rPr>
            </w:pPr>
            <w:r w:rsidRPr="00FE5F49">
              <w:rPr>
                <w:rFonts w:cs="Times New Roman"/>
                <w:szCs w:val="24"/>
              </w:rPr>
              <w:t>South Africa</w:t>
            </w:r>
          </w:p>
        </w:tc>
        <w:tc>
          <w:tcPr>
            <w:tcW w:w="1286" w:type="dxa"/>
            <w:noWrap/>
            <w:hideMark/>
          </w:tcPr>
          <w:p w14:paraId="534CD693" w14:textId="77777777" w:rsidR="00413229" w:rsidRPr="00FE5F49" w:rsidRDefault="00413229" w:rsidP="00413229">
            <w:pPr>
              <w:rPr>
                <w:rFonts w:cs="Times New Roman"/>
                <w:szCs w:val="24"/>
              </w:rPr>
            </w:pPr>
            <w:r w:rsidRPr="00FE5F49">
              <w:rPr>
                <w:rFonts w:cs="Times New Roman"/>
                <w:szCs w:val="24"/>
              </w:rPr>
              <w:t>1 : 6.4809</w:t>
            </w:r>
          </w:p>
        </w:tc>
        <w:tc>
          <w:tcPr>
            <w:tcW w:w="1285" w:type="dxa"/>
            <w:noWrap/>
            <w:hideMark/>
          </w:tcPr>
          <w:p w14:paraId="45D0B293" w14:textId="77777777" w:rsidR="00413229" w:rsidRPr="00FE5F49" w:rsidRDefault="00413229" w:rsidP="00413229">
            <w:pPr>
              <w:rPr>
                <w:rFonts w:cs="Times New Roman"/>
                <w:szCs w:val="24"/>
              </w:rPr>
            </w:pPr>
            <w:r w:rsidRPr="00FE5F49">
              <w:rPr>
                <w:rFonts w:cs="Times New Roman"/>
                <w:szCs w:val="24"/>
              </w:rPr>
              <w:t>1 : 6.7526</w:t>
            </w:r>
          </w:p>
        </w:tc>
        <w:tc>
          <w:tcPr>
            <w:tcW w:w="1286" w:type="dxa"/>
            <w:noWrap/>
            <w:hideMark/>
          </w:tcPr>
          <w:p w14:paraId="725F7DD4" w14:textId="77777777" w:rsidR="00413229" w:rsidRPr="00FE5F49" w:rsidRDefault="00413229" w:rsidP="00413229">
            <w:pPr>
              <w:rPr>
                <w:rFonts w:cs="Times New Roman"/>
                <w:szCs w:val="24"/>
              </w:rPr>
            </w:pPr>
            <w:r w:rsidRPr="00FE5F49">
              <w:rPr>
                <w:rFonts w:cs="Times New Roman"/>
                <w:szCs w:val="24"/>
              </w:rPr>
              <w:t>1 : 9.0028</w:t>
            </w:r>
          </w:p>
        </w:tc>
        <w:tc>
          <w:tcPr>
            <w:tcW w:w="1197" w:type="dxa"/>
            <w:noWrap/>
            <w:hideMark/>
          </w:tcPr>
          <w:p w14:paraId="546B1258" w14:textId="77777777" w:rsidR="00413229" w:rsidRPr="00FE5F49" w:rsidRDefault="00413229" w:rsidP="00413229">
            <w:pPr>
              <w:rPr>
                <w:rFonts w:cs="Times New Roman"/>
                <w:szCs w:val="24"/>
              </w:rPr>
            </w:pPr>
            <w:r w:rsidRPr="00FE5F49">
              <w:rPr>
                <w:rFonts w:cs="Times New Roman"/>
                <w:szCs w:val="24"/>
              </w:rPr>
              <w:t>1 : 5.8422</w:t>
            </w:r>
          </w:p>
        </w:tc>
        <w:tc>
          <w:tcPr>
            <w:tcW w:w="1529" w:type="dxa"/>
            <w:vAlign w:val="bottom"/>
          </w:tcPr>
          <w:p w14:paraId="2AAB9C34" w14:textId="77777777" w:rsidR="00413229" w:rsidRPr="00FE5F49" w:rsidRDefault="00413229" w:rsidP="00413229">
            <w:pPr>
              <w:jc w:val="center"/>
              <w:rPr>
                <w:rFonts w:cs="Times New Roman"/>
                <w:color w:val="000000"/>
                <w:szCs w:val="24"/>
              </w:rPr>
            </w:pPr>
            <w:r w:rsidRPr="00FE5F49">
              <w:rPr>
                <w:rFonts w:cs="Times New Roman"/>
                <w:color w:val="000000"/>
                <w:szCs w:val="24"/>
              </w:rPr>
              <w:t>1 : 1.389109</w:t>
            </w:r>
          </w:p>
        </w:tc>
        <w:tc>
          <w:tcPr>
            <w:tcW w:w="1471" w:type="dxa"/>
            <w:vAlign w:val="bottom"/>
          </w:tcPr>
          <w:p w14:paraId="14942F64" w14:textId="77777777" w:rsidR="00413229" w:rsidRPr="00FE5F49" w:rsidRDefault="00413229" w:rsidP="00413229">
            <w:pPr>
              <w:jc w:val="center"/>
              <w:rPr>
                <w:rFonts w:cs="Times New Roman"/>
                <w:color w:val="000000"/>
                <w:szCs w:val="24"/>
              </w:rPr>
            </w:pPr>
            <w:r w:rsidRPr="00FE5F49">
              <w:rPr>
                <w:rFonts w:cs="Times New Roman"/>
                <w:color w:val="000000"/>
                <w:szCs w:val="24"/>
              </w:rPr>
              <w:t>1 : 0.865178</w:t>
            </w:r>
          </w:p>
        </w:tc>
        <w:tc>
          <w:tcPr>
            <w:tcW w:w="1470" w:type="dxa"/>
            <w:vAlign w:val="bottom"/>
          </w:tcPr>
          <w:p w14:paraId="13EAC129"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0.154299</w:t>
            </w:r>
          </w:p>
        </w:tc>
        <w:tc>
          <w:tcPr>
            <w:tcW w:w="1470" w:type="dxa"/>
            <w:vAlign w:val="bottom"/>
          </w:tcPr>
          <w:p w14:paraId="3000ED5B" w14:textId="77777777" w:rsidR="00413229" w:rsidRPr="00FE5F49" w:rsidRDefault="00413229" w:rsidP="00413229">
            <w:pPr>
              <w:jc w:val="center"/>
              <w:rPr>
                <w:rFonts w:cs="Times New Roman"/>
                <w:color w:val="000000"/>
                <w:szCs w:val="24"/>
              </w:rPr>
            </w:pPr>
            <w:r w:rsidRPr="00FE5F49">
              <w:rPr>
                <w:rFonts w:cs="Times New Roman"/>
                <w:color w:val="000000"/>
                <w:szCs w:val="24"/>
              </w:rPr>
              <w:t>1 : 0.148092</w:t>
            </w:r>
          </w:p>
        </w:tc>
        <w:tc>
          <w:tcPr>
            <w:tcW w:w="1470" w:type="dxa"/>
            <w:vAlign w:val="bottom"/>
          </w:tcPr>
          <w:p w14:paraId="2E9E7D06"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0.111077</w:t>
            </w:r>
          </w:p>
        </w:tc>
        <w:tc>
          <w:tcPr>
            <w:tcW w:w="1470" w:type="dxa"/>
            <w:vAlign w:val="bottom"/>
          </w:tcPr>
          <w:p w14:paraId="112F152A"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0.171169</w:t>
            </w:r>
          </w:p>
        </w:tc>
      </w:tr>
      <w:tr w:rsidR="00413229" w:rsidRPr="00FE5F49" w14:paraId="782668FA" w14:textId="77777777" w:rsidTr="00413229">
        <w:trPr>
          <w:trHeight w:val="308"/>
          <w:jc w:val="center"/>
        </w:trPr>
        <w:tc>
          <w:tcPr>
            <w:tcW w:w="1482" w:type="dxa"/>
          </w:tcPr>
          <w:p w14:paraId="31FBD5C6" w14:textId="77777777" w:rsidR="00413229" w:rsidRPr="00FE5F49" w:rsidRDefault="00413229" w:rsidP="00413229">
            <w:pPr>
              <w:jc w:val="center"/>
              <w:rPr>
                <w:rFonts w:cs="Times New Roman"/>
                <w:szCs w:val="24"/>
              </w:rPr>
            </w:pPr>
            <w:r w:rsidRPr="00FE5F49">
              <w:rPr>
                <w:rFonts w:cs="Times New Roman"/>
                <w:szCs w:val="24"/>
              </w:rPr>
              <w:t>Iran</w:t>
            </w:r>
          </w:p>
        </w:tc>
        <w:tc>
          <w:tcPr>
            <w:tcW w:w="1286" w:type="dxa"/>
            <w:noWrap/>
            <w:hideMark/>
          </w:tcPr>
          <w:p w14:paraId="2544EAF7" w14:textId="77777777" w:rsidR="00413229" w:rsidRPr="00FE5F49" w:rsidRDefault="00413229" w:rsidP="00413229">
            <w:pPr>
              <w:rPr>
                <w:rFonts w:cs="Times New Roman"/>
                <w:szCs w:val="24"/>
              </w:rPr>
            </w:pPr>
            <w:r w:rsidRPr="00FE5F49">
              <w:rPr>
                <w:rFonts w:cs="Times New Roman"/>
                <w:szCs w:val="24"/>
              </w:rPr>
              <w:t>1 : 25.173</w:t>
            </w:r>
          </w:p>
        </w:tc>
        <w:tc>
          <w:tcPr>
            <w:tcW w:w="1285" w:type="dxa"/>
            <w:noWrap/>
            <w:hideMark/>
          </w:tcPr>
          <w:p w14:paraId="5FF6DDFF" w14:textId="77777777" w:rsidR="00413229" w:rsidRPr="00FE5F49" w:rsidRDefault="00413229" w:rsidP="00413229">
            <w:pPr>
              <w:rPr>
                <w:rFonts w:cs="Times New Roman"/>
                <w:szCs w:val="24"/>
              </w:rPr>
            </w:pPr>
            <w:r w:rsidRPr="00FE5F49">
              <w:rPr>
                <w:rFonts w:cs="Times New Roman"/>
                <w:szCs w:val="24"/>
              </w:rPr>
              <w:t>1 : 22.039</w:t>
            </w:r>
          </w:p>
        </w:tc>
        <w:tc>
          <w:tcPr>
            <w:tcW w:w="1286" w:type="dxa"/>
            <w:noWrap/>
            <w:hideMark/>
          </w:tcPr>
          <w:p w14:paraId="1CAF586E" w14:textId="77777777" w:rsidR="00413229" w:rsidRPr="00FE5F49" w:rsidRDefault="00413229" w:rsidP="00413229">
            <w:pPr>
              <w:rPr>
                <w:rFonts w:cs="Times New Roman"/>
                <w:szCs w:val="24"/>
              </w:rPr>
            </w:pPr>
            <w:r w:rsidRPr="00FE5F49">
              <w:rPr>
                <w:rFonts w:cs="Times New Roman"/>
                <w:szCs w:val="24"/>
              </w:rPr>
              <w:t>1 : -2.968</w:t>
            </w:r>
          </w:p>
        </w:tc>
        <w:tc>
          <w:tcPr>
            <w:tcW w:w="1197" w:type="dxa"/>
            <w:noWrap/>
            <w:hideMark/>
          </w:tcPr>
          <w:p w14:paraId="0DE030CE" w14:textId="77777777" w:rsidR="00413229" w:rsidRPr="00FE5F49" w:rsidRDefault="00413229" w:rsidP="00413229">
            <w:pPr>
              <w:rPr>
                <w:rFonts w:cs="Times New Roman"/>
                <w:szCs w:val="24"/>
              </w:rPr>
            </w:pPr>
            <w:r w:rsidRPr="00FE5F49">
              <w:rPr>
                <w:rFonts w:cs="Times New Roman"/>
                <w:szCs w:val="24"/>
              </w:rPr>
              <w:t>1 : -2.225</w:t>
            </w:r>
          </w:p>
        </w:tc>
        <w:tc>
          <w:tcPr>
            <w:tcW w:w="1529" w:type="dxa"/>
            <w:vAlign w:val="bottom"/>
          </w:tcPr>
          <w:p w14:paraId="6CBD1531" w14:textId="77777777" w:rsidR="00413229" w:rsidRPr="00FE5F49" w:rsidRDefault="00413229" w:rsidP="00413229">
            <w:pPr>
              <w:jc w:val="center"/>
              <w:rPr>
                <w:rFonts w:cs="Times New Roman"/>
                <w:color w:val="000000"/>
                <w:szCs w:val="24"/>
              </w:rPr>
            </w:pPr>
            <w:r w:rsidRPr="00FE5F49">
              <w:rPr>
                <w:rFonts w:cs="Times New Roman"/>
                <w:color w:val="000000"/>
                <w:szCs w:val="24"/>
              </w:rPr>
              <w:t>1 : -0.11789</w:t>
            </w:r>
          </w:p>
        </w:tc>
        <w:tc>
          <w:tcPr>
            <w:tcW w:w="1471" w:type="dxa"/>
            <w:vAlign w:val="bottom"/>
          </w:tcPr>
          <w:p w14:paraId="2CE2E825" w14:textId="77777777" w:rsidR="00413229" w:rsidRPr="00FE5F49" w:rsidRDefault="00413229" w:rsidP="00413229">
            <w:pPr>
              <w:jc w:val="center"/>
              <w:rPr>
                <w:rFonts w:cs="Times New Roman"/>
                <w:color w:val="000000"/>
                <w:szCs w:val="24"/>
              </w:rPr>
            </w:pPr>
            <w:r w:rsidRPr="00FE5F49">
              <w:rPr>
                <w:rFonts w:cs="Times New Roman"/>
                <w:color w:val="000000"/>
                <w:szCs w:val="24"/>
              </w:rPr>
              <w:t>1 : -0.10097</w:t>
            </w:r>
          </w:p>
        </w:tc>
        <w:tc>
          <w:tcPr>
            <w:tcW w:w="1470" w:type="dxa"/>
            <w:vAlign w:val="bottom"/>
          </w:tcPr>
          <w:p w14:paraId="17F0AA23"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0.039725</w:t>
            </w:r>
          </w:p>
        </w:tc>
        <w:tc>
          <w:tcPr>
            <w:tcW w:w="1470" w:type="dxa"/>
            <w:vAlign w:val="bottom"/>
          </w:tcPr>
          <w:p w14:paraId="06BBBA43" w14:textId="77777777" w:rsidR="00413229" w:rsidRPr="00FE5F49" w:rsidRDefault="00413229" w:rsidP="00413229">
            <w:pPr>
              <w:jc w:val="center"/>
              <w:rPr>
                <w:rFonts w:cs="Times New Roman"/>
                <w:color w:val="000000"/>
                <w:szCs w:val="24"/>
              </w:rPr>
            </w:pPr>
            <w:r w:rsidRPr="00FE5F49">
              <w:rPr>
                <w:rFonts w:cs="Times New Roman"/>
                <w:color w:val="000000"/>
                <w:szCs w:val="24"/>
              </w:rPr>
              <w:t>1 : 0.045373</w:t>
            </w:r>
          </w:p>
        </w:tc>
        <w:tc>
          <w:tcPr>
            <w:tcW w:w="1470" w:type="dxa"/>
            <w:vAlign w:val="bottom"/>
          </w:tcPr>
          <w:p w14:paraId="6AE562FF"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-0.33698</w:t>
            </w:r>
          </w:p>
        </w:tc>
        <w:tc>
          <w:tcPr>
            <w:tcW w:w="1470" w:type="dxa"/>
            <w:vAlign w:val="bottom"/>
          </w:tcPr>
          <w:p w14:paraId="7D13B57D"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-0.44938</w:t>
            </w:r>
          </w:p>
        </w:tc>
      </w:tr>
      <w:tr w:rsidR="00413229" w:rsidRPr="00FE5F49" w14:paraId="009C167E" w14:textId="77777777" w:rsidTr="00413229">
        <w:trPr>
          <w:trHeight w:val="308"/>
          <w:jc w:val="center"/>
        </w:trPr>
        <w:tc>
          <w:tcPr>
            <w:tcW w:w="1482" w:type="dxa"/>
          </w:tcPr>
          <w:p w14:paraId="749646AA" w14:textId="77777777" w:rsidR="00413229" w:rsidRPr="00FE5F49" w:rsidRDefault="00413229" w:rsidP="00413229">
            <w:pPr>
              <w:jc w:val="center"/>
              <w:rPr>
                <w:rFonts w:cs="Times New Roman"/>
                <w:szCs w:val="24"/>
              </w:rPr>
            </w:pPr>
            <w:r w:rsidRPr="00FE5F49">
              <w:rPr>
                <w:rFonts w:cs="Times New Roman"/>
                <w:szCs w:val="24"/>
              </w:rPr>
              <w:t>Kenya</w:t>
            </w:r>
          </w:p>
        </w:tc>
        <w:tc>
          <w:tcPr>
            <w:tcW w:w="1286" w:type="dxa"/>
            <w:noWrap/>
            <w:hideMark/>
          </w:tcPr>
          <w:p w14:paraId="4421CDBC" w14:textId="77777777" w:rsidR="00413229" w:rsidRPr="00FE5F49" w:rsidRDefault="00413229" w:rsidP="00413229">
            <w:pPr>
              <w:rPr>
                <w:rFonts w:cs="Times New Roman"/>
                <w:szCs w:val="24"/>
              </w:rPr>
            </w:pPr>
            <w:r w:rsidRPr="00FE5F49">
              <w:rPr>
                <w:rFonts w:cs="Times New Roman"/>
                <w:szCs w:val="24"/>
              </w:rPr>
              <w:t>1 : 6.6955</w:t>
            </w:r>
          </w:p>
        </w:tc>
        <w:tc>
          <w:tcPr>
            <w:tcW w:w="1285" w:type="dxa"/>
            <w:noWrap/>
            <w:hideMark/>
          </w:tcPr>
          <w:p w14:paraId="5FDE8760" w14:textId="77777777" w:rsidR="00413229" w:rsidRPr="00FE5F49" w:rsidRDefault="00413229" w:rsidP="00413229">
            <w:pPr>
              <w:rPr>
                <w:rFonts w:cs="Times New Roman"/>
                <w:szCs w:val="24"/>
              </w:rPr>
            </w:pPr>
            <w:r w:rsidRPr="00FE5F49">
              <w:rPr>
                <w:rFonts w:cs="Times New Roman"/>
                <w:szCs w:val="24"/>
              </w:rPr>
              <w:t>1 : 6.7543</w:t>
            </w:r>
          </w:p>
        </w:tc>
        <w:tc>
          <w:tcPr>
            <w:tcW w:w="1286" w:type="dxa"/>
            <w:noWrap/>
            <w:hideMark/>
          </w:tcPr>
          <w:p w14:paraId="76FC6528" w14:textId="77777777" w:rsidR="00413229" w:rsidRPr="00FE5F49" w:rsidRDefault="00413229" w:rsidP="00413229">
            <w:pPr>
              <w:rPr>
                <w:rFonts w:cs="Times New Roman"/>
                <w:szCs w:val="24"/>
              </w:rPr>
            </w:pPr>
            <w:r w:rsidRPr="00FE5F49">
              <w:rPr>
                <w:rFonts w:cs="Times New Roman"/>
                <w:szCs w:val="24"/>
              </w:rPr>
              <w:t>1 : 7.6388</w:t>
            </w:r>
          </w:p>
        </w:tc>
        <w:tc>
          <w:tcPr>
            <w:tcW w:w="1197" w:type="dxa"/>
            <w:noWrap/>
            <w:hideMark/>
          </w:tcPr>
          <w:p w14:paraId="4BC1B654" w14:textId="77777777" w:rsidR="00413229" w:rsidRPr="00FE5F49" w:rsidRDefault="00413229" w:rsidP="00413229">
            <w:pPr>
              <w:rPr>
                <w:rFonts w:cs="Times New Roman"/>
                <w:szCs w:val="24"/>
              </w:rPr>
            </w:pPr>
            <w:r w:rsidRPr="00FE5F49">
              <w:rPr>
                <w:rFonts w:cs="Times New Roman"/>
                <w:szCs w:val="24"/>
              </w:rPr>
              <w:t>1 : 5.844</w:t>
            </w:r>
          </w:p>
        </w:tc>
        <w:tc>
          <w:tcPr>
            <w:tcW w:w="1529" w:type="dxa"/>
            <w:vAlign w:val="bottom"/>
          </w:tcPr>
          <w:p w14:paraId="617C85A9" w14:textId="77777777" w:rsidR="00413229" w:rsidRPr="00FE5F49" w:rsidRDefault="00413229" w:rsidP="00413229">
            <w:pPr>
              <w:jc w:val="center"/>
              <w:rPr>
                <w:rFonts w:cs="Times New Roman"/>
                <w:color w:val="000000"/>
                <w:szCs w:val="24"/>
              </w:rPr>
            </w:pPr>
            <w:r w:rsidRPr="00FE5F49">
              <w:rPr>
                <w:rFonts w:cs="Times New Roman"/>
                <w:color w:val="000000"/>
                <w:szCs w:val="24"/>
              </w:rPr>
              <w:t>1 : 1.140884</w:t>
            </w:r>
          </w:p>
        </w:tc>
        <w:tc>
          <w:tcPr>
            <w:tcW w:w="1471" w:type="dxa"/>
            <w:vAlign w:val="bottom"/>
          </w:tcPr>
          <w:p w14:paraId="012099BD" w14:textId="77777777" w:rsidR="00413229" w:rsidRPr="00FE5F49" w:rsidRDefault="00413229" w:rsidP="00413229">
            <w:pPr>
              <w:jc w:val="center"/>
              <w:rPr>
                <w:rFonts w:cs="Times New Roman"/>
                <w:color w:val="000000"/>
                <w:szCs w:val="24"/>
              </w:rPr>
            </w:pPr>
            <w:r w:rsidRPr="00FE5F49">
              <w:rPr>
                <w:rFonts w:cs="Times New Roman"/>
                <w:color w:val="000000"/>
                <w:szCs w:val="24"/>
              </w:rPr>
              <w:t>1 : 0.865234</w:t>
            </w:r>
          </w:p>
        </w:tc>
        <w:tc>
          <w:tcPr>
            <w:tcW w:w="1470" w:type="dxa"/>
            <w:vAlign w:val="bottom"/>
          </w:tcPr>
          <w:p w14:paraId="5AB68601"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0.149353</w:t>
            </w:r>
          </w:p>
        </w:tc>
        <w:tc>
          <w:tcPr>
            <w:tcW w:w="1470" w:type="dxa"/>
            <w:vAlign w:val="bottom"/>
          </w:tcPr>
          <w:p w14:paraId="273FC3DC" w14:textId="77777777" w:rsidR="00413229" w:rsidRPr="00FE5F49" w:rsidRDefault="00413229" w:rsidP="00413229">
            <w:pPr>
              <w:jc w:val="center"/>
              <w:rPr>
                <w:rFonts w:cs="Times New Roman"/>
                <w:color w:val="000000"/>
                <w:szCs w:val="24"/>
              </w:rPr>
            </w:pPr>
            <w:r w:rsidRPr="00FE5F49">
              <w:rPr>
                <w:rFonts w:cs="Times New Roman"/>
                <w:color w:val="000000"/>
                <w:szCs w:val="24"/>
              </w:rPr>
              <w:t>1 : 0.148055</w:t>
            </w:r>
          </w:p>
        </w:tc>
        <w:tc>
          <w:tcPr>
            <w:tcW w:w="1470" w:type="dxa"/>
            <w:vAlign w:val="bottom"/>
          </w:tcPr>
          <w:p w14:paraId="544998A7"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0.13091</w:t>
            </w:r>
          </w:p>
        </w:tc>
        <w:tc>
          <w:tcPr>
            <w:tcW w:w="1470" w:type="dxa"/>
            <w:vAlign w:val="bottom"/>
          </w:tcPr>
          <w:p w14:paraId="26720E52"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0.171115</w:t>
            </w:r>
          </w:p>
        </w:tc>
      </w:tr>
      <w:tr w:rsidR="00413229" w:rsidRPr="00FE5F49" w14:paraId="5D9225E8" w14:textId="77777777" w:rsidTr="00413229">
        <w:trPr>
          <w:trHeight w:val="308"/>
          <w:jc w:val="center"/>
        </w:trPr>
        <w:tc>
          <w:tcPr>
            <w:tcW w:w="1482" w:type="dxa"/>
          </w:tcPr>
          <w:p w14:paraId="7F1783CF" w14:textId="77777777" w:rsidR="00413229" w:rsidRPr="00FE5F49" w:rsidRDefault="00413229" w:rsidP="00413229">
            <w:pPr>
              <w:jc w:val="center"/>
              <w:rPr>
                <w:rFonts w:cs="Times New Roman"/>
                <w:szCs w:val="24"/>
              </w:rPr>
            </w:pPr>
            <w:r w:rsidRPr="00FE5F49">
              <w:rPr>
                <w:rFonts w:cs="Times New Roman"/>
                <w:szCs w:val="24"/>
              </w:rPr>
              <w:t>Nigeria</w:t>
            </w:r>
          </w:p>
        </w:tc>
        <w:tc>
          <w:tcPr>
            <w:tcW w:w="1286" w:type="dxa"/>
            <w:noWrap/>
            <w:hideMark/>
          </w:tcPr>
          <w:p w14:paraId="4428AA90" w14:textId="77777777" w:rsidR="00413229" w:rsidRPr="00FE5F49" w:rsidRDefault="00413229" w:rsidP="00413229">
            <w:pPr>
              <w:rPr>
                <w:rFonts w:cs="Times New Roman"/>
                <w:szCs w:val="24"/>
              </w:rPr>
            </w:pPr>
            <w:r w:rsidRPr="00FE5F49">
              <w:rPr>
                <w:rFonts w:cs="Times New Roman"/>
                <w:szCs w:val="24"/>
              </w:rPr>
              <w:t>1 : 7.5617</w:t>
            </w:r>
          </w:p>
        </w:tc>
        <w:tc>
          <w:tcPr>
            <w:tcW w:w="1285" w:type="dxa"/>
            <w:noWrap/>
            <w:hideMark/>
          </w:tcPr>
          <w:p w14:paraId="6724402F" w14:textId="77777777" w:rsidR="00413229" w:rsidRPr="00FE5F49" w:rsidRDefault="00413229" w:rsidP="00413229">
            <w:pPr>
              <w:rPr>
                <w:rFonts w:cs="Times New Roman"/>
                <w:szCs w:val="24"/>
              </w:rPr>
            </w:pPr>
            <w:r w:rsidRPr="00FE5F49">
              <w:rPr>
                <w:rFonts w:cs="Times New Roman"/>
                <w:szCs w:val="24"/>
              </w:rPr>
              <w:t>1 : 7.9299</w:t>
            </w:r>
          </w:p>
        </w:tc>
        <w:tc>
          <w:tcPr>
            <w:tcW w:w="1286" w:type="dxa"/>
            <w:noWrap/>
            <w:hideMark/>
          </w:tcPr>
          <w:p w14:paraId="74BF3E29" w14:textId="77777777" w:rsidR="00413229" w:rsidRPr="00FE5F49" w:rsidRDefault="00413229" w:rsidP="00413229">
            <w:pPr>
              <w:rPr>
                <w:rFonts w:cs="Times New Roman"/>
                <w:szCs w:val="24"/>
              </w:rPr>
            </w:pPr>
            <w:r w:rsidRPr="00FE5F49">
              <w:rPr>
                <w:rFonts w:cs="Times New Roman"/>
                <w:szCs w:val="24"/>
              </w:rPr>
              <w:t>1 : 7.4699</w:t>
            </w:r>
          </w:p>
        </w:tc>
        <w:tc>
          <w:tcPr>
            <w:tcW w:w="1197" w:type="dxa"/>
            <w:noWrap/>
            <w:hideMark/>
          </w:tcPr>
          <w:p w14:paraId="67C0AB18" w14:textId="77777777" w:rsidR="00413229" w:rsidRPr="00FE5F49" w:rsidRDefault="00413229" w:rsidP="00413229">
            <w:pPr>
              <w:rPr>
                <w:rFonts w:cs="Times New Roman"/>
                <w:szCs w:val="24"/>
              </w:rPr>
            </w:pPr>
            <w:r w:rsidRPr="00FE5F49">
              <w:rPr>
                <w:rFonts w:cs="Times New Roman"/>
                <w:szCs w:val="24"/>
              </w:rPr>
              <w:t>1 : 16.34</w:t>
            </w:r>
          </w:p>
        </w:tc>
        <w:tc>
          <w:tcPr>
            <w:tcW w:w="1529" w:type="dxa"/>
            <w:vAlign w:val="bottom"/>
          </w:tcPr>
          <w:p w14:paraId="6570AFD4" w14:textId="77777777" w:rsidR="00413229" w:rsidRPr="00FE5F49" w:rsidRDefault="00413229" w:rsidP="00413229">
            <w:pPr>
              <w:jc w:val="center"/>
              <w:rPr>
                <w:rFonts w:cs="Times New Roman"/>
                <w:color w:val="000000"/>
                <w:szCs w:val="24"/>
              </w:rPr>
            </w:pPr>
            <w:r w:rsidRPr="00FE5F49">
              <w:rPr>
                <w:rFonts w:cs="Times New Roman"/>
                <w:color w:val="000000"/>
                <w:szCs w:val="24"/>
              </w:rPr>
              <w:t>1 : 0.987859</w:t>
            </w:r>
          </w:p>
        </w:tc>
        <w:tc>
          <w:tcPr>
            <w:tcW w:w="1471" w:type="dxa"/>
            <w:vAlign w:val="bottom"/>
          </w:tcPr>
          <w:p w14:paraId="2F163860" w14:textId="77777777" w:rsidR="00413229" w:rsidRPr="00FE5F49" w:rsidRDefault="00413229" w:rsidP="00413229">
            <w:pPr>
              <w:jc w:val="center"/>
              <w:rPr>
                <w:rFonts w:cs="Times New Roman"/>
                <w:color w:val="000000"/>
                <w:szCs w:val="24"/>
              </w:rPr>
            </w:pPr>
            <w:r w:rsidRPr="00FE5F49">
              <w:rPr>
                <w:rFonts w:cs="Times New Roman"/>
                <w:color w:val="000000"/>
                <w:szCs w:val="24"/>
              </w:rPr>
              <w:t>1 : 2.060563</w:t>
            </w:r>
          </w:p>
        </w:tc>
        <w:tc>
          <w:tcPr>
            <w:tcW w:w="1470" w:type="dxa"/>
            <w:vAlign w:val="bottom"/>
          </w:tcPr>
          <w:p w14:paraId="027D84FC"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0.132246</w:t>
            </w:r>
          </w:p>
        </w:tc>
        <w:tc>
          <w:tcPr>
            <w:tcW w:w="1470" w:type="dxa"/>
            <w:vAlign w:val="bottom"/>
          </w:tcPr>
          <w:p w14:paraId="24635D50" w14:textId="77777777" w:rsidR="00413229" w:rsidRPr="00FE5F49" w:rsidRDefault="00413229" w:rsidP="00413229">
            <w:pPr>
              <w:jc w:val="center"/>
              <w:rPr>
                <w:rFonts w:cs="Times New Roman"/>
                <w:color w:val="000000"/>
                <w:szCs w:val="24"/>
              </w:rPr>
            </w:pPr>
            <w:r w:rsidRPr="00FE5F49">
              <w:rPr>
                <w:rFonts w:cs="Times New Roman"/>
                <w:color w:val="000000"/>
                <w:szCs w:val="24"/>
              </w:rPr>
              <w:t>1 : 0.126106</w:t>
            </w:r>
          </w:p>
        </w:tc>
        <w:tc>
          <w:tcPr>
            <w:tcW w:w="1470" w:type="dxa"/>
            <w:vAlign w:val="bottom"/>
          </w:tcPr>
          <w:p w14:paraId="12FF8E86"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0.133871</w:t>
            </w:r>
          </w:p>
        </w:tc>
        <w:tc>
          <w:tcPr>
            <w:tcW w:w="1470" w:type="dxa"/>
            <w:vAlign w:val="bottom"/>
          </w:tcPr>
          <w:p w14:paraId="710B6798"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0.0612</w:t>
            </w:r>
          </w:p>
        </w:tc>
      </w:tr>
      <w:tr w:rsidR="00413229" w:rsidRPr="00FE5F49" w14:paraId="237D1171" w14:textId="77777777" w:rsidTr="00413229">
        <w:trPr>
          <w:trHeight w:val="308"/>
          <w:jc w:val="center"/>
        </w:trPr>
        <w:tc>
          <w:tcPr>
            <w:tcW w:w="1482" w:type="dxa"/>
          </w:tcPr>
          <w:p w14:paraId="4AC52081" w14:textId="77777777" w:rsidR="00413229" w:rsidRPr="00FE5F49" w:rsidRDefault="00413229" w:rsidP="00413229">
            <w:pPr>
              <w:jc w:val="center"/>
              <w:rPr>
                <w:rFonts w:cs="Times New Roman"/>
                <w:szCs w:val="24"/>
              </w:rPr>
            </w:pPr>
            <w:r w:rsidRPr="00FE5F49">
              <w:rPr>
                <w:rFonts w:cs="Times New Roman"/>
                <w:szCs w:val="24"/>
              </w:rPr>
              <w:t>Hong Kong</w:t>
            </w:r>
          </w:p>
        </w:tc>
        <w:tc>
          <w:tcPr>
            <w:tcW w:w="1286" w:type="dxa"/>
            <w:noWrap/>
            <w:hideMark/>
          </w:tcPr>
          <w:p w14:paraId="077CCBEF" w14:textId="77777777" w:rsidR="00413229" w:rsidRPr="00FE5F49" w:rsidRDefault="00413229" w:rsidP="00413229">
            <w:pPr>
              <w:rPr>
                <w:rFonts w:cs="Times New Roman"/>
                <w:szCs w:val="24"/>
              </w:rPr>
            </w:pPr>
            <w:r w:rsidRPr="00FE5F49">
              <w:rPr>
                <w:rFonts w:cs="Times New Roman"/>
                <w:szCs w:val="24"/>
              </w:rPr>
              <w:t>1 : 5.529</w:t>
            </w:r>
          </w:p>
        </w:tc>
        <w:tc>
          <w:tcPr>
            <w:tcW w:w="1285" w:type="dxa"/>
            <w:noWrap/>
            <w:hideMark/>
          </w:tcPr>
          <w:p w14:paraId="59A845D9" w14:textId="77777777" w:rsidR="00413229" w:rsidRPr="00FE5F49" w:rsidRDefault="00413229" w:rsidP="00413229">
            <w:pPr>
              <w:rPr>
                <w:rFonts w:cs="Times New Roman"/>
                <w:szCs w:val="24"/>
              </w:rPr>
            </w:pPr>
            <w:r w:rsidRPr="00FE5F49">
              <w:rPr>
                <w:rFonts w:cs="Times New Roman"/>
                <w:szCs w:val="24"/>
              </w:rPr>
              <w:t>1 : 6.1057</w:t>
            </w:r>
          </w:p>
        </w:tc>
        <w:tc>
          <w:tcPr>
            <w:tcW w:w="1286" w:type="dxa"/>
            <w:noWrap/>
            <w:hideMark/>
          </w:tcPr>
          <w:p w14:paraId="278C6E40" w14:textId="77777777" w:rsidR="00413229" w:rsidRPr="00FE5F49" w:rsidRDefault="00413229" w:rsidP="00413229">
            <w:pPr>
              <w:rPr>
                <w:rFonts w:cs="Times New Roman"/>
                <w:szCs w:val="24"/>
              </w:rPr>
            </w:pPr>
            <w:r w:rsidRPr="00FE5F49">
              <w:rPr>
                <w:rFonts w:cs="Times New Roman"/>
                <w:szCs w:val="24"/>
              </w:rPr>
              <w:t>1 : 0.9792</w:t>
            </w:r>
          </w:p>
        </w:tc>
        <w:tc>
          <w:tcPr>
            <w:tcW w:w="1197" w:type="dxa"/>
            <w:noWrap/>
            <w:hideMark/>
          </w:tcPr>
          <w:p w14:paraId="516E4D9D" w14:textId="77777777" w:rsidR="00413229" w:rsidRPr="00FE5F49" w:rsidRDefault="00413229" w:rsidP="00413229">
            <w:pPr>
              <w:rPr>
                <w:rFonts w:cs="Times New Roman"/>
                <w:szCs w:val="24"/>
              </w:rPr>
            </w:pPr>
            <w:r w:rsidRPr="00FE5F49">
              <w:rPr>
                <w:rFonts w:cs="Times New Roman"/>
                <w:szCs w:val="24"/>
              </w:rPr>
              <w:t>1 : 1.2171</w:t>
            </w:r>
          </w:p>
        </w:tc>
        <w:tc>
          <w:tcPr>
            <w:tcW w:w="1529" w:type="dxa"/>
            <w:vAlign w:val="bottom"/>
          </w:tcPr>
          <w:p w14:paraId="0FA45B00" w14:textId="77777777" w:rsidR="00413229" w:rsidRPr="00FE5F49" w:rsidRDefault="00413229" w:rsidP="00413229">
            <w:pPr>
              <w:jc w:val="center"/>
              <w:rPr>
                <w:rFonts w:cs="Times New Roman"/>
                <w:color w:val="000000"/>
                <w:szCs w:val="24"/>
              </w:rPr>
            </w:pPr>
            <w:r w:rsidRPr="00FE5F49">
              <w:rPr>
                <w:rFonts w:cs="Times New Roman"/>
                <w:color w:val="000000"/>
                <w:szCs w:val="24"/>
              </w:rPr>
              <w:t>1 : 0.177101</w:t>
            </w:r>
          </w:p>
        </w:tc>
        <w:tc>
          <w:tcPr>
            <w:tcW w:w="1471" w:type="dxa"/>
            <w:vAlign w:val="bottom"/>
          </w:tcPr>
          <w:p w14:paraId="2F43D61C" w14:textId="77777777" w:rsidR="00413229" w:rsidRPr="00FE5F49" w:rsidRDefault="00413229" w:rsidP="00413229">
            <w:pPr>
              <w:jc w:val="center"/>
              <w:rPr>
                <w:rFonts w:cs="Times New Roman"/>
                <w:color w:val="000000"/>
                <w:szCs w:val="24"/>
              </w:rPr>
            </w:pPr>
            <w:r w:rsidRPr="00FE5F49">
              <w:rPr>
                <w:rFonts w:cs="Times New Roman"/>
                <w:color w:val="000000"/>
                <w:szCs w:val="24"/>
              </w:rPr>
              <w:t>1 : 0.199337</w:t>
            </w:r>
          </w:p>
        </w:tc>
        <w:tc>
          <w:tcPr>
            <w:tcW w:w="1470" w:type="dxa"/>
            <w:vAlign w:val="bottom"/>
          </w:tcPr>
          <w:p w14:paraId="5879B21C"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0.180866</w:t>
            </w:r>
          </w:p>
        </w:tc>
        <w:tc>
          <w:tcPr>
            <w:tcW w:w="1470" w:type="dxa"/>
            <w:vAlign w:val="bottom"/>
          </w:tcPr>
          <w:p w14:paraId="4FB2B004" w14:textId="77777777" w:rsidR="00413229" w:rsidRPr="00FE5F49" w:rsidRDefault="00413229" w:rsidP="00413229">
            <w:pPr>
              <w:jc w:val="center"/>
              <w:rPr>
                <w:rFonts w:cs="Times New Roman"/>
                <w:color w:val="000000"/>
                <w:szCs w:val="24"/>
              </w:rPr>
            </w:pPr>
            <w:r w:rsidRPr="00FE5F49">
              <w:rPr>
                <w:rFonts w:cs="Times New Roman"/>
                <w:color w:val="000000"/>
                <w:szCs w:val="24"/>
              </w:rPr>
              <w:t>1 : 0.163782</w:t>
            </w:r>
          </w:p>
        </w:tc>
        <w:tc>
          <w:tcPr>
            <w:tcW w:w="1470" w:type="dxa"/>
            <w:vAlign w:val="bottom"/>
          </w:tcPr>
          <w:p w14:paraId="15176D1C"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1.021258</w:t>
            </w:r>
          </w:p>
        </w:tc>
        <w:tc>
          <w:tcPr>
            <w:tcW w:w="1470" w:type="dxa"/>
            <w:vAlign w:val="bottom"/>
          </w:tcPr>
          <w:p w14:paraId="3EC194FA"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0.821634</w:t>
            </w:r>
          </w:p>
        </w:tc>
      </w:tr>
      <w:tr w:rsidR="00413229" w:rsidRPr="00FE5F49" w14:paraId="4CBD6E6C" w14:textId="77777777" w:rsidTr="00413229">
        <w:trPr>
          <w:trHeight w:val="308"/>
          <w:jc w:val="center"/>
        </w:trPr>
        <w:tc>
          <w:tcPr>
            <w:tcW w:w="1482" w:type="dxa"/>
          </w:tcPr>
          <w:p w14:paraId="1012CEA1" w14:textId="77777777" w:rsidR="00413229" w:rsidRPr="00FE5F49" w:rsidRDefault="00413229" w:rsidP="00413229">
            <w:pPr>
              <w:jc w:val="center"/>
              <w:rPr>
                <w:rFonts w:cs="Times New Roman"/>
                <w:szCs w:val="24"/>
              </w:rPr>
            </w:pPr>
            <w:r w:rsidRPr="00FE5F49">
              <w:rPr>
                <w:rFonts w:cs="Times New Roman"/>
                <w:szCs w:val="24"/>
              </w:rPr>
              <w:t>Philippines</w:t>
            </w:r>
          </w:p>
        </w:tc>
        <w:tc>
          <w:tcPr>
            <w:tcW w:w="1286" w:type="dxa"/>
            <w:noWrap/>
            <w:hideMark/>
          </w:tcPr>
          <w:p w14:paraId="3C8DC144" w14:textId="77777777" w:rsidR="00413229" w:rsidRPr="00FE5F49" w:rsidRDefault="00413229" w:rsidP="00413229">
            <w:pPr>
              <w:rPr>
                <w:rFonts w:cs="Times New Roman"/>
                <w:szCs w:val="24"/>
              </w:rPr>
            </w:pPr>
            <w:r w:rsidRPr="00FE5F49">
              <w:rPr>
                <w:rFonts w:cs="Times New Roman"/>
                <w:szCs w:val="24"/>
              </w:rPr>
              <w:t>1 : 7.7067</w:t>
            </w:r>
          </w:p>
        </w:tc>
        <w:tc>
          <w:tcPr>
            <w:tcW w:w="1285" w:type="dxa"/>
            <w:noWrap/>
            <w:hideMark/>
          </w:tcPr>
          <w:p w14:paraId="253C322F" w14:textId="77777777" w:rsidR="00413229" w:rsidRPr="00FE5F49" w:rsidRDefault="00413229" w:rsidP="00413229">
            <w:pPr>
              <w:rPr>
                <w:rFonts w:cs="Times New Roman"/>
                <w:szCs w:val="24"/>
              </w:rPr>
            </w:pPr>
            <w:r w:rsidRPr="00FE5F49">
              <w:rPr>
                <w:rFonts w:cs="Times New Roman"/>
                <w:szCs w:val="24"/>
              </w:rPr>
              <w:t>1 : 6.4256</w:t>
            </w:r>
          </w:p>
        </w:tc>
        <w:tc>
          <w:tcPr>
            <w:tcW w:w="1286" w:type="dxa"/>
            <w:noWrap/>
            <w:hideMark/>
          </w:tcPr>
          <w:p w14:paraId="115DFECF" w14:textId="77777777" w:rsidR="00413229" w:rsidRPr="00FE5F49" w:rsidRDefault="00413229" w:rsidP="00413229">
            <w:pPr>
              <w:rPr>
                <w:rFonts w:cs="Times New Roman"/>
                <w:szCs w:val="24"/>
              </w:rPr>
            </w:pPr>
            <w:r w:rsidRPr="00FE5F49">
              <w:rPr>
                <w:rFonts w:cs="Times New Roman"/>
                <w:szCs w:val="24"/>
              </w:rPr>
              <w:t>1 : 11.197</w:t>
            </w:r>
          </w:p>
        </w:tc>
        <w:tc>
          <w:tcPr>
            <w:tcW w:w="1197" w:type="dxa"/>
            <w:noWrap/>
            <w:hideMark/>
          </w:tcPr>
          <w:p w14:paraId="5E04F47C" w14:textId="77777777" w:rsidR="00413229" w:rsidRPr="00FE5F49" w:rsidRDefault="00413229" w:rsidP="00413229">
            <w:pPr>
              <w:rPr>
                <w:rFonts w:cs="Times New Roman"/>
                <w:szCs w:val="24"/>
              </w:rPr>
            </w:pPr>
            <w:r w:rsidRPr="00FE5F49">
              <w:rPr>
                <w:rFonts w:cs="Times New Roman"/>
                <w:szCs w:val="24"/>
              </w:rPr>
              <w:t>1 : 5.3869</w:t>
            </w:r>
          </w:p>
        </w:tc>
        <w:tc>
          <w:tcPr>
            <w:tcW w:w="1529" w:type="dxa"/>
            <w:vAlign w:val="bottom"/>
          </w:tcPr>
          <w:p w14:paraId="7F24161B" w14:textId="77777777" w:rsidR="00413229" w:rsidRPr="00FE5F49" w:rsidRDefault="00413229" w:rsidP="00413229">
            <w:pPr>
              <w:jc w:val="center"/>
              <w:rPr>
                <w:rFonts w:cs="Times New Roman"/>
                <w:color w:val="000000"/>
                <w:szCs w:val="24"/>
              </w:rPr>
            </w:pPr>
            <w:r w:rsidRPr="00FE5F49">
              <w:rPr>
                <w:rFonts w:cs="Times New Roman"/>
                <w:color w:val="000000"/>
                <w:szCs w:val="24"/>
              </w:rPr>
              <w:t>1 : 1.45283</w:t>
            </w:r>
          </w:p>
        </w:tc>
        <w:tc>
          <w:tcPr>
            <w:tcW w:w="1471" w:type="dxa"/>
            <w:vAlign w:val="bottom"/>
          </w:tcPr>
          <w:p w14:paraId="2670FA94" w14:textId="77777777" w:rsidR="00413229" w:rsidRPr="00FE5F49" w:rsidRDefault="00413229" w:rsidP="00413229">
            <w:pPr>
              <w:jc w:val="center"/>
              <w:rPr>
                <w:rFonts w:cs="Times New Roman"/>
                <w:color w:val="000000"/>
                <w:szCs w:val="24"/>
              </w:rPr>
            </w:pPr>
            <w:r w:rsidRPr="00FE5F49">
              <w:rPr>
                <w:rFonts w:cs="Times New Roman"/>
                <w:color w:val="000000"/>
                <w:szCs w:val="24"/>
              </w:rPr>
              <w:t>1 : 0.838349</w:t>
            </w:r>
          </w:p>
        </w:tc>
        <w:tc>
          <w:tcPr>
            <w:tcW w:w="1470" w:type="dxa"/>
            <w:vAlign w:val="bottom"/>
          </w:tcPr>
          <w:p w14:paraId="5749C17A"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0.129758</w:t>
            </w:r>
          </w:p>
        </w:tc>
        <w:tc>
          <w:tcPr>
            <w:tcW w:w="1470" w:type="dxa"/>
            <w:vAlign w:val="bottom"/>
          </w:tcPr>
          <w:p w14:paraId="43904AA0" w14:textId="77777777" w:rsidR="00413229" w:rsidRPr="00FE5F49" w:rsidRDefault="00413229" w:rsidP="00413229">
            <w:pPr>
              <w:jc w:val="center"/>
              <w:rPr>
                <w:rFonts w:cs="Times New Roman"/>
                <w:color w:val="000000"/>
                <w:szCs w:val="24"/>
              </w:rPr>
            </w:pPr>
            <w:r w:rsidRPr="00FE5F49">
              <w:rPr>
                <w:rFonts w:cs="Times New Roman"/>
                <w:color w:val="000000"/>
                <w:szCs w:val="24"/>
              </w:rPr>
              <w:t>1 : 0.155628</w:t>
            </w:r>
          </w:p>
        </w:tc>
        <w:tc>
          <w:tcPr>
            <w:tcW w:w="1470" w:type="dxa"/>
            <w:vAlign w:val="bottom"/>
          </w:tcPr>
          <w:p w14:paraId="118BA5C8"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0.089314</w:t>
            </w:r>
          </w:p>
        </w:tc>
        <w:tc>
          <w:tcPr>
            <w:tcW w:w="1470" w:type="dxa"/>
            <w:vAlign w:val="bottom"/>
          </w:tcPr>
          <w:p w14:paraId="3563B256"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0.185637</w:t>
            </w:r>
          </w:p>
        </w:tc>
      </w:tr>
      <w:tr w:rsidR="00413229" w:rsidRPr="00FE5F49" w14:paraId="2EBBC699" w14:textId="77777777" w:rsidTr="00413229">
        <w:trPr>
          <w:trHeight w:val="308"/>
          <w:jc w:val="center"/>
        </w:trPr>
        <w:tc>
          <w:tcPr>
            <w:tcW w:w="1482" w:type="dxa"/>
          </w:tcPr>
          <w:p w14:paraId="1A4215A1" w14:textId="77777777" w:rsidR="00413229" w:rsidRPr="00FE5F49" w:rsidRDefault="00413229" w:rsidP="00413229">
            <w:pPr>
              <w:jc w:val="center"/>
              <w:rPr>
                <w:rFonts w:cs="Times New Roman"/>
                <w:szCs w:val="24"/>
              </w:rPr>
            </w:pPr>
            <w:r w:rsidRPr="00FE5F49">
              <w:rPr>
                <w:rFonts w:cs="Times New Roman"/>
                <w:szCs w:val="24"/>
              </w:rPr>
              <w:t>El Salvador</w:t>
            </w:r>
          </w:p>
        </w:tc>
        <w:tc>
          <w:tcPr>
            <w:tcW w:w="1286" w:type="dxa"/>
            <w:noWrap/>
            <w:hideMark/>
          </w:tcPr>
          <w:p w14:paraId="744486A5" w14:textId="77777777" w:rsidR="00413229" w:rsidRPr="00FE5F49" w:rsidRDefault="00413229" w:rsidP="00413229">
            <w:pPr>
              <w:rPr>
                <w:rFonts w:cs="Times New Roman"/>
                <w:szCs w:val="24"/>
              </w:rPr>
            </w:pPr>
            <w:r w:rsidRPr="00FE5F49">
              <w:rPr>
                <w:rFonts w:cs="Times New Roman"/>
                <w:szCs w:val="24"/>
              </w:rPr>
              <w:t>1 : 5.6307</w:t>
            </w:r>
          </w:p>
        </w:tc>
        <w:tc>
          <w:tcPr>
            <w:tcW w:w="1285" w:type="dxa"/>
            <w:noWrap/>
            <w:hideMark/>
          </w:tcPr>
          <w:p w14:paraId="03EE5AE3" w14:textId="77777777" w:rsidR="00413229" w:rsidRPr="00FE5F49" w:rsidRDefault="00413229" w:rsidP="00413229">
            <w:pPr>
              <w:rPr>
                <w:rFonts w:cs="Times New Roman"/>
                <w:szCs w:val="24"/>
              </w:rPr>
            </w:pPr>
            <w:r w:rsidRPr="00FE5F49">
              <w:rPr>
                <w:rFonts w:cs="Times New Roman"/>
                <w:szCs w:val="24"/>
              </w:rPr>
              <w:t>1 : 6.2043</w:t>
            </w:r>
          </w:p>
        </w:tc>
        <w:tc>
          <w:tcPr>
            <w:tcW w:w="1286" w:type="dxa"/>
            <w:noWrap/>
            <w:hideMark/>
          </w:tcPr>
          <w:p w14:paraId="6A215C00" w14:textId="77777777" w:rsidR="00413229" w:rsidRPr="00FE5F49" w:rsidRDefault="00413229" w:rsidP="00413229">
            <w:pPr>
              <w:rPr>
                <w:rFonts w:cs="Times New Roman"/>
                <w:szCs w:val="24"/>
              </w:rPr>
            </w:pPr>
            <w:r w:rsidRPr="00FE5F49">
              <w:rPr>
                <w:rFonts w:cs="Times New Roman"/>
                <w:szCs w:val="24"/>
              </w:rPr>
              <w:t>1 : 10.736</w:t>
            </w:r>
          </w:p>
        </w:tc>
        <w:tc>
          <w:tcPr>
            <w:tcW w:w="1197" w:type="dxa"/>
            <w:noWrap/>
            <w:hideMark/>
          </w:tcPr>
          <w:p w14:paraId="1CD36C48" w14:textId="77777777" w:rsidR="00413229" w:rsidRPr="00FE5F49" w:rsidRDefault="00413229" w:rsidP="00413229">
            <w:pPr>
              <w:rPr>
                <w:rFonts w:cs="Times New Roman"/>
                <w:szCs w:val="24"/>
              </w:rPr>
            </w:pPr>
            <w:r w:rsidRPr="00FE5F49">
              <w:rPr>
                <w:rFonts w:cs="Times New Roman"/>
                <w:szCs w:val="24"/>
              </w:rPr>
              <w:t>1 : 13.969</w:t>
            </w:r>
          </w:p>
        </w:tc>
        <w:tc>
          <w:tcPr>
            <w:tcW w:w="1529" w:type="dxa"/>
            <w:vAlign w:val="bottom"/>
          </w:tcPr>
          <w:p w14:paraId="75EDB86E" w14:textId="77777777" w:rsidR="00413229" w:rsidRPr="00FE5F49" w:rsidRDefault="00413229" w:rsidP="00413229">
            <w:pPr>
              <w:jc w:val="center"/>
              <w:rPr>
                <w:rFonts w:cs="Times New Roman"/>
                <w:color w:val="000000"/>
                <w:szCs w:val="24"/>
              </w:rPr>
            </w:pPr>
            <w:r w:rsidRPr="00FE5F49">
              <w:rPr>
                <w:rFonts w:cs="Times New Roman"/>
                <w:color w:val="000000"/>
                <w:szCs w:val="24"/>
              </w:rPr>
              <w:t>1 : 1.906693</w:t>
            </w:r>
          </w:p>
        </w:tc>
        <w:tc>
          <w:tcPr>
            <w:tcW w:w="1471" w:type="dxa"/>
            <w:vAlign w:val="bottom"/>
          </w:tcPr>
          <w:p w14:paraId="3BC94F98" w14:textId="77777777" w:rsidR="00413229" w:rsidRPr="00FE5F49" w:rsidRDefault="00413229" w:rsidP="00413229">
            <w:pPr>
              <w:jc w:val="center"/>
              <w:rPr>
                <w:rFonts w:cs="Times New Roman"/>
                <w:color w:val="000000"/>
                <w:szCs w:val="24"/>
              </w:rPr>
            </w:pPr>
            <w:r w:rsidRPr="00FE5F49">
              <w:rPr>
                <w:rFonts w:cs="Times New Roman"/>
                <w:color w:val="000000"/>
                <w:szCs w:val="24"/>
              </w:rPr>
              <w:t>1 : 2.251404</w:t>
            </w:r>
          </w:p>
        </w:tc>
        <w:tc>
          <w:tcPr>
            <w:tcW w:w="1470" w:type="dxa"/>
            <w:vAlign w:val="bottom"/>
          </w:tcPr>
          <w:p w14:paraId="34FF48D2"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0.177599</w:t>
            </w:r>
          </w:p>
        </w:tc>
        <w:tc>
          <w:tcPr>
            <w:tcW w:w="1470" w:type="dxa"/>
            <w:vAlign w:val="bottom"/>
          </w:tcPr>
          <w:p w14:paraId="40996885" w14:textId="77777777" w:rsidR="00413229" w:rsidRPr="00FE5F49" w:rsidRDefault="00413229" w:rsidP="00413229">
            <w:pPr>
              <w:jc w:val="center"/>
              <w:rPr>
                <w:rFonts w:cs="Times New Roman"/>
                <w:color w:val="000000"/>
                <w:szCs w:val="24"/>
              </w:rPr>
            </w:pPr>
            <w:r w:rsidRPr="00FE5F49">
              <w:rPr>
                <w:rFonts w:cs="Times New Roman"/>
                <w:color w:val="000000"/>
                <w:szCs w:val="24"/>
              </w:rPr>
              <w:t>1 : 0.161179</w:t>
            </w:r>
          </w:p>
        </w:tc>
        <w:tc>
          <w:tcPr>
            <w:tcW w:w="1470" w:type="dxa"/>
            <w:vAlign w:val="bottom"/>
          </w:tcPr>
          <w:p w14:paraId="584B940D"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0.093145</w:t>
            </w:r>
          </w:p>
        </w:tc>
        <w:tc>
          <w:tcPr>
            <w:tcW w:w="1470" w:type="dxa"/>
            <w:vAlign w:val="bottom"/>
          </w:tcPr>
          <w:p w14:paraId="667B997A"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0.07159</w:t>
            </w:r>
          </w:p>
        </w:tc>
      </w:tr>
      <w:tr w:rsidR="00413229" w:rsidRPr="00FE5F49" w14:paraId="42F1D476" w14:textId="77777777" w:rsidTr="00413229">
        <w:trPr>
          <w:trHeight w:val="308"/>
          <w:jc w:val="center"/>
        </w:trPr>
        <w:tc>
          <w:tcPr>
            <w:tcW w:w="1482" w:type="dxa"/>
          </w:tcPr>
          <w:p w14:paraId="74BE96EC" w14:textId="77777777" w:rsidR="00413229" w:rsidRPr="00FE5F49" w:rsidRDefault="00413229" w:rsidP="00413229">
            <w:pPr>
              <w:jc w:val="center"/>
              <w:rPr>
                <w:rFonts w:cs="Times New Roman"/>
                <w:szCs w:val="24"/>
              </w:rPr>
            </w:pPr>
            <w:r w:rsidRPr="00FE5F49">
              <w:rPr>
                <w:rFonts w:cs="Times New Roman"/>
                <w:szCs w:val="24"/>
              </w:rPr>
              <w:t>Vietnam</w:t>
            </w:r>
          </w:p>
        </w:tc>
        <w:tc>
          <w:tcPr>
            <w:tcW w:w="1286" w:type="dxa"/>
            <w:noWrap/>
            <w:hideMark/>
          </w:tcPr>
          <w:p w14:paraId="4EB0D68B" w14:textId="77777777" w:rsidR="00413229" w:rsidRPr="00FE5F49" w:rsidRDefault="00413229" w:rsidP="00413229">
            <w:pPr>
              <w:rPr>
                <w:rFonts w:cs="Times New Roman"/>
                <w:szCs w:val="24"/>
              </w:rPr>
            </w:pPr>
            <w:r w:rsidRPr="00FE5F49">
              <w:rPr>
                <w:rFonts w:cs="Times New Roman"/>
                <w:szCs w:val="24"/>
              </w:rPr>
              <w:t>1 : 7.5061</w:t>
            </w:r>
          </w:p>
        </w:tc>
        <w:tc>
          <w:tcPr>
            <w:tcW w:w="1285" w:type="dxa"/>
            <w:noWrap/>
            <w:hideMark/>
          </w:tcPr>
          <w:p w14:paraId="7123613E" w14:textId="77777777" w:rsidR="00413229" w:rsidRPr="00FE5F49" w:rsidRDefault="00413229" w:rsidP="00413229">
            <w:pPr>
              <w:rPr>
                <w:rFonts w:cs="Times New Roman"/>
                <w:szCs w:val="24"/>
              </w:rPr>
            </w:pPr>
            <w:r w:rsidRPr="00FE5F49">
              <w:rPr>
                <w:rFonts w:cs="Times New Roman"/>
                <w:szCs w:val="24"/>
              </w:rPr>
              <w:t>1 : 6.275</w:t>
            </w:r>
          </w:p>
        </w:tc>
        <w:tc>
          <w:tcPr>
            <w:tcW w:w="1286" w:type="dxa"/>
            <w:noWrap/>
            <w:hideMark/>
          </w:tcPr>
          <w:p w14:paraId="7556840D" w14:textId="77777777" w:rsidR="00413229" w:rsidRPr="00FE5F49" w:rsidRDefault="00413229" w:rsidP="00413229">
            <w:pPr>
              <w:rPr>
                <w:rFonts w:cs="Times New Roman"/>
                <w:szCs w:val="24"/>
              </w:rPr>
            </w:pPr>
            <w:r w:rsidRPr="00FE5F49">
              <w:rPr>
                <w:rFonts w:cs="Times New Roman"/>
                <w:szCs w:val="24"/>
              </w:rPr>
              <w:t>1 : 7.5286</w:t>
            </w:r>
          </w:p>
        </w:tc>
        <w:tc>
          <w:tcPr>
            <w:tcW w:w="1197" w:type="dxa"/>
            <w:noWrap/>
            <w:hideMark/>
          </w:tcPr>
          <w:p w14:paraId="1314E295" w14:textId="77777777" w:rsidR="00413229" w:rsidRPr="00FE5F49" w:rsidRDefault="00413229" w:rsidP="00413229">
            <w:pPr>
              <w:rPr>
                <w:rFonts w:cs="Times New Roman"/>
                <w:szCs w:val="24"/>
              </w:rPr>
            </w:pPr>
            <w:r w:rsidRPr="00FE5F49">
              <w:rPr>
                <w:rFonts w:cs="Times New Roman"/>
                <w:szCs w:val="24"/>
              </w:rPr>
              <w:t>1 : 6.2707</w:t>
            </w:r>
          </w:p>
        </w:tc>
        <w:tc>
          <w:tcPr>
            <w:tcW w:w="1529" w:type="dxa"/>
            <w:vAlign w:val="bottom"/>
          </w:tcPr>
          <w:p w14:paraId="23452B59" w14:textId="77777777" w:rsidR="00413229" w:rsidRPr="00FE5F49" w:rsidRDefault="00413229" w:rsidP="00413229">
            <w:pPr>
              <w:jc w:val="center"/>
              <w:rPr>
                <w:rFonts w:cs="Times New Roman"/>
                <w:color w:val="000000"/>
                <w:szCs w:val="24"/>
              </w:rPr>
            </w:pPr>
            <w:r w:rsidRPr="00FE5F49">
              <w:rPr>
                <w:rFonts w:cs="Times New Roman"/>
                <w:color w:val="000000"/>
                <w:szCs w:val="24"/>
              </w:rPr>
              <w:t>1 : 1.002997</w:t>
            </w:r>
          </w:p>
        </w:tc>
        <w:tc>
          <w:tcPr>
            <w:tcW w:w="1471" w:type="dxa"/>
            <w:vAlign w:val="bottom"/>
          </w:tcPr>
          <w:p w14:paraId="2F9CB82B" w14:textId="77777777" w:rsidR="00413229" w:rsidRPr="00FE5F49" w:rsidRDefault="00413229" w:rsidP="00413229">
            <w:pPr>
              <w:jc w:val="center"/>
              <w:rPr>
                <w:rFonts w:cs="Times New Roman"/>
                <w:color w:val="000000"/>
                <w:szCs w:val="24"/>
              </w:rPr>
            </w:pPr>
            <w:r w:rsidRPr="00FE5F49">
              <w:rPr>
                <w:rFonts w:cs="Times New Roman"/>
                <w:color w:val="000000"/>
                <w:szCs w:val="24"/>
              </w:rPr>
              <w:t>1 : 0.999366</w:t>
            </w:r>
          </w:p>
        </w:tc>
        <w:tc>
          <w:tcPr>
            <w:tcW w:w="1470" w:type="dxa"/>
            <w:vAlign w:val="bottom"/>
          </w:tcPr>
          <w:p w14:paraId="2A52245C" w14:textId="77777777" w:rsidR="00413229" w:rsidRPr="00FE5F49" w:rsidRDefault="00413229" w:rsidP="00413229">
            <w:pPr>
              <w:jc w:val="center"/>
              <w:rPr>
                <w:rFonts w:cs="Times New Roman"/>
                <w:color w:val="000000"/>
                <w:szCs w:val="24"/>
              </w:rPr>
            </w:pPr>
            <w:r w:rsidRPr="00FE5F49">
              <w:rPr>
                <w:rFonts w:cs="Times New Roman"/>
                <w:color w:val="000000"/>
                <w:szCs w:val="24"/>
              </w:rPr>
              <w:t>1</w:t>
            </w:r>
            <w:r>
              <w:rPr>
                <w:rFonts w:cs="Times New Roman"/>
                <w:color w:val="000000"/>
                <w:szCs w:val="24"/>
              </w:rPr>
              <w:t xml:space="preserve"> </w:t>
            </w:r>
            <w:r w:rsidRPr="00FE5F49">
              <w:rPr>
                <w:rFonts w:cs="Times New Roman"/>
                <w:color w:val="000000"/>
                <w:szCs w:val="24"/>
              </w:rPr>
              <w:t>: 0.133225</w:t>
            </w:r>
          </w:p>
        </w:tc>
        <w:tc>
          <w:tcPr>
            <w:tcW w:w="1470" w:type="dxa"/>
            <w:vAlign w:val="bottom"/>
          </w:tcPr>
          <w:p w14:paraId="2C49B5FD" w14:textId="77777777" w:rsidR="00413229" w:rsidRPr="00FE5F49" w:rsidRDefault="00413229" w:rsidP="00413229">
            <w:pPr>
              <w:jc w:val="center"/>
              <w:rPr>
                <w:rFonts w:cs="Times New Roman"/>
                <w:color w:val="000000"/>
                <w:szCs w:val="24"/>
              </w:rPr>
            </w:pPr>
            <w:r w:rsidRPr="00FE5F49">
              <w:rPr>
                <w:rFonts w:cs="Times New Roman"/>
                <w:color w:val="000000"/>
                <w:szCs w:val="24"/>
              </w:rPr>
              <w:t>1 : 0.15937</w:t>
            </w:r>
          </w:p>
        </w:tc>
        <w:tc>
          <w:tcPr>
            <w:tcW w:w="1470" w:type="dxa"/>
            <w:vAlign w:val="bottom"/>
          </w:tcPr>
          <w:p w14:paraId="22D77936"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0.132827</w:t>
            </w:r>
          </w:p>
        </w:tc>
        <w:tc>
          <w:tcPr>
            <w:tcW w:w="1470" w:type="dxa"/>
            <w:vAlign w:val="bottom"/>
          </w:tcPr>
          <w:p w14:paraId="3F51DF57" w14:textId="77777777" w:rsidR="00413229" w:rsidRPr="00FE5F49" w:rsidRDefault="00413229" w:rsidP="00413229">
            <w:pPr>
              <w:jc w:val="center"/>
              <w:rPr>
                <w:rFonts w:cs="Times New Roman"/>
                <w:color w:val="000000"/>
                <w:szCs w:val="24"/>
              </w:rPr>
            </w:pPr>
            <w:r w:rsidRPr="009E724F">
              <w:rPr>
                <w:rFonts w:cs="Times New Roman"/>
                <w:color w:val="000000"/>
                <w:szCs w:val="24"/>
              </w:rPr>
              <w:t xml:space="preserve">1 : </w:t>
            </w:r>
            <w:r w:rsidRPr="00FE5F49">
              <w:rPr>
                <w:rFonts w:cs="Times New Roman"/>
                <w:color w:val="000000"/>
                <w:szCs w:val="24"/>
              </w:rPr>
              <w:t>0.159471</w:t>
            </w:r>
          </w:p>
        </w:tc>
      </w:tr>
    </w:tbl>
    <w:p w14:paraId="52709420" w14:textId="77777777" w:rsidR="00413229" w:rsidRPr="00AC1055" w:rsidRDefault="00413229" w:rsidP="00413229">
      <w:pPr>
        <w:spacing w:line="480" w:lineRule="auto"/>
        <w:rPr>
          <w:rFonts w:cs="Times New Roman"/>
        </w:rPr>
      </w:pPr>
    </w:p>
    <w:p w14:paraId="43EF609F" w14:textId="77777777" w:rsidR="00413229" w:rsidRDefault="00413229" w:rsidP="00413229">
      <w:pPr>
        <w:spacing w:line="480" w:lineRule="auto"/>
        <w:rPr>
          <w:rFonts w:cs="Times New Roman"/>
        </w:rPr>
        <w:sectPr w:rsidR="00413229" w:rsidSect="00F855D8">
          <w:pgSz w:w="16838" w:h="11906" w:orient="landscape"/>
          <w:pgMar w:top="1440" w:right="1440" w:bottom="1440" w:left="2268" w:header="709" w:footer="709" w:gutter="0"/>
          <w:cols w:space="708"/>
          <w:docGrid w:linePitch="360"/>
        </w:sectPr>
      </w:pPr>
    </w:p>
    <w:p w14:paraId="515A9B29" w14:textId="77777777" w:rsidR="00413229" w:rsidRPr="00AC1055" w:rsidRDefault="00413229" w:rsidP="00413229">
      <w:pPr>
        <w:spacing w:line="480" w:lineRule="auto"/>
        <w:rPr>
          <w:rFonts w:cs="Times New Roman"/>
        </w:rPr>
      </w:pPr>
      <w:r>
        <w:rPr>
          <w:rFonts w:cs="Times New Roman"/>
        </w:rPr>
        <w:lastRenderedPageBreak/>
        <w:t>By plotting</w:t>
      </w:r>
      <w:r w:rsidRPr="00AC1055">
        <w:rPr>
          <w:rFonts w:cs="Times New Roman"/>
        </w:rPr>
        <w:t xml:space="preserve"> the results of the first four columns of the table above, to compare the relative impact of change in corporate governance on </w:t>
      </w:r>
      <w:r>
        <w:rPr>
          <w:rFonts w:cs="Times New Roman"/>
        </w:rPr>
        <w:t xml:space="preserve">the </w:t>
      </w:r>
      <w:r w:rsidRPr="00AC1055">
        <w:rPr>
          <w:rFonts w:cs="Times New Roman"/>
        </w:rPr>
        <w:t xml:space="preserve">growth of </w:t>
      </w:r>
      <w:r>
        <w:rPr>
          <w:rFonts w:cs="Times New Roman"/>
        </w:rPr>
        <w:t xml:space="preserve">the </w:t>
      </w:r>
      <w:r w:rsidRPr="00AC1055">
        <w:rPr>
          <w:rFonts w:cs="Times New Roman"/>
        </w:rPr>
        <w:t>financial market to economic controls and technological and export controls, through both frequentist and Bayesian methods the following graph</w:t>
      </w:r>
      <w:r>
        <w:rPr>
          <w:rFonts w:cs="Times New Roman"/>
        </w:rPr>
        <w:t xml:space="preserve"> is obtained</w:t>
      </w:r>
      <w:r w:rsidRPr="00AC1055">
        <w:rPr>
          <w:rFonts w:cs="Times New Roman"/>
        </w:rPr>
        <w:t xml:space="preserve">: </w:t>
      </w:r>
    </w:p>
    <w:p w14:paraId="1BFF6736" w14:textId="77777777" w:rsidR="00413229" w:rsidRDefault="00413229" w:rsidP="00413229">
      <w:pPr>
        <w:spacing w:line="480" w:lineRule="auto"/>
        <w:rPr>
          <w:rFonts w:cs="Times New Roman"/>
        </w:rPr>
      </w:pPr>
      <w:r w:rsidRPr="00AC1055">
        <w:rPr>
          <w:rFonts w:cs="Times New Roman"/>
          <w:noProof/>
          <w:lang w:eastAsia="en-GB"/>
        </w:rPr>
        <w:drawing>
          <wp:inline distT="0" distB="0" distL="0" distR="0" wp14:anchorId="57C6318C" wp14:editId="2B9CD030">
            <wp:extent cx="5553075" cy="4029075"/>
            <wp:effectExtent l="0" t="0" r="9525" b="9525"/>
            <wp:docPr id="534" name="Chart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30274B00" w14:textId="77777777" w:rsidR="00413229" w:rsidRPr="00AC1055" w:rsidRDefault="00413229" w:rsidP="00413229">
      <w:pPr>
        <w:spacing w:line="480" w:lineRule="auto"/>
        <w:rPr>
          <w:rFonts w:cs="Times New Roman"/>
        </w:rPr>
      </w:pPr>
      <w:r w:rsidRPr="00286C92">
        <w:rPr>
          <w:rFonts w:cs="Times New Roman"/>
        </w:rPr>
        <w:t xml:space="preserve">What </w:t>
      </w:r>
      <w:r>
        <w:rPr>
          <w:rFonts w:cs="Times New Roman"/>
        </w:rPr>
        <w:t>is found</w:t>
      </w:r>
      <w:r w:rsidRPr="00286C92">
        <w:rPr>
          <w:rFonts w:cs="Times New Roman"/>
        </w:rPr>
        <w:t xml:space="preserve"> from the graph above is that</w:t>
      </w:r>
      <w:r>
        <w:rPr>
          <w:rFonts w:cs="Times New Roman"/>
        </w:rPr>
        <w:t>,</w:t>
      </w:r>
      <w:r w:rsidRPr="00286C92">
        <w:rPr>
          <w:rFonts w:cs="Times New Roman"/>
        </w:rPr>
        <w:t xml:space="preserve"> under frequentist analysis</w:t>
      </w:r>
      <w:r>
        <w:rPr>
          <w:rFonts w:cs="Times New Roman"/>
        </w:rPr>
        <w:t>,</w:t>
      </w:r>
      <w:r w:rsidRPr="00286C92">
        <w:rPr>
          <w:rFonts w:cs="Times New Roman"/>
        </w:rPr>
        <w:t xml:space="preserve"> the relative impact of corporate governance on </w:t>
      </w:r>
      <w:r>
        <w:rPr>
          <w:rFonts w:cs="Times New Roman"/>
        </w:rPr>
        <w:t xml:space="preserve">the </w:t>
      </w:r>
      <w:r w:rsidRPr="00286C92">
        <w:rPr>
          <w:rFonts w:cs="Times New Roman"/>
        </w:rPr>
        <w:t xml:space="preserve">growth of </w:t>
      </w:r>
      <w:r>
        <w:rPr>
          <w:rFonts w:cs="Times New Roman"/>
        </w:rPr>
        <w:t xml:space="preserve">the </w:t>
      </w:r>
      <w:r w:rsidRPr="00286C92">
        <w:rPr>
          <w:rFonts w:cs="Times New Roman"/>
        </w:rPr>
        <w:t xml:space="preserve">financial market is generally underestimated. From the last two columns of the table </w:t>
      </w:r>
      <w:r>
        <w:rPr>
          <w:rFonts w:cs="Times New Roman"/>
        </w:rPr>
        <w:t xml:space="preserve">it can be observed </w:t>
      </w:r>
      <w:r w:rsidRPr="00286C92">
        <w:rPr>
          <w:rFonts w:cs="Times New Roman"/>
        </w:rPr>
        <w:t>that</w:t>
      </w:r>
      <w:r>
        <w:rPr>
          <w:rFonts w:cs="Times New Roman"/>
        </w:rPr>
        <w:t>,</w:t>
      </w:r>
      <w:r w:rsidRPr="00286C92">
        <w:rPr>
          <w:rFonts w:cs="Times New Roman"/>
        </w:rPr>
        <w:t xml:space="preserve"> on average</w:t>
      </w:r>
      <w:r>
        <w:rPr>
          <w:rFonts w:cs="Times New Roman"/>
        </w:rPr>
        <w:t>,</w:t>
      </w:r>
      <w:r w:rsidRPr="00286C92">
        <w:rPr>
          <w:rFonts w:cs="Times New Roman"/>
        </w:rPr>
        <w:t xml:space="preserve"> frequentist analysis underestimates the relative impact of change</w:t>
      </w:r>
      <w:r>
        <w:rPr>
          <w:rFonts w:cs="Times New Roman"/>
        </w:rPr>
        <w:t>s</w:t>
      </w:r>
      <w:r w:rsidRPr="00286C92">
        <w:rPr>
          <w:rFonts w:cs="Times New Roman"/>
        </w:rPr>
        <w:t xml:space="preserve"> in corporate governance on </w:t>
      </w:r>
      <w:r>
        <w:rPr>
          <w:rFonts w:cs="Times New Roman"/>
        </w:rPr>
        <w:t xml:space="preserve">the </w:t>
      </w:r>
      <w:r w:rsidRPr="00286C92">
        <w:rPr>
          <w:rFonts w:cs="Times New Roman"/>
        </w:rPr>
        <w:t>growth of</w:t>
      </w:r>
      <w:r>
        <w:rPr>
          <w:rFonts w:cs="Times New Roman"/>
        </w:rPr>
        <w:t xml:space="preserve"> the</w:t>
      </w:r>
      <w:r w:rsidRPr="00286C92">
        <w:rPr>
          <w:rFonts w:cs="Times New Roman"/>
        </w:rPr>
        <w:t xml:space="preserve"> financial market </w:t>
      </w:r>
      <w:r>
        <w:rPr>
          <w:rFonts w:cs="Times New Roman"/>
        </w:rPr>
        <w:t xml:space="preserve">compared </w:t>
      </w:r>
      <w:r w:rsidRPr="00286C92">
        <w:rPr>
          <w:rFonts w:cs="Times New Roman"/>
        </w:rPr>
        <w:t>to economic factors (control 1) by 1.43 times to mean Bayesian estimates. While in relation to growth in investment for R&amp;D and technology</w:t>
      </w:r>
      <w:r>
        <w:rPr>
          <w:rFonts w:cs="Times New Roman"/>
        </w:rPr>
        <w:t>-</w:t>
      </w:r>
      <w:r w:rsidRPr="00286C92">
        <w:rPr>
          <w:rFonts w:cs="Times New Roman"/>
        </w:rPr>
        <w:t xml:space="preserve">based exports (control 3) the impact </w:t>
      </w:r>
      <w:r w:rsidRPr="00286C92">
        <w:rPr>
          <w:rFonts w:cs="Times New Roman"/>
        </w:rPr>
        <w:lastRenderedPageBreak/>
        <w:t xml:space="preserve">of change in corporate governance </w:t>
      </w:r>
      <w:r>
        <w:rPr>
          <w:rFonts w:cs="Times New Roman"/>
        </w:rPr>
        <w:t xml:space="preserve">on </w:t>
      </w:r>
      <w:r w:rsidRPr="00286C92">
        <w:rPr>
          <w:rFonts w:cs="Times New Roman"/>
        </w:rPr>
        <w:t xml:space="preserve">growth in </w:t>
      </w:r>
      <w:r>
        <w:rPr>
          <w:rFonts w:cs="Times New Roman"/>
        </w:rPr>
        <w:t xml:space="preserve">the </w:t>
      </w:r>
      <w:r w:rsidRPr="00286C92">
        <w:rPr>
          <w:rFonts w:cs="Times New Roman"/>
        </w:rPr>
        <w:t>financial market is underestimated in frequentist analysis by a factor of 1.22.</w:t>
      </w:r>
    </w:p>
    <w:p w14:paraId="6E75044E" w14:textId="77777777" w:rsidR="00413229" w:rsidRDefault="00413229" w:rsidP="00413229">
      <w:pPr>
        <w:spacing w:line="480" w:lineRule="auto"/>
        <w:rPr>
          <w:rFonts w:cs="Times New Roman"/>
        </w:rPr>
      </w:pPr>
      <w:r>
        <w:rPr>
          <w:noProof/>
          <w:lang w:eastAsia="en-GB"/>
        </w:rPr>
        <w:drawing>
          <wp:inline distT="0" distB="0" distL="0" distR="0" wp14:anchorId="48B8B5EE" wp14:editId="35BF80F4">
            <wp:extent cx="5429250" cy="6553200"/>
            <wp:effectExtent l="0" t="0" r="19050" b="19050"/>
            <wp:docPr id="535" name="Chart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1A332537" w14:textId="6100A475" w:rsidR="00413229" w:rsidRDefault="00413229" w:rsidP="00413229">
      <w:pPr>
        <w:spacing w:line="480" w:lineRule="auto"/>
        <w:rPr>
          <w:rFonts w:cs="Times New Roman"/>
        </w:rPr>
      </w:pPr>
      <w:r>
        <w:rPr>
          <w:rFonts w:cs="Times New Roman"/>
        </w:rPr>
        <w:t xml:space="preserve">It is also possible to compare the relative impact by reverse ratio with the impact of control 1 and control </w:t>
      </w:r>
      <w:r w:rsidR="00EB1E15">
        <w:rPr>
          <w:rFonts w:cs="Times New Roman"/>
        </w:rPr>
        <w:t>3</w:t>
      </w:r>
      <w:r>
        <w:rPr>
          <w:rFonts w:cs="Times New Roman"/>
        </w:rPr>
        <w:t xml:space="preserve"> fixed at 1 and analyse the impact of corporate governance. On average the difference between the mean Bayesian impact and frequentist impact </w:t>
      </w:r>
      <w:r>
        <w:rPr>
          <w:rFonts w:cs="Times New Roman"/>
        </w:rPr>
        <w:lastRenderedPageBreak/>
        <w:t>was about 7.65% more for Bayesian inference for relative impact to control 1 and 2.5% more for Bayesian inference for relative impact to control 3.</w:t>
      </w:r>
    </w:p>
    <w:p w14:paraId="372772A4" w14:textId="77777777" w:rsidR="00413229" w:rsidRDefault="00413229" w:rsidP="00413229">
      <w:pPr>
        <w:spacing w:line="480" w:lineRule="auto"/>
        <w:rPr>
          <w:rFonts w:cs="Times New Roman"/>
        </w:rPr>
      </w:pPr>
      <w:r>
        <w:rPr>
          <w:rFonts w:cs="Times New Roman"/>
        </w:rPr>
        <w:t>By ranking the countries by their relative impact of corporate governance shift to control 1 and control on financial market development the following table is obtained:</w:t>
      </w:r>
    </w:p>
    <w:tbl>
      <w:tblPr>
        <w:tblStyle w:val="TableGrid"/>
        <w:tblW w:w="8961" w:type="dxa"/>
        <w:tblInd w:w="-176" w:type="dxa"/>
        <w:tblLayout w:type="fixed"/>
        <w:tblLook w:val="04A0" w:firstRow="1" w:lastRow="0" w:firstColumn="1" w:lastColumn="0" w:noHBand="0" w:noVBand="1"/>
      </w:tblPr>
      <w:tblGrid>
        <w:gridCol w:w="374"/>
        <w:gridCol w:w="2037"/>
        <w:gridCol w:w="992"/>
        <w:gridCol w:w="1078"/>
        <w:gridCol w:w="373"/>
        <w:gridCol w:w="2093"/>
        <w:gridCol w:w="992"/>
        <w:gridCol w:w="1022"/>
      </w:tblGrid>
      <w:tr w:rsidR="00413229" w:rsidRPr="0037553A" w14:paraId="19B03BC3" w14:textId="77777777" w:rsidTr="00991CFF">
        <w:trPr>
          <w:trHeight w:val="519"/>
        </w:trPr>
        <w:tc>
          <w:tcPr>
            <w:tcW w:w="4481" w:type="dxa"/>
            <w:gridSpan w:val="4"/>
          </w:tcPr>
          <w:p w14:paraId="7F65D83D" w14:textId="77777777" w:rsidR="00413229" w:rsidRDefault="00413229" w:rsidP="00413229">
            <w:pPr>
              <w:jc w:val="center"/>
              <w:rPr>
                <w:rFonts w:cs="Times New Roman"/>
                <w:color w:val="000000"/>
                <w:szCs w:val="24"/>
                <w:highlight w:val="yellow"/>
              </w:rPr>
            </w:pPr>
            <w:r w:rsidRPr="00347505">
              <w:rPr>
                <w:rFonts w:cs="Times New Roman"/>
                <w:color w:val="000000"/>
                <w:szCs w:val="24"/>
              </w:rPr>
              <w:t>Rank of country by higher impact of CG relative to C</w:t>
            </w:r>
            <w:r>
              <w:rPr>
                <w:rFonts w:cs="Times New Roman"/>
                <w:color w:val="000000"/>
                <w:szCs w:val="24"/>
              </w:rPr>
              <w:t>on</w:t>
            </w:r>
            <w:r w:rsidRPr="00347505">
              <w:rPr>
                <w:rFonts w:cs="Times New Roman"/>
                <w:color w:val="000000"/>
                <w:szCs w:val="24"/>
              </w:rPr>
              <w:t>tr</w:t>
            </w:r>
            <w:r>
              <w:rPr>
                <w:rFonts w:cs="Times New Roman"/>
                <w:color w:val="000000"/>
                <w:szCs w:val="24"/>
              </w:rPr>
              <w:t>o</w:t>
            </w:r>
            <w:r w:rsidRPr="00347505">
              <w:rPr>
                <w:rFonts w:cs="Times New Roman"/>
                <w:color w:val="000000"/>
                <w:szCs w:val="24"/>
              </w:rPr>
              <w:t>l 1</w:t>
            </w:r>
          </w:p>
        </w:tc>
        <w:tc>
          <w:tcPr>
            <w:tcW w:w="4480" w:type="dxa"/>
            <w:gridSpan w:val="4"/>
            <w:tcBorders>
              <w:left w:val="double" w:sz="4" w:space="0" w:color="auto"/>
            </w:tcBorders>
          </w:tcPr>
          <w:p w14:paraId="01259420" w14:textId="77777777" w:rsidR="00413229" w:rsidRDefault="00413229" w:rsidP="00413229">
            <w:pPr>
              <w:jc w:val="center"/>
              <w:rPr>
                <w:rFonts w:cs="Times New Roman"/>
                <w:color w:val="000000"/>
                <w:szCs w:val="24"/>
                <w:highlight w:val="yellow"/>
              </w:rPr>
            </w:pPr>
            <w:r w:rsidRPr="00F92381">
              <w:rPr>
                <w:rFonts w:cs="Times New Roman"/>
                <w:color w:val="000000"/>
                <w:szCs w:val="24"/>
              </w:rPr>
              <w:t>Rank of country by higher impact of CG relative to C</w:t>
            </w:r>
            <w:r>
              <w:rPr>
                <w:rFonts w:cs="Times New Roman"/>
                <w:color w:val="000000"/>
                <w:szCs w:val="24"/>
              </w:rPr>
              <w:t>on</w:t>
            </w:r>
            <w:r w:rsidRPr="00F92381">
              <w:rPr>
                <w:rFonts w:cs="Times New Roman"/>
                <w:color w:val="000000"/>
                <w:szCs w:val="24"/>
              </w:rPr>
              <w:t>tr</w:t>
            </w:r>
            <w:r>
              <w:rPr>
                <w:rFonts w:cs="Times New Roman"/>
                <w:color w:val="000000"/>
                <w:szCs w:val="24"/>
              </w:rPr>
              <w:t>o</w:t>
            </w:r>
            <w:r w:rsidRPr="00F92381">
              <w:rPr>
                <w:rFonts w:cs="Times New Roman"/>
                <w:color w:val="000000"/>
                <w:szCs w:val="24"/>
              </w:rPr>
              <w:t>l 3</w:t>
            </w:r>
          </w:p>
        </w:tc>
      </w:tr>
      <w:tr w:rsidR="00413229" w:rsidRPr="00A02B86" w14:paraId="106772E3" w14:textId="77777777" w:rsidTr="00EB1E15">
        <w:trPr>
          <w:trHeight w:val="794"/>
        </w:trPr>
        <w:tc>
          <w:tcPr>
            <w:tcW w:w="374" w:type="dxa"/>
          </w:tcPr>
          <w:p w14:paraId="18F15ACC" w14:textId="77777777" w:rsidR="00413229" w:rsidRPr="0037553A" w:rsidRDefault="00413229" w:rsidP="00413229">
            <w:pPr>
              <w:pStyle w:val="ListParagraph"/>
              <w:rPr>
                <w:rFonts w:cs="Times New Roman"/>
                <w:color w:val="000000"/>
                <w:szCs w:val="24"/>
                <w:highlight w:val="yellow"/>
              </w:rPr>
            </w:pPr>
          </w:p>
        </w:tc>
        <w:tc>
          <w:tcPr>
            <w:tcW w:w="2037" w:type="dxa"/>
            <w:tcBorders>
              <w:right w:val="single" w:sz="12" w:space="0" w:color="auto"/>
            </w:tcBorders>
            <w:vAlign w:val="bottom"/>
          </w:tcPr>
          <w:p w14:paraId="7E34F080" w14:textId="77777777" w:rsidR="00413229" w:rsidRDefault="00413229" w:rsidP="00413229">
            <w:pPr>
              <w:jc w:val="center"/>
              <w:rPr>
                <w:rFonts w:cs="Times New Roman"/>
                <w:color w:val="000000"/>
                <w:szCs w:val="24"/>
              </w:rPr>
            </w:pPr>
            <w:r>
              <w:rPr>
                <w:rFonts w:cs="Times New Roman"/>
                <w:color w:val="000000"/>
                <w:szCs w:val="24"/>
              </w:rPr>
              <w:t xml:space="preserve"> Mean Bayesian estimate (B)</w:t>
            </w:r>
          </w:p>
          <w:p w14:paraId="4FFB6362" w14:textId="77777777" w:rsidR="00413229" w:rsidRPr="0037553A" w:rsidRDefault="00413229" w:rsidP="00413229">
            <w:pPr>
              <w:jc w:val="center"/>
              <w:rPr>
                <w:rFonts w:cs="Times New Roman"/>
                <w:color w:val="000000"/>
                <w:szCs w:val="24"/>
                <w:highlight w:val="yellow"/>
              </w:rPr>
            </w:pPr>
          </w:p>
        </w:tc>
        <w:tc>
          <w:tcPr>
            <w:tcW w:w="992" w:type="dxa"/>
            <w:tcBorders>
              <w:left w:val="single" w:sz="12" w:space="0" w:color="auto"/>
            </w:tcBorders>
            <w:vAlign w:val="bottom"/>
          </w:tcPr>
          <w:p w14:paraId="7A209904" w14:textId="171AC485" w:rsidR="00413229" w:rsidRDefault="00991CFF" w:rsidP="00413229">
            <w:pPr>
              <w:jc w:val="center"/>
              <w:rPr>
                <w:rFonts w:cs="Times New Roman"/>
                <w:color w:val="000000"/>
                <w:szCs w:val="24"/>
              </w:rPr>
            </w:pPr>
            <w:r>
              <w:rPr>
                <w:rFonts w:cs="Times New Roman"/>
                <w:color w:val="000000"/>
                <w:szCs w:val="24"/>
              </w:rPr>
              <w:t>Freq.</w:t>
            </w:r>
          </w:p>
          <w:p w14:paraId="4F9B164E" w14:textId="1C542980" w:rsidR="00413229" w:rsidRPr="000179D6" w:rsidRDefault="00991CFF" w:rsidP="00413229">
            <w:pPr>
              <w:jc w:val="center"/>
              <w:rPr>
                <w:rFonts w:cs="Times New Roman"/>
                <w:color w:val="000000"/>
                <w:szCs w:val="24"/>
              </w:rPr>
            </w:pPr>
            <w:r>
              <w:rPr>
                <w:rFonts w:cs="Times New Roman"/>
                <w:color w:val="000000"/>
                <w:szCs w:val="24"/>
              </w:rPr>
              <w:t>est.</w:t>
            </w:r>
            <w:r w:rsidR="00413229">
              <w:rPr>
                <w:rFonts w:cs="Times New Roman"/>
                <w:color w:val="000000"/>
                <w:szCs w:val="24"/>
              </w:rPr>
              <w:t xml:space="preserve"> (F)</w:t>
            </w:r>
          </w:p>
          <w:p w14:paraId="0BB37EBD" w14:textId="77777777" w:rsidR="00413229" w:rsidRPr="0037553A" w:rsidRDefault="00413229" w:rsidP="00413229">
            <w:pPr>
              <w:jc w:val="center"/>
              <w:rPr>
                <w:rFonts w:cs="Times New Roman"/>
                <w:color w:val="000000"/>
                <w:szCs w:val="24"/>
                <w:highlight w:val="yellow"/>
              </w:rPr>
            </w:pPr>
          </w:p>
        </w:tc>
        <w:tc>
          <w:tcPr>
            <w:tcW w:w="1078" w:type="dxa"/>
          </w:tcPr>
          <w:p w14:paraId="0011C852" w14:textId="77777777" w:rsidR="00413229" w:rsidRPr="00D830D0" w:rsidRDefault="00413229" w:rsidP="00413229">
            <w:pPr>
              <w:jc w:val="center"/>
              <w:rPr>
                <w:rFonts w:cs="Times New Roman"/>
                <w:color w:val="000000"/>
                <w:szCs w:val="24"/>
                <w:lang w:val="de-DE"/>
              </w:rPr>
            </w:pPr>
            <w:r w:rsidRPr="00D830D0">
              <w:rPr>
                <w:rFonts w:cs="Times New Roman"/>
                <w:color w:val="000000"/>
                <w:szCs w:val="24"/>
                <w:lang w:val="de-DE"/>
              </w:rPr>
              <w:t>Change in rank</w:t>
            </w:r>
          </w:p>
          <w:p w14:paraId="453E92FB" w14:textId="77777777" w:rsidR="00413229" w:rsidRPr="00D830D0" w:rsidRDefault="00413229" w:rsidP="00413229">
            <w:pPr>
              <w:jc w:val="center"/>
              <w:rPr>
                <w:rFonts w:cs="Times New Roman"/>
                <w:color w:val="000000"/>
                <w:szCs w:val="24"/>
                <w:highlight w:val="yellow"/>
                <w:lang w:val="de-DE"/>
              </w:rPr>
            </w:pPr>
            <w:r w:rsidRPr="00D830D0">
              <w:rPr>
                <w:rFonts w:cs="Times New Roman"/>
                <w:color w:val="000000"/>
                <w:szCs w:val="24"/>
                <w:lang w:val="de-DE"/>
              </w:rPr>
              <w:t>(B-F)</w:t>
            </w:r>
          </w:p>
        </w:tc>
        <w:tc>
          <w:tcPr>
            <w:tcW w:w="373" w:type="dxa"/>
            <w:tcBorders>
              <w:left w:val="double" w:sz="4" w:space="0" w:color="auto"/>
            </w:tcBorders>
          </w:tcPr>
          <w:p w14:paraId="0C9992EF" w14:textId="77777777" w:rsidR="00413229" w:rsidRPr="00D830D0" w:rsidRDefault="00413229" w:rsidP="00413229">
            <w:pPr>
              <w:pStyle w:val="ListParagraph"/>
              <w:rPr>
                <w:rFonts w:cs="Times New Roman"/>
                <w:color w:val="000000"/>
                <w:szCs w:val="24"/>
                <w:highlight w:val="yellow"/>
                <w:lang w:val="de-DE"/>
              </w:rPr>
            </w:pPr>
          </w:p>
        </w:tc>
        <w:tc>
          <w:tcPr>
            <w:tcW w:w="2093" w:type="dxa"/>
            <w:tcBorders>
              <w:right w:val="single" w:sz="12" w:space="0" w:color="auto"/>
            </w:tcBorders>
            <w:vAlign w:val="bottom"/>
          </w:tcPr>
          <w:p w14:paraId="7AA6A394" w14:textId="77777777" w:rsidR="00413229" w:rsidRDefault="00413229" w:rsidP="00413229">
            <w:pPr>
              <w:jc w:val="center"/>
              <w:rPr>
                <w:rFonts w:cs="Times New Roman"/>
                <w:color w:val="000000"/>
                <w:szCs w:val="24"/>
              </w:rPr>
            </w:pPr>
            <w:r w:rsidRPr="00D830D0">
              <w:rPr>
                <w:rFonts w:cs="Times New Roman"/>
                <w:color w:val="000000"/>
                <w:szCs w:val="24"/>
                <w:lang w:val="de-DE"/>
              </w:rPr>
              <w:t xml:space="preserve"> </w:t>
            </w:r>
            <w:r>
              <w:rPr>
                <w:rFonts w:cs="Times New Roman"/>
                <w:color w:val="000000"/>
                <w:szCs w:val="24"/>
              </w:rPr>
              <w:t>Mean Bayesian estimate (B)</w:t>
            </w:r>
          </w:p>
          <w:p w14:paraId="65DE4CEA" w14:textId="77777777" w:rsidR="00413229" w:rsidRPr="0037553A" w:rsidRDefault="00413229" w:rsidP="00413229">
            <w:pPr>
              <w:jc w:val="center"/>
              <w:rPr>
                <w:rFonts w:cs="Times New Roman"/>
                <w:color w:val="000000"/>
                <w:szCs w:val="24"/>
                <w:highlight w:val="yellow"/>
              </w:rPr>
            </w:pPr>
          </w:p>
        </w:tc>
        <w:tc>
          <w:tcPr>
            <w:tcW w:w="992" w:type="dxa"/>
            <w:tcBorders>
              <w:left w:val="single" w:sz="12" w:space="0" w:color="auto"/>
            </w:tcBorders>
            <w:vAlign w:val="bottom"/>
          </w:tcPr>
          <w:p w14:paraId="1C399948" w14:textId="7183D454" w:rsidR="00413229" w:rsidRDefault="00413229" w:rsidP="00413229">
            <w:pPr>
              <w:jc w:val="center"/>
              <w:rPr>
                <w:rFonts w:cs="Times New Roman"/>
                <w:color w:val="000000"/>
                <w:szCs w:val="24"/>
              </w:rPr>
            </w:pPr>
            <w:r w:rsidRPr="000179D6">
              <w:rPr>
                <w:rFonts w:cs="Times New Roman"/>
                <w:color w:val="000000"/>
                <w:szCs w:val="24"/>
              </w:rPr>
              <w:t>Freq</w:t>
            </w:r>
            <w:r w:rsidR="00991CFF">
              <w:rPr>
                <w:rFonts w:cs="Times New Roman"/>
                <w:color w:val="000000"/>
                <w:szCs w:val="24"/>
              </w:rPr>
              <w:t>.</w:t>
            </w:r>
          </w:p>
          <w:p w14:paraId="68BA24B0" w14:textId="280EB903" w:rsidR="00413229" w:rsidRPr="000179D6" w:rsidRDefault="0011446A" w:rsidP="00413229">
            <w:pPr>
              <w:jc w:val="center"/>
              <w:rPr>
                <w:rFonts w:cs="Times New Roman"/>
                <w:color w:val="000000"/>
                <w:szCs w:val="24"/>
              </w:rPr>
            </w:pPr>
            <w:r w:rsidRPr="0011446A">
              <w:rPr>
                <w:rFonts w:cs="Times New Roman"/>
                <w:color w:val="000000"/>
                <w:szCs w:val="24"/>
              </w:rPr>
              <w:t xml:space="preserve">est. </w:t>
            </w:r>
            <w:r w:rsidR="00413229">
              <w:rPr>
                <w:rFonts w:cs="Times New Roman"/>
                <w:color w:val="000000"/>
                <w:szCs w:val="24"/>
              </w:rPr>
              <w:t>(F)</w:t>
            </w:r>
          </w:p>
          <w:p w14:paraId="481E635B" w14:textId="77777777" w:rsidR="00413229" w:rsidRPr="0037553A" w:rsidRDefault="00413229" w:rsidP="00413229">
            <w:pPr>
              <w:jc w:val="center"/>
              <w:rPr>
                <w:rFonts w:cs="Times New Roman"/>
                <w:color w:val="000000"/>
                <w:szCs w:val="24"/>
                <w:highlight w:val="yellow"/>
              </w:rPr>
            </w:pPr>
          </w:p>
        </w:tc>
        <w:tc>
          <w:tcPr>
            <w:tcW w:w="1022" w:type="dxa"/>
          </w:tcPr>
          <w:p w14:paraId="50D677B8" w14:textId="77777777" w:rsidR="00413229" w:rsidRPr="00D830D0" w:rsidRDefault="00413229" w:rsidP="00413229">
            <w:pPr>
              <w:jc w:val="center"/>
              <w:rPr>
                <w:rFonts w:cs="Times New Roman"/>
                <w:color w:val="000000"/>
                <w:szCs w:val="24"/>
                <w:lang w:val="de-DE"/>
              </w:rPr>
            </w:pPr>
            <w:r w:rsidRPr="00D830D0">
              <w:rPr>
                <w:rFonts w:cs="Times New Roman"/>
                <w:color w:val="000000"/>
                <w:szCs w:val="24"/>
                <w:lang w:val="de-DE"/>
              </w:rPr>
              <w:t>Change in rank</w:t>
            </w:r>
          </w:p>
          <w:p w14:paraId="4EBBA9A1" w14:textId="77777777" w:rsidR="00413229" w:rsidRPr="00D830D0" w:rsidRDefault="00413229" w:rsidP="00413229">
            <w:pPr>
              <w:jc w:val="center"/>
              <w:rPr>
                <w:rFonts w:cs="Times New Roman"/>
                <w:color w:val="000000"/>
                <w:szCs w:val="24"/>
                <w:highlight w:val="yellow"/>
                <w:lang w:val="de-DE"/>
              </w:rPr>
            </w:pPr>
            <w:r w:rsidRPr="00D830D0">
              <w:rPr>
                <w:rFonts w:cs="Times New Roman"/>
                <w:color w:val="000000"/>
                <w:szCs w:val="24"/>
                <w:lang w:val="de-DE"/>
              </w:rPr>
              <w:t>(B-F)</w:t>
            </w:r>
          </w:p>
        </w:tc>
      </w:tr>
      <w:tr w:rsidR="00413229" w:rsidRPr="0037553A" w14:paraId="6BE538C5" w14:textId="77777777" w:rsidTr="00EB1E15">
        <w:trPr>
          <w:trHeight w:val="260"/>
        </w:trPr>
        <w:tc>
          <w:tcPr>
            <w:tcW w:w="374" w:type="dxa"/>
          </w:tcPr>
          <w:p w14:paraId="6BAF296E" w14:textId="77777777" w:rsidR="00413229" w:rsidRPr="00D830D0" w:rsidRDefault="00413229" w:rsidP="00413229">
            <w:pPr>
              <w:pStyle w:val="ListParagraph"/>
              <w:numPr>
                <w:ilvl w:val="0"/>
                <w:numId w:val="9"/>
              </w:numPr>
              <w:jc w:val="center"/>
              <w:rPr>
                <w:rFonts w:cs="Times New Roman"/>
                <w:color w:val="000000"/>
                <w:szCs w:val="24"/>
                <w:lang w:val="de-DE"/>
              </w:rPr>
            </w:pPr>
          </w:p>
        </w:tc>
        <w:tc>
          <w:tcPr>
            <w:tcW w:w="2037" w:type="dxa"/>
            <w:tcBorders>
              <w:right w:val="single" w:sz="12" w:space="0" w:color="auto"/>
            </w:tcBorders>
            <w:vAlign w:val="bottom"/>
          </w:tcPr>
          <w:p w14:paraId="39D55F4A" w14:textId="77777777" w:rsidR="00413229" w:rsidRPr="0037553A" w:rsidRDefault="00413229" w:rsidP="00413229">
            <w:pPr>
              <w:jc w:val="center"/>
              <w:rPr>
                <w:rFonts w:cs="Times New Roman"/>
                <w:color w:val="000000"/>
                <w:szCs w:val="24"/>
                <w:highlight w:val="yellow"/>
              </w:rPr>
            </w:pPr>
            <w:r w:rsidRPr="0037553A">
              <w:rPr>
                <w:rFonts w:cs="Times New Roman"/>
                <w:color w:val="000000"/>
                <w:szCs w:val="24"/>
                <w:highlight w:val="yellow"/>
              </w:rPr>
              <w:t>Chile (CHL</w:t>
            </w:r>
            <w:r>
              <w:rPr>
                <w:rFonts w:cs="Times New Roman"/>
                <w:color w:val="000000"/>
                <w:szCs w:val="24"/>
                <w:highlight w:val="yellow"/>
              </w:rPr>
              <w:t>)</w:t>
            </w:r>
          </w:p>
        </w:tc>
        <w:tc>
          <w:tcPr>
            <w:tcW w:w="992" w:type="dxa"/>
            <w:tcBorders>
              <w:left w:val="single" w:sz="12" w:space="0" w:color="auto"/>
            </w:tcBorders>
            <w:vAlign w:val="bottom"/>
          </w:tcPr>
          <w:p w14:paraId="49B57D2A" w14:textId="77777777" w:rsidR="00413229" w:rsidRPr="00515A6E" w:rsidRDefault="00413229" w:rsidP="00413229">
            <w:pPr>
              <w:jc w:val="center"/>
              <w:rPr>
                <w:rFonts w:cs="Times New Roman"/>
                <w:color w:val="000000"/>
                <w:szCs w:val="24"/>
                <w:highlight w:val="yellow"/>
              </w:rPr>
            </w:pPr>
            <w:r w:rsidRPr="00515A6E">
              <w:rPr>
                <w:rFonts w:cs="Times New Roman"/>
                <w:color w:val="000000"/>
                <w:szCs w:val="24"/>
                <w:highlight w:val="yellow"/>
              </w:rPr>
              <w:t>HKG</w:t>
            </w:r>
          </w:p>
        </w:tc>
        <w:tc>
          <w:tcPr>
            <w:tcW w:w="1078" w:type="dxa"/>
          </w:tcPr>
          <w:p w14:paraId="528F8195" w14:textId="77777777" w:rsidR="00413229" w:rsidRPr="00347505" w:rsidRDefault="00413229" w:rsidP="00413229">
            <w:pPr>
              <w:jc w:val="center"/>
              <w:rPr>
                <w:rFonts w:cs="Times New Roman"/>
                <w:color w:val="000000"/>
                <w:szCs w:val="24"/>
              </w:rPr>
            </w:pPr>
            <w:r w:rsidRPr="00347505">
              <w:rPr>
                <w:rFonts w:cs="Times New Roman"/>
                <w:color w:val="000000"/>
                <w:szCs w:val="24"/>
              </w:rPr>
              <w:t>+1</w:t>
            </w:r>
          </w:p>
        </w:tc>
        <w:tc>
          <w:tcPr>
            <w:tcW w:w="373" w:type="dxa"/>
            <w:tcBorders>
              <w:left w:val="double" w:sz="4" w:space="0" w:color="auto"/>
            </w:tcBorders>
          </w:tcPr>
          <w:p w14:paraId="666B1C59" w14:textId="77777777" w:rsidR="00413229" w:rsidRPr="00515A6E" w:rsidRDefault="00413229" w:rsidP="00413229">
            <w:pPr>
              <w:pStyle w:val="ListParagraph"/>
              <w:numPr>
                <w:ilvl w:val="0"/>
                <w:numId w:val="10"/>
              </w:numPr>
              <w:rPr>
                <w:rFonts w:cs="Times New Roman"/>
                <w:color w:val="000000"/>
                <w:szCs w:val="24"/>
              </w:rPr>
            </w:pPr>
          </w:p>
        </w:tc>
        <w:tc>
          <w:tcPr>
            <w:tcW w:w="2093" w:type="dxa"/>
            <w:tcBorders>
              <w:right w:val="single" w:sz="12" w:space="0" w:color="auto"/>
            </w:tcBorders>
            <w:vAlign w:val="bottom"/>
          </w:tcPr>
          <w:p w14:paraId="362B7FC3" w14:textId="77777777" w:rsidR="00413229" w:rsidRPr="0037553A" w:rsidRDefault="00413229" w:rsidP="00413229">
            <w:pPr>
              <w:jc w:val="center"/>
              <w:rPr>
                <w:rFonts w:cs="Times New Roman"/>
                <w:color w:val="000000"/>
                <w:szCs w:val="24"/>
                <w:highlight w:val="yellow"/>
              </w:rPr>
            </w:pPr>
            <w:r>
              <w:rPr>
                <w:rFonts w:cs="Times New Roman"/>
                <w:color w:val="000000"/>
                <w:szCs w:val="24"/>
                <w:highlight w:val="yellow"/>
              </w:rPr>
              <w:t>Chile (</w:t>
            </w:r>
            <w:r w:rsidRPr="0037553A">
              <w:rPr>
                <w:rFonts w:cs="Times New Roman"/>
                <w:color w:val="000000"/>
                <w:szCs w:val="24"/>
                <w:highlight w:val="yellow"/>
              </w:rPr>
              <w:t>CHL</w:t>
            </w:r>
            <w:r>
              <w:rPr>
                <w:rFonts w:cs="Times New Roman"/>
                <w:color w:val="000000"/>
                <w:szCs w:val="24"/>
                <w:highlight w:val="yellow"/>
              </w:rPr>
              <w:t>)</w:t>
            </w:r>
          </w:p>
        </w:tc>
        <w:tc>
          <w:tcPr>
            <w:tcW w:w="992" w:type="dxa"/>
            <w:tcBorders>
              <w:left w:val="single" w:sz="12" w:space="0" w:color="auto"/>
            </w:tcBorders>
            <w:vAlign w:val="bottom"/>
          </w:tcPr>
          <w:p w14:paraId="3DD1383A" w14:textId="77777777" w:rsidR="00413229" w:rsidRPr="00515A6E" w:rsidRDefault="00413229" w:rsidP="00413229">
            <w:pPr>
              <w:jc w:val="center"/>
              <w:rPr>
                <w:rFonts w:cs="Times New Roman"/>
                <w:color w:val="000000"/>
                <w:szCs w:val="24"/>
                <w:highlight w:val="yellow"/>
              </w:rPr>
            </w:pPr>
            <w:r w:rsidRPr="00515A6E">
              <w:rPr>
                <w:rFonts w:cs="Times New Roman"/>
                <w:color w:val="000000"/>
                <w:szCs w:val="24"/>
                <w:highlight w:val="yellow"/>
              </w:rPr>
              <w:t>HKG</w:t>
            </w:r>
          </w:p>
        </w:tc>
        <w:tc>
          <w:tcPr>
            <w:tcW w:w="1022" w:type="dxa"/>
          </w:tcPr>
          <w:p w14:paraId="1E66E17D" w14:textId="77777777" w:rsidR="00413229" w:rsidRPr="00347505" w:rsidRDefault="00413229" w:rsidP="00413229">
            <w:pPr>
              <w:jc w:val="center"/>
              <w:rPr>
                <w:rFonts w:cs="Times New Roman"/>
                <w:color w:val="000000"/>
                <w:szCs w:val="24"/>
              </w:rPr>
            </w:pPr>
            <w:r w:rsidRPr="00347505">
              <w:rPr>
                <w:rFonts w:cs="Times New Roman"/>
                <w:color w:val="000000"/>
                <w:szCs w:val="24"/>
              </w:rPr>
              <w:t>+3</w:t>
            </w:r>
          </w:p>
        </w:tc>
      </w:tr>
      <w:tr w:rsidR="00413229" w:rsidRPr="0037553A" w14:paraId="2501F488" w14:textId="77777777" w:rsidTr="00EB1E15">
        <w:trPr>
          <w:trHeight w:val="260"/>
        </w:trPr>
        <w:tc>
          <w:tcPr>
            <w:tcW w:w="374" w:type="dxa"/>
          </w:tcPr>
          <w:p w14:paraId="53BFDEE4"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02D6BE4D"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Hong Kong (HKG)</w:t>
            </w:r>
          </w:p>
        </w:tc>
        <w:tc>
          <w:tcPr>
            <w:tcW w:w="992" w:type="dxa"/>
            <w:tcBorders>
              <w:left w:val="single" w:sz="12" w:space="0" w:color="auto"/>
            </w:tcBorders>
            <w:vAlign w:val="bottom"/>
          </w:tcPr>
          <w:p w14:paraId="034F51EA" w14:textId="77777777" w:rsidR="00413229" w:rsidRPr="00515A6E" w:rsidRDefault="00413229" w:rsidP="00413229">
            <w:pPr>
              <w:jc w:val="center"/>
              <w:rPr>
                <w:rFonts w:cs="Times New Roman"/>
                <w:b/>
                <w:color w:val="000000"/>
                <w:szCs w:val="24"/>
                <w:highlight w:val="yellow"/>
              </w:rPr>
            </w:pPr>
            <w:r w:rsidRPr="00515A6E">
              <w:rPr>
                <w:rFonts w:cs="Times New Roman"/>
                <w:b/>
                <w:color w:val="000000"/>
                <w:szCs w:val="24"/>
                <w:highlight w:val="yellow"/>
              </w:rPr>
              <w:t>IN</w:t>
            </w:r>
          </w:p>
        </w:tc>
        <w:tc>
          <w:tcPr>
            <w:tcW w:w="1078" w:type="dxa"/>
          </w:tcPr>
          <w:p w14:paraId="15062B7F" w14:textId="77777777" w:rsidR="00413229" w:rsidRPr="00F92381" w:rsidRDefault="00413229" w:rsidP="00413229">
            <w:pPr>
              <w:jc w:val="center"/>
              <w:rPr>
                <w:rFonts w:cs="Times New Roman"/>
                <w:b/>
                <w:color w:val="000000"/>
                <w:szCs w:val="24"/>
              </w:rPr>
            </w:pPr>
            <w:r w:rsidRPr="00F92381">
              <w:rPr>
                <w:rFonts w:cs="Times New Roman"/>
                <w:b/>
                <w:color w:val="000000"/>
                <w:szCs w:val="24"/>
              </w:rPr>
              <w:t>+6</w:t>
            </w:r>
          </w:p>
        </w:tc>
        <w:tc>
          <w:tcPr>
            <w:tcW w:w="373" w:type="dxa"/>
            <w:tcBorders>
              <w:left w:val="double" w:sz="4" w:space="0" w:color="auto"/>
            </w:tcBorders>
          </w:tcPr>
          <w:p w14:paraId="28BF5511"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4F2F264A" w14:textId="77777777" w:rsidR="00413229" w:rsidRPr="0037553A" w:rsidRDefault="00413229" w:rsidP="00413229">
            <w:pPr>
              <w:jc w:val="center"/>
              <w:rPr>
                <w:rFonts w:cs="Times New Roman"/>
                <w:color w:val="000000"/>
                <w:szCs w:val="24"/>
                <w:highlight w:val="yellow"/>
              </w:rPr>
            </w:pPr>
            <w:r>
              <w:rPr>
                <w:rFonts w:cs="Times New Roman"/>
                <w:color w:val="000000"/>
                <w:szCs w:val="24"/>
                <w:highlight w:val="yellow"/>
              </w:rPr>
              <w:t>Poland (</w:t>
            </w:r>
            <w:r w:rsidRPr="0037553A">
              <w:rPr>
                <w:rFonts w:cs="Times New Roman"/>
                <w:color w:val="000000"/>
                <w:szCs w:val="24"/>
                <w:highlight w:val="yellow"/>
              </w:rPr>
              <w:t>PL</w:t>
            </w:r>
            <w:r>
              <w:rPr>
                <w:rFonts w:cs="Times New Roman"/>
                <w:color w:val="000000"/>
                <w:szCs w:val="24"/>
                <w:highlight w:val="yellow"/>
              </w:rPr>
              <w:t>)</w:t>
            </w:r>
          </w:p>
        </w:tc>
        <w:tc>
          <w:tcPr>
            <w:tcW w:w="992" w:type="dxa"/>
            <w:tcBorders>
              <w:left w:val="single" w:sz="12" w:space="0" w:color="auto"/>
            </w:tcBorders>
            <w:vAlign w:val="bottom"/>
          </w:tcPr>
          <w:p w14:paraId="5EDCC6A0" w14:textId="77777777" w:rsidR="00413229" w:rsidRPr="00515A6E" w:rsidRDefault="00413229" w:rsidP="00413229">
            <w:pPr>
              <w:jc w:val="center"/>
              <w:rPr>
                <w:rFonts w:cs="Times New Roman"/>
                <w:color w:val="000000"/>
                <w:szCs w:val="24"/>
                <w:highlight w:val="yellow"/>
              </w:rPr>
            </w:pPr>
            <w:r w:rsidRPr="00515A6E">
              <w:rPr>
                <w:rFonts w:cs="Times New Roman"/>
                <w:color w:val="000000"/>
                <w:szCs w:val="24"/>
                <w:highlight w:val="yellow"/>
              </w:rPr>
              <w:t>COL</w:t>
            </w:r>
          </w:p>
        </w:tc>
        <w:tc>
          <w:tcPr>
            <w:tcW w:w="1022" w:type="dxa"/>
          </w:tcPr>
          <w:p w14:paraId="56BCD345" w14:textId="77777777" w:rsidR="00413229" w:rsidRPr="00347505" w:rsidRDefault="00413229" w:rsidP="00413229">
            <w:pPr>
              <w:jc w:val="center"/>
              <w:rPr>
                <w:rFonts w:cs="Times New Roman"/>
                <w:color w:val="000000"/>
                <w:szCs w:val="24"/>
              </w:rPr>
            </w:pPr>
            <w:r w:rsidRPr="00347505">
              <w:rPr>
                <w:rFonts w:cs="Times New Roman"/>
                <w:color w:val="000000"/>
                <w:szCs w:val="24"/>
              </w:rPr>
              <w:t>+1</w:t>
            </w:r>
          </w:p>
        </w:tc>
      </w:tr>
      <w:tr w:rsidR="00413229" w:rsidRPr="0037553A" w14:paraId="37299E91" w14:textId="77777777" w:rsidTr="00EB1E15">
        <w:trPr>
          <w:trHeight w:val="260"/>
        </w:trPr>
        <w:tc>
          <w:tcPr>
            <w:tcW w:w="374" w:type="dxa"/>
          </w:tcPr>
          <w:p w14:paraId="570EBF8D"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6BD75C43"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El Salvador (ELS)</w:t>
            </w:r>
          </w:p>
        </w:tc>
        <w:tc>
          <w:tcPr>
            <w:tcW w:w="992" w:type="dxa"/>
            <w:tcBorders>
              <w:left w:val="single" w:sz="12" w:space="0" w:color="auto"/>
            </w:tcBorders>
            <w:vAlign w:val="bottom"/>
          </w:tcPr>
          <w:p w14:paraId="3FFB6097" w14:textId="77777777" w:rsidR="00413229" w:rsidRPr="00515A6E" w:rsidRDefault="00413229" w:rsidP="00413229">
            <w:pPr>
              <w:jc w:val="center"/>
              <w:rPr>
                <w:rFonts w:cs="Times New Roman"/>
                <w:color w:val="000000"/>
                <w:szCs w:val="24"/>
                <w:highlight w:val="yellow"/>
              </w:rPr>
            </w:pPr>
            <w:r w:rsidRPr="00515A6E">
              <w:rPr>
                <w:rFonts w:cs="Times New Roman"/>
                <w:color w:val="000000"/>
                <w:szCs w:val="24"/>
                <w:highlight w:val="yellow"/>
              </w:rPr>
              <w:t>COL</w:t>
            </w:r>
          </w:p>
        </w:tc>
        <w:tc>
          <w:tcPr>
            <w:tcW w:w="1078" w:type="dxa"/>
          </w:tcPr>
          <w:p w14:paraId="29B54A10" w14:textId="77777777" w:rsidR="00413229" w:rsidRPr="00347505" w:rsidRDefault="00413229" w:rsidP="00413229">
            <w:pPr>
              <w:jc w:val="center"/>
              <w:rPr>
                <w:rFonts w:cs="Times New Roman"/>
                <w:color w:val="000000"/>
                <w:szCs w:val="24"/>
              </w:rPr>
            </w:pPr>
            <w:r w:rsidRPr="00347505">
              <w:rPr>
                <w:rFonts w:cs="Times New Roman"/>
                <w:color w:val="000000"/>
                <w:szCs w:val="24"/>
              </w:rPr>
              <w:t>+1</w:t>
            </w:r>
          </w:p>
        </w:tc>
        <w:tc>
          <w:tcPr>
            <w:tcW w:w="373" w:type="dxa"/>
            <w:tcBorders>
              <w:left w:val="double" w:sz="4" w:space="0" w:color="auto"/>
            </w:tcBorders>
          </w:tcPr>
          <w:p w14:paraId="2AE70D0C"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7CEC58E7"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Colombia (COL)</w:t>
            </w:r>
          </w:p>
        </w:tc>
        <w:tc>
          <w:tcPr>
            <w:tcW w:w="992" w:type="dxa"/>
            <w:tcBorders>
              <w:left w:val="single" w:sz="12" w:space="0" w:color="auto"/>
            </w:tcBorders>
            <w:vAlign w:val="bottom"/>
          </w:tcPr>
          <w:p w14:paraId="121B8411" w14:textId="77777777" w:rsidR="00413229" w:rsidRPr="00515A6E" w:rsidRDefault="00413229" w:rsidP="00413229">
            <w:pPr>
              <w:jc w:val="center"/>
              <w:rPr>
                <w:rFonts w:cs="Times New Roman"/>
                <w:color w:val="000000"/>
                <w:szCs w:val="24"/>
                <w:highlight w:val="yellow"/>
              </w:rPr>
            </w:pPr>
            <w:r w:rsidRPr="00515A6E">
              <w:rPr>
                <w:rFonts w:cs="Times New Roman"/>
                <w:color w:val="000000"/>
                <w:szCs w:val="24"/>
                <w:highlight w:val="yellow"/>
              </w:rPr>
              <w:t>PER</w:t>
            </w:r>
          </w:p>
        </w:tc>
        <w:tc>
          <w:tcPr>
            <w:tcW w:w="1022" w:type="dxa"/>
          </w:tcPr>
          <w:p w14:paraId="44A6341A" w14:textId="77777777" w:rsidR="00413229" w:rsidRPr="00347505" w:rsidRDefault="00413229" w:rsidP="00413229">
            <w:pPr>
              <w:jc w:val="center"/>
              <w:rPr>
                <w:rFonts w:cs="Times New Roman"/>
                <w:color w:val="000000"/>
                <w:szCs w:val="24"/>
              </w:rPr>
            </w:pPr>
            <w:r w:rsidRPr="00347505">
              <w:rPr>
                <w:rFonts w:cs="Times New Roman"/>
                <w:color w:val="000000"/>
                <w:szCs w:val="24"/>
              </w:rPr>
              <w:t>+5</w:t>
            </w:r>
          </w:p>
        </w:tc>
      </w:tr>
      <w:tr w:rsidR="00413229" w:rsidRPr="0037553A" w14:paraId="37D39C38" w14:textId="77777777" w:rsidTr="00EB1E15">
        <w:trPr>
          <w:trHeight w:val="260"/>
        </w:trPr>
        <w:tc>
          <w:tcPr>
            <w:tcW w:w="374" w:type="dxa"/>
          </w:tcPr>
          <w:p w14:paraId="52B4E157"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00359715"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Colombia (COL)</w:t>
            </w:r>
          </w:p>
        </w:tc>
        <w:tc>
          <w:tcPr>
            <w:tcW w:w="992" w:type="dxa"/>
            <w:tcBorders>
              <w:left w:val="single" w:sz="12" w:space="0" w:color="auto"/>
            </w:tcBorders>
            <w:vAlign w:val="bottom"/>
          </w:tcPr>
          <w:p w14:paraId="22F1B741" w14:textId="77777777" w:rsidR="00413229" w:rsidRPr="00515A6E" w:rsidRDefault="00413229" w:rsidP="00413229">
            <w:pPr>
              <w:jc w:val="center"/>
              <w:rPr>
                <w:rFonts w:cs="Times New Roman"/>
                <w:color w:val="000000"/>
                <w:szCs w:val="24"/>
                <w:highlight w:val="yellow"/>
              </w:rPr>
            </w:pPr>
            <w:r w:rsidRPr="00515A6E">
              <w:rPr>
                <w:rFonts w:cs="Times New Roman"/>
                <w:color w:val="000000"/>
                <w:szCs w:val="24"/>
                <w:highlight w:val="yellow"/>
              </w:rPr>
              <w:t>INS</w:t>
            </w:r>
          </w:p>
        </w:tc>
        <w:tc>
          <w:tcPr>
            <w:tcW w:w="1078" w:type="dxa"/>
          </w:tcPr>
          <w:p w14:paraId="2E0FFC0D" w14:textId="77777777" w:rsidR="00413229" w:rsidRPr="00347505" w:rsidRDefault="00413229" w:rsidP="00413229">
            <w:pPr>
              <w:jc w:val="center"/>
              <w:rPr>
                <w:rFonts w:cs="Times New Roman"/>
                <w:color w:val="000000"/>
                <w:szCs w:val="24"/>
              </w:rPr>
            </w:pPr>
            <w:r w:rsidRPr="00347505">
              <w:rPr>
                <w:rFonts w:cs="Times New Roman"/>
                <w:color w:val="000000"/>
                <w:szCs w:val="24"/>
              </w:rPr>
              <w:t>+3</w:t>
            </w:r>
          </w:p>
        </w:tc>
        <w:tc>
          <w:tcPr>
            <w:tcW w:w="373" w:type="dxa"/>
            <w:tcBorders>
              <w:left w:val="double" w:sz="4" w:space="0" w:color="auto"/>
            </w:tcBorders>
          </w:tcPr>
          <w:p w14:paraId="364552DE"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1C88E7D1"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Hong Kong (HKG)</w:t>
            </w:r>
          </w:p>
        </w:tc>
        <w:tc>
          <w:tcPr>
            <w:tcW w:w="992" w:type="dxa"/>
            <w:tcBorders>
              <w:left w:val="single" w:sz="12" w:space="0" w:color="auto"/>
            </w:tcBorders>
            <w:vAlign w:val="bottom"/>
          </w:tcPr>
          <w:p w14:paraId="4B31F63F" w14:textId="77777777" w:rsidR="00413229" w:rsidRPr="00515A6E" w:rsidRDefault="00413229" w:rsidP="00413229">
            <w:pPr>
              <w:jc w:val="center"/>
              <w:rPr>
                <w:rFonts w:cs="Times New Roman"/>
                <w:b/>
                <w:color w:val="000000"/>
                <w:szCs w:val="24"/>
                <w:highlight w:val="yellow"/>
              </w:rPr>
            </w:pPr>
            <w:r w:rsidRPr="00515A6E">
              <w:rPr>
                <w:rFonts w:cs="Times New Roman"/>
                <w:b/>
                <w:color w:val="000000"/>
                <w:szCs w:val="24"/>
                <w:highlight w:val="yellow"/>
              </w:rPr>
              <w:t>IN</w:t>
            </w:r>
          </w:p>
        </w:tc>
        <w:tc>
          <w:tcPr>
            <w:tcW w:w="1022" w:type="dxa"/>
          </w:tcPr>
          <w:p w14:paraId="56C0A700" w14:textId="77777777" w:rsidR="00413229" w:rsidRPr="00F92381" w:rsidRDefault="00413229" w:rsidP="00413229">
            <w:pPr>
              <w:jc w:val="center"/>
              <w:rPr>
                <w:rFonts w:cs="Times New Roman"/>
                <w:b/>
                <w:color w:val="000000"/>
                <w:szCs w:val="24"/>
              </w:rPr>
            </w:pPr>
            <w:r w:rsidRPr="00F92381">
              <w:rPr>
                <w:rFonts w:cs="Times New Roman"/>
                <w:b/>
                <w:color w:val="000000"/>
                <w:szCs w:val="24"/>
              </w:rPr>
              <w:t>+12</w:t>
            </w:r>
          </w:p>
        </w:tc>
      </w:tr>
      <w:tr w:rsidR="00413229" w:rsidRPr="0037553A" w14:paraId="5EEA77E0" w14:textId="77777777" w:rsidTr="00EB1E15">
        <w:trPr>
          <w:trHeight w:val="260"/>
        </w:trPr>
        <w:tc>
          <w:tcPr>
            <w:tcW w:w="374" w:type="dxa"/>
          </w:tcPr>
          <w:p w14:paraId="4C1CD56D"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0934A293"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Poland (PL)</w:t>
            </w:r>
          </w:p>
        </w:tc>
        <w:tc>
          <w:tcPr>
            <w:tcW w:w="992" w:type="dxa"/>
            <w:tcBorders>
              <w:left w:val="single" w:sz="12" w:space="0" w:color="auto"/>
            </w:tcBorders>
            <w:vAlign w:val="bottom"/>
          </w:tcPr>
          <w:p w14:paraId="434D8B10" w14:textId="77777777" w:rsidR="00413229" w:rsidRPr="00515A6E" w:rsidRDefault="00413229" w:rsidP="00413229">
            <w:pPr>
              <w:jc w:val="center"/>
              <w:rPr>
                <w:rFonts w:cs="Times New Roman"/>
                <w:b/>
                <w:color w:val="000000"/>
                <w:szCs w:val="24"/>
                <w:highlight w:val="yellow"/>
              </w:rPr>
            </w:pPr>
            <w:r w:rsidRPr="00515A6E">
              <w:rPr>
                <w:rFonts w:cs="Times New Roman"/>
                <w:b/>
                <w:color w:val="000000"/>
                <w:szCs w:val="24"/>
                <w:highlight w:val="yellow"/>
              </w:rPr>
              <w:t>PK</w:t>
            </w:r>
          </w:p>
        </w:tc>
        <w:tc>
          <w:tcPr>
            <w:tcW w:w="1078" w:type="dxa"/>
          </w:tcPr>
          <w:p w14:paraId="10DCBE5B" w14:textId="77777777" w:rsidR="00413229" w:rsidRPr="00F92381" w:rsidRDefault="00413229" w:rsidP="00413229">
            <w:pPr>
              <w:jc w:val="center"/>
              <w:rPr>
                <w:rFonts w:cs="Times New Roman"/>
                <w:b/>
                <w:color w:val="000000"/>
                <w:szCs w:val="24"/>
              </w:rPr>
            </w:pPr>
            <w:r w:rsidRPr="00F92381">
              <w:rPr>
                <w:rFonts w:cs="Times New Roman"/>
                <w:b/>
                <w:color w:val="000000"/>
                <w:szCs w:val="24"/>
              </w:rPr>
              <w:t>+9</w:t>
            </w:r>
          </w:p>
        </w:tc>
        <w:tc>
          <w:tcPr>
            <w:tcW w:w="373" w:type="dxa"/>
            <w:tcBorders>
              <w:left w:val="double" w:sz="4" w:space="0" w:color="auto"/>
            </w:tcBorders>
          </w:tcPr>
          <w:p w14:paraId="7F7F5EDB"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5466E16E"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El Salvador (ELS)</w:t>
            </w:r>
          </w:p>
        </w:tc>
        <w:tc>
          <w:tcPr>
            <w:tcW w:w="992" w:type="dxa"/>
            <w:tcBorders>
              <w:left w:val="single" w:sz="12" w:space="0" w:color="auto"/>
            </w:tcBorders>
            <w:vAlign w:val="bottom"/>
          </w:tcPr>
          <w:p w14:paraId="09E32C21"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PHL</w:t>
            </w:r>
          </w:p>
        </w:tc>
        <w:tc>
          <w:tcPr>
            <w:tcW w:w="1022" w:type="dxa"/>
          </w:tcPr>
          <w:p w14:paraId="6B20A86E" w14:textId="77777777" w:rsidR="00413229" w:rsidRPr="00347505" w:rsidRDefault="00413229" w:rsidP="00413229">
            <w:pPr>
              <w:jc w:val="center"/>
              <w:rPr>
                <w:rFonts w:cs="Times New Roman"/>
                <w:color w:val="000000"/>
                <w:szCs w:val="24"/>
              </w:rPr>
            </w:pPr>
            <w:r w:rsidRPr="00347505">
              <w:rPr>
                <w:rFonts w:cs="Times New Roman"/>
                <w:color w:val="000000"/>
                <w:szCs w:val="24"/>
              </w:rPr>
              <w:t>+2</w:t>
            </w:r>
          </w:p>
        </w:tc>
      </w:tr>
      <w:tr w:rsidR="00413229" w:rsidRPr="0037553A" w14:paraId="0BF5B505" w14:textId="77777777" w:rsidTr="00EB1E15">
        <w:trPr>
          <w:trHeight w:val="260"/>
        </w:trPr>
        <w:tc>
          <w:tcPr>
            <w:tcW w:w="374" w:type="dxa"/>
            <w:tcBorders>
              <w:bottom w:val="single" w:sz="2" w:space="0" w:color="auto"/>
            </w:tcBorders>
          </w:tcPr>
          <w:p w14:paraId="6405A636"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bottom w:val="single" w:sz="2" w:space="0" w:color="auto"/>
              <w:right w:val="single" w:sz="12" w:space="0" w:color="auto"/>
            </w:tcBorders>
            <w:vAlign w:val="bottom"/>
          </w:tcPr>
          <w:p w14:paraId="47C65DA7"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Argentina (AR)</w:t>
            </w:r>
          </w:p>
        </w:tc>
        <w:tc>
          <w:tcPr>
            <w:tcW w:w="992" w:type="dxa"/>
            <w:tcBorders>
              <w:left w:val="single" w:sz="12" w:space="0" w:color="auto"/>
              <w:bottom w:val="single" w:sz="2" w:space="0" w:color="auto"/>
            </w:tcBorders>
            <w:vAlign w:val="bottom"/>
          </w:tcPr>
          <w:p w14:paraId="2003A90F"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RUS</w:t>
            </w:r>
          </w:p>
        </w:tc>
        <w:tc>
          <w:tcPr>
            <w:tcW w:w="1078" w:type="dxa"/>
            <w:tcBorders>
              <w:bottom w:val="single" w:sz="2" w:space="0" w:color="auto"/>
            </w:tcBorders>
          </w:tcPr>
          <w:p w14:paraId="477972AD" w14:textId="77777777" w:rsidR="00413229" w:rsidRPr="00347505" w:rsidRDefault="00413229" w:rsidP="00413229">
            <w:pPr>
              <w:jc w:val="center"/>
              <w:rPr>
                <w:rFonts w:cs="Times New Roman"/>
                <w:color w:val="000000"/>
                <w:szCs w:val="24"/>
              </w:rPr>
            </w:pPr>
            <w:r w:rsidRPr="00347505">
              <w:rPr>
                <w:rFonts w:cs="Times New Roman"/>
                <w:color w:val="000000"/>
                <w:szCs w:val="24"/>
              </w:rPr>
              <w:t>+3</w:t>
            </w:r>
          </w:p>
        </w:tc>
        <w:tc>
          <w:tcPr>
            <w:tcW w:w="373" w:type="dxa"/>
            <w:tcBorders>
              <w:left w:val="double" w:sz="4" w:space="0" w:color="auto"/>
              <w:bottom w:val="single" w:sz="2" w:space="0" w:color="auto"/>
            </w:tcBorders>
          </w:tcPr>
          <w:p w14:paraId="1931229A"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bottom w:val="single" w:sz="2" w:space="0" w:color="auto"/>
              <w:right w:val="single" w:sz="12" w:space="0" w:color="auto"/>
            </w:tcBorders>
            <w:vAlign w:val="bottom"/>
          </w:tcPr>
          <w:p w14:paraId="0D0939ED"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Vietnam (VTN)</w:t>
            </w:r>
          </w:p>
        </w:tc>
        <w:tc>
          <w:tcPr>
            <w:tcW w:w="992" w:type="dxa"/>
            <w:tcBorders>
              <w:left w:val="single" w:sz="12" w:space="0" w:color="auto"/>
              <w:bottom w:val="single" w:sz="2" w:space="0" w:color="auto"/>
            </w:tcBorders>
            <w:vAlign w:val="bottom"/>
          </w:tcPr>
          <w:p w14:paraId="35FFF39E"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PK</w:t>
            </w:r>
          </w:p>
        </w:tc>
        <w:tc>
          <w:tcPr>
            <w:tcW w:w="1022" w:type="dxa"/>
            <w:tcBorders>
              <w:bottom w:val="single" w:sz="2" w:space="0" w:color="auto"/>
            </w:tcBorders>
          </w:tcPr>
          <w:p w14:paraId="3731C8EB" w14:textId="77777777" w:rsidR="00413229" w:rsidRPr="00347505" w:rsidRDefault="00413229" w:rsidP="00413229">
            <w:pPr>
              <w:jc w:val="center"/>
              <w:rPr>
                <w:rFonts w:cs="Times New Roman"/>
                <w:color w:val="000000"/>
                <w:szCs w:val="24"/>
              </w:rPr>
            </w:pPr>
            <w:r w:rsidRPr="00347505">
              <w:rPr>
                <w:rFonts w:cs="Times New Roman"/>
                <w:color w:val="000000"/>
                <w:szCs w:val="24"/>
              </w:rPr>
              <w:t>+3</w:t>
            </w:r>
          </w:p>
        </w:tc>
      </w:tr>
      <w:tr w:rsidR="00413229" w:rsidRPr="0037553A" w14:paraId="2C2760A3" w14:textId="77777777" w:rsidTr="00EB1E15">
        <w:trPr>
          <w:trHeight w:val="260"/>
        </w:trPr>
        <w:tc>
          <w:tcPr>
            <w:tcW w:w="374" w:type="dxa"/>
            <w:tcBorders>
              <w:top w:val="single" w:sz="2" w:space="0" w:color="auto"/>
            </w:tcBorders>
          </w:tcPr>
          <w:p w14:paraId="6C2E2587"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top w:val="single" w:sz="2" w:space="0" w:color="auto"/>
              <w:right w:val="single" w:sz="12" w:space="0" w:color="auto"/>
            </w:tcBorders>
            <w:vAlign w:val="bottom"/>
          </w:tcPr>
          <w:p w14:paraId="4162AC65"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Indonesia (</w:t>
            </w:r>
            <w:r w:rsidRPr="0037553A">
              <w:rPr>
                <w:rFonts w:cs="Times New Roman"/>
                <w:color w:val="000000"/>
                <w:szCs w:val="24"/>
                <w:highlight w:val="green"/>
              </w:rPr>
              <w:t>INS</w:t>
            </w:r>
            <w:r>
              <w:rPr>
                <w:rFonts w:cs="Times New Roman"/>
                <w:color w:val="000000"/>
                <w:szCs w:val="24"/>
                <w:highlight w:val="green"/>
              </w:rPr>
              <w:t>)</w:t>
            </w:r>
          </w:p>
        </w:tc>
        <w:tc>
          <w:tcPr>
            <w:tcW w:w="992" w:type="dxa"/>
            <w:tcBorders>
              <w:top w:val="single" w:sz="2" w:space="0" w:color="auto"/>
              <w:left w:val="single" w:sz="12" w:space="0" w:color="auto"/>
            </w:tcBorders>
            <w:vAlign w:val="bottom"/>
          </w:tcPr>
          <w:p w14:paraId="017C7E61" w14:textId="77777777" w:rsidR="00413229" w:rsidRPr="00515A6E" w:rsidRDefault="00413229" w:rsidP="00413229">
            <w:pPr>
              <w:jc w:val="center"/>
              <w:rPr>
                <w:rFonts w:cs="Times New Roman"/>
                <w:b/>
                <w:color w:val="000000"/>
                <w:szCs w:val="24"/>
                <w:highlight w:val="green"/>
              </w:rPr>
            </w:pPr>
            <w:r w:rsidRPr="00515A6E">
              <w:rPr>
                <w:rFonts w:cs="Times New Roman"/>
                <w:b/>
                <w:color w:val="000000"/>
                <w:szCs w:val="24"/>
                <w:highlight w:val="green"/>
              </w:rPr>
              <w:t>NGA</w:t>
            </w:r>
          </w:p>
        </w:tc>
        <w:tc>
          <w:tcPr>
            <w:tcW w:w="1078" w:type="dxa"/>
            <w:tcBorders>
              <w:top w:val="single" w:sz="2" w:space="0" w:color="auto"/>
            </w:tcBorders>
          </w:tcPr>
          <w:p w14:paraId="200900FE" w14:textId="77777777" w:rsidR="00413229" w:rsidRPr="00F92381" w:rsidRDefault="00413229" w:rsidP="00413229">
            <w:pPr>
              <w:jc w:val="center"/>
              <w:rPr>
                <w:rFonts w:cs="Times New Roman"/>
                <w:b/>
                <w:color w:val="000000"/>
                <w:szCs w:val="24"/>
              </w:rPr>
            </w:pPr>
            <w:r w:rsidRPr="00F92381">
              <w:rPr>
                <w:rFonts w:cs="Times New Roman"/>
                <w:b/>
                <w:color w:val="000000"/>
                <w:szCs w:val="24"/>
              </w:rPr>
              <w:t>+9</w:t>
            </w:r>
          </w:p>
        </w:tc>
        <w:tc>
          <w:tcPr>
            <w:tcW w:w="373" w:type="dxa"/>
            <w:tcBorders>
              <w:top w:val="single" w:sz="2" w:space="0" w:color="auto"/>
              <w:left w:val="double" w:sz="4" w:space="0" w:color="auto"/>
            </w:tcBorders>
          </w:tcPr>
          <w:p w14:paraId="1477DB22"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top w:val="single" w:sz="2" w:space="0" w:color="auto"/>
              <w:right w:val="single" w:sz="12" w:space="0" w:color="auto"/>
            </w:tcBorders>
            <w:vAlign w:val="bottom"/>
          </w:tcPr>
          <w:p w14:paraId="551E5193"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Philippines (</w:t>
            </w:r>
            <w:r w:rsidRPr="0037553A">
              <w:rPr>
                <w:rFonts w:cs="Times New Roman"/>
                <w:color w:val="000000"/>
                <w:szCs w:val="24"/>
                <w:highlight w:val="green"/>
              </w:rPr>
              <w:t>PHL</w:t>
            </w:r>
            <w:r>
              <w:rPr>
                <w:rFonts w:cs="Times New Roman"/>
                <w:color w:val="000000"/>
                <w:szCs w:val="24"/>
                <w:highlight w:val="green"/>
              </w:rPr>
              <w:t>)</w:t>
            </w:r>
          </w:p>
        </w:tc>
        <w:tc>
          <w:tcPr>
            <w:tcW w:w="992" w:type="dxa"/>
            <w:tcBorders>
              <w:top w:val="single" w:sz="2" w:space="0" w:color="auto"/>
              <w:left w:val="single" w:sz="12" w:space="0" w:color="auto"/>
            </w:tcBorders>
            <w:vAlign w:val="bottom"/>
          </w:tcPr>
          <w:p w14:paraId="072C48AA" w14:textId="77777777" w:rsidR="00413229" w:rsidRPr="00515A6E" w:rsidRDefault="00413229" w:rsidP="00413229">
            <w:pPr>
              <w:jc w:val="center"/>
              <w:rPr>
                <w:rFonts w:cs="Times New Roman"/>
                <w:b/>
                <w:color w:val="000000"/>
                <w:szCs w:val="24"/>
                <w:highlight w:val="green"/>
              </w:rPr>
            </w:pPr>
            <w:r w:rsidRPr="00515A6E">
              <w:rPr>
                <w:rFonts w:cs="Times New Roman"/>
                <w:b/>
                <w:color w:val="000000"/>
                <w:szCs w:val="24"/>
                <w:highlight w:val="green"/>
              </w:rPr>
              <w:t>INS</w:t>
            </w:r>
          </w:p>
        </w:tc>
        <w:tc>
          <w:tcPr>
            <w:tcW w:w="1022" w:type="dxa"/>
            <w:tcBorders>
              <w:top w:val="single" w:sz="2" w:space="0" w:color="auto"/>
            </w:tcBorders>
          </w:tcPr>
          <w:p w14:paraId="48EC4BDE" w14:textId="77777777" w:rsidR="00413229" w:rsidRPr="00F92381" w:rsidRDefault="00413229" w:rsidP="00413229">
            <w:pPr>
              <w:jc w:val="center"/>
              <w:rPr>
                <w:rFonts w:cs="Times New Roman"/>
                <w:b/>
                <w:color w:val="000000"/>
                <w:szCs w:val="24"/>
              </w:rPr>
            </w:pPr>
            <w:r w:rsidRPr="00F92381">
              <w:rPr>
                <w:rFonts w:cs="Times New Roman"/>
                <w:b/>
                <w:color w:val="000000"/>
                <w:szCs w:val="24"/>
              </w:rPr>
              <w:t>+7</w:t>
            </w:r>
          </w:p>
        </w:tc>
      </w:tr>
      <w:tr w:rsidR="00413229" w:rsidRPr="0037553A" w14:paraId="711C7ED4" w14:textId="77777777" w:rsidTr="00EB1E15">
        <w:trPr>
          <w:trHeight w:val="260"/>
        </w:trPr>
        <w:tc>
          <w:tcPr>
            <w:tcW w:w="374" w:type="dxa"/>
          </w:tcPr>
          <w:p w14:paraId="7DB310A6"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59929C6D"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India (</w:t>
            </w:r>
            <w:r w:rsidRPr="0037553A">
              <w:rPr>
                <w:rFonts w:cs="Times New Roman"/>
                <w:color w:val="000000"/>
                <w:szCs w:val="24"/>
                <w:highlight w:val="green"/>
              </w:rPr>
              <w:t>IN</w:t>
            </w:r>
            <w:r>
              <w:rPr>
                <w:rFonts w:cs="Times New Roman"/>
                <w:color w:val="000000"/>
                <w:szCs w:val="24"/>
                <w:highlight w:val="green"/>
              </w:rPr>
              <w:t>)</w:t>
            </w:r>
          </w:p>
        </w:tc>
        <w:tc>
          <w:tcPr>
            <w:tcW w:w="992" w:type="dxa"/>
            <w:tcBorders>
              <w:left w:val="single" w:sz="12" w:space="0" w:color="auto"/>
            </w:tcBorders>
            <w:vAlign w:val="bottom"/>
          </w:tcPr>
          <w:p w14:paraId="6887DFA1" w14:textId="77777777" w:rsidR="00413229" w:rsidRPr="00515A6E" w:rsidRDefault="00413229" w:rsidP="00413229">
            <w:pPr>
              <w:jc w:val="center"/>
              <w:rPr>
                <w:rFonts w:cs="Times New Roman"/>
                <w:b/>
                <w:color w:val="000000"/>
                <w:szCs w:val="24"/>
                <w:highlight w:val="green"/>
              </w:rPr>
            </w:pPr>
            <w:r w:rsidRPr="00515A6E">
              <w:rPr>
                <w:rFonts w:cs="Times New Roman"/>
                <w:b/>
                <w:color w:val="000000"/>
                <w:szCs w:val="24"/>
                <w:highlight w:val="green"/>
              </w:rPr>
              <w:t>VTN</w:t>
            </w:r>
          </w:p>
        </w:tc>
        <w:tc>
          <w:tcPr>
            <w:tcW w:w="1078" w:type="dxa"/>
          </w:tcPr>
          <w:p w14:paraId="3F9B221E" w14:textId="77777777" w:rsidR="00413229" w:rsidRPr="00F92381" w:rsidRDefault="00413229" w:rsidP="00413229">
            <w:pPr>
              <w:jc w:val="center"/>
              <w:rPr>
                <w:rFonts w:cs="Times New Roman"/>
                <w:b/>
                <w:color w:val="000000"/>
                <w:szCs w:val="24"/>
              </w:rPr>
            </w:pPr>
            <w:r w:rsidRPr="00F92381">
              <w:rPr>
                <w:rFonts w:cs="Times New Roman"/>
                <w:b/>
                <w:color w:val="000000"/>
                <w:szCs w:val="24"/>
              </w:rPr>
              <w:t>+7</w:t>
            </w:r>
          </w:p>
        </w:tc>
        <w:tc>
          <w:tcPr>
            <w:tcW w:w="373" w:type="dxa"/>
            <w:tcBorders>
              <w:left w:val="double" w:sz="4" w:space="0" w:color="auto"/>
            </w:tcBorders>
          </w:tcPr>
          <w:p w14:paraId="3D78B1B0"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5A459024"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Peru (</w:t>
            </w:r>
            <w:r w:rsidRPr="0037553A">
              <w:rPr>
                <w:rFonts w:cs="Times New Roman"/>
                <w:color w:val="000000"/>
                <w:szCs w:val="24"/>
                <w:highlight w:val="green"/>
              </w:rPr>
              <w:t>PER</w:t>
            </w:r>
            <w:r>
              <w:rPr>
                <w:rFonts w:cs="Times New Roman"/>
                <w:color w:val="000000"/>
                <w:szCs w:val="24"/>
                <w:highlight w:val="green"/>
              </w:rPr>
              <w:t>)</w:t>
            </w:r>
          </w:p>
        </w:tc>
        <w:tc>
          <w:tcPr>
            <w:tcW w:w="992" w:type="dxa"/>
            <w:tcBorders>
              <w:left w:val="single" w:sz="12" w:space="0" w:color="auto"/>
            </w:tcBorders>
            <w:vAlign w:val="bottom"/>
          </w:tcPr>
          <w:p w14:paraId="39B7A1CD"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RSA</w:t>
            </w:r>
          </w:p>
        </w:tc>
        <w:tc>
          <w:tcPr>
            <w:tcW w:w="1022" w:type="dxa"/>
          </w:tcPr>
          <w:p w14:paraId="54C6FE74" w14:textId="77777777" w:rsidR="00413229" w:rsidRPr="00347505" w:rsidRDefault="00413229" w:rsidP="00413229">
            <w:pPr>
              <w:jc w:val="center"/>
              <w:rPr>
                <w:rFonts w:cs="Times New Roman"/>
                <w:color w:val="000000"/>
                <w:szCs w:val="24"/>
              </w:rPr>
            </w:pPr>
            <w:r w:rsidRPr="00347505">
              <w:rPr>
                <w:rFonts w:cs="Times New Roman"/>
                <w:color w:val="000000"/>
                <w:szCs w:val="24"/>
              </w:rPr>
              <w:t>+2</w:t>
            </w:r>
          </w:p>
        </w:tc>
      </w:tr>
      <w:tr w:rsidR="00413229" w:rsidRPr="0037553A" w14:paraId="2CAB4B54" w14:textId="77777777" w:rsidTr="00EB1E15">
        <w:trPr>
          <w:trHeight w:val="260"/>
        </w:trPr>
        <w:tc>
          <w:tcPr>
            <w:tcW w:w="374" w:type="dxa"/>
          </w:tcPr>
          <w:p w14:paraId="6D3A9149"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7AE48A89"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Russia (</w:t>
            </w:r>
            <w:r w:rsidRPr="0037553A">
              <w:rPr>
                <w:rFonts w:cs="Times New Roman"/>
                <w:color w:val="000000"/>
                <w:szCs w:val="24"/>
                <w:highlight w:val="green"/>
              </w:rPr>
              <w:t>RUS</w:t>
            </w:r>
            <w:r>
              <w:rPr>
                <w:rFonts w:cs="Times New Roman"/>
                <w:color w:val="000000"/>
                <w:szCs w:val="24"/>
                <w:highlight w:val="green"/>
              </w:rPr>
              <w:t>)</w:t>
            </w:r>
          </w:p>
        </w:tc>
        <w:tc>
          <w:tcPr>
            <w:tcW w:w="992" w:type="dxa"/>
            <w:tcBorders>
              <w:left w:val="single" w:sz="12" w:space="0" w:color="auto"/>
            </w:tcBorders>
            <w:vAlign w:val="bottom"/>
          </w:tcPr>
          <w:p w14:paraId="2CA3B510"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KEN</w:t>
            </w:r>
          </w:p>
        </w:tc>
        <w:tc>
          <w:tcPr>
            <w:tcW w:w="1078" w:type="dxa"/>
          </w:tcPr>
          <w:p w14:paraId="1F65F411" w14:textId="77777777" w:rsidR="00413229" w:rsidRPr="00347505" w:rsidRDefault="00413229" w:rsidP="00413229">
            <w:pPr>
              <w:jc w:val="center"/>
              <w:rPr>
                <w:rFonts w:cs="Times New Roman"/>
                <w:color w:val="000000"/>
                <w:szCs w:val="24"/>
              </w:rPr>
            </w:pPr>
            <w:r w:rsidRPr="00347505">
              <w:rPr>
                <w:rFonts w:cs="Times New Roman"/>
                <w:color w:val="000000"/>
                <w:szCs w:val="24"/>
              </w:rPr>
              <w:t>+4</w:t>
            </w:r>
          </w:p>
        </w:tc>
        <w:tc>
          <w:tcPr>
            <w:tcW w:w="373" w:type="dxa"/>
            <w:tcBorders>
              <w:left w:val="double" w:sz="4" w:space="0" w:color="auto"/>
            </w:tcBorders>
          </w:tcPr>
          <w:p w14:paraId="2550EE12"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2CC9DD5D"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Pakistan (</w:t>
            </w:r>
            <w:r w:rsidRPr="0037553A">
              <w:rPr>
                <w:rFonts w:cs="Times New Roman"/>
                <w:color w:val="000000"/>
                <w:szCs w:val="24"/>
                <w:highlight w:val="green"/>
              </w:rPr>
              <w:t>PK</w:t>
            </w:r>
            <w:r>
              <w:rPr>
                <w:rFonts w:cs="Times New Roman"/>
                <w:color w:val="000000"/>
                <w:szCs w:val="24"/>
                <w:highlight w:val="green"/>
              </w:rPr>
              <w:t>)</w:t>
            </w:r>
          </w:p>
        </w:tc>
        <w:tc>
          <w:tcPr>
            <w:tcW w:w="992" w:type="dxa"/>
            <w:tcBorders>
              <w:left w:val="single" w:sz="12" w:space="0" w:color="auto"/>
            </w:tcBorders>
            <w:vAlign w:val="bottom"/>
          </w:tcPr>
          <w:p w14:paraId="573E14CC"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KEN</w:t>
            </w:r>
          </w:p>
        </w:tc>
        <w:tc>
          <w:tcPr>
            <w:tcW w:w="1022" w:type="dxa"/>
          </w:tcPr>
          <w:p w14:paraId="03B0B20D" w14:textId="77777777" w:rsidR="00413229" w:rsidRPr="00347505" w:rsidRDefault="00413229" w:rsidP="00413229">
            <w:pPr>
              <w:jc w:val="center"/>
              <w:rPr>
                <w:rFonts w:cs="Times New Roman"/>
                <w:color w:val="000000"/>
                <w:szCs w:val="24"/>
              </w:rPr>
            </w:pPr>
            <w:r w:rsidRPr="00347505">
              <w:rPr>
                <w:rFonts w:cs="Times New Roman"/>
                <w:color w:val="000000"/>
                <w:szCs w:val="24"/>
              </w:rPr>
              <w:t>+2</w:t>
            </w:r>
          </w:p>
        </w:tc>
      </w:tr>
      <w:tr w:rsidR="00413229" w:rsidRPr="0037553A" w14:paraId="0E04DAAE" w14:textId="77777777" w:rsidTr="00EB1E15">
        <w:trPr>
          <w:trHeight w:val="260"/>
        </w:trPr>
        <w:tc>
          <w:tcPr>
            <w:tcW w:w="374" w:type="dxa"/>
          </w:tcPr>
          <w:p w14:paraId="4275AE9B"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37B84906"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South Africa (</w:t>
            </w:r>
            <w:r w:rsidRPr="0037553A">
              <w:rPr>
                <w:rFonts w:cs="Times New Roman"/>
                <w:color w:val="000000"/>
                <w:szCs w:val="24"/>
                <w:highlight w:val="green"/>
              </w:rPr>
              <w:t>RSA</w:t>
            </w:r>
            <w:r>
              <w:rPr>
                <w:rFonts w:cs="Times New Roman"/>
                <w:color w:val="000000"/>
                <w:szCs w:val="24"/>
                <w:highlight w:val="green"/>
              </w:rPr>
              <w:t>)</w:t>
            </w:r>
          </w:p>
        </w:tc>
        <w:tc>
          <w:tcPr>
            <w:tcW w:w="992" w:type="dxa"/>
            <w:tcBorders>
              <w:left w:val="single" w:sz="12" w:space="0" w:color="auto"/>
            </w:tcBorders>
            <w:vAlign w:val="bottom"/>
          </w:tcPr>
          <w:p w14:paraId="33D6476B"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RSA</w:t>
            </w:r>
          </w:p>
        </w:tc>
        <w:tc>
          <w:tcPr>
            <w:tcW w:w="1078" w:type="dxa"/>
          </w:tcPr>
          <w:p w14:paraId="3E7E9E5A" w14:textId="77777777" w:rsidR="00413229" w:rsidRPr="00347505" w:rsidRDefault="00413229" w:rsidP="00413229">
            <w:pPr>
              <w:jc w:val="center"/>
              <w:rPr>
                <w:rFonts w:cs="Times New Roman"/>
                <w:color w:val="000000"/>
                <w:szCs w:val="24"/>
              </w:rPr>
            </w:pPr>
            <w:r w:rsidRPr="00347505">
              <w:rPr>
                <w:rFonts w:cs="Times New Roman"/>
                <w:color w:val="000000"/>
                <w:szCs w:val="24"/>
              </w:rPr>
              <w:t>0</w:t>
            </w:r>
          </w:p>
        </w:tc>
        <w:tc>
          <w:tcPr>
            <w:tcW w:w="373" w:type="dxa"/>
            <w:tcBorders>
              <w:left w:val="double" w:sz="4" w:space="0" w:color="auto"/>
            </w:tcBorders>
          </w:tcPr>
          <w:p w14:paraId="1A8DAB4E"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47F18330"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South Africa (</w:t>
            </w:r>
            <w:r w:rsidRPr="0037553A">
              <w:rPr>
                <w:rFonts w:cs="Times New Roman"/>
                <w:color w:val="000000"/>
                <w:szCs w:val="24"/>
                <w:highlight w:val="green"/>
              </w:rPr>
              <w:t>RSA</w:t>
            </w:r>
            <w:r>
              <w:rPr>
                <w:rFonts w:cs="Times New Roman"/>
                <w:color w:val="000000"/>
                <w:szCs w:val="24"/>
                <w:highlight w:val="green"/>
              </w:rPr>
              <w:t>)</w:t>
            </w:r>
          </w:p>
        </w:tc>
        <w:tc>
          <w:tcPr>
            <w:tcW w:w="992" w:type="dxa"/>
            <w:tcBorders>
              <w:left w:val="single" w:sz="12" w:space="0" w:color="auto"/>
            </w:tcBorders>
            <w:vAlign w:val="bottom"/>
          </w:tcPr>
          <w:p w14:paraId="17429697"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VTN</w:t>
            </w:r>
          </w:p>
        </w:tc>
        <w:tc>
          <w:tcPr>
            <w:tcW w:w="1022" w:type="dxa"/>
          </w:tcPr>
          <w:p w14:paraId="7097E3A3" w14:textId="77777777" w:rsidR="00413229" w:rsidRPr="00347505" w:rsidRDefault="00413229" w:rsidP="00413229">
            <w:pPr>
              <w:jc w:val="center"/>
              <w:rPr>
                <w:rFonts w:cs="Times New Roman"/>
                <w:color w:val="000000"/>
                <w:szCs w:val="24"/>
              </w:rPr>
            </w:pPr>
            <w:r w:rsidRPr="00347505">
              <w:rPr>
                <w:rFonts w:cs="Times New Roman"/>
                <w:color w:val="FF0000"/>
                <w:szCs w:val="24"/>
              </w:rPr>
              <w:t>-4</w:t>
            </w:r>
          </w:p>
        </w:tc>
      </w:tr>
      <w:tr w:rsidR="00413229" w:rsidRPr="0037553A" w14:paraId="170CDF66" w14:textId="77777777" w:rsidTr="00EB1E15">
        <w:trPr>
          <w:trHeight w:val="260"/>
        </w:trPr>
        <w:tc>
          <w:tcPr>
            <w:tcW w:w="374" w:type="dxa"/>
          </w:tcPr>
          <w:p w14:paraId="6B45FF6E"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7764FDF8"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Peru (</w:t>
            </w:r>
            <w:r w:rsidRPr="0037553A">
              <w:rPr>
                <w:rFonts w:cs="Times New Roman"/>
                <w:color w:val="000000"/>
                <w:szCs w:val="24"/>
                <w:highlight w:val="green"/>
              </w:rPr>
              <w:t>PER</w:t>
            </w:r>
            <w:r>
              <w:rPr>
                <w:rFonts w:cs="Times New Roman"/>
                <w:color w:val="000000"/>
                <w:szCs w:val="24"/>
                <w:highlight w:val="green"/>
              </w:rPr>
              <w:t>)</w:t>
            </w:r>
          </w:p>
        </w:tc>
        <w:tc>
          <w:tcPr>
            <w:tcW w:w="992" w:type="dxa"/>
            <w:tcBorders>
              <w:left w:val="single" w:sz="12" w:space="0" w:color="auto"/>
            </w:tcBorders>
            <w:vAlign w:val="bottom"/>
          </w:tcPr>
          <w:p w14:paraId="786FF938" w14:textId="77777777" w:rsidR="00413229" w:rsidRPr="00515A6E" w:rsidRDefault="00413229" w:rsidP="00413229">
            <w:pPr>
              <w:jc w:val="center"/>
              <w:rPr>
                <w:rFonts w:cs="Times New Roman"/>
                <w:b/>
                <w:color w:val="000000"/>
                <w:szCs w:val="24"/>
                <w:highlight w:val="cyan"/>
              </w:rPr>
            </w:pPr>
            <w:r w:rsidRPr="00515A6E">
              <w:rPr>
                <w:rFonts w:cs="Times New Roman"/>
                <w:b/>
                <w:color w:val="000000"/>
                <w:szCs w:val="24"/>
                <w:highlight w:val="cyan"/>
              </w:rPr>
              <w:t>PL</w:t>
            </w:r>
          </w:p>
        </w:tc>
        <w:tc>
          <w:tcPr>
            <w:tcW w:w="1078" w:type="dxa"/>
          </w:tcPr>
          <w:p w14:paraId="7AB8C95C" w14:textId="77777777" w:rsidR="00413229" w:rsidRPr="00F92381" w:rsidRDefault="00413229" w:rsidP="00413229">
            <w:pPr>
              <w:jc w:val="center"/>
              <w:rPr>
                <w:rFonts w:cs="Times New Roman"/>
                <w:b/>
                <w:color w:val="FF0000"/>
                <w:szCs w:val="24"/>
              </w:rPr>
            </w:pPr>
            <w:r w:rsidRPr="00F92381">
              <w:rPr>
                <w:rFonts w:cs="Times New Roman"/>
                <w:b/>
                <w:color w:val="FF0000"/>
                <w:szCs w:val="24"/>
              </w:rPr>
              <w:t>-6</w:t>
            </w:r>
          </w:p>
        </w:tc>
        <w:tc>
          <w:tcPr>
            <w:tcW w:w="373" w:type="dxa"/>
            <w:tcBorders>
              <w:left w:val="double" w:sz="4" w:space="0" w:color="auto"/>
            </w:tcBorders>
          </w:tcPr>
          <w:p w14:paraId="1E11BD8B"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29A13F5C"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Kenya (</w:t>
            </w:r>
            <w:r w:rsidRPr="0037553A">
              <w:rPr>
                <w:rFonts w:cs="Times New Roman"/>
                <w:color w:val="000000"/>
                <w:szCs w:val="24"/>
                <w:highlight w:val="green"/>
              </w:rPr>
              <w:t>KEN</w:t>
            </w:r>
            <w:r>
              <w:rPr>
                <w:rFonts w:cs="Times New Roman"/>
                <w:color w:val="000000"/>
                <w:szCs w:val="24"/>
                <w:highlight w:val="green"/>
              </w:rPr>
              <w:t>)</w:t>
            </w:r>
          </w:p>
        </w:tc>
        <w:tc>
          <w:tcPr>
            <w:tcW w:w="992" w:type="dxa"/>
            <w:tcBorders>
              <w:left w:val="single" w:sz="12" w:space="0" w:color="auto"/>
            </w:tcBorders>
            <w:vAlign w:val="bottom"/>
          </w:tcPr>
          <w:p w14:paraId="2A08794D"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RUS</w:t>
            </w:r>
          </w:p>
        </w:tc>
        <w:tc>
          <w:tcPr>
            <w:tcW w:w="1022" w:type="dxa"/>
          </w:tcPr>
          <w:p w14:paraId="22224063" w14:textId="77777777" w:rsidR="00413229" w:rsidRPr="00347505" w:rsidRDefault="00413229" w:rsidP="00413229">
            <w:pPr>
              <w:jc w:val="center"/>
              <w:rPr>
                <w:rFonts w:cs="Times New Roman"/>
                <w:color w:val="000000"/>
                <w:szCs w:val="24"/>
              </w:rPr>
            </w:pPr>
            <w:r w:rsidRPr="00347505">
              <w:rPr>
                <w:rFonts w:cs="Times New Roman"/>
                <w:color w:val="000000"/>
                <w:szCs w:val="24"/>
              </w:rPr>
              <w:t>+4</w:t>
            </w:r>
          </w:p>
        </w:tc>
      </w:tr>
      <w:tr w:rsidR="00413229" w:rsidRPr="0037553A" w14:paraId="7723D025" w14:textId="77777777" w:rsidTr="00EB1E15">
        <w:trPr>
          <w:trHeight w:val="260"/>
        </w:trPr>
        <w:tc>
          <w:tcPr>
            <w:tcW w:w="374" w:type="dxa"/>
            <w:tcBorders>
              <w:bottom w:val="single" w:sz="2" w:space="0" w:color="auto"/>
            </w:tcBorders>
          </w:tcPr>
          <w:p w14:paraId="63E2FFD4"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bottom w:val="single" w:sz="2" w:space="0" w:color="auto"/>
              <w:right w:val="single" w:sz="12" w:space="0" w:color="auto"/>
            </w:tcBorders>
            <w:vAlign w:val="bottom"/>
          </w:tcPr>
          <w:p w14:paraId="167D5590" w14:textId="77777777" w:rsidR="00413229" w:rsidRPr="0037553A" w:rsidRDefault="00413229" w:rsidP="00413229">
            <w:pPr>
              <w:jc w:val="center"/>
              <w:rPr>
                <w:rFonts w:cs="Times New Roman"/>
                <w:color w:val="000000"/>
                <w:szCs w:val="24"/>
                <w:highlight w:val="green"/>
              </w:rPr>
            </w:pPr>
            <w:r>
              <w:rPr>
                <w:rFonts w:cs="Times New Roman"/>
                <w:color w:val="000000"/>
                <w:szCs w:val="24"/>
                <w:highlight w:val="green"/>
              </w:rPr>
              <w:t>Brazil (</w:t>
            </w:r>
            <w:r w:rsidRPr="0037553A">
              <w:rPr>
                <w:rFonts w:cs="Times New Roman"/>
                <w:color w:val="000000"/>
                <w:szCs w:val="24"/>
                <w:highlight w:val="green"/>
              </w:rPr>
              <w:t>BR</w:t>
            </w:r>
            <w:r>
              <w:rPr>
                <w:rFonts w:cs="Times New Roman"/>
                <w:color w:val="000000"/>
                <w:szCs w:val="24"/>
                <w:highlight w:val="green"/>
              </w:rPr>
              <w:t>)</w:t>
            </w:r>
          </w:p>
        </w:tc>
        <w:tc>
          <w:tcPr>
            <w:tcW w:w="992" w:type="dxa"/>
            <w:tcBorders>
              <w:left w:val="single" w:sz="12" w:space="0" w:color="auto"/>
              <w:bottom w:val="single" w:sz="2" w:space="0" w:color="auto"/>
            </w:tcBorders>
            <w:vAlign w:val="bottom"/>
          </w:tcPr>
          <w:p w14:paraId="61483E37" w14:textId="77777777" w:rsidR="00413229" w:rsidRPr="00515A6E" w:rsidRDefault="00413229" w:rsidP="00413229">
            <w:pPr>
              <w:jc w:val="center"/>
              <w:rPr>
                <w:rFonts w:cs="Times New Roman"/>
                <w:b/>
                <w:color w:val="000000"/>
                <w:szCs w:val="24"/>
                <w:highlight w:val="cyan"/>
              </w:rPr>
            </w:pPr>
            <w:r w:rsidRPr="00515A6E">
              <w:rPr>
                <w:rFonts w:cs="Times New Roman"/>
                <w:b/>
                <w:color w:val="000000"/>
                <w:szCs w:val="24"/>
                <w:highlight w:val="cyan"/>
              </w:rPr>
              <w:t>CHL</w:t>
            </w:r>
          </w:p>
        </w:tc>
        <w:tc>
          <w:tcPr>
            <w:tcW w:w="1078" w:type="dxa"/>
            <w:tcBorders>
              <w:bottom w:val="single" w:sz="2" w:space="0" w:color="auto"/>
            </w:tcBorders>
          </w:tcPr>
          <w:p w14:paraId="2B87BA12" w14:textId="77777777" w:rsidR="00413229" w:rsidRPr="00F92381" w:rsidRDefault="00413229" w:rsidP="00413229">
            <w:pPr>
              <w:jc w:val="center"/>
              <w:rPr>
                <w:rFonts w:cs="Times New Roman"/>
                <w:b/>
                <w:color w:val="FF0000"/>
                <w:szCs w:val="24"/>
              </w:rPr>
            </w:pPr>
            <w:r w:rsidRPr="00F92381">
              <w:rPr>
                <w:rFonts w:cs="Times New Roman"/>
                <w:b/>
                <w:color w:val="FF0000"/>
                <w:szCs w:val="24"/>
              </w:rPr>
              <w:t>-11</w:t>
            </w:r>
          </w:p>
        </w:tc>
        <w:tc>
          <w:tcPr>
            <w:tcW w:w="373" w:type="dxa"/>
            <w:tcBorders>
              <w:left w:val="double" w:sz="4" w:space="0" w:color="auto"/>
              <w:bottom w:val="single" w:sz="2" w:space="0" w:color="auto"/>
            </w:tcBorders>
          </w:tcPr>
          <w:p w14:paraId="10FA0235"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bottom w:val="single" w:sz="2" w:space="0" w:color="auto"/>
              <w:right w:val="single" w:sz="12" w:space="0" w:color="auto"/>
            </w:tcBorders>
            <w:vAlign w:val="bottom"/>
          </w:tcPr>
          <w:p w14:paraId="62337189" w14:textId="77777777" w:rsidR="00413229" w:rsidRPr="0037553A" w:rsidRDefault="00413229" w:rsidP="00413229">
            <w:pPr>
              <w:jc w:val="center"/>
              <w:rPr>
                <w:rFonts w:cs="Times New Roman"/>
                <w:color w:val="000000"/>
                <w:szCs w:val="24"/>
                <w:highlight w:val="green"/>
              </w:rPr>
            </w:pPr>
            <w:r w:rsidRPr="0037553A">
              <w:rPr>
                <w:rFonts w:cs="Times New Roman"/>
                <w:color w:val="000000"/>
                <w:szCs w:val="24"/>
                <w:highlight w:val="green"/>
              </w:rPr>
              <w:t>A</w:t>
            </w:r>
            <w:r>
              <w:rPr>
                <w:rFonts w:cs="Times New Roman"/>
                <w:color w:val="000000"/>
                <w:szCs w:val="24"/>
                <w:highlight w:val="green"/>
              </w:rPr>
              <w:t>rgentina (A</w:t>
            </w:r>
            <w:r w:rsidRPr="0037553A">
              <w:rPr>
                <w:rFonts w:cs="Times New Roman"/>
                <w:color w:val="000000"/>
                <w:szCs w:val="24"/>
                <w:highlight w:val="green"/>
              </w:rPr>
              <w:t>R</w:t>
            </w:r>
            <w:r>
              <w:rPr>
                <w:rFonts w:cs="Times New Roman"/>
                <w:color w:val="000000"/>
                <w:szCs w:val="24"/>
                <w:highlight w:val="green"/>
              </w:rPr>
              <w:t>)</w:t>
            </w:r>
          </w:p>
        </w:tc>
        <w:tc>
          <w:tcPr>
            <w:tcW w:w="992" w:type="dxa"/>
            <w:tcBorders>
              <w:left w:val="single" w:sz="12" w:space="0" w:color="auto"/>
              <w:bottom w:val="single" w:sz="2" w:space="0" w:color="auto"/>
            </w:tcBorders>
            <w:vAlign w:val="bottom"/>
          </w:tcPr>
          <w:p w14:paraId="6A977D24" w14:textId="77777777" w:rsidR="00413229" w:rsidRPr="00515A6E" w:rsidRDefault="00413229" w:rsidP="00413229">
            <w:pPr>
              <w:jc w:val="center"/>
              <w:rPr>
                <w:rFonts w:cs="Times New Roman"/>
                <w:b/>
                <w:color w:val="000000"/>
                <w:szCs w:val="24"/>
                <w:highlight w:val="green"/>
              </w:rPr>
            </w:pPr>
            <w:r w:rsidRPr="00515A6E">
              <w:rPr>
                <w:rFonts w:cs="Times New Roman"/>
                <w:b/>
                <w:color w:val="000000"/>
                <w:szCs w:val="24"/>
                <w:highlight w:val="green"/>
              </w:rPr>
              <w:t>PL</w:t>
            </w:r>
          </w:p>
        </w:tc>
        <w:tc>
          <w:tcPr>
            <w:tcW w:w="1022" w:type="dxa"/>
            <w:tcBorders>
              <w:bottom w:val="single" w:sz="2" w:space="0" w:color="auto"/>
            </w:tcBorders>
          </w:tcPr>
          <w:p w14:paraId="50A8CF41" w14:textId="77777777" w:rsidR="00413229" w:rsidRPr="00F92381" w:rsidRDefault="00413229" w:rsidP="00413229">
            <w:pPr>
              <w:jc w:val="center"/>
              <w:rPr>
                <w:rFonts w:cs="Times New Roman"/>
                <w:b/>
                <w:color w:val="FF0000"/>
                <w:szCs w:val="24"/>
              </w:rPr>
            </w:pPr>
            <w:r w:rsidRPr="00F92381">
              <w:rPr>
                <w:rFonts w:cs="Times New Roman"/>
                <w:b/>
                <w:color w:val="FF0000"/>
                <w:szCs w:val="24"/>
              </w:rPr>
              <w:t>-10</w:t>
            </w:r>
          </w:p>
        </w:tc>
      </w:tr>
      <w:tr w:rsidR="00413229" w:rsidRPr="0037553A" w14:paraId="0C502D57" w14:textId="77777777" w:rsidTr="00EB1E15">
        <w:trPr>
          <w:trHeight w:val="260"/>
        </w:trPr>
        <w:tc>
          <w:tcPr>
            <w:tcW w:w="374" w:type="dxa"/>
            <w:tcBorders>
              <w:top w:val="single" w:sz="2" w:space="0" w:color="auto"/>
            </w:tcBorders>
          </w:tcPr>
          <w:p w14:paraId="33F50BFC"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top w:val="single" w:sz="2" w:space="0" w:color="auto"/>
              <w:right w:val="single" w:sz="12" w:space="0" w:color="auto"/>
            </w:tcBorders>
            <w:vAlign w:val="bottom"/>
          </w:tcPr>
          <w:p w14:paraId="5AD995A4"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Kenya (KEN)</w:t>
            </w:r>
          </w:p>
        </w:tc>
        <w:tc>
          <w:tcPr>
            <w:tcW w:w="992" w:type="dxa"/>
            <w:tcBorders>
              <w:top w:val="single" w:sz="2" w:space="0" w:color="auto"/>
              <w:left w:val="single" w:sz="12" w:space="0" w:color="auto"/>
            </w:tcBorders>
            <w:vAlign w:val="bottom"/>
          </w:tcPr>
          <w:p w14:paraId="684E9F46" w14:textId="77777777" w:rsidR="00413229" w:rsidRPr="00515A6E" w:rsidRDefault="00413229" w:rsidP="00413229">
            <w:pPr>
              <w:jc w:val="center"/>
              <w:rPr>
                <w:rFonts w:cs="Times New Roman"/>
                <w:b/>
                <w:color w:val="000000"/>
                <w:szCs w:val="24"/>
                <w:highlight w:val="cyan"/>
              </w:rPr>
            </w:pPr>
            <w:r w:rsidRPr="00515A6E">
              <w:rPr>
                <w:rFonts w:cs="Times New Roman"/>
                <w:b/>
                <w:color w:val="000000"/>
                <w:szCs w:val="24"/>
                <w:highlight w:val="cyan"/>
              </w:rPr>
              <w:t>ELS</w:t>
            </w:r>
          </w:p>
        </w:tc>
        <w:tc>
          <w:tcPr>
            <w:tcW w:w="1078" w:type="dxa"/>
            <w:tcBorders>
              <w:top w:val="single" w:sz="2" w:space="0" w:color="auto"/>
            </w:tcBorders>
          </w:tcPr>
          <w:p w14:paraId="2B413372" w14:textId="77777777" w:rsidR="00413229" w:rsidRPr="00F92381" w:rsidRDefault="00413229" w:rsidP="00413229">
            <w:pPr>
              <w:jc w:val="center"/>
              <w:rPr>
                <w:rFonts w:cs="Times New Roman"/>
                <w:b/>
                <w:color w:val="FF0000"/>
                <w:szCs w:val="24"/>
              </w:rPr>
            </w:pPr>
            <w:r w:rsidRPr="00F92381">
              <w:rPr>
                <w:rFonts w:cs="Times New Roman"/>
                <w:b/>
                <w:color w:val="FF0000"/>
                <w:szCs w:val="24"/>
              </w:rPr>
              <w:t>-10</w:t>
            </w:r>
          </w:p>
        </w:tc>
        <w:tc>
          <w:tcPr>
            <w:tcW w:w="373" w:type="dxa"/>
            <w:tcBorders>
              <w:top w:val="single" w:sz="2" w:space="0" w:color="auto"/>
              <w:left w:val="double" w:sz="4" w:space="0" w:color="auto"/>
            </w:tcBorders>
          </w:tcPr>
          <w:p w14:paraId="7F5F6F48"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top w:val="single" w:sz="2" w:space="0" w:color="auto"/>
              <w:right w:val="single" w:sz="12" w:space="0" w:color="auto"/>
            </w:tcBorders>
            <w:vAlign w:val="bottom"/>
          </w:tcPr>
          <w:p w14:paraId="0B3D1951"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Brazil (BR)</w:t>
            </w:r>
          </w:p>
        </w:tc>
        <w:tc>
          <w:tcPr>
            <w:tcW w:w="992" w:type="dxa"/>
            <w:tcBorders>
              <w:top w:val="single" w:sz="2" w:space="0" w:color="auto"/>
              <w:left w:val="single" w:sz="12" w:space="0" w:color="auto"/>
            </w:tcBorders>
            <w:vAlign w:val="bottom"/>
          </w:tcPr>
          <w:p w14:paraId="4200EB27" w14:textId="77777777" w:rsidR="00413229" w:rsidRPr="00515A6E" w:rsidRDefault="00413229" w:rsidP="00413229">
            <w:pPr>
              <w:jc w:val="center"/>
              <w:rPr>
                <w:rFonts w:cs="Times New Roman"/>
                <w:b/>
                <w:color w:val="000000"/>
                <w:szCs w:val="24"/>
                <w:highlight w:val="cyan"/>
              </w:rPr>
            </w:pPr>
            <w:r w:rsidRPr="00515A6E">
              <w:rPr>
                <w:rFonts w:cs="Times New Roman"/>
                <w:b/>
                <w:color w:val="000000"/>
                <w:szCs w:val="24"/>
                <w:highlight w:val="cyan"/>
              </w:rPr>
              <w:t>CHL</w:t>
            </w:r>
          </w:p>
        </w:tc>
        <w:tc>
          <w:tcPr>
            <w:tcW w:w="1022" w:type="dxa"/>
            <w:tcBorders>
              <w:top w:val="single" w:sz="2" w:space="0" w:color="auto"/>
            </w:tcBorders>
          </w:tcPr>
          <w:p w14:paraId="384A0FE2" w14:textId="77777777" w:rsidR="00413229" w:rsidRPr="00F92381" w:rsidRDefault="00413229" w:rsidP="00413229">
            <w:pPr>
              <w:jc w:val="center"/>
              <w:rPr>
                <w:rFonts w:cs="Times New Roman"/>
                <w:b/>
                <w:color w:val="FF0000"/>
                <w:szCs w:val="24"/>
              </w:rPr>
            </w:pPr>
            <w:r w:rsidRPr="00F92381">
              <w:rPr>
                <w:rFonts w:cs="Times New Roman"/>
                <w:b/>
                <w:color w:val="FF0000"/>
                <w:szCs w:val="24"/>
              </w:rPr>
              <w:t>-12</w:t>
            </w:r>
          </w:p>
        </w:tc>
      </w:tr>
      <w:tr w:rsidR="00413229" w:rsidRPr="0037553A" w14:paraId="776BB3B7" w14:textId="77777777" w:rsidTr="00EB1E15">
        <w:trPr>
          <w:trHeight w:val="260"/>
        </w:trPr>
        <w:tc>
          <w:tcPr>
            <w:tcW w:w="374" w:type="dxa"/>
          </w:tcPr>
          <w:p w14:paraId="7AE82D15"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38166D99"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Pakistan (PK)</w:t>
            </w:r>
          </w:p>
        </w:tc>
        <w:tc>
          <w:tcPr>
            <w:tcW w:w="992" w:type="dxa"/>
            <w:tcBorders>
              <w:left w:val="single" w:sz="12" w:space="0" w:color="auto"/>
            </w:tcBorders>
            <w:vAlign w:val="bottom"/>
          </w:tcPr>
          <w:p w14:paraId="4F7760DF" w14:textId="77777777" w:rsidR="00413229" w:rsidRPr="00515A6E" w:rsidRDefault="00413229" w:rsidP="00413229">
            <w:pPr>
              <w:jc w:val="center"/>
              <w:rPr>
                <w:rFonts w:cs="Times New Roman"/>
                <w:color w:val="000000"/>
                <w:szCs w:val="24"/>
                <w:highlight w:val="cyan"/>
              </w:rPr>
            </w:pPr>
            <w:r w:rsidRPr="00515A6E">
              <w:rPr>
                <w:rFonts w:cs="Times New Roman"/>
                <w:color w:val="000000"/>
                <w:szCs w:val="24"/>
                <w:highlight w:val="cyan"/>
              </w:rPr>
              <w:t>BR</w:t>
            </w:r>
          </w:p>
        </w:tc>
        <w:tc>
          <w:tcPr>
            <w:tcW w:w="1078" w:type="dxa"/>
          </w:tcPr>
          <w:p w14:paraId="31CC2022" w14:textId="77777777" w:rsidR="00413229" w:rsidRPr="00347505" w:rsidRDefault="00413229" w:rsidP="00413229">
            <w:pPr>
              <w:jc w:val="center"/>
              <w:rPr>
                <w:rFonts w:cs="Times New Roman"/>
                <w:color w:val="FF0000"/>
                <w:szCs w:val="24"/>
              </w:rPr>
            </w:pPr>
            <w:r w:rsidRPr="00347505">
              <w:rPr>
                <w:rFonts w:cs="Times New Roman"/>
                <w:color w:val="FF0000"/>
                <w:szCs w:val="24"/>
              </w:rPr>
              <w:t>-2</w:t>
            </w:r>
          </w:p>
        </w:tc>
        <w:tc>
          <w:tcPr>
            <w:tcW w:w="373" w:type="dxa"/>
            <w:tcBorders>
              <w:left w:val="double" w:sz="4" w:space="0" w:color="auto"/>
            </w:tcBorders>
          </w:tcPr>
          <w:p w14:paraId="7EF97903"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43A45EED"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Indonesia (INS)</w:t>
            </w:r>
          </w:p>
        </w:tc>
        <w:tc>
          <w:tcPr>
            <w:tcW w:w="992" w:type="dxa"/>
            <w:tcBorders>
              <w:left w:val="single" w:sz="12" w:space="0" w:color="auto"/>
            </w:tcBorders>
            <w:vAlign w:val="bottom"/>
          </w:tcPr>
          <w:p w14:paraId="13DA8716" w14:textId="77777777" w:rsidR="00413229" w:rsidRPr="00515A6E" w:rsidRDefault="00413229" w:rsidP="00413229">
            <w:pPr>
              <w:jc w:val="center"/>
              <w:rPr>
                <w:rFonts w:cs="Times New Roman"/>
                <w:color w:val="000000"/>
                <w:szCs w:val="24"/>
                <w:highlight w:val="cyan"/>
              </w:rPr>
            </w:pPr>
            <w:r w:rsidRPr="00515A6E">
              <w:rPr>
                <w:rFonts w:cs="Times New Roman"/>
                <w:color w:val="000000"/>
                <w:szCs w:val="24"/>
                <w:highlight w:val="cyan"/>
              </w:rPr>
              <w:t>BR</w:t>
            </w:r>
          </w:p>
        </w:tc>
        <w:tc>
          <w:tcPr>
            <w:tcW w:w="1022" w:type="dxa"/>
          </w:tcPr>
          <w:p w14:paraId="417D1A6E" w14:textId="77777777" w:rsidR="00413229" w:rsidRPr="00347505" w:rsidRDefault="00413229" w:rsidP="00413229">
            <w:pPr>
              <w:jc w:val="center"/>
              <w:rPr>
                <w:rFonts w:cs="Times New Roman"/>
                <w:color w:val="000000"/>
                <w:szCs w:val="24"/>
              </w:rPr>
            </w:pPr>
            <w:r w:rsidRPr="00347505">
              <w:rPr>
                <w:rFonts w:cs="Times New Roman"/>
                <w:color w:val="000000"/>
                <w:szCs w:val="24"/>
              </w:rPr>
              <w:t>-1</w:t>
            </w:r>
          </w:p>
        </w:tc>
      </w:tr>
      <w:tr w:rsidR="00413229" w:rsidRPr="0037553A" w14:paraId="01EA4C86" w14:textId="77777777" w:rsidTr="00EB1E15">
        <w:trPr>
          <w:trHeight w:val="260"/>
        </w:trPr>
        <w:tc>
          <w:tcPr>
            <w:tcW w:w="374" w:type="dxa"/>
          </w:tcPr>
          <w:p w14:paraId="79DA77CD"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4D32EB22"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Vietnam (VTN)</w:t>
            </w:r>
          </w:p>
        </w:tc>
        <w:tc>
          <w:tcPr>
            <w:tcW w:w="992" w:type="dxa"/>
            <w:tcBorders>
              <w:left w:val="single" w:sz="12" w:space="0" w:color="auto"/>
            </w:tcBorders>
            <w:vAlign w:val="bottom"/>
          </w:tcPr>
          <w:p w14:paraId="35735457" w14:textId="77777777" w:rsidR="00413229" w:rsidRPr="00515A6E" w:rsidRDefault="00413229" w:rsidP="00413229">
            <w:pPr>
              <w:jc w:val="center"/>
              <w:rPr>
                <w:rFonts w:cs="Times New Roman"/>
                <w:color w:val="000000"/>
                <w:szCs w:val="24"/>
                <w:highlight w:val="cyan"/>
              </w:rPr>
            </w:pPr>
            <w:r w:rsidRPr="00515A6E">
              <w:rPr>
                <w:rFonts w:cs="Times New Roman"/>
                <w:color w:val="000000"/>
                <w:szCs w:val="24"/>
                <w:highlight w:val="cyan"/>
              </w:rPr>
              <w:t>PHL</w:t>
            </w:r>
          </w:p>
        </w:tc>
        <w:tc>
          <w:tcPr>
            <w:tcW w:w="1078" w:type="dxa"/>
          </w:tcPr>
          <w:p w14:paraId="2477510B" w14:textId="77777777" w:rsidR="00413229" w:rsidRPr="00347505" w:rsidRDefault="00413229" w:rsidP="00413229">
            <w:pPr>
              <w:jc w:val="center"/>
              <w:rPr>
                <w:rFonts w:cs="Times New Roman"/>
                <w:color w:val="000000"/>
                <w:szCs w:val="24"/>
              </w:rPr>
            </w:pPr>
            <w:r w:rsidRPr="00347505">
              <w:rPr>
                <w:rFonts w:cs="Times New Roman"/>
                <w:color w:val="000000"/>
                <w:szCs w:val="24"/>
              </w:rPr>
              <w:t>+2</w:t>
            </w:r>
          </w:p>
        </w:tc>
        <w:tc>
          <w:tcPr>
            <w:tcW w:w="373" w:type="dxa"/>
            <w:tcBorders>
              <w:left w:val="double" w:sz="4" w:space="0" w:color="auto"/>
            </w:tcBorders>
          </w:tcPr>
          <w:p w14:paraId="106CD8C2"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3AC44213"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Russia (RUS)</w:t>
            </w:r>
          </w:p>
        </w:tc>
        <w:tc>
          <w:tcPr>
            <w:tcW w:w="992" w:type="dxa"/>
            <w:tcBorders>
              <w:left w:val="single" w:sz="12" w:space="0" w:color="auto"/>
            </w:tcBorders>
            <w:vAlign w:val="bottom"/>
          </w:tcPr>
          <w:p w14:paraId="1627A434" w14:textId="77777777" w:rsidR="00413229" w:rsidRPr="00515A6E" w:rsidRDefault="00413229" w:rsidP="00413229">
            <w:pPr>
              <w:jc w:val="center"/>
              <w:rPr>
                <w:rFonts w:cs="Times New Roman"/>
                <w:b/>
                <w:color w:val="000000"/>
                <w:szCs w:val="24"/>
                <w:highlight w:val="cyan"/>
              </w:rPr>
            </w:pPr>
            <w:r w:rsidRPr="00515A6E">
              <w:rPr>
                <w:rFonts w:cs="Times New Roman"/>
                <w:b/>
                <w:color w:val="000000"/>
                <w:szCs w:val="24"/>
                <w:highlight w:val="cyan"/>
              </w:rPr>
              <w:t>ELS</w:t>
            </w:r>
          </w:p>
        </w:tc>
        <w:tc>
          <w:tcPr>
            <w:tcW w:w="1022" w:type="dxa"/>
          </w:tcPr>
          <w:p w14:paraId="09D31571" w14:textId="77777777" w:rsidR="00413229" w:rsidRPr="00F92381" w:rsidRDefault="00413229" w:rsidP="00413229">
            <w:pPr>
              <w:jc w:val="center"/>
              <w:rPr>
                <w:rFonts w:cs="Times New Roman"/>
                <w:b/>
                <w:color w:val="000000"/>
                <w:szCs w:val="24"/>
              </w:rPr>
            </w:pPr>
            <w:r w:rsidRPr="00F92381">
              <w:rPr>
                <w:rFonts w:cs="Times New Roman"/>
                <w:b/>
                <w:color w:val="FF0000"/>
                <w:szCs w:val="24"/>
              </w:rPr>
              <w:t>-10</w:t>
            </w:r>
          </w:p>
        </w:tc>
      </w:tr>
      <w:tr w:rsidR="00413229" w:rsidRPr="0037553A" w14:paraId="357E951D" w14:textId="77777777" w:rsidTr="00EB1E15">
        <w:trPr>
          <w:trHeight w:val="260"/>
        </w:trPr>
        <w:tc>
          <w:tcPr>
            <w:tcW w:w="374" w:type="dxa"/>
          </w:tcPr>
          <w:p w14:paraId="14865433"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0058DFC2"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Nigeria (NGA)</w:t>
            </w:r>
          </w:p>
        </w:tc>
        <w:tc>
          <w:tcPr>
            <w:tcW w:w="992" w:type="dxa"/>
            <w:tcBorders>
              <w:left w:val="single" w:sz="12" w:space="0" w:color="auto"/>
            </w:tcBorders>
            <w:vAlign w:val="bottom"/>
          </w:tcPr>
          <w:p w14:paraId="6C8CB492" w14:textId="77777777" w:rsidR="00413229" w:rsidRPr="00515A6E" w:rsidRDefault="00413229" w:rsidP="00413229">
            <w:pPr>
              <w:jc w:val="center"/>
              <w:rPr>
                <w:rFonts w:cs="Times New Roman"/>
                <w:color w:val="000000"/>
                <w:szCs w:val="24"/>
                <w:highlight w:val="cyan"/>
              </w:rPr>
            </w:pPr>
            <w:r w:rsidRPr="00515A6E">
              <w:rPr>
                <w:rFonts w:cs="Times New Roman"/>
                <w:color w:val="000000"/>
                <w:szCs w:val="24"/>
                <w:highlight w:val="cyan"/>
              </w:rPr>
              <w:t>PER</w:t>
            </w:r>
          </w:p>
        </w:tc>
        <w:tc>
          <w:tcPr>
            <w:tcW w:w="1078" w:type="dxa"/>
          </w:tcPr>
          <w:p w14:paraId="6CF82D7D" w14:textId="77777777" w:rsidR="00413229" w:rsidRPr="00347505" w:rsidRDefault="00413229" w:rsidP="00413229">
            <w:pPr>
              <w:jc w:val="center"/>
              <w:rPr>
                <w:rFonts w:cs="Times New Roman"/>
                <w:color w:val="000000"/>
                <w:szCs w:val="24"/>
              </w:rPr>
            </w:pPr>
            <w:r w:rsidRPr="00347505">
              <w:rPr>
                <w:rFonts w:cs="Times New Roman"/>
                <w:color w:val="FF0000"/>
                <w:szCs w:val="24"/>
              </w:rPr>
              <w:t>-5</w:t>
            </w:r>
          </w:p>
        </w:tc>
        <w:tc>
          <w:tcPr>
            <w:tcW w:w="373" w:type="dxa"/>
            <w:tcBorders>
              <w:left w:val="double" w:sz="4" w:space="0" w:color="auto"/>
            </w:tcBorders>
          </w:tcPr>
          <w:p w14:paraId="07F60495"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041A7876"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India (IN)</w:t>
            </w:r>
          </w:p>
        </w:tc>
        <w:tc>
          <w:tcPr>
            <w:tcW w:w="992" w:type="dxa"/>
            <w:tcBorders>
              <w:left w:val="single" w:sz="12" w:space="0" w:color="auto"/>
            </w:tcBorders>
            <w:vAlign w:val="bottom"/>
          </w:tcPr>
          <w:p w14:paraId="068C006A" w14:textId="77777777" w:rsidR="00413229" w:rsidRPr="00515A6E" w:rsidRDefault="00413229" w:rsidP="00413229">
            <w:pPr>
              <w:jc w:val="center"/>
              <w:rPr>
                <w:rFonts w:cs="Times New Roman"/>
                <w:color w:val="000000"/>
                <w:szCs w:val="24"/>
                <w:highlight w:val="cyan"/>
              </w:rPr>
            </w:pPr>
            <w:r w:rsidRPr="00515A6E">
              <w:rPr>
                <w:rFonts w:cs="Times New Roman"/>
                <w:color w:val="000000"/>
                <w:szCs w:val="24"/>
                <w:highlight w:val="cyan"/>
              </w:rPr>
              <w:t>NGA</w:t>
            </w:r>
          </w:p>
        </w:tc>
        <w:tc>
          <w:tcPr>
            <w:tcW w:w="1022" w:type="dxa"/>
          </w:tcPr>
          <w:p w14:paraId="43F8A92A" w14:textId="77777777" w:rsidR="00413229" w:rsidRPr="00347505" w:rsidRDefault="00413229" w:rsidP="00413229">
            <w:pPr>
              <w:jc w:val="center"/>
              <w:rPr>
                <w:rFonts w:cs="Times New Roman"/>
                <w:color w:val="000000"/>
                <w:szCs w:val="24"/>
              </w:rPr>
            </w:pPr>
            <w:r w:rsidRPr="00347505">
              <w:rPr>
                <w:rFonts w:cs="Times New Roman"/>
                <w:color w:val="000000"/>
                <w:szCs w:val="24"/>
              </w:rPr>
              <w:t>+1</w:t>
            </w:r>
          </w:p>
        </w:tc>
      </w:tr>
      <w:tr w:rsidR="00413229" w:rsidRPr="0037553A" w14:paraId="18F004C5" w14:textId="77777777" w:rsidTr="00EB1E15">
        <w:trPr>
          <w:trHeight w:val="260"/>
        </w:trPr>
        <w:tc>
          <w:tcPr>
            <w:tcW w:w="374" w:type="dxa"/>
          </w:tcPr>
          <w:p w14:paraId="542B3FBE"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1A393D6F" w14:textId="77777777" w:rsidR="00413229" w:rsidRPr="004217D2" w:rsidRDefault="00413229" w:rsidP="00413229">
            <w:pPr>
              <w:jc w:val="center"/>
              <w:rPr>
                <w:rFonts w:cs="Times New Roman"/>
                <w:color w:val="000000"/>
                <w:szCs w:val="24"/>
                <w:highlight w:val="green"/>
              </w:rPr>
            </w:pPr>
            <w:r w:rsidRPr="004217D2">
              <w:rPr>
                <w:rFonts w:cs="Times New Roman"/>
                <w:color w:val="000000"/>
                <w:szCs w:val="24"/>
                <w:highlight w:val="green"/>
              </w:rPr>
              <w:t>Philippines (PHL)</w:t>
            </w:r>
          </w:p>
        </w:tc>
        <w:tc>
          <w:tcPr>
            <w:tcW w:w="992" w:type="dxa"/>
            <w:tcBorders>
              <w:left w:val="single" w:sz="12" w:space="0" w:color="auto"/>
            </w:tcBorders>
            <w:vAlign w:val="bottom"/>
          </w:tcPr>
          <w:p w14:paraId="20F683E6" w14:textId="77777777" w:rsidR="00413229" w:rsidRPr="00515A6E" w:rsidRDefault="00413229" w:rsidP="00413229">
            <w:pPr>
              <w:jc w:val="center"/>
              <w:rPr>
                <w:rFonts w:cs="Times New Roman"/>
                <w:color w:val="000000"/>
                <w:szCs w:val="24"/>
                <w:highlight w:val="cyan"/>
              </w:rPr>
            </w:pPr>
            <w:r w:rsidRPr="00515A6E">
              <w:rPr>
                <w:rFonts w:cs="Times New Roman"/>
                <w:color w:val="000000"/>
                <w:szCs w:val="24"/>
                <w:highlight w:val="cyan"/>
              </w:rPr>
              <w:t>CH</w:t>
            </w:r>
          </w:p>
        </w:tc>
        <w:tc>
          <w:tcPr>
            <w:tcW w:w="1078" w:type="dxa"/>
          </w:tcPr>
          <w:p w14:paraId="2C2EC75A" w14:textId="77777777" w:rsidR="00413229" w:rsidRPr="00347505" w:rsidRDefault="00413229" w:rsidP="00413229">
            <w:pPr>
              <w:jc w:val="center"/>
              <w:rPr>
                <w:rFonts w:cs="Times New Roman"/>
                <w:color w:val="000000"/>
                <w:szCs w:val="24"/>
              </w:rPr>
            </w:pPr>
            <w:r w:rsidRPr="00347505">
              <w:rPr>
                <w:rFonts w:cs="Times New Roman"/>
                <w:color w:val="000000"/>
                <w:szCs w:val="24"/>
              </w:rPr>
              <w:t>+1</w:t>
            </w:r>
          </w:p>
        </w:tc>
        <w:tc>
          <w:tcPr>
            <w:tcW w:w="373" w:type="dxa"/>
            <w:tcBorders>
              <w:left w:val="double" w:sz="4" w:space="0" w:color="auto"/>
            </w:tcBorders>
          </w:tcPr>
          <w:p w14:paraId="19A29566"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0D4A2B65" w14:textId="77777777" w:rsidR="00413229" w:rsidRPr="00515A6E" w:rsidRDefault="00413229" w:rsidP="00413229">
            <w:pPr>
              <w:jc w:val="center"/>
              <w:rPr>
                <w:rFonts w:cs="Times New Roman"/>
                <w:color w:val="000000"/>
                <w:szCs w:val="24"/>
                <w:highlight w:val="green"/>
              </w:rPr>
            </w:pPr>
            <w:r w:rsidRPr="00515A6E">
              <w:rPr>
                <w:rFonts w:cs="Times New Roman"/>
                <w:color w:val="000000"/>
                <w:szCs w:val="24"/>
                <w:highlight w:val="green"/>
              </w:rPr>
              <w:t>Nigeria (NGA)</w:t>
            </w:r>
          </w:p>
        </w:tc>
        <w:tc>
          <w:tcPr>
            <w:tcW w:w="992" w:type="dxa"/>
            <w:tcBorders>
              <w:left w:val="single" w:sz="12" w:space="0" w:color="auto"/>
            </w:tcBorders>
            <w:vAlign w:val="bottom"/>
          </w:tcPr>
          <w:p w14:paraId="716F8426" w14:textId="77777777" w:rsidR="00413229" w:rsidRPr="00515A6E" w:rsidRDefault="00413229" w:rsidP="00413229">
            <w:pPr>
              <w:jc w:val="center"/>
              <w:rPr>
                <w:rFonts w:cs="Times New Roman"/>
                <w:color w:val="000000"/>
                <w:szCs w:val="24"/>
                <w:highlight w:val="cyan"/>
              </w:rPr>
            </w:pPr>
            <w:r w:rsidRPr="00515A6E">
              <w:rPr>
                <w:rFonts w:cs="Times New Roman"/>
                <w:color w:val="000000"/>
                <w:szCs w:val="24"/>
                <w:highlight w:val="cyan"/>
              </w:rPr>
              <w:t>CH</w:t>
            </w:r>
          </w:p>
        </w:tc>
        <w:tc>
          <w:tcPr>
            <w:tcW w:w="1022" w:type="dxa"/>
          </w:tcPr>
          <w:p w14:paraId="5E2DAA6D" w14:textId="77777777" w:rsidR="00413229" w:rsidRPr="00347505" w:rsidRDefault="00413229" w:rsidP="00413229">
            <w:pPr>
              <w:jc w:val="center"/>
              <w:rPr>
                <w:rFonts w:cs="Times New Roman"/>
                <w:color w:val="000000"/>
                <w:szCs w:val="24"/>
              </w:rPr>
            </w:pPr>
            <w:r w:rsidRPr="00347505">
              <w:rPr>
                <w:rFonts w:cs="Times New Roman"/>
                <w:color w:val="000000"/>
                <w:szCs w:val="24"/>
              </w:rPr>
              <w:t>+1</w:t>
            </w:r>
          </w:p>
        </w:tc>
      </w:tr>
      <w:tr w:rsidR="00413229" w:rsidRPr="0037553A" w14:paraId="59F5CB05" w14:textId="77777777" w:rsidTr="00EB1E15">
        <w:trPr>
          <w:trHeight w:val="260"/>
        </w:trPr>
        <w:tc>
          <w:tcPr>
            <w:tcW w:w="374" w:type="dxa"/>
          </w:tcPr>
          <w:p w14:paraId="4AF3C5FE"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04FF859B" w14:textId="77777777" w:rsidR="00413229" w:rsidRPr="0037553A" w:rsidRDefault="00413229" w:rsidP="00413229">
            <w:pPr>
              <w:jc w:val="center"/>
              <w:rPr>
                <w:rFonts w:cs="Times New Roman"/>
                <w:color w:val="000000"/>
                <w:szCs w:val="24"/>
                <w:highlight w:val="cyan"/>
              </w:rPr>
            </w:pPr>
            <w:r>
              <w:rPr>
                <w:rFonts w:cs="Times New Roman"/>
                <w:color w:val="000000"/>
                <w:szCs w:val="24"/>
                <w:highlight w:val="cyan"/>
              </w:rPr>
              <w:t>China (</w:t>
            </w:r>
            <w:r w:rsidRPr="0037553A">
              <w:rPr>
                <w:rFonts w:cs="Times New Roman"/>
                <w:color w:val="000000"/>
                <w:szCs w:val="24"/>
                <w:highlight w:val="cyan"/>
              </w:rPr>
              <w:t>CH</w:t>
            </w:r>
            <w:r>
              <w:rPr>
                <w:rFonts w:cs="Times New Roman"/>
                <w:color w:val="000000"/>
                <w:szCs w:val="24"/>
                <w:highlight w:val="cyan"/>
              </w:rPr>
              <w:t>)</w:t>
            </w:r>
          </w:p>
        </w:tc>
        <w:tc>
          <w:tcPr>
            <w:tcW w:w="992" w:type="dxa"/>
            <w:tcBorders>
              <w:left w:val="single" w:sz="12" w:space="0" w:color="auto"/>
            </w:tcBorders>
            <w:vAlign w:val="bottom"/>
          </w:tcPr>
          <w:p w14:paraId="59B5471A" w14:textId="77777777" w:rsidR="00413229" w:rsidRPr="00515A6E" w:rsidRDefault="00413229" w:rsidP="00413229">
            <w:pPr>
              <w:jc w:val="center"/>
              <w:rPr>
                <w:rFonts w:cs="Times New Roman"/>
                <w:b/>
                <w:color w:val="000000"/>
                <w:szCs w:val="24"/>
                <w:highlight w:val="cyan"/>
              </w:rPr>
            </w:pPr>
            <w:r w:rsidRPr="00515A6E">
              <w:rPr>
                <w:rFonts w:cs="Times New Roman"/>
                <w:b/>
                <w:color w:val="000000"/>
                <w:szCs w:val="24"/>
                <w:highlight w:val="cyan"/>
              </w:rPr>
              <w:t>AR</w:t>
            </w:r>
          </w:p>
        </w:tc>
        <w:tc>
          <w:tcPr>
            <w:tcW w:w="1078" w:type="dxa"/>
          </w:tcPr>
          <w:p w14:paraId="1A758857" w14:textId="77777777" w:rsidR="00413229" w:rsidRPr="00F92381" w:rsidRDefault="00413229" w:rsidP="00413229">
            <w:pPr>
              <w:jc w:val="center"/>
              <w:rPr>
                <w:rFonts w:cs="Times New Roman"/>
                <w:b/>
                <w:color w:val="000000"/>
                <w:szCs w:val="24"/>
              </w:rPr>
            </w:pPr>
            <w:r w:rsidRPr="00F92381">
              <w:rPr>
                <w:rFonts w:cs="Times New Roman"/>
                <w:b/>
                <w:color w:val="FF0000"/>
                <w:szCs w:val="24"/>
              </w:rPr>
              <w:t>-12</w:t>
            </w:r>
          </w:p>
        </w:tc>
        <w:tc>
          <w:tcPr>
            <w:tcW w:w="373" w:type="dxa"/>
            <w:tcBorders>
              <w:left w:val="double" w:sz="4" w:space="0" w:color="auto"/>
            </w:tcBorders>
          </w:tcPr>
          <w:p w14:paraId="29FC278E"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49864408" w14:textId="77777777" w:rsidR="00413229" w:rsidRPr="0037553A" w:rsidRDefault="00413229" w:rsidP="00413229">
            <w:pPr>
              <w:jc w:val="center"/>
              <w:rPr>
                <w:rFonts w:cs="Times New Roman"/>
                <w:color w:val="000000"/>
                <w:szCs w:val="24"/>
                <w:highlight w:val="cyan"/>
              </w:rPr>
            </w:pPr>
            <w:r>
              <w:rPr>
                <w:rFonts w:cs="Times New Roman"/>
                <w:color w:val="000000"/>
                <w:szCs w:val="24"/>
                <w:highlight w:val="cyan"/>
              </w:rPr>
              <w:t>China (</w:t>
            </w:r>
            <w:r w:rsidRPr="0037553A">
              <w:rPr>
                <w:rFonts w:cs="Times New Roman"/>
                <w:color w:val="000000"/>
                <w:szCs w:val="24"/>
                <w:highlight w:val="cyan"/>
              </w:rPr>
              <w:t>CH</w:t>
            </w:r>
            <w:r>
              <w:rPr>
                <w:rFonts w:cs="Times New Roman"/>
                <w:color w:val="000000"/>
                <w:szCs w:val="24"/>
                <w:highlight w:val="cyan"/>
              </w:rPr>
              <w:t>)</w:t>
            </w:r>
          </w:p>
        </w:tc>
        <w:tc>
          <w:tcPr>
            <w:tcW w:w="992" w:type="dxa"/>
            <w:tcBorders>
              <w:left w:val="single" w:sz="12" w:space="0" w:color="auto"/>
            </w:tcBorders>
            <w:vAlign w:val="bottom"/>
          </w:tcPr>
          <w:p w14:paraId="3EECD1C1" w14:textId="77777777" w:rsidR="00413229" w:rsidRPr="00515A6E" w:rsidRDefault="00413229" w:rsidP="00413229">
            <w:pPr>
              <w:jc w:val="center"/>
              <w:rPr>
                <w:rFonts w:cs="Times New Roman"/>
                <w:b/>
                <w:color w:val="000000"/>
                <w:szCs w:val="24"/>
                <w:highlight w:val="cyan"/>
              </w:rPr>
            </w:pPr>
            <w:r w:rsidRPr="00515A6E">
              <w:rPr>
                <w:rFonts w:cs="Times New Roman"/>
                <w:b/>
                <w:color w:val="000000"/>
                <w:szCs w:val="24"/>
                <w:highlight w:val="cyan"/>
              </w:rPr>
              <w:t>AR</w:t>
            </w:r>
          </w:p>
        </w:tc>
        <w:tc>
          <w:tcPr>
            <w:tcW w:w="1022" w:type="dxa"/>
          </w:tcPr>
          <w:p w14:paraId="1E37B3B4" w14:textId="77777777" w:rsidR="00413229" w:rsidRPr="00F92381" w:rsidRDefault="00413229" w:rsidP="00413229">
            <w:pPr>
              <w:jc w:val="center"/>
              <w:rPr>
                <w:rFonts w:cs="Times New Roman"/>
                <w:b/>
                <w:color w:val="000000"/>
                <w:szCs w:val="24"/>
              </w:rPr>
            </w:pPr>
            <w:r w:rsidRPr="00F92381">
              <w:rPr>
                <w:rFonts w:cs="Times New Roman"/>
                <w:b/>
                <w:color w:val="FF0000"/>
                <w:szCs w:val="24"/>
              </w:rPr>
              <w:t>-6</w:t>
            </w:r>
          </w:p>
        </w:tc>
      </w:tr>
      <w:tr w:rsidR="00413229" w:rsidRPr="0037553A" w14:paraId="4EAC0115" w14:textId="77777777" w:rsidTr="00EB1E15">
        <w:trPr>
          <w:trHeight w:val="274"/>
        </w:trPr>
        <w:tc>
          <w:tcPr>
            <w:tcW w:w="374" w:type="dxa"/>
          </w:tcPr>
          <w:p w14:paraId="457A555C" w14:textId="77777777" w:rsidR="00413229" w:rsidRPr="00515A6E" w:rsidRDefault="00413229" w:rsidP="00413229">
            <w:pPr>
              <w:pStyle w:val="ListParagraph"/>
              <w:numPr>
                <w:ilvl w:val="0"/>
                <w:numId w:val="9"/>
              </w:numPr>
              <w:jc w:val="center"/>
              <w:rPr>
                <w:rFonts w:cs="Times New Roman"/>
                <w:color w:val="000000"/>
                <w:szCs w:val="24"/>
              </w:rPr>
            </w:pPr>
          </w:p>
        </w:tc>
        <w:tc>
          <w:tcPr>
            <w:tcW w:w="2037" w:type="dxa"/>
            <w:tcBorders>
              <w:right w:val="single" w:sz="12" w:space="0" w:color="auto"/>
            </w:tcBorders>
            <w:vAlign w:val="bottom"/>
          </w:tcPr>
          <w:p w14:paraId="01297C66" w14:textId="77777777" w:rsidR="00413229" w:rsidRPr="0037553A" w:rsidRDefault="00413229" w:rsidP="00413229">
            <w:pPr>
              <w:jc w:val="center"/>
              <w:rPr>
                <w:rFonts w:cs="Times New Roman"/>
                <w:color w:val="000000"/>
                <w:szCs w:val="24"/>
                <w:highlight w:val="cyan"/>
              </w:rPr>
            </w:pPr>
            <w:r>
              <w:rPr>
                <w:rFonts w:cs="Times New Roman"/>
                <w:color w:val="000000"/>
                <w:szCs w:val="24"/>
                <w:highlight w:val="cyan"/>
              </w:rPr>
              <w:t>Iran (</w:t>
            </w:r>
            <w:r w:rsidRPr="0037553A">
              <w:rPr>
                <w:rFonts w:cs="Times New Roman"/>
                <w:color w:val="000000"/>
                <w:szCs w:val="24"/>
                <w:highlight w:val="cyan"/>
              </w:rPr>
              <w:t>IRN</w:t>
            </w:r>
            <w:r>
              <w:rPr>
                <w:rFonts w:cs="Times New Roman"/>
                <w:color w:val="000000"/>
                <w:szCs w:val="24"/>
                <w:highlight w:val="cyan"/>
              </w:rPr>
              <w:t>)</w:t>
            </w:r>
          </w:p>
        </w:tc>
        <w:tc>
          <w:tcPr>
            <w:tcW w:w="992" w:type="dxa"/>
            <w:tcBorders>
              <w:left w:val="single" w:sz="12" w:space="0" w:color="auto"/>
            </w:tcBorders>
            <w:vAlign w:val="bottom"/>
          </w:tcPr>
          <w:p w14:paraId="2F95FD98" w14:textId="77777777" w:rsidR="00413229" w:rsidRPr="00515A6E" w:rsidRDefault="00413229" w:rsidP="00413229">
            <w:pPr>
              <w:jc w:val="center"/>
              <w:rPr>
                <w:rFonts w:cs="Times New Roman"/>
                <w:color w:val="000000"/>
                <w:szCs w:val="24"/>
                <w:highlight w:val="cyan"/>
              </w:rPr>
            </w:pPr>
            <w:r w:rsidRPr="00515A6E">
              <w:rPr>
                <w:rFonts w:cs="Times New Roman"/>
                <w:color w:val="000000"/>
                <w:szCs w:val="24"/>
                <w:highlight w:val="cyan"/>
              </w:rPr>
              <w:t>IRN</w:t>
            </w:r>
          </w:p>
        </w:tc>
        <w:tc>
          <w:tcPr>
            <w:tcW w:w="1078" w:type="dxa"/>
          </w:tcPr>
          <w:p w14:paraId="282E6DF6" w14:textId="77777777" w:rsidR="00413229" w:rsidRPr="00347505" w:rsidRDefault="00413229" w:rsidP="00413229">
            <w:pPr>
              <w:jc w:val="center"/>
              <w:rPr>
                <w:rFonts w:cs="Times New Roman"/>
                <w:color w:val="000000"/>
                <w:szCs w:val="24"/>
              </w:rPr>
            </w:pPr>
            <w:r w:rsidRPr="00347505">
              <w:rPr>
                <w:rFonts w:cs="Times New Roman"/>
                <w:color w:val="000000"/>
                <w:szCs w:val="24"/>
              </w:rPr>
              <w:t>0</w:t>
            </w:r>
          </w:p>
        </w:tc>
        <w:tc>
          <w:tcPr>
            <w:tcW w:w="373" w:type="dxa"/>
            <w:tcBorders>
              <w:left w:val="double" w:sz="4" w:space="0" w:color="auto"/>
            </w:tcBorders>
          </w:tcPr>
          <w:p w14:paraId="183D4F1F" w14:textId="77777777" w:rsidR="00413229" w:rsidRPr="00515A6E" w:rsidRDefault="00413229" w:rsidP="00413229">
            <w:pPr>
              <w:pStyle w:val="ListParagraph"/>
              <w:numPr>
                <w:ilvl w:val="0"/>
                <w:numId w:val="10"/>
              </w:numPr>
              <w:jc w:val="center"/>
              <w:rPr>
                <w:rFonts w:cs="Times New Roman"/>
                <w:color w:val="000000"/>
                <w:szCs w:val="24"/>
              </w:rPr>
            </w:pPr>
          </w:p>
        </w:tc>
        <w:tc>
          <w:tcPr>
            <w:tcW w:w="2093" w:type="dxa"/>
            <w:tcBorders>
              <w:right w:val="single" w:sz="12" w:space="0" w:color="auto"/>
            </w:tcBorders>
            <w:vAlign w:val="bottom"/>
          </w:tcPr>
          <w:p w14:paraId="031124CE" w14:textId="77777777" w:rsidR="00413229" w:rsidRPr="0037553A" w:rsidRDefault="00413229" w:rsidP="00413229">
            <w:pPr>
              <w:jc w:val="center"/>
              <w:rPr>
                <w:rFonts w:cs="Times New Roman"/>
                <w:color w:val="000000"/>
                <w:szCs w:val="24"/>
                <w:highlight w:val="cyan"/>
              </w:rPr>
            </w:pPr>
            <w:r>
              <w:rPr>
                <w:rFonts w:cs="Times New Roman"/>
                <w:color w:val="000000"/>
                <w:szCs w:val="24"/>
                <w:highlight w:val="cyan"/>
              </w:rPr>
              <w:t>Iran (</w:t>
            </w:r>
            <w:r w:rsidRPr="0037553A">
              <w:rPr>
                <w:rFonts w:cs="Times New Roman"/>
                <w:color w:val="000000"/>
                <w:szCs w:val="24"/>
                <w:highlight w:val="cyan"/>
              </w:rPr>
              <w:t>IRN</w:t>
            </w:r>
            <w:r>
              <w:rPr>
                <w:rFonts w:cs="Times New Roman"/>
                <w:color w:val="000000"/>
                <w:szCs w:val="24"/>
                <w:highlight w:val="cyan"/>
              </w:rPr>
              <w:t>)</w:t>
            </w:r>
          </w:p>
        </w:tc>
        <w:tc>
          <w:tcPr>
            <w:tcW w:w="992" w:type="dxa"/>
            <w:tcBorders>
              <w:left w:val="single" w:sz="12" w:space="0" w:color="auto"/>
            </w:tcBorders>
            <w:vAlign w:val="bottom"/>
          </w:tcPr>
          <w:p w14:paraId="43BDA813" w14:textId="77777777" w:rsidR="00413229" w:rsidRPr="00515A6E" w:rsidRDefault="00413229" w:rsidP="00413229">
            <w:pPr>
              <w:jc w:val="center"/>
              <w:rPr>
                <w:rFonts w:cs="Times New Roman"/>
                <w:color w:val="000000"/>
                <w:szCs w:val="24"/>
                <w:highlight w:val="cyan"/>
              </w:rPr>
            </w:pPr>
            <w:r w:rsidRPr="00515A6E">
              <w:rPr>
                <w:rFonts w:cs="Times New Roman"/>
                <w:color w:val="000000"/>
                <w:szCs w:val="24"/>
                <w:highlight w:val="cyan"/>
              </w:rPr>
              <w:t>IRN</w:t>
            </w:r>
          </w:p>
        </w:tc>
        <w:tc>
          <w:tcPr>
            <w:tcW w:w="1022" w:type="dxa"/>
          </w:tcPr>
          <w:p w14:paraId="5DE5A9B2" w14:textId="77777777" w:rsidR="00413229" w:rsidRPr="00347505" w:rsidRDefault="00413229" w:rsidP="00413229">
            <w:pPr>
              <w:jc w:val="center"/>
              <w:rPr>
                <w:rFonts w:cs="Times New Roman"/>
                <w:color w:val="000000"/>
                <w:szCs w:val="24"/>
              </w:rPr>
            </w:pPr>
            <w:r w:rsidRPr="00347505">
              <w:rPr>
                <w:rFonts w:cs="Times New Roman"/>
                <w:color w:val="000000"/>
                <w:szCs w:val="24"/>
              </w:rPr>
              <w:t>0</w:t>
            </w:r>
          </w:p>
        </w:tc>
      </w:tr>
    </w:tbl>
    <w:p w14:paraId="37B2604A" w14:textId="77777777" w:rsidR="00413229" w:rsidRDefault="00413229" w:rsidP="00413229">
      <w:pPr>
        <w:spacing w:line="480" w:lineRule="auto"/>
        <w:rPr>
          <w:rFonts w:cs="Times New Roman"/>
        </w:rPr>
      </w:pPr>
      <w:r>
        <w:rPr>
          <w:rFonts w:cs="Times New Roman"/>
        </w:rPr>
        <w:t xml:space="preserve">The countries are colour coded for relative high to mid (yellow&gt;0.2), low to negligible (0.1&lt;green&lt;0.2) and negligible (Turquoise&lt;0.1) impact. Please note that there is no absolute scale and the grouping is done to highlight probable clusters and is arbitrary in nature. The ranks estimated by Bayesian and frequentist methods are also compared and the change in rank shows the difference between the Bayesian rank and frequentist ranks. The countries that drop ranks in frequentist estimates are </w:t>
      </w:r>
      <w:r>
        <w:rPr>
          <w:rFonts w:cs="Times New Roman"/>
        </w:rPr>
        <w:lastRenderedPageBreak/>
        <w:t xml:space="preserve">coloured red, countries for whom the frequentist and Bayesian estimates vary widely (fixed at +/- 6) are in bold. </w:t>
      </w:r>
    </w:p>
    <w:p w14:paraId="5124D2AB" w14:textId="77777777" w:rsidR="00413229" w:rsidRPr="00AC1055" w:rsidRDefault="00413229" w:rsidP="00413229">
      <w:pPr>
        <w:spacing w:line="480" w:lineRule="auto"/>
        <w:rPr>
          <w:rFonts w:cs="Times New Roman"/>
        </w:rPr>
      </w:pPr>
      <w:r w:rsidRPr="00AC1055">
        <w:rPr>
          <w:rFonts w:cs="Times New Roman"/>
        </w:rPr>
        <w:t>The graph</w:t>
      </w:r>
      <w:r>
        <w:rPr>
          <w:rFonts w:cs="Times New Roman"/>
        </w:rPr>
        <w:t>s and the table</w:t>
      </w:r>
      <w:r w:rsidRPr="00AC1055">
        <w:rPr>
          <w:rFonts w:cs="Times New Roman"/>
        </w:rPr>
        <w:t xml:space="preserve"> </w:t>
      </w:r>
      <w:r>
        <w:rPr>
          <w:rFonts w:cs="Times New Roman"/>
        </w:rPr>
        <w:t>clearly show</w:t>
      </w:r>
      <w:r w:rsidRPr="00AC1055">
        <w:rPr>
          <w:rFonts w:cs="Times New Roman"/>
        </w:rPr>
        <w:t xml:space="preserve"> that solely relying on frequentist analysis can lead us to erroneous results</w:t>
      </w:r>
      <w:r>
        <w:rPr>
          <w:rFonts w:cs="Times New Roman"/>
        </w:rPr>
        <w:t>.</w:t>
      </w:r>
      <w:r w:rsidRPr="00AC1055">
        <w:rPr>
          <w:rFonts w:cs="Times New Roman"/>
        </w:rPr>
        <w:t xml:space="preserve"> </w:t>
      </w:r>
      <w:r>
        <w:rPr>
          <w:rFonts w:cs="Times New Roman"/>
        </w:rPr>
        <w:t>O</w:t>
      </w:r>
      <w:r w:rsidRPr="00AC1055">
        <w:rPr>
          <w:rFonts w:cs="Times New Roman"/>
        </w:rPr>
        <w:t>n</w:t>
      </w:r>
      <w:r>
        <w:rPr>
          <w:rFonts w:cs="Times New Roman"/>
        </w:rPr>
        <w:t xml:space="preserve"> the</w:t>
      </w:r>
      <w:r w:rsidRPr="00AC1055">
        <w:rPr>
          <w:rFonts w:cs="Times New Roman"/>
        </w:rPr>
        <w:t xml:space="preserve"> one hand</w:t>
      </w:r>
      <w:r>
        <w:rPr>
          <w:rFonts w:cs="Times New Roman"/>
        </w:rPr>
        <w:t>,</w:t>
      </w:r>
      <w:r w:rsidRPr="00AC1055">
        <w:rPr>
          <w:rFonts w:cs="Times New Roman"/>
        </w:rPr>
        <w:t xml:space="preserve"> </w:t>
      </w:r>
      <w:r>
        <w:rPr>
          <w:rFonts w:cs="Times New Roman"/>
        </w:rPr>
        <w:t xml:space="preserve">there is an </w:t>
      </w:r>
      <w:r w:rsidRPr="00AC1055">
        <w:rPr>
          <w:rFonts w:cs="Times New Roman"/>
        </w:rPr>
        <w:t xml:space="preserve">underestimation of </w:t>
      </w:r>
      <w:r>
        <w:rPr>
          <w:rFonts w:cs="Times New Roman"/>
        </w:rPr>
        <w:t xml:space="preserve">the </w:t>
      </w:r>
      <w:r w:rsidRPr="00AC1055">
        <w:rPr>
          <w:rFonts w:cs="Times New Roman"/>
        </w:rPr>
        <w:t xml:space="preserve">relative impact of change in </w:t>
      </w:r>
      <w:r>
        <w:rPr>
          <w:rFonts w:cs="Times New Roman"/>
        </w:rPr>
        <w:t xml:space="preserve">corporate governance on </w:t>
      </w:r>
      <w:r w:rsidRPr="00AC1055">
        <w:rPr>
          <w:rFonts w:cs="Times New Roman"/>
        </w:rPr>
        <w:t>financial market growth</w:t>
      </w:r>
      <w:r>
        <w:rPr>
          <w:rFonts w:cs="Times New Roman"/>
        </w:rPr>
        <w:t xml:space="preserve"> in China, Brazil and Chile</w:t>
      </w:r>
      <w:r w:rsidRPr="00AC1055">
        <w:rPr>
          <w:rFonts w:cs="Times New Roman"/>
        </w:rPr>
        <w:t xml:space="preserve">, </w:t>
      </w:r>
      <w:r>
        <w:rPr>
          <w:rFonts w:cs="Times New Roman"/>
        </w:rPr>
        <w:t xml:space="preserve">but </w:t>
      </w:r>
      <w:r w:rsidRPr="00AC1055">
        <w:rPr>
          <w:rFonts w:cs="Times New Roman"/>
        </w:rPr>
        <w:t>on the other hand the</w:t>
      </w:r>
      <w:r>
        <w:rPr>
          <w:rFonts w:cs="Times New Roman"/>
        </w:rPr>
        <w:t>re is</w:t>
      </w:r>
      <w:r w:rsidRPr="00AC1055">
        <w:rPr>
          <w:rFonts w:cs="Times New Roman"/>
        </w:rPr>
        <w:t xml:space="preserve"> </w:t>
      </w:r>
      <w:r>
        <w:rPr>
          <w:rFonts w:cs="Times New Roman"/>
        </w:rPr>
        <w:t xml:space="preserve">a negative </w:t>
      </w:r>
      <w:r w:rsidRPr="00AC1055">
        <w:rPr>
          <w:rFonts w:cs="Times New Roman"/>
        </w:rPr>
        <w:t xml:space="preserve">estimation of </w:t>
      </w:r>
      <w:r>
        <w:rPr>
          <w:rFonts w:cs="Times New Roman"/>
        </w:rPr>
        <w:t xml:space="preserve">the </w:t>
      </w:r>
      <w:r w:rsidRPr="00AC1055">
        <w:rPr>
          <w:rFonts w:cs="Times New Roman"/>
        </w:rPr>
        <w:t>impact of corporate governance on growth of financial market</w:t>
      </w:r>
      <w:r>
        <w:rPr>
          <w:rFonts w:cs="Times New Roman"/>
        </w:rPr>
        <w:t>s</w:t>
      </w:r>
      <w:r w:rsidRPr="00AC1055">
        <w:rPr>
          <w:rFonts w:cs="Times New Roman"/>
        </w:rPr>
        <w:t xml:space="preserve"> in Argentina, Peru and </w:t>
      </w:r>
      <w:r>
        <w:rPr>
          <w:rFonts w:cs="Times New Roman"/>
        </w:rPr>
        <w:t xml:space="preserve">Iran, as well as an overestimation of the corporate governance impact for Hong Kong, Colombia, India, Pakistan etc. </w:t>
      </w:r>
      <w:r w:rsidRPr="00007FCC">
        <w:rPr>
          <w:rFonts w:cs="Times New Roman"/>
        </w:rPr>
        <w:t>Chile and Poland are estimated under Bayesian mean inferences to have the largest impact of shift in corporate governance model</w:t>
      </w:r>
      <w:r>
        <w:rPr>
          <w:rFonts w:cs="Times New Roman"/>
        </w:rPr>
        <w:t>s</w:t>
      </w:r>
      <w:r w:rsidRPr="00007FCC">
        <w:rPr>
          <w:rFonts w:cs="Times New Roman"/>
        </w:rPr>
        <w:t xml:space="preserve"> on </w:t>
      </w:r>
      <w:r>
        <w:rPr>
          <w:rFonts w:cs="Times New Roman"/>
        </w:rPr>
        <w:t xml:space="preserve">the </w:t>
      </w:r>
      <w:r w:rsidRPr="00007FCC">
        <w:rPr>
          <w:rFonts w:cs="Times New Roman"/>
        </w:rPr>
        <w:t xml:space="preserve">growth of </w:t>
      </w:r>
      <w:r>
        <w:rPr>
          <w:rFonts w:cs="Times New Roman"/>
        </w:rPr>
        <w:t xml:space="preserve">the </w:t>
      </w:r>
      <w:r w:rsidRPr="00007FCC">
        <w:rPr>
          <w:rFonts w:cs="Times New Roman"/>
        </w:rPr>
        <w:t>financial market, yet</w:t>
      </w:r>
      <w:r>
        <w:rPr>
          <w:rFonts w:cs="Times New Roman"/>
        </w:rPr>
        <w:t>,</w:t>
      </w:r>
      <w:r w:rsidRPr="00007FCC">
        <w:rPr>
          <w:rFonts w:cs="Times New Roman"/>
        </w:rPr>
        <w:t xml:space="preserve"> under frequentist methods</w:t>
      </w:r>
      <w:r>
        <w:rPr>
          <w:rFonts w:cs="Times New Roman"/>
        </w:rPr>
        <w:t>,</w:t>
      </w:r>
      <w:r w:rsidRPr="00007FCC">
        <w:rPr>
          <w:rFonts w:cs="Times New Roman"/>
        </w:rPr>
        <w:t xml:space="preserve"> change</w:t>
      </w:r>
      <w:r>
        <w:rPr>
          <w:rFonts w:cs="Times New Roman"/>
        </w:rPr>
        <w:t>s</w:t>
      </w:r>
      <w:r w:rsidRPr="00007FCC">
        <w:rPr>
          <w:rFonts w:cs="Times New Roman"/>
        </w:rPr>
        <w:t xml:space="preserve"> in corporate governance towards shareholder value</w:t>
      </w:r>
      <w:r>
        <w:rPr>
          <w:rFonts w:cs="Times New Roman"/>
        </w:rPr>
        <w:t>s</w:t>
      </w:r>
      <w:r w:rsidRPr="00007FCC">
        <w:rPr>
          <w:rFonts w:cs="Times New Roman"/>
        </w:rPr>
        <w:t xml:space="preserve"> has relatively little impact.</w:t>
      </w:r>
      <w:r>
        <w:rPr>
          <w:rFonts w:cs="Times New Roman"/>
        </w:rPr>
        <w:t xml:space="preserve"> It is thus important to explore qualitatively the reason behind the wide divergences in frequentist and mean Bayesian estimates of impact especially in Chile, Poland, Colombia, Argentina, Peru and Iran. It is also interesting to note that all of these countries are classified as ‘frontier markets’ and not much qualitative research is available on the development of corporate governance in these countries.</w:t>
      </w:r>
    </w:p>
    <w:p w14:paraId="7AC89AEF" w14:textId="0EC2F26D" w:rsidR="00413229" w:rsidRPr="00AC1055" w:rsidRDefault="00413229" w:rsidP="00141C8A">
      <w:pPr>
        <w:spacing w:line="480" w:lineRule="auto"/>
        <w:rPr>
          <w:rFonts w:cs="Times New Roman"/>
        </w:rPr>
      </w:pPr>
      <w:r w:rsidRPr="00AC1055">
        <w:rPr>
          <w:rFonts w:cs="Times New Roman"/>
        </w:rPr>
        <w:t>However</w:t>
      </w:r>
      <w:r>
        <w:rPr>
          <w:rFonts w:cs="Times New Roman"/>
        </w:rPr>
        <w:t>,</w:t>
      </w:r>
      <w:r w:rsidRPr="00AC1055">
        <w:rPr>
          <w:rFonts w:cs="Times New Roman"/>
        </w:rPr>
        <w:t xml:space="preserve"> irrespective of the methods being used, and ignoring the p values given by the frequentist results, the relative comparison of </w:t>
      </w:r>
      <w:r>
        <w:rPr>
          <w:rFonts w:cs="Times New Roman"/>
        </w:rPr>
        <w:t xml:space="preserve">the </w:t>
      </w:r>
      <w:r w:rsidRPr="00AC1055">
        <w:rPr>
          <w:rFonts w:cs="Times New Roman"/>
        </w:rPr>
        <w:t>impact of change in corporate governance to change</w:t>
      </w:r>
      <w:r>
        <w:rPr>
          <w:rFonts w:cs="Times New Roman"/>
        </w:rPr>
        <w:t>s</w:t>
      </w:r>
      <w:r w:rsidRPr="00AC1055">
        <w:rPr>
          <w:rFonts w:cs="Times New Roman"/>
        </w:rPr>
        <w:t xml:space="preserve"> in economic controls, technology</w:t>
      </w:r>
      <w:r>
        <w:rPr>
          <w:rFonts w:cs="Times New Roman"/>
        </w:rPr>
        <w:t>-</w:t>
      </w:r>
      <w:r w:rsidRPr="00AC1055">
        <w:rPr>
          <w:rFonts w:cs="Times New Roman"/>
        </w:rPr>
        <w:t xml:space="preserve">based export and R&amp;D controls on financial market development shows that change in </w:t>
      </w:r>
      <w:r>
        <w:rPr>
          <w:rFonts w:cs="Times New Roman"/>
        </w:rPr>
        <w:t xml:space="preserve">the </w:t>
      </w:r>
      <w:r w:rsidRPr="00AC1055">
        <w:rPr>
          <w:rFonts w:cs="Times New Roman"/>
        </w:rPr>
        <w:t>corporate governance model, even on a per country basis, has little effect</w:t>
      </w:r>
      <w:r>
        <w:rPr>
          <w:rFonts w:cs="Times New Roman"/>
        </w:rPr>
        <w:t xml:space="preserve"> except for Hong Kong, which can be explained through other historical, economic and political factors</w:t>
      </w:r>
      <w:r w:rsidRPr="00AC1055">
        <w:rPr>
          <w:rFonts w:cs="Times New Roman"/>
        </w:rPr>
        <w:t xml:space="preserve">.  </w:t>
      </w:r>
    </w:p>
    <w:p w14:paraId="7CECB456" w14:textId="77A13235" w:rsidR="00413229" w:rsidRPr="00EF4E4F" w:rsidRDefault="00413229" w:rsidP="00EF4E4F">
      <w:pPr>
        <w:pStyle w:val="ListParagraph"/>
        <w:numPr>
          <w:ilvl w:val="0"/>
          <w:numId w:val="11"/>
        </w:numPr>
        <w:spacing w:line="480" w:lineRule="auto"/>
        <w:jc w:val="center"/>
        <w:rPr>
          <w:rFonts w:cs="Times New Roman"/>
          <w:b/>
          <w:sz w:val="28"/>
          <w:u w:val="single"/>
        </w:rPr>
      </w:pPr>
      <w:r w:rsidRPr="00EF4E4F">
        <w:rPr>
          <w:rFonts w:cs="Times New Roman"/>
          <w:b/>
          <w:sz w:val="28"/>
          <w:u w:val="single"/>
        </w:rPr>
        <w:lastRenderedPageBreak/>
        <w:t>Conclusion</w:t>
      </w:r>
    </w:p>
    <w:p w14:paraId="1FCF4EA4" w14:textId="77777777" w:rsidR="00413229" w:rsidRDefault="00413229" w:rsidP="00413229">
      <w:pPr>
        <w:spacing w:line="480" w:lineRule="auto"/>
        <w:rPr>
          <w:rFonts w:cs="Times New Roman"/>
        </w:rPr>
      </w:pPr>
      <w:r>
        <w:rPr>
          <w:rFonts w:cs="Times New Roman"/>
        </w:rPr>
        <w:t xml:space="preserve">This research finds that corporate governance norms across all the developing countries studied under this research have been converging on a shareholder primacy model of corporate governance. It is evident that convergence accelerated after 2000 and reached its peak in 2007/08. By that time most of the countries examined had attained their maximum level of shareholder primacy corporate governance regulation. It is surprising to find that most of the countries analysed in this research have surpassed the United Kingdom, one of the birthplaces of shareholder primacy corporate governance, in terms of legislating pro-shareholder regulations and developing compulsory legal codes. The international financial organisations can regard </w:t>
      </w:r>
      <w:r w:rsidRPr="009F6E7E">
        <w:rPr>
          <w:rFonts w:cs="Times New Roman"/>
        </w:rPr>
        <w:t>implementation of more or less uniform</w:t>
      </w:r>
      <w:r>
        <w:rPr>
          <w:rFonts w:cs="Times New Roman"/>
        </w:rPr>
        <w:t>ly</w:t>
      </w:r>
      <w:r w:rsidRPr="009F6E7E">
        <w:rPr>
          <w:rFonts w:cs="Times New Roman"/>
        </w:rPr>
        <w:t xml:space="preserve"> pro</w:t>
      </w:r>
      <w:r>
        <w:rPr>
          <w:rFonts w:cs="Times New Roman"/>
        </w:rPr>
        <w:t>-</w:t>
      </w:r>
      <w:r w:rsidRPr="009F6E7E">
        <w:rPr>
          <w:rFonts w:cs="Times New Roman"/>
        </w:rPr>
        <w:t>shareholder policies in developing countries</w:t>
      </w:r>
      <w:r>
        <w:rPr>
          <w:rFonts w:cs="Times New Roman"/>
        </w:rPr>
        <w:t xml:space="preserve"> as a great success. Never before in the history of comparative law have developing countries ‘voluntarily’ accepted such far reaching changes to their legislation without being signatories to an overarching treaty. This stands as the greatest triumph of neo-liberal political economic principles in influencing the field of law. The prediction of Hansman and Kraakman that ‘[</w:t>
      </w:r>
      <w:r w:rsidRPr="009F6E7E">
        <w:rPr>
          <w:rFonts w:cs="Times New Roman"/>
        </w:rPr>
        <w:t>T</w:t>
      </w:r>
      <w:r>
        <w:rPr>
          <w:rFonts w:cs="Times New Roman"/>
        </w:rPr>
        <w:t>]</w:t>
      </w:r>
      <w:r w:rsidRPr="009F6E7E">
        <w:rPr>
          <w:rFonts w:cs="Times New Roman"/>
        </w:rPr>
        <w:t>he ideology of shareholder primacy is likely to press all major jurisdictions</w:t>
      </w:r>
      <w:r>
        <w:rPr>
          <w:rFonts w:cs="Times New Roman"/>
        </w:rPr>
        <w:t xml:space="preserve"> </w:t>
      </w:r>
      <w:r w:rsidRPr="009F6E7E">
        <w:rPr>
          <w:rFonts w:cs="Times New Roman"/>
        </w:rPr>
        <w:t>toward similar rule</w:t>
      </w:r>
      <w:r>
        <w:rPr>
          <w:rFonts w:cs="Times New Roman"/>
        </w:rPr>
        <w:t>s of corporate law and practice […]</w:t>
      </w:r>
      <w:r w:rsidRPr="009F6E7E">
        <w:rPr>
          <w:rFonts w:cs="Times New Roman"/>
        </w:rPr>
        <w:t xml:space="preserve"> </w:t>
      </w:r>
      <w:r>
        <w:rPr>
          <w:rFonts w:cs="Times New Roman"/>
        </w:rPr>
        <w:t>a</w:t>
      </w:r>
      <w:r w:rsidRPr="009F6E7E">
        <w:rPr>
          <w:rFonts w:cs="Times New Roman"/>
        </w:rPr>
        <w:t>lthough some differences may</w:t>
      </w:r>
      <w:r>
        <w:rPr>
          <w:rFonts w:cs="Times New Roman"/>
        </w:rPr>
        <w:t xml:space="preserve"> </w:t>
      </w:r>
      <w:r w:rsidRPr="009F6E7E">
        <w:rPr>
          <w:rFonts w:cs="Times New Roman"/>
        </w:rPr>
        <w:t>persist as a result of institutional or historical contingencies, the bulk of legal</w:t>
      </w:r>
      <w:r>
        <w:rPr>
          <w:rFonts w:cs="Times New Roman"/>
        </w:rPr>
        <w:t xml:space="preserve"> </w:t>
      </w:r>
      <w:r w:rsidRPr="009F6E7E">
        <w:rPr>
          <w:rFonts w:cs="Times New Roman"/>
        </w:rPr>
        <w:t>development worldwide will be toward a standard legal mod</w:t>
      </w:r>
      <w:r>
        <w:rPr>
          <w:rFonts w:cs="Times New Roman"/>
        </w:rPr>
        <w:t>el of the corporation’</w:t>
      </w:r>
      <w:r>
        <w:rPr>
          <w:rStyle w:val="FootnoteReference"/>
          <w:rFonts w:cs="Times New Roman"/>
        </w:rPr>
        <w:footnoteReference w:id="312"/>
      </w:r>
      <w:r>
        <w:rPr>
          <w:rFonts w:cs="Times New Roman"/>
        </w:rPr>
        <w:t xml:space="preserve"> has come true. Corporate governance regulations across the world have never looked so similar. However, the central premise on which this convergence was effected, namely that the adoption of shareholder primacy corporate governance stimulates financial market growth, has </w:t>
      </w:r>
      <w:r>
        <w:rPr>
          <w:rFonts w:cs="Times New Roman"/>
        </w:rPr>
        <w:lastRenderedPageBreak/>
        <w:t>been proven false in this research. Economic growth, increases in investment in R&amp;D and growth of high technology-led export industries have several times more impact on financial market growth than pro-shareholder changes in corporate governance regulations. It is also found that the quality of legal enforcement – measured through the rule of law index – has twice the impact on the growth of financial markets than a shift in corporate governance regulations towards a shareholder primacy model.</w:t>
      </w:r>
    </w:p>
    <w:p w14:paraId="6F08A5BE" w14:textId="77777777" w:rsidR="00413229" w:rsidRDefault="00413229" w:rsidP="00413229">
      <w:pPr>
        <w:spacing w:line="480" w:lineRule="auto"/>
        <w:rPr>
          <w:rFonts w:cs="Times New Roman"/>
        </w:rPr>
      </w:pPr>
      <w:r>
        <w:rPr>
          <w:rFonts w:cs="Times New Roman"/>
        </w:rPr>
        <w:t xml:space="preserve">Since the Global Financial Crisis of 2008, convergence seems to have slowed down, if not stopped completely. While some countries have moved forward with new rafts of pro-shareholder policies, in most developing countries there seems to be either fatigue or disenchantment with shareholder primacy corporate governance rules, perhaps because of the crisis. Countries which had been eagerly adopting shareholder primacy regulations during the last decade or so may now be reflecting and asking whether the promise of higher financial market growth through the magic of pro-shareholder policies have borne any fruit. </w:t>
      </w:r>
    </w:p>
    <w:p w14:paraId="39CB64C2" w14:textId="77777777" w:rsidR="00413229" w:rsidRDefault="00413229" w:rsidP="00413229">
      <w:pPr>
        <w:spacing w:line="480" w:lineRule="auto"/>
        <w:rPr>
          <w:rFonts w:cs="Times New Roman"/>
        </w:rPr>
      </w:pPr>
      <w:r>
        <w:rPr>
          <w:rFonts w:cs="Times New Roman"/>
        </w:rPr>
        <w:t>Studies in the past were inconclusive, so this research was conducted in order to prove definitively whether changing the corporate governance regulations of a country to make it more shareholder friendly has any impact on the growth of financial markets in that country.</w:t>
      </w:r>
    </w:p>
    <w:p w14:paraId="4AE52E2F" w14:textId="77777777" w:rsidR="00413229" w:rsidRDefault="00413229" w:rsidP="00413229">
      <w:pPr>
        <w:spacing w:line="480" w:lineRule="auto"/>
        <w:rPr>
          <w:rFonts w:cs="Times New Roman"/>
        </w:rPr>
      </w:pPr>
      <w:r>
        <w:rPr>
          <w:rFonts w:cs="Times New Roman"/>
        </w:rPr>
        <w:t>It was found that over the long term, changes in corporate governance regulations have little effect on the growth of financial markets in developing countries. Economic factors and investment in R&amp;D and technology-led export industries have approximately seven and six times, respectively, more impact on the growth of the financial market than changes in corporate governance regulations.</w:t>
      </w:r>
    </w:p>
    <w:p w14:paraId="55299465" w14:textId="7A776F45" w:rsidR="00413229" w:rsidRDefault="00413229" w:rsidP="002D1061">
      <w:pPr>
        <w:spacing w:line="480" w:lineRule="auto"/>
        <w:rPr>
          <w:rFonts w:cs="Times New Roman"/>
        </w:rPr>
      </w:pPr>
      <w:r>
        <w:rPr>
          <w:rFonts w:cs="Times New Roman"/>
        </w:rPr>
        <w:lastRenderedPageBreak/>
        <w:t xml:space="preserve">It was also found that rule of law is almost two and a half times more important for the growth of the financial market than corporate governance regulations. It can therefore be concluded that the quality of law enforcement is far more important than the quality of law on the books in terms of fostering the sustainable growth of the financial market. This perhaps illustrates one of the major areas of improvement for developing countries – it is imperative that securities market regulators and commercial law courts are perceived to be independent, consistent, objective, efficient, transparent and that their orders are enforceable in a timely fashion. While developing countries have rapidly adopted regulations providing for ever-increasing shareholder control and influence, they have rarely invested adequately in ensuring the integrity and efficiency of regulators and enforcement mechanisms. It can thus be suggested that instead of applying window-dressing by rearranging corporate governance norms or plucking the low hanging fruits by adopting shareholder value regulations, countries should concentrate on increasing the efficiency of adjudication processes and enforcement authorities in order to put financial market growth on a more sustainable footing. Countries should invest more in upgrading judicial infrastructures and providing market regulators with sufficient financial resources and legislative powers. Regulators should be encouraged to take a proactive stance in enforcing legal rules in order to ensure that laws are not simply rules ‘on the books’ and are actually implemented in practice. It is possible to predict that improvements in the rule of law based around an efficient market regulator, and an independent judiciary, operating according to efficient and reliable processes, will contribute significantly to sustainable financial market growth, regardless of the precise content of corporate governance regulation. </w:t>
      </w:r>
      <w:r w:rsidR="002D1061">
        <w:rPr>
          <w:rFonts w:cs="Times New Roman"/>
        </w:rPr>
        <w:t xml:space="preserve">It is interesting to note that the </w:t>
      </w:r>
      <w:r w:rsidR="002D1061" w:rsidRPr="002D1061">
        <w:rPr>
          <w:rFonts w:cs="Times New Roman"/>
        </w:rPr>
        <w:t xml:space="preserve">G20/OECD </w:t>
      </w:r>
      <w:r w:rsidR="002D1061" w:rsidRPr="002D1061">
        <w:rPr>
          <w:rFonts w:cs="Times New Roman"/>
        </w:rPr>
        <w:lastRenderedPageBreak/>
        <w:t>Principles</w:t>
      </w:r>
      <w:r w:rsidR="002D1061">
        <w:rPr>
          <w:rFonts w:cs="Times New Roman"/>
        </w:rPr>
        <w:t xml:space="preserve"> </w:t>
      </w:r>
      <w:r w:rsidR="002D1061" w:rsidRPr="002D1061">
        <w:rPr>
          <w:rFonts w:cs="Times New Roman"/>
        </w:rPr>
        <w:t>of Corporate Governance</w:t>
      </w:r>
      <w:r w:rsidR="002D1061">
        <w:rPr>
          <w:rFonts w:cs="Times New Roman"/>
        </w:rPr>
        <w:t xml:space="preserve"> 2015</w:t>
      </w:r>
      <w:r>
        <w:rPr>
          <w:rFonts w:cs="Times New Roman"/>
        </w:rPr>
        <w:t xml:space="preserve"> </w:t>
      </w:r>
      <w:r w:rsidR="002D1061">
        <w:rPr>
          <w:rFonts w:cs="Times New Roman"/>
        </w:rPr>
        <w:t>has</w:t>
      </w:r>
      <w:r w:rsidR="0002675C">
        <w:rPr>
          <w:rFonts w:cs="Times New Roman"/>
        </w:rPr>
        <w:t xml:space="preserve"> also</w:t>
      </w:r>
      <w:r w:rsidR="002D1061">
        <w:rPr>
          <w:rFonts w:cs="Times New Roman"/>
        </w:rPr>
        <w:t xml:space="preserve"> emphasised the regulatory and implementation aspects of corporate governance. Further studies are needed to find out if the countries which have eagerly adopted the shareholder primacy model espoused in the 2004 Principles show similar propensity towards strengthening the regulatory systems as encouraged in the 2015 Principles.</w:t>
      </w:r>
    </w:p>
    <w:p w14:paraId="372EBFEF" w14:textId="77777777" w:rsidR="00413229" w:rsidRDefault="00413229" w:rsidP="00413229">
      <w:pPr>
        <w:spacing w:line="480" w:lineRule="auto"/>
        <w:rPr>
          <w:rFonts w:cs="Times New Roman"/>
        </w:rPr>
      </w:pPr>
      <w:r>
        <w:rPr>
          <w:rFonts w:cs="Times New Roman"/>
        </w:rPr>
        <w:t>Finally, an individual country-based regression model was established, using both frequentist and Bayesian models to check whether some countries reacted more positively to shifts in pro-shareholder corporate governance. The results were interesting to say the least. Bayesian mean estimates of the relative impact of corporate governance, compared to economic control variables, were on average 7.65% more than under frequentist methods signalling that frequentist methods used in previous research may have underestimated the impact of corporate governance. Similarly, Bayesian mean estimates of the</w:t>
      </w:r>
      <w:r w:rsidRPr="00B06571">
        <w:rPr>
          <w:rFonts w:cs="Times New Roman"/>
        </w:rPr>
        <w:t xml:space="preserve"> relative impact of corporate governance</w:t>
      </w:r>
      <w:r>
        <w:rPr>
          <w:rFonts w:cs="Times New Roman"/>
        </w:rPr>
        <w:t>,</w:t>
      </w:r>
      <w:r w:rsidRPr="00B06571">
        <w:rPr>
          <w:rFonts w:cs="Times New Roman"/>
        </w:rPr>
        <w:t xml:space="preserve"> </w:t>
      </w:r>
      <w:r>
        <w:rPr>
          <w:rFonts w:cs="Times New Roman"/>
        </w:rPr>
        <w:t>compared</w:t>
      </w:r>
      <w:r w:rsidRPr="00B06571">
        <w:rPr>
          <w:rFonts w:cs="Times New Roman"/>
        </w:rPr>
        <w:t xml:space="preserve"> to </w:t>
      </w:r>
      <w:r>
        <w:rPr>
          <w:rFonts w:cs="Times New Roman"/>
        </w:rPr>
        <w:t>high technology investment and export</w:t>
      </w:r>
      <w:r w:rsidRPr="00B06571">
        <w:rPr>
          <w:rFonts w:cs="Times New Roman"/>
        </w:rPr>
        <w:t xml:space="preserve"> control variables</w:t>
      </w:r>
      <w:r>
        <w:rPr>
          <w:rFonts w:cs="Times New Roman"/>
        </w:rPr>
        <w:t>,</w:t>
      </w:r>
      <w:r w:rsidRPr="00B06571">
        <w:rPr>
          <w:rFonts w:cs="Times New Roman"/>
        </w:rPr>
        <w:t xml:space="preserve"> were on average </w:t>
      </w:r>
      <w:r>
        <w:rPr>
          <w:rFonts w:cs="Times New Roman"/>
        </w:rPr>
        <w:t>2</w:t>
      </w:r>
      <w:r w:rsidRPr="00B06571">
        <w:rPr>
          <w:rFonts w:cs="Times New Roman"/>
        </w:rPr>
        <w:t>.</w:t>
      </w:r>
      <w:r>
        <w:rPr>
          <w:rFonts w:cs="Times New Roman"/>
        </w:rPr>
        <w:t>49</w:t>
      </w:r>
      <w:r w:rsidRPr="00B06571">
        <w:rPr>
          <w:rFonts w:cs="Times New Roman"/>
        </w:rPr>
        <w:t>% more than under frequentist methods</w:t>
      </w:r>
      <w:r>
        <w:rPr>
          <w:rFonts w:cs="Times New Roman"/>
        </w:rPr>
        <w:t>, signifying again that Bayesian estimates give more importance to the impact of corporate governance than frequentist methods</w:t>
      </w:r>
      <w:r w:rsidRPr="00B06571">
        <w:rPr>
          <w:rFonts w:cs="Times New Roman"/>
        </w:rPr>
        <w:t>.</w:t>
      </w:r>
      <w:r>
        <w:rPr>
          <w:rFonts w:cs="Times New Roman"/>
        </w:rPr>
        <w:t xml:space="preserve"> However, on the whole it can be concluded that, even on an individual country basis, changes in corporate governance regulations have little effect on the growth of financial markets. It was also found that Bayesian methods provided more meaningful and valid results than frequentist methods which provide skewed and absurd results, such as the negative impact of corporate governance for Argentina and Iran. However, there are some countries like Chile, Poland and Hong Kong where financial markets showed a greater response to a shift towards a shareholder value corporate governance regime. The positive correlation between the </w:t>
      </w:r>
      <w:r>
        <w:rPr>
          <w:rFonts w:cs="Times New Roman"/>
        </w:rPr>
        <w:lastRenderedPageBreak/>
        <w:t>adoption of shareholder primacy corporate governance and increased financial market growth in Poland can be attributed to its entry into the European Union, where it directly benefitted from a common market, single currency, infrastructure investments and higher foreign investment inflows. Its relative labour cost efficiency, as well being part of a common regulatory and enforcement framework, gave it comparative advantage, resulting in greater capital inflows.  Hong Kong has always been an outlier among developing countries. Being a city state, its economic growth is heavily dependent on continued financial innovation, and it is still the main entry point to the Chinese capital markets, especially for foreign investors who want to gain exposure to the Chinese stock market boom, but prefer the comfort of a proven common law system with higher rule of law settings. However, there is a need for further qualitative research to look into these countries and investigate what factors have worked locally to create such results.</w:t>
      </w:r>
    </w:p>
    <w:p w14:paraId="1785F41E" w14:textId="77777777" w:rsidR="00413229" w:rsidRDefault="00413229" w:rsidP="00413229">
      <w:pPr>
        <w:spacing w:line="480" w:lineRule="auto"/>
        <w:rPr>
          <w:rFonts w:cs="Times New Roman"/>
        </w:rPr>
      </w:pPr>
      <w:r>
        <w:rPr>
          <w:rFonts w:cs="Times New Roman"/>
        </w:rPr>
        <w:t xml:space="preserve">Finally, it can be concluded that, on average, among the countries studied in this research, changes in corporate governance policies have a relatively low impact on the growth of financial markets in developing countries, particularly when compared with the impact of </w:t>
      </w:r>
      <w:r w:rsidRPr="00EB52E8">
        <w:rPr>
          <w:rFonts w:cs="Times New Roman"/>
        </w:rPr>
        <w:t>economic growth and increase</w:t>
      </w:r>
      <w:r>
        <w:rPr>
          <w:rFonts w:cs="Times New Roman"/>
        </w:rPr>
        <w:t>s</w:t>
      </w:r>
      <w:r w:rsidRPr="00EB52E8">
        <w:rPr>
          <w:rFonts w:cs="Times New Roman"/>
        </w:rPr>
        <w:t xml:space="preserve"> </w:t>
      </w:r>
      <w:r>
        <w:rPr>
          <w:rFonts w:cs="Times New Roman"/>
        </w:rPr>
        <w:t>i</w:t>
      </w:r>
      <w:r w:rsidRPr="00EB52E8">
        <w:rPr>
          <w:rFonts w:cs="Times New Roman"/>
        </w:rPr>
        <w:t>n investment in R&amp;D and technology</w:t>
      </w:r>
      <w:r>
        <w:rPr>
          <w:rFonts w:cs="Times New Roman"/>
        </w:rPr>
        <w:t>-</w:t>
      </w:r>
      <w:r w:rsidRPr="00EB52E8">
        <w:rPr>
          <w:rFonts w:cs="Times New Roman"/>
        </w:rPr>
        <w:t>led exports</w:t>
      </w:r>
      <w:r>
        <w:rPr>
          <w:rFonts w:cs="Times New Roman"/>
        </w:rPr>
        <w:t xml:space="preserve">. This is in line with the findings in the composite multilevel model. While it is difficult to exercise a radical influence on economic growth in a short space of time, it is much easier to have a significant impact on R&amp;D investment and encourage technology based industries. The researcher thus proposes that in order to achieve sustainable growth in financial markets, developing countries should adopt policies encouraging R&amp;D and focussing on high technology-led export industries. These policies could take the form of: favourable tax regulations </w:t>
      </w:r>
      <w:r>
        <w:rPr>
          <w:rFonts w:cs="Times New Roman"/>
        </w:rPr>
        <w:lastRenderedPageBreak/>
        <w:t>for R&amp;D investments; incentives for high technology industries through conducive regulatory mechanisms such as easier access to credit, simpler rules for doing business, fewer opportunities for regulatory arbitrage, single window clearance whereby businesses are allowed to submit regulatory documents to a single entity, tax credits etc.; and discouraging financial transactions which legitimise unproductive rent-seeking behaviour, for example by imposing higher tax rates on buy backs of shares, and rationalising capital gains tax rules, especially when they are being used as the primary avenue to seek returns on investment etc.</w:t>
      </w:r>
      <w:r>
        <w:rPr>
          <w:rStyle w:val="FootnoteReference"/>
          <w:rFonts w:cs="Times New Roman"/>
        </w:rPr>
        <w:footnoteReference w:id="313"/>
      </w:r>
      <w:r>
        <w:rPr>
          <w:rFonts w:cs="Times New Roman"/>
        </w:rPr>
        <w:t xml:space="preserve"> It is time to think beyond the existing shareholder primacy corporate governance regulations, and to rebuild a new corporate law structure based on sustainable economic growth, eschewing short term profit making.</w:t>
      </w:r>
      <w:r>
        <w:rPr>
          <w:rStyle w:val="FootnoteReference"/>
          <w:rFonts w:cs="Times New Roman"/>
        </w:rPr>
        <w:footnoteReference w:id="314"/>
      </w:r>
      <w:r>
        <w:rPr>
          <w:rFonts w:cs="Times New Roman"/>
        </w:rPr>
        <w:t xml:space="preserve"> It is necessary to question the rationale for society’s decision to use law to provide the twin privileges of separate legal personality and limited liability to companies. Is it for the benefit of the few or is it for a wider societal good? Companies should not be treated like disposable financial and tax efficient vehicles, but rather as repositories of long term investment, where investors look not for quick speculative profits. Investors need to view themselves as force multipliers for long term sustainable economic growth. It is vital to move beyond the paradigm that the responsibility of companies is solely to be profit generating machines for their shareholders and that greed is good to viewing companies as trustees for its stakeholders – employees, customers, creditors, </w:t>
      </w:r>
      <w:r>
        <w:rPr>
          <w:rFonts w:cs="Times New Roman"/>
        </w:rPr>
        <w:lastRenderedPageBreak/>
        <w:t>shareholders etc., As Jack Welch commented ‘shareholder value is a result not a strategy.’</w:t>
      </w:r>
      <w:r>
        <w:rPr>
          <w:rStyle w:val="FootnoteReference"/>
          <w:rFonts w:cs="Times New Roman"/>
        </w:rPr>
        <w:footnoteReference w:id="315"/>
      </w:r>
      <w:r>
        <w:rPr>
          <w:rFonts w:cs="Times New Roman"/>
        </w:rPr>
        <w:t xml:space="preserve"> </w:t>
      </w:r>
    </w:p>
    <w:p w14:paraId="08F2D089" w14:textId="77777777" w:rsidR="00413229" w:rsidRDefault="00413229" w:rsidP="00413229">
      <w:pPr>
        <w:spacing w:line="480" w:lineRule="auto"/>
        <w:rPr>
          <w:rFonts w:cs="Times New Roman"/>
        </w:rPr>
      </w:pPr>
      <w:r>
        <w:rPr>
          <w:rFonts w:cs="Times New Roman"/>
        </w:rPr>
        <w:t>This research thus proves that changes in corporate governance regulations to make it pro-shareholder have had little effect on the growth of financial markets in developing countries. At best the shareholder value model is a waste of time; at worst developing countries are being shoehorned into a one size fits all model which benefits foreign investors and domestic elites, but in the long term may irreparably harm the country’s innovative capacity by allowing excessive rent-seeking on the part of the investors.</w:t>
      </w:r>
    </w:p>
    <w:p w14:paraId="6636BCA2" w14:textId="77777777" w:rsidR="00413229" w:rsidRDefault="00413229" w:rsidP="00413229"/>
    <w:p w14:paraId="5CEF7AC7" w14:textId="77777777" w:rsidR="00413229" w:rsidRDefault="00413229" w:rsidP="00413229"/>
    <w:p w14:paraId="6A45FBA8" w14:textId="77777777" w:rsidR="00413229" w:rsidRDefault="00413229" w:rsidP="00413229"/>
    <w:p w14:paraId="19D4544B" w14:textId="77777777" w:rsidR="00413229" w:rsidRPr="00AC1055" w:rsidRDefault="00413229" w:rsidP="00413229">
      <w:pPr>
        <w:spacing w:line="480" w:lineRule="auto"/>
        <w:rPr>
          <w:rFonts w:cs="Times New Roman"/>
        </w:rPr>
      </w:pPr>
    </w:p>
    <w:p w14:paraId="751F7DF4" w14:textId="77777777" w:rsidR="000A5358" w:rsidRDefault="000A5358" w:rsidP="000A5358">
      <w:pPr>
        <w:spacing w:line="480" w:lineRule="auto"/>
        <w:rPr>
          <w:rFonts w:cs="Times New Roman"/>
        </w:rPr>
      </w:pPr>
    </w:p>
    <w:p w14:paraId="51F233C9" w14:textId="77777777" w:rsidR="00413229" w:rsidRDefault="00413229" w:rsidP="000A5358">
      <w:pPr>
        <w:spacing w:line="480" w:lineRule="auto"/>
        <w:rPr>
          <w:rFonts w:cs="Times New Roman"/>
        </w:rPr>
      </w:pPr>
    </w:p>
    <w:p w14:paraId="53B997AF" w14:textId="77777777" w:rsidR="00413229" w:rsidRDefault="00413229" w:rsidP="000A5358">
      <w:pPr>
        <w:spacing w:line="480" w:lineRule="auto"/>
        <w:rPr>
          <w:rFonts w:cs="Times New Roman"/>
        </w:rPr>
      </w:pPr>
    </w:p>
    <w:p w14:paraId="11FD0379" w14:textId="77777777" w:rsidR="00413229" w:rsidRDefault="00413229" w:rsidP="000A5358">
      <w:pPr>
        <w:spacing w:line="480" w:lineRule="auto"/>
        <w:rPr>
          <w:rFonts w:cs="Times New Roman"/>
        </w:rPr>
      </w:pPr>
    </w:p>
    <w:p w14:paraId="327AE5D7" w14:textId="77777777" w:rsidR="00413229" w:rsidRDefault="00413229" w:rsidP="000A5358">
      <w:pPr>
        <w:spacing w:line="480" w:lineRule="auto"/>
        <w:rPr>
          <w:rFonts w:cs="Times New Roman"/>
        </w:rPr>
      </w:pPr>
    </w:p>
    <w:p w14:paraId="2FD03B61" w14:textId="77777777" w:rsidR="00413229" w:rsidRDefault="00413229" w:rsidP="000A5358">
      <w:pPr>
        <w:spacing w:line="480" w:lineRule="auto"/>
        <w:rPr>
          <w:rFonts w:cs="Times New Roman"/>
        </w:rPr>
      </w:pPr>
    </w:p>
    <w:p w14:paraId="59B1285E" w14:textId="77777777" w:rsidR="002073DE" w:rsidRDefault="002073DE" w:rsidP="000A5358">
      <w:pPr>
        <w:spacing w:line="480" w:lineRule="auto"/>
        <w:rPr>
          <w:rFonts w:cs="Times New Roman"/>
        </w:rPr>
      </w:pPr>
    </w:p>
    <w:p w14:paraId="7C6692A9" w14:textId="77777777" w:rsidR="002073DE" w:rsidRDefault="002073DE" w:rsidP="000A5358">
      <w:pPr>
        <w:spacing w:line="480" w:lineRule="auto"/>
        <w:rPr>
          <w:rFonts w:cs="Times New Roman"/>
        </w:rPr>
      </w:pPr>
    </w:p>
    <w:p w14:paraId="0615488C" w14:textId="77777777" w:rsidR="002073DE" w:rsidRDefault="002073DE" w:rsidP="000A5358">
      <w:pPr>
        <w:spacing w:line="480" w:lineRule="auto"/>
        <w:rPr>
          <w:rFonts w:cs="Times New Roman"/>
        </w:rPr>
      </w:pPr>
    </w:p>
    <w:p w14:paraId="798CCC97" w14:textId="77777777" w:rsidR="002073DE" w:rsidRDefault="002073DE" w:rsidP="000A5358">
      <w:pPr>
        <w:spacing w:line="480" w:lineRule="auto"/>
        <w:rPr>
          <w:rFonts w:cs="Times New Roman"/>
        </w:rPr>
      </w:pPr>
    </w:p>
    <w:p w14:paraId="05D9A112" w14:textId="3BD7A350" w:rsidR="00413229" w:rsidRPr="002073DE" w:rsidRDefault="00413229" w:rsidP="002073DE">
      <w:pPr>
        <w:pStyle w:val="ListParagraph"/>
        <w:numPr>
          <w:ilvl w:val="0"/>
          <w:numId w:val="11"/>
        </w:numPr>
        <w:spacing w:line="480" w:lineRule="auto"/>
        <w:jc w:val="center"/>
        <w:rPr>
          <w:rFonts w:cs="Times New Roman"/>
          <w:b/>
          <w:sz w:val="28"/>
          <w:u w:val="single"/>
        </w:rPr>
      </w:pPr>
      <w:r w:rsidRPr="002073DE">
        <w:rPr>
          <w:rFonts w:cs="Times New Roman"/>
          <w:b/>
          <w:sz w:val="28"/>
          <w:u w:val="single"/>
        </w:rPr>
        <w:lastRenderedPageBreak/>
        <w:t>Bibliography</w:t>
      </w:r>
    </w:p>
    <w:p w14:paraId="0904E305" w14:textId="77777777" w:rsidR="00413229" w:rsidRDefault="00413229" w:rsidP="00413229">
      <w:r w:rsidRPr="00A672F7">
        <w:t>‘A just-so German story’ (The Economist, 4 July 2012) available at &lt;http://www.economist.com/blogs/freeexchange/2012/07/euro-crisis-0&gt;</w:t>
      </w:r>
    </w:p>
    <w:p w14:paraId="1B85E221" w14:textId="77777777" w:rsidR="00413229" w:rsidRDefault="00413229" w:rsidP="00413229"/>
    <w:p w14:paraId="7A40BF03" w14:textId="77777777" w:rsidR="00413229" w:rsidRDefault="00413229" w:rsidP="00413229">
      <w:r>
        <w:t>Abadie A and Gardeazabal J, ‘Terrorism and the world economy’ (2008) 52 (1) European Economic Review 1-27</w:t>
      </w:r>
    </w:p>
    <w:p w14:paraId="20ECCAAE" w14:textId="77777777" w:rsidR="00413229" w:rsidRDefault="00413229" w:rsidP="00413229"/>
    <w:p w14:paraId="372840F7" w14:textId="77777777" w:rsidR="00413229" w:rsidRDefault="00413229" w:rsidP="00413229">
      <w:r>
        <w:t>Abbott FM, ‘Comparative Study of Selected Government Policies for Promoting Transfer of Technology and Competitiveness in the Colombian Pharmaceutical Sector’ (2007) United States Agency for International Development - Programa MIDAS, Public Law Research Paper</w:t>
      </w:r>
    </w:p>
    <w:p w14:paraId="1E510FB6" w14:textId="77777777" w:rsidR="00413229" w:rsidRDefault="00413229" w:rsidP="00413229"/>
    <w:p w14:paraId="26D473A3" w14:textId="77777777" w:rsidR="00413229" w:rsidRDefault="00413229" w:rsidP="00413229">
      <w:r w:rsidRPr="007956AA">
        <w:t>Aggarwal R et al., ‘Does Governance Travel around the World? Evidence from Institutional Investors.’ (2011) 100 Journal of Financial Economics 154</w:t>
      </w:r>
    </w:p>
    <w:p w14:paraId="3F6508BC" w14:textId="77777777" w:rsidR="00413229" w:rsidRDefault="00413229" w:rsidP="00413229">
      <w:r>
        <w:rPr>
          <w:rFonts w:cs="Minion Pro"/>
          <w:color w:val="000000"/>
          <w:sz w:val="20"/>
          <w:szCs w:val="20"/>
        </w:rPr>
        <w:t>— —</w:t>
      </w:r>
      <w:r>
        <w:t xml:space="preserve"> and Rivoli P, ‘Fads in the initial public offering market?’ (1990) Financial Management 45-57.</w:t>
      </w:r>
    </w:p>
    <w:p w14:paraId="220CE9F1" w14:textId="77777777" w:rsidR="00413229" w:rsidRDefault="00413229" w:rsidP="00413229"/>
    <w:p w14:paraId="64778DA1" w14:textId="77777777" w:rsidR="00413229" w:rsidRDefault="00413229" w:rsidP="00413229">
      <w:r>
        <w:t xml:space="preserve">Aghion et al., ‘The relationship between health and growth: when Lucas meets Nelson-Phelps’, (2010) National Bureau of Economic Research No. w15813 available at &lt;http://scholar.harvard.edu/files/aghion/files/relationship_between_health.pdf&gt; </w:t>
      </w:r>
    </w:p>
    <w:p w14:paraId="5981337A" w14:textId="77777777" w:rsidR="00413229" w:rsidRDefault="00413229" w:rsidP="00413229"/>
    <w:p w14:paraId="4CA0AEEE" w14:textId="77777777" w:rsidR="00413229" w:rsidRDefault="00413229" w:rsidP="00413229">
      <w:r>
        <w:t xml:space="preserve">Aglietta M and Rebérioux A, </w:t>
      </w:r>
      <w:r w:rsidRPr="0026575A">
        <w:rPr>
          <w:i/>
        </w:rPr>
        <w:t>Corporate governance adrift: a critique of shareholder value</w:t>
      </w:r>
      <w:r>
        <w:t xml:space="preserve"> (Edward Elgar Publishing, 2005) </w:t>
      </w:r>
    </w:p>
    <w:p w14:paraId="4B63B19C" w14:textId="77777777" w:rsidR="00413229" w:rsidRDefault="00413229" w:rsidP="00413229"/>
    <w:p w14:paraId="4D44227D" w14:textId="65AE8C47" w:rsidR="004D305C" w:rsidRDefault="00413229" w:rsidP="00413229">
      <w:r>
        <w:t>Aguilera RV and Williams CA, ‘Law and Finance: Inaccurate, Incomplete, and Important’ (2009) Illinois Public Law Research Paper No. 09-20 &lt; http://papers.ssrn.com/sol3/papers.cfm?abstract_id=1523895&gt;</w:t>
      </w:r>
      <w:r w:rsidR="000F4B19">
        <w:t xml:space="preserve"> (2009) 6 </w:t>
      </w:r>
      <w:r w:rsidR="004D305C" w:rsidRPr="004D305C">
        <w:t>Brigham Young University Law Review</w:t>
      </w:r>
      <w:r w:rsidR="000F4B19">
        <w:t xml:space="preserve"> 1413</w:t>
      </w:r>
    </w:p>
    <w:p w14:paraId="3037B104" w14:textId="77777777" w:rsidR="00413229" w:rsidRDefault="00413229" w:rsidP="00413229"/>
    <w:p w14:paraId="638EAF95" w14:textId="77777777" w:rsidR="00413229" w:rsidRDefault="00413229" w:rsidP="00413229">
      <w:r>
        <w:t>Akhmat G et al., ‘Impact of financial development on SAARC’S human development’ (2013) Quality and Quantity 1-16</w:t>
      </w:r>
    </w:p>
    <w:p w14:paraId="73F2CBC1" w14:textId="77777777" w:rsidR="00413229" w:rsidRDefault="00413229" w:rsidP="00413229"/>
    <w:p w14:paraId="447FA925" w14:textId="77777777" w:rsidR="00413229" w:rsidRDefault="00413229" w:rsidP="00413229">
      <w:r>
        <w:t>Akram et al., ‘Does the law of one price hold in international financial markets? Evidence from tick data’ (2009) 33 (10) Journal of Banking &amp; Finance 1741-1754</w:t>
      </w:r>
    </w:p>
    <w:p w14:paraId="7088B7D8" w14:textId="77777777" w:rsidR="00413229" w:rsidRDefault="00413229" w:rsidP="00413229"/>
    <w:p w14:paraId="4801DDA4" w14:textId="77777777" w:rsidR="00413229" w:rsidRDefault="00413229" w:rsidP="00413229">
      <w:r>
        <w:t xml:space="preserve">Alam MM and Uddin MGS, ‘Relationship between interest rate and stock price: empirical evidence from developed and developing countries.’ (2009) 4 (3) International Journal of Business and Management 43 </w:t>
      </w:r>
    </w:p>
    <w:p w14:paraId="0AA0C64E" w14:textId="77777777" w:rsidR="00413229" w:rsidRDefault="00413229" w:rsidP="00413229"/>
    <w:p w14:paraId="54E45D20" w14:textId="77777777" w:rsidR="00413229" w:rsidRDefault="00413229" w:rsidP="00413229">
      <w:r>
        <w:t>Albert JH, ‘Bayesian estimation of normal ogive item response curves using Gibbs sampling’, (1992) 17 Journal of Educational Statistics 251–269</w:t>
      </w:r>
    </w:p>
    <w:p w14:paraId="57D576B4" w14:textId="77777777" w:rsidR="00413229" w:rsidRDefault="00413229" w:rsidP="00413229"/>
    <w:p w14:paraId="3337CEAD" w14:textId="77777777" w:rsidR="00413229" w:rsidRDefault="00413229" w:rsidP="00413229">
      <w:r w:rsidRPr="007956AA">
        <w:t>Alesina A et al., ‘Political instability and economic growth’ (1996) 1 (2) Journal of Economic growth  189-211</w:t>
      </w:r>
    </w:p>
    <w:p w14:paraId="7F00A347" w14:textId="09ECB76F" w:rsidR="00413229" w:rsidRDefault="00413229" w:rsidP="00413229">
      <w:r w:rsidRPr="007956AA">
        <w:t>— —</w:t>
      </w:r>
      <w:r>
        <w:t xml:space="preserve"> and Rodrik D, ‘Distributive politics and economic growth’ (1991) National Bureau of Economic Research working paper no. 3668 available at &lt;http://www.nber.org/papers/w3668&gt;</w:t>
      </w:r>
      <w:r w:rsidR="00FE1445">
        <w:t xml:space="preserve"> published at </w:t>
      </w:r>
      <w:r w:rsidR="00FE1445" w:rsidRPr="00FE1445">
        <w:t>published at (1994) 109 (2) The Quarterly Journal of Economics 465</w:t>
      </w:r>
    </w:p>
    <w:p w14:paraId="5684D23A" w14:textId="77777777" w:rsidR="00413229" w:rsidRDefault="00413229" w:rsidP="00413229"/>
    <w:p w14:paraId="4081E971" w14:textId="77777777" w:rsidR="00413229" w:rsidRDefault="00413229" w:rsidP="00413229">
      <w:r>
        <w:t>Allen F et al., ‘Law, finance, and economic growth in China’ (2005) 77 (1) Journal of financial economics 57-116</w:t>
      </w:r>
    </w:p>
    <w:p w14:paraId="52E55CE1" w14:textId="77777777" w:rsidR="00413229" w:rsidRDefault="00413229" w:rsidP="00413229"/>
    <w:p w14:paraId="442912DB" w14:textId="77777777" w:rsidR="00413229" w:rsidRDefault="00413229" w:rsidP="00413229">
      <w:r>
        <w:t>Altinay G and Karagol E, ‘Electricity consumption and economic growth: evidence from Turkey.’ (2005) 27 (6) Energy Economics 849-856</w:t>
      </w:r>
    </w:p>
    <w:p w14:paraId="76C543B5" w14:textId="77777777" w:rsidR="00413229" w:rsidRDefault="00413229" w:rsidP="00413229"/>
    <w:p w14:paraId="08C36307" w14:textId="77777777" w:rsidR="00413229" w:rsidRDefault="00413229" w:rsidP="00413229">
      <w:r>
        <w:t>Ammer J and Mei JP, ‘Measuring international economic linkages with stock market data’ (1996) 51 (5) Journal Of Finance 1743-1763</w:t>
      </w:r>
    </w:p>
    <w:p w14:paraId="4ABAC927" w14:textId="77777777" w:rsidR="00413229" w:rsidRDefault="00413229" w:rsidP="00413229"/>
    <w:p w14:paraId="7AC3AD30" w14:textId="77777777" w:rsidR="00413229" w:rsidRDefault="00413229" w:rsidP="00413229">
      <w:r>
        <w:t>Amuzegar J, ‘The Tehran Stock Exchange: A Maverick Performer?’ (2005) 48 (21) Middle East Economic Survey as cited in Khedar Alaghi, ‘What is the Tehran Stock Exchange?’ &lt;http://www.fineco.am/pdfs/Kheder_Alaghi_1.pdf &gt;</w:t>
      </w:r>
    </w:p>
    <w:p w14:paraId="3FD80A57" w14:textId="77777777" w:rsidR="00413229" w:rsidRDefault="00413229" w:rsidP="00413229"/>
    <w:p w14:paraId="5E1187D7" w14:textId="77777777" w:rsidR="00413229" w:rsidRDefault="00413229" w:rsidP="00413229">
      <w:r>
        <w:lastRenderedPageBreak/>
        <w:t xml:space="preserve">Anand S and Sen A, ‘The income component of the human development index’ (2000) 1 (1) Journal of human development 83-106 </w:t>
      </w:r>
    </w:p>
    <w:p w14:paraId="619533F2" w14:textId="77777777" w:rsidR="00413229" w:rsidRDefault="00413229" w:rsidP="00413229"/>
    <w:p w14:paraId="33F6B9E2" w14:textId="77777777" w:rsidR="00413229" w:rsidRDefault="00413229" w:rsidP="00413229">
      <w:r>
        <w:t xml:space="preserve">Andrieu C, ‘Monte Carlo Methods for Absolute Beginners’ in  Olivier Bousquet, Ulrike von Luxburg and Gunnar Rätsch (eds) </w:t>
      </w:r>
      <w:r w:rsidRPr="005D3B17">
        <w:rPr>
          <w:i/>
        </w:rPr>
        <w:t>Advanced Lectures on Machine Learning</w:t>
      </w:r>
      <w:r>
        <w:t xml:space="preserve"> (Springer 2004) 113-145</w:t>
      </w:r>
    </w:p>
    <w:p w14:paraId="1B45ED51" w14:textId="77777777" w:rsidR="00413229" w:rsidRDefault="00413229" w:rsidP="00413229"/>
    <w:p w14:paraId="64AE0A93" w14:textId="77777777" w:rsidR="00413229" w:rsidRDefault="00413229" w:rsidP="00413229">
      <w:r>
        <w:t xml:space="preserve">Ansoff H, </w:t>
      </w:r>
      <w:r w:rsidRPr="00AD5EBA">
        <w:rPr>
          <w:i/>
        </w:rPr>
        <w:t>Corporate Strategy</w:t>
      </w:r>
      <w:r>
        <w:t xml:space="preserve"> (McGraw-Hill 1965)</w:t>
      </w:r>
    </w:p>
    <w:p w14:paraId="5945E2A2" w14:textId="77777777" w:rsidR="00FE1445" w:rsidRDefault="00FE1445" w:rsidP="00413229"/>
    <w:p w14:paraId="03D8948E" w14:textId="77777777" w:rsidR="00413229" w:rsidRDefault="00413229" w:rsidP="00413229">
      <w:r>
        <w:t xml:space="preserve">Anwar S and Nguyen LP, ‘Foreign direct investment and export spillovers: Evidence from Vietnam’ (2011) 20 (2) International Business Review 177-193 </w:t>
      </w:r>
    </w:p>
    <w:p w14:paraId="26C7B553" w14:textId="77777777" w:rsidR="00413229" w:rsidRDefault="00413229" w:rsidP="00413229"/>
    <w:p w14:paraId="5683EB4C" w14:textId="77777777" w:rsidR="00413229" w:rsidRDefault="00413229" w:rsidP="00413229">
      <w:r>
        <w:t xml:space="preserve">Apergis N and Payne JE, ‘Energy consumption and economic growth in Central America: evidence from a panel cointegration and error correction model.’ (2009) 31 (2) Energy Economics 211-216 </w:t>
      </w:r>
    </w:p>
    <w:p w14:paraId="1DE69AA7" w14:textId="77777777" w:rsidR="00413229" w:rsidRDefault="00413229" w:rsidP="00413229"/>
    <w:p w14:paraId="32C7BC8E" w14:textId="77777777" w:rsidR="00413229" w:rsidRDefault="00413229" w:rsidP="00413229">
      <w:r>
        <w:t>Archibugi D and Pianta M, ‘Measuring technological through patents and innovation surveys’ (1996) 16 (9) Technovation 451-468</w:t>
      </w:r>
    </w:p>
    <w:p w14:paraId="33995CCB" w14:textId="77777777" w:rsidR="00413229" w:rsidRDefault="00413229" w:rsidP="00413229"/>
    <w:p w14:paraId="1D899CFB" w14:textId="77777777" w:rsidR="00413229" w:rsidRDefault="00413229" w:rsidP="00413229">
      <w:r>
        <w:t>Ariff AM, Ibrahim MK and Othman R, ‘Determinants of firm level governance: Malaysian evidence’ (2007) 7 (5) Corporate Governance 562-573</w:t>
      </w:r>
    </w:p>
    <w:p w14:paraId="43581CBB" w14:textId="77777777" w:rsidR="00413229" w:rsidRDefault="00413229" w:rsidP="00413229"/>
    <w:p w14:paraId="2652F9B7" w14:textId="6227F289" w:rsidR="00413229" w:rsidRDefault="00413229" w:rsidP="00413229">
      <w:r>
        <w:t xml:space="preserve">Armour J, Deakin S et al., </w:t>
      </w:r>
      <w:r w:rsidRPr="0065490B">
        <w:t xml:space="preserve">‘Law and Financial Development: What We Are Learning from Time-Series Evidence’ (2010) ECGI Working Paper Series in Law Working Paper No.148/2010 </w:t>
      </w:r>
      <w:r w:rsidR="00FE1445">
        <w:t xml:space="preserve">published at </w:t>
      </w:r>
      <w:r w:rsidR="00FE1445" w:rsidRPr="00FE1445">
        <w:t>(2009) Brigh</w:t>
      </w:r>
      <w:r w:rsidR="00FE1445">
        <w:t xml:space="preserve">am Young University Law Review </w:t>
      </w:r>
      <w:r w:rsidR="00FE1445" w:rsidRPr="00FE1445">
        <w:t>1435</w:t>
      </w:r>
    </w:p>
    <w:p w14:paraId="5842BBC5" w14:textId="77777777" w:rsidR="00413229" w:rsidRDefault="00413229" w:rsidP="00413229">
      <w:r w:rsidRPr="0065490B">
        <w:t xml:space="preserve">— — </w:t>
      </w:r>
      <w:r>
        <w:t>‘How Do Legal Rules Evolve? Evidence from a Cross-Country Comparison of Shareholder, Creditor and Worker Protection’ (2009) 57 American Journal of Comparative Law 579</w:t>
      </w:r>
    </w:p>
    <w:p w14:paraId="132A49B0" w14:textId="3BC669B7" w:rsidR="00413229" w:rsidRDefault="00413229" w:rsidP="00413229">
      <w:r w:rsidRPr="0065490B">
        <w:t>— —</w:t>
      </w:r>
      <w:r>
        <w:t xml:space="preserve"> </w:t>
      </w:r>
      <w:r w:rsidRPr="0065490B">
        <w:t xml:space="preserve">‘Shareholder Protection and Stock Market Development: An Empirical Test of the Legal Origins Hypothesis’ (2008) ECGI Working Paper No.108/2008 available </w:t>
      </w:r>
      <w:r w:rsidRPr="0065490B">
        <w:lastRenderedPageBreak/>
        <w:t>at &lt;http://ssrn.com/abstract=1094355&gt;</w:t>
      </w:r>
      <w:r w:rsidR="00FE1445">
        <w:t xml:space="preserve"> published at (2009) 6 </w:t>
      </w:r>
      <w:r w:rsidR="00FE1445" w:rsidRPr="00FE1445">
        <w:t>Journal of Empirical Legal Studies</w:t>
      </w:r>
      <w:r w:rsidR="00FE1445">
        <w:t xml:space="preserve"> 343</w:t>
      </w:r>
    </w:p>
    <w:p w14:paraId="5859A599" w14:textId="77777777" w:rsidR="00413229" w:rsidRDefault="00413229" w:rsidP="00413229"/>
    <w:p w14:paraId="0232D56C" w14:textId="77777777" w:rsidR="00413229" w:rsidRDefault="00413229" w:rsidP="00413229">
      <w:r>
        <w:t xml:space="preserve">Asafu-Adjayeb C, ‘The relationship between energy consumption, energy prices and economic growth: time series evidence from Asian developing countries’ (2000) 22 (6) Energy economics 615-625 </w:t>
      </w:r>
    </w:p>
    <w:p w14:paraId="733246DB" w14:textId="77777777" w:rsidR="00413229" w:rsidRDefault="00413229" w:rsidP="00413229"/>
    <w:p w14:paraId="6AD5295B" w14:textId="77777777" w:rsidR="00413229" w:rsidRDefault="00413229" w:rsidP="00413229">
      <w:r>
        <w:t>Bai. et al., ‘Corporate governance and market valuation in China’ (2004) 32 (4) Journal of Comparative Economics 599-616</w:t>
      </w:r>
    </w:p>
    <w:p w14:paraId="0EA08B1D" w14:textId="77777777" w:rsidR="00413229" w:rsidRDefault="00413229" w:rsidP="00413229"/>
    <w:p w14:paraId="40057F2C" w14:textId="77777777" w:rsidR="00413229" w:rsidRDefault="00413229" w:rsidP="00413229">
      <w:r>
        <w:t xml:space="preserve">Baker F and Kim S, </w:t>
      </w:r>
      <w:r w:rsidRPr="005D3B17">
        <w:rPr>
          <w:i/>
        </w:rPr>
        <w:t>Item Response Theory</w:t>
      </w:r>
      <w:r>
        <w:t xml:space="preserve"> (2nd edn, Marcel Dekker 2004)</w:t>
      </w:r>
    </w:p>
    <w:p w14:paraId="2DEC9832" w14:textId="77777777" w:rsidR="00413229" w:rsidRPr="00076237" w:rsidRDefault="00413229" w:rsidP="00413229"/>
    <w:p w14:paraId="68978E81" w14:textId="77777777" w:rsidR="00413229" w:rsidRPr="00076237" w:rsidRDefault="00413229" w:rsidP="00413229">
      <w:r w:rsidRPr="00076237">
        <w:t xml:space="preserve">Baker FB, </w:t>
      </w:r>
      <w:r w:rsidRPr="00076237">
        <w:rPr>
          <w:i/>
        </w:rPr>
        <w:t>The Basics of Item Response Theory</w:t>
      </w:r>
      <w:r w:rsidRPr="00076237">
        <w:t xml:space="preserve"> (ERIC Clearinghouse on Assessment and Evaluation </w:t>
      </w:r>
      <w:r>
        <w:t>2001) available at</w:t>
      </w:r>
      <w:r w:rsidRPr="00076237">
        <w:t xml:space="preserve"> &lt;http://echo.edres.org:8080/irt/baker/chapter1.pdf&gt;</w:t>
      </w:r>
    </w:p>
    <w:p w14:paraId="1942CAA0" w14:textId="77777777" w:rsidR="00413229" w:rsidRDefault="00413229" w:rsidP="00413229"/>
    <w:p w14:paraId="326414D9" w14:textId="77777777" w:rsidR="00413229" w:rsidRDefault="00413229" w:rsidP="00413229">
      <w:r w:rsidRPr="00076237">
        <w:t>Bao Q et</w:t>
      </w:r>
      <w:r>
        <w:t xml:space="preserve"> al., ‘Do High-technology Exports Cause More Technology Spillover in China?’ (2012) 20 (2) China &amp; World Economy 1-22 </w:t>
      </w:r>
    </w:p>
    <w:p w14:paraId="3FB34100" w14:textId="77777777" w:rsidR="00E5006F" w:rsidRDefault="00E5006F" w:rsidP="00413229"/>
    <w:p w14:paraId="44808F90" w14:textId="103A4EE1" w:rsidR="00413229" w:rsidRDefault="00413229" w:rsidP="00413229">
      <w:r>
        <w:t xml:space="preserve">Barczyk D and Kredler M, ‘Inequality </w:t>
      </w:r>
      <w:r w:rsidR="00E5006F">
        <w:t xml:space="preserve">and asset prices’ (2015) Working Paper available </w:t>
      </w:r>
      <w:r>
        <w:t>at &lt;</w:t>
      </w:r>
      <w:r w:rsidR="00E5006F">
        <w:t>http://danielbarczyk</w:t>
      </w:r>
      <w:r w:rsidR="00E5006F" w:rsidRPr="00E5006F">
        <w:t>research.mcgill.ca/research_files/Asset_Dec15.</w:t>
      </w:r>
      <w:r w:rsidR="00E5006F">
        <w:t xml:space="preserve"> </w:t>
      </w:r>
      <w:r w:rsidR="00E5006F" w:rsidRPr="00E5006F">
        <w:t>pdf</w:t>
      </w:r>
      <w:r>
        <w:t xml:space="preserve">&gt; </w:t>
      </w:r>
    </w:p>
    <w:p w14:paraId="13107323" w14:textId="77777777" w:rsidR="00413229" w:rsidRDefault="00413229" w:rsidP="00413229"/>
    <w:p w14:paraId="791DC7CC" w14:textId="77777777" w:rsidR="00413229" w:rsidRDefault="00413229" w:rsidP="00413229">
      <w:r>
        <w:t>Barro RJ, ‘Inequality and Growth in a Panel of Countries’ (2000) 5 (1) Journal of economic growth 5-32</w:t>
      </w:r>
    </w:p>
    <w:p w14:paraId="0686E542" w14:textId="77777777" w:rsidR="00413229" w:rsidRDefault="00413229" w:rsidP="00413229"/>
    <w:p w14:paraId="0015CA1B" w14:textId="77777777" w:rsidR="00413229" w:rsidRDefault="00413229" w:rsidP="00413229">
      <w:r>
        <w:t xml:space="preserve">Bartholomew DJ, </w:t>
      </w:r>
      <w:r w:rsidRPr="0019627C">
        <w:rPr>
          <w:i/>
        </w:rPr>
        <w:t>Latent  Variable  Models  and  Factor  Analysis</w:t>
      </w:r>
      <w:r>
        <w:t xml:space="preserve"> (2nd edn, Wiley 1999).</w:t>
      </w:r>
    </w:p>
    <w:p w14:paraId="5EF718F7" w14:textId="77777777" w:rsidR="00413229" w:rsidRDefault="00413229" w:rsidP="00413229"/>
    <w:p w14:paraId="4885AD8C" w14:textId="77777777" w:rsidR="00413229" w:rsidRDefault="00413229" w:rsidP="00413229">
      <w:r>
        <w:t>Basu et al., ‘Liberalization, FDI, and growth in developing countries: a panel cointegration approach’ (2003) 41 (3) Economic Inquiry 510-516.</w:t>
      </w:r>
    </w:p>
    <w:p w14:paraId="4B5FB7F7" w14:textId="77777777" w:rsidR="00413229" w:rsidRDefault="00413229" w:rsidP="00413229"/>
    <w:p w14:paraId="32214BFC" w14:textId="77777777" w:rsidR="00413229" w:rsidRDefault="00413229" w:rsidP="00413229">
      <w:r>
        <w:lastRenderedPageBreak/>
        <w:t>Bauer R, Braun R and Clark GL, ‘The emerging market for European corporate governance: the relationship between governance and capital expenditures, 1997–2005’ (2008) 8 (4) Journal of Economic Geography 441-469</w:t>
      </w:r>
    </w:p>
    <w:p w14:paraId="426CC070" w14:textId="77777777" w:rsidR="00413229" w:rsidRDefault="00413229" w:rsidP="00413229"/>
    <w:p w14:paraId="611F63E0" w14:textId="77777777" w:rsidR="00413229" w:rsidRDefault="00413229" w:rsidP="00413229">
      <w:r>
        <w:t xml:space="preserve">Bauer R, Guenster N and Otten R, ‘Empirical evidence on corporate governance in Europe: The effect on stock returns, firm value and performance’ (2004) 5 (2) Journal of Asset Management 91-104 </w:t>
      </w:r>
    </w:p>
    <w:p w14:paraId="0C476464" w14:textId="77777777" w:rsidR="00413229" w:rsidRDefault="00413229" w:rsidP="00413229"/>
    <w:p w14:paraId="29E305E7" w14:textId="77777777" w:rsidR="00413229" w:rsidRDefault="00413229" w:rsidP="00413229">
      <w:r>
        <w:t xml:space="preserve">Baysinger BD and Butler HN, ‘Corporate governance and the board of directors: Performance effects of changes in board composition.’ (1985) Journal of Law, Economics, &amp; Organization 101-124 </w:t>
      </w:r>
    </w:p>
    <w:p w14:paraId="056643E4" w14:textId="77777777" w:rsidR="00413229" w:rsidRDefault="00413229" w:rsidP="00413229"/>
    <w:p w14:paraId="3F47348E" w14:textId="77777777" w:rsidR="00413229" w:rsidRDefault="00413229" w:rsidP="00413229">
      <w:r>
        <w:t>BBC, ‘Investors celebrate stock market boom’ (31 December 2003) &lt;http://news.bbc.co.uk/1/hi/business/3359241.stm&gt;</w:t>
      </w:r>
    </w:p>
    <w:p w14:paraId="29B8044D" w14:textId="77777777" w:rsidR="00413229" w:rsidRDefault="00413229" w:rsidP="00413229"/>
    <w:p w14:paraId="1389DA36" w14:textId="77777777" w:rsidR="00413229" w:rsidRDefault="00413229" w:rsidP="00413229">
      <w:r w:rsidRPr="00076237">
        <w:t>Bebchuk L, ‘Efficient and Inefficient Sales of Corporate Control’ (1994) Quarterly Journal of Economics 957-994</w:t>
      </w:r>
    </w:p>
    <w:p w14:paraId="2A851419" w14:textId="77777777" w:rsidR="00413229" w:rsidRDefault="00413229" w:rsidP="00413229">
      <w:r w:rsidRPr="00076237">
        <w:t>— —</w:t>
      </w:r>
      <w:r>
        <w:t xml:space="preserve"> </w:t>
      </w:r>
      <w:r w:rsidRPr="00076237">
        <w:t>and Weisbach MS, ‘The State of Corporate Governance Research’ (2010) 23 (3) Review of Financial Studies 939-961</w:t>
      </w:r>
    </w:p>
    <w:p w14:paraId="7272F926" w14:textId="52F4A313" w:rsidR="00413229" w:rsidRDefault="00413229" w:rsidP="00413229">
      <w:r w:rsidRPr="00076237">
        <w:t>— —</w:t>
      </w:r>
      <w:r>
        <w:t xml:space="preserve"> Cohen A and Ferrell A, ‘What Matters in Corporate Governance?’ (200</w:t>
      </w:r>
      <w:r w:rsidR="00F07045">
        <w:t>4</w:t>
      </w:r>
      <w:r>
        <w:t>) available online at &lt; http://www.law.harvard.edu/faculty/bebchuk/pdfs/2008_What-Matters-Review-of-Financial-Studies.pdf&gt; accessed 20 January 2015</w:t>
      </w:r>
      <w:r w:rsidR="00F07045">
        <w:t xml:space="preserve"> published at (2009) 22 (2) </w:t>
      </w:r>
      <w:r w:rsidR="00F07045" w:rsidRPr="00F07045">
        <w:t>Review of Financial Studies</w:t>
      </w:r>
      <w:r w:rsidR="00F07045">
        <w:t xml:space="preserve"> </w:t>
      </w:r>
      <w:r w:rsidR="00F07045" w:rsidRPr="00F07045">
        <w:t>783-827</w:t>
      </w:r>
    </w:p>
    <w:p w14:paraId="3A9DDDA6" w14:textId="21B9586B" w:rsidR="00413229" w:rsidRDefault="00413229" w:rsidP="00413229">
      <w:r w:rsidRPr="00076237">
        <w:t>— —</w:t>
      </w:r>
      <w:r>
        <w:t xml:space="preserve"> and Zingales L, ‘Corporate Ownership Structures: Priv</w:t>
      </w:r>
      <w:r w:rsidR="00393EF3">
        <w:t>ate vs. Social Optimality’ (1996</w:t>
      </w:r>
      <w:r>
        <w:t xml:space="preserve">) </w:t>
      </w:r>
      <w:r w:rsidR="00393EF3" w:rsidRPr="00393EF3">
        <w:t xml:space="preserve">NBER Working Paper No. w5584 </w:t>
      </w:r>
      <w:r w:rsidR="00393EF3">
        <w:t>available at &lt;</w:t>
      </w:r>
      <w:r w:rsidR="00393EF3" w:rsidRPr="00393EF3">
        <w:t>http://ssrn.com/abstract=225533</w:t>
      </w:r>
      <w:r w:rsidR="00393EF3">
        <w:t>&gt;</w:t>
      </w:r>
    </w:p>
    <w:p w14:paraId="554D005F" w14:textId="77777777" w:rsidR="00413229" w:rsidRDefault="00413229" w:rsidP="00413229">
      <w:r>
        <w:t>Beck T and Levine R, ‘Stock markets, banks, and growth: Panel evidence.’ (2004) 28 (3)  Journal of Banking &amp; Finance 423-442</w:t>
      </w:r>
    </w:p>
    <w:p w14:paraId="061418E7" w14:textId="77777777" w:rsidR="00413229" w:rsidRDefault="00413229" w:rsidP="00413229"/>
    <w:p w14:paraId="4C0C07F8" w14:textId="34B0A0CF" w:rsidR="00413229" w:rsidRDefault="00413229" w:rsidP="00933F22">
      <w:proofErr w:type="spellStart"/>
      <w:r>
        <w:t>Beiner</w:t>
      </w:r>
      <w:proofErr w:type="spellEnd"/>
      <w:r>
        <w:t xml:space="preserve"> </w:t>
      </w:r>
      <w:r w:rsidR="00933F22">
        <w:t>S</w:t>
      </w:r>
      <w:r>
        <w:t xml:space="preserve">, </w:t>
      </w:r>
      <w:proofErr w:type="spellStart"/>
      <w:r w:rsidR="00933F22">
        <w:t>Drobetz</w:t>
      </w:r>
      <w:proofErr w:type="spellEnd"/>
      <w:r w:rsidR="00933F22">
        <w:t xml:space="preserve"> W, </w:t>
      </w:r>
      <w:proofErr w:type="spellStart"/>
      <w:r w:rsidR="00933F22">
        <w:t>Schmid</w:t>
      </w:r>
      <w:proofErr w:type="spellEnd"/>
      <w:r w:rsidR="00933F22">
        <w:t xml:space="preserve"> M and Zimmermann H, </w:t>
      </w:r>
      <w:r>
        <w:t xml:space="preserve">‘An Integrated Framework of Corporate Governance and Firm Valuation-Evidence from Switzerland’ (2004) </w:t>
      </w:r>
      <w:r>
        <w:lastRenderedPageBreak/>
        <w:t>European Corporate Governance Institute Working Paper No. 34/2004</w:t>
      </w:r>
      <w:r w:rsidR="00933F22">
        <w:t xml:space="preserve"> later published at (2006) 12 (2) </w:t>
      </w:r>
      <w:r w:rsidR="00933F22" w:rsidRPr="00933F22">
        <w:t>European Financial Management</w:t>
      </w:r>
      <w:r w:rsidR="00933F22">
        <w:t xml:space="preserve"> 149-283</w:t>
      </w:r>
    </w:p>
    <w:p w14:paraId="049A9BD3" w14:textId="77777777" w:rsidR="00413229" w:rsidRDefault="00413229" w:rsidP="00413229"/>
    <w:p w14:paraId="3A58A241" w14:textId="2286ED11" w:rsidR="00413229" w:rsidRDefault="00413229" w:rsidP="00413229">
      <w:r>
        <w:t>Bellotti XA, Taffler R and Tian L, ‘Understanding the Chinese Stockmarket Bubble: The Role of Emotion’ (2010) &lt;http://ssrn.com/abstract=1695932&gt;</w:t>
      </w:r>
    </w:p>
    <w:p w14:paraId="75555EB8" w14:textId="77777777" w:rsidR="00413229" w:rsidRDefault="00413229" w:rsidP="00413229"/>
    <w:p w14:paraId="671FA124" w14:textId="77777777" w:rsidR="00413229" w:rsidRDefault="00413229" w:rsidP="00413229">
      <w:r>
        <w:t>Berger B and Martin RF, ‘The Chinese Export Boom: An Examination of the Detailed Trade Data’ (2013) 21 (1) China &amp; World Economy 64-90</w:t>
      </w:r>
    </w:p>
    <w:p w14:paraId="4375DC49" w14:textId="77777777" w:rsidR="00413229" w:rsidRDefault="00413229" w:rsidP="00413229"/>
    <w:p w14:paraId="1B90C02D" w14:textId="77777777" w:rsidR="00413229" w:rsidRDefault="00413229" w:rsidP="00413229">
      <w:r>
        <w:t xml:space="preserve">Berle A and Means G, </w:t>
      </w:r>
      <w:r w:rsidRPr="00A74280">
        <w:rPr>
          <w:i/>
        </w:rPr>
        <w:t>The Modern Corporation and Private Property</w:t>
      </w:r>
      <w:r>
        <w:t xml:space="preserve"> (First published 1932, Reprint edition, Transaction Publishers 1991)</w:t>
      </w:r>
    </w:p>
    <w:p w14:paraId="1B294828" w14:textId="77777777" w:rsidR="00413229" w:rsidRDefault="00413229" w:rsidP="00413229"/>
    <w:p w14:paraId="19C1D6CA" w14:textId="77777777" w:rsidR="00413229" w:rsidRDefault="00413229" w:rsidP="00413229">
      <w:r>
        <w:t>Bernal A, ‘Country Report: Voluntary Corporate Governance Code in Colombia’ (2007) &lt;http://www.oecd.org/corporate/ca/corporategovernanceprinciples/39741294.pdf&gt;</w:t>
      </w:r>
    </w:p>
    <w:p w14:paraId="3C59B5F6" w14:textId="77777777" w:rsidR="00413229" w:rsidRDefault="00413229" w:rsidP="00413229"/>
    <w:p w14:paraId="58A66925" w14:textId="77777777" w:rsidR="00413229" w:rsidRDefault="00413229" w:rsidP="00413229">
      <w:r>
        <w:t>Bhaktavatsalam V, ‘Going With the Flow of Russia's Oil Boom’ Bloomberg News (26 February 2006) &lt; http://www.washingtonpost.com/wp-dyn/content/article/2006/02/25/AR2006022500231.html &gt;</w:t>
      </w:r>
    </w:p>
    <w:p w14:paraId="031C94ED" w14:textId="77777777" w:rsidR="00413229" w:rsidRDefault="00413229" w:rsidP="00413229"/>
    <w:p w14:paraId="7A89EB76" w14:textId="77777777" w:rsidR="00413229" w:rsidRDefault="00413229" w:rsidP="00413229">
      <w:r>
        <w:t>Biedny C, ‘Financial Development and Economic Growth: Does Stock Market Openness Matter’ (2012) 11 (1) Journal of International Business &amp; Law 225-238</w:t>
      </w:r>
    </w:p>
    <w:p w14:paraId="181B03E2" w14:textId="77777777" w:rsidR="00413229" w:rsidRDefault="00413229" w:rsidP="00413229"/>
    <w:p w14:paraId="5F70C2CD" w14:textId="77777777" w:rsidR="00413229" w:rsidRDefault="00413229" w:rsidP="00413229">
      <w:r>
        <w:t>Bilbao</w:t>
      </w:r>
      <w:r>
        <w:rPr>
          <w:rFonts w:ascii="Cambria Math" w:hAnsi="Cambria Math" w:cs="Cambria Math"/>
        </w:rPr>
        <w:t>‐</w:t>
      </w:r>
      <w:r>
        <w:t>Osorio B and Rodr</w:t>
      </w:r>
      <w:r>
        <w:rPr>
          <w:rFonts w:cs="Times New Roman"/>
        </w:rPr>
        <w:t>í</w:t>
      </w:r>
      <w:r>
        <w:t>guez</w:t>
      </w:r>
      <w:r>
        <w:rPr>
          <w:rFonts w:ascii="Cambria Math" w:hAnsi="Cambria Math" w:cs="Cambria Math"/>
        </w:rPr>
        <w:t>‐</w:t>
      </w:r>
      <w:r>
        <w:t xml:space="preserve">Pose A, </w:t>
      </w:r>
      <w:r>
        <w:rPr>
          <w:rFonts w:cs="Times New Roman"/>
        </w:rPr>
        <w:t>‘</w:t>
      </w:r>
      <w:r>
        <w:t>From R&amp;D to innovation and economic growth in the EU</w:t>
      </w:r>
      <w:r>
        <w:rPr>
          <w:rFonts w:cs="Times New Roman"/>
        </w:rPr>
        <w:t>’</w:t>
      </w:r>
      <w:r>
        <w:t xml:space="preserve"> (2004) 35 (4) Growth and Change 434-455</w:t>
      </w:r>
    </w:p>
    <w:p w14:paraId="03EE1A2D" w14:textId="77777777" w:rsidR="00413229" w:rsidRDefault="00413229" w:rsidP="00413229"/>
    <w:p w14:paraId="606EF2CF" w14:textId="77777777" w:rsidR="00413229" w:rsidRDefault="00413229" w:rsidP="00413229">
      <w:r>
        <w:t xml:space="preserve">Binet A, </w:t>
      </w:r>
      <w:r w:rsidRPr="005D3B17">
        <w:t xml:space="preserve">‘New methods for the diagnosis of the intellectual level of subnormals’ </w:t>
      </w:r>
      <w:r>
        <w:t xml:space="preserve">(1905) 12 L’Annee Psychologique191-244 as cited in Robert M. Thorndike, ‘IRT and Intelligence Testing Past, Present, and Future’ in Susan E. Embretson and Scott L. Hershberger (eds), </w:t>
      </w:r>
      <w:r w:rsidRPr="00E71C88">
        <w:rPr>
          <w:i/>
        </w:rPr>
        <w:t>The New Rules of Measurement: What Every Psychologist and Educator Should Know</w:t>
      </w:r>
      <w:r>
        <w:t xml:space="preserve"> (Psychology Press 1999) </w:t>
      </w:r>
    </w:p>
    <w:p w14:paraId="1B65CD76" w14:textId="77777777" w:rsidR="00413229" w:rsidRDefault="00413229" w:rsidP="00413229"/>
    <w:p w14:paraId="2B87EEAD" w14:textId="068A2148" w:rsidR="00413229" w:rsidRDefault="00413229" w:rsidP="00413229">
      <w:r>
        <w:lastRenderedPageBreak/>
        <w:t xml:space="preserve">Black B, </w:t>
      </w:r>
      <w:r w:rsidR="00C61B9C" w:rsidRPr="00C61B9C">
        <w:t xml:space="preserve">‘The corporate governance behaviour and market value of Russian firms’ (2001) 2 (2) Emerging Markets Review 89-108 </w:t>
      </w:r>
    </w:p>
    <w:p w14:paraId="18DC2F47" w14:textId="16938B0D" w:rsidR="00413229" w:rsidRDefault="00413229" w:rsidP="00413229">
      <w:r w:rsidRPr="00076237">
        <w:t>— —</w:t>
      </w:r>
      <w:r>
        <w:t xml:space="preserve"> </w:t>
      </w:r>
      <w:r w:rsidR="00C61B9C">
        <w:t>Carvalho AG</w:t>
      </w:r>
      <w:r w:rsidR="00C61B9C" w:rsidRPr="00C61B9C">
        <w:t xml:space="preserve">, </w:t>
      </w:r>
      <w:r w:rsidR="00C61B9C">
        <w:t>Khanna V</w:t>
      </w:r>
      <w:r w:rsidR="00C61B9C" w:rsidRPr="00C61B9C">
        <w:t>, Kim</w:t>
      </w:r>
      <w:r w:rsidR="00C61B9C">
        <w:t xml:space="preserve"> W</w:t>
      </w:r>
      <w:r w:rsidR="00C61B9C" w:rsidRPr="00C61B9C">
        <w:t>, Yurtogl</w:t>
      </w:r>
      <w:r w:rsidR="00C61B9C">
        <w:t xml:space="preserve"> B,</w:t>
      </w:r>
      <w:r w:rsidR="00C61B9C" w:rsidRPr="00C61B9C">
        <w:t xml:space="preserve"> ‘Methods for Multicountry Studies of Corporate Governance (and Evidence from the BRIKT Countries)’ (2013) Northwestern University School of Law Law and Economics Research Paper No. 13-05 available at &lt; http://ssrn.com/abstract=2219525 &gt; accessed 10 May 2015</w:t>
      </w:r>
      <w:r w:rsidR="00C61B9C">
        <w:t xml:space="preserve"> later published at (2014) 183 (2) </w:t>
      </w:r>
      <w:r w:rsidR="00C61B9C" w:rsidRPr="00C61B9C">
        <w:t>Journal of Econometrics</w:t>
      </w:r>
      <w:r w:rsidR="00C61B9C">
        <w:t xml:space="preserve"> 230</w:t>
      </w:r>
    </w:p>
    <w:p w14:paraId="520E74C2" w14:textId="77777777" w:rsidR="00413229" w:rsidRDefault="00413229" w:rsidP="00413229">
      <w:r w:rsidRPr="00076237">
        <w:t>— —</w:t>
      </w:r>
      <w:r>
        <w:t xml:space="preserve"> Carvalho AGD and Gorga E, ‘Corporate governance in Brazil.’ (2010) 11 (1) Emerging Markets Review 21-38 at 23,24.</w:t>
      </w:r>
    </w:p>
    <w:p w14:paraId="0FA218A3" w14:textId="77777777" w:rsidR="00413229" w:rsidRDefault="00413229" w:rsidP="00413229">
      <w:r w:rsidRPr="00076237">
        <w:t>— —</w:t>
      </w:r>
      <w:r>
        <w:t xml:space="preserve"> Jang H and Kim W, ‘Does corporate governance predict firms’ market values? Evidence from Korea’ (2006) 22 (2) Journal of Law, Economics, and Organization 366-413</w:t>
      </w:r>
    </w:p>
    <w:p w14:paraId="5897D6BE" w14:textId="2D41579B" w:rsidR="00413229" w:rsidRDefault="00413229" w:rsidP="00413229">
      <w:r w:rsidRPr="00405674">
        <w:t xml:space="preserve">— —Woochan Kim </w:t>
      </w:r>
      <w:r>
        <w:t>W, Jang H and Park KS, ‘How Corporate Governance affects Firm Value: Evidence on Channels from Korea’ (2009) available at &lt;http://ssrn.com/abstract=844744&gt;</w:t>
      </w:r>
      <w:r w:rsidR="00C61B9C">
        <w:t xml:space="preserve"> a version of this paper was published as </w:t>
      </w:r>
      <w:r w:rsidR="0027423A">
        <w:t>‘</w:t>
      </w:r>
      <w:r w:rsidR="0027423A" w:rsidRPr="0027423A">
        <w:t>How corporate governance affect firm value? Evidence on a self-dealing channel from a natural experiment in Ko</w:t>
      </w:r>
      <w:r w:rsidR="0027423A">
        <w:t>rea’ (2015) 51 Journal of Banking and Finance 131-150</w:t>
      </w:r>
      <w:r>
        <w:t xml:space="preserve"> </w:t>
      </w:r>
    </w:p>
    <w:p w14:paraId="54161356" w14:textId="77777777" w:rsidR="00413229" w:rsidRDefault="00413229" w:rsidP="00413229">
      <w:r w:rsidRPr="00405674">
        <w:t>— —</w:t>
      </w:r>
      <w:r>
        <w:t xml:space="preserve"> Jang H</w:t>
      </w:r>
      <w:r w:rsidRPr="00405674">
        <w:t xml:space="preserve"> and Kim W</w:t>
      </w:r>
      <w:r>
        <w:t xml:space="preserve">, ‘Predicting Firms’ Corporate Governance Choices: Evidence from Korea’ (2006) 12 Journal of Corporate Finance 660-691 </w:t>
      </w:r>
    </w:p>
    <w:p w14:paraId="6DF09BB0" w14:textId="77777777" w:rsidR="00413229" w:rsidRDefault="00413229" w:rsidP="00413229">
      <w:r w:rsidRPr="00405674">
        <w:t>— — ‘The Corporate Governance Behavior and Market Value of Russian Firms’ (2001) 2 Emerging Markets Review 89-108</w:t>
      </w:r>
    </w:p>
    <w:p w14:paraId="429199C9" w14:textId="3ECA9227" w:rsidR="00413229" w:rsidRDefault="00413229" w:rsidP="00413229">
      <w:r w:rsidRPr="00405674">
        <w:t>— — Kraakman R and Tarassova A, ‘Russian privatization and corporate governance: what went wrong?’ (2000) Stanford law review 1731-1808 &lt;http://wdi.umich.edu/files/publications/workingpapers/wp269.pdf&gt;</w:t>
      </w:r>
      <w:r w:rsidR="0027423A">
        <w:t xml:space="preserve"> </w:t>
      </w:r>
      <w:r w:rsidR="0027423A" w:rsidRPr="0027423A">
        <w:t xml:space="preserve">published in </w:t>
      </w:r>
      <w:r w:rsidR="0027423A">
        <w:t xml:space="preserve">(2000) 52 </w:t>
      </w:r>
      <w:r w:rsidR="0027423A" w:rsidRPr="0027423A">
        <w:t>Stanford Law Review 1731-1808</w:t>
      </w:r>
    </w:p>
    <w:p w14:paraId="66C58E9B" w14:textId="77777777" w:rsidR="00413229" w:rsidRDefault="00413229" w:rsidP="00413229"/>
    <w:p w14:paraId="43FCC14D" w14:textId="7C55A886" w:rsidR="00413229" w:rsidRDefault="00413229" w:rsidP="00413229">
      <w:r>
        <w:t xml:space="preserve">Blois JL, </w:t>
      </w:r>
      <w:r w:rsidR="0027423A">
        <w:t>Williams JW, Grimm EC</w:t>
      </w:r>
      <w:r w:rsidR="0027423A" w:rsidRPr="0027423A">
        <w:t xml:space="preserve">, </w:t>
      </w:r>
      <w:r w:rsidR="0027423A">
        <w:t xml:space="preserve">Jackson ST, </w:t>
      </w:r>
      <w:r w:rsidR="0027423A" w:rsidRPr="0027423A">
        <w:t>Graham</w:t>
      </w:r>
      <w:r w:rsidR="0027423A">
        <w:t xml:space="preserve"> RW,</w:t>
      </w:r>
      <w:r w:rsidR="0027423A" w:rsidRPr="0027423A">
        <w:t xml:space="preserve"> </w:t>
      </w:r>
      <w:r>
        <w:t>‘A methodological framework for assessing and reducing temporal uncertainty in paleovegetation mapping from late-Quaternary pollen records.’ (2011) 30 (15) Quaternary Science Reviews 1926-1939</w:t>
      </w:r>
    </w:p>
    <w:p w14:paraId="52907D84" w14:textId="77777777" w:rsidR="00413229" w:rsidRDefault="00413229" w:rsidP="00413229"/>
    <w:p w14:paraId="0C2C02EE" w14:textId="77777777" w:rsidR="00413229" w:rsidRDefault="00413229" w:rsidP="00413229">
      <w:r>
        <w:lastRenderedPageBreak/>
        <w:t>Blonigen BA, ‘Firm-specific assets and the link between exchange rates and foreign direct investment’ (1997) The American Economic Review  447-465</w:t>
      </w:r>
    </w:p>
    <w:p w14:paraId="0F790D00" w14:textId="77777777" w:rsidR="00413229" w:rsidRDefault="00413229" w:rsidP="00413229"/>
    <w:p w14:paraId="31F476BE" w14:textId="77777777" w:rsidR="00413229" w:rsidRDefault="00413229" w:rsidP="00413229">
      <w:r w:rsidRPr="00405674">
        <w:t xml:space="preserve">Bock RD, ‘The mental growth curve reexamined’, in D J Weiss (ed.), </w:t>
      </w:r>
      <w:r w:rsidRPr="00405674">
        <w:rPr>
          <w:i/>
        </w:rPr>
        <w:t>New Horizons in Testing</w:t>
      </w:r>
      <w:r w:rsidRPr="00405674">
        <w:t xml:space="preserve"> (New York: Academic Press 1983)</w:t>
      </w:r>
    </w:p>
    <w:p w14:paraId="0A7C2447" w14:textId="77777777" w:rsidR="00413229" w:rsidRDefault="00413229" w:rsidP="00413229">
      <w:r w:rsidRPr="00405674">
        <w:t>— — Bock RD, ‘A brief history of item theory response’ (1997) 16(4) Educational Measurement: Issues and Practice 21-33</w:t>
      </w:r>
    </w:p>
    <w:p w14:paraId="578875AF" w14:textId="77777777" w:rsidR="00413229" w:rsidRDefault="00413229" w:rsidP="00413229">
      <w:r w:rsidRPr="00405674">
        <w:t>— —</w:t>
      </w:r>
      <w:r>
        <w:t xml:space="preserve"> and Aitkin M, ‘Marginal Maximum Likelihood Estimation of Item Parameters: Application of an EM Algorithm.’ (1981) 46 (4) Psychometrika 443-459</w:t>
      </w:r>
    </w:p>
    <w:p w14:paraId="291795C4" w14:textId="77777777" w:rsidR="00413229" w:rsidRDefault="00413229" w:rsidP="00413229"/>
    <w:p w14:paraId="08D935DB" w14:textId="77777777" w:rsidR="00413229" w:rsidRDefault="00413229" w:rsidP="00413229">
      <w:r>
        <w:t>Bodea C and Elbadawi IA, ‘Political Violence and Economic Growth, (2008) World Bank, Washington available at &lt;</w:t>
      </w:r>
      <w:r w:rsidRPr="00405674">
        <w:t>https://openknowledge.worldbank.org/handle/10986/6805</w:t>
      </w:r>
      <w:r>
        <w:t>&gt;</w:t>
      </w:r>
    </w:p>
    <w:p w14:paraId="0FF3C823" w14:textId="77777777" w:rsidR="00413229" w:rsidRDefault="00413229" w:rsidP="00413229"/>
    <w:p w14:paraId="16519553" w14:textId="77777777" w:rsidR="00413229" w:rsidRDefault="00413229" w:rsidP="00413229">
      <w:r>
        <w:t>Bove V and Elia L, ‘The impact of American and British involvement in Afghanistan and Iraq on health spending, military spending and economic growth’ (2014) 14 (1) The BE Journal of Macroeconomics 325–339</w:t>
      </w:r>
    </w:p>
    <w:p w14:paraId="52DA43E1" w14:textId="77777777" w:rsidR="00413229" w:rsidRDefault="00413229" w:rsidP="00413229"/>
    <w:p w14:paraId="1A6AE775" w14:textId="4393EFE3" w:rsidR="00413229" w:rsidRDefault="00413229" w:rsidP="00413229">
      <w:r>
        <w:t>Bowen RM, Rajgopal S and Venkatachalam M, ‘Accounting choice, corporate governance and firm performance’ (2002) Working paper, University of Washington at Seattle</w:t>
      </w:r>
      <w:r w:rsidR="005747CB">
        <w:t xml:space="preserve"> later published as ‘</w:t>
      </w:r>
      <w:r w:rsidR="005747CB" w:rsidRPr="005747CB">
        <w:t>Accounting Discretion, Corporate G</w:t>
      </w:r>
      <w:r w:rsidR="005747CB">
        <w:t xml:space="preserve">overnance, and Firm Performance’ (2008) 25 (2) </w:t>
      </w:r>
      <w:r w:rsidR="005747CB" w:rsidRPr="005747CB">
        <w:t>Contemporary Accounting Research</w:t>
      </w:r>
      <w:r w:rsidR="005747CB">
        <w:t xml:space="preserve"> 351-405</w:t>
      </w:r>
    </w:p>
    <w:p w14:paraId="123E2961" w14:textId="77777777" w:rsidR="00413229" w:rsidRDefault="00413229" w:rsidP="00413229"/>
    <w:p w14:paraId="75C638B7" w14:textId="7D2F0C05" w:rsidR="00413229" w:rsidRDefault="00413229" w:rsidP="00413229">
      <w:proofErr w:type="spellStart"/>
      <w:r>
        <w:t>Bradlow</w:t>
      </w:r>
      <w:proofErr w:type="spellEnd"/>
      <w:r>
        <w:t xml:space="preserve"> E, </w:t>
      </w:r>
      <w:proofErr w:type="spellStart"/>
      <w:r w:rsidR="005747CB" w:rsidRPr="005747CB">
        <w:t>Wainer</w:t>
      </w:r>
      <w:proofErr w:type="spellEnd"/>
      <w:r w:rsidR="005747CB" w:rsidRPr="005747CB">
        <w:t xml:space="preserve"> </w:t>
      </w:r>
      <w:r w:rsidR="005747CB">
        <w:t xml:space="preserve"> H and </w:t>
      </w:r>
      <w:r w:rsidR="005747CB" w:rsidRPr="005747CB">
        <w:t xml:space="preserve">Wang </w:t>
      </w:r>
      <w:r w:rsidR="005747CB">
        <w:t xml:space="preserve"> X, </w:t>
      </w:r>
      <w:r>
        <w:t>‘A Bayesian random effects model for testlets’, (1999) 64 Psychometrika 153–168</w:t>
      </w:r>
    </w:p>
    <w:p w14:paraId="507AB373" w14:textId="77777777" w:rsidR="00413229" w:rsidRDefault="00413229" w:rsidP="00413229"/>
    <w:p w14:paraId="0E431D12" w14:textId="72E002FE" w:rsidR="00413229" w:rsidRDefault="00413229" w:rsidP="00413229">
      <w:r>
        <w:t xml:space="preserve">Braunerhjelm P and Thulin P, ‘Can countries create comparative advantages? R&amp;D expenditures, high-tech exports and country size in 19 OECD countries, 1981–1999’ (2008) 22 (1) International </w:t>
      </w:r>
      <w:r w:rsidR="005747CB">
        <w:t xml:space="preserve">Economic Journal </w:t>
      </w:r>
      <w:r>
        <w:t>95-111</w:t>
      </w:r>
    </w:p>
    <w:p w14:paraId="3FBEEA4B" w14:textId="77777777" w:rsidR="00413229" w:rsidRDefault="00413229" w:rsidP="00413229"/>
    <w:p w14:paraId="1A2F2646" w14:textId="77777777" w:rsidR="00413229" w:rsidRDefault="00413229" w:rsidP="00413229">
      <w:r>
        <w:t>Brown LD and Caylor ML, ‘</w:t>
      </w:r>
      <w:r w:rsidRPr="00FF1A70">
        <w:t>Corporate governance and firm valuation</w:t>
      </w:r>
      <w:r>
        <w:t>’ (2006) 25 (4) Journal of Accounting and Public Policy 409-434</w:t>
      </w:r>
    </w:p>
    <w:p w14:paraId="1DDC1BE8" w14:textId="77777777" w:rsidR="00413229" w:rsidRDefault="00413229" w:rsidP="00413229"/>
    <w:p w14:paraId="202749E8" w14:textId="77777777" w:rsidR="00413229" w:rsidRDefault="00413229" w:rsidP="00413229">
      <w:r>
        <w:t xml:space="preserve">Bruton et al., ‘Governance, ownership structure, and performance of IPO firms: the impact of different types of private equity investors and institutional environments’ (2010) 31 (5) Strategic Management Journal 491-509 </w:t>
      </w:r>
    </w:p>
    <w:p w14:paraId="1E4B0CB8" w14:textId="77777777" w:rsidR="00413229" w:rsidRDefault="00413229" w:rsidP="00413229"/>
    <w:p w14:paraId="4033B49A" w14:textId="16DFBE44" w:rsidR="00413229" w:rsidRDefault="00413229" w:rsidP="00413229">
      <w:r>
        <w:t xml:space="preserve">Brynjolfsson E and Yang S, ‘Information Technology and Productivity: A Review of the Literature’ (1996) 43 Advances in </w:t>
      </w:r>
      <w:r w:rsidR="005747CB">
        <w:t>C</w:t>
      </w:r>
      <w:r>
        <w:t>omputer 179–214</w:t>
      </w:r>
    </w:p>
    <w:p w14:paraId="1AA455E8" w14:textId="77777777" w:rsidR="00413229" w:rsidRDefault="00413229" w:rsidP="00413229"/>
    <w:p w14:paraId="2D807694" w14:textId="77777777" w:rsidR="00413229" w:rsidRDefault="00413229" w:rsidP="00413229">
      <w:r>
        <w:t xml:space="preserve">Burhop C, Chambers D and Cheffins BR,  ‘Regulating IPOs: Evidence from Going Public in London and Berlin, 1900-1913’ (2012) ECGI - Law Working Paper No. 180/2011 &lt;http://ssrn.com/abstract=1884190&gt;  </w:t>
      </w:r>
    </w:p>
    <w:p w14:paraId="3451E8AE" w14:textId="77777777" w:rsidR="00413229" w:rsidRDefault="00413229" w:rsidP="00413229"/>
    <w:p w14:paraId="455817AE" w14:textId="77777777" w:rsidR="00413229" w:rsidRDefault="00413229" w:rsidP="00413229">
      <w:r>
        <w:t>Bussière M, ‘Balance of payment crises in emerging markets: how early were the ‘early’ warning signals?’ (2013) 45 (12) Applied Economics 1601-1620</w:t>
      </w:r>
    </w:p>
    <w:p w14:paraId="5F913817" w14:textId="77777777" w:rsidR="00413229" w:rsidRDefault="00413229" w:rsidP="00413229"/>
    <w:p w14:paraId="6121A7F0" w14:textId="77777777" w:rsidR="00413229" w:rsidRDefault="00413229" w:rsidP="00413229">
      <w:r>
        <w:t>Cadbury A, ‘Financial Reporting Council, Report of the Committee on the Financial Aspects of Corporate Governance (Cadbury Report)’ (1992)</w:t>
      </w:r>
    </w:p>
    <w:p w14:paraId="63349D5E" w14:textId="77777777" w:rsidR="00413229" w:rsidRDefault="00413229" w:rsidP="00413229"/>
    <w:p w14:paraId="748610A9" w14:textId="53E6D1F3" w:rsidR="00413229" w:rsidRDefault="00413229" w:rsidP="00413229">
      <w:r>
        <w:t>Canova TA, ‘Financial Market Failure as a Crisis in the Rule of Law: From Market Fundamentalism to a New Keynesian Regulatory Model’ (2009) Chapman University Law Research Paper No. 09-39 &lt;</w:t>
      </w:r>
      <w:r w:rsidRPr="00405674">
        <w:t>http://ssrn.com/abstract=1489492</w:t>
      </w:r>
      <w:r>
        <w:t>&gt;</w:t>
      </w:r>
      <w:r w:rsidR="005747CB">
        <w:t xml:space="preserve"> published as (2009) </w:t>
      </w:r>
      <w:r w:rsidR="007D1899">
        <w:t>3</w:t>
      </w:r>
      <w:r w:rsidR="005747CB">
        <w:t xml:space="preserve"> </w:t>
      </w:r>
      <w:r w:rsidR="007D1899">
        <w:t xml:space="preserve">(2) </w:t>
      </w:r>
      <w:r w:rsidR="005747CB" w:rsidRPr="005747CB">
        <w:t>Harvard Law &amp; Policy Review</w:t>
      </w:r>
      <w:r>
        <w:t xml:space="preserve"> </w:t>
      </w:r>
      <w:r w:rsidR="007D1899">
        <w:t>369-396</w:t>
      </w:r>
    </w:p>
    <w:p w14:paraId="563A2AB7" w14:textId="77777777" w:rsidR="00413229" w:rsidRDefault="00413229" w:rsidP="00413229"/>
    <w:p w14:paraId="108589F9" w14:textId="77777777" w:rsidR="00413229" w:rsidRDefault="00413229" w:rsidP="00413229">
      <w:r>
        <w:t xml:space="preserve">Cappiello L et al., ‘Asymmetric Dynamics in the Correlations of Global Equity and Bond Returns’ (2006) 4 (4) Journal of Financial Econometrics 537-572 </w:t>
      </w:r>
    </w:p>
    <w:p w14:paraId="6E0AC09D" w14:textId="77777777" w:rsidR="00413229" w:rsidRDefault="00413229" w:rsidP="00413229"/>
    <w:p w14:paraId="2D8C38DA" w14:textId="77777777" w:rsidR="00413229" w:rsidRDefault="00413229" w:rsidP="00413229">
      <w:r>
        <w:t>Castelló A and Doménech R, ‘Human capital inequality and economic growth: some new evidence’ (2002) 112 (478) The economic journal C187-C200</w:t>
      </w:r>
    </w:p>
    <w:p w14:paraId="776DD9BC" w14:textId="77777777" w:rsidR="00413229" w:rsidRDefault="00413229" w:rsidP="00413229"/>
    <w:p w14:paraId="4C46F9A2" w14:textId="77777777" w:rsidR="00413229" w:rsidRDefault="00413229" w:rsidP="00413229">
      <w:r>
        <w:t>CBR, Law, Finance &amp; Development, CBR (2005-2009) &lt;http://www.cbr.cam.ac.uk/research/research-projects/completed-projects/law-finance-development/&gt; accessed 10 May 2015.</w:t>
      </w:r>
    </w:p>
    <w:p w14:paraId="59E38AC0" w14:textId="77777777" w:rsidR="00413229" w:rsidRDefault="00413229" w:rsidP="00413229"/>
    <w:p w14:paraId="094ECBDC" w14:textId="77777777" w:rsidR="00413229" w:rsidRDefault="00413229" w:rsidP="00413229">
      <w:r>
        <w:t>Chambers D et al., ‘Excess returns to R&amp;D-intensive firms’ (2000) 7 Review of Accounting Studies 133–158</w:t>
      </w:r>
    </w:p>
    <w:p w14:paraId="2EEF5DD0" w14:textId="77777777" w:rsidR="00413229" w:rsidRDefault="00413229" w:rsidP="00413229"/>
    <w:p w14:paraId="2FEEB274" w14:textId="77777777" w:rsidR="00413229" w:rsidRDefault="00413229" w:rsidP="00413229">
      <w:r>
        <w:t>Chan L et al., ‘The stock market valuation of research and development expenditures’ (2001) 56 Journal of Finance 2431–2456</w:t>
      </w:r>
    </w:p>
    <w:p w14:paraId="7340E753" w14:textId="77777777" w:rsidR="00413229" w:rsidRDefault="00413229" w:rsidP="00413229"/>
    <w:p w14:paraId="1BF75D88" w14:textId="77777777" w:rsidR="00413229" w:rsidRDefault="00413229" w:rsidP="00413229">
      <w:r>
        <w:t xml:space="preserve">Chan SH et al., ‘Corporate research and development expenditures and share value’ (1990) 26 Journal of Financial Economics 255–276 </w:t>
      </w:r>
    </w:p>
    <w:p w14:paraId="7BCBDFFA" w14:textId="77777777" w:rsidR="00413229" w:rsidRDefault="00413229" w:rsidP="00413229"/>
    <w:p w14:paraId="575C7527" w14:textId="77777777" w:rsidR="00413229" w:rsidRDefault="00413229" w:rsidP="00413229">
      <w:r>
        <w:t>Chang HJ, ‘This is no recovery, this is a bubble – and it will burst’ (The Guardian, 24 February 2014) &lt;http://www.theguardian.com/commentisfree/2014/feb/24/recovery-bubble-crash-uk-us-investors&gt;</w:t>
      </w:r>
    </w:p>
    <w:p w14:paraId="11073243" w14:textId="77777777" w:rsidR="00413229" w:rsidRDefault="00413229" w:rsidP="00413229"/>
    <w:p w14:paraId="5C1FE6B1" w14:textId="77777777" w:rsidR="00413229" w:rsidRDefault="00413229" w:rsidP="00413229">
      <w:r>
        <w:t xml:space="preserve">Charkham J, The American Corporation and the Institutional Investor: Are There Lessons from Abroad: Hands Across Sea (1988) 3 Columbia Business Law Review 765-774 </w:t>
      </w:r>
    </w:p>
    <w:p w14:paraId="4EE1F089" w14:textId="77777777" w:rsidR="00413229" w:rsidRDefault="00413229" w:rsidP="00413229"/>
    <w:p w14:paraId="4CD5A89C" w14:textId="2092F113" w:rsidR="00413229" w:rsidRDefault="00413229" w:rsidP="00413229">
      <w:r>
        <w:t xml:space="preserve">Cheffins </w:t>
      </w:r>
      <w:r w:rsidR="007D1899">
        <w:t xml:space="preserve">B, </w:t>
      </w:r>
      <w:r w:rsidR="007D1899" w:rsidRPr="007D1899">
        <w:t>Koustas</w:t>
      </w:r>
      <w:r w:rsidR="007D1899">
        <w:t xml:space="preserve"> DK and</w:t>
      </w:r>
      <w:r w:rsidR="007D1899" w:rsidRPr="007D1899">
        <w:t xml:space="preserve"> Chambers</w:t>
      </w:r>
      <w:r w:rsidR="007D1899">
        <w:t xml:space="preserve"> D</w:t>
      </w:r>
      <w:r>
        <w:t xml:space="preserve"> ‘Ownership Dispersion and the London Stock Exchange’s 'Two-Thirds Rule': An Empirical Test’ (2012). University of Cambridge Faculty of Law Research Paper No. 17/2012. Available at &lt;http://ssrn.com/abstract=2094538&gt;</w:t>
      </w:r>
      <w:r w:rsidR="007D1899">
        <w:t xml:space="preserve"> published as (2013) 55 (4) Business History </w:t>
      </w:r>
      <w:r w:rsidR="007D1899" w:rsidRPr="007D1899">
        <w:t>670-693</w:t>
      </w:r>
      <w:r>
        <w:t xml:space="preserve"> </w:t>
      </w:r>
    </w:p>
    <w:p w14:paraId="3BB257A4" w14:textId="77777777" w:rsidR="00413229" w:rsidRDefault="00413229" w:rsidP="00413229"/>
    <w:p w14:paraId="43D908CB" w14:textId="77777777" w:rsidR="00413229" w:rsidRDefault="00413229" w:rsidP="00413229">
      <w:r>
        <w:t>Chemmanur TJ, Paeglis I, and Simonyan K, ‘Management quality and antitakeover provisions.’ (2011) 54 (3) Journal of Law and Economics 651-692</w:t>
      </w:r>
    </w:p>
    <w:p w14:paraId="783321E5" w14:textId="77777777" w:rsidR="00413229" w:rsidRDefault="00413229" w:rsidP="00413229"/>
    <w:p w14:paraId="5CA83956" w14:textId="1FB26EEF" w:rsidR="00413229" w:rsidRDefault="00413229" w:rsidP="00413229">
      <w:r>
        <w:t xml:space="preserve">Cheung </w:t>
      </w:r>
      <w:r w:rsidR="00C90A78">
        <w:t>YL</w:t>
      </w:r>
      <w:r>
        <w:t xml:space="preserve">, </w:t>
      </w:r>
      <w:r w:rsidR="00C90A78" w:rsidRPr="00C90A78">
        <w:t xml:space="preserve">Connelly </w:t>
      </w:r>
      <w:r w:rsidR="00C90A78">
        <w:t xml:space="preserve"> JT, </w:t>
      </w:r>
      <w:proofErr w:type="spellStart"/>
      <w:r w:rsidR="00C90A78" w:rsidRPr="00C90A78">
        <w:t>Limpaphayom</w:t>
      </w:r>
      <w:proofErr w:type="spellEnd"/>
      <w:r w:rsidR="00C90A78" w:rsidRPr="00C90A78">
        <w:t xml:space="preserve"> </w:t>
      </w:r>
      <w:r w:rsidR="00C90A78">
        <w:t xml:space="preserve"> P and </w:t>
      </w:r>
      <w:r w:rsidR="00C90A78" w:rsidRPr="00C90A78">
        <w:t xml:space="preserve">Zhou </w:t>
      </w:r>
      <w:r w:rsidR="00C90A78">
        <w:t xml:space="preserve"> L, </w:t>
      </w:r>
      <w:r>
        <w:t xml:space="preserve">‘Do Investors really value Corporate Governance? Evidence from the Hong Kong Market’ (2005) HKIMR Working Paper No. 22/2005 </w:t>
      </w:r>
      <w:r w:rsidR="00C90A78">
        <w:t xml:space="preserve">published at (2007) 18 (2) </w:t>
      </w:r>
      <w:r w:rsidR="00C90A78" w:rsidRPr="00C90A78">
        <w:t>Journal of International Financial Management &amp; Accounting</w:t>
      </w:r>
      <w:r w:rsidR="00C90A78">
        <w:t xml:space="preserve"> 86-122</w:t>
      </w:r>
    </w:p>
    <w:p w14:paraId="3CAC8EB4" w14:textId="77777777" w:rsidR="00413229" w:rsidRDefault="00413229" w:rsidP="00413229"/>
    <w:p w14:paraId="42EB6FE6" w14:textId="6B9E0432" w:rsidR="00413229" w:rsidRDefault="00413229" w:rsidP="00413229">
      <w:r>
        <w:t xml:space="preserve">Chinzara Z, ‘Macroeconomic uncertainty and emerging market stock market volatility: The case for South Africa’ (2010) Economic Research Southern Africa </w:t>
      </w:r>
      <w:r w:rsidR="00C90A78">
        <w:t xml:space="preserve">Working paper no. </w:t>
      </w:r>
      <w:r>
        <w:t xml:space="preserve">187 </w:t>
      </w:r>
    </w:p>
    <w:p w14:paraId="5D30A298" w14:textId="77777777" w:rsidR="00413229" w:rsidRDefault="00413229" w:rsidP="00413229"/>
    <w:p w14:paraId="2DDA8B78" w14:textId="77777777" w:rsidR="00413229" w:rsidRDefault="00413229" w:rsidP="00413229">
      <w:r>
        <w:t xml:space="preserve">Chirico F and Larouche P, ‘Convergence and Divergence, in Law and Economics and Comparative Law’ in P. Larouche and P. Cserne (eds.), </w:t>
      </w:r>
      <w:r w:rsidRPr="008C6535">
        <w:rPr>
          <w:i/>
        </w:rPr>
        <w:t>National Legal Systems and Globalization</w:t>
      </w:r>
      <w:r>
        <w:t xml:space="preserve"> (Springer 2013)</w:t>
      </w:r>
    </w:p>
    <w:p w14:paraId="342543CD" w14:textId="77777777" w:rsidR="00413229" w:rsidRDefault="00413229" w:rsidP="00413229"/>
    <w:p w14:paraId="14A6D4B6" w14:textId="77777777" w:rsidR="00413229" w:rsidRDefault="00413229" w:rsidP="00413229">
      <w:r>
        <w:t>Chong A and López-de-Silanes F, ‘Corporate governance and firm value in Mexico’ (2006) &lt; http://ssrn.com/abstract=1820043 &gt;</w:t>
      </w:r>
    </w:p>
    <w:p w14:paraId="5F3AF74C" w14:textId="77777777" w:rsidR="00413229" w:rsidRDefault="00413229" w:rsidP="00413229"/>
    <w:p w14:paraId="742E0CC0" w14:textId="1B569128" w:rsidR="00413229" w:rsidRDefault="00413229" w:rsidP="00413229">
      <w:proofErr w:type="spellStart"/>
      <w:r>
        <w:t>Chontanawat</w:t>
      </w:r>
      <w:proofErr w:type="spellEnd"/>
      <w:r>
        <w:t xml:space="preserve"> J, </w:t>
      </w:r>
      <w:r w:rsidR="00C90A78">
        <w:t xml:space="preserve">Hunt LC and Pierse R, </w:t>
      </w:r>
      <w:r>
        <w:t>‘Does energy consumption cause economic growth?: Evidence from a systematic study of over 100 countries’ (2008) 30 (2) Journal of Policy Modelling 209-220</w:t>
      </w:r>
    </w:p>
    <w:p w14:paraId="25AC2267" w14:textId="77777777" w:rsidR="00413229" w:rsidRDefault="00413229" w:rsidP="00413229"/>
    <w:p w14:paraId="57B09E9C" w14:textId="630B6633" w:rsidR="00413229" w:rsidRDefault="00413229" w:rsidP="00413229">
      <w:proofErr w:type="spellStart"/>
      <w:r>
        <w:t>Chowdhry</w:t>
      </w:r>
      <w:proofErr w:type="spellEnd"/>
      <w:r w:rsidR="00FC38B7">
        <w:t xml:space="preserve"> B</w:t>
      </w:r>
      <w:r>
        <w:t xml:space="preserve">, </w:t>
      </w:r>
      <w:r w:rsidR="00FC38B7">
        <w:t xml:space="preserve">Roll R and Xia Y, </w:t>
      </w:r>
      <w:r>
        <w:t>‘Extracting inflation from stock returns to test purchasing power parity’ (2005) 95 (1) American Economic Review 255-276</w:t>
      </w:r>
    </w:p>
    <w:p w14:paraId="2DC1B4AB" w14:textId="77777777" w:rsidR="00413229" w:rsidRDefault="00413229" w:rsidP="00413229"/>
    <w:p w14:paraId="7B3CD078" w14:textId="77777777" w:rsidR="00413229" w:rsidRDefault="00413229" w:rsidP="00413229">
      <w:r>
        <w:t>Chung KH, Elder J and Kim JC, ‘Corporate governance and liquidity’ (2010) Journal of Financial and Quantitative Analysis 265-291</w:t>
      </w:r>
    </w:p>
    <w:p w14:paraId="67168F51" w14:textId="77777777" w:rsidR="00413229" w:rsidRDefault="00413229" w:rsidP="00413229"/>
    <w:p w14:paraId="6784FCB3" w14:textId="77777777" w:rsidR="00413229" w:rsidRDefault="00413229" w:rsidP="00413229">
      <w:r>
        <w:t>Chung KH, Wright P and Kedia B, ‘Corporate governance and market valuation of capital and R&amp;D investments’ (2003) 12 (2) Review of Financial Economics 161</w:t>
      </w:r>
    </w:p>
    <w:p w14:paraId="73DF5CE7" w14:textId="77777777" w:rsidR="00413229" w:rsidRDefault="00413229" w:rsidP="00413229"/>
    <w:p w14:paraId="5AFC101D" w14:textId="475C94FC" w:rsidR="00413229" w:rsidRDefault="00413229" w:rsidP="00413229">
      <w:proofErr w:type="spellStart"/>
      <w:r>
        <w:t>Claessens</w:t>
      </w:r>
      <w:proofErr w:type="spellEnd"/>
      <w:r>
        <w:t xml:space="preserve"> </w:t>
      </w:r>
      <w:r w:rsidR="00FC38B7">
        <w:t>S</w:t>
      </w:r>
      <w:r>
        <w:t xml:space="preserve">, </w:t>
      </w:r>
      <w:proofErr w:type="spellStart"/>
      <w:r w:rsidR="00FC38B7">
        <w:t>Djankov</w:t>
      </w:r>
      <w:proofErr w:type="spellEnd"/>
      <w:r w:rsidR="00FC38B7">
        <w:t xml:space="preserve"> S and Lang LHP, </w:t>
      </w:r>
      <w:r>
        <w:t>‘The separation of ownership and control in East Asian corporations’ (2000) 58 (1) Journal of financial Economics 81</w:t>
      </w:r>
    </w:p>
    <w:p w14:paraId="13030EAA" w14:textId="77777777" w:rsidR="00413229" w:rsidRDefault="00413229" w:rsidP="00413229"/>
    <w:p w14:paraId="77565956" w14:textId="39FA44DE" w:rsidR="00413229" w:rsidRDefault="00413229" w:rsidP="00413229">
      <w:r>
        <w:t>Claessens S and Fan J, ‘Corporate governance in Asia: A survey’ (</w:t>
      </w:r>
      <w:r w:rsidR="000A710F">
        <w:t xml:space="preserve">2002) 3 (2) </w:t>
      </w:r>
      <w:r>
        <w:t>International Review of Finance 71</w:t>
      </w:r>
    </w:p>
    <w:p w14:paraId="46AE2051" w14:textId="77777777" w:rsidR="00413229" w:rsidRDefault="00413229" w:rsidP="00413229"/>
    <w:p w14:paraId="211AA8CE" w14:textId="77777777" w:rsidR="00413229" w:rsidRDefault="00413229" w:rsidP="00413229">
      <w:r>
        <w:lastRenderedPageBreak/>
        <w:t>Clark JB, ‘For a historical treatment of the issue see The Economic Costs of War’ (1916) 6 (1) The American Economic Review 85-93</w:t>
      </w:r>
    </w:p>
    <w:p w14:paraId="16CAB776" w14:textId="77777777" w:rsidR="00413229" w:rsidRDefault="00413229" w:rsidP="00413229"/>
    <w:p w14:paraId="79ECEE6C" w14:textId="77777777" w:rsidR="00413229" w:rsidRDefault="00413229" w:rsidP="00413229">
      <w:r>
        <w:t xml:space="preserve">Clarke T, </w:t>
      </w:r>
      <w:r w:rsidRPr="0026575A">
        <w:rPr>
          <w:i/>
        </w:rPr>
        <w:t>International corporate governance: A comparative approach</w:t>
      </w:r>
      <w:r>
        <w:t xml:space="preserve"> (Routledge, 2007)</w:t>
      </w:r>
    </w:p>
    <w:p w14:paraId="1183AD28" w14:textId="77777777" w:rsidR="00413229" w:rsidRDefault="00413229" w:rsidP="00413229"/>
    <w:p w14:paraId="03969E0B" w14:textId="45CC54F3" w:rsidR="00413229" w:rsidRDefault="00413229" w:rsidP="00413229">
      <w:r>
        <w:t xml:space="preserve">Clements </w:t>
      </w:r>
      <w:r w:rsidR="00FC38B7">
        <w:t>BJ</w:t>
      </w:r>
      <w:r>
        <w:t xml:space="preserve">, </w:t>
      </w:r>
      <w:r w:rsidR="00FC38B7" w:rsidRPr="00FC38B7">
        <w:t xml:space="preserve">Bhattacharya </w:t>
      </w:r>
      <w:r w:rsidR="00FC38B7">
        <w:t xml:space="preserve"> R and </w:t>
      </w:r>
      <w:r w:rsidR="00FC38B7" w:rsidRPr="00FC38B7">
        <w:t xml:space="preserve">Nguyen </w:t>
      </w:r>
      <w:r w:rsidR="00FC38B7">
        <w:t xml:space="preserve">TQ, </w:t>
      </w:r>
      <w:r>
        <w:t>‘External debt, public investment, and growth in low-income countries.’ (2003) International Monetary Fund Working paper no. 2249</w:t>
      </w:r>
    </w:p>
    <w:p w14:paraId="4439BC8D" w14:textId="77777777" w:rsidR="00413229" w:rsidRDefault="00413229" w:rsidP="00413229"/>
    <w:p w14:paraId="76033BAB" w14:textId="77777777" w:rsidR="00413229" w:rsidRDefault="00413229" w:rsidP="00413229">
      <w:r>
        <w:t xml:space="preserve">Coe DT and Helpman E, ‘International R&amp;D spillovers’ (1995) 39 (5) European Economic Review 859-887 </w:t>
      </w:r>
    </w:p>
    <w:p w14:paraId="75151624" w14:textId="77777777" w:rsidR="00413229" w:rsidRDefault="00413229" w:rsidP="00413229"/>
    <w:p w14:paraId="44FF490E" w14:textId="77777777" w:rsidR="00413229" w:rsidRDefault="00413229" w:rsidP="00413229">
      <w:r>
        <w:t xml:space="preserve">Coetzee C, ‘Monetary conditions and stock returns: a South African case study’ (2002) EconWPA working paper no. 0205002 </w:t>
      </w:r>
    </w:p>
    <w:p w14:paraId="10A2802C" w14:textId="77777777" w:rsidR="00413229" w:rsidRDefault="00413229" w:rsidP="00413229"/>
    <w:p w14:paraId="451BC28B" w14:textId="291C756E" w:rsidR="00413229" w:rsidRDefault="00413229" w:rsidP="00413229">
      <w:r>
        <w:t>Coffee JC, ‘The Future as History: The Prospects for Global Convergence in Corporate Governance and its Implications’ Working Paper No. 144 &lt; http://www.tcgrf.org/research/accession/991020101.pdf&gt;</w:t>
      </w:r>
      <w:r w:rsidR="00A133F6">
        <w:t xml:space="preserve"> </w:t>
      </w:r>
      <w:r w:rsidR="00A133F6" w:rsidRPr="00A133F6">
        <w:t>published as (1998-1999) 93 Northwestern University Law Review 641</w:t>
      </w:r>
    </w:p>
    <w:p w14:paraId="55032EEE" w14:textId="77777777" w:rsidR="00413229" w:rsidRDefault="00413229" w:rsidP="00413229">
      <w:r w:rsidRPr="00405674">
        <w:t>— — ‘Racing towards the Top: The Impact of Cross-Listing and Stock Market Competition on International Corporate Governance’ (2002) 102 (7) Columbia Law Review 1757</w:t>
      </w:r>
    </w:p>
    <w:p w14:paraId="1FDBC82F" w14:textId="77777777" w:rsidR="00A133F6" w:rsidRDefault="00A133F6" w:rsidP="00413229"/>
    <w:p w14:paraId="18751CC7" w14:textId="77777777" w:rsidR="00413229" w:rsidRDefault="00413229" w:rsidP="00413229">
      <w:r>
        <w:t>Cohen D and Sachs J, ‘Growth and external debt under risk of debt repudiation.’ (1986) 30 (3) European Economic Review 529-560</w:t>
      </w:r>
    </w:p>
    <w:p w14:paraId="5FDDC732" w14:textId="77777777" w:rsidR="00413229" w:rsidRDefault="00413229" w:rsidP="00413229"/>
    <w:p w14:paraId="5A2FBF40" w14:textId="1D6770C2" w:rsidR="00413229" w:rsidRDefault="00413229" w:rsidP="00413229">
      <w:r>
        <w:t xml:space="preserve">Collier P, ‘On the economic consequences of civil war’ (1999) 51 (1) Oxford </w:t>
      </w:r>
      <w:r w:rsidR="00A133F6">
        <w:t>E</w:t>
      </w:r>
      <w:r>
        <w:t xml:space="preserve">conomic </w:t>
      </w:r>
      <w:r w:rsidR="00A133F6">
        <w:t xml:space="preserve">Papers </w:t>
      </w:r>
      <w:r>
        <w:t xml:space="preserve">168-183 </w:t>
      </w:r>
    </w:p>
    <w:p w14:paraId="74C8DE47" w14:textId="77777777" w:rsidR="00413229" w:rsidRDefault="00413229" w:rsidP="00413229"/>
    <w:p w14:paraId="59043670" w14:textId="77777777" w:rsidR="00413229" w:rsidRDefault="00413229" w:rsidP="00413229">
      <w:r>
        <w:lastRenderedPageBreak/>
        <w:t xml:space="preserve">Colombo J, ‘A Guide To South Africa's Economic Bubble And Coming Crisis’ Forbes (19 March 2014) &lt;http://www.forbes.com/sites/jessecolombo/2014/03/19/a-guide-to-south-africas-economic-bubble-and-coming-crisis/&gt; </w:t>
      </w:r>
    </w:p>
    <w:p w14:paraId="11A94F11" w14:textId="77777777" w:rsidR="00413229" w:rsidRDefault="00413229" w:rsidP="00413229"/>
    <w:p w14:paraId="274AF3A1" w14:textId="27643E7F" w:rsidR="00413229" w:rsidRDefault="00413229" w:rsidP="00413229">
      <w:r>
        <w:t>Core JE, Guay WR and Rusticus TO, ‘Does Weak Governance Cause Weak Stock Returns? An Examination of Firm Operating Performance and Investors' Expectations’ (2004) &lt;http://ssrn.com/abstract=533582&gt;</w:t>
      </w:r>
      <w:r w:rsidR="00A133F6">
        <w:t xml:space="preserve"> published at (2006) 61 (2) The Journal of Finance 655-687</w:t>
      </w:r>
    </w:p>
    <w:p w14:paraId="017120AA" w14:textId="77777777" w:rsidR="00413229" w:rsidRDefault="00413229" w:rsidP="00413229"/>
    <w:p w14:paraId="6BFEBD92" w14:textId="77777777" w:rsidR="00413229" w:rsidRDefault="00413229" w:rsidP="00413229">
      <w:r>
        <w:t>Core JE, Holthausen RW and Larcker DF, ‘Corporate governance, chief executive compensation, and firm performance’ 1999 51 Journal of Financial Economics 371-406</w:t>
      </w:r>
    </w:p>
    <w:p w14:paraId="26BB8380" w14:textId="77777777" w:rsidR="00413229" w:rsidRDefault="00413229" w:rsidP="00413229"/>
    <w:p w14:paraId="02B0954D" w14:textId="77777777" w:rsidR="00413229" w:rsidRDefault="00413229" w:rsidP="00413229">
      <w:r>
        <w:t>Coughlan AT and Schmidt RM, ‘Executive compensation, management turnover, and firm performance: An empirical investigation’ (1985) 7 (1) Journal of Accounting and Economics 43-66</w:t>
      </w:r>
    </w:p>
    <w:p w14:paraId="4B5C6F9B" w14:textId="77777777" w:rsidR="00413229" w:rsidRDefault="00413229" w:rsidP="00413229"/>
    <w:p w14:paraId="343275D6" w14:textId="77777777" w:rsidR="00413229" w:rsidRDefault="00413229" w:rsidP="00413229">
      <w:r>
        <w:t>Curtis SM, ‘BUGS Code for Item Response Theory’ (2010) 36 Journal of Statistical Software 1-34 available at &lt;http://core.ac.uk/download/pdf/6340240.pdf&gt; last accessed on 5 May 2015</w:t>
      </w:r>
    </w:p>
    <w:p w14:paraId="0EDF6C23" w14:textId="77777777" w:rsidR="00413229" w:rsidRDefault="00413229" w:rsidP="00413229"/>
    <w:p w14:paraId="2C442294" w14:textId="77777777" w:rsidR="00413229" w:rsidRDefault="00413229" w:rsidP="00413229">
      <w:r>
        <w:t xml:space="preserve">Cutler et al., ‘What moves stock prices?’ in Peter L. Bernstein  and Frank L. Fabozzi (eds.), </w:t>
      </w:r>
      <w:r w:rsidRPr="0026575A">
        <w:rPr>
          <w:i/>
        </w:rPr>
        <w:t>Streetwise: The Best of the Journal of Portfolio Management</w:t>
      </w:r>
      <w:r>
        <w:t xml:space="preserve"> (Princeton University Press 1998) 56-63</w:t>
      </w:r>
    </w:p>
    <w:p w14:paraId="4CEF5385" w14:textId="77777777" w:rsidR="00413229" w:rsidRDefault="00413229" w:rsidP="00413229"/>
    <w:p w14:paraId="1463E14C" w14:textId="77777777" w:rsidR="00413229" w:rsidRDefault="00413229" w:rsidP="00413229">
      <w:r>
        <w:t xml:space="preserve">Dalhuisen J, </w:t>
      </w:r>
      <w:r w:rsidRPr="00CA7B9F">
        <w:rPr>
          <w:i/>
        </w:rPr>
        <w:t>Dalhuisen on Transnational Comparative, Commercial, Financial and Trade Law Volume 1: Introduction - The New Lex Mercatoria and its Sources</w:t>
      </w:r>
      <w:r>
        <w:t xml:space="preserve"> (A&amp;C Black 2014) </w:t>
      </w:r>
    </w:p>
    <w:p w14:paraId="56C6DB21" w14:textId="77777777" w:rsidR="00413229" w:rsidRDefault="00413229" w:rsidP="00413229"/>
    <w:p w14:paraId="25D15582" w14:textId="77777777" w:rsidR="00413229" w:rsidRDefault="00413229" w:rsidP="00413229">
      <w:r>
        <w:t>Dam KW, ‘China as a Test Case: Is the Rule of Law Essential for Economic Growth?’ (2006) U Chicago Law &amp; Economics, Olin Working Paper No. 275 &lt;</w:t>
      </w:r>
      <w:r w:rsidRPr="00405674">
        <w:t>http://ssrn.com/abstract=880125</w:t>
      </w:r>
      <w:r>
        <w:t xml:space="preserve">&gt; </w:t>
      </w:r>
    </w:p>
    <w:p w14:paraId="69E80316" w14:textId="7602972C" w:rsidR="00413229" w:rsidRDefault="006E576A" w:rsidP="00413229">
      <w:r w:rsidRPr="006E576A">
        <w:lastRenderedPageBreak/>
        <w:t xml:space="preserve">— — </w:t>
      </w:r>
      <w:r w:rsidR="00413229">
        <w:t>‘The Judiciary and Economic Development’ (2006) U Chicago Law &amp; Economics, Olin Working Paper No. 287 &lt;</w:t>
      </w:r>
      <w:r w:rsidR="00413229" w:rsidRPr="00405674">
        <w:t>http://dx.doi.org/10.2139/ssrn.892030</w:t>
      </w:r>
      <w:r w:rsidR="00413229">
        <w:t>&gt;</w:t>
      </w:r>
    </w:p>
    <w:p w14:paraId="09AF0695" w14:textId="65EB0498" w:rsidR="00413229" w:rsidRDefault="006E576A" w:rsidP="00413229">
      <w:r w:rsidRPr="006E576A">
        <w:t>— —</w:t>
      </w:r>
      <w:r w:rsidR="00413229">
        <w:t xml:space="preserve"> </w:t>
      </w:r>
      <w:r w:rsidR="00413229" w:rsidRPr="00AD5EBA">
        <w:rPr>
          <w:i/>
        </w:rPr>
        <w:t>The law-growth nexus: The rule of law and economic development</w:t>
      </w:r>
      <w:r w:rsidR="00413229">
        <w:t xml:space="preserve"> (Brookings Institution Press 2007) </w:t>
      </w:r>
    </w:p>
    <w:p w14:paraId="1A9C2CEA" w14:textId="77777777" w:rsidR="00413229" w:rsidRDefault="00413229" w:rsidP="00413229"/>
    <w:p w14:paraId="7473DBFB" w14:textId="0CA1D0A3" w:rsidR="00413229" w:rsidRDefault="00413229" w:rsidP="00413229">
      <w:r>
        <w:t>Davis L and Sener MF, ‘Intellectual Property Rights, Institutional Quality and Economic Growth’ (2012) working paper series available at &lt;http://dx.doi.org/10.2139/ssrn.1815258&gt;</w:t>
      </w:r>
      <w:r w:rsidR="006E576A">
        <w:t xml:space="preserve"> published at (2012) 3 (1) </w:t>
      </w:r>
      <w:r w:rsidR="006E576A" w:rsidRPr="006E576A">
        <w:t>Journal of International Commerce, Economics and Policy</w:t>
      </w:r>
      <w:r w:rsidR="006E576A">
        <w:t xml:space="preserve"> &lt;</w:t>
      </w:r>
      <w:r w:rsidR="006E576A" w:rsidRPr="006E576A">
        <w:t>DOI: 10.1142/S1793993312400054</w:t>
      </w:r>
      <w:r w:rsidR="006E576A">
        <w:t>&gt;</w:t>
      </w:r>
    </w:p>
    <w:p w14:paraId="1BCB1742" w14:textId="77777777" w:rsidR="00413229" w:rsidRDefault="00413229" w:rsidP="00413229"/>
    <w:p w14:paraId="5948082E" w14:textId="77777777" w:rsidR="00413229" w:rsidRDefault="00413229" w:rsidP="00413229">
      <w:r>
        <w:t xml:space="preserve">Deakin S, ‘Corporate Governance, Finance and Growth: Unravelling the Relationship’ (2010) 1 Acta Juridica 191 </w:t>
      </w:r>
    </w:p>
    <w:p w14:paraId="3B6EB84F" w14:textId="77777777" w:rsidR="00413229" w:rsidRDefault="00413229" w:rsidP="00413229"/>
    <w:p w14:paraId="21A1823F" w14:textId="77777777" w:rsidR="00413229" w:rsidRDefault="00413229" w:rsidP="00413229">
      <w:r>
        <w:t xml:space="preserve">Demetriades PO and Luintel KB, ‘Financial development, economic growth and banking sector controls: evidence from India.’ (1996) The Economic Journal 359-374 </w:t>
      </w:r>
    </w:p>
    <w:p w14:paraId="4C0E72AB" w14:textId="77777777" w:rsidR="00413229" w:rsidRDefault="00413229" w:rsidP="00413229"/>
    <w:p w14:paraId="6151E468" w14:textId="77777777" w:rsidR="00413229" w:rsidRDefault="00413229" w:rsidP="00413229">
      <w:r>
        <w:t>Demirgüç-Kunt A and Levine R, ‘Stock market development and financial intermediaries: stylized facts’ (1996) 10 (2) The World Bank Economic Review 291-321</w:t>
      </w:r>
    </w:p>
    <w:p w14:paraId="1DB46544" w14:textId="77777777" w:rsidR="00413229" w:rsidRDefault="00413229" w:rsidP="00413229"/>
    <w:p w14:paraId="2C9DA25E" w14:textId="77777777" w:rsidR="00413229" w:rsidRDefault="00413229" w:rsidP="00413229">
      <w:r>
        <w:t xml:space="preserve">Denis DK and McConnell JJ, ‘International corporate governance’ (2003) 38 (1) Journal of Financial and Quantitative analysis 1-36 </w:t>
      </w:r>
    </w:p>
    <w:p w14:paraId="366AC09F" w14:textId="77777777" w:rsidR="00413229" w:rsidRDefault="00413229" w:rsidP="00413229"/>
    <w:p w14:paraId="386C70C0" w14:textId="77777777" w:rsidR="00413229" w:rsidRDefault="00413229" w:rsidP="00413229">
      <w:r>
        <w:t>Deniz O, ‘The importance of corporate governance for a well performing financial system: Reforming corporate governance in developing countries’ (2011-12) 14 (2) Duquesne Business Law Journal 219</w:t>
      </w:r>
    </w:p>
    <w:p w14:paraId="332E3930" w14:textId="77777777" w:rsidR="00413229" w:rsidRDefault="00413229" w:rsidP="00413229"/>
    <w:p w14:paraId="0F54AC33" w14:textId="77777777" w:rsidR="00413229" w:rsidRDefault="00413229" w:rsidP="00413229">
      <w:r>
        <w:t>Dewan S and Kraemer KL, ‘Information Technology and Productivity: Evidence from Country-Level Data’ (2000) 46 (4) Management Science 548-562</w:t>
      </w:r>
    </w:p>
    <w:p w14:paraId="3E5ED820" w14:textId="77777777" w:rsidR="00413229" w:rsidRDefault="00413229" w:rsidP="00413229"/>
    <w:p w14:paraId="579614EC" w14:textId="77777777" w:rsidR="00413229" w:rsidRDefault="00413229" w:rsidP="00413229">
      <w:r>
        <w:lastRenderedPageBreak/>
        <w:t>Dhakal et al., ‘Causality between the money supply and share prices: a VAR investigation’ (1993) Quarterly Journal of Business and Economics 52-74</w:t>
      </w:r>
    </w:p>
    <w:p w14:paraId="33AD7EA6" w14:textId="77777777" w:rsidR="00413229" w:rsidRDefault="00413229" w:rsidP="00413229"/>
    <w:p w14:paraId="21E062C6" w14:textId="77777777" w:rsidR="00413229" w:rsidRDefault="00413229" w:rsidP="00413229">
      <w:r>
        <w:t>Diamond PA, ‘National debt in a neoclassical growth model.’ (1965) The American Economic Review 1126-1150</w:t>
      </w:r>
    </w:p>
    <w:p w14:paraId="383A0FCF" w14:textId="77777777" w:rsidR="00413229" w:rsidRDefault="00413229" w:rsidP="00413229"/>
    <w:p w14:paraId="267D55C9" w14:textId="77777777" w:rsidR="00413229" w:rsidRDefault="00413229" w:rsidP="00413229">
      <w:r>
        <w:t xml:space="preserve">Dignam A and Galanis M, </w:t>
      </w:r>
      <w:r w:rsidRPr="008C6535">
        <w:rPr>
          <w:i/>
        </w:rPr>
        <w:t>The Globalization of Corporate Governance</w:t>
      </w:r>
      <w:r>
        <w:t xml:space="preserve"> (Ashgate Gower 2009)</w:t>
      </w:r>
    </w:p>
    <w:p w14:paraId="3150D4D7" w14:textId="77777777" w:rsidR="00413229" w:rsidRDefault="00413229" w:rsidP="00413229"/>
    <w:p w14:paraId="05020743" w14:textId="77777777" w:rsidR="00413229" w:rsidRDefault="00413229" w:rsidP="00413229">
      <w:r>
        <w:t>DiNardo J and Tobias JL, ‘Nonparametric Density and Regression Estimation’ (2001) 15 (4) Journal of Economic Perspectives 11, 16 &lt;http://www.uibk.ac.at/econometrics/dl/jep01fall/02_nonparametric.pdf&gt; accessed 10 June 2015</w:t>
      </w:r>
    </w:p>
    <w:p w14:paraId="39DD4FEF" w14:textId="77777777" w:rsidR="00413229" w:rsidRDefault="00413229" w:rsidP="00413229"/>
    <w:p w14:paraId="7A505F4F" w14:textId="245D78E0" w:rsidR="00413229" w:rsidRDefault="00413229" w:rsidP="00413229">
      <w:r>
        <w:t xml:space="preserve"> </w:t>
      </w:r>
      <w:proofErr w:type="spellStart"/>
      <w:r>
        <w:t>Djankov</w:t>
      </w:r>
      <w:proofErr w:type="spellEnd"/>
      <w:r>
        <w:t xml:space="preserve"> </w:t>
      </w:r>
      <w:r w:rsidR="00883281">
        <w:t>S</w:t>
      </w:r>
      <w:r>
        <w:t>,</w:t>
      </w:r>
      <w:r w:rsidR="00883281">
        <w:t xml:space="preserve"> </w:t>
      </w:r>
      <w:proofErr w:type="spellStart"/>
      <w:r w:rsidR="00883281" w:rsidRPr="00883281">
        <w:t>Silanes</w:t>
      </w:r>
      <w:proofErr w:type="spellEnd"/>
      <w:r w:rsidR="00883281" w:rsidRPr="00883281">
        <w:t xml:space="preserve"> </w:t>
      </w:r>
      <w:r w:rsidR="00883281">
        <w:t xml:space="preserve">FL, </w:t>
      </w:r>
      <w:r w:rsidR="00883281" w:rsidRPr="00883281">
        <w:t xml:space="preserve">Porta </w:t>
      </w:r>
      <w:r w:rsidR="00883281">
        <w:t xml:space="preserve"> RL and </w:t>
      </w:r>
      <w:r w:rsidR="00883281" w:rsidRPr="00883281">
        <w:t xml:space="preserve">Shleifer </w:t>
      </w:r>
      <w:r w:rsidR="00883281">
        <w:t>A,</w:t>
      </w:r>
      <w:r>
        <w:t xml:space="preserve"> ‘The Law and Economics of Self-Dealing’ (2005) &lt;http://papers.ssrn.com/sol3/papers.cfm?abstract_id=864645&gt; </w:t>
      </w:r>
      <w:r w:rsidR="00A64156">
        <w:t>published at (2008) 88 (3) Journal of Financial Economics 430-465</w:t>
      </w:r>
    </w:p>
    <w:p w14:paraId="78655195" w14:textId="77777777" w:rsidR="00413229" w:rsidRDefault="00413229" w:rsidP="00413229"/>
    <w:p w14:paraId="61F7B2F1" w14:textId="77777777" w:rsidR="00413229" w:rsidRDefault="00413229" w:rsidP="00413229">
      <w:r>
        <w:t>Dorfman R, ‘A formula for the Gini coefficient’ (1979) The Review of Economics and Statistics 146</w:t>
      </w:r>
    </w:p>
    <w:p w14:paraId="7698C474" w14:textId="77777777" w:rsidR="00413229" w:rsidRDefault="00413229" w:rsidP="00413229"/>
    <w:p w14:paraId="5DB58E79" w14:textId="77777777" w:rsidR="00413229" w:rsidRDefault="00413229" w:rsidP="00413229">
      <w:r>
        <w:t>Dorsett R, ‘The effect of the Troubles on GDP in Northern Ireland’ (2013) 29 European Journal of Political Economy 119-133</w:t>
      </w:r>
    </w:p>
    <w:p w14:paraId="1927AD39" w14:textId="77777777" w:rsidR="00413229" w:rsidRDefault="00413229" w:rsidP="00413229"/>
    <w:p w14:paraId="222D2173" w14:textId="77777777" w:rsidR="00413229" w:rsidRDefault="00413229" w:rsidP="00413229">
      <w:r>
        <w:t>Drobetz W, Schillhofer A and Zimmermann H, ‘Corporate governance and expected stock returns: Evidence from Germany’ (2004) 10 (2) European Financial Management 267-293.</w:t>
      </w:r>
    </w:p>
    <w:p w14:paraId="38690607" w14:textId="77777777" w:rsidR="00413229" w:rsidRDefault="00413229" w:rsidP="00413229"/>
    <w:p w14:paraId="30191ECC" w14:textId="77777777" w:rsidR="00413229" w:rsidRDefault="00413229" w:rsidP="00413229">
      <w:r>
        <w:t>Drucker P, ‘A crisis of capitalism’ Wall Street Journal (30 September 1986) 31; J. Stein, ‘Takeover threats and managerial myopia’ (1988) 96 Journal of Political Economy 61–80</w:t>
      </w:r>
    </w:p>
    <w:p w14:paraId="4EBF534C" w14:textId="77777777" w:rsidR="00413229" w:rsidRDefault="00413229" w:rsidP="00413229"/>
    <w:p w14:paraId="1CEB66A0" w14:textId="77777777" w:rsidR="00413229" w:rsidRDefault="00413229" w:rsidP="00413229">
      <w:r>
        <w:lastRenderedPageBreak/>
        <w:t>Duca LD, ‘Developing Global Transnational Harmonization Procedures for the Twenty-First Century: The Accelerating Pace of Common and Civil Law Convergence’ (2007) 42 Texas International Law Journal 625</w:t>
      </w:r>
    </w:p>
    <w:p w14:paraId="0DCCBDB4" w14:textId="77777777" w:rsidR="00413229" w:rsidRDefault="00413229" w:rsidP="00413229"/>
    <w:p w14:paraId="02965100" w14:textId="30F2FE45" w:rsidR="00413229" w:rsidRDefault="00413229" w:rsidP="00413229">
      <w:proofErr w:type="spellStart"/>
      <w:r>
        <w:t>Eberhart</w:t>
      </w:r>
      <w:proofErr w:type="spellEnd"/>
      <w:r>
        <w:t xml:space="preserve"> A, </w:t>
      </w:r>
      <w:r w:rsidR="00883281" w:rsidRPr="00883281">
        <w:t xml:space="preserve">Maxwell </w:t>
      </w:r>
      <w:r w:rsidR="00883281">
        <w:t xml:space="preserve"> WF and </w:t>
      </w:r>
      <w:r w:rsidR="00883281" w:rsidRPr="00883281">
        <w:t xml:space="preserve">Siddique </w:t>
      </w:r>
      <w:r w:rsidR="00883281">
        <w:t xml:space="preserve">AR, </w:t>
      </w:r>
      <w:r>
        <w:t>‘An examination of long-term abnormal stock returns and operating performance following R&amp;D increases’ (2004) 59 Journal of Finance 623–650</w:t>
      </w:r>
    </w:p>
    <w:p w14:paraId="5BAE1FBA" w14:textId="77777777" w:rsidR="00413229" w:rsidRDefault="00413229" w:rsidP="00413229"/>
    <w:p w14:paraId="4203FB4A" w14:textId="77777777" w:rsidR="00413229" w:rsidRDefault="00413229" w:rsidP="00413229">
      <w:r>
        <w:t xml:space="preserve">Ebke WF, ‘In Search of Alternatives: Comparative Reflections on Corporate Governance and the Independent Auditor's Responsibilities’ (1984-85) 79 (4) Northwestern University Law Review 663-720 </w:t>
      </w:r>
    </w:p>
    <w:p w14:paraId="2DCC12C3" w14:textId="77777777" w:rsidR="00413229" w:rsidRDefault="00413229" w:rsidP="00413229"/>
    <w:p w14:paraId="08F88442" w14:textId="77777777" w:rsidR="00413229" w:rsidRDefault="00413229" w:rsidP="00413229">
      <w:r>
        <w:t xml:space="preserve">Erdman C and Emerson JW, ‘bcp: an R package for performing a Bayesian analysis of change point problems’ (2007) 23 (3) Journal of Statistical Software 1-13 available at &lt;http://www.jstatsoft.org/v23/i03/paper&gt; </w:t>
      </w:r>
    </w:p>
    <w:p w14:paraId="40F67B0B" w14:textId="77777777" w:rsidR="00413229" w:rsidRDefault="00413229" w:rsidP="00413229"/>
    <w:p w14:paraId="4ADB2F22" w14:textId="77777777" w:rsidR="00413229" w:rsidRDefault="00413229" w:rsidP="00413229">
      <w:r>
        <w:t xml:space="preserve">Ertugrual E and Hedge S, ‘Corporate Governance Ratings and Firm Performance’ (2009) Financial Management 139-160; </w:t>
      </w:r>
    </w:p>
    <w:p w14:paraId="55AC18E5" w14:textId="77777777" w:rsidR="00413229" w:rsidRDefault="00413229" w:rsidP="00413229"/>
    <w:p w14:paraId="4643F876" w14:textId="75116F2F" w:rsidR="00413229" w:rsidRDefault="00413229" w:rsidP="00413229">
      <w:proofErr w:type="spellStart"/>
      <w:r>
        <w:t>Falvey</w:t>
      </w:r>
      <w:proofErr w:type="spellEnd"/>
      <w:r>
        <w:t xml:space="preserve"> R, </w:t>
      </w:r>
      <w:r w:rsidR="00883281" w:rsidRPr="00883281">
        <w:t xml:space="preserve">Greenaway </w:t>
      </w:r>
      <w:r w:rsidR="00883281">
        <w:t xml:space="preserve"> D and </w:t>
      </w:r>
      <w:r w:rsidR="00883281" w:rsidRPr="00883281">
        <w:t xml:space="preserve">McGregor </w:t>
      </w:r>
      <w:r w:rsidR="00883281">
        <w:t xml:space="preserve">NF, </w:t>
      </w:r>
      <w:r>
        <w:t xml:space="preserve">‘Intellectual Property Rights and Economic Growth’ (2005) Internationalisation of Economic Policy Research Paper No. 2004/12 </w:t>
      </w:r>
      <w:r w:rsidR="00883281">
        <w:t xml:space="preserve">published at (2006) 10 (4) </w:t>
      </w:r>
      <w:r w:rsidR="00883281" w:rsidRPr="00883281">
        <w:t>Review of Development Economics</w:t>
      </w:r>
      <w:r w:rsidR="00883281">
        <w:t xml:space="preserve"> 700-719</w:t>
      </w:r>
    </w:p>
    <w:p w14:paraId="389F9697" w14:textId="77777777" w:rsidR="00413229" w:rsidRDefault="00413229" w:rsidP="00413229"/>
    <w:p w14:paraId="5D6102E2" w14:textId="77777777" w:rsidR="00413229" w:rsidRDefault="00413229" w:rsidP="00413229">
      <w:r>
        <w:t xml:space="preserve">Faragher R, ‘Understanding the Basis of the Kalman Filter  Via a Simple and Intuitive Derivation’ (2012) IEEE Signal Processing Magazine 128-133 available at &lt;http://www.cl.cam.ac.uk/~rmf25/papers/Understanding%20the%20Basis%20of%20the%20Kalman%20Filter.pdf&gt; last accessed on 5 May 2015. </w:t>
      </w:r>
    </w:p>
    <w:p w14:paraId="6DB884BF" w14:textId="77777777" w:rsidR="00413229" w:rsidRDefault="00413229" w:rsidP="00413229"/>
    <w:p w14:paraId="5AC97BC3" w14:textId="77777777" w:rsidR="00413229" w:rsidRDefault="00413229" w:rsidP="00413229">
      <w:r>
        <w:t>Farhadi et al., ‘Information and Communication Technology Use and Economic Growth’ (2012) 7 (11) PLoS ONE available at &lt;http://www.plosone.org/article/info%3Adoi%2F10.1371%2Fjournal.pone.0048903&gt;</w:t>
      </w:r>
    </w:p>
    <w:p w14:paraId="7E9DC2B9" w14:textId="77777777" w:rsidR="00413229" w:rsidRDefault="00413229" w:rsidP="00413229"/>
    <w:p w14:paraId="05444013" w14:textId="77777777" w:rsidR="00413229" w:rsidRDefault="00413229" w:rsidP="00413229">
      <w:r>
        <w:t xml:space="preserve">Favilukis J, ‘Inequality, stock market participation, and the equity premium’ (2013) 107 (3) Journal of Financial Economics 740-759 </w:t>
      </w:r>
    </w:p>
    <w:p w14:paraId="265ADEF6" w14:textId="77777777" w:rsidR="00413229" w:rsidRDefault="00413229" w:rsidP="00413229"/>
    <w:p w14:paraId="072856D7" w14:textId="77777777" w:rsidR="00413229" w:rsidRDefault="00413229" w:rsidP="00413229">
      <w:r>
        <w:t>Fazio G and Talamo GMC, ‘How attractive is good governance for FDI’ (2008) 9 International Finance Review 33-54, 50</w:t>
      </w:r>
    </w:p>
    <w:p w14:paraId="319836EB" w14:textId="77777777" w:rsidR="00413229" w:rsidRDefault="00413229" w:rsidP="00413229"/>
    <w:p w14:paraId="377FB3C8" w14:textId="303F2F8D" w:rsidR="00413229" w:rsidRDefault="00413229" w:rsidP="00413229">
      <w:r>
        <w:t>Feld LP and Voigt S, ‘Economic Growth and Judicial Independence: Cross Country Evidence Using a New Set of Indicators’ (2003) CESifo Working Paper Series No. 906 &lt;</w:t>
      </w:r>
      <w:r w:rsidRPr="005A740E">
        <w:t>http://ssrn.com/abstract=395403</w:t>
      </w:r>
      <w:r>
        <w:t>&gt;</w:t>
      </w:r>
      <w:r w:rsidR="00883281">
        <w:t xml:space="preserve"> published at (2003) 19 (3) European Journal of Political Economy 497-527</w:t>
      </w:r>
    </w:p>
    <w:p w14:paraId="3920D467" w14:textId="77777777" w:rsidR="00413229" w:rsidRDefault="00413229" w:rsidP="00413229"/>
    <w:p w14:paraId="3B81379A" w14:textId="77777777" w:rsidR="00413229" w:rsidRDefault="00413229" w:rsidP="00413229">
      <w:r>
        <w:t>Ferguson GA, ‘Item selection by the constant process’ (1943) 7 Psychometrika 19–29</w:t>
      </w:r>
    </w:p>
    <w:p w14:paraId="673EF406" w14:textId="77777777" w:rsidR="00413229" w:rsidRDefault="00413229" w:rsidP="00413229"/>
    <w:p w14:paraId="7524654A" w14:textId="77777777" w:rsidR="00413229" w:rsidRDefault="00413229" w:rsidP="00413229">
      <w:r>
        <w:t>Financial Reporting Council (FRC), ‘Good practice suggestions from the Higgs Report’ (2006)</w:t>
      </w:r>
    </w:p>
    <w:p w14:paraId="104EC34B" w14:textId="77777777" w:rsidR="00413229" w:rsidRDefault="00413229" w:rsidP="00413229"/>
    <w:p w14:paraId="38A6CE04" w14:textId="77777777" w:rsidR="00413229" w:rsidRDefault="00413229" w:rsidP="00413229">
      <w:r>
        <w:t xml:space="preserve">Fischer R, ‘Theory of statistical estimation’ (1925) 22 Proceedings of the Cambridge Philosophical Society 699-725 </w:t>
      </w:r>
    </w:p>
    <w:p w14:paraId="723A4B03" w14:textId="77777777" w:rsidR="00413229" w:rsidRDefault="00413229" w:rsidP="00413229"/>
    <w:p w14:paraId="415CB0F2" w14:textId="77777777" w:rsidR="00413229" w:rsidRDefault="00413229" w:rsidP="00413229">
      <w:r>
        <w:t xml:space="preserve">Fleckner AM and Hopt KJ (eds.), </w:t>
      </w:r>
      <w:r w:rsidRPr="008C6535">
        <w:rPr>
          <w:i/>
        </w:rPr>
        <w:t>Comparative Corporate Governance - A Functional and International Analysis</w:t>
      </w:r>
      <w:r>
        <w:t xml:space="preserve"> (Cambridge University Press 2013)</w:t>
      </w:r>
    </w:p>
    <w:p w14:paraId="1BFCFB53" w14:textId="77777777" w:rsidR="00413229" w:rsidRDefault="00413229" w:rsidP="00413229"/>
    <w:p w14:paraId="53425699" w14:textId="0617965F" w:rsidR="00413229" w:rsidRDefault="00413229" w:rsidP="00413229">
      <w:r>
        <w:t xml:space="preserve">Forbes KJ, ‘A Reassessment of the Relationship between Inequality and Growth’ (2000) American </w:t>
      </w:r>
      <w:r w:rsidR="00B029B2">
        <w:t>E</w:t>
      </w:r>
      <w:r>
        <w:t xml:space="preserve">conomic </w:t>
      </w:r>
      <w:r w:rsidR="00B029B2">
        <w:t xml:space="preserve">Review </w:t>
      </w:r>
      <w:r>
        <w:t xml:space="preserve">869-887 </w:t>
      </w:r>
    </w:p>
    <w:p w14:paraId="3301154F" w14:textId="77777777" w:rsidR="00413229" w:rsidRDefault="00413229" w:rsidP="00413229"/>
    <w:p w14:paraId="4B9B367D" w14:textId="77777777" w:rsidR="00413229" w:rsidRDefault="00413229" w:rsidP="00413229">
      <w:r>
        <w:t>Fosu AK, ‘The external debt burden and economic growth in the 1980s: evidence from sub-Saharan Africa.’ (1999) 20 (2)  Canadian Journal of Development Studies 307-318</w:t>
      </w:r>
    </w:p>
    <w:p w14:paraId="1C863B7E" w14:textId="77777777" w:rsidR="00413229" w:rsidRDefault="00413229" w:rsidP="00413229"/>
    <w:p w14:paraId="64A521B2" w14:textId="77777777" w:rsidR="00413229" w:rsidRDefault="00413229" w:rsidP="00413229">
      <w:r w:rsidRPr="00F62A47">
        <w:lastRenderedPageBreak/>
        <w:t>Fox JP, ‘Multilevel IRT using dichotomous and polytomous response data’ (2005) 58 British Journal of Mathematical and Statistical Psychology 145–172</w:t>
      </w:r>
    </w:p>
    <w:p w14:paraId="2E0A8A19" w14:textId="77777777" w:rsidR="00413229" w:rsidRDefault="00413229" w:rsidP="00413229">
      <w:r w:rsidRPr="00F62A47">
        <w:t xml:space="preserve">— — </w:t>
      </w:r>
      <w:r>
        <w:t xml:space="preserve"> and  Glas C, ‘Bayesian estimation of a multilevel IRT model using Gibbs sampling’ (2001) 66 Psychometrika 269–286</w:t>
      </w:r>
    </w:p>
    <w:p w14:paraId="6560B227" w14:textId="77777777" w:rsidR="00413229" w:rsidRDefault="00413229" w:rsidP="00413229"/>
    <w:p w14:paraId="499F7089" w14:textId="77777777" w:rsidR="00413229" w:rsidRDefault="00413229" w:rsidP="00413229">
      <w:r>
        <w:t>Fraser NG, ‘Share Prices and Macroeconomic Factors’ (1997) 24 (9-10) Journal of Business Finance &amp; Accounting 1367-1383</w:t>
      </w:r>
    </w:p>
    <w:p w14:paraId="04AD26F8" w14:textId="77777777" w:rsidR="00413229" w:rsidRDefault="00413229" w:rsidP="00413229"/>
    <w:p w14:paraId="01BC9A7D" w14:textId="77777777" w:rsidR="00413229" w:rsidRDefault="00413229" w:rsidP="00413229">
      <w:r>
        <w:t>Friedman M, ‘The Social Responsibility of Business is to increase its Profits’ The New York Times Magazine (New York, 13 September 1970)</w:t>
      </w:r>
    </w:p>
    <w:p w14:paraId="3B7F6F33" w14:textId="77777777" w:rsidR="00413229" w:rsidRDefault="00413229" w:rsidP="00413229"/>
    <w:p w14:paraId="22D9BD71" w14:textId="77777777" w:rsidR="00413229" w:rsidRDefault="00413229" w:rsidP="00413229">
      <w:r>
        <w:t>Frolov IE and Lebedev KK, ‘Assessing the impact of high-technology exports on the growth rate and structure of the Russian economy’ (2007) 18 (5) Studies on Russian Economic Development 490-500</w:t>
      </w:r>
    </w:p>
    <w:p w14:paraId="16454E3A" w14:textId="77777777" w:rsidR="00413229" w:rsidRDefault="00413229" w:rsidP="00413229"/>
    <w:p w14:paraId="7BD6C70E" w14:textId="77777777" w:rsidR="00413229" w:rsidRDefault="00413229" w:rsidP="00413229">
      <w:r>
        <w:t>Froot KA and Stein JC, ‘Exchange rates and foreign direct investment: an imperfect capital markets approach’ (1992) NBER Working Paper No. 2914</w:t>
      </w:r>
    </w:p>
    <w:p w14:paraId="799F68EE" w14:textId="77777777" w:rsidR="00413229" w:rsidRDefault="00413229" w:rsidP="00413229"/>
    <w:p w14:paraId="7389749C" w14:textId="77777777" w:rsidR="00413229" w:rsidRDefault="00413229" w:rsidP="00413229">
      <w:r>
        <w:t>Frost CA, Gordon EA, and Hayes AF, ‘Stock exchange disclosure and market development: an analysis of 50 international exchanges.’ (2006) 44 (3) Journal of Accounting Research 437-483</w:t>
      </w:r>
    </w:p>
    <w:p w14:paraId="7B4B7224" w14:textId="77777777" w:rsidR="00413229" w:rsidRDefault="00413229" w:rsidP="00413229"/>
    <w:p w14:paraId="1866B775" w14:textId="51F0691E" w:rsidR="00413229" w:rsidRDefault="00B029B2" w:rsidP="00413229">
      <w:r w:rsidRPr="00B029B2">
        <w:t>Renders</w:t>
      </w:r>
      <w:r>
        <w:t xml:space="preserve"> A, Gaeremynck A</w:t>
      </w:r>
      <w:r w:rsidRPr="00B029B2">
        <w:t xml:space="preserve"> and</w:t>
      </w:r>
      <w:r>
        <w:t xml:space="preserve"> </w:t>
      </w:r>
      <w:r w:rsidRPr="00B029B2">
        <w:t>Sercu</w:t>
      </w:r>
      <w:r>
        <w:t xml:space="preserve"> P</w:t>
      </w:r>
      <w:r w:rsidR="00413229">
        <w:t xml:space="preserve">, ‘Corporate-Governance Ratings and Company Performance: A Cross-European Study’ (2010) 18 (2) Corporate Governance: An International Review 87-106 </w:t>
      </w:r>
    </w:p>
    <w:p w14:paraId="3798B808" w14:textId="77777777" w:rsidR="00413229" w:rsidRDefault="00413229" w:rsidP="00413229"/>
    <w:p w14:paraId="78D8CB0B" w14:textId="01F56339" w:rsidR="00413229" w:rsidRDefault="00413229" w:rsidP="00413229">
      <w:r>
        <w:t xml:space="preserve">Gallagher KP and Porzecanski R, ‘Climbing Up the Technology Ladder? High-Technology Exports in China and Latin America’ (2008) Center for Latin American Studies Working paper series </w:t>
      </w:r>
      <w:r w:rsidR="00B029B2">
        <w:t>no. 20</w:t>
      </w:r>
    </w:p>
    <w:p w14:paraId="2FF2516B" w14:textId="77777777" w:rsidR="00413229" w:rsidRDefault="00413229" w:rsidP="00413229"/>
    <w:p w14:paraId="7E2A496A" w14:textId="77777777" w:rsidR="00413229" w:rsidRDefault="00413229" w:rsidP="00413229">
      <w:r w:rsidRPr="005A740E">
        <w:lastRenderedPageBreak/>
        <w:t>Gelman A, ‘Multilevel (hierarchical) modeling: what it can and can't do’ (2005) &lt;http://www.stat.columbia. edu/~gelman/research/unpublished/multi.pdf &gt; accessed 10 June 2015</w:t>
      </w:r>
    </w:p>
    <w:p w14:paraId="374F55A7" w14:textId="77777777" w:rsidR="00413229" w:rsidRDefault="00413229" w:rsidP="00413229">
      <w:r w:rsidRPr="005A740E">
        <w:t xml:space="preserve">— — </w:t>
      </w:r>
      <w:r>
        <w:t xml:space="preserve">and Hill J, </w:t>
      </w:r>
      <w:r w:rsidRPr="0019627C">
        <w:rPr>
          <w:i/>
        </w:rPr>
        <w:t xml:space="preserve">Data analysis using regression and multilevel/hierarchical modelling </w:t>
      </w:r>
      <w:r>
        <w:t xml:space="preserve">(Cambridge University Press 2007) </w:t>
      </w:r>
    </w:p>
    <w:p w14:paraId="7995C1F4" w14:textId="77777777" w:rsidR="00413229" w:rsidRDefault="00413229" w:rsidP="00413229"/>
    <w:p w14:paraId="013EA920" w14:textId="77777777" w:rsidR="00413229" w:rsidRDefault="00413229" w:rsidP="00413229">
      <w:r>
        <w:t>Geman S and Geman D, ‘Stochastic relaxation, Gibbs distribution and the Bayesian restoration of images’ (1984) 6 IEEE Transactions on pattern analysis 721-741</w:t>
      </w:r>
    </w:p>
    <w:p w14:paraId="5BEAF149" w14:textId="77777777" w:rsidR="00413229" w:rsidRDefault="00413229" w:rsidP="00413229"/>
    <w:p w14:paraId="5F37745B" w14:textId="77777777" w:rsidR="00413229" w:rsidRDefault="00413229" w:rsidP="00413229">
      <w:r>
        <w:t>Ghosh J and Dunson D, ‘Default priors and efficient posterior computation in Bayesian Factor analysis’ available at &lt; http://people.ee.duke.edu/~lcarin/DunsonBayesianFA.pdf&gt; accessed 12 June 2015</w:t>
      </w:r>
    </w:p>
    <w:p w14:paraId="6D77AF82" w14:textId="77777777" w:rsidR="00413229" w:rsidRDefault="00413229" w:rsidP="00413229"/>
    <w:p w14:paraId="2394F003" w14:textId="77777777" w:rsidR="00413229" w:rsidRDefault="00413229" w:rsidP="00413229">
      <w:r>
        <w:t>Ghosh S, ‘Electricity consumption and economic growth in India.’ (2002) 30 (2) Energy policy 125-129</w:t>
      </w:r>
    </w:p>
    <w:p w14:paraId="23C85837" w14:textId="77777777" w:rsidR="00413229" w:rsidRDefault="00413229" w:rsidP="00413229"/>
    <w:p w14:paraId="57ED0780" w14:textId="2DB0CEA0" w:rsidR="00413229" w:rsidRDefault="00413229" w:rsidP="00413229">
      <w:r>
        <w:t>Gilks WR</w:t>
      </w:r>
      <w:r w:rsidR="00AF6C60">
        <w:t xml:space="preserve">, </w:t>
      </w:r>
      <w:r>
        <w:t xml:space="preserve"> </w:t>
      </w:r>
      <w:r w:rsidR="00AF6C60" w:rsidRPr="00AF6C60">
        <w:t xml:space="preserve">Richardson </w:t>
      </w:r>
      <w:r w:rsidR="00AF6C60">
        <w:t xml:space="preserve">S </w:t>
      </w:r>
      <w:r w:rsidR="00AF6C60" w:rsidRPr="00AF6C60">
        <w:t xml:space="preserve">and </w:t>
      </w:r>
      <w:proofErr w:type="spellStart"/>
      <w:r w:rsidR="00AF6C60" w:rsidRPr="00AF6C60">
        <w:t>Spiegelhalter</w:t>
      </w:r>
      <w:proofErr w:type="spellEnd"/>
      <w:r w:rsidR="00AF6C60">
        <w:t xml:space="preserve"> DJ</w:t>
      </w:r>
      <w:r>
        <w:t>, ‘Introducing Markov Chain Monte Carlo’ in W R Gilks</w:t>
      </w:r>
      <w:r w:rsidR="00B029B2">
        <w:t>, S Richardson and</w:t>
      </w:r>
      <w:r w:rsidR="00B029B2" w:rsidRPr="00B029B2">
        <w:t xml:space="preserve"> D</w:t>
      </w:r>
      <w:r w:rsidR="00AF6C60">
        <w:t>J</w:t>
      </w:r>
      <w:r w:rsidR="00B029B2" w:rsidRPr="00B029B2">
        <w:t xml:space="preserve"> </w:t>
      </w:r>
      <w:proofErr w:type="spellStart"/>
      <w:r w:rsidR="00B029B2" w:rsidRPr="00B029B2">
        <w:t>Spiegelhalter</w:t>
      </w:r>
      <w:proofErr w:type="spellEnd"/>
      <w:r>
        <w:t xml:space="preserve"> (eds.) </w:t>
      </w:r>
      <w:r w:rsidRPr="0019627C">
        <w:rPr>
          <w:i/>
        </w:rPr>
        <w:t>Markov Chain Monte Carlo in Practice</w:t>
      </w:r>
      <w:r>
        <w:t xml:space="preserve"> (Chapman and Hill 1996)</w:t>
      </w:r>
    </w:p>
    <w:p w14:paraId="3B45AB51" w14:textId="77777777" w:rsidR="00413229" w:rsidRDefault="00413229" w:rsidP="00413229"/>
    <w:p w14:paraId="7ACA18E4" w14:textId="77777777" w:rsidR="00413229" w:rsidRDefault="00413229" w:rsidP="00413229">
      <w:r>
        <w:t>Glas CAW and Meijer RR, ‘A Bayesian Approach to Person Fit Analysis in Item Response Theory Models’ (2003) 27 (3) Applied Psychological Measurement 217</w:t>
      </w:r>
    </w:p>
    <w:p w14:paraId="3629D432" w14:textId="77777777" w:rsidR="00413229" w:rsidRDefault="00413229" w:rsidP="00413229">
      <w:r w:rsidRPr="005A740E">
        <w:t xml:space="preserve">— — </w:t>
      </w:r>
      <w:r>
        <w:t xml:space="preserve"> ‘Bayesian Estimation Methods for Multidimensional Models for Discrete and Continuous Responses’ (2006) available at &lt;http://www.lsac.org/docs/default-source/research-%28lsac-resources%29/rr-06-05.pdf&gt; last accessed on 1 May 2015.</w:t>
      </w:r>
    </w:p>
    <w:p w14:paraId="7DBE5542" w14:textId="77777777" w:rsidR="00413229" w:rsidRDefault="00413229" w:rsidP="00413229"/>
    <w:p w14:paraId="09D9AFAE" w14:textId="77777777" w:rsidR="00413229" w:rsidRDefault="00413229" w:rsidP="00413229">
      <w:r>
        <w:t>Goetzmann WN et al., ‘Long-term global market correlations’ (2005) 78 (1) The Journal of Business 1-38</w:t>
      </w:r>
    </w:p>
    <w:p w14:paraId="7F354C7F" w14:textId="77777777" w:rsidR="00413229" w:rsidRDefault="00413229" w:rsidP="00413229"/>
    <w:p w14:paraId="3AC49D5F" w14:textId="35BDD4C5" w:rsidR="00413229" w:rsidRDefault="00413229" w:rsidP="00413229">
      <w:r>
        <w:t>Goldberg LS and Kolstad CD, ‘Foreign direct investment, exchange rate variability and demand uncertainty.’ (1994) NBER Research Working paper No. 4815</w:t>
      </w:r>
      <w:r w:rsidR="00AF6C60">
        <w:t xml:space="preserve"> published at (1995) 36 (4) </w:t>
      </w:r>
      <w:r w:rsidR="00AF6C60" w:rsidRPr="00AF6C60">
        <w:t>International Economic Review</w:t>
      </w:r>
      <w:r w:rsidR="00AF6C60">
        <w:t xml:space="preserve"> 855-873</w:t>
      </w:r>
    </w:p>
    <w:p w14:paraId="23D61B4F" w14:textId="77777777" w:rsidR="00413229" w:rsidRDefault="00413229" w:rsidP="00413229"/>
    <w:p w14:paraId="67E25859" w14:textId="77777777" w:rsidR="00413229" w:rsidRDefault="00413229" w:rsidP="00413229">
      <w:r>
        <w:t>Gomez-Gonzalez JE and Kiefer NM, ‘Bank failure: Evidence from the Colombian financial crisis’ (2007) OCC Economics Working Paper 2007-2 &lt; http://www.occ.gov/publications/publications-by-type/occ-working-papers/2008-2000/wp2007-2.pdf&gt;</w:t>
      </w:r>
    </w:p>
    <w:p w14:paraId="71644670" w14:textId="77777777" w:rsidR="00413229" w:rsidRDefault="00413229" w:rsidP="00413229"/>
    <w:p w14:paraId="2D36F661" w14:textId="4D8D5491" w:rsidR="00413229" w:rsidRDefault="00343CC8" w:rsidP="00343CC8">
      <w:r w:rsidRPr="00AC1055">
        <w:rPr>
          <w:rFonts w:cs="Times New Roman"/>
        </w:rPr>
        <w:t>Paul Gompers, Joy Ishii and Andrew Metrick</w:t>
      </w:r>
      <w:r>
        <w:rPr>
          <w:rFonts w:cs="Times New Roman"/>
        </w:rPr>
        <w:t>,</w:t>
      </w:r>
      <w:r>
        <w:t xml:space="preserve"> </w:t>
      </w:r>
      <w:r w:rsidR="00413229">
        <w:t xml:space="preserve">‘Corporate governance and equity price’ (2003) 118 </w:t>
      </w:r>
      <w:r w:rsidR="00413229">
        <w:tab/>
        <w:t xml:space="preserve">(1) Quarterly Journal of Economics 107 working paper available at &lt; http://www.boardoptions.com/governancearticle.pdf&gt; </w:t>
      </w:r>
    </w:p>
    <w:p w14:paraId="3096AFB2" w14:textId="77777777" w:rsidR="00413229" w:rsidRDefault="00413229" w:rsidP="00413229"/>
    <w:p w14:paraId="1FDF0BF1" w14:textId="77777777" w:rsidR="00413229" w:rsidRDefault="00413229" w:rsidP="00413229">
      <w:r>
        <w:t>Gonzalez CM, ‘Capital flows and financial assets in the Philippines: determinants, consequences and challenges for the central bank’ (2008) BIS Papers No 44 &lt; http://www.bis.org/publ/bppdf/bispap44t.pdf &gt;</w:t>
      </w:r>
    </w:p>
    <w:p w14:paraId="4AD9F2F1" w14:textId="77777777" w:rsidR="00413229" w:rsidRDefault="00413229" w:rsidP="00413229"/>
    <w:p w14:paraId="2649F1F3" w14:textId="77777777" w:rsidR="00413229" w:rsidRDefault="00413229" w:rsidP="00413229">
      <w:r>
        <w:t>Government Commission on the German Corporate Governance Code, ‘The German Corporate Governance Code’ (2002), popularly referred as The Cromme Code after its author Dr. Gerhard Cromme, available at &lt;http://www.ecgi.org/codes/documents/corgov_endfassung_e.pdf&gt;</w:t>
      </w:r>
    </w:p>
    <w:p w14:paraId="7DD3CE6A" w14:textId="77777777" w:rsidR="00413229" w:rsidRDefault="00413229" w:rsidP="00413229"/>
    <w:p w14:paraId="41A2C23A" w14:textId="77777777" w:rsidR="00413229" w:rsidRDefault="00413229" w:rsidP="00413229">
      <w:r>
        <w:t>Green RT and Allaway AW, ‘Identification of export opportunities: a shift-share approach’ (1985) The Journal of Marketing 83-88</w:t>
      </w:r>
    </w:p>
    <w:p w14:paraId="1C01FF5E" w14:textId="77777777" w:rsidR="00413229" w:rsidRDefault="00413229" w:rsidP="00413229"/>
    <w:p w14:paraId="13AE79E4" w14:textId="77777777" w:rsidR="00413229" w:rsidRDefault="00413229" w:rsidP="00413229">
      <w:r>
        <w:t xml:space="preserve">Grewal M and Andrews AP, </w:t>
      </w:r>
      <w:r w:rsidRPr="0019627C">
        <w:rPr>
          <w:i/>
        </w:rPr>
        <w:t xml:space="preserve">Kalman Filtering - Theory and Practice Using MATLAB </w:t>
      </w:r>
      <w:r>
        <w:t>(Wiley 2001).</w:t>
      </w:r>
    </w:p>
    <w:p w14:paraId="2786D0E8" w14:textId="77777777" w:rsidR="00413229" w:rsidRDefault="00413229" w:rsidP="00413229"/>
    <w:p w14:paraId="7A092D25" w14:textId="77777777" w:rsidR="00413229" w:rsidRDefault="00413229" w:rsidP="00413229">
      <w:r>
        <w:t xml:space="preserve">Griffith R et al., ‘Mapping the two faces of R&amp;D: productivity growth in a panel of OECD industries’ (200) 86 (4) Review of Economics and Statistics 883-895 </w:t>
      </w:r>
    </w:p>
    <w:p w14:paraId="4D15CE9D" w14:textId="77777777" w:rsidR="00413229" w:rsidRDefault="00413229" w:rsidP="00413229"/>
    <w:p w14:paraId="58A445B5" w14:textId="77777777" w:rsidR="00413229" w:rsidRDefault="00413229" w:rsidP="00413229">
      <w:r>
        <w:t xml:space="preserve">Gromb D, ‘Is One-share-One-vote Optimal?’ (1993) Working Paper Series, LSE </w:t>
      </w:r>
    </w:p>
    <w:p w14:paraId="31132771" w14:textId="77777777" w:rsidR="00413229" w:rsidRDefault="00413229" w:rsidP="00413229"/>
    <w:p w14:paraId="46DCE91A" w14:textId="77777777" w:rsidR="00413229" w:rsidRDefault="00413229" w:rsidP="00413229">
      <w:r>
        <w:lastRenderedPageBreak/>
        <w:t xml:space="preserve">Grossfeld B and Ebke W, ‘Controlling the Modern Corporation: A Comparative View of Corporate Power in the United States and Europe’ (1978) 26 (3) American Journal of Comparative Law 397-433 </w:t>
      </w:r>
    </w:p>
    <w:p w14:paraId="23E75620" w14:textId="77777777" w:rsidR="00413229" w:rsidRDefault="00413229" w:rsidP="00413229"/>
    <w:p w14:paraId="7CDFCEA1" w14:textId="77777777" w:rsidR="00413229" w:rsidRDefault="00413229" w:rsidP="00413229">
      <w:r w:rsidRPr="003A6EDB">
        <w:t>Guerrera</w:t>
      </w:r>
      <w:r>
        <w:t xml:space="preserve"> F</w:t>
      </w:r>
      <w:r w:rsidRPr="003A6EDB">
        <w:t xml:space="preserve">, ‘Welch condemns share price focus’ </w:t>
      </w:r>
      <w:r w:rsidRPr="003A6EDB">
        <w:rPr>
          <w:i/>
        </w:rPr>
        <w:t xml:space="preserve">Financial Times </w:t>
      </w:r>
      <w:r w:rsidRPr="003A6EDB">
        <w:t>(New York, 12 March 2009)</w:t>
      </w:r>
    </w:p>
    <w:p w14:paraId="38BED9ED" w14:textId="77777777" w:rsidR="00AF6C60" w:rsidRDefault="00AF6C60" w:rsidP="00413229"/>
    <w:p w14:paraId="310701DB" w14:textId="77777777" w:rsidR="00413229" w:rsidRDefault="00413229" w:rsidP="00413229">
      <w:r>
        <w:t>Gurgul H and Lach L, ‘Financial Development and Economic Growth in Poland in Transition: Causality Analysis’ (2012) 62 (4) Czech Journal of Economics and Finance 347-367 &lt;http://journal.fsv.cuni.cz/storage/1253_347-367---gurgul.pdf &gt;</w:t>
      </w:r>
    </w:p>
    <w:p w14:paraId="74DF02B3" w14:textId="77777777" w:rsidR="00413229" w:rsidRDefault="00413229" w:rsidP="00413229"/>
    <w:p w14:paraId="2A778C8F" w14:textId="77777777" w:rsidR="00413229" w:rsidRDefault="00413229" w:rsidP="00413229">
      <w:r>
        <w:t xml:space="preserve">Haggard S and Tiede L, ‘The Rule of Law and Economic Growth: Where are We?’ (2011) 39 (5) World Development 673-685 </w:t>
      </w:r>
    </w:p>
    <w:p w14:paraId="47580345" w14:textId="77777777" w:rsidR="00413229" w:rsidRDefault="00413229" w:rsidP="00413229"/>
    <w:p w14:paraId="1682462F" w14:textId="77777777" w:rsidR="00413229" w:rsidRDefault="00413229" w:rsidP="00413229">
      <w:r>
        <w:t>Haid A and Weigand J, ‘R&amp;D, liquidity constraints, and corporate governance’ (2001) Journal of Economics and Statistics 145-167</w:t>
      </w:r>
    </w:p>
    <w:p w14:paraId="1ECB43EE" w14:textId="77777777" w:rsidR="00413229" w:rsidRDefault="00413229" w:rsidP="00413229"/>
    <w:p w14:paraId="76F9C68B" w14:textId="77777777" w:rsidR="00413229" w:rsidRDefault="00413229" w:rsidP="00413229">
      <w:r>
        <w:t>Hall B, ‘The stock market's valuation of R&amp;D investment during the 1980’s’ (1993) 83 American Economic Review 259–264</w:t>
      </w:r>
    </w:p>
    <w:p w14:paraId="6742AE77" w14:textId="77777777" w:rsidR="00413229" w:rsidRDefault="00413229" w:rsidP="00413229"/>
    <w:p w14:paraId="042C01B2" w14:textId="77777777" w:rsidR="00413229" w:rsidRDefault="00413229" w:rsidP="00413229">
      <w:r>
        <w:t xml:space="preserve">Hambleton R, Swaminathan H and Rogers H, </w:t>
      </w:r>
      <w:r w:rsidRPr="00E71C88">
        <w:rPr>
          <w:i/>
        </w:rPr>
        <w:t>Fundamentals of Item Response Theory: Measurement Methods for the Social Science</w:t>
      </w:r>
      <w:r>
        <w:t xml:space="preserve"> (SAGE 1991)  </w:t>
      </w:r>
    </w:p>
    <w:p w14:paraId="2749C3CF" w14:textId="77777777" w:rsidR="00413229" w:rsidRDefault="00413229" w:rsidP="00413229"/>
    <w:p w14:paraId="53E9B43D" w14:textId="77777777" w:rsidR="00413229" w:rsidRDefault="00413229" w:rsidP="00413229">
      <w:r>
        <w:t>Hameed et al., ‘External debt and its impact on economic and business growth in Pakistan.’ (2008) 20 International Research Journal of Finance and Economics 132-140</w:t>
      </w:r>
    </w:p>
    <w:p w14:paraId="47B47269" w14:textId="77777777" w:rsidR="00413229" w:rsidRDefault="00413229" w:rsidP="00413229"/>
    <w:p w14:paraId="7095EF59" w14:textId="77777777" w:rsidR="00413229" w:rsidRDefault="00413229" w:rsidP="00413229">
      <w:r>
        <w:t>Hansen H and Rand J, ‘On the causal links between FDI and growth in developing countries’ (2006) 29 (1) The World Economy 21-41</w:t>
      </w:r>
    </w:p>
    <w:p w14:paraId="430C14EE" w14:textId="77777777" w:rsidR="00413229" w:rsidRDefault="00413229" w:rsidP="00413229"/>
    <w:p w14:paraId="418BC202" w14:textId="77777777" w:rsidR="00413229" w:rsidRDefault="00413229" w:rsidP="00413229">
      <w:r>
        <w:t xml:space="preserve">Hansmann H and Kraakman R, ‘The End of History for Corporate Law’ (2000) 89 Geo. L. J. 439 </w:t>
      </w:r>
    </w:p>
    <w:p w14:paraId="299E8E82" w14:textId="77777777" w:rsidR="00413229" w:rsidRDefault="00413229" w:rsidP="00413229"/>
    <w:p w14:paraId="42CDEB84" w14:textId="77777777" w:rsidR="00413229" w:rsidRDefault="00413229" w:rsidP="00413229">
      <w:r>
        <w:t>Haque F, Arun T and Kirkpatrick C, ‘Corporate governance and financial market a conceptual framework’ &lt; http://virtusinterpress.org/additional_files/journ_coc/full-text-papers-open-access/Paper012.pdf&gt; accessed 20 January 2015</w:t>
      </w:r>
    </w:p>
    <w:p w14:paraId="70D0FC12" w14:textId="77777777" w:rsidR="00413229" w:rsidRDefault="00413229" w:rsidP="00413229"/>
    <w:p w14:paraId="1C632591" w14:textId="77777777" w:rsidR="00413229" w:rsidRDefault="00413229" w:rsidP="00413229">
      <w:r>
        <w:t>Harford J, Mansi SA and Maxwell WF, ‘Corporate governance and firm cash holdings in the US.’ (2008) 87 Journal of Financial Economics 535-555</w:t>
      </w:r>
    </w:p>
    <w:p w14:paraId="22A4FC3A" w14:textId="77777777" w:rsidR="00413229" w:rsidRDefault="00413229" w:rsidP="00413229"/>
    <w:p w14:paraId="2E6CFAAA" w14:textId="77777777" w:rsidR="00413229" w:rsidRDefault="00413229" w:rsidP="00413229">
      <w:r>
        <w:t>Harris M and Raviv A, ‘Corporate governance: Voting rights and majority rules’ (1988) 20 Journal of Financial Economics 203-235</w:t>
      </w:r>
    </w:p>
    <w:p w14:paraId="25D90B13" w14:textId="77777777" w:rsidR="00413229" w:rsidRDefault="00413229" w:rsidP="00413229"/>
    <w:p w14:paraId="128A9E0A" w14:textId="77777777" w:rsidR="00413229" w:rsidRDefault="00413229" w:rsidP="00413229">
      <w:r>
        <w:t>Hartzell JC, Kallberg JG, and Liu CH, ‘The role of corporate governance in initial public offerings: evidence from real estate investment trusts.’ (2008) 51 (3) Journal of Law and Economics 539-562</w:t>
      </w:r>
    </w:p>
    <w:p w14:paraId="6ADD99B5" w14:textId="77777777" w:rsidR="00413229" w:rsidRDefault="00413229" w:rsidP="00413229"/>
    <w:p w14:paraId="525E97CF" w14:textId="72F3AC5C" w:rsidR="00413229" w:rsidRDefault="00413229" w:rsidP="00413229">
      <w:proofErr w:type="spellStart"/>
      <w:r>
        <w:t>Lehuedé</w:t>
      </w:r>
      <w:proofErr w:type="spellEnd"/>
      <w:r w:rsidR="007160BC">
        <w:t xml:space="preserve"> H</w:t>
      </w:r>
      <w:r>
        <w:t>, ‘Colombian SOEs: A Review Against the OECD Guidelines on Corporate Governance of State-owned Enterprises’ (2013) OECD Corporate Governance Working Papers No. 12, OECD Publishing. &lt;http://dx.doi.org/10.1787/5k3v1ts5s4f6-en&gt;</w:t>
      </w:r>
    </w:p>
    <w:p w14:paraId="11F2BEFD" w14:textId="77777777" w:rsidR="00413229" w:rsidRDefault="00413229" w:rsidP="00413229"/>
    <w:p w14:paraId="28959AC5" w14:textId="77777777" w:rsidR="00413229" w:rsidRDefault="00413229" w:rsidP="00413229">
      <w:r>
        <w:t xml:space="preserve">Heerwegh D, ‘Small Sample Bayesian Factor Analysis’ Working Paper SP03 (2014) available at &lt;http://www.phusewiki.org/docs/Conference%202014%20SP%20Papers/SP03.pdf&gt; accessed on 12 June 2015; </w:t>
      </w:r>
    </w:p>
    <w:p w14:paraId="0E5F4D83" w14:textId="77777777" w:rsidR="00413229" w:rsidRDefault="00413229" w:rsidP="00413229"/>
    <w:p w14:paraId="792D5B2D" w14:textId="77777777" w:rsidR="00413229" w:rsidRDefault="00413229" w:rsidP="00413229">
      <w:r>
        <w:t xml:space="preserve">Henisz WJ, ‘The institutional environment for economic growth’ (2000) 12 (1) Economics &amp; Politics 1-31 </w:t>
      </w:r>
    </w:p>
    <w:p w14:paraId="5C0FBD37" w14:textId="77777777" w:rsidR="00413229" w:rsidRDefault="00413229" w:rsidP="00413229"/>
    <w:p w14:paraId="62DAC829" w14:textId="77777777" w:rsidR="00413229" w:rsidRDefault="00413229" w:rsidP="00413229">
      <w:r>
        <w:t xml:space="preserve">Hess GD, ‘The economic welfare cost of conflict: an empirical assessment’ (2003) CESifo Working Paper No. 852 </w:t>
      </w:r>
    </w:p>
    <w:p w14:paraId="7E3DBD49" w14:textId="77777777" w:rsidR="00413229" w:rsidRDefault="00413229" w:rsidP="00413229"/>
    <w:p w14:paraId="2193850B" w14:textId="77777777" w:rsidR="00413229" w:rsidRDefault="00413229" w:rsidP="00413229">
      <w:r>
        <w:lastRenderedPageBreak/>
        <w:t>Hewson M and Bonga LB, ‘The effects of monetary policy shocks on stock returns in South Africa: a structural vector error correction model’ (2005) Economic Society of South Africa Conference, Durban</w:t>
      </w:r>
    </w:p>
    <w:p w14:paraId="3363C3A6" w14:textId="77777777" w:rsidR="00413229" w:rsidRDefault="00413229" w:rsidP="00413229"/>
    <w:p w14:paraId="15558A2E" w14:textId="77777777" w:rsidR="00413229" w:rsidRDefault="00413229" w:rsidP="00413229">
      <w:r>
        <w:t xml:space="preserve">Hopt KJ, ‘Comparative Company Law’ in Mathias Reimann &amp; Reinhard Zimmermann (eds.) </w:t>
      </w:r>
      <w:r w:rsidRPr="008C6535">
        <w:rPr>
          <w:i/>
        </w:rPr>
        <w:t>The Oxford Handbook of comparative law</w:t>
      </w:r>
      <w:r>
        <w:t xml:space="preserve"> (OUP 2006)</w:t>
      </w:r>
    </w:p>
    <w:p w14:paraId="0DA2B625" w14:textId="77777777" w:rsidR="00413229" w:rsidRDefault="00413229" w:rsidP="00413229"/>
    <w:p w14:paraId="36325C18" w14:textId="77777777" w:rsidR="00413229" w:rsidRDefault="00413229" w:rsidP="00413229">
      <w:r>
        <w:t xml:space="preserve">Hou J, ‘The dynamics of Human Development Index’ (2014) The Social Science Journal doi:10.1016/j.soscij.2014.07.003 </w:t>
      </w:r>
    </w:p>
    <w:p w14:paraId="4503D677" w14:textId="77777777" w:rsidR="00413229" w:rsidRDefault="00413229" w:rsidP="00413229"/>
    <w:p w14:paraId="3F477397" w14:textId="77777777" w:rsidR="00413229" w:rsidRDefault="00413229" w:rsidP="00413229">
      <w:r>
        <w:t>Hsiao FST and Hsiao MCW, ‘FDI, exports, and GDP in East and Southeast Asia—Panel data versus time-series causality analyses’ (2006) 17 (6) Journal of Asian Economics 1082</w:t>
      </w:r>
    </w:p>
    <w:p w14:paraId="332A31F6" w14:textId="77777777" w:rsidR="00413229" w:rsidRDefault="00413229" w:rsidP="00413229"/>
    <w:p w14:paraId="74CB767E" w14:textId="77777777" w:rsidR="00413229" w:rsidRDefault="00413229" w:rsidP="00413229">
      <w:r>
        <w:t>Hui W, ‘Debt Financing, Corporate Governance and Market Valuation of Listed Companies’ (2003) 8 Economic Research Journal 3</w:t>
      </w:r>
    </w:p>
    <w:p w14:paraId="3C8DAE98" w14:textId="77777777" w:rsidR="00413229" w:rsidRDefault="00413229" w:rsidP="00413229"/>
    <w:p w14:paraId="226FC993" w14:textId="77777777" w:rsidR="00413229" w:rsidRDefault="00413229" w:rsidP="00413229">
      <w:r>
        <w:t>Humber Y, ‘7 Years Ago the Markets Were Booming: 2005 Is Year of Russian Markets’ The Moscow Times (Moscow, 29 December 2005) &lt; http://www.themoscowtimes.com/20th/welcome/7-years-ago-the-markets-were-booming_-2005-is-year-of-russian-markets.html &gt;</w:t>
      </w:r>
    </w:p>
    <w:p w14:paraId="3594C367" w14:textId="77777777" w:rsidR="00413229" w:rsidRDefault="00413229" w:rsidP="00413229"/>
    <w:p w14:paraId="27190655" w14:textId="77777777" w:rsidR="00413229" w:rsidRDefault="00413229" w:rsidP="00413229">
      <w:r>
        <w:t>Hung MW and Jan YC, ‘Use of deviations of purchasing power parity and interest rate parity to clarify the 1997 Asian financial crisis’ (2002) 5 (2) Review of Pacific Basin financial markets and policies 195</w:t>
      </w:r>
    </w:p>
    <w:p w14:paraId="0614C266" w14:textId="77777777" w:rsidR="00413229" w:rsidRDefault="00413229" w:rsidP="00413229"/>
    <w:p w14:paraId="65727C86" w14:textId="77777777" w:rsidR="00413229" w:rsidRDefault="00413229" w:rsidP="00413229">
      <w:r>
        <w:t xml:space="preserve">Ibrahim AA, ‘Developing governance and regulation for emerging capital and securities markets’ (2007-08) 39 Rutgers Law Journal 111 </w:t>
      </w:r>
    </w:p>
    <w:p w14:paraId="742006BB" w14:textId="77777777" w:rsidR="00413229" w:rsidRDefault="00413229" w:rsidP="00413229"/>
    <w:p w14:paraId="0BAF1CE9" w14:textId="77777777" w:rsidR="00413229" w:rsidRDefault="00413229" w:rsidP="00413229">
      <w:r w:rsidRPr="005A740E">
        <w:t>International Finance Corporation (World Bank Group)</w:t>
      </w:r>
      <w:r>
        <w:t xml:space="preserve">, The Indonesia Corporate governance manual (IFC 2014) 35 </w:t>
      </w:r>
      <w:r>
        <w:lastRenderedPageBreak/>
        <w:t>&lt;http://www.ifc.org/wps/wcm/connect/64185f0042cc3ab0b145fd384c61d9f7/Indonesia_CG_Manual_Feb2014.pdf?MOD=AJPERES&gt;</w:t>
      </w:r>
    </w:p>
    <w:p w14:paraId="57F4DC8D" w14:textId="77777777" w:rsidR="00413229" w:rsidRDefault="00413229" w:rsidP="00413229"/>
    <w:p w14:paraId="67BDF91E" w14:textId="77777777" w:rsidR="00413229" w:rsidRDefault="00413229" w:rsidP="00413229">
      <w:r w:rsidRPr="005A740E">
        <w:t>International Finance Corporation (World Bank Group), ‘Global Corporate Governance Forum - Better Companies, Better Societies’ (2010) &lt; http://www-wds.worldbank.org/external/default/WDSContentServer /WDSP/IB/2011/07/08/000333037_20110708022840/Rendered/PDF/628780NEWS0Glo00Box0361495B0PUBLIC0.pdf&gt; accessed 20 January 2015</w:t>
      </w:r>
    </w:p>
    <w:p w14:paraId="7E0AE350" w14:textId="77777777" w:rsidR="00413229" w:rsidRDefault="00413229" w:rsidP="00413229"/>
    <w:p w14:paraId="02BF7817" w14:textId="77777777" w:rsidR="00413229" w:rsidRDefault="00413229" w:rsidP="00413229">
      <w:r w:rsidRPr="005A740E">
        <w:t>International Finance Corporation (World Bank Group), ‘The Latin American corporate governance roundtable’ (2010) &lt; http://www.ifc.org/wps/wcm/connect/1a3d778048a7e4b29e7fdf6060ad5911/101020_Building%2Bon%2Ba%2BDecade%2Bof%2BProgress_Web.pdf?MOD=AJPERES &gt;</w:t>
      </w:r>
    </w:p>
    <w:p w14:paraId="066EBFC8" w14:textId="77777777" w:rsidR="00413229" w:rsidRDefault="00413229" w:rsidP="00413229">
      <w:r>
        <w:t>Institute of Economics &amp; Peace, Global Peace Index: Measuring peace and assessing country risk (2014) available online at &lt;http://www.visionofhumanity.org/sites/default/files/2014%20Global%20Peace%20Index%20 REPORT.pdf&gt;</w:t>
      </w:r>
    </w:p>
    <w:p w14:paraId="61C022B0" w14:textId="77777777" w:rsidR="00413229" w:rsidRDefault="00413229" w:rsidP="00413229"/>
    <w:p w14:paraId="22FFB245" w14:textId="77777777" w:rsidR="00413229" w:rsidRDefault="00413229" w:rsidP="00413229">
      <w:r>
        <w:t>Institute of Economics &amp; Peace, The economic cost of violence containment: a comprehensive assessment of the global cost of violence (2014) available at &lt;http://www.visionofhumanity.org/sites/default/files/The%20</w:t>
      </w:r>
      <w:r w:rsidRPr="005A740E">
        <w:t xml:space="preserve"> Economic%20Cost%20of%20Violence%20Containment.pdf</w:t>
      </w:r>
      <w:r>
        <w:t>&gt;</w:t>
      </w:r>
    </w:p>
    <w:p w14:paraId="4666C853" w14:textId="77777777" w:rsidR="00413229" w:rsidRDefault="00413229" w:rsidP="00413229"/>
    <w:p w14:paraId="701FE806" w14:textId="77777777" w:rsidR="00413229" w:rsidRDefault="00413229" w:rsidP="00413229">
      <w:r>
        <w:t xml:space="preserve">International Monetary Fund, </w:t>
      </w:r>
      <w:r w:rsidRPr="00CA7B9F">
        <w:rPr>
          <w:i/>
        </w:rPr>
        <w:t xml:space="preserve">Staff Country Reports: Peru </w:t>
      </w:r>
      <w:r>
        <w:t xml:space="preserve">(2007 IMF) </w:t>
      </w:r>
    </w:p>
    <w:p w14:paraId="13152026" w14:textId="77777777" w:rsidR="00413229" w:rsidRDefault="00413229" w:rsidP="00413229"/>
    <w:p w14:paraId="2C7F0FEC" w14:textId="77777777" w:rsidR="00413229" w:rsidRDefault="00413229" w:rsidP="00413229">
      <w:r>
        <w:t xml:space="preserve">Ireland P, ‘Financialization and corporate governance’ (2009) 60 North Ireland Legal Quarterly 1 </w:t>
      </w:r>
    </w:p>
    <w:p w14:paraId="21929A77" w14:textId="77777777" w:rsidR="00413229" w:rsidRDefault="00413229" w:rsidP="00413229"/>
    <w:p w14:paraId="103C96E2" w14:textId="77777777" w:rsidR="00413229" w:rsidRDefault="00413229" w:rsidP="00413229">
      <w:r>
        <w:t>Jackman S, ‘Estimation and Inference Are Missing Data Problems: Unifying Social Science Statistics via Bayesian Simulation.’ (2000) 8 Political Analysis 307-332</w:t>
      </w:r>
    </w:p>
    <w:p w14:paraId="7F7512CC" w14:textId="77777777" w:rsidR="00413229" w:rsidRDefault="00413229" w:rsidP="00413229"/>
    <w:p w14:paraId="495F0CE0" w14:textId="77777777" w:rsidR="00413229" w:rsidRDefault="00413229" w:rsidP="00413229">
      <w:r>
        <w:lastRenderedPageBreak/>
        <w:t>Jackman S, ‘Estimation and Inference via Bayesian Simulation: An Introduction to Markov Chain Monte Carlo.’ (2000) 44 American Journal of Political Science 375-404</w:t>
      </w:r>
    </w:p>
    <w:p w14:paraId="5E7DD573" w14:textId="77777777" w:rsidR="00413229" w:rsidRDefault="00413229" w:rsidP="00413229"/>
    <w:p w14:paraId="1C728215" w14:textId="77777777" w:rsidR="00413229" w:rsidRDefault="00413229" w:rsidP="00413229">
      <w:r>
        <w:t xml:space="preserve">Jackmann S, </w:t>
      </w:r>
      <w:r w:rsidRPr="0019627C">
        <w:rPr>
          <w:i/>
        </w:rPr>
        <w:t>Bayesian Analysis for the Social Sciences</w:t>
      </w:r>
      <w:r>
        <w:t xml:space="preserve"> (Wiley 2009) </w:t>
      </w:r>
    </w:p>
    <w:p w14:paraId="6FF52948" w14:textId="77777777" w:rsidR="00413229" w:rsidRDefault="00413229" w:rsidP="00413229"/>
    <w:p w14:paraId="2B3D9E34" w14:textId="77777777" w:rsidR="00413229" w:rsidRDefault="00413229" w:rsidP="00413229">
      <w:r>
        <w:t>Jalava J and Pohjola M, ‘Economic growth in the new economy: Evidence from advanced economies.’ (2002) 14 (2) Information Economics and Policy 189–210</w:t>
      </w:r>
    </w:p>
    <w:p w14:paraId="75EAEBB5" w14:textId="77777777" w:rsidR="00413229" w:rsidRDefault="00413229" w:rsidP="00413229"/>
    <w:p w14:paraId="50616F25" w14:textId="77777777" w:rsidR="00413229" w:rsidRDefault="00413229" w:rsidP="00413229">
      <w:r>
        <w:t>Jensen MC and Meckling WH, ‘Theory of the Firm: Managerial behaviour, Agency costs and ownership structures’ (1976) 3 Journal of Financial Economics 305</w:t>
      </w:r>
    </w:p>
    <w:p w14:paraId="44F1C9F7" w14:textId="77777777" w:rsidR="00413229" w:rsidRDefault="00413229" w:rsidP="00413229"/>
    <w:p w14:paraId="0ADDD550" w14:textId="77777777" w:rsidR="00413229" w:rsidRDefault="00413229" w:rsidP="00413229">
      <w:r>
        <w:t xml:space="preserve">Jiraporn P, ‘An empirical analysis of corporate takeover defences and earnings management: evidence from the US’ (2005) 15 (5)  Applied Financial Economics 293-303 </w:t>
      </w:r>
    </w:p>
    <w:p w14:paraId="7B4D0399" w14:textId="77777777" w:rsidR="00413229" w:rsidRDefault="00413229" w:rsidP="00413229"/>
    <w:p w14:paraId="549004DC" w14:textId="77777777" w:rsidR="00413229" w:rsidRDefault="00413229" w:rsidP="00413229">
      <w:r>
        <w:t xml:space="preserve">John P et al., </w:t>
      </w:r>
      <w:r w:rsidRPr="00CA7B9F">
        <w:rPr>
          <w:i/>
        </w:rPr>
        <w:t>Policy Agendas in British Politics</w:t>
      </w:r>
      <w:r>
        <w:t xml:space="preserve"> (Palgrave Macmillan 2013) 127</w:t>
      </w:r>
    </w:p>
    <w:p w14:paraId="34174490" w14:textId="77777777" w:rsidR="00413229" w:rsidRDefault="00413229" w:rsidP="00413229">
      <w:r>
        <w:t>Kandil M, ‘Exchange Rate Fluctuations and the Balance of Payments: Channels of Interaction in Developing and Developed Countries’ (2009) 24 (1) Journal of Economic Integration 191-174</w:t>
      </w:r>
    </w:p>
    <w:p w14:paraId="7BAE1D94" w14:textId="77777777" w:rsidR="00413229" w:rsidRDefault="00413229" w:rsidP="00413229"/>
    <w:p w14:paraId="61B1ABBA" w14:textId="77777777" w:rsidR="00413229" w:rsidRDefault="00413229" w:rsidP="00413229">
      <w:r>
        <w:t>Karmel RS, ‘The Vietnamese Stock Market’ &lt;http://www.fwa.org/pdf/Vietnam_posttrip_article.pdf&gt;</w:t>
      </w:r>
    </w:p>
    <w:p w14:paraId="7815ED3C" w14:textId="77777777" w:rsidR="00413229" w:rsidRDefault="00413229" w:rsidP="00413229"/>
    <w:p w14:paraId="7C3B21DC" w14:textId="0540D88F" w:rsidR="00413229" w:rsidRDefault="00413229" w:rsidP="00413229">
      <w:r>
        <w:t>Katelouzou D and Siems M, ‘Disappearing Paradigms in Shareholder Protection: Leximetric Evidence for 30 Countries, 1990-2013’ (2015) King's College London Law School Research Paper No. 2015-21 &lt; http://ssrn.com/abstract=2579832 &gt; accessed 10 May 2015</w:t>
      </w:r>
      <w:r w:rsidR="007160BC">
        <w:t xml:space="preserve"> published at (2015) 15 </w:t>
      </w:r>
      <w:r w:rsidR="007160BC" w:rsidRPr="007160BC">
        <w:t xml:space="preserve">Journal of Corporate </w:t>
      </w:r>
      <w:r w:rsidR="007160BC">
        <w:t xml:space="preserve">Law Studies </w:t>
      </w:r>
      <w:r w:rsidR="007160BC" w:rsidRPr="007160BC">
        <w:t>127-160</w:t>
      </w:r>
    </w:p>
    <w:p w14:paraId="038EF9EC" w14:textId="77777777" w:rsidR="00413229" w:rsidRDefault="00413229" w:rsidP="00413229"/>
    <w:p w14:paraId="1F169619" w14:textId="77777777" w:rsidR="00413229" w:rsidRDefault="00413229" w:rsidP="00413229">
      <w:r w:rsidRPr="003A6EDB">
        <w:t>Kay</w:t>
      </w:r>
      <w:r>
        <w:t xml:space="preserve"> J</w:t>
      </w:r>
      <w:r w:rsidRPr="003A6EDB">
        <w:t xml:space="preserve">, </w:t>
      </w:r>
      <w:r w:rsidRPr="003A6EDB">
        <w:rPr>
          <w:i/>
        </w:rPr>
        <w:t xml:space="preserve">Obliquity: Why our goals are best achieved indirectly </w:t>
      </w:r>
      <w:r w:rsidRPr="003A6EDB">
        <w:t>(Profile Books 2010)</w:t>
      </w:r>
    </w:p>
    <w:p w14:paraId="4088FBDF" w14:textId="77777777" w:rsidR="00413229" w:rsidRDefault="00413229" w:rsidP="00413229"/>
    <w:p w14:paraId="62337C17" w14:textId="77777777" w:rsidR="00413229" w:rsidRDefault="00413229" w:rsidP="00413229">
      <w:r>
        <w:lastRenderedPageBreak/>
        <w:t xml:space="preserve">Kendall J, ‘Local financial development and growth’ (2012) 36 (5) Journal of Banking and Finance 1548-1562 </w:t>
      </w:r>
    </w:p>
    <w:p w14:paraId="6C2C75A4" w14:textId="77777777" w:rsidR="00413229" w:rsidRDefault="00413229" w:rsidP="00413229"/>
    <w:p w14:paraId="00A9F504" w14:textId="77777777" w:rsidR="00413229" w:rsidRDefault="00413229" w:rsidP="00413229">
      <w:r>
        <w:t xml:space="preserve">Kin BB, ‘Stock Returns, Corporate Governance, and Long-Term Economic Growth’ (2009) 35 (2) Ohio Northern University Law Review 685 </w:t>
      </w:r>
    </w:p>
    <w:p w14:paraId="1329453E" w14:textId="77777777" w:rsidR="00413229" w:rsidRDefault="00413229" w:rsidP="00413229"/>
    <w:p w14:paraId="31520423" w14:textId="77777777" w:rsidR="00413229" w:rsidRDefault="00413229" w:rsidP="00413229">
      <w:r>
        <w:t xml:space="preserve">Klapper LF and Love I, ‘Corporate governance, investor protection, and performance in emerging markets’ (2004) 10 (5) Journal of corporate Finance 703-728 </w:t>
      </w:r>
    </w:p>
    <w:p w14:paraId="327582ED" w14:textId="77777777" w:rsidR="00413229" w:rsidRDefault="00413229" w:rsidP="00413229"/>
    <w:p w14:paraId="612C95E0" w14:textId="77777777" w:rsidR="00413229" w:rsidRDefault="00413229" w:rsidP="00413229">
      <w:r>
        <w:t xml:space="preserve">Klein MW and Rosengren E, ‘The real exchange rate and foreign direct investment in the United States: relative wealth vs. relative wage effects’ (1994) 36 (3) Journal of international Economics 373-389 </w:t>
      </w:r>
    </w:p>
    <w:p w14:paraId="067E976B" w14:textId="77777777" w:rsidR="00413229" w:rsidRDefault="00413229" w:rsidP="00413229"/>
    <w:p w14:paraId="4183A85B" w14:textId="77777777" w:rsidR="00413229" w:rsidRDefault="00413229" w:rsidP="00413229">
      <w:r>
        <w:t xml:space="preserve">Kollias C et al., ‘European Markets’ Reactions to Exogenous Shocks: A High Frequency Data Analysis of the 2005 London Bombings’ (2013) 1 (4) International Journal of Financial Studies 154 </w:t>
      </w:r>
    </w:p>
    <w:p w14:paraId="72DE85A5" w14:textId="77777777" w:rsidR="00413229" w:rsidRDefault="00413229" w:rsidP="00413229"/>
    <w:p w14:paraId="5DB9FBEF" w14:textId="77777777" w:rsidR="00413229" w:rsidRDefault="00413229" w:rsidP="00413229">
      <w:r>
        <w:t xml:space="preserve">Krafft et al., ‘Corporate Governance, Industry Dynamics and Firms Performance: An Empirical Analysis of a Best Practice Model’ (2008) 74 (4) Louvain Economic Review 455 </w:t>
      </w:r>
    </w:p>
    <w:p w14:paraId="4302D65E" w14:textId="77777777" w:rsidR="00413229" w:rsidRDefault="00413229" w:rsidP="00413229"/>
    <w:p w14:paraId="5EE6A61E" w14:textId="77777777" w:rsidR="00413229" w:rsidRDefault="00413229" w:rsidP="00413229">
      <w:r>
        <w:t>Krever T, ‘The Legal Turn in Late Development Theory: The Rule of Law and the World Bank's Development Model’ (2011) 52 (1)  Harvard International Law Journal 287-319</w:t>
      </w:r>
    </w:p>
    <w:p w14:paraId="3D29D627" w14:textId="77777777" w:rsidR="007160BC" w:rsidRDefault="007160BC" w:rsidP="00413229"/>
    <w:p w14:paraId="517FC229" w14:textId="77777777" w:rsidR="00413229" w:rsidRDefault="00413229" w:rsidP="00413229">
      <w:r>
        <w:t>Kuznets S, ‘Economic growth and income inequality’ (1955) The American Economic Review 1-28</w:t>
      </w:r>
    </w:p>
    <w:p w14:paraId="2D488300" w14:textId="77777777" w:rsidR="00413229" w:rsidRDefault="00413229" w:rsidP="00413229"/>
    <w:p w14:paraId="51D66440" w14:textId="77777777" w:rsidR="00413229" w:rsidRDefault="00413229" w:rsidP="00413229">
      <w:r w:rsidRPr="00D36AB2">
        <w:t>La Porta R, Lopez-de-Silanes F, Shleifer A and Vishny RW, ‘Law and Finance’ (1996) NBER Working Paper 5661</w:t>
      </w:r>
    </w:p>
    <w:p w14:paraId="28D0CF81" w14:textId="77777777" w:rsidR="00413229" w:rsidRDefault="00413229" w:rsidP="00413229">
      <w:r w:rsidRPr="00D36AB2">
        <w:lastRenderedPageBreak/>
        <w:t>— —  ‘Legal Determinants of External Finance’ (1997) 52 (3) Journal of Finance 1131-1150</w:t>
      </w:r>
    </w:p>
    <w:p w14:paraId="6DB5630C" w14:textId="77777777" w:rsidR="00413229" w:rsidRDefault="00413229" w:rsidP="00413229">
      <w:r w:rsidRPr="00D36AB2">
        <w:t>— —  ‘Law and Finance’ (1998) Journal of Political Economy 1113-1155</w:t>
      </w:r>
    </w:p>
    <w:p w14:paraId="62A5C5BC" w14:textId="62B4EBC0" w:rsidR="00413229" w:rsidRDefault="00413229" w:rsidP="00413229">
      <w:r w:rsidRPr="00D36AB2">
        <w:t xml:space="preserve">— — </w:t>
      </w:r>
      <w:r>
        <w:t xml:space="preserve"> ‘Investor Protection and Co</w:t>
      </w:r>
      <w:r w:rsidR="00A32411">
        <w:t>rporate Governance’ (2000) 58 Journal of Financial Economics</w:t>
      </w:r>
      <w:r>
        <w:t xml:space="preserve"> 3</w:t>
      </w:r>
      <w:r w:rsidR="00A32411">
        <w:t xml:space="preserve">, working paper available at </w:t>
      </w:r>
      <w:r>
        <w:t xml:space="preserve"> &lt;http://ssrn.com/abstract=183908&gt; </w:t>
      </w:r>
    </w:p>
    <w:p w14:paraId="0C9F993D" w14:textId="77777777" w:rsidR="00413229" w:rsidRDefault="00413229" w:rsidP="00413229">
      <w:r w:rsidRPr="00D36AB2">
        <w:t>— — ‘Do institutions cause growth’ (2005) Journal of Economic Growth 271</w:t>
      </w:r>
    </w:p>
    <w:p w14:paraId="61C667C4" w14:textId="77777777" w:rsidR="00413229" w:rsidRDefault="00413229" w:rsidP="00413229">
      <w:r w:rsidRPr="00D36AB2">
        <w:t xml:space="preserve">— — </w:t>
      </w:r>
      <w:r>
        <w:t xml:space="preserve"> ‘What Works in Securities Laws’ (2006) Journal of Finance 1-32 </w:t>
      </w:r>
    </w:p>
    <w:p w14:paraId="1387A34C" w14:textId="09283644" w:rsidR="00413229" w:rsidRDefault="00413229" w:rsidP="00413229">
      <w:r>
        <w:t>— — ‘The Economic Consequences of Legal Origins’ (2008) 46 (2) Journal of Economic Literature 285-332</w:t>
      </w:r>
    </w:p>
    <w:p w14:paraId="55904CF6" w14:textId="77777777" w:rsidR="00413229" w:rsidRDefault="00413229" w:rsidP="00413229"/>
    <w:p w14:paraId="1BE5559B" w14:textId="0E76CA4B" w:rsidR="00413229" w:rsidRDefault="00413229" w:rsidP="00413229">
      <w:r>
        <w:t>Lall S, ‘Export performance, technological upgrading and foreign direct investment strategies in the Asian newly industrializing economies: with special reference to Singapore in ECLAC, Division of Production, Productivity and Management, Unit of Investment and Corporate Strategies</w:t>
      </w:r>
      <w:r w:rsidR="00A32411">
        <w:t>’</w:t>
      </w:r>
      <w:r>
        <w:t xml:space="preserve">, </w:t>
      </w:r>
      <w:r w:rsidR="00A32411">
        <w:t>(</w:t>
      </w:r>
      <w:r>
        <w:t>2000</w:t>
      </w:r>
      <w:r w:rsidR="00A32411">
        <w:t>)</w:t>
      </w:r>
      <w:r>
        <w:t xml:space="preserve"> available at &lt;http://repositorio.cepal.org/bitstream/handle/11362/4461/S00080739_en.pdf?sequence=1&gt;</w:t>
      </w:r>
    </w:p>
    <w:p w14:paraId="4811E5CA" w14:textId="77777777" w:rsidR="00413229" w:rsidRDefault="00413229" w:rsidP="00413229">
      <w:r w:rsidRPr="00D36AB2">
        <w:t xml:space="preserve">— — </w:t>
      </w:r>
      <w:r>
        <w:t xml:space="preserve"> ‘Technological change and industrialization in the Asian newly industrializing economies: achievements and challenges’ in Linsu Kim and Richard R. Nelson (eds.) </w:t>
      </w:r>
      <w:r w:rsidRPr="00AD5EBA">
        <w:rPr>
          <w:i/>
        </w:rPr>
        <w:t xml:space="preserve">Technology, learning, &amp; innovation: Experiences of newly industrializing economies </w:t>
      </w:r>
      <w:r>
        <w:t xml:space="preserve">(Cambridge University Press 2000) 13-68 </w:t>
      </w:r>
    </w:p>
    <w:p w14:paraId="71A93EFC" w14:textId="77777777" w:rsidR="00413229" w:rsidRDefault="00413229" w:rsidP="00413229"/>
    <w:p w14:paraId="04E24A21" w14:textId="77777777" w:rsidR="00413229" w:rsidRDefault="00413229" w:rsidP="00413229">
      <w:r>
        <w:t xml:space="preserve">Lane JE, ‘Law and economics in the ASEAN +3 region: The rule of law deficit’ (2011) 38 (10) International Journal of Social Economics 847-857 </w:t>
      </w:r>
    </w:p>
    <w:p w14:paraId="78427BC6" w14:textId="77777777" w:rsidR="00413229" w:rsidRDefault="00413229" w:rsidP="00413229"/>
    <w:p w14:paraId="29934614" w14:textId="77777777" w:rsidR="00413229" w:rsidRDefault="00413229" w:rsidP="00413229">
      <w:r>
        <w:t>Lawley DN, ‘On problems connected with item selection and test construction’ (1943) 62A (1) Proceedings of the Royal Society of Edinburgh 74–82</w:t>
      </w:r>
    </w:p>
    <w:p w14:paraId="11F43D5E" w14:textId="77777777" w:rsidR="00413229" w:rsidRDefault="00413229" w:rsidP="00413229"/>
    <w:p w14:paraId="61E2F94B" w14:textId="77777777" w:rsidR="00413229" w:rsidRDefault="00413229" w:rsidP="00413229">
      <w:r>
        <w:t xml:space="preserve">Lazarsfeld P, ‘The logical and mathematical foundation of latent structure analysis’, in S A Stouffer et al. (eds.), </w:t>
      </w:r>
      <w:r w:rsidRPr="005D3B17">
        <w:rPr>
          <w:i/>
        </w:rPr>
        <w:t>Measurement and Prediction</w:t>
      </w:r>
      <w:r>
        <w:t xml:space="preserve"> (Wiley 1950) 362–412</w:t>
      </w:r>
    </w:p>
    <w:p w14:paraId="5B828A49" w14:textId="77777777" w:rsidR="00413229" w:rsidRDefault="00413229" w:rsidP="00413229"/>
    <w:p w14:paraId="39FFFCC5" w14:textId="77777777" w:rsidR="00413229" w:rsidRDefault="00413229" w:rsidP="00413229">
      <w:r w:rsidRPr="00EE45B9">
        <w:lastRenderedPageBreak/>
        <w:t>Lazonick</w:t>
      </w:r>
      <w:r>
        <w:t xml:space="preserve"> W</w:t>
      </w:r>
      <w:r w:rsidRPr="00EE45B9">
        <w:t>, ‘Stock Buybacks: From retain and reinvest to downsize and distribute’ (2015) Working paper Centre for Effective public management at Brookings</w:t>
      </w:r>
    </w:p>
    <w:p w14:paraId="2C90DAC6" w14:textId="77777777" w:rsidR="00413229" w:rsidRDefault="00413229" w:rsidP="00413229">
      <w:r>
        <w:t>— — and O’sullivan M, ‘Maximizing shareholder value: a new ideology for corporate governance’ (2000) 29 (1) Economy and society 13-35</w:t>
      </w:r>
    </w:p>
    <w:p w14:paraId="4C25A32A" w14:textId="77777777" w:rsidR="00413229" w:rsidRDefault="00413229" w:rsidP="00413229"/>
    <w:p w14:paraId="5AF155CD" w14:textId="66B6974E" w:rsidR="00413229" w:rsidRDefault="00413229" w:rsidP="00413229">
      <w:r>
        <w:t xml:space="preserve">Lee SYT, </w:t>
      </w:r>
      <w:proofErr w:type="spellStart"/>
      <w:r w:rsidR="00A32411" w:rsidRPr="00A32411">
        <w:t>Gholami</w:t>
      </w:r>
      <w:proofErr w:type="spellEnd"/>
      <w:r w:rsidR="00A32411" w:rsidRPr="00A32411">
        <w:t xml:space="preserve"> </w:t>
      </w:r>
      <w:r w:rsidR="00A32411">
        <w:t xml:space="preserve">R and </w:t>
      </w:r>
      <w:r w:rsidR="00A32411" w:rsidRPr="00A32411">
        <w:t xml:space="preserve">Tong </w:t>
      </w:r>
      <w:r w:rsidR="00A32411">
        <w:t xml:space="preserve">TY, </w:t>
      </w:r>
      <w:r>
        <w:t xml:space="preserve">‘Time series analysis in the assessment of ICT impact at the aggregate level – lessons and implications for the new economy’ (2005) 42 (7) Information &amp; Management 1009 </w:t>
      </w:r>
    </w:p>
    <w:p w14:paraId="7775879D" w14:textId="77777777" w:rsidR="00413229" w:rsidRDefault="00413229" w:rsidP="00413229"/>
    <w:p w14:paraId="72E092AF" w14:textId="77777777" w:rsidR="00413229" w:rsidRDefault="00413229" w:rsidP="00413229">
      <w:pPr>
        <w:contextualSpacing/>
      </w:pPr>
      <w:r>
        <w:t>Lele P and Siems M, ‘Shareholder protection: a leximetric approach’ (2007) 7 Journal of Corporate Law Studies 17-50, data is available at &lt; http://www.cbr.cam.ac.uk/fileadmin/user_upload/centre-for-business-research/downloads/research-projects-output/Shareholder%20protection%20index%20data%205%20countries .xls&gt; accessed 10 May 2015</w:t>
      </w:r>
    </w:p>
    <w:p w14:paraId="2C683F22" w14:textId="77777777" w:rsidR="00413229" w:rsidRDefault="00413229" w:rsidP="00413229">
      <w:pPr>
        <w:contextualSpacing/>
      </w:pPr>
    </w:p>
    <w:p w14:paraId="364AC30F" w14:textId="77777777" w:rsidR="00413229" w:rsidRDefault="00413229" w:rsidP="00413229">
      <w:pPr>
        <w:contextualSpacing/>
      </w:pPr>
      <w:r>
        <w:t>Levine R, ‘The legal environment, banks, and long-run economic growth.’ (1998) Journal of Money, Credit and Banking 596-613</w:t>
      </w:r>
    </w:p>
    <w:p w14:paraId="6D29E9C4" w14:textId="77777777" w:rsidR="00413229" w:rsidRDefault="00413229" w:rsidP="00413229">
      <w:pPr>
        <w:contextualSpacing/>
      </w:pPr>
      <w:r w:rsidRPr="00823B4E">
        <w:t xml:space="preserve">— — </w:t>
      </w:r>
      <w:r>
        <w:t xml:space="preserve"> and Zervos S, ‘Stock Markets, Banks, and Economic Growth’ (1998) 88 (3) The American Economic Review 537-558</w:t>
      </w:r>
    </w:p>
    <w:p w14:paraId="7BFA03CD" w14:textId="77777777" w:rsidR="00413229" w:rsidRDefault="00413229" w:rsidP="00413229">
      <w:pPr>
        <w:contextualSpacing/>
      </w:pPr>
    </w:p>
    <w:p w14:paraId="4170DC90" w14:textId="77777777" w:rsidR="00413229" w:rsidRDefault="00413229" w:rsidP="00413229">
      <w:pPr>
        <w:contextualSpacing/>
      </w:pPr>
      <w:r>
        <w:t xml:space="preserve">Li H and Zou H, ‘Income Inequality is not Harmful for Growth: Theory and Evidence’ (1998) 2 (3) Review of Development Economics 318-334 </w:t>
      </w:r>
    </w:p>
    <w:p w14:paraId="21CA5B5A" w14:textId="77777777" w:rsidR="00413229" w:rsidRDefault="00413229" w:rsidP="00413229">
      <w:pPr>
        <w:contextualSpacing/>
      </w:pPr>
    </w:p>
    <w:p w14:paraId="6B1F59C5" w14:textId="77777777" w:rsidR="00413229" w:rsidRDefault="00413229" w:rsidP="00413229">
      <w:pPr>
        <w:contextualSpacing/>
      </w:pPr>
      <w:r>
        <w:t xml:space="preserve">Linden W and Hambleton RK, ‘Item Response Theory: Brief History, Common Models, and Extensions.’ in Wim van der Linden and Ronald K. Hambleton, </w:t>
      </w:r>
      <w:r w:rsidRPr="005D3B17">
        <w:rPr>
          <w:i/>
        </w:rPr>
        <w:t xml:space="preserve">Handbook of Modern Item Response Theory </w:t>
      </w:r>
      <w:r>
        <w:t>(Springer 1997) 1-28</w:t>
      </w:r>
    </w:p>
    <w:p w14:paraId="2CC3BEBF" w14:textId="77777777" w:rsidR="00413229" w:rsidRPr="00823B4E" w:rsidRDefault="00413229" w:rsidP="00413229">
      <w:pPr>
        <w:contextualSpacing/>
      </w:pPr>
    </w:p>
    <w:p w14:paraId="6C7979AE" w14:textId="05D78BEB" w:rsidR="00413229" w:rsidRDefault="00413229" w:rsidP="00413229">
      <w:pPr>
        <w:contextualSpacing/>
      </w:pPr>
      <w:proofErr w:type="spellStart"/>
      <w:r w:rsidRPr="00823B4E">
        <w:t>Litan</w:t>
      </w:r>
      <w:proofErr w:type="spellEnd"/>
      <w:r w:rsidRPr="00823B4E">
        <w:t xml:space="preserve"> RE, </w:t>
      </w:r>
      <w:proofErr w:type="spellStart"/>
      <w:r w:rsidR="00A32411" w:rsidRPr="00A32411">
        <w:t>Benkler</w:t>
      </w:r>
      <w:proofErr w:type="spellEnd"/>
      <w:r w:rsidR="00A32411" w:rsidRPr="00A32411">
        <w:t xml:space="preserve"> </w:t>
      </w:r>
      <w:r w:rsidR="00A32411">
        <w:t xml:space="preserve">Y, </w:t>
      </w:r>
      <w:r w:rsidR="00A32411" w:rsidRPr="00A32411">
        <w:t xml:space="preserve">Butler </w:t>
      </w:r>
      <w:r w:rsidR="00A32411">
        <w:t xml:space="preserve">HN, </w:t>
      </w:r>
      <w:r w:rsidR="00A32411" w:rsidRPr="00A32411">
        <w:t xml:space="preserve">Clippinger </w:t>
      </w:r>
      <w:r w:rsidR="00A32411">
        <w:t xml:space="preserve">HJ, </w:t>
      </w:r>
      <w:r w:rsidR="00A32411" w:rsidRPr="00A32411">
        <w:t xml:space="preserve">Deegan </w:t>
      </w:r>
      <w:r w:rsidR="00A32411">
        <w:t xml:space="preserve">BC, </w:t>
      </w:r>
      <w:r w:rsidR="00A32411" w:rsidRPr="00A32411">
        <w:t xml:space="preserve">Cooter </w:t>
      </w:r>
      <w:r w:rsidR="00A32411">
        <w:t xml:space="preserve">RD, </w:t>
      </w:r>
      <w:r w:rsidR="00A32411" w:rsidRPr="00A32411">
        <w:t xml:space="preserve">Edlin </w:t>
      </w:r>
      <w:r w:rsidR="00A32411">
        <w:t xml:space="preserve">AS, </w:t>
      </w:r>
      <w:r w:rsidR="00A32411" w:rsidRPr="00A32411">
        <w:t xml:space="preserve">Garnett </w:t>
      </w:r>
      <w:r w:rsidR="00A32411">
        <w:t xml:space="preserve">NS, </w:t>
      </w:r>
      <w:r w:rsidR="00A32411" w:rsidRPr="00A32411">
        <w:t xml:space="preserve">Gilson </w:t>
      </w:r>
      <w:r w:rsidR="00A32411">
        <w:t xml:space="preserve">RJ, </w:t>
      </w:r>
      <w:r w:rsidR="00A32411" w:rsidRPr="00A32411">
        <w:t xml:space="preserve">Goodenough </w:t>
      </w:r>
      <w:r w:rsidR="00A32411">
        <w:t xml:space="preserve">OR, </w:t>
      </w:r>
      <w:r w:rsidR="00A32411" w:rsidRPr="00A32411">
        <w:t xml:space="preserve">Hadfield </w:t>
      </w:r>
      <w:r w:rsidR="00A32411">
        <w:t xml:space="preserve">GK, </w:t>
      </w:r>
      <w:r w:rsidR="00A32411" w:rsidRPr="00A32411">
        <w:t xml:space="preserve">Lemley </w:t>
      </w:r>
      <w:r w:rsidR="00A32411">
        <w:t xml:space="preserve">AM, </w:t>
      </w:r>
      <w:r w:rsidR="00A32411" w:rsidRPr="00A32411">
        <w:t xml:space="preserve">Partnoy </w:t>
      </w:r>
      <w:r w:rsidR="00A32411">
        <w:t xml:space="preserve">F, </w:t>
      </w:r>
      <w:r w:rsidR="00A32411" w:rsidRPr="00A32411">
        <w:t xml:space="preserve">Priest </w:t>
      </w:r>
      <w:r w:rsidR="00A32411">
        <w:t xml:space="preserve">GL, Ribstein LE, </w:t>
      </w:r>
      <w:r w:rsidR="00A32411" w:rsidRPr="00A32411">
        <w:t xml:space="preserve">Sabel </w:t>
      </w:r>
      <w:r w:rsidR="00A32411">
        <w:t xml:space="preserve">CF, </w:t>
      </w:r>
      <w:r w:rsidR="00A32411" w:rsidRPr="00A32411">
        <w:t xml:space="preserve">Schuck </w:t>
      </w:r>
      <w:r w:rsidR="00A32411">
        <w:t xml:space="preserve">PH, </w:t>
      </w:r>
      <w:r w:rsidR="00A32411" w:rsidRPr="00A32411">
        <w:t xml:space="preserve">Scott </w:t>
      </w:r>
      <w:r w:rsidR="00A32411">
        <w:t xml:space="preserve">HS, </w:t>
      </w:r>
      <w:r w:rsidR="00A32411" w:rsidRPr="00A32411">
        <w:t xml:space="preserve">Scott </w:t>
      </w:r>
      <w:r w:rsidR="00A32411">
        <w:t xml:space="preserve">RE, </w:t>
      </w:r>
      <w:r w:rsidR="00A32411" w:rsidRPr="00A32411">
        <w:t xml:space="preserve">Stein </w:t>
      </w:r>
      <w:r w:rsidR="00A32411">
        <w:t xml:space="preserve">A, </w:t>
      </w:r>
      <w:r w:rsidR="00A32411" w:rsidRPr="00A32411">
        <w:t xml:space="preserve">Stodden </w:t>
      </w:r>
      <w:r w:rsidR="00A32411">
        <w:t>V, T</w:t>
      </w:r>
      <w:r w:rsidR="00A32411" w:rsidRPr="00A32411">
        <w:t xml:space="preserve">yler III </w:t>
      </w:r>
      <w:r w:rsidR="00A32411">
        <w:t xml:space="preserve">JE, </w:t>
      </w:r>
      <w:r w:rsidR="00A32411" w:rsidRPr="00A32411">
        <w:t xml:space="preserve">Viard </w:t>
      </w:r>
      <w:r w:rsidR="00A32411">
        <w:t xml:space="preserve">AD and </w:t>
      </w:r>
      <w:r w:rsidR="00A32411" w:rsidRPr="00A32411">
        <w:t xml:space="preserve">Wittes </w:t>
      </w:r>
      <w:r w:rsidR="00A32411">
        <w:t>B,</w:t>
      </w:r>
      <w:r w:rsidR="00FE7816">
        <w:t xml:space="preserve"> </w:t>
      </w:r>
      <w:r w:rsidRPr="00823B4E">
        <w:t xml:space="preserve">‘Rules for Growth: Promoting Innovation </w:t>
      </w:r>
      <w:r w:rsidRPr="00823B4E">
        <w:lastRenderedPageBreak/>
        <w:t>and Growth Through Legal Reform’ (2011) Yale Law &amp; Economics Research Paper No. 426</w:t>
      </w:r>
      <w:r>
        <w:t xml:space="preserve"> available at &lt;</w:t>
      </w:r>
      <w:r w:rsidRPr="00823B4E">
        <w:t xml:space="preserve"> http://papers.ssrn.com/sol3</w:t>
      </w:r>
      <w:r w:rsidR="00FE7816">
        <w:t>/papers.cfm?abstract_id=1757982</w:t>
      </w:r>
      <w:r>
        <w:t>&gt;</w:t>
      </w:r>
    </w:p>
    <w:p w14:paraId="0B3DEF51" w14:textId="77777777" w:rsidR="00413229" w:rsidRDefault="00413229" w:rsidP="00413229"/>
    <w:p w14:paraId="6212A781" w14:textId="77777777" w:rsidR="00413229" w:rsidRDefault="00413229" w:rsidP="00413229">
      <w:r>
        <w:t xml:space="preserve">Longin F and Solnik </w:t>
      </w:r>
      <w:r w:rsidRPr="0010091C">
        <w:t>B</w:t>
      </w:r>
      <w:r>
        <w:t>, ‘Is the correlation in international equity returns constant: 1960–1990?’ (1995) Journal of International Money and Finance 3-26</w:t>
      </w:r>
    </w:p>
    <w:p w14:paraId="00B0D8BC" w14:textId="77777777" w:rsidR="00413229" w:rsidRDefault="00413229" w:rsidP="00413229"/>
    <w:p w14:paraId="1B7741BF" w14:textId="77777777" w:rsidR="00413229" w:rsidRDefault="00413229" w:rsidP="00413229">
      <w:r>
        <w:t xml:space="preserve">Lopes HF and West M, ‘Bayesian model assessment in factor analysis’ (2004) 14 Statistica Sinica 41 available at &lt;http://citeseerx.ist.psu.edu/viewdoc/download?doi=10.1.1.10.8242&amp;rep=rep1 &amp;type=pdf&gt; accessed 12 June 2015; </w:t>
      </w:r>
    </w:p>
    <w:p w14:paraId="4921FEA0" w14:textId="77777777" w:rsidR="00413229" w:rsidRDefault="00413229" w:rsidP="00413229"/>
    <w:p w14:paraId="383214FB" w14:textId="77777777" w:rsidR="00413229" w:rsidRDefault="00413229" w:rsidP="00413229">
      <w:r>
        <w:t xml:space="preserve">Loughran T, Ritter JR and Rydqvist K, ‘Initial public offerings: International insights.’ (1994) 2 (2) Pacific-Basin Finance Journal 165-199; </w:t>
      </w:r>
    </w:p>
    <w:p w14:paraId="745BC309" w14:textId="77777777" w:rsidR="00413229" w:rsidRDefault="00413229" w:rsidP="00413229"/>
    <w:p w14:paraId="7F563903" w14:textId="77777777" w:rsidR="00413229" w:rsidRDefault="00413229" w:rsidP="00413229">
      <w:r>
        <w:t xml:space="preserve">Lu Y, ‘Corporate Governance Reforms and Firm-Level Allocation of International Capital Flows’ (2010) &lt; </w:t>
      </w:r>
      <w:r w:rsidRPr="00823B4E">
        <w:t>http://ssrn.com/abstract=1544967</w:t>
      </w:r>
      <w:r>
        <w:t>&gt;</w:t>
      </w:r>
    </w:p>
    <w:p w14:paraId="29D614F6" w14:textId="77777777" w:rsidR="00413229" w:rsidRDefault="00413229" w:rsidP="00413229"/>
    <w:p w14:paraId="14EEF85D" w14:textId="77777777" w:rsidR="00413229" w:rsidRDefault="00413229" w:rsidP="00413229">
      <w:r>
        <w:t>Mahdavi S and Sohrabian A, ‘The link between the rate of growth of stock prices and the rate of growth of GNP in the United States: a Granger causality test’ (1991) The American Economist 41-48</w:t>
      </w:r>
    </w:p>
    <w:p w14:paraId="2EBAB6D7" w14:textId="77777777" w:rsidR="00413229" w:rsidRDefault="00413229" w:rsidP="00413229"/>
    <w:p w14:paraId="4C0532A4" w14:textId="77777777" w:rsidR="00413229" w:rsidRDefault="00413229" w:rsidP="00413229">
      <w:r>
        <w:t xml:space="preserve">Malecki EJ, ‘Technology and Economic Development: The Dynamics of Local, Regional, and National Change’ (1997) University of Illinois working paper series </w:t>
      </w:r>
    </w:p>
    <w:p w14:paraId="7E74A3ED" w14:textId="77777777" w:rsidR="00413229" w:rsidRDefault="00413229" w:rsidP="00413229"/>
    <w:p w14:paraId="5BC1BFF2" w14:textId="77777777" w:rsidR="00413229" w:rsidRDefault="00413229" w:rsidP="00413229">
      <w:r>
        <w:t xml:space="preserve">Mallick KS and Sousa MR, ‘Inflationary pressures and monetary policy: evidence from BRICS economies.’ (2011) Quantitative and Qualitative Analysis in Social Sciences Conference available at &lt;www. qass. org. uk/2011-May_Brunel-conference/Mallick.pdf&gt; </w:t>
      </w:r>
    </w:p>
    <w:p w14:paraId="32ED82B4" w14:textId="77777777" w:rsidR="00413229" w:rsidRDefault="00413229" w:rsidP="00413229"/>
    <w:p w14:paraId="5CBBFA6C" w14:textId="439A1BD6" w:rsidR="00413229" w:rsidRDefault="00413229" w:rsidP="00413229">
      <w:r>
        <w:t xml:space="preserve">Malmendier U, ‘Roman Law and the Law-and-Finance Debate’ </w:t>
      </w:r>
      <w:r w:rsidR="00D45A79">
        <w:t xml:space="preserve">(2010) </w:t>
      </w:r>
      <w:r>
        <w:t xml:space="preserve">&lt;http://emlab.berkeley.edu/~ulrike/Papers/JELDraft70.pdf&gt; </w:t>
      </w:r>
    </w:p>
    <w:p w14:paraId="3282E291" w14:textId="77777777" w:rsidR="00413229" w:rsidRDefault="00413229" w:rsidP="00413229"/>
    <w:p w14:paraId="623AACA4" w14:textId="77777777" w:rsidR="00413229" w:rsidRDefault="00413229" w:rsidP="00413229">
      <w:r>
        <w:lastRenderedPageBreak/>
        <w:t>Mangani R, ‘Monetary policy, structural breaks and JSE returns.’ (2011) 73 Investment Analysts Journal 27-35</w:t>
      </w:r>
    </w:p>
    <w:p w14:paraId="7FFDF2DB" w14:textId="77777777" w:rsidR="00413229" w:rsidRDefault="00413229" w:rsidP="00413229"/>
    <w:p w14:paraId="4C5AAF3F" w14:textId="77777777" w:rsidR="00413229" w:rsidRDefault="00413229" w:rsidP="00413229">
      <w:r w:rsidRPr="00823B4E">
        <w:t>Manne HG, ‘The Higher Criticism of the Modern Corporation’, (1962) LXII Columbia Law Review 399</w:t>
      </w:r>
    </w:p>
    <w:p w14:paraId="4E01EF1C" w14:textId="77777777" w:rsidR="00413229" w:rsidRDefault="00413229" w:rsidP="00413229">
      <w:r w:rsidRPr="00823B4E">
        <w:t xml:space="preserve">— — </w:t>
      </w:r>
      <w:r>
        <w:t xml:space="preserve"> ‘Mergers and the Market for Corporate Control’ (1965) 73 (2) The Journal of Political Economy 110</w:t>
      </w:r>
    </w:p>
    <w:p w14:paraId="3B3EDC3D" w14:textId="77777777" w:rsidR="00413229" w:rsidRDefault="00413229" w:rsidP="00413229"/>
    <w:p w14:paraId="7593EC8B" w14:textId="77777777" w:rsidR="00413229" w:rsidRDefault="00413229" w:rsidP="00413229">
      <w:r>
        <w:t xml:space="preserve">Mansfield E, ‘Contribution of R&amp;D to economic growth in the United States’ (1972) Science 477-486 </w:t>
      </w:r>
    </w:p>
    <w:p w14:paraId="46E68F46" w14:textId="77777777" w:rsidR="00413229" w:rsidRDefault="00413229" w:rsidP="00413229"/>
    <w:p w14:paraId="16135729" w14:textId="77777777" w:rsidR="00413229" w:rsidRDefault="00413229" w:rsidP="00413229">
      <w:r>
        <w:t xml:space="preserve">Mardia KV, Kent JT and Bibby JM, </w:t>
      </w:r>
      <w:r w:rsidRPr="0019627C">
        <w:rPr>
          <w:i/>
        </w:rPr>
        <w:t>Multivariate Analysis</w:t>
      </w:r>
      <w:r>
        <w:t xml:space="preserve"> (San Diego Academic Press 1980)</w:t>
      </w:r>
    </w:p>
    <w:p w14:paraId="7F03747E" w14:textId="77777777" w:rsidR="00413229" w:rsidRDefault="00413229" w:rsidP="00413229">
      <w:pPr>
        <w:rPr>
          <w:highlight w:val="yellow"/>
        </w:rPr>
      </w:pPr>
    </w:p>
    <w:p w14:paraId="4298F33E" w14:textId="77777777" w:rsidR="00413229" w:rsidRDefault="00413229" w:rsidP="00413229">
      <w:r>
        <w:t>Martin AD and Quinn KM, ‘Dynamic Ideal Point Estimation via Markov Chain Monte Carlo for the U.S. Supreme Court,1953–1999’ (2002) 10 (2) Political Analysis 134-153</w:t>
      </w:r>
    </w:p>
    <w:p w14:paraId="00B879E7" w14:textId="77777777" w:rsidR="00413229" w:rsidRDefault="00413229" w:rsidP="00413229"/>
    <w:p w14:paraId="4029475E" w14:textId="391F5E29" w:rsidR="00413229" w:rsidRDefault="00413229" w:rsidP="00413229">
      <w:r>
        <w:t>Martynova M and Renneboog L, ‘A Corporate Governance Index: Convergence and Diversity of National Corporate Governance Regulations’ (2010) CentER Discussion Paper Series No. 2010-17 &lt;http://ssrn.com/abstract=1557627&gt;</w:t>
      </w:r>
      <w:r w:rsidR="00D45A79">
        <w:t xml:space="preserve"> a version of this paper was published as ‘</w:t>
      </w:r>
      <w:r w:rsidR="00D45A79" w:rsidRPr="00D45A79">
        <w:t>Evidence on the international evolution and convergence of corporate governance regulations</w:t>
      </w:r>
      <w:r w:rsidR="00D45A79">
        <w:t xml:space="preserve">’ (2011) 17 (5) </w:t>
      </w:r>
      <w:r w:rsidR="00D45A79" w:rsidRPr="00D45A79">
        <w:t>Journal of Corporate Finance</w:t>
      </w:r>
      <w:r w:rsidR="00D45A79">
        <w:t xml:space="preserve"> 1531-1557.</w:t>
      </w:r>
    </w:p>
    <w:p w14:paraId="0AA3C0B0" w14:textId="77777777" w:rsidR="00413229" w:rsidRDefault="00413229" w:rsidP="00413229"/>
    <w:p w14:paraId="4723CF38" w14:textId="77777777" w:rsidR="00413229" w:rsidRDefault="00413229" w:rsidP="00413229">
      <w:r>
        <w:t xml:space="preserve">Maskus KE, ‘Intellectual Property Rights And Foreign Direct Investment’ (2000) Centre for International Economic Studies Working Paper No. 22; </w:t>
      </w:r>
    </w:p>
    <w:p w14:paraId="43D1626C" w14:textId="77777777" w:rsidR="00413229" w:rsidRDefault="00413229" w:rsidP="00413229"/>
    <w:p w14:paraId="52B9A339" w14:textId="77777777" w:rsidR="00413229" w:rsidRDefault="00413229" w:rsidP="00413229">
      <w:r>
        <w:t>Mattei U, ‘Efficiency in legal transplants: An essay in Comparative Law and Economics’ (1994) 14 (1) International Review of Law and Economics 3-19</w:t>
      </w:r>
    </w:p>
    <w:p w14:paraId="36B7A151" w14:textId="77777777" w:rsidR="00413229" w:rsidRDefault="00413229" w:rsidP="00413229"/>
    <w:p w14:paraId="3DB47193" w14:textId="30EE8376" w:rsidR="00413229" w:rsidRDefault="00413229" w:rsidP="00413229">
      <w:r>
        <w:lastRenderedPageBreak/>
        <w:t>Mauro P, ‘Stock Returns and Output Growth in Emerging and Advanced Economies’ (2000) IMF Working Paper No. 00/89 &lt; http://ssrn.com/abstract=879628 &gt;</w:t>
      </w:r>
      <w:r w:rsidR="00D45A79">
        <w:t xml:space="preserve"> published at </w:t>
      </w:r>
      <w:r w:rsidR="00A15496">
        <w:t>(2003) 71 (1) Journal of Development Economics 129-153</w:t>
      </w:r>
    </w:p>
    <w:p w14:paraId="4E75E360" w14:textId="77777777" w:rsidR="00413229" w:rsidRPr="005A260F" w:rsidRDefault="00413229" w:rsidP="00413229">
      <w:pPr>
        <w:rPr>
          <w:sz w:val="18"/>
        </w:rPr>
      </w:pPr>
    </w:p>
    <w:p w14:paraId="1BA0C4F3" w14:textId="77777777" w:rsidR="00413229" w:rsidRDefault="00413229" w:rsidP="00413229">
      <w:r>
        <w:t>McCahery J et al. (eds),</w:t>
      </w:r>
      <w:r w:rsidRPr="008C6535">
        <w:rPr>
          <w:i/>
        </w:rPr>
        <w:t xml:space="preserve"> Corporate Governance Regimes: Convergence and Diversity</w:t>
      </w:r>
      <w:r>
        <w:t xml:space="preserve"> (OUP 2002)</w:t>
      </w:r>
    </w:p>
    <w:p w14:paraId="01B06769" w14:textId="77777777" w:rsidR="00413229" w:rsidRPr="005A260F" w:rsidRDefault="00413229" w:rsidP="00413229">
      <w:pPr>
        <w:rPr>
          <w:sz w:val="16"/>
        </w:rPr>
      </w:pPr>
    </w:p>
    <w:p w14:paraId="677BE568" w14:textId="77777777" w:rsidR="00413229" w:rsidRDefault="00413229" w:rsidP="00413229">
      <w:r>
        <w:t xml:space="preserve">McGillivray M, ‘The human development index: yet another redundant composite development indicator?’ (1991) 19 (10) World Development 1461-1468 </w:t>
      </w:r>
    </w:p>
    <w:p w14:paraId="171CC4D1" w14:textId="77777777" w:rsidR="00413229" w:rsidRPr="005A260F" w:rsidRDefault="00413229" w:rsidP="00413229">
      <w:pPr>
        <w:rPr>
          <w:sz w:val="18"/>
        </w:rPr>
      </w:pPr>
    </w:p>
    <w:p w14:paraId="45B73DF9" w14:textId="77777777" w:rsidR="00413229" w:rsidRDefault="00413229" w:rsidP="00413229">
      <w:r>
        <w:t xml:space="preserve">Mercurio BC, ‘Reconceptualising the Debate on Intellectual Property Rights and Economic Development’ (2010) 3 (1) The Law and Development Review 65 </w:t>
      </w:r>
    </w:p>
    <w:p w14:paraId="21D14E34" w14:textId="77777777" w:rsidR="00413229" w:rsidRPr="005A260F" w:rsidRDefault="00413229" w:rsidP="00413229">
      <w:pPr>
        <w:rPr>
          <w:sz w:val="18"/>
        </w:rPr>
      </w:pPr>
    </w:p>
    <w:p w14:paraId="75B1E513" w14:textId="77777777" w:rsidR="00413229" w:rsidRDefault="00413229" w:rsidP="00413229">
      <w:r>
        <w:t>Meric I and Meric G, ‘Co-movements of European equity markets before and after the 1987 crash’ (1997) Multinational Finance Journal 137-152</w:t>
      </w:r>
    </w:p>
    <w:p w14:paraId="44ADEEFB" w14:textId="77777777" w:rsidR="00413229" w:rsidRPr="005A260F" w:rsidRDefault="00413229" w:rsidP="00413229">
      <w:pPr>
        <w:rPr>
          <w:sz w:val="18"/>
        </w:rPr>
      </w:pPr>
    </w:p>
    <w:p w14:paraId="5FB5EE5F" w14:textId="77777777" w:rsidR="00413229" w:rsidRDefault="00413229" w:rsidP="00413229">
      <w:r>
        <w:t xml:space="preserve">Micheals R, ‘Comparative Law by Numbers? Legal Origins Thesis, Doing Business Reports, and the Silence of Traditional Comparative Law’ (2009) 57 (4) The American Journal of Comparative Law 765; </w:t>
      </w:r>
    </w:p>
    <w:p w14:paraId="61868E86" w14:textId="77777777" w:rsidR="00413229" w:rsidRDefault="00413229" w:rsidP="00413229"/>
    <w:p w14:paraId="0216869F" w14:textId="77777777" w:rsidR="00413229" w:rsidRDefault="00413229" w:rsidP="00413229">
      <w:r>
        <w:t xml:space="preserve">Miguel E et al., ‘Economic shocks and civil conflict: An instrumental variables approach’ (2004) 112 (4) Journal of political Economy 725-753 </w:t>
      </w:r>
    </w:p>
    <w:p w14:paraId="3537305E" w14:textId="77777777" w:rsidR="00413229" w:rsidRDefault="00413229" w:rsidP="00413229"/>
    <w:p w14:paraId="21475F3E" w14:textId="77777777" w:rsidR="00413229" w:rsidRDefault="00413229" w:rsidP="00413229">
      <w:r>
        <w:t>Ministry of Corporate Affairs, Government of India, ‘Corporate Governance Voluntary Guidelines’ (2009) &lt;http://www.ecgi.org/codes/documents/cg_voluntary_guidelines_2009_india_24dec2009_en.pdf&gt;</w:t>
      </w:r>
    </w:p>
    <w:p w14:paraId="4A1D96E1" w14:textId="77777777" w:rsidR="00413229" w:rsidRDefault="00413229" w:rsidP="00413229"/>
    <w:p w14:paraId="6C3208E8" w14:textId="77777777" w:rsidR="00413229" w:rsidRDefault="00413229" w:rsidP="00413229">
      <w:r>
        <w:t xml:space="preserve">Mohanty P, ‘Institutional Investors and Corporate Governance in India’ (2004) available at &lt;http://ssrn.com/abstract=353820&gt;; </w:t>
      </w:r>
    </w:p>
    <w:p w14:paraId="568C9DF2" w14:textId="77777777" w:rsidR="00413229" w:rsidRDefault="00413229" w:rsidP="00413229"/>
    <w:p w14:paraId="6B943BE1" w14:textId="77777777" w:rsidR="00413229" w:rsidRDefault="00413229" w:rsidP="00413229">
      <w:r>
        <w:lastRenderedPageBreak/>
        <w:t xml:space="preserve">Mohtadi H and Agarwal S, ‘Stock market development and economic growth: Evidence from developing countries’ (2001) &lt;http//www. uwm. edu/mohadi/PA-4-01. Pdf&gt; </w:t>
      </w:r>
    </w:p>
    <w:p w14:paraId="30CA2751" w14:textId="77777777" w:rsidR="00413229" w:rsidRDefault="00413229" w:rsidP="00413229"/>
    <w:p w14:paraId="56531C93" w14:textId="77777777" w:rsidR="00413229" w:rsidRDefault="00413229" w:rsidP="00413229">
      <w:r>
        <w:t>Motohashi K, ‘ICT diffusion And Its Economic Impact In OECD Countries.’ (1997) 20 STI Reviews 13-45</w:t>
      </w:r>
    </w:p>
    <w:p w14:paraId="4D7C1E8D" w14:textId="77777777" w:rsidR="00413229" w:rsidRDefault="00413229" w:rsidP="00413229"/>
    <w:p w14:paraId="2DACD753" w14:textId="77777777" w:rsidR="00413229" w:rsidRDefault="00413229" w:rsidP="00413229">
      <w:r>
        <w:t>Murphy KJ, ‘Corporate performance and managerial remuneration: An empirical analysis’ (1985) 7 (1) Journal of Accounting and Economics 11-42</w:t>
      </w:r>
    </w:p>
    <w:p w14:paraId="5ACD454C" w14:textId="77777777" w:rsidR="00413229" w:rsidRDefault="00413229" w:rsidP="00413229"/>
    <w:p w14:paraId="0FE84CA7" w14:textId="77777777" w:rsidR="00413229" w:rsidRDefault="00413229" w:rsidP="00413229">
      <w:r w:rsidRPr="00823B4E">
        <w:t xml:space="preserve">Myners P, ‘Institutional Investment in the UK: A Review’ (2001) available at &lt; http://uksif.org/wp-content/uploads/2012/12/MYNERS-P.-2001.-Institutional-Investment-in-the-United-Kingdom-A-Review.pdf </w:t>
      </w:r>
      <w:r>
        <w:t>&gt;</w:t>
      </w:r>
    </w:p>
    <w:p w14:paraId="5DD1668D" w14:textId="77777777" w:rsidR="00413229" w:rsidRDefault="00413229" w:rsidP="00413229"/>
    <w:p w14:paraId="45581ECA" w14:textId="77777777" w:rsidR="00413229" w:rsidRDefault="00413229" w:rsidP="00413229">
      <w:r>
        <w:t xml:space="preserve">Nestor S, ‘International Efforts to Improve Corporate Governance: Why and How’ (2001) OECD &lt;http://www.oecd.org/corporate/ca/corporategovernanceprinciples/1932028.pdf &gt; accesed 10 May 2015; </w:t>
      </w:r>
    </w:p>
    <w:p w14:paraId="60A216FA" w14:textId="77777777" w:rsidR="00413229" w:rsidRDefault="00413229" w:rsidP="00413229"/>
    <w:p w14:paraId="45586EBB" w14:textId="77777777" w:rsidR="00413229" w:rsidRDefault="00413229" w:rsidP="00413229">
      <w:r>
        <w:t>Neusser K and Kugler M, ‘Manufacturing growth and financial development: Evidence from OECD countries.’ (1998) 80 (4) Review of Economics and Statistics 638-646</w:t>
      </w:r>
    </w:p>
    <w:p w14:paraId="6C9CC3B6" w14:textId="77777777" w:rsidR="00413229" w:rsidRDefault="00413229" w:rsidP="00413229"/>
    <w:p w14:paraId="550D1DC5" w14:textId="3B4CDE29" w:rsidR="00413229" w:rsidRDefault="00413229" w:rsidP="00413229">
      <w:r>
        <w:t xml:space="preserve">Nicolò GD, Laeven L, and Ueda K, ‘Corporate Governance Quality: Trends and Real Effects’ (2006) IMF Working Paper WP/06/293 &lt; </w:t>
      </w:r>
      <w:r w:rsidRPr="00823B4E">
        <w:t>https://www.imf.org/external/pubs/ft/wp/2006/wp06293.pdf</w:t>
      </w:r>
      <w:r>
        <w:t>&gt;</w:t>
      </w:r>
      <w:r w:rsidR="00A15496">
        <w:t xml:space="preserve"> published at (2008) 17 (2) Journal of Financial Intermediation 198-228</w:t>
      </w:r>
    </w:p>
    <w:p w14:paraId="733BE3C2" w14:textId="77777777" w:rsidR="00413229" w:rsidRDefault="00413229" w:rsidP="00413229"/>
    <w:p w14:paraId="5B9D7778" w14:textId="77777777" w:rsidR="00413229" w:rsidRDefault="00413229" w:rsidP="00413229">
      <w:r>
        <w:t>Ogus A, ‘Competition Between National Legal Systems: A Contribution of Economic Analysis To Comparative Law’ (1999) 48 (2) International and Comparative Law Quarterly 405-418</w:t>
      </w:r>
    </w:p>
    <w:p w14:paraId="42FD294F" w14:textId="77777777" w:rsidR="00413229" w:rsidRDefault="00413229" w:rsidP="00413229"/>
    <w:p w14:paraId="05269910" w14:textId="77777777" w:rsidR="00413229" w:rsidRDefault="00413229" w:rsidP="00413229">
      <w:r>
        <w:lastRenderedPageBreak/>
        <w:t>Olaechea E, ‘Lex Mundi Guide to Doing Business: Peru’ (2012) 18 &lt;www.lexmundi.com/Document.asp?DocID=6295&gt;</w:t>
      </w:r>
    </w:p>
    <w:p w14:paraId="34CABABA" w14:textId="77777777" w:rsidR="00413229" w:rsidRDefault="00413229" w:rsidP="00413229"/>
    <w:p w14:paraId="606A4916" w14:textId="77777777" w:rsidR="00413229" w:rsidRDefault="00413229" w:rsidP="00413229">
      <w:r>
        <w:t>Olweny TO and Kimani D, ‘Stock market performance and economic growth: empirical  evidence  from  Kenya  using  causality  test  approach’ (2011) 1 (3) Advances in Management and Applied Economics 153-196 &lt;http://oro.open.ac.uk/34798/1/Stock%20market%20performance%20and%20economic %20growth.pdf &gt;</w:t>
      </w:r>
    </w:p>
    <w:p w14:paraId="6882B0D3" w14:textId="77777777" w:rsidR="00413229" w:rsidRDefault="00413229" w:rsidP="00413229"/>
    <w:p w14:paraId="78C674B4" w14:textId="77777777" w:rsidR="00413229" w:rsidRDefault="00413229" w:rsidP="00413229">
      <w:r>
        <w:t>Omri A and Kahouli B, ‘Causal relationships between energy consumption, foreign direct investment and economic growth: Fresh evidence from dynamic simultaneous-equations models’ (2014) 67 Energy Policy 913-922</w:t>
      </w:r>
    </w:p>
    <w:p w14:paraId="7078065D" w14:textId="77777777" w:rsidR="00413229" w:rsidRDefault="00413229" w:rsidP="00413229"/>
    <w:p w14:paraId="47990A0E" w14:textId="77777777" w:rsidR="00413229" w:rsidRDefault="00413229" w:rsidP="00413229">
      <w:r>
        <w:t>Onyema O, ‘Genesis of Nigerian stock market collapse’ (World Stage, 14 May 2012) &lt;http://worldstagegroup.com/worldstagenew/index.php?active=news&amp;newscid=4789&amp;catid=7&gt;</w:t>
      </w:r>
    </w:p>
    <w:p w14:paraId="5523A70E" w14:textId="77777777" w:rsidR="00413229" w:rsidRDefault="00413229" w:rsidP="00413229"/>
    <w:p w14:paraId="53CCBA79" w14:textId="77777777" w:rsidR="00413229" w:rsidRDefault="00413229" w:rsidP="00413229">
      <w:r w:rsidRPr="00823B4E">
        <w:t>Open University, Markov Chains (Open University 1988)</w:t>
      </w:r>
    </w:p>
    <w:p w14:paraId="701A8D7E" w14:textId="77777777" w:rsidR="00413229" w:rsidRDefault="00413229" w:rsidP="00413229"/>
    <w:p w14:paraId="45B31D4C" w14:textId="77777777" w:rsidR="00413229" w:rsidRDefault="00413229" w:rsidP="00413229">
      <w:r>
        <w:t xml:space="preserve">Ostini R and Nering M, </w:t>
      </w:r>
      <w:r w:rsidRPr="005D3B17">
        <w:rPr>
          <w:i/>
        </w:rPr>
        <w:t>Polytomous Item Response Theory Models</w:t>
      </w:r>
      <w:r>
        <w:t xml:space="preserve"> (SAGE 2006) 65</w:t>
      </w:r>
    </w:p>
    <w:p w14:paraId="0377D67D" w14:textId="77777777" w:rsidR="00413229" w:rsidRDefault="00413229" w:rsidP="00413229"/>
    <w:p w14:paraId="276C1FC6" w14:textId="036C0FAF" w:rsidR="00413229" w:rsidRDefault="00413229" w:rsidP="00413229">
      <w:r>
        <w:t>Owen BM,</w:t>
      </w:r>
      <w:r w:rsidR="0045518D">
        <w:t xml:space="preserve"> Sun S and Zheng W,</w:t>
      </w:r>
      <w:r>
        <w:t xml:space="preserve"> ‘Antitrust in China: The Problem of Incentive Compatibility’ (2006) Stanford Law and Economics Olin Working Paper No. 295 &lt;</w:t>
      </w:r>
      <w:r w:rsidRPr="00823B4E">
        <w:t>http://dx.doi.org/10.2139/ssrn.595801</w:t>
      </w:r>
      <w:r>
        <w:t>&gt;</w:t>
      </w:r>
      <w:r w:rsidR="0045518D">
        <w:t xml:space="preserve"> published at (2005) 1 (1) Journal of Competition Law and Economics 123-148.</w:t>
      </w:r>
    </w:p>
    <w:p w14:paraId="7A0BC8C4" w14:textId="77777777" w:rsidR="00413229" w:rsidRDefault="00413229" w:rsidP="00413229"/>
    <w:p w14:paraId="3121FF3D" w14:textId="77777777" w:rsidR="00413229" w:rsidRDefault="00413229" w:rsidP="00413229">
      <w:r>
        <w:t>Pagano M and Volpin P, ‘The Political Economy of Corporate Governance’ (2005) The American Economic Review 1005</w:t>
      </w:r>
    </w:p>
    <w:p w14:paraId="0049A08E" w14:textId="77777777" w:rsidR="00413229" w:rsidRDefault="00413229" w:rsidP="00413229"/>
    <w:p w14:paraId="23A10F73" w14:textId="77777777" w:rsidR="00413229" w:rsidRDefault="00413229" w:rsidP="00413229">
      <w:r>
        <w:t xml:space="preserve">Park D, Ramayandi A and Shin K, ‘Why Did Asian Countries Fare Better during the Global Financial Crisis than during the Asian Financial Crisis?’ in Changyong Rhee </w:t>
      </w:r>
      <w:r>
        <w:lastRenderedPageBreak/>
        <w:t xml:space="preserve">and Adam S. Posen (eds.) </w:t>
      </w:r>
      <w:r w:rsidRPr="00DC4A6D">
        <w:rPr>
          <w:i/>
        </w:rPr>
        <w:t xml:space="preserve">Responding to Financial Crisis: Lessons from Asia Then, the United States and Europe Now </w:t>
      </w:r>
      <w:r>
        <w:t>(PIIE 2013) &lt;http://www.piie.com/publications/chapters_preview/6741/04iie6741.pdf &gt;</w:t>
      </w:r>
    </w:p>
    <w:p w14:paraId="74DA7A87" w14:textId="77777777" w:rsidR="00413229" w:rsidRDefault="00413229" w:rsidP="00413229"/>
    <w:p w14:paraId="7C9B8DC4" w14:textId="77777777" w:rsidR="00413229" w:rsidRDefault="00413229" w:rsidP="00413229">
      <w:r>
        <w:t xml:space="preserve">Park WG, ‘International R&amp;D spillovers and OECD economic growth’ (1995) 33 (4) Economic Inquiry 571-591 </w:t>
      </w:r>
    </w:p>
    <w:p w14:paraId="769A9AA6" w14:textId="77777777" w:rsidR="00413229" w:rsidRDefault="00413229" w:rsidP="00413229"/>
    <w:p w14:paraId="242BDBA6" w14:textId="63A2564F" w:rsidR="00413229" w:rsidRDefault="00413229" w:rsidP="00413229">
      <w:proofErr w:type="spellStart"/>
      <w:r>
        <w:t>Pattillo</w:t>
      </w:r>
      <w:proofErr w:type="spellEnd"/>
      <w:r>
        <w:t xml:space="preserve"> </w:t>
      </w:r>
      <w:r w:rsidR="0045518D">
        <w:t>C</w:t>
      </w:r>
      <w:r>
        <w:t xml:space="preserve">, </w:t>
      </w:r>
      <w:proofErr w:type="spellStart"/>
      <w:r w:rsidR="0045518D">
        <w:t>Poirson</w:t>
      </w:r>
      <w:proofErr w:type="spellEnd"/>
      <w:r w:rsidR="0045518D">
        <w:t xml:space="preserve"> H and Ricci L, </w:t>
      </w:r>
      <w:r>
        <w:t>‘External debt and growth’ (2002) International Monetary Fund working paper No. 02/69</w:t>
      </w:r>
      <w:r w:rsidR="00322652">
        <w:t xml:space="preserve"> available at &lt;</w:t>
      </w:r>
      <w:r w:rsidR="00322652" w:rsidRPr="00322652">
        <w:t>https://www.researchgate.net/profile/Luca_Ricci2/publication/227471647_External_Debt_and_Growth/links/0c96051cb75a30c13b000000.pdf</w:t>
      </w:r>
      <w:r w:rsidR="00322652">
        <w:t>&gt;</w:t>
      </w:r>
      <w:r w:rsidR="0045518D">
        <w:t xml:space="preserve"> an updated version was published at (2011) 2 (3) Review of Economics and Institutions </w:t>
      </w:r>
      <w:r w:rsidR="00322652">
        <w:t>1 available at &lt;</w:t>
      </w:r>
      <w:r w:rsidR="00322652" w:rsidRPr="00322652">
        <w:t>http://www.rei.unipg.it/rei/article/view/45/61</w:t>
      </w:r>
      <w:r w:rsidR="00322652">
        <w:t>&gt;</w:t>
      </w:r>
    </w:p>
    <w:p w14:paraId="41964732" w14:textId="77777777" w:rsidR="00413229" w:rsidRDefault="00413229" w:rsidP="00413229"/>
    <w:p w14:paraId="3D36257A" w14:textId="77777777" w:rsidR="00413229" w:rsidRDefault="00413229" w:rsidP="00413229">
      <w:r>
        <w:t xml:space="preserve">Patz R and Junker B, ‘A straightforward approach to Markov chain Monte Carlo methods for item response models’, (1999) 24 Journal of Educational and Behavioral Statistics 146–178 </w:t>
      </w:r>
    </w:p>
    <w:p w14:paraId="61488AC4" w14:textId="77777777" w:rsidR="00413229" w:rsidRDefault="00413229" w:rsidP="00413229">
      <w:r w:rsidRPr="00823B4E">
        <w:t>— —</w:t>
      </w:r>
      <w:r>
        <w:t xml:space="preserve"> ‘Applications and extensions of MCMC in IRT: Multiple item types, missing data, and rated responses’ (1999) 24 Journal of Educational and Behavioral Statistics 342–366</w:t>
      </w:r>
    </w:p>
    <w:p w14:paraId="37006C0D" w14:textId="77777777" w:rsidR="00413229" w:rsidRDefault="00413229" w:rsidP="00413229"/>
    <w:p w14:paraId="263E0950" w14:textId="77777777" w:rsidR="00413229" w:rsidRDefault="00413229" w:rsidP="00413229">
      <w:r>
        <w:t xml:space="preserve">Patz RJ and Yao L, ‘Vertical scaling: statistical models for measuring growth and achievement’, in C R Rao and S Sinharay (eds.), </w:t>
      </w:r>
      <w:r w:rsidRPr="005D3B17">
        <w:rPr>
          <w:i/>
        </w:rPr>
        <w:t>Handbook of Statistics: Psychometrics</w:t>
      </w:r>
      <w:r>
        <w:t xml:space="preserve"> (Amsterdam: North-Holland 2007)</w:t>
      </w:r>
    </w:p>
    <w:p w14:paraId="34F80CB1" w14:textId="77777777" w:rsidR="00413229" w:rsidRDefault="00413229" w:rsidP="00413229"/>
    <w:p w14:paraId="2B0BB8D8" w14:textId="77777777" w:rsidR="00413229" w:rsidRDefault="00413229" w:rsidP="00413229">
      <w:r>
        <w:t>Paul S and Bhattacharya RN, ‘Causality between energy consumption and economic growth in India: a note on conflicting results’ (2004) 26 (6) Energy Economics 977-983</w:t>
      </w:r>
    </w:p>
    <w:p w14:paraId="7BBF0870" w14:textId="77777777" w:rsidR="00413229" w:rsidRDefault="00413229" w:rsidP="00413229"/>
    <w:p w14:paraId="6AB3A5F3" w14:textId="77777777" w:rsidR="00413229" w:rsidRDefault="00413229" w:rsidP="00413229">
      <w:r>
        <w:t xml:space="preserve">Pechota V, ‘Developments in Foreign and Comparative Law’ (1985) 24 (1) Columbia Journal of Transnational Law 191-230 </w:t>
      </w:r>
    </w:p>
    <w:p w14:paraId="08F23F76" w14:textId="77777777" w:rsidR="00413229" w:rsidRDefault="00413229" w:rsidP="00413229"/>
    <w:p w14:paraId="50793FB9" w14:textId="77777777" w:rsidR="00413229" w:rsidRDefault="00413229" w:rsidP="00413229">
      <w:r>
        <w:lastRenderedPageBreak/>
        <w:t xml:space="preserve">Peerenboom R et al. (eds.) </w:t>
      </w:r>
      <w:r w:rsidRPr="0010091C">
        <w:rPr>
          <w:i/>
        </w:rPr>
        <w:t>Asian Discourses of Rule of Law</w:t>
      </w:r>
      <w:r>
        <w:t xml:space="preserve"> (Routledge 2003)</w:t>
      </w:r>
    </w:p>
    <w:p w14:paraId="568E7C57" w14:textId="77777777" w:rsidR="00413229" w:rsidRDefault="00413229" w:rsidP="00413229"/>
    <w:p w14:paraId="3344F12B" w14:textId="77777777" w:rsidR="00413229" w:rsidRDefault="00413229" w:rsidP="00413229">
      <w:r>
        <w:t xml:space="preserve">Pericoli M and Sbracia M, ‘A primer on financial contagion’ (2003) 17 Journal of Economic Surveys 571-608 </w:t>
      </w:r>
    </w:p>
    <w:p w14:paraId="76E4D71C" w14:textId="77777777" w:rsidR="00413229" w:rsidRPr="005A260F" w:rsidRDefault="00413229" w:rsidP="00413229">
      <w:pPr>
        <w:rPr>
          <w:sz w:val="18"/>
        </w:rPr>
      </w:pPr>
    </w:p>
    <w:p w14:paraId="441D3ADE" w14:textId="29533AE7" w:rsidR="00413229" w:rsidRDefault="00413229" w:rsidP="00413229">
      <w:r>
        <w:t xml:space="preserve">Persson T and Tabellini G, ‘Is Inequality Harmful for Growth? Theory and Evidence’ (1991) University of California at Berkley working paper no. 91-155 </w:t>
      </w:r>
      <w:r w:rsidR="00322652">
        <w:t xml:space="preserve">an updated version was published as </w:t>
      </w:r>
      <w:r w:rsidR="00322652" w:rsidRPr="00322652">
        <w:t>‘Is Inequality Harmful for Growth?</w:t>
      </w:r>
      <w:r w:rsidR="00322652">
        <w:t>’ (1994) 84 (3) The American Economic Review 600-621</w:t>
      </w:r>
    </w:p>
    <w:p w14:paraId="30682D7E" w14:textId="77777777" w:rsidR="00413229" w:rsidRPr="005A260F" w:rsidRDefault="00413229" w:rsidP="00413229">
      <w:pPr>
        <w:rPr>
          <w:sz w:val="18"/>
        </w:rPr>
      </w:pPr>
    </w:p>
    <w:p w14:paraId="27A60242" w14:textId="77777777" w:rsidR="00413229" w:rsidRDefault="00413229" w:rsidP="00413229">
      <w:r>
        <w:t xml:space="preserve">Pettinger T, ‘The Great Moderation’ (Economics Help, 21 February 2013) &lt;http://www.economicshelp.org/blog/6901/economics/the-great-moderation/&gt; accessed 15 May 2015 </w:t>
      </w:r>
    </w:p>
    <w:p w14:paraId="26B15C65" w14:textId="77777777" w:rsidR="00413229" w:rsidRPr="005A260F" w:rsidRDefault="00413229" w:rsidP="00413229">
      <w:pPr>
        <w:rPr>
          <w:sz w:val="16"/>
        </w:rPr>
      </w:pPr>
    </w:p>
    <w:p w14:paraId="7D324DED" w14:textId="77777777" w:rsidR="00413229" w:rsidRDefault="00413229" w:rsidP="00413229">
      <w:r>
        <w:t>Pinto A, ‘Globalization and the Study of Comparative Corporate Governance’ (2005) 23 Wisconsin International Law Journal 477 &lt;http://ssrn.com/abstract=764844&gt;</w:t>
      </w:r>
    </w:p>
    <w:p w14:paraId="0DE488FE" w14:textId="77777777" w:rsidR="00413229" w:rsidRPr="005A260F" w:rsidRDefault="00413229" w:rsidP="00413229">
      <w:pPr>
        <w:rPr>
          <w:sz w:val="18"/>
        </w:rPr>
      </w:pPr>
    </w:p>
    <w:p w14:paraId="1368308C" w14:textId="77777777" w:rsidR="00413229" w:rsidRDefault="00413229" w:rsidP="00413229">
      <w:r>
        <w:t xml:space="preserve">Pistor K, ‘Rethinking the “Law and Finance” Paradigm’ (2009) Brigham University Law Review 1647; </w:t>
      </w:r>
    </w:p>
    <w:p w14:paraId="1F1B2E26" w14:textId="77777777" w:rsidR="00413229" w:rsidRPr="005A260F" w:rsidRDefault="00413229" w:rsidP="00413229">
      <w:pPr>
        <w:rPr>
          <w:sz w:val="18"/>
        </w:rPr>
      </w:pPr>
    </w:p>
    <w:p w14:paraId="70C61FA0" w14:textId="77777777" w:rsidR="00413229" w:rsidRDefault="00413229" w:rsidP="00413229">
      <w:r>
        <w:t>Podestà F, ‘Recent developments in quantitative comparative methodology: The case of pooled time series analysis’  DSS PAPERS SOC 3-02 &lt;http://localgov.fsu.edu/readings_papers/Research%20Methods/Podesta_Pooled_Time_Series_Cross_Section.pdf&gt; accessed 10 June 2015</w:t>
      </w:r>
    </w:p>
    <w:p w14:paraId="7BB82353" w14:textId="77777777" w:rsidR="00413229" w:rsidRPr="005A260F" w:rsidRDefault="00413229" w:rsidP="00413229">
      <w:pPr>
        <w:rPr>
          <w:sz w:val="18"/>
        </w:rPr>
      </w:pPr>
    </w:p>
    <w:p w14:paraId="62301E10" w14:textId="77777777" w:rsidR="00413229" w:rsidRDefault="00413229" w:rsidP="00413229">
      <w:r>
        <w:t>Porter M, ‘Capital disadvantage: America's failing capital investment system’ (1992) 70 Harvard Business Review 65–82</w:t>
      </w:r>
    </w:p>
    <w:p w14:paraId="6AFE2FD7" w14:textId="77777777" w:rsidR="00413229" w:rsidRPr="005A260F" w:rsidRDefault="00413229" w:rsidP="00413229">
      <w:pPr>
        <w:rPr>
          <w:sz w:val="18"/>
        </w:rPr>
      </w:pPr>
    </w:p>
    <w:p w14:paraId="347E37C1" w14:textId="77777777" w:rsidR="00413229" w:rsidRDefault="00413229" w:rsidP="00413229">
      <w:r>
        <w:t>Prasso S, ‘Vietnam's stock market is booming’ (Fortune, 12 April 2006) &lt;http://archive.fortune.com/magazines/fortune/fortune_archive/2006/04/17/8374384/index.htm&gt;</w:t>
      </w:r>
    </w:p>
    <w:p w14:paraId="17BE0B71" w14:textId="65D5F534" w:rsidR="00413229" w:rsidRDefault="00413229" w:rsidP="00415382">
      <w:r>
        <w:t>Qian Y, ‘How Reform Worked in China’ (2002) William Davidson Institute Working Paper Number 473 &lt;</w:t>
      </w:r>
      <w:r w:rsidRPr="00823B4E">
        <w:t>http://dx.doi.org/10.2139/ssrn.317460</w:t>
      </w:r>
      <w:r>
        <w:t xml:space="preserve">&gt; </w:t>
      </w:r>
      <w:r w:rsidR="00415382">
        <w:t xml:space="preserve">also published </w:t>
      </w:r>
      <w:r w:rsidR="00415382">
        <w:lastRenderedPageBreak/>
        <w:t xml:space="preserve">in D. Rodrik (ed.), </w:t>
      </w:r>
      <w:r w:rsidR="00415382" w:rsidRPr="00415382">
        <w:rPr>
          <w:i/>
        </w:rPr>
        <w:t>Search of prosperity: Analytic narratives on</w:t>
      </w:r>
      <w:r w:rsidR="00415382">
        <w:rPr>
          <w:i/>
        </w:rPr>
        <w:t xml:space="preserve"> </w:t>
      </w:r>
      <w:r w:rsidR="00415382" w:rsidRPr="00415382">
        <w:rPr>
          <w:i/>
        </w:rPr>
        <w:t>economic growth</w:t>
      </w:r>
      <w:r w:rsidR="00415382">
        <w:t xml:space="preserve"> (Princeton University Press. 2003)</w:t>
      </w:r>
    </w:p>
    <w:p w14:paraId="70C9A738" w14:textId="77777777" w:rsidR="00413229" w:rsidRPr="005A260F" w:rsidRDefault="00413229" w:rsidP="00413229">
      <w:pPr>
        <w:rPr>
          <w:sz w:val="16"/>
        </w:rPr>
      </w:pPr>
    </w:p>
    <w:p w14:paraId="0320FFE4" w14:textId="5C2CCA4B" w:rsidR="00413229" w:rsidRDefault="00413229" w:rsidP="00413229">
      <w:r>
        <w:t>Ramirez A</w:t>
      </w:r>
      <w:r w:rsidR="00415382">
        <w:t xml:space="preserve">, </w:t>
      </w:r>
      <w:r w:rsidR="001F4D5E">
        <w:t>Ranis G</w:t>
      </w:r>
      <w:r w:rsidR="00415382">
        <w:t xml:space="preserve"> and </w:t>
      </w:r>
      <w:r w:rsidR="001F4D5E">
        <w:t>Stewart F</w:t>
      </w:r>
      <w:r>
        <w:t xml:space="preserve">, ‘Economic Growth and Human Development’ (1997) Yale University working paper no. 18 </w:t>
      </w:r>
      <w:r w:rsidR="001F4D5E">
        <w:t>available at &lt;</w:t>
      </w:r>
      <w:r w:rsidR="001F4D5E" w:rsidRPr="001F4D5E">
        <w:t>http://www3.qeh.ox.ac.uk/pdf/qehwp/qehwps18.pdf</w:t>
      </w:r>
      <w:r w:rsidR="001F4D5E">
        <w:t xml:space="preserve">&gt; a version was later published as Ranis G, </w:t>
      </w:r>
      <w:r w:rsidR="001F4D5E" w:rsidRPr="001F4D5E">
        <w:t>Stewart F</w:t>
      </w:r>
      <w:r w:rsidR="001F4D5E">
        <w:t xml:space="preserve"> and Ramirez A, ‘</w:t>
      </w:r>
      <w:r w:rsidR="001F4D5E" w:rsidRPr="001F4D5E">
        <w:t>Economic Growth and Human Development</w:t>
      </w:r>
      <w:r w:rsidR="001F4D5E">
        <w:t>’ (2000) 28 (2) World Development 197-219 available at &lt;</w:t>
      </w:r>
      <w:r w:rsidR="001F4D5E" w:rsidRPr="001F4D5E">
        <w:t xml:space="preserve">http://www.econ.yale.edu/~granis/papers/cp0546.pdf </w:t>
      </w:r>
      <w:r w:rsidR="001F4D5E">
        <w:t>&gt;</w:t>
      </w:r>
    </w:p>
    <w:p w14:paraId="24057A90" w14:textId="77777777" w:rsidR="00413229" w:rsidRPr="005A260F" w:rsidRDefault="00413229" w:rsidP="00413229">
      <w:pPr>
        <w:rPr>
          <w:sz w:val="16"/>
        </w:rPr>
      </w:pPr>
    </w:p>
    <w:p w14:paraId="013BAAA7" w14:textId="77777777" w:rsidR="00413229" w:rsidRDefault="00413229" w:rsidP="00413229">
      <w:r>
        <w:t>Ranis G and Stewart F, ‘Dynamic Links between the Economy and Human Development’ (2005) Department of Economics and Social Affairs (UN) Working Paper available at &lt;</w:t>
      </w:r>
      <w:r w:rsidRPr="00823B4E">
        <w:t>http://economics.ouls.ox.ac.uk/12091/1/Ranis%2520%26%2520Stewart.pdf</w:t>
      </w:r>
      <w:r>
        <w:t xml:space="preserve">&gt; </w:t>
      </w:r>
    </w:p>
    <w:p w14:paraId="690E85F5" w14:textId="77777777" w:rsidR="00413229" w:rsidRDefault="00413229" w:rsidP="00413229"/>
    <w:p w14:paraId="4A7E9211" w14:textId="77777777" w:rsidR="00413229" w:rsidRPr="005A260F" w:rsidRDefault="00413229" w:rsidP="00413229">
      <w:pPr>
        <w:rPr>
          <w:sz w:val="18"/>
        </w:rPr>
      </w:pPr>
    </w:p>
    <w:p w14:paraId="74B6672C" w14:textId="77777777" w:rsidR="00413229" w:rsidRDefault="00413229" w:rsidP="00413229">
      <w:r>
        <w:t xml:space="preserve">Rashid K and Islam SMN, </w:t>
      </w:r>
      <w:r w:rsidRPr="00FF1A70">
        <w:rPr>
          <w:i/>
        </w:rPr>
        <w:t>Corporate Governance and Firm Value Econometric Modellling and Analysis of Emerging and Developed Financial Markets</w:t>
      </w:r>
      <w:r>
        <w:t xml:space="preserve"> (Pergamon Press 2008)</w:t>
      </w:r>
    </w:p>
    <w:p w14:paraId="14A0EA63" w14:textId="77777777" w:rsidR="00413229" w:rsidRPr="005A260F" w:rsidRDefault="00413229" w:rsidP="00413229">
      <w:pPr>
        <w:rPr>
          <w:sz w:val="18"/>
        </w:rPr>
      </w:pPr>
    </w:p>
    <w:p w14:paraId="7C4CA4EA" w14:textId="77777777" w:rsidR="00413229" w:rsidRDefault="00413229" w:rsidP="00413229">
      <w:r>
        <w:t>Ravallion M, ‘Troubling tradeoffs in the Human Development Index’ (2012) 99 (2) Journal of Development Economics 201-209</w:t>
      </w:r>
    </w:p>
    <w:p w14:paraId="235F93C1" w14:textId="77777777" w:rsidR="00413229" w:rsidRPr="005A260F" w:rsidRDefault="00413229" w:rsidP="00413229">
      <w:pPr>
        <w:rPr>
          <w:sz w:val="18"/>
        </w:rPr>
      </w:pPr>
    </w:p>
    <w:p w14:paraId="24B4186D" w14:textId="77777777" w:rsidR="00413229" w:rsidRDefault="00413229" w:rsidP="00413229">
      <w:r>
        <w:t xml:space="preserve">Reeve BB and Fayers P, ‘Applying item response theory modelling for evaluating questionnaire item and scale properties’ in P Fayers and R Hays (eds.), </w:t>
      </w:r>
      <w:r w:rsidRPr="005D3B17">
        <w:rPr>
          <w:i/>
        </w:rPr>
        <w:t>Assessing Quality of Life in Clinical Trials: Methods of Practice</w:t>
      </w:r>
      <w:r>
        <w:t xml:space="preserve"> (2nd edn, OUP 2005)</w:t>
      </w:r>
    </w:p>
    <w:p w14:paraId="2C19C1C0" w14:textId="77777777" w:rsidR="00413229" w:rsidRPr="005A260F" w:rsidRDefault="00413229" w:rsidP="00413229">
      <w:pPr>
        <w:rPr>
          <w:sz w:val="20"/>
        </w:rPr>
      </w:pPr>
    </w:p>
    <w:p w14:paraId="732AA668" w14:textId="77777777" w:rsidR="00413229" w:rsidRDefault="00413229" w:rsidP="00413229">
      <w:r>
        <w:t>Reitz J, ‘Legal Origins, Comparative Law, and Political Economy’ (2009) 57 (4) The American Journal of Comparative Law 847-862</w:t>
      </w:r>
    </w:p>
    <w:p w14:paraId="463EE4CF" w14:textId="77777777" w:rsidR="00413229" w:rsidRDefault="00413229" w:rsidP="00413229"/>
    <w:p w14:paraId="75DCAACB" w14:textId="77777777" w:rsidR="00413229" w:rsidRDefault="00413229" w:rsidP="00413229">
      <w:r>
        <w:t>Resnik P and Hardisty E, ‘Gibbs Sampling for the Uninitiated’ (2010) &lt;http://www.umiacs.umd.edu/~resnik/pubs/LAMP-TR-153.pdf&gt; last accessed on 1 May 2015</w:t>
      </w:r>
    </w:p>
    <w:p w14:paraId="2D912688" w14:textId="77777777" w:rsidR="00413229" w:rsidRDefault="00413229" w:rsidP="00413229"/>
    <w:p w14:paraId="348001C1" w14:textId="77777777" w:rsidR="00413229" w:rsidRDefault="00413229" w:rsidP="00413229">
      <w:r>
        <w:lastRenderedPageBreak/>
        <w:t xml:space="preserve">Richardson MW, ‘The relationship between difficulty and the differential validity of a test’ (1936) 1 Psychometrika 33–49 </w:t>
      </w:r>
    </w:p>
    <w:p w14:paraId="2DD0147E" w14:textId="77777777" w:rsidR="00413229" w:rsidRDefault="00413229" w:rsidP="00413229">
      <w:r>
        <w:t>ROSC, ‘Country Assessment: Vietnam’ (2006) &lt;http://www.worldbank.org/ifa/rosc_cg_vm.pdf&gt;</w:t>
      </w:r>
    </w:p>
    <w:p w14:paraId="22AEF546" w14:textId="77777777" w:rsidR="00413229" w:rsidRPr="005A260F" w:rsidRDefault="00413229" w:rsidP="00413229">
      <w:pPr>
        <w:rPr>
          <w:sz w:val="18"/>
        </w:rPr>
      </w:pPr>
    </w:p>
    <w:p w14:paraId="2D044D8E" w14:textId="77777777" w:rsidR="00413229" w:rsidRDefault="00413229" w:rsidP="00413229">
      <w:r>
        <w:t xml:space="preserve">Rossiter WS, ‘The Statistical Side of the Economic Costs of War’ (1916) 6 (1) The American Economic Review 94-117 </w:t>
      </w:r>
    </w:p>
    <w:p w14:paraId="1920133C" w14:textId="77777777" w:rsidR="00413229" w:rsidRPr="005A260F" w:rsidRDefault="00413229" w:rsidP="00413229">
      <w:pPr>
        <w:rPr>
          <w:sz w:val="18"/>
        </w:rPr>
      </w:pPr>
    </w:p>
    <w:p w14:paraId="7E8EA5AE" w14:textId="77777777" w:rsidR="00413229" w:rsidRDefault="00413229" w:rsidP="00413229">
      <w:r>
        <w:t xml:space="preserve">Rowe DB, </w:t>
      </w:r>
      <w:r w:rsidRPr="0019627C">
        <w:rPr>
          <w:i/>
        </w:rPr>
        <w:t>Multivariate Bayesian Statistics: Models for Source Separation and Signal Unmixing</w:t>
      </w:r>
      <w:r>
        <w:t xml:space="preserve"> (CRC Press 2003)</w:t>
      </w:r>
    </w:p>
    <w:p w14:paraId="41770FF4" w14:textId="77777777" w:rsidR="00413229" w:rsidRPr="005A260F" w:rsidRDefault="00413229" w:rsidP="00413229">
      <w:pPr>
        <w:rPr>
          <w:sz w:val="20"/>
        </w:rPr>
      </w:pPr>
    </w:p>
    <w:p w14:paraId="0FABD457" w14:textId="77777777" w:rsidR="00413229" w:rsidRDefault="00413229" w:rsidP="00413229">
      <w:r>
        <w:t xml:space="preserve">Roxas B et al., ‘Effects of rule of law on firm performance in South Africa’ (2012) 24 (5) European Business Review 478-492 </w:t>
      </w:r>
    </w:p>
    <w:p w14:paraId="4DFDD922" w14:textId="77777777" w:rsidR="00413229" w:rsidRPr="005A260F" w:rsidRDefault="00413229" w:rsidP="00413229">
      <w:pPr>
        <w:rPr>
          <w:sz w:val="20"/>
        </w:rPr>
      </w:pPr>
    </w:p>
    <w:p w14:paraId="1E7FCACA" w14:textId="77777777" w:rsidR="00413229" w:rsidRDefault="00413229" w:rsidP="00413229">
      <w:r>
        <w:t xml:space="preserve">Ruback RS, ‘An Overview of Takeover Defenses’ in Alan J. Auerbach, (ed.) </w:t>
      </w:r>
      <w:r w:rsidRPr="00B14667">
        <w:rPr>
          <w:i/>
        </w:rPr>
        <w:t>Mergers and Acquisitions</w:t>
      </w:r>
      <w:r>
        <w:t xml:space="preserve"> (University of Chicago Press 1987)  </w:t>
      </w:r>
    </w:p>
    <w:p w14:paraId="27936E44" w14:textId="77777777" w:rsidR="00413229" w:rsidRPr="005A260F" w:rsidRDefault="00413229" w:rsidP="00413229">
      <w:pPr>
        <w:rPr>
          <w:sz w:val="18"/>
        </w:rPr>
      </w:pPr>
    </w:p>
    <w:p w14:paraId="5DF9FA19" w14:textId="3E5EF99F" w:rsidR="00413229" w:rsidRPr="001F4D5E" w:rsidRDefault="00413229" w:rsidP="00413229">
      <w:r>
        <w:t>Rubin PH, ‘Legal Systems as Frameworks for Market Exchanges’ (2003) &lt;http://dx.doi.org/10.2139/ssrn.413626&gt;</w:t>
      </w:r>
      <w:r w:rsidR="001F4D5E">
        <w:t xml:space="preserve"> published in Menard C and Shirley MM (eds) </w:t>
      </w:r>
      <w:r w:rsidR="001F4D5E" w:rsidRPr="001F4D5E">
        <w:rPr>
          <w:i/>
        </w:rPr>
        <w:t>Handbook of New Institutional Economics</w:t>
      </w:r>
      <w:r w:rsidR="001F4D5E">
        <w:t xml:space="preserve"> (Springer 2005) 205-228</w:t>
      </w:r>
    </w:p>
    <w:p w14:paraId="59FC714A" w14:textId="77777777" w:rsidR="00413229" w:rsidRPr="005A260F" w:rsidRDefault="00413229" w:rsidP="00413229">
      <w:pPr>
        <w:rPr>
          <w:sz w:val="18"/>
        </w:rPr>
      </w:pPr>
    </w:p>
    <w:p w14:paraId="4493066A" w14:textId="77777777" w:rsidR="00413229" w:rsidRDefault="00413229" w:rsidP="00413229">
      <w:r>
        <w:t xml:space="preserve">Saad M and Zantout Z, ‘Stock price and systematic risk effects of discontinuation of corporate R&amp;D programs’ (2009) 16 (4) Journal of Empirical Finance 568-581 </w:t>
      </w:r>
    </w:p>
    <w:p w14:paraId="5769E4E0" w14:textId="77777777" w:rsidR="00413229" w:rsidRPr="005A260F" w:rsidRDefault="00413229" w:rsidP="00413229">
      <w:pPr>
        <w:rPr>
          <w:sz w:val="18"/>
        </w:rPr>
      </w:pPr>
    </w:p>
    <w:p w14:paraId="147E5373" w14:textId="77777777" w:rsidR="00413229" w:rsidRDefault="00413229" w:rsidP="00413229">
      <w:r>
        <w:t xml:space="preserve">Sagar AD and Najam A, ‘The human development index: a critical review’ (1998) 25 (3) Ecological economics 249-264 </w:t>
      </w:r>
    </w:p>
    <w:p w14:paraId="4D540FBC" w14:textId="77777777" w:rsidR="00413229" w:rsidRDefault="00413229" w:rsidP="00413229"/>
    <w:p w14:paraId="2CEC788A" w14:textId="77777777" w:rsidR="00413229" w:rsidRDefault="00413229" w:rsidP="00413229">
      <w:r>
        <w:t>Saha M, ‘Indian Economy and Growth of Financial Market in the Contemporary Phase of Globalization Era’ (2012) 1 International Journal of Developing Societies 1-10.</w:t>
      </w:r>
    </w:p>
    <w:p w14:paraId="06D9066D" w14:textId="77777777" w:rsidR="00413229" w:rsidRPr="005A260F" w:rsidRDefault="00413229" w:rsidP="00413229">
      <w:pPr>
        <w:rPr>
          <w:sz w:val="18"/>
        </w:rPr>
      </w:pPr>
    </w:p>
    <w:p w14:paraId="4ED8313A" w14:textId="77777777" w:rsidR="00413229" w:rsidRDefault="00413229" w:rsidP="00413229">
      <w:r>
        <w:t>Samanta N, ‘Utilising item response theory in computing corporate governance indices’ (2015) 2 (4) Edinburgh Student Law Review (ESLR) 103-116</w:t>
      </w:r>
    </w:p>
    <w:p w14:paraId="56E56FA9" w14:textId="77777777" w:rsidR="00413229" w:rsidRPr="005A260F" w:rsidRDefault="00413229" w:rsidP="00413229">
      <w:pPr>
        <w:rPr>
          <w:sz w:val="18"/>
        </w:rPr>
      </w:pPr>
    </w:p>
    <w:p w14:paraId="3AF98E52" w14:textId="77777777" w:rsidR="00413229" w:rsidRDefault="00413229" w:rsidP="00413229">
      <w:r>
        <w:lastRenderedPageBreak/>
        <w:t>Samejima F, ‘Estimation of latent ability using a response pattern of graded scores.’ (1969) 34 (4) Psychometrika Monograph Supplement 100</w:t>
      </w:r>
    </w:p>
    <w:p w14:paraId="12D5B729" w14:textId="77777777" w:rsidR="00413229" w:rsidRPr="005A260F" w:rsidRDefault="00413229" w:rsidP="00413229">
      <w:pPr>
        <w:rPr>
          <w:sz w:val="18"/>
        </w:rPr>
      </w:pPr>
    </w:p>
    <w:p w14:paraId="2BE04B6E" w14:textId="77777777" w:rsidR="00413229" w:rsidRDefault="00413229" w:rsidP="00413229">
      <w:r>
        <w:t xml:space="preserve">Samuel MM, ‘International Financial Markets and Regulation of Trading of International Equities’ (1989) 19 (2) California Western International Law Journal 327-382 </w:t>
      </w:r>
    </w:p>
    <w:p w14:paraId="56BA82E4" w14:textId="77777777" w:rsidR="00413229" w:rsidRPr="005A260F" w:rsidRDefault="00413229" w:rsidP="00413229">
      <w:pPr>
        <w:rPr>
          <w:sz w:val="18"/>
        </w:rPr>
      </w:pPr>
    </w:p>
    <w:p w14:paraId="4C3C4D0E" w14:textId="77777777" w:rsidR="00413229" w:rsidRDefault="00413229" w:rsidP="00413229">
      <w:r>
        <w:t xml:space="preserve">Sandte H, ‘Stock Markets vs GDP Growth: A Complicated Mixture’ (2012) WestLB Mellon Asset Management Viewpoint 1 – 8 available at &lt;http://us.bnymellonam.com/core/library/documents/knowledge/AlphaTrends/Stock_Markets_vs_GDP.pdf&gt; </w:t>
      </w:r>
    </w:p>
    <w:p w14:paraId="4064DEF6" w14:textId="77777777" w:rsidR="00413229" w:rsidRPr="005A260F" w:rsidRDefault="00413229" w:rsidP="00413229">
      <w:pPr>
        <w:rPr>
          <w:sz w:val="18"/>
        </w:rPr>
      </w:pPr>
    </w:p>
    <w:p w14:paraId="78CA6B24" w14:textId="77777777" w:rsidR="00413229" w:rsidRDefault="00413229" w:rsidP="00413229">
      <w:r>
        <w:t xml:space="preserve">Sarma M and Pais J, ‘Financial inclusion and development.’ (2011) 23 (5) Journal of International Development 613-628 </w:t>
      </w:r>
    </w:p>
    <w:p w14:paraId="087D33E0" w14:textId="77777777" w:rsidR="00413229" w:rsidRDefault="00413229" w:rsidP="00413229"/>
    <w:p w14:paraId="463BCC27" w14:textId="77777777" w:rsidR="00413229" w:rsidRDefault="00413229" w:rsidP="00413229">
      <w:r>
        <w:t>Sarno L and Valente G, ‘Deviations from purchasing power parity under different exchange rate regimes: Do they revert and, if so, how?’ (2006) 30 (11) Journal of Banking &amp; Finance 3147–3169</w:t>
      </w:r>
    </w:p>
    <w:p w14:paraId="7F13BB59" w14:textId="77777777" w:rsidR="00413229" w:rsidRDefault="00413229" w:rsidP="00413229"/>
    <w:p w14:paraId="3307349A" w14:textId="77777777" w:rsidR="00413229" w:rsidRDefault="00413229" w:rsidP="00413229">
      <w:r>
        <w:t xml:space="preserve">Schumpeter J, </w:t>
      </w:r>
      <w:r w:rsidRPr="00AD5EBA">
        <w:rPr>
          <w:i/>
        </w:rPr>
        <w:t>The Theory of Economic Development</w:t>
      </w:r>
      <w:r>
        <w:t xml:space="preserve"> (Harvard University Press 1934)</w:t>
      </w:r>
    </w:p>
    <w:p w14:paraId="3679C7BF" w14:textId="77777777" w:rsidR="00413229" w:rsidRDefault="00413229" w:rsidP="00413229">
      <w:r>
        <w:t xml:space="preserve">SEBI, Clause 49, SEBI Listing Regulation &lt;http://www.sebi.gov.in/commreport/clause49.html&gt; </w:t>
      </w:r>
    </w:p>
    <w:p w14:paraId="78F0AF05" w14:textId="77777777" w:rsidR="00413229" w:rsidRDefault="00413229" w:rsidP="00413229"/>
    <w:p w14:paraId="44773B57" w14:textId="77777777" w:rsidR="00413229" w:rsidRDefault="00413229" w:rsidP="00413229">
      <w:r>
        <w:t>SEBI, Draft Report of the Kumar Mangalam Committee on Corporate Governance (1999) &lt;http://www.ecgi.org/codes/documents/draft_report.pdf&gt;</w:t>
      </w:r>
    </w:p>
    <w:p w14:paraId="2D2C616E" w14:textId="77777777" w:rsidR="00413229" w:rsidRDefault="00413229" w:rsidP="00413229"/>
    <w:p w14:paraId="1AA29739" w14:textId="77777777" w:rsidR="00413229" w:rsidRDefault="00413229" w:rsidP="00413229">
      <w:r>
        <w:t>SEBI, Report of the Kumar Mangalam Birla Committee on Corporate Governance (2000) &lt;http://www.ecgi.org/codes/documents/corpgov.pdf&gt;</w:t>
      </w:r>
    </w:p>
    <w:p w14:paraId="6A902C83" w14:textId="77777777" w:rsidR="00413229" w:rsidRDefault="00413229" w:rsidP="00413229"/>
    <w:p w14:paraId="38089061" w14:textId="77777777" w:rsidR="00413229" w:rsidRDefault="00413229" w:rsidP="00413229">
      <w:r>
        <w:t>Segrestin B and Hatchuel A, ‘Beyond Agency Theory, a Post-crisis View of Corporate Law’ (2011) 22 British Journal of Management 484–499</w:t>
      </w:r>
    </w:p>
    <w:p w14:paraId="3B97BD91" w14:textId="77777777" w:rsidR="00413229" w:rsidRDefault="00413229" w:rsidP="00413229"/>
    <w:p w14:paraId="475045D5" w14:textId="77777777" w:rsidR="00413229" w:rsidRDefault="00413229" w:rsidP="00413229">
      <w:r>
        <w:lastRenderedPageBreak/>
        <w:t xml:space="preserve">Seo HJ and Lee YS, ‘Contribution of information and communication technology to total factor productivity and externalities effects’ (2006) 12 (2) Information Technology for Development 159-173 </w:t>
      </w:r>
    </w:p>
    <w:p w14:paraId="6D93D444" w14:textId="77777777" w:rsidR="00413229" w:rsidRDefault="00413229" w:rsidP="00413229"/>
    <w:p w14:paraId="5B433760" w14:textId="77777777" w:rsidR="00413229" w:rsidRDefault="00413229" w:rsidP="00413229">
      <w:r w:rsidRPr="00823B4E">
        <w:t>Seyoum B, ‘The role of factor conditions in high-technology exports: An empirical examination’ (2004) 15 (1) The Journal of High Technology Management Research 145-162</w:t>
      </w:r>
    </w:p>
    <w:p w14:paraId="3CB055B0" w14:textId="77777777" w:rsidR="00413229" w:rsidRDefault="00413229" w:rsidP="00413229">
      <w:r w:rsidRPr="00823B4E">
        <w:t xml:space="preserve">— — </w:t>
      </w:r>
      <w:r>
        <w:t xml:space="preserve"> ‘Determinants of levels of high technology exports an empirical investigation’ (2005) 13 (1) Advances in Competitiveness Research 64</w:t>
      </w:r>
    </w:p>
    <w:p w14:paraId="53D4056C" w14:textId="77777777" w:rsidR="00413229" w:rsidRDefault="00413229" w:rsidP="00413229"/>
    <w:p w14:paraId="07E0DAD4" w14:textId="77777777" w:rsidR="00413229" w:rsidRDefault="00413229" w:rsidP="00413229">
      <w:r>
        <w:t xml:space="preserve">Shafi M and Medabesh AH, ‘Financial Inclusion in Developing Countries: Evidences from an Indian State’ (2012) 5 (8) International Business Research 116 </w:t>
      </w:r>
    </w:p>
    <w:p w14:paraId="58379B48" w14:textId="77777777" w:rsidR="00413229" w:rsidRDefault="00413229" w:rsidP="00413229"/>
    <w:p w14:paraId="684CEFB2" w14:textId="77777777" w:rsidR="00413229" w:rsidRDefault="00413229" w:rsidP="00413229">
      <w:r>
        <w:t>Shari I, ‘Economic growth and income inequality in Malaysia, 1971–95’ (2000) 5 (1) Journal of the Asia Pacific Economy 112-124</w:t>
      </w:r>
    </w:p>
    <w:p w14:paraId="6A9477FF" w14:textId="77777777" w:rsidR="00413229" w:rsidRDefault="00413229" w:rsidP="00413229"/>
    <w:p w14:paraId="5CCC66E6" w14:textId="77777777" w:rsidR="00413229" w:rsidRDefault="00413229" w:rsidP="00413229">
      <w:r>
        <w:t xml:space="preserve">Sharma A and Dietrich M, ‘The Structure and Composition of India’s Exports and Industrial Transformation (1980–2000)’ (2007) 21 (2) International Economic Journal 207-231 </w:t>
      </w:r>
    </w:p>
    <w:p w14:paraId="289469A9" w14:textId="77777777" w:rsidR="00413229" w:rsidRDefault="00413229" w:rsidP="00413229"/>
    <w:p w14:paraId="60A645A5" w14:textId="6FFCF151" w:rsidR="00413229" w:rsidRDefault="00413229" w:rsidP="00413229">
      <w:r>
        <w:t>Shiblee LS, ‘The Impact of Inflation, GDP, Unemployment, and Money Supply On Stock Prices’ (2009) available at &lt;</w:t>
      </w:r>
      <w:r w:rsidRPr="00287EC4">
        <w:t>http://dx.doi.org/10.2139/ssrn.1529254</w:t>
      </w:r>
      <w:r>
        <w:t xml:space="preserve">&gt; </w:t>
      </w:r>
    </w:p>
    <w:p w14:paraId="65CAAF32" w14:textId="77777777" w:rsidR="00413229" w:rsidRDefault="00413229" w:rsidP="00413229"/>
    <w:p w14:paraId="2BAFEC5A" w14:textId="77777777" w:rsidR="00413229" w:rsidRDefault="00413229" w:rsidP="00413229">
      <w:r>
        <w:t xml:space="preserve">Shiu A and Lam PL, ‘Electricity consumption and economic growth in China.’ (2004) 32 (1) Energy policy 47-54 </w:t>
      </w:r>
    </w:p>
    <w:p w14:paraId="170B14B6" w14:textId="77777777" w:rsidR="00413229" w:rsidRDefault="00413229" w:rsidP="00413229"/>
    <w:p w14:paraId="1F263FB1" w14:textId="77777777" w:rsidR="00413229" w:rsidRDefault="00413229" w:rsidP="00413229">
      <w:r>
        <w:t>Shleifer A and Vishny RW, ‘A survey of corporate governance.’ (1997) 52 (2) The Journal of Finance 737-783</w:t>
      </w:r>
    </w:p>
    <w:p w14:paraId="19663E46" w14:textId="77777777" w:rsidR="00413229" w:rsidRDefault="00413229" w:rsidP="00413229">
      <w:pPr>
        <w:rPr>
          <w:highlight w:val="yellow"/>
        </w:rPr>
      </w:pPr>
    </w:p>
    <w:p w14:paraId="026FB629" w14:textId="2EFC9658" w:rsidR="00413229" w:rsidRDefault="00413229" w:rsidP="00413229">
      <w:r w:rsidRPr="00930DFC">
        <w:t>Silveira ADM, ‘Historical Perspective and main CG landmarks in Brazil’ (2014) available at &lt;http://ssrn.com/abstract=1998306&gt;</w:t>
      </w:r>
      <w:r>
        <w:t xml:space="preserve"> </w:t>
      </w:r>
    </w:p>
    <w:p w14:paraId="12ABF540" w14:textId="77777777" w:rsidR="00413229" w:rsidRDefault="00413229" w:rsidP="00413229"/>
    <w:p w14:paraId="69EC4E20" w14:textId="77777777" w:rsidR="00413229" w:rsidRDefault="00413229" w:rsidP="00413229">
      <w:r>
        <w:lastRenderedPageBreak/>
        <w:t xml:space="preserve">Smiech S and Papiez M, ‘Energy consumption and economic growth in the light of meeting the targets of energy policy in the EU: The bootstrap panel Granger causality approach’ (2014) 71 Energy Policy118-129 </w:t>
      </w:r>
    </w:p>
    <w:p w14:paraId="297E031C" w14:textId="77777777" w:rsidR="00413229" w:rsidRDefault="00413229" w:rsidP="00413229"/>
    <w:p w14:paraId="624A08B6" w14:textId="77777777" w:rsidR="00413229" w:rsidRDefault="00413229" w:rsidP="00413229">
      <w:r>
        <w:t xml:space="preserve">Smith A, </w:t>
      </w:r>
      <w:r w:rsidRPr="00A74280">
        <w:rPr>
          <w:i/>
        </w:rPr>
        <w:t>An Inquiry into the Nature and Causes of the Wealth of Nations</w:t>
      </w:r>
      <w:r>
        <w:t xml:space="preserve"> (1776) </w:t>
      </w:r>
    </w:p>
    <w:p w14:paraId="4D3D0928" w14:textId="77777777" w:rsidR="00413229" w:rsidRDefault="00413229" w:rsidP="00413229"/>
    <w:p w14:paraId="3995119B" w14:textId="77777777" w:rsidR="00413229" w:rsidRDefault="00413229" w:rsidP="00413229">
      <w:r>
        <w:t>Smith RP, ‘The economic costs of military conflict’ (2014) 51 (2) Journal of Peace Research 245-256</w:t>
      </w:r>
    </w:p>
    <w:p w14:paraId="26D14B7D" w14:textId="77777777" w:rsidR="00413229" w:rsidRDefault="00413229" w:rsidP="00413229"/>
    <w:p w14:paraId="4649CEA1" w14:textId="77777777" w:rsidR="00413229" w:rsidRDefault="00413229" w:rsidP="00413229">
      <w:r>
        <w:t xml:space="preserve">So A, ‘Shenzhen Special Economic Zone: China's Struggle for Independent Development’ (1988) 9 (2) Canadian Journal of Development Studies 313-323 </w:t>
      </w:r>
    </w:p>
    <w:p w14:paraId="1888D6A0" w14:textId="77777777" w:rsidR="00413229" w:rsidRDefault="00413229" w:rsidP="00413229"/>
    <w:p w14:paraId="549E6D53" w14:textId="77777777" w:rsidR="00413229" w:rsidRDefault="00413229" w:rsidP="00413229">
      <w:r>
        <w:t>Soederberg S, ‘The promotion of Anglo-American corporate governance in the south’, (2003) 24 (1) Third World Quarterly 7–27</w:t>
      </w:r>
    </w:p>
    <w:p w14:paraId="5CD4E1A4" w14:textId="77777777" w:rsidR="00413229" w:rsidRDefault="00413229" w:rsidP="00413229"/>
    <w:p w14:paraId="6DE13E45" w14:textId="77777777" w:rsidR="00413229" w:rsidRDefault="00413229" w:rsidP="00413229">
      <w:r>
        <w:t xml:space="preserve">Soytas U and Sari R, ‘Energy consumption and GDP: causality relationship in G-7 countries and emerging markets’ (2003) 25 (1) Energy economics 33-37 </w:t>
      </w:r>
    </w:p>
    <w:p w14:paraId="751EDA45" w14:textId="77777777" w:rsidR="00413229" w:rsidRDefault="00413229" w:rsidP="00413229"/>
    <w:p w14:paraId="3BA876FD" w14:textId="77777777" w:rsidR="00413229" w:rsidRDefault="00413229" w:rsidP="00413229">
      <w:r>
        <w:t>Spamann H, ‘On the Insignificance and/or Endogeneity of La Porta et al.’s ‘Antidirector Rights Index’ under Consistent Coding’ Harvard Law School Discussion Paper No. 7 (2006) &lt; http://papers.ssrn.com/sol3/papers.cfm?abstract_id=894301&gt;</w:t>
      </w:r>
    </w:p>
    <w:p w14:paraId="48E98D5E" w14:textId="77777777" w:rsidR="00413229" w:rsidRDefault="00413229" w:rsidP="00413229">
      <w:r w:rsidRPr="00930DFC">
        <w:t xml:space="preserve">— — </w:t>
      </w:r>
      <w:r>
        <w:t xml:space="preserve"> ‘The “Antidirector Rights Index” Revisited’ (2010) 23 (2) The Review of Financial Studies 467</w:t>
      </w:r>
    </w:p>
    <w:p w14:paraId="4B42B764" w14:textId="274B84FD" w:rsidR="00103203" w:rsidRDefault="00103203" w:rsidP="00413229">
      <w:r w:rsidRPr="00103203">
        <w:t>— —</w:t>
      </w:r>
      <w:r>
        <w:t xml:space="preserve">  </w:t>
      </w:r>
      <w:r w:rsidRPr="00103203">
        <w:t>‘Empirical Comparative Law’ (2015) 11 Annual Review of Law and Social Science 131</w:t>
      </w:r>
    </w:p>
    <w:p w14:paraId="42E13799" w14:textId="77777777" w:rsidR="00413229" w:rsidRDefault="00413229" w:rsidP="00413229"/>
    <w:p w14:paraId="551ECA5D" w14:textId="77777777" w:rsidR="00413229" w:rsidRDefault="00413229" w:rsidP="00413229">
      <w:r>
        <w:t>Spindle S and Keeler D, ‘Nuclear Deal Could Drive Foreign Investors to Iran Stocks’ The Wall Street Journal (30 March 2015) &lt; http://www.wsj.com/articles/nuclear-deal-could-drive-foreign-investors-to-iran-stocks-1427750282 &gt;</w:t>
      </w:r>
    </w:p>
    <w:p w14:paraId="3440C815" w14:textId="77777777" w:rsidR="00413229" w:rsidRDefault="00413229" w:rsidP="00413229">
      <w:r>
        <w:lastRenderedPageBreak/>
        <w:t xml:space="preserve">Stewart F and Fitzgerald V, </w:t>
      </w:r>
      <w:r w:rsidRPr="0010091C">
        <w:rPr>
          <w:i/>
        </w:rPr>
        <w:t>The Economic and Social Consequences of Conflict</w:t>
      </w:r>
      <w:r>
        <w:t xml:space="preserve"> (Oxford University Press 2000) </w:t>
      </w:r>
    </w:p>
    <w:p w14:paraId="34489D34" w14:textId="77777777" w:rsidR="00413229" w:rsidRDefault="00413229" w:rsidP="00413229"/>
    <w:p w14:paraId="60C3A9FB" w14:textId="77777777" w:rsidR="00413229" w:rsidRDefault="00413229" w:rsidP="00413229">
      <w:r>
        <w:t xml:space="preserve">Stokey NL, ‘R&amp;D and economic growth’ (1995) 62 (3) The Review of Economic Studies 469-489 </w:t>
      </w:r>
    </w:p>
    <w:p w14:paraId="4D5CF712" w14:textId="77777777" w:rsidR="00413229" w:rsidRDefault="00413229" w:rsidP="00413229"/>
    <w:p w14:paraId="027F552B" w14:textId="77777777" w:rsidR="00413229" w:rsidRDefault="00413229" w:rsidP="00413229">
      <w:r>
        <w:t>Summers D, ‘No return to boom and bust: what Brown said when he was chancellor’ (The Guardian, 11 September 2008) &lt; http://www.theguardian.com/politics/2008/sep/11/gordonbrown.economy &gt; accessed 15 May 2015</w:t>
      </w:r>
    </w:p>
    <w:p w14:paraId="69F30E1D" w14:textId="77777777" w:rsidR="00413229" w:rsidRDefault="00413229" w:rsidP="00413229"/>
    <w:p w14:paraId="2C7150EB" w14:textId="77777777" w:rsidR="00413229" w:rsidRDefault="00413229" w:rsidP="00413229">
      <w:r>
        <w:t xml:space="preserve">Sun H and Tipton F, ‘A Comparative Analysis of the Characteristics of Direct Foreign Investment in China, 1979-1995’ (1998) 32 (2) The Journal of Developing Areas 159 </w:t>
      </w:r>
    </w:p>
    <w:p w14:paraId="123A24CF" w14:textId="77777777" w:rsidR="00413229" w:rsidRDefault="00413229" w:rsidP="00413229"/>
    <w:p w14:paraId="5BA2E014" w14:textId="77777777" w:rsidR="00413229" w:rsidRDefault="00413229" w:rsidP="00413229">
      <w:r>
        <w:t>Swamy V, ‘Financial Inclusion, Gender Dimension, and Economic Impact on Poor Households’ (2014) 56 World Development 1-15</w:t>
      </w:r>
    </w:p>
    <w:p w14:paraId="127B5907" w14:textId="77777777" w:rsidR="00413229" w:rsidRDefault="00413229" w:rsidP="00413229"/>
    <w:p w14:paraId="21131B64" w14:textId="77777777" w:rsidR="00413229" w:rsidRDefault="00413229" w:rsidP="00413229">
      <w:r>
        <w:t>Sykes AO, ‘An Introduction to Regression Analysis’ Chicago  Working  Paper in Law &amp;  Economics &lt;http://www.law.uchicago.edu/files/files/20.Sykes_.Regression.pdf&gt; acceded 10 June 2015</w:t>
      </w:r>
    </w:p>
    <w:p w14:paraId="750E877E" w14:textId="77777777" w:rsidR="00413229" w:rsidRDefault="00413229" w:rsidP="00413229"/>
    <w:p w14:paraId="4970E781" w14:textId="77777777" w:rsidR="00413229" w:rsidRDefault="00413229" w:rsidP="00413229">
      <w:r>
        <w:t xml:space="preserve">Szewczyk S et al., ‘The valuation of corporate R&amp;D expenditures: evidence from investment opportunities and free cash flow’ (1996) 25 Financial Management 105–110 </w:t>
      </w:r>
    </w:p>
    <w:p w14:paraId="0B6E2DF0" w14:textId="77777777" w:rsidR="00413229" w:rsidRDefault="00413229" w:rsidP="00413229"/>
    <w:p w14:paraId="1CE4FD26" w14:textId="77777777" w:rsidR="00413229" w:rsidRDefault="00413229" w:rsidP="00413229">
      <w:r>
        <w:t>Tait R, ‘Iran Risks Crash With Record Stock Market Boom, Say Economists’ (Radio Liberty, 2 September 2010) &lt;http://www.rferl.org/content/Iran_Risks_Crash_With_Record_Stock_Market_Boom_Say_ Economists/2146481.html &gt;</w:t>
      </w:r>
    </w:p>
    <w:p w14:paraId="17D04DAF" w14:textId="77777777" w:rsidR="00413229" w:rsidRDefault="00413229" w:rsidP="00413229"/>
    <w:p w14:paraId="2D40F2DD" w14:textId="77777777" w:rsidR="00413229" w:rsidRDefault="00413229" w:rsidP="00413229">
      <w:r w:rsidRPr="00930DFC">
        <w:lastRenderedPageBreak/>
        <w:t>Talamo GMC, ‘FDI, mode of entry and corporate governance’ in Neri Salvadori and Pasquale Commendatore (eds), Geography, structural change and economic development (Edward Elgar Publishing 2009)</w:t>
      </w:r>
    </w:p>
    <w:p w14:paraId="2FB1DC48" w14:textId="67ECF51F" w:rsidR="00413229" w:rsidRDefault="00413229" w:rsidP="00413229">
      <w:r>
        <w:t xml:space="preserve">— — ‘Corporate Governance and Capital Flows’ (2012) PRA Paper No. 35853 &lt; http://mpra.ub.uni-muenchen.de/35853/&gt; accessed 20 January 2015 </w:t>
      </w:r>
      <w:r w:rsidR="00B42D84">
        <w:t xml:space="preserve">also published in (2011) 11 (3) Corporate Governance: </w:t>
      </w:r>
      <w:r w:rsidR="00B42D84" w:rsidRPr="00B42D84">
        <w:t>The International Journal of Business in Society</w:t>
      </w:r>
      <w:r w:rsidR="00B42D84">
        <w:t xml:space="preserve"> 228-243</w:t>
      </w:r>
    </w:p>
    <w:p w14:paraId="555C8162" w14:textId="77777777" w:rsidR="00413229" w:rsidRDefault="00413229" w:rsidP="00413229"/>
    <w:p w14:paraId="58DC7487" w14:textId="77777777" w:rsidR="00413229" w:rsidRDefault="00413229" w:rsidP="00413229">
      <w:r>
        <w:t>Tambunan TTH, ‘The Indonesian Experience with Two Big Economic Crises’ (2010) Modern Economy 156-167 &lt;www.scirp.org/journal/PaperDownload.aspx?paperID=3095&gt;</w:t>
      </w:r>
    </w:p>
    <w:p w14:paraId="1C6F3669" w14:textId="77777777" w:rsidR="00413229" w:rsidRDefault="00413229" w:rsidP="00413229"/>
    <w:p w14:paraId="71872C0A" w14:textId="77777777" w:rsidR="00413229" w:rsidRDefault="00413229" w:rsidP="00413229">
      <w:r>
        <w:t xml:space="preserve">Thissen D and Steinberg L, ‘Item Response Theory’ in Roger E. Millsap and Alberto Maydeu-Olivares (eds), </w:t>
      </w:r>
      <w:r w:rsidRPr="005D3B17">
        <w:rPr>
          <w:i/>
        </w:rPr>
        <w:t>The SAGE Handbook of Quantitative Methods in Psychology</w:t>
      </w:r>
      <w:r>
        <w:t xml:space="preserve"> (SAGE 2009)</w:t>
      </w:r>
    </w:p>
    <w:p w14:paraId="69B169ED" w14:textId="77777777" w:rsidR="00413229" w:rsidRDefault="00413229" w:rsidP="00413229"/>
    <w:p w14:paraId="56399152" w14:textId="77777777" w:rsidR="00413229" w:rsidRDefault="00413229" w:rsidP="00413229">
      <w:r w:rsidRPr="00930DFC">
        <w:t>Thurstone LL, ‘A Method of Scaling Psychological and Educational Tests’ (1925) 16 Journal of Educational Psychology 433- 451 &lt; http://www.brocku.ca/MeadProject/Thurstone/Thurstone_1925b.html&gt;</w:t>
      </w:r>
    </w:p>
    <w:p w14:paraId="7988EA07" w14:textId="77777777" w:rsidR="00413229" w:rsidRDefault="00413229" w:rsidP="00413229">
      <w:r w:rsidRPr="00930DFC">
        <w:t xml:space="preserve">— — </w:t>
      </w:r>
      <w:r>
        <w:t xml:space="preserve"> ‘A Law of Comparative Judgement’ (1927) 34(2) Psychological Review 273-286</w:t>
      </w:r>
    </w:p>
    <w:p w14:paraId="1486F652" w14:textId="77777777" w:rsidR="00413229" w:rsidRDefault="00413229" w:rsidP="00413229"/>
    <w:p w14:paraId="18A4714C" w14:textId="77777777" w:rsidR="00413229" w:rsidRDefault="00413229" w:rsidP="00413229">
      <w:r>
        <w:t xml:space="preserve">Tucker </w:t>
      </w:r>
      <w:r w:rsidRPr="005D3B17">
        <w:t>LR</w:t>
      </w:r>
      <w:r>
        <w:t>, ‘Maximum validity of a test with equivalent items’ (1946) 11 Psychometrika 1–13</w:t>
      </w:r>
    </w:p>
    <w:p w14:paraId="779B2B5A" w14:textId="77777777" w:rsidR="00413229" w:rsidRDefault="00413229" w:rsidP="00413229"/>
    <w:p w14:paraId="16DB051F" w14:textId="77777777" w:rsidR="00413229" w:rsidRDefault="00413229" w:rsidP="00413229">
      <w:r>
        <w:t>UNCTAD, ‘Guidance on good practices in corporate governance disclosure’ (2006) UNCTAD/ITE/TEB/2006/3</w:t>
      </w:r>
    </w:p>
    <w:p w14:paraId="6B603F9D" w14:textId="77777777" w:rsidR="00413229" w:rsidRDefault="00413229" w:rsidP="00413229"/>
    <w:p w14:paraId="66756391" w14:textId="77777777" w:rsidR="00413229" w:rsidRDefault="00413229" w:rsidP="00413229">
      <w:r>
        <w:t>Underhill G and Zhang X, ‘Setting the rules: private power, political underpinnings, and legitimacy in global monetary and financial governance’ (2008) 84 (3) International Affairs 535-554</w:t>
      </w:r>
    </w:p>
    <w:p w14:paraId="4079A358" w14:textId="77777777" w:rsidR="00413229" w:rsidRDefault="00413229" w:rsidP="00413229"/>
    <w:p w14:paraId="157C2F81" w14:textId="77777777" w:rsidR="00413229" w:rsidRDefault="00413229" w:rsidP="00413229">
      <w:r>
        <w:lastRenderedPageBreak/>
        <w:t>UNDP, Technical notes in United Nations Development Programme, Human Development Report 2014 available at http://hdr.undp.org/sites/default/files/hdr14_technical_notes.pdf</w:t>
      </w:r>
    </w:p>
    <w:p w14:paraId="583714BF" w14:textId="77777777" w:rsidR="00413229" w:rsidRDefault="00413229" w:rsidP="00413229"/>
    <w:p w14:paraId="5423B5A8" w14:textId="2B207334" w:rsidR="00413229" w:rsidRDefault="00413229" w:rsidP="00413229">
      <w:proofErr w:type="spellStart"/>
      <w:r>
        <w:t>Varshney</w:t>
      </w:r>
      <w:proofErr w:type="spellEnd"/>
      <w:r>
        <w:t xml:space="preserve"> </w:t>
      </w:r>
      <w:r w:rsidR="00C17EC3">
        <w:t>P</w:t>
      </w:r>
      <w:r>
        <w:t xml:space="preserve">, </w:t>
      </w:r>
      <w:proofErr w:type="spellStart"/>
      <w:r w:rsidR="00C17EC3">
        <w:t>Kaul</w:t>
      </w:r>
      <w:proofErr w:type="spellEnd"/>
      <w:r w:rsidR="00C17EC3">
        <w:t xml:space="preserve"> VK and Vasal VK, </w:t>
      </w:r>
      <w:r>
        <w:t xml:space="preserve">‘Corporate Governance Index and Firm Performance: Empirical Evidence from India’ (2012) available at &lt; http://ssrn.com/abstract=2103462&gt; </w:t>
      </w:r>
    </w:p>
    <w:p w14:paraId="78FCD8CD" w14:textId="77777777" w:rsidR="00413229" w:rsidRDefault="00413229" w:rsidP="00413229"/>
    <w:p w14:paraId="17162A75" w14:textId="77777777" w:rsidR="00413229" w:rsidRDefault="00413229" w:rsidP="00413229">
      <w:r>
        <w:t>Villa P, ‘Financial constraint and growth in the developing countries’ (1998) 49 (1) Revue Economique 103-117</w:t>
      </w:r>
    </w:p>
    <w:p w14:paraId="48679941" w14:textId="77777777" w:rsidR="00413229" w:rsidRDefault="00413229" w:rsidP="00413229"/>
    <w:p w14:paraId="496F28C8" w14:textId="16F06570" w:rsidR="00413229" w:rsidRDefault="00413229" w:rsidP="00413229">
      <w:proofErr w:type="spellStart"/>
      <w:r>
        <w:t>Wainer</w:t>
      </w:r>
      <w:proofErr w:type="spellEnd"/>
      <w:r>
        <w:t xml:space="preserve"> H,</w:t>
      </w:r>
      <w:r w:rsidR="00C17EC3">
        <w:t xml:space="preserve"> </w:t>
      </w:r>
      <w:proofErr w:type="spellStart"/>
      <w:r w:rsidR="00C17EC3">
        <w:t>Bradlow</w:t>
      </w:r>
      <w:proofErr w:type="spellEnd"/>
      <w:r w:rsidR="00C17EC3">
        <w:t xml:space="preserve"> ET and Du Z,</w:t>
      </w:r>
      <w:r>
        <w:t xml:space="preserve"> ‘Testlet response theory: an analog for the 3-PL useful in testlet-based adaptive testing’, in Wim van der Linden and Cees Glas (eds.), </w:t>
      </w:r>
      <w:r w:rsidRPr="0019627C">
        <w:rPr>
          <w:i/>
        </w:rPr>
        <w:t xml:space="preserve">Computerized Adaptive Testing: Theory and Practice </w:t>
      </w:r>
      <w:r>
        <w:t>(Kluwer Academic Publishers 2000) 245–270</w:t>
      </w:r>
    </w:p>
    <w:p w14:paraId="487C5626" w14:textId="77777777" w:rsidR="00413229" w:rsidRDefault="00413229" w:rsidP="00413229"/>
    <w:p w14:paraId="6501D34F" w14:textId="308C72E2" w:rsidR="00413229" w:rsidRDefault="00413229" w:rsidP="00413229">
      <w:proofErr w:type="spellStart"/>
      <w:r>
        <w:t>Wainer</w:t>
      </w:r>
      <w:proofErr w:type="spellEnd"/>
      <w:r>
        <w:t xml:space="preserve"> H,</w:t>
      </w:r>
      <w:r w:rsidR="00C17EC3" w:rsidRPr="00C17EC3">
        <w:t xml:space="preserve"> </w:t>
      </w:r>
      <w:proofErr w:type="spellStart"/>
      <w:r w:rsidR="00C17EC3" w:rsidRPr="00C17EC3">
        <w:t>Bradlow</w:t>
      </w:r>
      <w:proofErr w:type="spellEnd"/>
      <w:r w:rsidR="00C17EC3" w:rsidRPr="00C17EC3">
        <w:t xml:space="preserve"> ET and</w:t>
      </w:r>
      <w:r w:rsidR="00C17EC3">
        <w:t xml:space="preserve"> Wang X,</w:t>
      </w:r>
      <w:r>
        <w:t xml:space="preserve"> </w:t>
      </w:r>
      <w:r w:rsidRPr="0019627C">
        <w:rPr>
          <w:i/>
        </w:rPr>
        <w:t xml:space="preserve">Testlet Response Theory and its Applications </w:t>
      </w:r>
      <w:r>
        <w:t xml:space="preserve">(Cambridge University Press 2007) </w:t>
      </w:r>
    </w:p>
    <w:p w14:paraId="12145FEF" w14:textId="77777777" w:rsidR="00413229" w:rsidRDefault="00413229" w:rsidP="00413229"/>
    <w:p w14:paraId="32B10C52" w14:textId="77777777" w:rsidR="00413229" w:rsidRDefault="00413229" w:rsidP="00413229">
      <w:r>
        <w:t>Wang JY, ‘Rule of Law and Rule of Officials: Shareholder Litigation and Anti-Dumping Practice in China’ (2008) Rule of Law in China Series Policy Brief No. 4 &lt;</w:t>
      </w:r>
      <w:r w:rsidRPr="00A672F7">
        <w:t>http://dx.doi.org/10.2139/ssrn.1126202</w:t>
      </w:r>
      <w:r>
        <w:t xml:space="preserve">&gt; </w:t>
      </w:r>
    </w:p>
    <w:p w14:paraId="4D327DFB" w14:textId="77777777" w:rsidR="00413229" w:rsidRDefault="00413229" w:rsidP="00413229"/>
    <w:p w14:paraId="2517D802" w14:textId="77777777" w:rsidR="00413229" w:rsidRDefault="00413229" w:rsidP="00413229">
      <w:r>
        <w:t xml:space="preserve">Wang M, Lai KK and Yen J, </w:t>
      </w:r>
      <w:r w:rsidRPr="00DC4A6D">
        <w:rPr>
          <w:i/>
        </w:rPr>
        <w:t>China's Financial Markets: Issues and Opportunities</w:t>
      </w:r>
      <w:r>
        <w:t xml:space="preserve"> (Routledge 2014) </w:t>
      </w:r>
    </w:p>
    <w:p w14:paraId="1EC685B1" w14:textId="5E8A0DAD" w:rsidR="00413229" w:rsidRPr="005A260F" w:rsidRDefault="005A260F" w:rsidP="00413229">
      <w:pPr>
        <w:rPr>
          <w:sz w:val="20"/>
        </w:rPr>
      </w:pPr>
      <w:r>
        <w:rPr>
          <w:sz w:val="20"/>
        </w:rPr>
        <w:t>[</w:t>
      </w:r>
    </w:p>
    <w:p w14:paraId="41039D49" w14:textId="17201D39" w:rsidR="00413229" w:rsidRDefault="00413229" w:rsidP="00413229">
      <w:r>
        <w:t>Wang X,</w:t>
      </w:r>
      <w:r w:rsidR="00C17EC3">
        <w:t xml:space="preserve"> </w:t>
      </w:r>
      <w:proofErr w:type="spellStart"/>
      <w:r w:rsidR="00C17EC3">
        <w:t>Bradlow</w:t>
      </w:r>
      <w:proofErr w:type="spellEnd"/>
      <w:r w:rsidR="00C17EC3">
        <w:t xml:space="preserve"> ET, </w:t>
      </w:r>
      <w:proofErr w:type="spellStart"/>
      <w:r w:rsidR="00C17EC3">
        <w:t>Wainer</w:t>
      </w:r>
      <w:proofErr w:type="spellEnd"/>
      <w:r w:rsidR="00C17EC3">
        <w:t xml:space="preserve"> H and Muller ES,</w:t>
      </w:r>
      <w:r>
        <w:t xml:space="preserve"> ‘A Bayesian method for studying DIF: a cautionary tale filled with surprises and delights’ (2008) 33 Journal of Behavioral and Educational Statistics 363–384</w:t>
      </w:r>
    </w:p>
    <w:p w14:paraId="42B5C605" w14:textId="77777777" w:rsidR="00413229" w:rsidRPr="005A260F" w:rsidRDefault="00413229" w:rsidP="00413229">
      <w:pPr>
        <w:rPr>
          <w:sz w:val="18"/>
        </w:rPr>
      </w:pPr>
    </w:p>
    <w:p w14:paraId="527A991D" w14:textId="1B9910FD" w:rsidR="00413229" w:rsidRDefault="00413229" w:rsidP="00413229">
      <w:r>
        <w:t>Wang X,</w:t>
      </w:r>
      <w:r w:rsidR="00C17EC3" w:rsidRPr="00C17EC3">
        <w:t xml:space="preserve"> </w:t>
      </w:r>
      <w:proofErr w:type="spellStart"/>
      <w:r w:rsidR="00C17EC3">
        <w:t>Bradlow</w:t>
      </w:r>
      <w:proofErr w:type="spellEnd"/>
      <w:r w:rsidR="00C17EC3">
        <w:t xml:space="preserve"> ET and</w:t>
      </w:r>
      <w:r w:rsidR="00C17EC3" w:rsidRPr="00C17EC3">
        <w:t xml:space="preserve"> </w:t>
      </w:r>
      <w:proofErr w:type="spellStart"/>
      <w:r w:rsidR="00C17EC3" w:rsidRPr="00C17EC3">
        <w:t>Wainer</w:t>
      </w:r>
      <w:proofErr w:type="spellEnd"/>
      <w:r w:rsidR="00C17EC3" w:rsidRPr="00C17EC3">
        <w:t xml:space="preserve"> H</w:t>
      </w:r>
      <w:r w:rsidR="00C17EC3">
        <w:t>,</w:t>
      </w:r>
      <w:r>
        <w:t xml:space="preserve"> ‘A general Bayesian model for testlets: theory and applications’ (2002) 26 Applied Psychological Measurement 109–128</w:t>
      </w:r>
    </w:p>
    <w:p w14:paraId="6A9E784D" w14:textId="77777777" w:rsidR="00413229" w:rsidRDefault="00413229" w:rsidP="00413229">
      <w:r>
        <w:lastRenderedPageBreak/>
        <w:t xml:space="preserve">Wells LT, </w:t>
      </w:r>
      <w:r w:rsidRPr="00AD5EBA">
        <w:rPr>
          <w:i/>
        </w:rPr>
        <w:t>Third world multinationals: The rise of foreign investments from developing countries</w:t>
      </w:r>
      <w:r>
        <w:t xml:space="preserve"> (MIT Press Books 1983) </w:t>
      </w:r>
    </w:p>
    <w:p w14:paraId="5C7A2120" w14:textId="77777777" w:rsidR="00413229" w:rsidRPr="005A260F" w:rsidRDefault="00413229" w:rsidP="00413229">
      <w:pPr>
        <w:rPr>
          <w:sz w:val="18"/>
        </w:rPr>
      </w:pPr>
    </w:p>
    <w:p w14:paraId="5455ABD4" w14:textId="77777777" w:rsidR="00413229" w:rsidRDefault="00413229" w:rsidP="00413229">
      <w:r>
        <w:t>Westphal CC and Rother P, ‘The impact of high government debt on economic growth and its channels: An empirical investigation for the euro area.’ (2012) 56 (7) European Economic Review 1392-1405</w:t>
      </w:r>
    </w:p>
    <w:p w14:paraId="75ADD0BC" w14:textId="77777777" w:rsidR="00413229" w:rsidRPr="005A260F" w:rsidRDefault="00413229" w:rsidP="00413229">
      <w:pPr>
        <w:rPr>
          <w:sz w:val="20"/>
        </w:rPr>
      </w:pPr>
    </w:p>
    <w:p w14:paraId="282DABA4" w14:textId="5A2D7088" w:rsidR="00413229" w:rsidRDefault="00413229" w:rsidP="00413229">
      <w:r>
        <w:t xml:space="preserve">Williams VSL, </w:t>
      </w:r>
      <w:proofErr w:type="spellStart"/>
      <w:r w:rsidR="00940A03" w:rsidRPr="00940A03">
        <w:t>Pommerich</w:t>
      </w:r>
      <w:proofErr w:type="spellEnd"/>
      <w:r w:rsidR="00940A03" w:rsidRPr="00940A03">
        <w:t xml:space="preserve"> </w:t>
      </w:r>
      <w:r w:rsidR="00940A03">
        <w:t xml:space="preserve">M and </w:t>
      </w:r>
      <w:proofErr w:type="spellStart"/>
      <w:r w:rsidR="00940A03" w:rsidRPr="00940A03">
        <w:t>Thissen</w:t>
      </w:r>
      <w:proofErr w:type="spellEnd"/>
      <w:r w:rsidR="00940A03" w:rsidRPr="00940A03">
        <w:t xml:space="preserve"> </w:t>
      </w:r>
      <w:r w:rsidR="00940A03">
        <w:t xml:space="preserve">D, </w:t>
      </w:r>
      <w:r>
        <w:t>‘A comparison of developmental scales based on Thurstone methods and item response theory’ (1998) 35 Journal of Educational Measurement 93–107</w:t>
      </w:r>
    </w:p>
    <w:p w14:paraId="7B1E8944" w14:textId="77777777" w:rsidR="00413229" w:rsidRPr="005A260F" w:rsidRDefault="00413229" w:rsidP="00413229">
      <w:pPr>
        <w:rPr>
          <w:sz w:val="20"/>
        </w:rPr>
      </w:pPr>
    </w:p>
    <w:p w14:paraId="5D84FBF9" w14:textId="77777777" w:rsidR="00413229" w:rsidRDefault="00413229" w:rsidP="00413229">
      <w:r>
        <w:t>Williamson OE, ‘Corporate finance and corporate governance’ (1988) 43 (3) The Journal of Finance 567-591</w:t>
      </w:r>
    </w:p>
    <w:p w14:paraId="51C36C7A" w14:textId="77777777" w:rsidR="00413229" w:rsidRPr="005A260F" w:rsidRDefault="00413229" w:rsidP="00413229">
      <w:pPr>
        <w:rPr>
          <w:sz w:val="16"/>
        </w:rPr>
      </w:pPr>
    </w:p>
    <w:p w14:paraId="5125692C" w14:textId="77777777" w:rsidR="00413229" w:rsidRDefault="00413229" w:rsidP="00413229">
      <w:r>
        <w:t>Winnett R, ‘Financial crisis: London stock exchange suffers worst fall in history’ (The Telegraph 6 October 2008) &lt;http://www.telegraph.co.uk/finance/financialcrisis/3147764/Financial-crisis-London-stock-exchange-suffers-worst-fall-in-history.html&gt;</w:t>
      </w:r>
    </w:p>
    <w:p w14:paraId="2340A98F" w14:textId="77777777" w:rsidR="00413229" w:rsidRDefault="00413229" w:rsidP="00413229"/>
    <w:p w14:paraId="02B58DFF" w14:textId="77777777" w:rsidR="00413229" w:rsidRDefault="00413229" w:rsidP="00413229">
      <w:r>
        <w:t xml:space="preserve">Wolde-Rufael Y, ‘Electricity consumption and economic growth: a time series experience for 17 African countries’ (2006) 34 (10) Energy Policy 1106-1114 </w:t>
      </w:r>
    </w:p>
    <w:p w14:paraId="0A152836" w14:textId="77777777" w:rsidR="00413229" w:rsidRDefault="00413229" w:rsidP="00413229"/>
    <w:p w14:paraId="68B4586A" w14:textId="77777777" w:rsidR="00413229" w:rsidRDefault="00413229" w:rsidP="00413229">
      <w:r>
        <w:t>Wong DC, ‘An assessment of corporate governance reforms in the Philippines: 2002-2009’ (2009) 16 Philippine Management Review 24-57 &lt;http://journals.upd.edu.ph/index.php/pmr/article/viewFile/1796/1713&gt;</w:t>
      </w:r>
    </w:p>
    <w:p w14:paraId="69B0BF33" w14:textId="77777777" w:rsidR="00413229" w:rsidRDefault="00413229" w:rsidP="00413229"/>
    <w:p w14:paraId="3CA3FD3D" w14:textId="77777777" w:rsidR="00413229" w:rsidRDefault="00413229" w:rsidP="00413229">
      <w:r>
        <w:t>World Bank, ‘Corporate Governance and Financial Reporting Global Solutions Groups’ (The World Bank, 18 June 2015) &lt; http://www.worldbank.org/en/topic/governance/brief/corporate-governance-and-financial-reporting-global-solutions-groups &gt; accessed 20 June 2015</w:t>
      </w:r>
    </w:p>
    <w:p w14:paraId="7A36F4B5" w14:textId="77777777" w:rsidR="00413229" w:rsidRDefault="00413229" w:rsidP="00413229"/>
    <w:p w14:paraId="2956C502" w14:textId="77777777" w:rsidR="00413229" w:rsidRDefault="00413229" w:rsidP="00413229">
      <w:r>
        <w:t>World Bank, ‘Report on the Observance of  Standards and Codes (ROSC) – Corporate Governance Country Assessment: El Salvador’ (2012) &lt;http://www-</w:t>
      </w:r>
      <w:r>
        <w:lastRenderedPageBreak/>
        <w:t>wds.worldbank.org/external/default/WDSContentServer/WDSP/IB/2014/09/22/000470435_20140922134610/Rendered/PDF/908170ROSC0Box0lvador0201100PUBLIC0.pdf&gt;</w:t>
      </w:r>
    </w:p>
    <w:p w14:paraId="00D09DF2" w14:textId="77777777" w:rsidR="00413229" w:rsidRDefault="00413229" w:rsidP="00413229"/>
    <w:p w14:paraId="5E47F393" w14:textId="77777777" w:rsidR="00413229" w:rsidRDefault="00413229" w:rsidP="00413229">
      <w:r w:rsidRPr="00B14667">
        <w:t>World Bank</w:t>
      </w:r>
      <w:r>
        <w:t>,</w:t>
      </w:r>
      <w:r w:rsidRPr="00B14667">
        <w:t xml:space="preserve"> </w:t>
      </w:r>
      <w:r>
        <w:t>Reports on the Observance of Standards and Codes (ROSC), World Bank &lt;http://www.worldbank.org/ifa/rosc_cg.html#country&gt; accessed 1 June 2013</w:t>
      </w:r>
    </w:p>
    <w:p w14:paraId="0958441F" w14:textId="77777777" w:rsidR="00413229" w:rsidRDefault="00413229" w:rsidP="00413229"/>
    <w:p w14:paraId="1A39FF8D" w14:textId="77777777" w:rsidR="00413229" w:rsidRDefault="00413229" w:rsidP="00413229">
      <w:r>
        <w:t>World Justice Project, WJP Rule of Law Index 2014 at &lt;http://worldjusticeproject.org/rule-of-law-index&gt;</w:t>
      </w:r>
    </w:p>
    <w:p w14:paraId="3E0D9718" w14:textId="77777777" w:rsidR="00413229" w:rsidRDefault="00413229" w:rsidP="00413229"/>
    <w:p w14:paraId="2A6A4983" w14:textId="264995A6" w:rsidR="00413229" w:rsidRDefault="00413229" w:rsidP="00413229">
      <w:r>
        <w:t xml:space="preserve">Yang L and Maskus KE, ‘Intellectual Property Rights, Technology Transfer and Exports in Developing Countries’ (2008) CESifo Working Paper Series No. 2464 </w:t>
      </w:r>
      <w:r w:rsidR="00940A03">
        <w:t>also published at (2009) 90 (2) Journal of Development Economics 231-236</w:t>
      </w:r>
    </w:p>
    <w:p w14:paraId="4A92FF9B" w14:textId="77777777" w:rsidR="00413229" w:rsidRDefault="00413229" w:rsidP="00413229"/>
    <w:p w14:paraId="0464AF0F" w14:textId="77777777" w:rsidR="00413229" w:rsidRDefault="00413229" w:rsidP="00413229">
      <w:r>
        <w:t>Yen WM and Burket GR, ‘Comparison of item response theory and Thurstone methods of vertical scaling’ (1997) 34 Journal of Educational Measurement 293–313</w:t>
      </w:r>
    </w:p>
    <w:p w14:paraId="259C8C72" w14:textId="77777777" w:rsidR="00413229" w:rsidRDefault="00413229" w:rsidP="00413229"/>
    <w:p w14:paraId="01C4BB86" w14:textId="77777777" w:rsidR="00413229" w:rsidRDefault="00413229" w:rsidP="00413229">
      <w:r>
        <w:t xml:space="preserve">Yeyati EL, Schmukler SL and Horen NV, ‘The price of inconvertible deposits: the stock market boom during the Argentine crisis’ (2004) 83 Economic Letters 7-13 &lt;http://siteresources.worldbank.org/DEC/Resources/LevyYeyati-Schmukler-VanHoren-ADRsandCrises.pdf &gt; </w:t>
      </w:r>
    </w:p>
    <w:p w14:paraId="735AA971" w14:textId="77777777" w:rsidR="00413229" w:rsidRDefault="00413229" w:rsidP="00413229"/>
    <w:p w14:paraId="782342DE" w14:textId="77777777" w:rsidR="00413229" w:rsidRDefault="00413229" w:rsidP="00413229">
      <w:r>
        <w:t xml:space="preserve">Yu M, ‘Moving up the value chain in manufacturing for China’ in Yiping Huang and Juzhong Zhuang (eds.) </w:t>
      </w:r>
      <w:r w:rsidRPr="00AD5EBA">
        <w:rPr>
          <w:i/>
        </w:rPr>
        <w:t>Can PRC escape the middle-income trap</w:t>
      </w:r>
      <w:r>
        <w:t xml:space="preserve"> (2011) </w:t>
      </w:r>
    </w:p>
    <w:p w14:paraId="7BC9484A" w14:textId="77777777" w:rsidR="00413229" w:rsidRDefault="00413229" w:rsidP="00413229"/>
    <w:p w14:paraId="73E732A5" w14:textId="77777777" w:rsidR="00413229" w:rsidRDefault="00413229" w:rsidP="00413229">
      <w:r>
        <w:t>Yuan J et al., ‘Electricity consumption and economic growth in China: cointegration and co-feature analysis.’ (2007) 29 (6) Energy Economics 1179-1191</w:t>
      </w:r>
    </w:p>
    <w:p w14:paraId="078ED636" w14:textId="77777777" w:rsidR="00413229" w:rsidRDefault="00413229" w:rsidP="00413229"/>
    <w:p w14:paraId="0DBC893F" w14:textId="77777777" w:rsidR="00413229" w:rsidRDefault="00413229" w:rsidP="00413229">
      <w:r>
        <w:t>Yun H, ‘The choice of corporate liquidity and corporate governance’ (2009) 22 (4) Review of Financial Studies 1447-1475</w:t>
      </w:r>
    </w:p>
    <w:p w14:paraId="14E9EF23" w14:textId="77777777" w:rsidR="00413229" w:rsidRDefault="00413229" w:rsidP="00413229"/>
    <w:p w14:paraId="6D87BC7F" w14:textId="77777777" w:rsidR="00413229" w:rsidRDefault="00413229" w:rsidP="00413229">
      <w:r>
        <w:lastRenderedPageBreak/>
        <w:t>Zhang Y, ‘Income Inequality and Asset Prices: A Cross-Country Study’ (2013) working paper available at &lt;http://dx.doi.org/10.2139/ssrn.2021287&gt;</w:t>
      </w:r>
    </w:p>
    <w:p w14:paraId="0B57497A" w14:textId="77777777" w:rsidR="00413229" w:rsidRDefault="00413229" w:rsidP="00413229"/>
    <w:p w14:paraId="2EAA9208" w14:textId="77777777" w:rsidR="00413229" w:rsidRDefault="00413229" w:rsidP="00413229">
      <w:r>
        <w:t xml:space="preserve">Zingales L, ‘The Value of the Voting Right: a Study of the Milan Stock Exchange Experience’ (1994) The Review of Financial Studies 125-148 </w:t>
      </w:r>
    </w:p>
    <w:p w14:paraId="60B10609" w14:textId="77777777" w:rsidR="00413229" w:rsidRDefault="00413229" w:rsidP="00413229">
      <w:r w:rsidRPr="00930DFC">
        <w:t xml:space="preserve">— — </w:t>
      </w:r>
      <w:r>
        <w:t xml:space="preserve"> ‘What Determines the Value of Corporate Votes?’ (1995) 110 Quarterly Journal of Economics 1075-1110</w:t>
      </w:r>
    </w:p>
    <w:p w14:paraId="02416BE7" w14:textId="77777777" w:rsidR="00413229" w:rsidRDefault="00413229" w:rsidP="00413229">
      <w:pPr>
        <w:spacing w:line="480" w:lineRule="auto"/>
        <w:rPr>
          <w:rFonts w:cs="Times New Roman"/>
        </w:rPr>
      </w:pPr>
    </w:p>
    <w:p w14:paraId="3EA222D6" w14:textId="77777777" w:rsidR="00503F42" w:rsidRPr="00AC1055" w:rsidRDefault="00503F42" w:rsidP="00AC1055">
      <w:pPr>
        <w:spacing w:line="480" w:lineRule="auto"/>
        <w:rPr>
          <w:rFonts w:cs="Times New Roman"/>
        </w:rPr>
      </w:pPr>
    </w:p>
    <w:sectPr w:rsidR="00503F42" w:rsidRPr="00AC1055" w:rsidSect="006A535D">
      <w:headerReference w:type="default" r:id="rId154"/>
      <w:footerReference w:type="default" r:id="rId155"/>
      <w:pgSz w:w="11906" w:h="16838"/>
      <w:pgMar w:top="1440" w:right="1440" w:bottom="1440" w:left="2268"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2F881" w14:textId="77777777" w:rsidR="00CD4EF9" w:rsidRDefault="00CD4EF9" w:rsidP="003E11A9">
      <w:pPr>
        <w:spacing w:line="240" w:lineRule="auto"/>
      </w:pPr>
      <w:r>
        <w:separator/>
      </w:r>
    </w:p>
  </w:endnote>
  <w:endnote w:type="continuationSeparator" w:id="0">
    <w:p w14:paraId="584F6AC7" w14:textId="77777777" w:rsidR="00CD4EF9" w:rsidRDefault="00CD4EF9" w:rsidP="003E11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489156"/>
      <w:docPartObj>
        <w:docPartGallery w:val="Page Numbers (Bottom of Page)"/>
        <w:docPartUnique/>
      </w:docPartObj>
    </w:sdtPr>
    <w:sdtEndPr>
      <w:rPr>
        <w:noProof/>
      </w:rPr>
    </w:sdtEndPr>
    <w:sdtContent>
      <w:p w14:paraId="6E4A4E26" w14:textId="77777777" w:rsidR="005A260F" w:rsidRDefault="005A260F">
        <w:pPr>
          <w:pStyle w:val="Footer"/>
          <w:jc w:val="center"/>
        </w:pPr>
        <w:r>
          <w:fldChar w:fldCharType="begin"/>
        </w:r>
        <w:r>
          <w:instrText xml:space="preserve"> PAGE   \* MERGEFORMAT </w:instrText>
        </w:r>
        <w:r>
          <w:fldChar w:fldCharType="separate"/>
        </w:r>
        <w:r w:rsidR="00B461CE">
          <w:rPr>
            <w:noProof/>
          </w:rPr>
          <w:t>165</w:t>
        </w:r>
        <w:r>
          <w:rPr>
            <w:noProof/>
          </w:rPr>
          <w:fldChar w:fldCharType="end"/>
        </w:r>
      </w:p>
    </w:sdtContent>
  </w:sdt>
  <w:p w14:paraId="33A4E8FD" w14:textId="77777777" w:rsidR="005A260F" w:rsidRDefault="005A26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673005"/>
      <w:docPartObj>
        <w:docPartGallery w:val="Page Numbers (Bottom of Page)"/>
        <w:docPartUnique/>
      </w:docPartObj>
    </w:sdtPr>
    <w:sdtEndPr>
      <w:rPr>
        <w:noProof/>
      </w:rPr>
    </w:sdtEndPr>
    <w:sdtContent>
      <w:p w14:paraId="66F2F194" w14:textId="77777777" w:rsidR="005A260F" w:rsidRDefault="005A260F">
        <w:pPr>
          <w:pStyle w:val="Footer"/>
          <w:jc w:val="center"/>
        </w:pPr>
        <w:r>
          <w:fldChar w:fldCharType="begin"/>
        </w:r>
        <w:r>
          <w:instrText xml:space="preserve"> PAGE   \* MERGEFORMAT </w:instrText>
        </w:r>
        <w:r>
          <w:fldChar w:fldCharType="separate"/>
        </w:r>
        <w:r w:rsidR="00B461CE">
          <w:rPr>
            <w:noProof/>
          </w:rPr>
          <w:t>177</w:t>
        </w:r>
        <w:r>
          <w:rPr>
            <w:noProof/>
          </w:rPr>
          <w:fldChar w:fldCharType="end"/>
        </w:r>
      </w:p>
    </w:sdtContent>
  </w:sdt>
  <w:p w14:paraId="112AA996" w14:textId="77777777" w:rsidR="005A260F" w:rsidRDefault="005A260F">
    <w:pPr>
      <w:pStyle w:val="Footer"/>
    </w:pPr>
  </w:p>
  <w:p w14:paraId="2CB8ABC5" w14:textId="77777777" w:rsidR="005A260F" w:rsidRDefault="005A26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788929"/>
      <w:docPartObj>
        <w:docPartGallery w:val="Page Numbers (Bottom of Page)"/>
        <w:docPartUnique/>
      </w:docPartObj>
    </w:sdtPr>
    <w:sdtEndPr>
      <w:rPr>
        <w:noProof/>
      </w:rPr>
    </w:sdtEndPr>
    <w:sdtContent>
      <w:p w14:paraId="51F9A2F1" w14:textId="77777777" w:rsidR="005A260F" w:rsidRDefault="005A260F">
        <w:pPr>
          <w:pStyle w:val="Footer"/>
          <w:jc w:val="center"/>
        </w:pPr>
        <w:r>
          <w:fldChar w:fldCharType="begin"/>
        </w:r>
        <w:r>
          <w:instrText xml:space="preserve"> PAGE   \* MERGEFORMAT </w:instrText>
        </w:r>
        <w:r>
          <w:fldChar w:fldCharType="separate"/>
        </w:r>
        <w:r w:rsidR="00B461CE">
          <w:rPr>
            <w:noProof/>
          </w:rPr>
          <w:t>271</w:t>
        </w:r>
        <w:r>
          <w:rPr>
            <w:noProof/>
          </w:rPr>
          <w:fldChar w:fldCharType="end"/>
        </w:r>
      </w:p>
    </w:sdtContent>
  </w:sdt>
  <w:p w14:paraId="70ECC878" w14:textId="77777777" w:rsidR="005A260F" w:rsidRDefault="005A260F">
    <w:pPr>
      <w:pStyle w:val="Footer"/>
    </w:pPr>
  </w:p>
  <w:p w14:paraId="46D3AA64" w14:textId="77777777" w:rsidR="005A260F" w:rsidRDefault="005A260F"/>
  <w:p w14:paraId="5F5194F8" w14:textId="77777777" w:rsidR="005A260F" w:rsidRDefault="005A26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AFE0A" w14:textId="77777777" w:rsidR="00CD4EF9" w:rsidRDefault="00CD4EF9" w:rsidP="003E11A9">
      <w:pPr>
        <w:spacing w:line="240" w:lineRule="auto"/>
      </w:pPr>
      <w:r>
        <w:separator/>
      </w:r>
    </w:p>
  </w:footnote>
  <w:footnote w:type="continuationSeparator" w:id="0">
    <w:p w14:paraId="7D433D68" w14:textId="77777777" w:rsidR="00CD4EF9" w:rsidRDefault="00CD4EF9" w:rsidP="003E11A9">
      <w:pPr>
        <w:spacing w:line="240" w:lineRule="auto"/>
      </w:pPr>
      <w:r>
        <w:continuationSeparator/>
      </w:r>
    </w:p>
  </w:footnote>
  <w:footnote w:id="1">
    <w:p w14:paraId="31ECCA52" w14:textId="77777777" w:rsidR="005A260F" w:rsidRDefault="005A260F" w:rsidP="007662C3">
      <w:pPr>
        <w:pStyle w:val="FootnoteText"/>
      </w:pPr>
      <w:r>
        <w:rPr>
          <w:rStyle w:val="FootnoteReference"/>
        </w:rPr>
        <w:footnoteRef/>
      </w:r>
      <w:r>
        <w:t xml:space="preserve"> The 1999 Memorandum of Understanding between the World Bank and OECD, establishing the framework for the Latin American Roundtable among a series of Regional Corporate Governance Roundtables</w:t>
      </w:r>
    </w:p>
  </w:footnote>
  <w:footnote w:id="2">
    <w:p w14:paraId="641A74EB" w14:textId="77777777" w:rsidR="005A260F" w:rsidRDefault="005A260F" w:rsidP="007662C3">
      <w:pPr>
        <w:pStyle w:val="FootnoteText"/>
      </w:pPr>
      <w:r>
        <w:rPr>
          <w:rStyle w:val="FootnoteReference"/>
        </w:rPr>
        <w:footnoteRef/>
      </w:r>
      <w:r>
        <w:t xml:space="preserve"> UNCTAD, ‘Guidance on good practices in corporate governance disclosure’ </w:t>
      </w:r>
      <w:r w:rsidRPr="00407825">
        <w:t>UNCTAD/ITE/TEB/2006/3</w:t>
      </w:r>
    </w:p>
  </w:footnote>
  <w:footnote w:id="3">
    <w:p w14:paraId="614B4D1C" w14:textId="31937F84" w:rsidR="005A260F" w:rsidRDefault="005A260F">
      <w:pPr>
        <w:pStyle w:val="FootnoteText"/>
      </w:pPr>
      <w:r>
        <w:rPr>
          <w:rStyle w:val="FootnoteReference"/>
        </w:rPr>
        <w:footnoteRef/>
      </w:r>
      <w:r>
        <w:t xml:space="preserve"> See generally </w:t>
      </w:r>
      <w:r w:rsidRPr="00103203">
        <w:t xml:space="preserve">Holger </w:t>
      </w:r>
      <w:proofErr w:type="spellStart"/>
      <w:r w:rsidRPr="00103203">
        <w:t>Spamann</w:t>
      </w:r>
      <w:proofErr w:type="spellEnd"/>
      <w:r>
        <w:t>, ‘</w:t>
      </w:r>
      <w:r w:rsidRPr="00103203">
        <w:t>Empirical Comparative Law</w:t>
      </w:r>
      <w:r>
        <w:t xml:space="preserve">’ (2015) 11 </w:t>
      </w:r>
      <w:r w:rsidRPr="00103203">
        <w:t>Annual Review of Law and Social Science</w:t>
      </w:r>
      <w:r>
        <w:t xml:space="preserve"> 131; working paper available at &lt;</w:t>
      </w:r>
      <w:hyperlink r:id="rId1" w:history="1">
        <w:r w:rsidRPr="004F5BB8">
          <w:rPr>
            <w:rStyle w:val="Hyperlink"/>
          </w:rPr>
          <w:t>http://papers.ssrn.com/sol3/papers.cfm</w:t>
        </w:r>
      </w:hyperlink>
      <w:r w:rsidRPr="00103203">
        <w:t>?</w:t>
      </w:r>
      <w:r>
        <w:t xml:space="preserve"> </w:t>
      </w:r>
      <w:proofErr w:type="spellStart"/>
      <w:r w:rsidRPr="00103203">
        <w:t>abstract_id</w:t>
      </w:r>
      <w:proofErr w:type="spellEnd"/>
      <w:r w:rsidRPr="00103203">
        <w:t>=2577350</w:t>
      </w:r>
      <w:r>
        <w:t>&gt;</w:t>
      </w:r>
    </w:p>
  </w:footnote>
  <w:footnote w:id="4">
    <w:p w14:paraId="66043FFF" w14:textId="2DAC9C29"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See generally Adam Smith, </w:t>
      </w:r>
      <w:r w:rsidRPr="00AC1055">
        <w:rPr>
          <w:rFonts w:cs="Times New Roman"/>
          <w:i/>
        </w:rPr>
        <w:t>An Inquiry into the Nature and Causes of the Wealth of Nations</w:t>
      </w:r>
      <w:r w:rsidRPr="00AC1055">
        <w:rPr>
          <w:rFonts w:cs="Times New Roman"/>
        </w:rPr>
        <w:t xml:space="preserve"> (1776) Book V, Ch.1, Para 18 </w:t>
      </w:r>
    </w:p>
  </w:footnote>
  <w:footnote w:id="5">
    <w:p w14:paraId="4C1817AA" w14:textId="77777777" w:rsidR="005A260F" w:rsidRPr="00AC1055" w:rsidRDefault="005A260F" w:rsidP="003E11A9">
      <w:pPr>
        <w:pStyle w:val="FootnoteText"/>
        <w:rPr>
          <w:rFonts w:cs="Times New Roman"/>
        </w:rPr>
      </w:pPr>
      <w:r w:rsidRPr="00AC1055">
        <w:rPr>
          <w:rStyle w:val="FootnoteReference"/>
          <w:rFonts w:cs="Times New Roman"/>
        </w:rPr>
        <w:footnoteRef/>
      </w:r>
      <w:r w:rsidRPr="00AC1055">
        <w:rPr>
          <w:rFonts w:cs="Times New Roman"/>
        </w:rPr>
        <w:t xml:space="preserve"> See generally Adolf </w:t>
      </w:r>
      <w:proofErr w:type="spellStart"/>
      <w:r w:rsidRPr="00AC1055">
        <w:rPr>
          <w:rFonts w:cs="Times New Roman"/>
        </w:rPr>
        <w:t>Berle</w:t>
      </w:r>
      <w:proofErr w:type="spellEnd"/>
      <w:r w:rsidRPr="00AC1055">
        <w:rPr>
          <w:rFonts w:cs="Times New Roman"/>
        </w:rPr>
        <w:t xml:space="preserve"> and Gardiner Means, </w:t>
      </w:r>
      <w:r w:rsidRPr="00AC1055">
        <w:rPr>
          <w:rFonts w:cs="Times New Roman"/>
          <w:i/>
        </w:rPr>
        <w:t>The Modern Corporation and Private Property</w:t>
      </w:r>
      <w:r w:rsidRPr="00AC1055">
        <w:rPr>
          <w:rFonts w:cs="Times New Roman"/>
        </w:rPr>
        <w:t xml:space="preserve"> (First published 1932, Reprint edition, Transaction Publishers 1991)</w:t>
      </w:r>
    </w:p>
  </w:footnote>
  <w:footnote w:id="6">
    <w:p w14:paraId="5350C287"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A literature review of research articles from 1970-1990 would show that influential papers like Bernhard </w:t>
      </w:r>
      <w:proofErr w:type="spellStart"/>
      <w:r w:rsidRPr="00AC1055">
        <w:rPr>
          <w:rFonts w:cs="Times New Roman"/>
        </w:rPr>
        <w:t>Grossfeld</w:t>
      </w:r>
      <w:proofErr w:type="spellEnd"/>
      <w:r w:rsidRPr="00AC1055">
        <w:rPr>
          <w:rFonts w:cs="Times New Roman"/>
        </w:rPr>
        <w:t xml:space="preserve"> and Werner </w:t>
      </w:r>
      <w:proofErr w:type="spellStart"/>
      <w:r w:rsidRPr="00AC1055">
        <w:rPr>
          <w:rFonts w:cs="Times New Roman"/>
        </w:rPr>
        <w:t>Ebke</w:t>
      </w:r>
      <w:proofErr w:type="spellEnd"/>
      <w:r w:rsidRPr="00AC1055">
        <w:rPr>
          <w:rFonts w:cs="Times New Roman"/>
        </w:rPr>
        <w:t xml:space="preserve">, ‘Controlling the Modern Corporation: A Comparative View of Corporate Power in the United States and Europe’ (1978) 26 (3) American Journal of Comparative Law 397-433; Jonathan </w:t>
      </w:r>
      <w:proofErr w:type="spellStart"/>
      <w:r w:rsidRPr="00AC1055">
        <w:rPr>
          <w:rFonts w:cs="Times New Roman"/>
        </w:rPr>
        <w:t>Charkham</w:t>
      </w:r>
      <w:proofErr w:type="spellEnd"/>
      <w:r w:rsidRPr="00AC1055">
        <w:rPr>
          <w:rFonts w:cs="Times New Roman"/>
        </w:rPr>
        <w:t xml:space="preserve">, The American Corporation and the Institutional Investor: Are There Lessons from Abroad: Hands Across Sea (1988) 3 Columbia Business Law Review 765-774; Margaret Maureen Samuel, ‘International Financial Markets and Regulation of Trading of International Equities’ (1989) 19 (2) California Western International Law Journal 327-382; </w:t>
      </w:r>
      <w:proofErr w:type="spellStart"/>
      <w:r w:rsidRPr="00AC1055">
        <w:rPr>
          <w:rFonts w:cs="Times New Roman"/>
        </w:rPr>
        <w:t>Vratislav</w:t>
      </w:r>
      <w:proofErr w:type="spellEnd"/>
      <w:r w:rsidRPr="00AC1055">
        <w:rPr>
          <w:rFonts w:cs="Times New Roman"/>
        </w:rPr>
        <w:t xml:space="preserve"> </w:t>
      </w:r>
      <w:proofErr w:type="spellStart"/>
      <w:r w:rsidRPr="00AC1055">
        <w:rPr>
          <w:rFonts w:cs="Times New Roman"/>
        </w:rPr>
        <w:t>Pechota</w:t>
      </w:r>
      <w:proofErr w:type="spellEnd"/>
      <w:r w:rsidRPr="00AC1055">
        <w:rPr>
          <w:rFonts w:cs="Times New Roman"/>
        </w:rPr>
        <w:t xml:space="preserve">, ‘Developments in Foreign and Comparative Law’ (1985) 24 (1) Columbia Journal of Transnational Law 191-230; Werner F. </w:t>
      </w:r>
      <w:proofErr w:type="spellStart"/>
      <w:r w:rsidRPr="00AC1055">
        <w:rPr>
          <w:rFonts w:cs="Times New Roman"/>
        </w:rPr>
        <w:t>Ebke</w:t>
      </w:r>
      <w:proofErr w:type="spellEnd"/>
      <w:r w:rsidRPr="00AC1055">
        <w:rPr>
          <w:rFonts w:cs="Times New Roman"/>
        </w:rPr>
        <w:t xml:space="preserve">, ‘In Search of Alternatives: Comparative Reflections on Corporate Governance and the Independent Auditor's Responsibilities’ (1984-85) 79 (4) </w:t>
      </w:r>
      <w:proofErr w:type="spellStart"/>
      <w:r w:rsidRPr="00AC1055">
        <w:rPr>
          <w:rFonts w:cs="Times New Roman"/>
        </w:rPr>
        <w:t>Northwestern</w:t>
      </w:r>
      <w:proofErr w:type="spellEnd"/>
      <w:r w:rsidRPr="00AC1055">
        <w:rPr>
          <w:rFonts w:cs="Times New Roman"/>
        </w:rPr>
        <w:t xml:space="preserve"> University Law Review 663-720 </w:t>
      </w:r>
    </w:p>
  </w:footnote>
  <w:footnote w:id="7">
    <w:p w14:paraId="5C4392DA"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Financial Reporting Council, </w:t>
      </w:r>
      <w:r w:rsidRPr="00AC1055">
        <w:rPr>
          <w:rFonts w:cs="Times New Roman"/>
          <w:i/>
        </w:rPr>
        <w:t>Report of the Committee on the Financial Aspects of Corporate Governance</w:t>
      </w:r>
      <w:r w:rsidRPr="00AC1055">
        <w:rPr>
          <w:rFonts w:cs="Times New Roman"/>
        </w:rPr>
        <w:t xml:space="preserve"> (Cadbury Report) (1992)</w:t>
      </w:r>
    </w:p>
  </w:footnote>
  <w:footnote w:id="8">
    <w:p w14:paraId="27659EEC"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See generally Lucian </w:t>
      </w:r>
      <w:proofErr w:type="spellStart"/>
      <w:r w:rsidRPr="00AC1055">
        <w:rPr>
          <w:rFonts w:cs="Times New Roman"/>
        </w:rPr>
        <w:t>Bebchuk</w:t>
      </w:r>
      <w:proofErr w:type="spellEnd"/>
      <w:r w:rsidRPr="00AC1055">
        <w:rPr>
          <w:rFonts w:cs="Times New Roman"/>
        </w:rPr>
        <w:t xml:space="preserve">, ‘Efficient and Inefficient Sales of Corporate Control’ (1994) Quarterly Journal of Economics 957-994; Lucian </w:t>
      </w:r>
      <w:proofErr w:type="spellStart"/>
      <w:r w:rsidRPr="00AC1055">
        <w:rPr>
          <w:rFonts w:cs="Times New Roman"/>
        </w:rPr>
        <w:t>Bebchuk</w:t>
      </w:r>
      <w:proofErr w:type="spellEnd"/>
      <w:r w:rsidRPr="00AC1055">
        <w:rPr>
          <w:rFonts w:cs="Times New Roman"/>
        </w:rPr>
        <w:t xml:space="preserve"> and Luigi Zingales, ‘Corporate Ownership Structures: Private vs. Social Optimality’ (1995) Working Paper Series, University of Chicago; Denis </w:t>
      </w:r>
      <w:proofErr w:type="spellStart"/>
      <w:r w:rsidRPr="00AC1055">
        <w:rPr>
          <w:rFonts w:cs="Times New Roman"/>
        </w:rPr>
        <w:t>Gromb</w:t>
      </w:r>
      <w:proofErr w:type="spellEnd"/>
      <w:r w:rsidRPr="00AC1055">
        <w:rPr>
          <w:rFonts w:cs="Times New Roman"/>
        </w:rPr>
        <w:t>, ‘Is One-share-One-vote Optimal?’ (1993) Working Paper Series, LSE; Luigi Zingales, ‘The Value of the Voting Right: a Study of the Milan Stock Exchange Experience’ (1994) The Review of Financial Studies 125-148; Luigi Zingales, ‘What Determines the Value of Corporate Votes?’ (1995) 110 Quarterly Journal of Economics 1075-1110.</w:t>
      </w:r>
    </w:p>
  </w:footnote>
  <w:footnote w:id="9">
    <w:p w14:paraId="008E8287"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La Porta et al., ‘Law and Finance’ (1996) NBER Working Paper 5661, 3</w:t>
      </w:r>
    </w:p>
  </w:footnote>
  <w:footnote w:id="10">
    <w:p w14:paraId="763230C2"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Pr>
          <w:rFonts w:cs="Times New Roman"/>
        </w:rPr>
        <w:t xml:space="preserve"> La Porta</w:t>
      </w:r>
      <w:r w:rsidRPr="00AC1055">
        <w:rPr>
          <w:rFonts w:cs="Times New Roman"/>
        </w:rPr>
        <w:t xml:space="preserve"> et al., ‘Legal Determinants of External Finance’ (1997) 52 (3) Journal</w:t>
      </w:r>
      <w:r>
        <w:rPr>
          <w:rFonts w:cs="Times New Roman"/>
        </w:rPr>
        <w:t xml:space="preserve"> of Finance 1131-1150; La Porta</w:t>
      </w:r>
      <w:r w:rsidRPr="00AC1055">
        <w:rPr>
          <w:rFonts w:cs="Times New Roman"/>
        </w:rPr>
        <w:t xml:space="preserve"> et al., ‘Law and Finance’ (1998) Journal of Political Economy 1113-1155; </w:t>
      </w:r>
      <w:r w:rsidRPr="00D830D0">
        <w:rPr>
          <w:rFonts w:cs="Times New Roman"/>
        </w:rPr>
        <w:t>La Porta et al., ‘</w:t>
      </w:r>
      <w:r w:rsidRPr="00D830D0">
        <w:rPr>
          <w:rFonts w:cs="Times New Roman"/>
          <w:iCs/>
        </w:rPr>
        <w:t xml:space="preserve">Investor Protection and Corporate Governance’ (2000) 58 </w:t>
      </w:r>
      <w:r w:rsidRPr="00D830D0">
        <w:rPr>
          <w:rFonts w:cs="Times New Roman"/>
        </w:rPr>
        <w:t xml:space="preserve">J. Fin. </w:t>
      </w:r>
      <w:r w:rsidRPr="00AC1055">
        <w:rPr>
          <w:rFonts w:cs="Times New Roman"/>
        </w:rPr>
        <w:t xml:space="preserve">Econ. 3 </w:t>
      </w:r>
      <w:r w:rsidRPr="00AC1055">
        <w:rPr>
          <w:rFonts w:cs="Times New Roman"/>
          <w:iCs/>
        </w:rPr>
        <w:t xml:space="preserve">&lt;http://ssrn.com/abstract=183908&gt;; </w:t>
      </w:r>
      <w:r w:rsidRPr="00AC1055">
        <w:rPr>
          <w:rFonts w:cs="Times New Roman"/>
        </w:rPr>
        <w:t>La Porta et al., ‘Do institutions cause growth’ (2005) Journal of Economic Growth 271; La Porta et al., ‘What Works in Securities Laws’ (2006) Journal of Finance 1-32; La Porta et al., ‘The Economic Consequences of Legal Origins’ (2008) 46 (2) Journal of Economic Literature 285-332</w:t>
      </w:r>
    </w:p>
  </w:footnote>
  <w:footnote w:id="11">
    <w:p w14:paraId="7E8579C3" w14:textId="12CFE7CE" w:rsidR="005A260F" w:rsidRPr="00A02B86" w:rsidRDefault="005A260F" w:rsidP="003E11A9">
      <w:pPr>
        <w:pStyle w:val="FootnoteText"/>
        <w:contextualSpacing/>
        <w:rPr>
          <w:rFonts w:cs="Times New Roman"/>
          <w:lang w:val="it-IT"/>
        </w:rPr>
      </w:pPr>
      <w:r w:rsidRPr="00AC1055">
        <w:rPr>
          <w:rStyle w:val="FootnoteReference"/>
          <w:rFonts w:cs="Times New Roman"/>
        </w:rPr>
        <w:footnoteRef/>
      </w:r>
      <w:r w:rsidRPr="00A02B86">
        <w:rPr>
          <w:rFonts w:cs="Times New Roman"/>
          <w:lang w:val="it-IT"/>
        </w:rPr>
        <w:t xml:space="preserve"> La Porta et al. (n </w:t>
      </w:r>
      <w:r>
        <w:rPr>
          <w:rFonts w:cs="Times New Roman"/>
          <w:lang w:val="it-IT"/>
        </w:rPr>
        <w:t>9</w:t>
      </w:r>
      <w:r w:rsidRPr="00A02B86">
        <w:rPr>
          <w:rFonts w:cs="Times New Roman"/>
          <w:lang w:val="it-IT"/>
        </w:rPr>
        <w:t>) 5</w:t>
      </w:r>
    </w:p>
  </w:footnote>
  <w:footnote w:id="12">
    <w:p w14:paraId="619D19CF"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ibid Table 1</w:t>
      </w:r>
    </w:p>
  </w:footnote>
  <w:footnote w:id="13">
    <w:p w14:paraId="62F410A9"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Equals 1 if the Company Law or Commercial Code of the country requires that ordinary shares carry one vote per share, and 0 otherwise, Equivalently, this variable equals 1 when the law prohibits the existence of both multiple-voting and non-voting ordinary shares and does not allow firms to set a maximum number of votes per shareholder irrespective of the number of shares owned, and 0 otherwise.</w:t>
      </w:r>
    </w:p>
  </w:footnote>
  <w:footnote w:id="14">
    <w:p w14:paraId="483003E7"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Equals 1 if the company law or commercial code allows shareholders to mail their proxy vote, and 0 otherwise</w:t>
      </w:r>
    </w:p>
  </w:footnote>
  <w:footnote w:id="15">
    <w:p w14:paraId="75128CF5"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Equals 1 if the company law or commercial code allows firms to require that shareholders deposit their shares prior to a General Shareholders Meeting thus preventing them from selling those shares for a number of days and 0 otherwise.</w:t>
      </w:r>
    </w:p>
  </w:footnote>
  <w:footnote w:id="16">
    <w:p w14:paraId="63B67D40"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Equals 1 if the company law or commercial code allows shareholders to cast all of their votes for one candidate standing for election to the board of directors, and 0 otherwise</w:t>
      </w:r>
    </w:p>
  </w:footnote>
  <w:footnote w:id="17">
    <w:p w14:paraId="6AEFEFF7"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Equals 1 if the company law or commercial code grants minority shareholders either a judicial venue to challenge the management decisions or the right to step out of the company by requiring the company to purchase their shares when they object to certain fundamental changes, such as mergers, asset dispositions and changes in the articles of incorporation. The variable equals 0 otherwise.</w:t>
      </w:r>
    </w:p>
  </w:footnote>
  <w:footnote w:id="18">
    <w:p w14:paraId="11D5D044"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It is the minimum percentage of ownership of share capital that entitles a shareholder to call for an Extraordinary Shareholders’ Meeting. It ranges from 1 to 33%</w:t>
      </w:r>
    </w:p>
  </w:footnote>
  <w:footnote w:id="19">
    <w:p w14:paraId="52A38C28" w14:textId="77777777" w:rsidR="005A260F" w:rsidRPr="00AC1055" w:rsidRDefault="005A260F" w:rsidP="003E11A9">
      <w:pPr>
        <w:spacing w:line="240" w:lineRule="auto"/>
        <w:contextualSpacing/>
        <w:rPr>
          <w:rFonts w:cs="Times New Roman"/>
          <w:sz w:val="20"/>
          <w:szCs w:val="20"/>
        </w:rPr>
      </w:pPr>
      <w:r w:rsidRPr="00AC1055">
        <w:rPr>
          <w:rStyle w:val="FootnoteReference"/>
          <w:rFonts w:cs="Times New Roman"/>
          <w:sz w:val="20"/>
          <w:szCs w:val="20"/>
        </w:rPr>
        <w:footnoteRef/>
      </w:r>
      <w:r w:rsidRPr="00AC1055">
        <w:rPr>
          <w:rFonts w:cs="Times New Roman"/>
          <w:sz w:val="20"/>
          <w:szCs w:val="20"/>
        </w:rPr>
        <w:t xml:space="preserve"> An index aggregating the shareholder rights which La Porta et al. labelled as “anti-director rights.” </w:t>
      </w:r>
    </w:p>
    <w:p w14:paraId="6744B0FF" w14:textId="77777777" w:rsidR="005A260F" w:rsidRPr="00AC1055" w:rsidRDefault="005A260F" w:rsidP="003E11A9">
      <w:pPr>
        <w:pStyle w:val="FootnoteText"/>
        <w:contextualSpacing/>
        <w:rPr>
          <w:rFonts w:cs="Times New Roman"/>
        </w:rPr>
      </w:pPr>
      <w:r w:rsidRPr="00AC1055">
        <w:rPr>
          <w:rFonts w:cs="Times New Roman"/>
        </w:rPr>
        <w:t>The index is formed by adding 1 when: (1) the country allows shareholders to mail their proxy votes (2) shareholders are not required to deposit their shares prior to the General Shareholders’ Meeting; (3) cumulative voting is allowed; (4) an oppressed minorities mechanism is in place; or (5) when the minimum % of share capital that entitles a shareholder to call for an Extraordinary Shareholders’ Meeting is less than or equal to 10% (the sample median). The index ranges from 0 to 5.</w:t>
      </w:r>
    </w:p>
  </w:footnote>
  <w:footnote w:id="20">
    <w:p w14:paraId="51471801"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Equals the percentage of net income that the company law or commercial code requires firms to distribute as dividends among ordinary stockholders. It takes a value of 0 for countries without such restriction.</w:t>
      </w:r>
    </w:p>
  </w:footnote>
  <w:footnote w:id="21">
    <w:p w14:paraId="2F70B163"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Equals 1 if the reorganization procedure imposes restrictions, such as creditors’ consent to file for reorganization. It equals 0 if there are no such restrictions.</w:t>
      </w:r>
    </w:p>
  </w:footnote>
  <w:footnote w:id="22">
    <w:p w14:paraId="1151E056"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Equals 1 if the reorganisation procedures imposes an automatic stay on the assets of the firm upon filing the organization petition, This restriction prevents secured creditors to gain possession of their security, It equal 0 if such restriction does not exist in the</w:t>
      </w:r>
    </w:p>
    <w:p w14:paraId="0D17EDA8" w14:textId="77777777" w:rsidR="005A260F" w:rsidRPr="00AC1055" w:rsidRDefault="005A260F" w:rsidP="003E11A9">
      <w:pPr>
        <w:pStyle w:val="FootnoteText"/>
        <w:contextualSpacing/>
        <w:rPr>
          <w:rFonts w:cs="Times New Roman"/>
        </w:rPr>
      </w:pPr>
      <w:r w:rsidRPr="00AC1055">
        <w:rPr>
          <w:rFonts w:cs="Times New Roman"/>
        </w:rPr>
        <w:t>law</w:t>
      </w:r>
    </w:p>
  </w:footnote>
  <w:footnote w:id="23">
    <w:p w14:paraId="6A04F229"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Equals 1 if secured creditors are ranked first in the distribution of the proceeds that result from the disposition of the assets of a bankrupt firm. Equals 0 if non-secured creditors, such as the Government and workers, are given absolute priority</w:t>
      </w:r>
    </w:p>
  </w:footnote>
  <w:footnote w:id="24">
    <w:p w14:paraId="5ACB0E92" w14:textId="77777777" w:rsidR="005A260F" w:rsidRPr="00AC1055" w:rsidRDefault="005A260F" w:rsidP="003E11A9">
      <w:pPr>
        <w:pStyle w:val="FootnoteText"/>
        <w:rPr>
          <w:rFonts w:cs="Times New Roman"/>
        </w:rPr>
      </w:pPr>
      <w:r w:rsidRPr="00AC1055">
        <w:rPr>
          <w:rStyle w:val="FootnoteReference"/>
          <w:rFonts w:cs="Times New Roman"/>
        </w:rPr>
        <w:footnoteRef/>
      </w:r>
      <w:r w:rsidRPr="00AC1055">
        <w:rPr>
          <w:rFonts w:cs="Times New Roman"/>
        </w:rPr>
        <w:t xml:space="preserve"> Equals 1 if the debtor keeps the administration of its property pending the resolution of the reorganization process, and 0 otherwise. Equivalently, this variable equals 0 when an official appointed by the court or by the creditors, is responsible for the operation of the business during reorganization</w:t>
      </w:r>
    </w:p>
  </w:footnote>
  <w:footnote w:id="25">
    <w:p w14:paraId="3AFAE4A9" w14:textId="77777777" w:rsidR="005A260F" w:rsidRPr="00AC1055" w:rsidRDefault="005A260F" w:rsidP="003E11A9">
      <w:pPr>
        <w:pStyle w:val="FootnoteText"/>
        <w:rPr>
          <w:rFonts w:cs="Times New Roman"/>
        </w:rPr>
      </w:pPr>
      <w:r w:rsidRPr="00AC1055">
        <w:rPr>
          <w:rStyle w:val="FootnoteReference"/>
          <w:rFonts w:cs="Times New Roman"/>
        </w:rPr>
        <w:footnoteRef/>
      </w:r>
      <w:r w:rsidRPr="00AC1055">
        <w:rPr>
          <w:rFonts w:cs="Times New Roman"/>
        </w:rPr>
        <w:t xml:space="preserve"> It is the percentage of total share capital mandated by corporate law to avoid the dissolution of an existing firm. It takes a value of 0 for countries without such restriction.</w:t>
      </w:r>
    </w:p>
  </w:footnote>
  <w:footnote w:id="26">
    <w:p w14:paraId="4622F745" w14:textId="77777777" w:rsidR="005A260F" w:rsidRPr="00AC1055" w:rsidRDefault="005A260F" w:rsidP="003E11A9">
      <w:pPr>
        <w:pStyle w:val="FootnoteText"/>
        <w:rPr>
          <w:rFonts w:cs="Times New Roman"/>
        </w:rPr>
      </w:pPr>
      <w:r w:rsidRPr="00AC1055">
        <w:rPr>
          <w:rStyle w:val="FootnoteReference"/>
          <w:rFonts w:cs="Times New Roman"/>
        </w:rPr>
        <w:footnoteRef/>
      </w:r>
      <w:r w:rsidRPr="00AC1055">
        <w:rPr>
          <w:rFonts w:cs="Times New Roman"/>
        </w:rPr>
        <w:t xml:space="preserve"> International Country Risk’s assessment of the risk of “outright confiscation” or “forced nationalization”. International Country Risk Average of the months of April and October of the monthly index between 1982 and 1995. Scale from 0 to 10, with lower scores for higher risks</w:t>
      </w:r>
    </w:p>
  </w:footnote>
  <w:footnote w:id="27">
    <w:p w14:paraId="4674DDAB" w14:textId="77777777" w:rsidR="005A260F" w:rsidRPr="00AC1055" w:rsidRDefault="005A260F" w:rsidP="003E11A9">
      <w:pPr>
        <w:pStyle w:val="FootnoteText"/>
        <w:rPr>
          <w:rFonts w:cs="Times New Roman"/>
        </w:rPr>
      </w:pPr>
      <w:r w:rsidRPr="00AC1055">
        <w:rPr>
          <w:rStyle w:val="FootnoteReference"/>
          <w:rFonts w:cs="Times New Roman"/>
        </w:rPr>
        <w:footnoteRef/>
      </w:r>
      <w:r w:rsidRPr="00AC1055">
        <w:rPr>
          <w:rFonts w:cs="Times New Roman"/>
        </w:rPr>
        <w:t xml:space="preserve"> Index created by examining and rating companies’ 1990 annual reports on their inclusion or omission of 90 items. These items fall into 7 categories (general and Auditing Trends, information, income statements, balance sheets, funds flow statement, accounting standards, stock data and special items). A minimum of 3 companies in each country were studied. The companies represent a cross-section of various industry groups where industrial companies numbered 70% while financial companies represented the remaining 30%.</w:t>
      </w:r>
    </w:p>
  </w:footnote>
  <w:footnote w:id="28">
    <w:p w14:paraId="0C68CD87" w14:textId="77777777" w:rsidR="005A260F" w:rsidRPr="00AC1055" w:rsidRDefault="005A260F" w:rsidP="003E11A9">
      <w:pPr>
        <w:pStyle w:val="FootnoteText"/>
        <w:rPr>
          <w:rFonts w:cs="Times New Roman"/>
        </w:rPr>
      </w:pPr>
      <w:r w:rsidRPr="00AC1055">
        <w:rPr>
          <w:rStyle w:val="FootnoteReference"/>
          <w:rFonts w:cs="Times New Roman"/>
        </w:rPr>
        <w:footnoteRef/>
      </w:r>
      <w:r w:rsidRPr="00AC1055">
        <w:rPr>
          <w:rFonts w:cs="Times New Roman"/>
        </w:rPr>
        <w:t xml:space="preserve"> International Country Risk’s assessment</w:t>
      </w:r>
      <w:r w:rsidRPr="00AC1055">
        <w:rPr>
          <w:rStyle w:val="FootnoteReference"/>
          <w:rFonts w:cs="Times New Roman"/>
        </w:rPr>
        <w:footnoteRef/>
      </w:r>
      <w:r w:rsidRPr="00AC1055">
        <w:rPr>
          <w:rFonts w:cs="Times New Roman"/>
        </w:rPr>
        <w:t xml:space="preserve"> of the “risk of a modification in a contract taking the form of a repudiation, postponement or scaling down” due to “budget cutbacks, indigenization pressure, a change in government or a change in government economic and social priorities.” Average of the months of April and October of tie monthly index between 1982 and 1995. Scale from 0 to 10, with lower scores for higher risks.</w:t>
      </w:r>
    </w:p>
  </w:footnote>
  <w:footnote w:id="29">
    <w:p w14:paraId="2BA176CE" w14:textId="4CFC8D45" w:rsidR="005A260F" w:rsidRPr="00373675" w:rsidRDefault="005A260F" w:rsidP="003E11A9">
      <w:pPr>
        <w:pStyle w:val="FootnoteText"/>
        <w:contextualSpacing/>
        <w:rPr>
          <w:rFonts w:cs="Times New Roman"/>
          <w:lang w:val="it-IT"/>
        </w:rPr>
      </w:pPr>
      <w:r w:rsidRPr="00AC1055">
        <w:rPr>
          <w:rStyle w:val="FootnoteReference"/>
          <w:rFonts w:cs="Times New Roman"/>
        </w:rPr>
        <w:footnoteRef/>
      </w:r>
      <w:r>
        <w:rPr>
          <w:rFonts w:cs="Times New Roman"/>
        </w:rPr>
        <w:t xml:space="preserve"> See La Porta et al. </w:t>
      </w:r>
      <w:r w:rsidRPr="00373675">
        <w:rPr>
          <w:rFonts w:cs="Times New Roman"/>
          <w:lang w:val="it-IT"/>
        </w:rPr>
        <w:t xml:space="preserve">(n </w:t>
      </w:r>
      <w:r>
        <w:rPr>
          <w:rFonts w:cs="Times New Roman"/>
          <w:lang w:val="it-IT"/>
        </w:rPr>
        <w:t>10</w:t>
      </w:r>
      <w:r w:rsidRPr="00373675">
        <w:rPr>
          <w:rFonts w:cs="Times New Roman"/>
          <w:lang w:val="it-IT"/>
        </w:rPr>
        <w:t>)</w:t>
      </w:r>
    </w:p>
  </w:footnote>
  <w:footnote w:id="30">
    <w:p w14:paraId="6C57909A" w14:textId="0FC47C31" w:rsidR="005A260F" w:rsidRPr="00AC1055" w:rsidRDefault="005A260F" w:rsidP="003E11A9">
      <w:pPr>
        <w:pStyle w:val="FootnoteText"/>
        <w:contextualSpacing/>
        <w:rPr>
          <w:rFonts w:cs="Times New Roman"/>
        </w:rPr>
      </w:pPr>
      <w:r w:rsidRPr="00AC1055">
        <w:rPr>
          <w:rStyle w:val="FootnoteReference"/>
          <w:rFonts w:cs="Times New Roman"/>
        </w:rPr>
        <w:footnoteRef/>
      </w:r>
      <w:r w:rsidRPr="00D830D0">
        <w:rPr>
          <w:rFonts w:cs="Times New Roman"/>
          <w:lang w:val="it-IT"/>
        </w:rPr>
        <w:t xml:space="preserve"> La Porta et al. </w:t>
      </w:r>
      <w:r>
        <w:rPr>
          <w:rFonts w:cs="Times New Roman"/>
          <w:lang w:val="it-IT"/>
        </w:rPr>
        <w:t>(</w:t>
      </w:r>
      <w:r w:rsidRPr="00D830D0">
        <w:rPr>
          <w:rFonts w:cs="Times New Roman"/>
          <w:lang w:val="it-IT"/>
        </w:rPr>
        <w:t>2000</w:t>
      </w:r>
      <w:r>
        <w:rPr>
          <w:rFonts w:cs="Times New Roman"/>
          <w:lang w:val="it-IT"/>
        </w:rPr>
        <w:t>)</w:t>
      </w:r>
      <w:r w:rsidRPr="00D830D0">
        <w:rPr>
          <w:rFonts w:cs="Times New Roman"/>
          <w:lang w:val="it-IT"/>
        </w:rPr>
        <w:t xml:space="preserve"> (n </w:t>
      </w:r>
      <w:r>
        <w:rPr>
          <w:rFonts w:cs="Times New Roman"/>
          <w:lang w:val="it-IT"/>
        </w:rPr>
        <w:t>10</w:t>
      </w:r>
      <w:r w:rsidRPr="00D830D0">
        <w:rPr>
          <w:rFonts w:cs="Times New Roman"/>
          <w:lang w:val="it-IT"/>
        </w:rPr>
        <w:t xml:space="preserve">) 10,11. </w:t>
      </w:r>
      <w:r w:rsidRPr="00AC1055">
        <w:rPr>
          <w:rFonts w:cs="Times New Roman"/>
        </w:rPr>
        <w:t>Anti-director rights index - Proxy by mail, Shares not blocked before meeting, Cumulative voting/proportional representation, Oppressed minority, Pre-emptive right to new issues, % Share of capital to call and ESM ≤ 10%; Creditor rights index - No automatic stay on secured assets, Secured creditors first, Paid restrictions for going into reorganization, Management does not stay in reorganization; Enforcement - Efficiency of the judicial system, Corruption, Accounting standards</w:t>
      </w:r>
    </w:p>
  </w:footnote>
  <w:footnote w:id="31">
    <w:p w14:paraId="765366FE" w14:textId="7469AD9C"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See generally Ulrike </w:t>
      </w:r>
      <w:proofErr w:type="spellStart"/>
      <w:r w:rsidRPr="00AC1055">
        <w:rPr>
          <w:rFonts w:cs="Times New Roman"/>
        </w:rPr>
        <w:t>Malmendier</w:t>
      </w:r>
      <w:proofErr w:type="spellEnd"/>
      <w:r w:rsidRPr="00AC1055">
        <w:rPr>
          <w:rFonts w:cs="Times New Roman"/>
        </w:rPr>
        <w:t xml:space="preserve">, ‘Roman Law and the Law-and-Finance Debate’ &lt;http://emlab.berkeley.edu/~ulrike/Papers/JELDraft70.pdf&gt;; Katharina </w:t>
      </w:r>
      <w:proofErr w:type="spellStart"/>
      <w:r w:rsidRPr="00AC1055">
        <w:rPr>
          <w:rFonts w:cs="Times New Roman"/>
        </w:rPr>
        <w:t>Pistor</w:t>
      </w:r>
      <w:proofErr w:type="spellEnd"/>
      <w:r w:rsidRPr="00AC1055">
        <w:rPr>
          <w:rFonts w:cs="Times New Roman"/>
        </w:rPr>
        <w:t>, ‘Rethinking the “Law and Finance” Paradigm’ (2009) Brigham University Law Review 1647; John Armour</w:t>
      </w:r>
      <w:r>
        <w:rPr>
          <w:rFonts w:cs="Times New Roman"/>
        </w:rPr>
        <w:t>, Simon Deakin</w:t>
      </w:r>
      <w:r w:rsidRPr="00AC1055">
        <w:rPr>
          <w:rFonts w:cs="Times New Roman"/>
        </w:rPr>
        <w:t xml:space="preserve"> et al., ‘How Do Legal Rules Evolve? Evidence from a Cross-</w:t>
      </w:r>
      <w:proofErr w:type="spellStart"/>
      <w:r w:rsidRPr="00AC1055">
        <w:rPr>
          <w:rFonts w:cs="Times New Roman"/>
        </w:rPr>
        <w:t>Coun</w:t>
      </w:r>
      <w:proofErr w:type="spellEnd"/>
      <w:r w:rsidRPr="00AC1055">
        <w:rPr>
          <w:rFonts w:cs="Times New Roman"/>
        </w:rPr>
        <w:t xml:space="preserve"> try Comparison of Shareholder, Creditor and Worker Protection’ (2009) 57 American Journal of Comparative Law 579; Ralf </w:t>
      </w:r>
      <w:proofErr w:type="spellStart"/>
      <w:r w:rsidRPr="00AC1055">
        <w:rPr>
          <w:rFonts w:cs="Times New Roman"/>
        </w:rPr>
        <w:t>Micheals</w:t>
      </w:r>
      <w:proofErr w:type="spellEnd"/>
      <w:r w:rsidRPr="00AC1055">
        <w:rPr>
          <w:rFonts w:cs="Times New Roman"/>
        </w:rPr>
        <w:t>, ‘Comparative Law by Numbers? Legal Origins Thesis, Doing Business Reports, and the Silence of Traditional Comparative Law’ (2009) 57 (4) The American Journal of Comparative Law 765; John Reitz, ‘Legal Origins, Comparative Law, and Political Economy’ (2009) 57 (4) The American Journal of Comparative Law 847-862</w:t>
      </w:r>
    </w:p>
  </w:footnote>
  <w:footnote w:id="32">
    <w:p w14:paraId="78A312A2" w14:textId="270B2AFF"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Simeon </w:t>
      </w:r>
      <w:proofErr w:type="spellStart"/>
      <w:r w:rsidRPr="00AC1055">
        <w:rPr>
          <w:rFonts w:cs="Times New Roman"/>
        </w:rPr>
        <w:t>Djankov</w:t>
      </w:r>
      <w:proofErr w:type="spellEnd"/>
      <w:r w:rsidRPr="00AC1055">
        <w:rPr>
          <w:rFonts w:cs="Times New Roman"/>
        </w:rPr>
        <w:t xml:space="preserve"> et al., ‘The Law and Economics of Self-Dealing’ (2005) &lt;http://papers.ssrn.com/sol3/papers.cfm?abstract_id=864645&gt;</w:t>
      </w:r>
      <w:r>
        <w:rPr>
          <w:rFonts w:cs="Times New Roman"/>
        </w:rPr>
        <w:t xml:space="preserve"> </w:t>
      </w:r>
      <w:r w:rsidRPr="00A64156">
        <w:rPr>
          <w:rFonts w:cs="Times New Roman"/>
        </w:rPr>
        <w:t>published at (2008) 88 (3) Journal of Financial Economics 430</w:t>
      </w:r>
      <w:r w:rsidRPr="00AC1055">
        <w:rPr>
          <w:rFonts w:cs="Times New Roman"/>
        </w:rPr>
        <w:t xml:space="preserve">; Holger </w:t>
      </w:r>
      <w:proofErr w:type="spellStart"/>
      <w:r w:rsidRPr="00AC1055">
        <w:rPr>
          <w:rFonts w:cs="Times New Roman"/>
        </w:rPr>
        <w:t>Spamann</w:t>
      </w:r>
      <w:proofErr w:type="spellEnd"/>
      <w:r w:rsidRPr="00AC1055">
        <w:rPr>
          <w:rFonts w:cs="Times New Roman"/>
        </w:rPr>
        <w:t>, ‘On the Insignificance and/or Endogeneity of La Porta et al.’s ‘</w:t>
      </w:r>
      <w:proofErr w:type="spellStart"/>
      <w:r w:rsidRPr="00AC1055">
        <w:rPr>
          <w:rFonts w:cs="Times New Roman"/>
        </w:rPr>
        <w:t>Antidirector</w:t>
      </w:r>
      <w:proofErr w:type="spellEnd"/>
      <w:r w:rsidRPr="00AC1055">
        <w:rPr>
          <w:rFonts w:cs="Times New Roman"/>
        </w:rPr>
        <w:t xml:space="preserve"> Rights Index’ under Consistent Coding’ Harvard Law School Discussion Paper No. 7 (2006) &lt; http://papers.ssrn.com/sol3/papers.cfm?abstract_id=894301&gt;</w:t>
      </w:r>
    </w:p>
  </w:footnote>
  <w:footnote w:id="33">
    <w:p w14:paraId="230ED481" w14:textId="7FDD1B65" w:rsidR="005A260F" w:rsidRPr="00D830D0" w:rsidRDefault="005A260F" w:rsidP="003E11A9">
      <w:pPr>
        <w:pStyle w:val="FootnoteText"/>
        <w:contextualSpacing/>
        <w:rPr>
          <w:rFonts w:cs="Times New Roman"/>
          <w:lang w:val="it-IT"/>
        </w:rPr>
      </w:pPr>
      <w:r w:rsidRPr="00AC1055">
        <w:rPr>
          <w:rStyle w:val="FootnoteReference"/>
          <w:rFonts w:cs="Times New Roman"/>
        </w:rPr>
        <w:footnoteRef/>
      </w:r>
      <w:r w:rsidRPr="00D830D0">
        <w:rPr>
          <w:rFonts w:cs="Times New Roman"/>
          <w:lang w:val="it-IT"/>
        </w:rPr>
        <w:t xml:space="preserve"> Spamann (n 3</w:t>
      </w:r>
      <w:r>
        <w:rPr>
          <w:rFonts w:cs="Times New Roman"/>
          <w:lang w:val="it-IT"/>
        </w:rPr>
        <w:t>2</w:t>
      </w:r>
      <w:r w:rsidRPr="00D830D0">
        <w:rPr>
          <w:rFonts w:cs="Times New Roman"/>
          <w:lang w:val="it-IT"/>
        </w:rPr>
        <w:t>) 69</w:t>
      </w:r>
    </w:p>
  </w:footnote>
  <w:footnote w:id="34">
    <w:p w14:paraId="0AFB11E3" w14:textId="6070E95A" w:rsidR="005A260F" w:rsidRPr="00AC1055" w:rsidRDefault="005A260F" w:rsidP="003E11A9">
      <w:pPr>
        <w:pStyle w:val="FootnoteText"/>
        <w:contextualSpacing/>
        <w:rPr>
          <w:rFonts w:cs="Times New Roman"/>
        </w:rPr>
      </w:pPr>
      <w:r w:rsidRPr="00AC1055">
        <w:rPr>
          <w:rStyle w:val="FootnoteReference"/>
          <w:rFonts w:cs="Times New Roman"/>
        </w:rPr>
        <w:footnoteRef/>
      </w:r>
      <w:r w:rsidRPr="00D830D0">
        <w:rPr>
          <w:rFonts w:cs="Times New Roman"/>
          <w:lang w:val="it-IT"/>
        </w:rPr>
        <w:t xml:space="preserve"> See generally La Porta et al. </w:t>
      </w:r>
      <w:r w:rsidRPr="00AC1055">
        <w:rPr>
          <w:rFonts w:cs="Times New Roman"/>
        </w:rPr>
        <w:t xml:space="preserve">(2006) </w:t>
      </w:r>
      <w:r>
        <w:rPr>
          <w:rFonts w:cs="Times New Roman"/>
        </w:rPr>
        <w:t>(n 10</w:t>
      </w:r>
      <w:r w:rsidRPr="00AC1055">
        <w:rPr>
          <w:rFonts w:cs="Times New Roman"/>
        </w:rPr>
        <w:t>)</w:t>
      </w:r>
    </w:p>
  </w:footnote>
  <w:footnote w:id="35">
    <w:p w14:paraId="5CE9EDB5"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Holger </w:t>
      </w:r>
      <w:proofErr w:type="spellStart"/>
      <w:r w:rsidRPr="00AC1055">
        <w:rPr>
          <w:rFonts w:cs="Times New Roman"/>
        </w:rPr>
        <w:t>Spamann</w:t>
      </w:r>
      <w:proofErr w:type="spellEnd"/>
      <w:r w:rsidRPr="00AC1055">
        <w:rPr>
          <w:rFonts w:cs="Times New Roman"/>
        </w:rPr>
        <w:t>, ‘The “</w:t>
      </w:r>
      <w:proofErr w:type="spellStart"/>
      <w:r w:rsidRPr="00AC1055">
        <w:rPr>
          <w:rFonts w:cs="Times New Roman"/>
        </w:rPr>
        <w:t>Antidirector</w:t>
      </w:r>
      <w:proofErr w:type="spellEnd"/>
      <w:r w:rsidRPr="00AC1055">
        <w:rPr>
          <w:rFonts w:cs="Times New Roman"/>
        </w:rPr>
        <w:t xml:space="preserve"> Rights Index” Revisited’ (2010) 23 (2) The Review of Financial Studies 467, 471</w:t>
      </w:r>
    </w:p>
  </w:footnote>
  <w:footnote w:id="36">
    <w:p w14:paraId="15511418"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Reports on the Observance of Standards and Codes (ROSC), World Bank &lt;http://www.worldbank.org/ifa/rosc_cg.html#country&gt; accessed 1 June 2013</w:t>
      </w:r>
    </w:p>
  </w:footnote>
  <w:footnote w:id="37">
    <w:p w14:paraId="627CA04D" w14:textId="2C5112C2"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Ruth V. Aguilera and Cynthia A. Williams, ‘Law and Finance: Inaccurate, Incomplete, and Important’ (2009) Illinois Public Law Research Paper No. 09-20 &lt; http://papers.ssrn.com/sol3/papers.cfm?abstract_id=1523895&gt;</w:t>
      </w:r>
      <w:r>
        <w:rPr>
          <w:rFonts w:cs="Times New Roman"/>
        </w:rPr>
        <w:t xml:space="preserve"> published at </w:t>
      </w:r>
      <w:r w:rsidRPr="000F4B19">
        <w:rPr>
          <w:rFonts w:cs="Times New Roman"/>
        </w:rPr>
        <w:t>(2009) 6 Brigham Young University Law Review 1413</w:t>
      </w:r>
    </w:p>
  </w:footnote>
  <w:footnote w:id="38">
    <w:p w14:paraId="621EA407" w14:textId="66B4FEAE" w:rsidR="005A260F" w:rsidRPr="00AC1055" w:rsidRDefault="005A260F" w:rsidP="003E11A9">
      <w:pPr>
        <w:pStyle w:val="FootnoteText"/>
        <w:contextualSpacing/>
        <w:rPr>
          <w:rFonts w:cs="Times New Roman"/>
        </w:rPr>
      </w:pPr>
      <w:r w:rsidRPr="00AC1055">
        <w:rPr>
          <w:rStyle w:val="FootnoteReference"/>
          <w:rFonts w:cs="Times New Roman"/>
        </w:rPr>
        <w:footnoteRef/>
      </w:r>
      <w:r>
        <w:rPr>
          <w:rFonts w:cs="Times New Roman"/>
        </w:rPr>
        <w:t xml:space="preserve"> </w:t>
      </w:r>
      <w:proofErr w:type="spellStart"/>
      <w:r>
        <w:rPr>
          <w:rFonts w:cs="Times New Roman"/>
        </w:rPr>
        <w:t>Djankov</w:t>
      </w:r>
      <w:proofErr w:type="spellEnd"/>
      <w:r>
        <w:rPr>
          <w:rFonts w:cs="Times New Roman"/>
        </w:rPr>
        <w:t xml:space="preserve"> et al. (n 32</w:t>
      </w:r>
      <w:r w:rsidRPr="00AC1055">
        <w:rPr>
          <w:rFonts w:cs="Times New Roman"/>
        </w:rPr>
        <w:t>)</w:t>
      </w:r>
    </w:p>
  </w:footnote>
  <w:footnote w:id="39">
    <w:p w14:paraId="4C879CA0" w14:textId="488FF643" w:rsidR="005A260F" w:rsidRPr="00AC1055" w:rsidRDefault="005A260F" w:rsidP="003E11A9">
      <w:pPr>
        <w:pStyle w:val="FootnoteText"/>
        <w:contextualSpacing/>
        <w:rPr>
          <w:rFonts w:cs="Times New Roman"/>
        </w:rPr>
      </w:pPr>
      <w:r w:rsidRPr="00AC1055">
        <w:rPr>
          <w:rStyle w:val="FootnoteReference"/>
          <w:rFonts w:cs="Times New Roman"/>
        </w:rPr>
        <w:footnoteRef/>
      </w:r>
      <w:r>
        <w:rPr>
          <w:rFonts w:cs="Times New Roman"/>
        </w:rPr>
        <w:t xml:space="preserve"> </w:t>
      </w:r>
      <w:r w:rsidRPr="00AC1055">
        <w:rPr>
          <w:rFonts w:cs="Times New Roman"/>
        </w:rPr>
        <w:t xml:space="preserve">Paul Gompers, Joy Ishii and Andrew </w:t>
      </w:r>
      <w:proofErr w:type="spellStart"/>
      <w:r w:rsidRPr="00AC1055">
        <w:rPr>
          <w:rFonts w:cs="Times New Roman"/>
        </w:rPr>
        <w:t>Metrick</w:t>
      </w:r>
      <w:proofErr w:type="spellEnd"/>
      <w:r w:rsidRPr="00AC1055">
        <w:rPr>
          <w:rFonts w:cs="Times New Roman"/>
        </w:rPr>
        <w:t>, ‘Corporate governanc</w:t>
      </w:r>
      <w:r>
        <w:rPr>
          <w:rFonts w:cs="Times New Roman"/>
        </w:rPr>
        <w:t xml:space="preserve">e and equity price’ (2003) 118 </w:t>
      </w:r>
      <w:r w:rsidRPr="00AC1055">
        <w:rPr>
          <w:rFonts w:cs="Times New Roman"/>
        </w:rPr>
        <w:t xml:space="preserve">(1) Quarterly Journal of Economics 107 working paper available at &lt; http://www.boardoptions.com/governancearticle.pdf&gt; </w:t>
      </w:r>
    </w:p>
  </w:footnote>
  <w:footnote w:id="40">
    <w:p w14:paraId="0990782D"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ibid Table 1 and Appendix A</w:t>
      </w:r>
    </w:p>
  </w:footnote>
  <w:footnote w:id="41">
    <w:p w14:paraId="065F05DB"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ibid working paper 10</w:t>
      </w:r>
    </w:p>
  </w:footnote>
  <w:footnote w:id="42">
    <w:p w14:paraId="06705C2F" w14:textId="231683AE"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See generally L </w:t>
      </w:r>
      <w:proofErr w:type="spellStart"/>
      <w:r w:rsidRPr="00AC1055">
        <w:rPr>
          <w:rFonts w:cs="Times New Roman"/>
        </w:rPr>
        <w:t>Bebchuk</w:t>
      </w:r>
      <w:proofErr w:type="spellEnd"/>
      <w:r w:rsidRPr="00AC1055">
        <w:rPr>
          <w:rFonts w:cs="Times New Roman"/>
        </w:rPr>
        <w:t xml:space="preserve"> et al., ‘What matters in Corporate Governance?’ (2004) Harvard Law School John M. Olin </w:t>
      </w:r>
      <w:proofErr w:type="spellStart"/>
      <w:r w:rsidRPr="00AC1055">
        <w:rPr>
          <w:rFonts w:cs="Times New Roman"/>
        </w:rPr>
        <w:t>Center</w:t>
      </w:r>
      <w:proofErr w:type="spellEnd"/>
      <w:r w:rsidRPr="00AC1055">
        <w:rPr>
          <w:rFonts w:cs="Times New Roman"/>
        </w:rPr>
        <w:t xml:space="preserve"> Discussion Paper No. 491</w:t>
      </w:r>
      <w:r>
        <w:rPr>
          <w:rFonts w:cs="Times New Roman"/>
        </w:rPr>
        <w:t xml:space="preserve"> later published at </w:t>
      </w:r>
      <w:r w:rsidRPr="00F07045">
        <w:rPr>
          <w:rFonts w:cs="Times New Roman"/>
        </w:rPr>
        <w:t>(2009) 22 (2) Review of Financial Studies 783</w:t>
      </w:r>
      <w:r w:rsidRPr="00AC1055">
        <w:rPr>
          <w:rFonts w:cs="Times New Roman"/>
        </w:rPr>
        <w:t xml:space="preserve">; </w:t>
      </w:r>
      <w:r w:rsidRPr="0013452B">
        <w:rPr>
          <w:rFonts w:cs="Times New Roman"/>
        </w:rPr>
        <w:t xml:space="preserve">Wolfgang </w:t>
      </w:r>
      <w:proofErr w:type="spellStart"/>
      <w:r w:rsidRPr="0013452B">
        <w:rPr>
          <w:rFonts w:cs="Times New Roman"/>
        </w:rPr>
        <w:t>Drobetz</w:t>
      </w:r>
      <w:proofErr w:type="spellEnd"/>
      <w:r w:rsidRPr="0013452B">
        <w:rPr>
          <w:rFonts w:cs="Times New Roman"/>
        </w:rPr>
        <w:t xml:space="preserve">, Andreas </w:t>
      </w:r>
      <w:proofErr w:type="spellStart"/>
      <w:r w:rsidRPr="0013452B">
        <w:rPr>
          <w:rFonts w:cs="Times New Roman"/>
        </w:rPr>
        <w:t>Schillhofer</w:t>
      </w:r>
      <w:proofErr w:type="spellEnd"/>
      <w:r w:rsidRPr="0013452B">
        <w:rPr>
          <w:rFonts w:cs="Times New Roman"/>
        </w:rPr>
        <w:t xml:space="preserve"> and Heinz Zimmermann</w:t>
      </w:r>
      <w:r w:rsidRPr="00AC1055">
        <w:rPr>
          <w:rFonts w:cs="Times New Roman"/>
        </w:rPr>
        <w:t xml:space="preserve">, ‘Corporate Governance and Expected Stock Returns: Evidence from Germany’ (2004) 10 (2) European Financial Management 267-293; P </w:t>
      </w:r>
      <w:proofErr w:type="spellStart"/>
      <w:r w:rsidRPr="00AC1055">
        <w:rPr>
          <w:rFonts w:cs="Times New Roman"/>
        </w:rPr>
        <w:t>Mohanty</w:t>
      </w:r>
      <w:proofErr w:type="spellEnd"/>
      <w:r w:rsidRPr="00AC1055">
        <w:rPr>
          <w:rFonts w:cs="Times New Roman"/>
        </w:rPr>
        <w:t xml:space="preserve">, ‘Institutional Investors and Corporate Governance in India’ (2004) available at &lt;http://ssrn.com/abstract=353820&gt;; S </w:t>
      </w:r>
      <w:proofErr w:type="spellStart"/>
      <w:r w:rsidRPr="00AC1055">
        <w:rPr>
          <w:rFonts w:cs="Times New Roman"/>
        </w:rPr>
        <w:t>Beiner</w:t>
      </w:r>
      <w:proofErr w:type="spellEnd"/>
      <w:r w:rsidRPr="00AC1055">
        <w:rPr>
          <w:rFonts w:cs="Times New Roman"/>
        </w:rPr>
        <w:t xml:space="preserve"> et al., ‘An Integrated Framework of Corporate Governance and Firm Valuation-Evidence from Switzerland’ (2004) European Corporate Governance Institute Working Paper No. 34/2004</w:t>
      </w:r>
      <w:r>
        <w:rPr>
          <w:rFonts w:cs="Times New Roman"/>
        </w:rPr>
        <w:t xml:space="preserve"> </w:t>
      </w:r>
      <w:r w:rsidRPr="00933F22">
        <w:rPr>
          <w:rFonts w:cs="Times New Roman"/>
        </w:rPr>
        <w:t>later published at (2006) 12 (2) European Financial Management 149-283</w:t>
      </w:r>
      <w:r w:rsidRPr="00AC1055">
        <w:rPr>
          <w:rFonts w:cs="Times New Roman"/>
        </w:rPr>
        <w:t>; Y Cheung et al., ‘Do Investors really value Corporate Governance? Evidence from the Hong Kong Market’ (2005) HKIMR Working Paper No. 22/2005</w:t>
      </w:r>
      <w:r>
        <w:rPr>
          <w:rFonts w:cs="Times New Roman"/>
        </w:rPr>
        <w:t xml:space="preserve"> </w:t>
      </w:r>
      <w:r w:rsidRPr="00C90A78">
        <w:rPr>
          <w:rFonts w:cs="Times New Roman"/>
        </w:rPr>
        <w:t>published at (2007) 18 (2) Journal of International Financial Management &amp; Accounting 86</w:t>
      </w:r>
      <w:r w:rsidRPr="00AC1055">
        <w:rPr>
          <w:rFonts w:cs="Times New Roman"/>
        </w:rPr>
        <w:t xml:space="preserve">; B Black et al., ‘Predicting Firms’ Corporate Governance Choices: Evidence from Korea’ (2006) 12 Journal of Corporate Finance 660-691; B Black et al., ‘How Corporate Governance affects Firm Value: Evidence on Channels from Korea’ (2009) available at &lt;http://ssrn.com/abstract=844744&gt;; M </w:t>
      </w:r>
      <w:proofErr w:type="spellStart"/>
      <w:r w:rsidRPr="00AC1055">
        <w:rPr>
          <w:rFonts w:cs="Times New Roman"/>
        </w:rPr>
        <w:t>Ertugrual</w:t>
      </w:r>
      <w:proofErr w:type="spellEnd"/>
      <w:r w:rsidRPr="00AC1055">
        <w:rPr>
          <w:rFonts w:cs="Times New Roman"/>
        </w:rPr>
        <w:t xml:space="preserve"> and S Hedge, ‘Corporate Governance Ratings and Firm Performance’ (2009) Financial Management 139-160; </w:t>
      </w:r>
      <w:r w:rsidRPr="00B029B2">
        <w:rPr>
          <w:rFonts w:cs="Times New Roman"/>
        </w:rPr>
        <w:t xml:space="preserve">Annelies Renders, Ann </w:t>
      </w:r>
      <w:proofErr w:type="spellStart"/>
      <w:r w:rsidRPr="00B029B2">
        <w:rPr>
          <w:rFonts w:cs="Times New Roman"/>
        </w:rPr>
        <w:t>Gaeremynck</w:t>
      </w:r>
      <w:proofErr w:type="spellEnd"/>
      <w:r w:rsidRPr="00B029B2">
        <w:rPr>
          <w:rFonts w:cs="Times New Roman"/>
        </w:rPr>
        <w:t xml:space="preserve"> and Piet </w:t>
      </w:r>
      <w:proofErr w:type="spellStart"/>
      <w:r w:rsidRPr="00B029B2">
        <w:rPr>
          <w:rFonts w:cs="Times New Roman"/>
        </w:rPr>
        <w:t>Sercu</w:t>
      </w:r>
      <w:proofErr w:type="spellEnd"/>
      <w:r w:rsidRPr="00AC1055">
        <w:rPr>
          <w:rFonts w:cs="Times New Roman"/>
        </w:rPr>
        <w:t xml:space="preserve">, ‘Corporate-Governance Ratings and Company Performance: A Cross-European Study’ (2010) 18 (2) Corporate Governance: An International Review 87-106; Pankaj </w:t>
      </w:r>
      <w:proofErr w:type="spellStart"/>
      <w:r w:rsidRPr="00AC1055">
        <w:rPr>
          <w:rFonts w:cs="Times New Roman"/>
        </w:rPr>
        <w:t>Varshney</w:t>
      </w:r>
      <w:proofErr w:type="spellEnd"/>
      <w:r w:rsidRPr="00AC1055">
        <w:rPr>
          <w:rFonts w:cs="Times New Roman"/>
        </w:rPr>
        <w:t xml:space="preserve">  et al., ‘Corporate Governance Index and Firm Performance: Empirical Evidence from India’ (2012) available at &lt; http://ssrn.com/abstract=2103462&gt; </w:t>
      </w:r>
    </w:p>
  </w:footnote>
  <w:footnote w:id="43">
    <w:p w14:paraId="1F8D1E57" w14:textId="489B4302" w:rsidR="005A260F" w:rsidRPr="00D830D0" w:rsidRDefault="005A260F" w:rsidP="003E11A9">
      <w:pPr>
        <w:pStyle w:val="FootnoteText"/>
        <w:contextualSpacing/>
        <w:rPr>
          <w:rFonts w:cs="Times New Roman"/>
          <w:lang w:val="it-IT"/>
        </w:rPr>
      </w:pPr>
      <w:r w:rsidRPr="00AC1055">
        <w:rPr>
          <w:rStyle w:val="FootnoteReference"/>
          <w:rFonts w:cs="Times New Roman"/>
        </w:rPr>
        <w:footnoteRef/>
      </w:r>
      <w:r w:rsidRPr="00D830D0">
        <w:rPr>
          <w:rFonts w:cs="Times New Roman"/>
          <w:lang w:val="it-IT"/>
        </w:rPr>
        <w:t xml:space="preserve"> La Porta et al. (1998) (n </w:t>
      </w:r>
      <w:r>
        <w:rPr>
          <w:rFonts w:cs="Times New Roman"/>
          <w:lang w:val="it-IT"/>
        </w:rPr>
        <w:t>10</w:t>
      </w:r>
      <w:r w:rsidRPr="00D830D0">
        <w:rPr>
          <w:rFonts w:cs="Times New Roman"/>
          <w:lang w:val="it-IT"/>
        </w:rPr>
        <w:t>) 1120</w:t>
      </w:r>
    </w:p>
  </w:footnote>
  <w:footnote w:id="44">
    <w:p w14:paraId="03D1A9FB" w14:textId="07668FDA" w:rsidR="005A260F" w:rsidRPr="00AC1055" w:rsidRDefault="005A260F" w:rsidP="003E11A9">
      <w:pPr>
        <w:pStyle w:val="FootnoteText"/>
        <w:contextualSpacing/>
        <w:rPr>
          <w:rFonts w:cs="Times New Roman"/>
        </w:rPr>
      </w:pPr>
      <w:r w:rsidRPr="00AC1055">
        <w:rPr>
          <w:rStyle w:val="FootnoteReference"/>
          <w:rFonts w:cs="Times New Roman"/>
        </w:rPr>
        <w:footnoteRef/>
      </w:r>
      <w:r>
        <w:rPr>
          <w:rFonts w:cs="Times New Roman"/>
        </w:rPr>
        <w:t xml:space="preserve"> </w:t>
      </w:r>
      <w:proofErr w:type="spellStart"/>
      <w:r>
        <w:rPr>
          <w:rFonts w:cs="Times New Roman"/>
        </w:rPr>
        <w:t>Djankov</w:t>
      </w:r>
      <w:proofErr w:type="spellEnd"/>
      <w:r>
        <w:rPr>
          <w:rFonts w:cs="Times New Roman"/>
        </w:rPr>
        <w:t xml:space="preserve"> et al. (n 32</w:t>
      </w:r>
      <w:r w:rsidRPr="00AC1055">
        <w:rPr>
          <w:rFonts w:cs="Times New Roman"/>
        </w:rPr>
        <w:t>) 6</w:t>
      </w:r>
    </w:p>
  </w:footnote>
  <w:footnote w:id="45">
    <w:p w14:paraId="1D72A268" w14:textId="04A955CC" w:rsidR="005A260F" w:rsidRPr="00AC1055" w:rsidRDefault="005A260F" w:rsidP="003E11A9">
      <w:pPr>
        <w:pStyle w:val="FootnoteText"/>
        <w:rPr>
          <w:rFonts w:cs="Times New Roman"/>
        </w:rPr>
      </w:pPr>
      <w:r w:rsidRPr="00AC1055">
        <w:rPr>
          <w:rStyle w:val="FootnoteReference"/>
          <w:rFonts w:cs="Times New Roman"/>
        </w:rPr>
        <w:footnoteRef/>
      </w:r>
      <w:r>
        <w:rPr>
          <w:rFonts w:cs="Times New Roman"/>
        </w:rPr>
        <w:t xml:space="preserve"> </w:t>
      </w:r>
      <w:proofErr w:type="spellStart"/>
      <w:r>
        <w:rPr>
          <w:rFonts w:cs="Times New Roman"/>
        </w:rPr>
        <w:t>Spamann</w:t>
      </w:r>
      <w:proofErr w:type="spellEnd"/>
      <w:r>
        <w:rPr>
          <w:rFonts w:cs="Times New Roman"/>
        </w:rPr>
        <w:t xml:space="preserve"> (n 32</w:t>
      </w:r>
      <w:r w:rsidRPr="00AC1055">
        <w:rPr>
          <w:rFonts w:cs="Times New Roman"/>
        </w:rPr>
        <w:t>) 14</w:t>
      </w:r>
    </w:p>
  </w:footnote>
  <w:footnote w:id="46">
    <w:p w14:paraId="51CD274D"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Henry </w:t>
      </w:r>
      <w:proofErr w:type="spellStart"/>
      <w:r w:rsidRPr="00AC1055">
        <w:rPr>
          <w:rFonts w:cs="Times New Roman"/>
        </w:rPr>
        <w:t>Hansmann</w:t>
      </w:r>
      <w:proofErr w:type="spellEnd"/>
      <w:r w:rsidRPr="00AC1055">
        <w:rPr>
          <w:rFonts w:cs="Times New Roman"/>
        </w:rPr>
        <w:t xml:space="preserve"> and Reiner </w:t>
      </w:r>
      <w:proofErr w:type="spellStart"/>
      <w:r w:rsidRPr="00AC1055">
        <w:rPr>
          <w:rFonts w:cs="Times New Roman"/>
        </w:rPr>
        <w:t>Kraakman</w:t>
      </w:r>
      <w:proofErr w:type="spellEnd"/>
      <w:r w:rsidRPr="00AC1055">
        <w:rPr>
          <w:rFonts w:cs="Times New Roman"/>
        </w:rPr>
        <w:t>, ‘The End of History for Corporate Law’ (2000) 89 Geo. L. J. 439 at 440-441</w:t>
      </w:r>
    </w:p>
  </w:footnote>
  <w:footnote w:id="47">
    <w:p w14:paraId="4669A5AA" w14:textId="77777777" w:rsidR="005A260F" w:rsidRPr="00AC1055" w:rsidRDefault="005A260F" w:rsidP="003E11A9">
      <w:pPr>
        <w:pStyle w:val="FootnoteText"/>
        <w:rPr>
          <w:rFonts w:cs="Times New Roman"/>
        </w:rPr>
      </w:pPr>
      <w:r w:rsidRPr="00AC1055">
        <w:rPr>
          <w:rStyle w:val="FootnoteReference"/>
          <w:rFonts w:cs="Times New Roman"/>
        </w:rPr>
        <w:footnoteRef/>
      </w:r>
      <w:r w:rsidRPr="00AC1055">
        <w:rPr>
          <w:rFonts w:cs="Times New Roman"/>
        </w:rPr>
        <w:t xml:space="preserve"> See generally Henry G. Manne, ‘Mergers and the Market for Corporate Control’ (1965) 73 (2) The Journal of Political Economy 110; see also Henry G. Manne, ‘The Higher Criticism of the Modern Corporation’, (1962) LXII Columbia Law Review 399; M. C. Jensen and W. H. </w:t>
      </w:r>
      <w:proofErr w:type="spellStart"/>
      <w:r w:rsidRPr="00AC1055">
        <w:rPr>
          <w:rFonts w:cs="Times New Roman"/>
        </w:rPr>
        <w:t>Meckling</w:t>
      </w:r>
      <w:proofErr w:type="spellEnd"/>
      <w:r w:rsidRPr="00AC1055">
        <w:rPr>
          <w:rFonts w:cs="Times New Roman"/>
        </w:rPr>
        <w:t xml:space="preserve">, ‘Theory of the Firm: Managerial behaviour, Agency costs and ownership structures’ (1976) 3 Journal of Financial Economics 305; Milton Friedman, ‘The Social Responsibility of Business is to increase its Profits’ </w:t>
      </w:r>
      <w:r w:rsidRPr="00AC1055">
        <w:rPr>
          <w:rFonts w:cs="Times New Roman"/>
          <w:i/>
        </w:rPr>
        <w:t xml:space="preserve">The New York Times Magazine </w:t>
      </w:r>
      <w:r w:rsidRPr="00AC1055">
        <w:rPr>
          <w:rFonts w:cs="Times New Roman"/>
        </w:rPr>
        <w:t>(New York, 13 September 1970)</w:t>
      </w:r>
    </w:p>
  </w:footnote>
  <w:footnote w:id="48">
    <w:p w14:paraId="5E054BCA" w14:textId="6ECC9843"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See generally </w:t>
      </w:r>
      <w:proofErr w:type="spellStart"/>
      <w:r w:rsidRPr="00AC1055">
        <w:rPr>
          <w:rFonts w:cs="Times New Roman"/>
        </w:rPr>
        <w:t>Stijn</w:t>
      </w:r>
      <w:proofErr w:type="spellEnd"/>
      <w:r w:rsidRPr="00AC1055">
        <w:rPr>
          <w:rFonts w:cs="Times New Roman"/>
        </w:rPr>
        <w:t xml:space="preserve"> </w:t>
      </w:r>
      <w:proofErr w:type="spellStart"/>
      <w:r w:rsidRPr="00AC1055">
        <w:rPr>
          <w:rFonts w:cs="Times New Roman"/>
        </w:rPr>
        <w:t>Claessens</w:t>
      </w:r>
      <w:proofErr w:type="spellEnd"/>
      <w:r w:rsidRPr="00AC1055">
        <w:rPr>
          <w:rFonts w:cs="Times New Roman"/>
        </w:rPr>
        <w:t xml:space="preserve"> and Joseph Fan, ‘Corporate governance in Asia: A survey’ (</w:t>
      </w:r>
      <w:r>
        <w:rPr>
          <w:rFonts w:cs="Times New Roman"/>
        </w:rPr>
        <w:t xml:space="preserve">2002) 3 (2) </w:t>
      </w:r>
      <w:r w:rsidRPr="00AC1055">
        <w:rPr>
          <w:rFonts w:cs="Times New Roman"/>
        </w:rPr>
        <w:t xml:space="preserve">International Review of Finance 71; </w:t>
      </w:r>
      <w:proofErr w:type="spellStart"/>
      <w:r w:rsidRPr="00AC1055">
        <w:rPr>
          <w:rFonts w:cs="Times New Roman"/>
        </w:rPr>
        <w:t>Stijn</w:t>
      </w:r>
      <w:proofErr w:type="spellEnd"/>
      <w:r w:rsidRPr="00AC1055">
        <w:rPr>
          <w:rFonts w:cs="Times New Roman"/>
        </w:rPr>
        <w:t xml:space="preserve"> </w:t>
      </w:r>
      <w:proofErr w:type="spellStart"/>
      <w:r w:rsidRPr="00AC1055">
        <w:rPr>
          <w:rFonts w:cs="Times New Roman"/>
        </w:rPr>
        <w:t>Claessens</w:t>
      </w:r>
      <w:proofErr w:type="spellEnd"/>
      <w:r w:rsidRPr="00AC1055">
        <w:rPr>
          <w:rFonts w:cs="Times New Roman"/>
        </w:rPr>
        <w:t xml:space="preserve"> et al., ‘The separation of ownership and control in East Asian corporations’ (2000) 58 (1) </w:t>
      </w:r>
      <w:r w:rsidRPr="00AC1055">
        <w:rPr>
          <w:rFonts w:cs="Times New Roman"/>
          <w:iCs/>
        </w:rPr>
        <w:t>Journal of financial Economics</w:t>
      </w:r>
      <w:r w:rsidRPr="00AC1055">
        <w:rPr>
          <w:rFonts w:cs="Times New Roman"/>
        </w:rPr>
        <w:t xml:space="preserve"> 81</w:t>
      </w:r>
    </w:p>
  </w:footnote>
  <w:footnote w:id="49">
    <w:p w14:paraId="0C3966D8"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Even with a strict imposition of one share one vote rule, which should in theory nullify golden shares, there would be other ways like stock pyramids, cross-ownership structures and dual class equity structures which gives disproportional control delinked from cash flow rights by careful manipulation of common equity shares.</w:t>
      </w:r>
    </w:p>
  </w:footnote>
  <w:footnote w:id="50">
    <w:p w14:paraId="112B1382" w14:textId="77777777" w:rsidR="005A260F" w:rsidRPr="00AC1055" w:rsidRDefault="005A260F" w:rsidP="003E11A9">
      <w:pPr>
        <w:pStyle w:val="FootnoteText"/>
        <w:rPr>
          <w:rFonts w:cs="Times New Roman"/>
        </w:rPr>
      </w:pPr>
      <w:r w:rsidRPr="00AC1055">
        <w:rPr>
          <w:rStyle w:val="FootnoteReference"/>
          <w:rFonts w:cs="Times New Roman"/>
        </w:rPr>
        <w:footnoteRef/>
      </w:r>
      <w:r w:rsidRPr="00AC1055">
        <w:rPr>
          <w:rFonts w:cs="Times New Roman"/>
        </w:rPr>
        <w:t xml:space="preserve"> See generally Milton Harris and </w:t>
      </w:r>
      <w:proofErr w:type="spellStart"/>
      <w:r w:rsidRPr="00AC1055">
        <w:rPr>
          <w:rFonts w:cs="Times New Roman"/>
        </w:rPr>
        <w:t>Artur</w:t>
      </w:r>
      <w:proofErr w:type="spellEnd"/>
      <w:r w:rsidRPr="00AC1055">
        <w:rPr>
          <w:rFonts w:cs="Times New Roman"/>
        </w:rPr>
        <w:t xml:space="preserve"> </w:t>
      </w:r>
      <w:proofErr w:type="spellStart"/>
      <w:r w:rsidRPr="00AC1055">
        <w:rPr>
          <w:rFonts w:cs="Times New Roman"/>
        </w:rPr>
        <w:t>Raviv</w:t>
      </w:r>
      <w:proofErr w:type="spellEnd"/>
      <w:r w:rsidRPr="00AC1055">
        <w:rPr>
          <w:rFonts w:cs="Times New Roman"/>
        </w:rPr>
        <w:t>, ‘Corporate governance: Voting rights and majority rules’ (1988) 20 Journal of Financial Economics 203-235</w:t>
      </w:r>
    </w:p>
  </w:footnote>
  <w:footnote w:id="51">
    <w:p w14:paraId="422B4AC1" w14:textId="6F4D1E0A" w:rsidR="005A260F" w:rsidRPr="00343CC8" w:rsidRDefault="005A260F">
      <w:pPr>
        <w:pStyle w:val="FootnoteText"/>
        <w:rPr>
          <w:lang w:val="fr-FR"/>
        </w:rPr>
      </w:pPr>
      <w:r>
        <w:rPr>
          <w:rStyle w:val="FootnoteReference"/>
        </w:rPr>
        <w:footnoteRef/>
      </w:r>
      <w:r w:rsidRPr="00343CC8">
        <w:rPr>
          <w:lang w:val="fr-FR"/>
        </w:rPr>
        <w:t xml:space="preserve"> </w:t>
      </w:r>
      <w:proofErr w:type="spellStart"/>
      <w:r>
        <w:rPr>
          <w:rFonts w:cs="Times New Roman"/>
          <w:lang w:val="fr-FR"/>
        </w:rPr>
        <w:t>See</w:t>
      </w:r>
      <w:proofErr w:type="spellEnd"/>
      <w:r>
        <w:rPr>
          <w:rFonts w:cs="Times New Roman"/>
          <w:lang w:val="fr-FR"/>
        </w:rPr>
        <w:t xml:space="preserve"> </w:t>
      </w:r>
      <w:r w:rsidRPr="00343CC8">
        <w:rPr>
          <w:rFonts w:cs="Times New Roman"/>
          <w:lang w:val="fr-FR"/>
        </w:rPr>
        <w:t>Gompers et al.</w:t>
      </w:r>
      <w:r>
        <w:rPr>
          <w:rFonts w:cs="Times New Roman"/>
          <w:lang w:val="fr-FR"/>
        </w:rPr>
        <w:t xml:space="preserve"> </w:t>
      </w:r>
      <w:r w:rsidRPr="00343CC8">
        <w:rPr>
          <w:rFonts w:cs="Times New Roman"/>
          <w:lang w:val="fr-FR"/>
        </w:rPr>
        <w:t>(n 3</w:t>
      </w:r>
      <w:r>
        <w:rPr>
          <w:rFonts w:cs="Times New Roman"/>
          <w:lang w:val="fr-FR"/>
        </w:rPr>
        <w:t>9</w:t>
      </w:r>
      <w:r w:rsidRPr="00343CC8">
        <w:rPr>
          <w:rFonts w:cs="Times New Roman"/>
          <w:lang w:val="fr-FR"/>
        </w:rPr>
        <w:t xml:space="preserve">) </w:t>
      </w:r>
      <w:proofErr w:type="spellStart"/>
      <w:r>
        <w:rPr>
          <w:rFonts w:cs="Times New Roman"/>
          <w:lang w:val="fr-FR"/>
        </w:rPr>
        <w:t>Appendix</w:t>
      </w:r>
      <w:proofErr w:type="spellEnd"/>
      <w:r>
        <w:rPr>
          <w:rFonts w:cs="Times New Roman"/>
          <w:lang w:val="fr-FR"/>
        </w:rPr>
        <w:t xml:space="preserve"> A</w:t>
      </w:r>
    </w:p>
  </w:footnote>
  <w:footnote w:id="52">
    <w:p w14:paraId="11AC2793" w14:textId="133A5310" w:rsidR="005A260F" w:rsidRPr="00AC1055" w:rsidRDefault="005A260F" w:rsidP="00343CC8">
      <w:pPr>
        <w:pStyle w:val="FootnoteText"/>
        <w:contextualSpacing/>
        <w:rPr>
          <w:rFonts w:cs="Times New Roman"/>
        </w:rPr>
      </w:pPr>
      <w:r w:rsidRPr="00AC1055">
        <w:rPr>
          <w:rStyle w:val="FootnoteReference"/>
          <w:rFonts w:cs="Times New Roman"/>
        </w:rPr>
        <w:footnoteRef/>
      </w:r>
      <w:r w:rsidRPr="00AC1055">
        <w:rPr>
          <w:rFonts w:cs="Times New Roman"/>
        </w:rPr>
        <w:t xml:space="preserve"> See Richard S. </w:t>
      </w:r>
      <w:proofErr w:type="spellStart"/>
      <w:r w:rsidRPr="00AC1055">
        <w:rPr>
          <w:rFonts w:cs="Times New Roman"/>
        </w:rPr>
        <w:t>Ruback</w:t>
      </w:r>
      <w:proofErr w:type="spellEnd"/>
      <w:r w:rsidRPr="00AC1055">
        <w:rPr>
          <w:rFonts w:cs="Times New Roman"/>
        </w:rPr>
        <w:t xml:space="preserve">, ‘An Overview of Takeover </w:t>
      </w:r>
      <w:proofErr w:type="spellStart"/>
      <w:r w:rsidRPr="00AC1055">
        <w:rPr>
          <w:rFonts w:cs="Times New Roman"/>
        </w:rPr>
        <w:t>Defenses’</w:t>
      </w:r>
      <w:proofErr w:type="spellEnd"/>
      <w:r w:rsidRPr="00AC1055">
        <w:rPr>
          <w:rFonts w:cs="Times New Roman"/>
        </w:rPr>
        <w:t xml:space="preserve"> in Alan J. </w:t>
      </w:r>
      <w:proofErr w:type="spellStart"/>
      <w:r w:rsidRPr="00AC1055">
        <w:rPr>
          <w:rFonts w:cs="Times New Roman"/>
        </w:rPr>
        <w:t>Auerbach</w:t>
      </w:r>
      <w:proofErr w:type="spellEnd"/>
      <w:r w:rsidRPr="00AC1055">
        <w:rPr>
          <w:rFonts w:cs="Times New Roman"/>
        </w:rPr>
        <w:t xml:space="preserve">, (ed.) </w:t>
      </w:r>
      <w:r w:rsidRPr="00AC1055">
        <w:rPr>
          <w:rFonts w:cs="Times New Roman"/>
          <w:i/>
        </w:rPr>
        <w:t>Mergers and Acquisitions</w:t>
      </w:r>
      <w:r w:rsidRPr="00AC1055">
        <w:rPr>
          <w:rFonts w:cs="Times New Roman"/>
        </w:rPr>
        <w:t xml:space="preserve"> (University of Chicago Press 1987) table 3.1 and 3.2; </w:t>
      </w:r>
      <w:proofErr w:type="spellStart"/>
      <w:r w:rsidRPr="00AC1055">
        <w:rPr>
          <w:rFonts w:cs="Times New Roman"/>
        </w:rPr>
        <w:t>Pornsit</w:t>
      </w:r>
      <w:proofErr w:type="spellEnd"/>
      <w:r w:rsidRPr="00AC1055">
        <w:rPr>
          <w:rFonts w:cs="Times New Roman"/>
        </w:rPr>
        <w:t xml:space="preserve"> </w:t>
      </w:r>
      <w:proofErr w:type="spellStart"/>
      <w:r w:rsidRPr="00AC1055">
        <w:rPr>
          <w:rFonts w:cs="Times New Roman"/>
        </w:rPr>
        <w:t>Jiraporn</w:t>
      </w:r>
      <w:proofErr w:type="spellEnd"/>
      <w:r w:rsidRPr="00AC1055">
        <w:rPr>
          <w:rFonts w:cs="Times New Roman"/>
        </w:rPr>
        <w:t xml:space="preserve">, ‘An empirical analysis of corporate takeover defences and earnings management: evidence from the US’ (2005) 15 (5)  </w:t>
      </w:r>
      <w:r w:rsidRPr="00AC1055">
        <w:rPr>
          <w:rFonts w:cs="Times New Roman"/>
          <w:iCs/>
        </w:rPr>
        <w:t>Applied Financial Economics</w:t>
      </w:r>
      <w:r>
        <w:rPr>
          <w:rFonts w:cs="Times New Roman"/>
        </w:rPr>
        <w:t xml:space="preserve"> 293-303.</w:t>
      </w:r>
      <w:r w:rsidRPr="00AC1055">
        <w:rPr>
          <w:rFonts w:cs="Times New Roman"/>
        </w:rPr>
        <w:t xml:space="preserve"> </w:t>
      </w:r>
    </w:p>
  </w:footnote>
  <w:footnote w:id="53">
    <w:p w14:paraId="352BA208" w14:textId="4B736F1C"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Though </w:t>
      </w:r>
      <w:proofErr w:type="spellStart"/>
      <w:r w:rsidRPr="00AC1055">
        <w:rPr>
          <w:rFonts w:cs="Times New Roman"/>
        </w:rPr>
        <w:t>Cheffins</w:t>
      </w:r>
      <w:proofErr w:type="spellEnd"/>
      <w:r w:rsidRPr="00AC1055">
        <w:rPr>
          <w:rFonts w:cs="Times New Roman"/>
        </w:rPr>
        <w:t xml:space="preserve"> et al. ‘Ownership Dispersion and the London Stock Exchange’s </w:t>
      </w:r>
      <w:r>
        <w:rPr>
          <w:rFonts w:cs="Times New Roman"/>
        </w:rPr>
        <w:t>‘</w:t>
      </w:r>
      <w:r w:rsidRPr="00AC1055">
        <w:rPr>
          <w:rFonts w:cs="Times New Roman"/>
        </w:rPr>
        <w:t>Two-Thirds Rule</w:t>
      </w:r>
      <w:r>
        <w:rPr>
          <w:rFonts w:cs="Times New Roman"/>
        </w:rPr>
        <w:t>’</w:t>
      </w:r>
      <w:r w:rsidRPr="00AC1055">
        <w:rPr>
          <w:rFonts w:cs="Times New Roman"/>
        </w:rPr>
        <w:t xml:space="preserve">: An Empirical Test’ (2012). University of Cambridge Faculty of Law Research Paper No. 17/2012. Available at &lt;http://ssrn.com/abstract=2094538&gt; concludes that two-thirds rule of London stock exchange was not the catalyst for dispersion of ownership and control that might have been expected. </w:t>
      </w:r>
      <w:r>
        <w:rPr>
          <w:rFonts w:cs="Times New Roman"/>
        </w:rPr>
        <w:t xml:space="preserve">This article was published at </w:t>
      </w:r>
      <w:r w:rsidRPr="007D1899">
        <w:rPr>
          <w:rFonts w:cs="Times New Roman"/>
        </w:rPr>
        <w:t>(2013) 55 (4) Business History 670</w:t>
      </w:r>
      <w:r>
        <w:rPr>
          <w:rFonts w:cs="Times New Roman"/>
        </w:rPr>
        <w:t>.</w:t>
      </w:r>
    </w:p>
  </w:footnote>
  <w:footnote w:id="54">
    <w:p w14:paraId="65F3E9AA"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For example in European stock exchanges like Frankfurt Stock Exchange, London Stock Exchange etc.</w:t>
      </w:r>
    </w:p>
  </w:footnote>
  <w:footnote w:id="55">
    <w:p w14:paraId="59581A03" w14:textId="77777777" w:rsidR="005A260F" w:rsidRPr="00AC1055" w:rsidRDefault="005A260F" w:rsidP="003E11A9">
      <w:pPr>
        <w:pStyle w:val="FootnoteText"/>
        <w:contextualSpacing/>
        <w:rPr>
          <w:rFonts w:cs="Times New Roman"/>
        </w:rPr>
      </w:pPr>
      <w:r w:rsidRPr="00AC1055">
        <w:rPr>
          <w:rStyle w:val="FootnoteReference"/>
          <w:rFonts w:cs="Times New Roman"/>
        </w:rPr>
        <w:footnoteRef/>
      </w:r>
      <w:r w:rsidRPr="00AC1055">
        <w:rPr>
          <w:rFonts w:cs="Times New Roman"/>
        </w:rPr>
        <w:t xml:space="preserve"> Criminal prosecution of auditors is still on-going</w:t>
      </w:r>
    </w:p>
  </w:footnote>
  <w:footnote w:id="56">
    <w:p w14:paraId="6CA8E467" w14:textId="267A757E" w:rsidR="005A260F" w:rsidRPr="00A02B86" w:rsidRDefault="005A260F">
      <w:pPr>
        <w:pStyle w:val="FootnoteText"/>
        <w:rPr>
          <w:lang w:val="it-IT"/>
        </w:rPr>
      </w:pPr>
      <w:r>
        <w:rPr>
          <w:rStyle w:val="FootnoteReference"/>
        </w:rPr>
        <w:footnoteRef/>
      </w:r>
      <w:r w:rsidRPr="00A02B86">
        <w:rPr>
          <w:lang w:val="it-IT"/>
        </w:rPr>
        <w:t xml:space="preserve"> La Porta et al. (1997) (n </w:t>
      </w:r>
      <w:r>
        <w:rPr>
          <w:lang w:val="it-IT"/>
        </w:rPr>
        <w:t>10</w:t>
      </w:r>
      <w:r w:rsidRPr="00A02B86">
        <w:rPr>
          <w:lang w:val="it-IT"/>
        </w:rPr>
        <w:t>)</w:t>
      </w:r>
    </w:p>
  </w:footnote>
  <w:footnote w:id="57">
    <w:p w14:paraId="6AAC1926" w14:textId="42FA20F7" w:rsidR="005A260F" w:rsidRPr="00A02B86" w:rsidRDefault="005A260F">
      <w:pPr>
        <w:pStyle w:val="FootnoteText"/>
        <w:rPr>
          <w:lang w:val="it-IT"/>
        </w:rPr>
      </w:pPr>
      <w:r>
        <w:rPr>
          <w:rStyle w:val="FootnoteReference"/>
        </w:rPr>
        <w:footnoteRef/>
      </w:r>
      <w:r w:rsidRPr="00A02B86">
        <w:rPr>
          <w:lang w:val="it-IT"/>
        </w:rPr>
        <w:t xml:space="preserve"> La Porta et al. (2006) (n </w:t>
      </w:r>
      <w:r>
        <w:rPr>
          <w:lang w:val="it-IT"/>
        </w:rPr>
        <w:t>10</w:t>
      </w:r>
      <w:r w:rsidRPr="00A02B86">
        <w:rPr>
          <w:lang w:val="it-IT"/>
        </w:rPr>
        <w:t>)</w:t>
      </w:r>
    </w:p>
  </w:footnote>
  <w:footnote w:id="58">
    <w:p w14:paraId="0FE515F8" w14:textId="5BD9EDA5" w:rsidR="005A260F" w:rsidRDefault="005A260F" w:rsidP="003E1F26">
      <w:pPr>
        <w:pStyle w:val="FootnoteText"/>
      </w:pPr>
      <w:r>
        <w:rPr>
          <w:rStyle w:val="FootnoteReference"/>
        </w:rPr>
        <w:footnoteRef/>
      </w:r>
      <w:r>
        <w:t xml:space="preserve"> Klaus Schwab et al. (</w:t>
      </w:r>
      <w:proofErr w:type="spellStart"/>
      <w:r>
        <w:t>eds</w:t>
      </w:r>
      <w:proofErr w:type="spellEnd"/>
      <w:r>
        <w:t xml:space="preserve">), </w:t>
      </w:r>
      <w:r w:rsidRPr="00C11435">
        <w:rPr>
          <w:i/>
        </w:rPr>
        <w:t>The Global Competitiveness Report 1999</w:t>
      </w:r>
      <w:r>
        <w:rPr>
          <w:i/>
        </w:rPr>
        <w:t xml:space="preserve"> </w:t>
      </w:r>
      <w:r>
        <w:t>(Oxford University Press, New York).</w:t>
      </w:r>
    </w:p>
  </w:footnote>
  <w:footnote w:id="59">
    <w:p w14:paraId="71F81CED" w14:textId="10CF746E" w:rsidR="005A260F" w:rsidRDefault="005A260F">
      <w:pPr>
        <w:pStyle w:val="FootnoteText"/>
      </w:pPr>
      <w:r>
        <w:rPr>
          <w:rStyle w:val="FootnoteReference"/>
        </w:rPr>
        <w:footnoteRef/>
      </w:r>
      <w:r>
        <w:t xml:space="preserve"> </w:t>
      </w:r>
      <w:proofErr w:type="spellStart"/>
      <w:r w:rsidRPr="004218EA">
        <w:t>Djankov</w:t>
      </w:r>
      <w:proofErr w:type="spellEnd"/>
      <w:r w:rsidRPr="004218EA">
        <w:t xml:space="preserve"> et al.</w:t>
      </w:r>
      <w:r>
        <w:t xml:space="preserve"> (n 32)</w:t>
      </w:r>
    </w:p>
  </w:footnote>
  <w:footnote w:id="60">
    <w:p w14:paraId="73143BAC" w14:textId="01B26B7E" w:rsidR="005A260F" w:rsidRDefault="005A260F">
      <w:pPr>
        <w:pStyle w:val="FootnoteText"/>
      </w:pPr>
      <w:r>
        <w:rPr>
          <w:rStyle w:val="FootnoteReference"/>
        </w:rPr>
        <w:footnoteRef/>
      </w:r>
      <w:r>
        <w:t xml:space="preserve"> </w:t>
      </w:r>
      <w:r w:rsidRPr="007A58DD">
        <w:t xml:space="preserve">La Porta et al. (2006) (n </w:t>
      </w:r>
      <w:r>
        <w:t>10</w:t>
      </w:r>
      <w:r w:rsidRPr="007A58DD">
        <w:t>)</w:t>
      </w:r>
    </w:p>
  </w:footnote>
  <w:footnote w:id="61">
    <w:p w14:paraId="4C81B07B" w14:textId="50D196AA" w:rsidR="005A260F" w:rsidRDefault="005A260F" w:rsidP="004218EA">
      <w:pPr>
        <w:pStyle w:val="FootnoteText"/>
      </w:pPr>
      <w:r>
        <w:rPr>
          <w:rStyle w:val="FootnoteReference"/>
        </w:rPr>
        <w:footnoteRef/>
      </w:r>
      <w:r>
        <w:t xml:space="preserve"> John Armour, Simon Deakin et al., ‘Shareholder Protection and Stock Market Development: An Empirical Test of the Legal Origins Hypothesis’ (2008) ECGI Working Paper No.10</w:t>
      </w:r>
      <w:r w:rsidRPr="004218EA">
        <w:t>8/20</w:t>
      </w:r>
      <w:r>
        <w:t>08</w:t>
      </w:r>
      <w:r w:rsidRPr="004218EA">
        <w:t xml:space="preserve"> available at</w:t>
      </w:r>
      <w:r>
        <w:t xml:space="preserve"> &lt;</w:t>
      </w:r>
      <w:r w:rsidRPr="004218EA">
        <w:t>http://ssrn.com/abstract=1094355</w:t>
      </w:r>
      <w:r>
        <w:t xml:space="preserve">&gt; </w:t>
      </w:r>
      <w:r w:rsidRPr="00FE1445">
        <w:t>published at (2009) 6 Journal of Empirical Legal Studies 343</w:t>
      </w:r>
      <w:r>
        <w:t>.</w:t>
      </w:r>
    </w:p>
  </w:footnote>
  <w:footnote w:id="62">
    <w:p w14:paraId="23EADD94"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World Development Index &lt; http://data.worldbank.org/indicator/BX.KLT.DINV.CD.WD&gt; accessed 20 January 2015</w:t>
      </w:r>
    </w:p>
  </w:footnote>
  <w:footnote w:id="63">
    <w:p w14:paraId="04432D3E" w14:textId="77777777" w:rsidR="005A260F" w:rsidRPr="00AC1055" w:rsidRDefault="005A260F" w:rsidP="00582BF6">
      <w:pPr>
        <w:pStyle w:val="FootnoteText"/>
        <w:rPr>
          <w:rFonts w:cs="Times New Roman"/>
        </w:rPr>
      </w:pPr>
      <w:r w:rsidRPr="00AC1055">
        <w:rPr>
          <w:rStyle w:val="FootnoteReference"/>
          <w:rFonts w:cs="Times New Roman"/>
        </w:rPr>
        <w:footnoteRef/>
      </w:r>
      <w:r w:rsidRPr="00AC1055">
        <w:rPr>
          <w:rFonts w:cs="Times New Roman"/>
        </w:rPr>
        <w:t xml:space="preserve"> See Yao Lu, ‘Corporate Governance Reforms and Firm-Level Allocation of International Capital Flows’ (2010) &lt; http://ssrn.com/abstract=1544967&gt;; Lucian A. </w:t>
      </w:r>
      <w:proofErr w:type="spellStart"/>
      <w:r w:rsidRPr="00AC1055">
        <w:rPr>
          <w:rFonts w:cs="Times New Roman"/>
        </w:rPr>
        <w:t>Bebchuk</w:t>
      </w:r>
      <w:proofErr w:type="spellEnd"/>
      <w:r w:rsidRPr="00AC1055">
        <w:rPr>
          <w:rFonts w:cs="Times New Roman"/>
        </w:rPr>
        <w:t xml:space="preserve">  and Michael S. </w:t>
      </w:r>
      <w:proofErr w:type="spellStart"/>
      <w:r w:rsidRPr="00AC1055">
        <w:rPr>
          <w:rFonts w:cs="Times New Roman"/>
        </w:rPr>
        <w:t>Weisbach</w:t>
      </w:r>
      <w:proofErr w:type="spellEnd"/>
      <w:r>
        <w:rPr>
          <w:rFonts w:cs="Times New Roman"/>
        </w:rPr>
        <w:t>,</w:t>
      </w:r>
      <w:r w:rsidRPr="00AC1055">
        <w:rPr>
          <w:rFonts w:cs="Times New Roman"/>
        </w:rPr>
        <w:t xml:space="preserve"> ‘The State of Corporate Governance Research’ (2010) 23 (3) Review of Financial Studies 939-961</w:t>
      </w:r>
    </w:p>
  </w:footnote>
  <w:footnote w:id="64">
    <w:p w14:paraId="202B5906" w14:textId="77777777" w:rsidR="005A260F" w:rsidRPr="00AC1055" w:rsidRDefault="005A260F" w:rsidP="00582BF6">
      <w:pPr>
        <w:pStyle w:val="FootnoteText"/>
        <w:rPr>
          <w:rFonts w:cs="Times New Roman"/>
        </w:rPr>
      </w:pPr>
      <w:r w:rsidRPr="00AC1055">
        <w:rPr>
          <w:rStyle w:val="FootnoteReference"/>
          <w:rFonts w:cs="Times New Roman"/>
        </w:rPr>
        <w:footnoteRef/>
      </w:r>
      <w:r w:rsidRPr="00AC1055">
        <w:rPr>
          <w:rFonts w:cs="Times New Roman"/>
        </w:rPr>
        <w:t xml:space="preserve"> International Finance Corporation (World Bank Group), ‘Global Corporate Governance Forum - Better Companies, Better Societies’ (2010) &lt; http://www-wds.worldbank.org/external/default/WDSContentServer /WDSP/IB/2011/07/08/000333037_20110708022840/Rendered/PDF/628780NEWS0Glo00Box0361495B0PUBLIC0.pdf&gt; accessed 20 January 2015</w:t>
      </w:r>
    </w:p>
  </w:footnote>
  <w:footnote w:id="65">
    <w:p w14:paraId="3A03092E" w14:textId="427ECEC4"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Giorgio Fazio and G.M. Chiara</w:t>
      </w:r>
      <w:r>
        <w:rPr>
          <w:rFonts w:cs="Times New Roman"/>
        </w:rPr>
        <w:t xml:space="preserve"> </w:t>
      </w:r>
      <w:proofErr w:type="spellStart"/>
      <w:r w:rsidRPr="00AC1055">
        <w:rPr>
          <w:rFonts w:cs="Times New Roman"/>
        </w:rPr>
        <w:t>Talamo</w:t>
      </w:r>
      <w:proofErr w:type="spellEnd"/>
      <w:r w:rsidRPr="00AC1055">
        <w:rPr>
          <w:rFonts w:cs="Times New Roman"/>
        </w:rPr>
        <w:t>, ‘How attractive is good governance for FDI’ (2008) 9 International Finance Review 33-54, 50</w:t>
      </w:r>
    </w:p>
  </w:footnote>
  <w:footnote w:id="66">
    <w:p w14:paraId="218406ED" w14:textId="77777777" w:rsidR="005A260F" w:rsidRPr="00AC1055" w:rsidRDefault="005A260F" w:rsidP="00120400">
      <w:pPr>
        <w:pStyle w:val="FootnoteText"/>
        <w:rPr>
          <w:rFonts w:cs="Times New Roman"/>
        </w:rPr>
      </w:pPr>
      <w:r w:rsidRPr="00AC1055">
        <w:rPr>
          <w:rStyle w:val="FootnoteReference"/>
          <w:rFonts w:cs="Times New Roman"/>
        </w:rPr>
        <w:footnoteRef/>
      </w:r>
      <w:r w:rsidRPr="00AC1055">
        <w:rPr>
          <w:rFonts w:cs="Times New Roman"/>
        </w:rPr>
        <w:t xml:space="preserve"> ibid. See also Giuseppina Maria Chiara </w:t>
      </w:r>
      <w:proofErr w:type="spellStart"/>
      <w:r w:rsidRPr="00AC1055">
        <w:rPr>
          <w:rFonts w:cs="Times New Roman"/>
        </w:rPr>
        <w:t>Talamo</w:t>
      </w:r>
      <w:proofErr w:type="spellEnd"/>
      <w:r w:rsidRPr="00AC1055">
        <w:rPr>
          <w:rFonts w:cs="Times New Roman"/>
        </w:rPr>
        <w:t xml:space="preserve">, ‘FDI, mode of entry and corporate governance’ in </w:t>
      </w:r>
      <w:proofErr w:type="spellStart"/>
      <w:r w:rsidRPr="00AC1055">
        <w:rPr>
          <w:rFonts w:cs="Times New Roman"/>
        </w:rPr>
        <w:t>Neri</w:t>
      </w:r>
      <w:proofErr w:type="spellEnd"/>
      <w:r w:rsidRPr="00AC1055">
        <w:rPr>
          <w:rFonts w:cs="Times New Roman"/>
        </w:rPr>
        <w:t xml:space="preserve"> </w:t>
      </w:r>
      <w:proofErr w:type="spellStart"/>
      <w:r w:rsidRPr="00AC1055">
        <w:rPr>
          <w:rFonts w:cs="Times New Roman"/>
        </w:rPr>
        <w:t>Salvadori</w:t>
      </w:r>
      <w:proofErr w:type="spellEnd"/>
      <w:r w:rsidRPr="00AC1055">
        <w:rPr>
          <w:rFonts w:cs="Times New Roman"/>
        </w:rPr>
        <w:t xml:space="preserve"> and Pasquale </w:t>
      </w:r>
      <w:proofErr w:type="spellStart"/>
      <w:r w:rsidRPr="00AC1055">
        <w:rPr>
          <w:rFonts w:cs="Times New Roman"/>
        </w:rPr>
        <w:t>Commendatore</w:t>
      </w:r>
      <w:proofErr w:type="spellEnd"/>
      <w:r w:rsidRPr="00AC1055">
        <w:rPr>
          <w:rFonts w:cs="Times New Roman"/>
        </w:rPr>
        <w:t xml:space="preserve"> (</w:t>
      </w:r>
      <w:proofErr w:type="spellStart"/>
      <w:r w:rsidRPr="00AC1055">
        <w:rPr>
          <w:rFonts w:cs="Times New Roman"/>
        </w:rPr>
        <w:t>eds</w:t>
      </w:r>
      <w:proofErr w:type="spellEnd"/>
      <w:r w:rsidRPr="00AC1055">
        <w:rPr>
          <w:rFonts w:cs="Times New Roman"/>
        </w:rPr>
        <w:t xml:space="preserve">), </w:t>
      </w:r>
      <w:r w:rsidRPr="00AC1055">
        <w:rPr>
          <w:rFonts w:cs="Times New Roman"/>
          <w:i/>
        </w:rPr>
        <w:t>Geography, structural change and economic development</w:t>
      </w:r>
      <w:r w:rsidRPr="00AC1055">
        <w:rPr>
          <w:rFonts w:cs="Times New Roman"/>
        </w:rPr>
        <w:t xml:space="preserve"> (Edward Elgar Publishing 2009); Giuseppina </w:t>
      </w:r>
      <w:proofErr w:type="spellStart"/>
      <w:r w:rsidRPr="00AC1055">
        <w:rPr>
          <w:rFonts w:cs="Times New Roman"/>
        </w:rPr>
        <w:t>Talamo</w:t>
      </w:r>
      <w:proofErr w:type="spellEnd"/>
      <w:r w:rsidRPr="00AC1055">
        <w:rPr>
          <w:rFonts w:cs="Times New Roman"/>
        </w:rPr>
        <w:t xml:space="preserve">, ‘Corporate Governance and Capital Flows’ (2012) PRA Paper No. 35853 &lt; http://mpra.ub.uni-muenchen.de/35853/&gt; accessed 20 January 2015; Ali Adnan Ibrahim, ‘Developing governance and regulation for emerging capital and securities markets’ (2007-08) 39 Rutgers Law Journal 111; </w:t>
      </w:r>
      <w:proofErr w:type="spellStart"/>
      <w:r w:rsidRPr="00AC1055">
        <w:rPr>
          <w:rFonts w:cs="Times New Roman"/>
        </w:rPr>
        <w:t>Ozden</w:t>
      </w:r>
      <w:proofErr w:type="spellEnd"/>
      <w:r w:rsidRPr="00AC1055">
        <w:rPr>
          <w:rFonts w:cs="Times New Roman"/>
        </w:rPr>
        <w:t xml:space="preserve"> </w:t>
      </w:r>
      <w:proofErr w:type="spellStart"/>
      <w:r w:rsidRPr="00AC1055">
        <w:rPr>
          <w:rFonts w:cs="Times New Roman"/>
        </w:rPr>
        <w:t>Deniz</w:t>
      </w:r>
      <w:proofErr w:type="spellEnd"/>
      <w:r w:rsidRPr="00AC1055">
        <w:rPr>
          <w:rFonts w:cs="Times New Roman"/>
        </w:rPr>
        <w:t>, ‘The importance of corporate governance for a well performing financial system: Reforming corporate governance in developing countries’ (2011-12) 14 (2) Duquesne Business Law Journal 219</w:t>
      </w:r>
    </w:p>
  </w:footnote>
  <w:footnote w:id="67">
    <w:p w14:paraId="610A6413"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World Development Index &lt; http://data.worldbank.org/indicator/CM.MKT.LCAP.CD?cid=GPD_31&gt; accessed 20 January 2015</w:t>
      </w:r>
    </w:p>
  </w:footnote>
  <w:footnote w:id="68">
    <w:p w14:paraId="66AE0CA9" w14:textId="34D277D9" w:rsidR="005A260F" w:rsidRPr="00AC1055" w:rsidRDefault="005A260F" w:rsidP="00343CC8">
      <w:pPr>
        <w:pStyle w:val="FootnoteText"/>
        <w:rPr>
          <w:rFonts w:cs="Times New Roman"/>
        </w:rPr>
      </w:pPr>
      <w:r w:rsidRPr="00AC1055">
        <w:rPr>
          <w:rStyle w:val="FootnoteReference"/>
          <w:rFonts w:cs="Times New Roman"/>
        </w:rPr>
        <w:footnoteRef/>
      </w:r>
      <w:r>
        <w:rPr>
          <w:rFonts w:cs="Times New Roman"/>
        </w:rPr>
        <w:t xml:space="preserve"> </w:t>
      </w:r>
      <w:r w:rsidRPr="00AC1055">
        <w:rPr>
          <w:rFonts w:cs="Times New Roman"/>
        </w:rPr>
        <w:t>Gompers</w:t>
      </w:r>
      <w:r>
        <w:rPr>
          <w:rFonts w:cs="Times New Roman"/>
        </w:rPr>
        <w:t xml:space="preserve"> et al. (n 39)</w:t>
      </w:r>
    </w:p>
  </w:footnote>
  <w:footnote w:id="69">
    <w:p w14:paraId="3E288E7B"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Faizul</w:t>
      </w:r>
      <w:proofErr w:type="spellEnd"/>
      <w:r w:rsidRPr="00AC1055">
        <w:rPr>
          <w:rFonts w:cs="Times New Roman"/>
        </w:rPr>
        <w:t xml:space="preserve"> </w:t>
      </w:r>
      <w:proofErr w:type="spellStart"/>
      <w:r w:rsidRPr="00AC1055">
        <w:rPr>
          <w:rFonts w:cs="Times New Roman"/>
        </w:rPr>
        <w:t>Haque</w:t>
      </w:r>
      <w:proofErr w:type="spellEnd"/>
      <w:r w:rsidRPr="00AC1055">
        <w:rPr>
          <w:rFonts w:cs="Times New Roman"/>
        </w:rPr>
        <w:t xml:space="preserve">, </w:t>
      </w:r>
      <w:proofErr w:type="spellStart"/>
      <w:r w:rsidRPr="00AC1055">
        <w:rPr>
          <w:rFonts w:cs="Times New Roman"/>
        </w:rPr>
        <w:t>Thankom</w:t>
      </w:r>
      <w:proofErr w:type="spellEnd"/>
      <w:r w:rsidRPr="00AC1055">
        <w:rPr>
          <w:rFonts w:cs="Times New Roman"/>
        </w:rPr>
        <w:t xml:space="preserve"> </w:t>
      </w:r>
      <w:proofErr w:type="spellStart"/>
      <w:r w:rsidRPr="00AC1055">
        <w:rPr>
          <w:rFonts w:cs="Times New Roman"/>
        </w:rPr>
        <w:t>Arun</w:t>
      </w:r>
      <w:proofErr w:type="spellEnd"/>
      <w:r w:rsidRPr="00AC1055">
        <w:rPr>
          <w:rFonts w:cs="Times New Roman"/>
        </w:rPr>
        <w:t xml:space="preserve"> and Colin Kirkpatrick, ‘Corporate governance and financial market a conceptual framework’ &lt; http://virtusinterpress.org/additional_files/journ_coc/full-text-papers-open-access/Paper012.pdf&gt; accessed 20 January 2015</w:t>
      </w:r>
    </w:p>
  </w:footnote>
  <w:footnote w:id="70">
    <w:p w14:paraId="34EECB6B" w14:textId="094C86B8" w:rsidR="005A260F" w:rsidRPr="00AC1055" w:rsidRDefault="005A260F" w:rsidP="009A4FC2">
      <w:pPr>
        <w:pStyle w:val="FootnoteText"/>
        <w:rPr>
          <w:rFonts w:cs="Times New Roman"/>
        </w:rPr>
      </w:pPr>
      <w:r w:rsidRPr="00AC1055">
        <w:rPr>
          <w:rStyle w:val="FootnoteReference"/>
          <w:rFonts w:cs="Times New Roman"/>
        </w:rPr>
        <w:footnoteRef/>
      </w:r>
      <w:r w:rsidRPr="00AC1055">
        <w:rPr>
          <w:rFonts w:cs="Times New Roman"/>
        </w:rPr>
        <w:t xml:space="preserve"> For an alternate method but similar results see </w:t>
      </w:r>
      <w:proofErr w:type="spellStart"/>
      <w:r w:rsidRPr="00AC1055">
        <w:rPr>
          <w:rFonts w:cs="Times New Roman"/>
        </w:rPr>
        <w:t>Bebchuk</w:t>
      </w:r>
      <w:proofErr w:type="spellEnd"/>
      <w:r w:rsidRPr="00AC1055">
        <w:rPr>
          <w:rFonts w:cs="Times New Roman"/>
        </w:rPr>
        <w:t xml:space="preserve"> et al.</w:t>
      </w:r>
      <w:r>
        <w:rPr>
          <w:rFonts w:cs="Times New Roman"/>
        </w:rPr>
        <w:t xml:space="preserve"> (n 42)</w:t>
      </w:r>
      <w:r w:rsidRPr="00AC1055">
        <w:rPr>
          <w:rFonts w:cs="Times New Roman"/>
        </w:rPr>
        <w:t xml:space="preserve">;    Lawrence D. Brown and Marcus L. </w:t>
      </w:r>
      <w:proofErr w:type="spellStart"/>
      <w:r w:rsidRPr="00AC1055">
        <w:rPr>
          <w:rFonts w:cs="Times New Roman"/>
        </w:rPr>
        <w:t>Caylor</w:t>
      </w:r>
      <w:proofErr w:type="spellEnd"/>
      <w:r w:rsidRPr="00AC1055">
        <w:rPr>
          <w:rFonts w:cs="Times New Roman"/>
        </w:rPr>
        <w:t xml:space="preserve">, </w:t>
      </w:r>
      <w:r>
        <w:rPr>
          <w:rFonts w:cs="Times New Roman"/>
        </w:rPr>
        <w:t xml:space="preserve">‘Corporate governance and firm valuation’ </w:t>
      </w:r>
      <w:r w:rsidRPr="00AC1055">
        <w:rPr>
          <w:rFonts w:cs="Times New Roman"/>
        </w:rPr>
        <w:t>(2006) 25 (4) Journal of Accounting and Public Policy 409-434; for count</w:t>
      </w:r>
      <w:r>
        <w:rPr>
          <w:rFonts w:cs="Times New Roman"/>
        </w:rPr>
        <w:t xml:space="preserve">ry specific examples see </w:t>
      </w:r>
      <w:proofErr w:type="spellStart"/>
      <w:r w:rsidRPr="00AC1055">
        <w:rPr>
          <w:rFonts w:cs="Times New Roman"/>
        </w:rPr>
        <w:t>Akmalia</w:t>
      </w:r>
      <w:proofErr w:type="spellEnd"/>
      <w:r w:rsidRPr="00AC1055">
        <w:rPr>
          <w:rFonts w:cs="Times New Roman"/>
        </w:rPr>
        <w:t xml:space="preserve"> Mohamad </w:t>
      </w:r>
      <w:proofErr w:type="spellStart"/>
      <w:r w:rsidRPr="00AC1055">
        <w:rPr>
          <w:rFonts w:cs="Times New Roman"/>
        </w:rPr>
        <w:t>Ariff</w:t>
      </w:r>
      <w:proofErr w:type="spellEnd"/>
      <w:r w:rsidRPr="00AC1055">
        <w:rPr>
          <w:rFonts w:cs="Times New Roman"/>
        </w:rPr>
        <w:t xml:space="preserve">, </w:t>
      </w:r>
      <w:proofErr w:type="spellStart"/>
      <w:r w:rsidRPr="00AC1055">
        <w:rPr>
          <w:rFonts w:cs="Times New Roman"/>
        </w:rPr>
        <w:t>Muhd</w:t>
      </w:r>
      <w:proofErr w:type="spellEnd"/>
      <w:r w:rsidRPr="00AC1055">
        <w:rPr>
          <w:rFonts w:cs="Times New Roman"/>
        </w:rPr>
        <w:t xml:space="preserve"> </w:t>
      </w:r>
      <w:proofErr w:type="spellStart"/>
      <w:r w:rsidRPr="00AC1055">
        <w:rPr>
          <w:rFonts w:cs="Times New Roman"/>
        </w:rPr>
        <w:t>Kamil</w:t>
      </w:r>
      <w:proofErr w:type="spellEnd"/>
      <w:r w:rsidRPr="00AC1055">
        <w:rPr>
          <w:rFonts w:cs="Times New Roman"/>
        </w:rPr>
        <w:t xml:space="preserve"> Ibrahim and </w:t>
      </w:r>
      <w:proofErr w:type="spellStart"/>
      <w:r w:rsidRPr="00AC1055">
        <w:rPr>
          <w:rFonts w:cs="Times New Roman"/>
        </w:rPr>
        <w:t>Radiah</w:t>
      </w:r>
      <w:proofErr w:type="spellEnd"/>
      <w:r w:rsidRPr="00AC1055">
        <w:rPr>
          <w:rFonts w:cs="Times New Roman"/>
        </w:rPr>
        <w:t xml:space="preserve"> Othman, ‘Determinants of firm level governance: Malaysian evidence’ (2007) 7 (5) Corporate Governance 562-573; Bernard S. Black, ‘The Corporate Governance </w:t>
      </w:r>
      <w:proofErr w:type="spellStart"/>
      <w:r w:rsidRPr="00AC1055">
        <w:rPr>
          <w:rFonts w:cs="Times New Roman"/>
        </w:rPr>
        <w:t>Behavior</w:t>
      </w:r>
      <w:proofErr w:type="spellEnd"/>
      <w:r w:rsidRPr="00AC1055">
        <w:rPr>
          <w:rFonts w:cs="Times New Roman"/>
        </w:rPr>
        <w:t xml:space="preserve"> and Market Value of Russian Firms’ (2001) 2 Emerging Markets Review 89-108; see generally </w:t>
      </w:r>
      <w:proofErr w:type="spellStart"/>
      <w:r w:rsidRPr="00AC1055">
        <w:rPr>
          <w:rFonts w:cs="Times New Roman"/>
        </w:rPr>
        <w:t>Kashif</w:t>
      </w:r>
      <w:proofErr w:type="spellEnd"/>
      <w:r w:rsidRPr="00AC1055">
        <w:rPr>
          <w:rFonts w:cs="Times New Roman"/>
        </w:rPr>
        <w:t xml:space="preserve"> Rashid and </w:t>
      </w:r>
      <w:proofErr w:type="spellStart"/>
      <w:r w:rsidRPr="00AC1055">
        <w:rPr>
          <w:rFonts w:cs="Times New Roman"/>
        </w:rPr>
        <w:t>Sardar</w:t>
      </w:r>
      <w:proofErr w:type="spellEnd"/>
      <w:r w:rsidRPr="00AC1055">
        <w:rPr>
          <w:rFonts w:cs="Times New Roman"/>
        </w:rPr>
        <w:t xml:space="preserve"> M. N. Islam</w:t>
      </w:r>
      <w:r>
        <w:rPr>
          <w:rFonts w:cs="Times New Roman"/>
        </w:rPr>
        <w:t>,</w:t>
      </w:r>
      <w:r w:rsidRPr="00AC1055">
        <w:rPr>
          <w:rFonts w:cs="Times New Roman"/>
        </w:rPr>
        <w:t xml:space="preserve"> </w:t>
      </w:r>
      <w:r w:rsidRPr="00AC1055">
        <w:rPr>
          <w:rFonts w:cs="Times New Roman"/>
          <w:i/>
        </w:rPr>
        <w:t xml:space="preserve">Corporate Governance and Firm Value Econometric </w:t>
      </w:r>
      <w:proofErr w:type="spellStart"/>
      <w:r w:rsidRPr="00AC1055">
        <w:rPr>
          <w:rFonts w:cs="Times New Roman"/>
          <w:i/>
        </w:rPr>
        <w:t>Modellling</w:t>
      </w:r>
      <w:proofErr w:type="spellEnd"/>
      <w:r w:rsidRPr="00AC1055">
        <w:rPr>
          <w:rFonts w:cs="Times New Roman"/>
          <w:i/>
        </w:rPr>
        <w:t xml:space="preserve"> and Analysis of Emerging and Developed Financial Markets </w:t>
      </w:r>
      <w:r w:rsidRPr="00AC1055">
        <w:rPr>
          <w:rFonts w:cs="Times New Roman"/>
        </w:rPr>
        <w:t>(</w:t>
      </w:r>
      <w:proofErr w:type="spellStart"/>
      <w:r w:rsidRPr="00AC1055">
        <w:rPr>
          <w:rFonts w:cs="Times New Roman"/>
        </w:rPr>
        <w:t>Pergamon</w:t>
      </w:r>
      <w:proofErr w:type="spellEnd"/>
      <w:r w:rsidRPr="00AC1055">
        <w:rPr>
          <w:rFonts w:cs="Times New Roman"/>
        </w:rPr>
        <w:t xml:space="preserve"> Press 2008)</w:t>
      </w:r>
    </w:p>
  </w:footnote>
  <w:footnote w:id="71">
    <w:p w14:paraId="47FE8D54"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Se</w:t>
      </w:r>
      <w:r>
        <w:rPr>
          <w:rFonts w:cs="Times New Roman"/>
        </w:rPr>
        <w:t>e generally Reena Aggarwal</w:t>
      </w:r>
      <w:r w:rsidRPr="00AC1055">
        <w:rPr>
          <w:rFonts w:cs="Times New Roman"/>
        </w:rPr>
        <w:t xml:space="preserve"> and </w:t>
      </w:r>
      <w:proofErr w:type="spellStart"/>
      <w:r w:rsidRPr="00AC1055">
        <w:rPr>
          <w:rFonts w:cs="Times New Roman"/>
        </w:rPr>
        <w:t>Pietra</w:t>
      </w:r>
      <w:proofErr w:type="spellEnd"/>
      <w:r w:rsidRPr="00AC1055">
        <w:rPr>
          <w:rFonts w:cs="Times New Roman"/>
        </w:rPr>
        <w:t xml:space="preserve"> </w:t>
      </w:r>
      <w:proofErr w:type="spellStart"/>
      <w:r w:rsidRPr="00AC1055">
        <w:rPr>
          <w:rFonts w:cs="Times New Roman"/>
        </w:rPr>
        <w:t>Rivoli</w:t>
      </w:r>
      <w:proofErr w:type="spellEnd"/>
      <w:r>
        <w:rPr>
          <w:rFonts w:cs="Times New Roman"/>
        </w:rPr>
        <w:t>,</w:t>
      </w:r>
      <w:r w:rsidRPr="00AC1055">
        <w:rPr>
          <w:rFonts w:cs="Times New Roman"/>
        </w:rPr>
        <w:t xml:space="preserve"> ‘Fads in the initial public offering market?’ (1990) Financial Management 45-57.</w:t>
      </w:r>
    </w:p>
  </w:footnote>
  <w:footnote w:id="72">
    <w:p w14:paraId="0B80B7F8"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Historically we can refer to various bubbles especially the South Sea bubble, in modern times there were Ponzi scammers like Bernard Madoff, corporate accounting fraudsters like Bernard Ebbers (WorldCom), Andrew </w:t>
      </w:r>
      <w:proofErr w:type="spellStart"/>
      <w:r w:rsidRPr="00AC1055">
        <w:rPr>
          <w:rFonts w:cs="Times New Roman"/>
        </w:rPr>
        <w:t>Fastow</w:t>
      </w:r>
      <w:proofErr w:type="spellEnd"/>
      <w:r w:rsidRPr="00AC1055">
        <w:rPr>
          <w:rFonts w:cs="Times New Roman"/>
        </w:rPr>
        <w:t xml:space="preserve"> (Enron), </w:t>
      </w:r>
      <w:proofErr w:type="spellStart"/>
      <w:r w:rsidRPr="00AC1055">
        <w:rPr>
          <w:rFonts w:cs="Times New Roman"/>
        </w:rPr>
        <w:t>Byrraju</w:t>
      </w:r>
      <w:proofErr w:type="spellEnd"/>
      <w:r w:rsidRPr="00AC1055">
        <w:rPr>
          <w:rFonts w:cs="Times New Roman"/>
        </w:rPr>
        <w:t xml:space="preserve"> Ramalinga Raju (Satyam), inside traders like Tang </w:t>
      </w:r>
      <w:proofErr w:type="spellStart"/>
      <w:r w:rsidRPr="00AC1055">
        <w:rPr>
          <w:rFonts w:cs="Times New Roman"/>
        </w:rPr>
        <w:t>Wanxin</w:t>
      </w:r>
      <w:proofErr w:type="spellEnd"/>
      <w:r w:rsidRPr="00AC1055">
        <w:rPr>
          <w:rFonts w:cs="Times New Roman"/>
        </w:rPr>
        <w:t xml:space="preserve">, </w:t>
      </w:r>
      <w:proofErr w:type="spellStart"/>
      <w:r w:rsidRPr="00AC1055">
        <w:rPr>
          <w:rFonts w:cs="Times New Roman"/>
        </w:rPr>
        <w:t>Harshad</w:t>
      </w:r>
      <w:proofErr w:type="spellEnd"/>
      <w:r w:rsidRPr="00AC1055">
        <w:rPr>
          <w:rFonts w:cs="Times New Roman"/>
        </w:rPr>
        <w:t xml:space="preserve"> Mehta, Raj </w:t>
      </w:r>
      <w:proofErr w:type="spellStart"/>
      <w:r w:rsidRPr="00AC1055">
        <w:rPr>
          <w:rFonts w:cs="Times New Roman"/>
        </w:rPr>
        <w:t>Rajaratnam</w:t>
      </w:r>
      <w:proofErr w:type="spellEnd"/>
      <w:r w:rsidRPr="00AC1055">
        <w:rPr>
          <w:rFonts w:cs="Times New Roman"/>
        </w:rPr>
        <w:t xml:space="preserve"> etc.</w:t>
      </w:r>
    </w:p>
  </w:footnote>
  <w:footnote w:id="73">
    <w:p w14:paraId="641E6083" w14:textId="77777777" w:rsidR="005A260F" w:rsidRPr="00AC1055" w:rsidRDefault="005A260F" w:rsidP="00896AE2">
      <w:pPr>
        <w:pStyle w:val="FootnoteText"/>
        <w:rPr>
          <w:rFonts w:cs="Times New Roman"/>
        </w:rPr>
      </w:pPr>
      <w:r w:rsidRPr="00AC1055">
        <w:rPr>
          <w:rStyle w:val="FootnoteReference"/>
          <w:rFonts w:cs="Times New Roman"/>
        </w:rPr>
        <w:footnoteRef/>
      </w:r>
      <w:r w:rsidRPr="00AC1055">
        <w:rPr>
          <w:rFonts w:cs="Times New Roman"/>
        </w:rPr>
        <w:t xml:space="preserve"> See generally Tim </w:t>
      </w:r>
      <w:proofErr w:type="spellStart"/>
      <w:r w:rsidRPr="00AC1055">
        <w:rPr>
          <w:rFonts w:cs="Times New Roman"/>
        </w:rPr>
        <w:t>Loughran</w:t>
      </w:r>
      <w:proofErr w:type="spellEnd"/>
      <w:r w:rsidRPr="00AC1055">
        <w:rPr>
          <w:rFonts w:cs="Times New Roman"/>
        </w:rPr>
        <w:t xml:space="preserve">, Jay R. Ritter and Kristian </w:t>
      </w:r>
      <w:proofErr w:type="spellStart"/>
      <w:r w:rsidRPr="00AC1055">
        <w:rPr>
          <w:rFonts w:cs="Times New Roman"/>
        </w:rPr>
        <w:t>Rydqvist</w:t>
      </w:r>
      <w:proofErr w:type="spellEnd"/>
      <w:r>
        <w:rPr>
          <w:rFonts w:cs="Times New Roman"/>
        </w:rPr>
        <w:t>,</w:t>
      </w:r>
      <w:r w:rsidRPr="00AC1055">
        <w:rPr>
          <w:rFonts w:cs="Times New Roman"/>
        </w:rPr>
        <w:t xml:space="preserve"> ‘Initial public offerings: International insights.’ (1994) 2 (2) Pacific-Basin Finance Journal 165-199; Carsten </w:t>
      </w:r>
      <w:proofErr w:type="spellStart"/>
      <w:r w:rsidRPr="00AC1055">
        <w:rPr>
          <w:rFonts w:cs="Times New Roman"/>
        </w:rPr>
        <w:t>Burhop</w:t>
      </w:r>
      <w:proofErr w:type="spellEnd"/>
      <w:r w:rsidRPr="00AC1055">
        <w:rPr>
          <w:rFonts w:cs="Times New Roman"/>
        </w:rPr>
        <w:t xml:space="preserve">, David Chambers and Brian R. </w:t>
      </w:r>
      <w:proofErr w:type="spellStart"/>
      <w:r w:rsidRPr="00AC1055">
        <w:rPr>
          <w:rFonts w:cs="Times New Roman"/>
        </w:rPr>
        <w:t>Cheffins</w:t>
      </w:r>
      <w:proofErr w:type="spellEnd"/>
      <w:r w:rsidRPr="00AC1055">
        <w:rPr>
          <w:rFonts w:cs="Times New Roman"/>
        </w:rPr>
        <w:t xml:space="preserve">,  ‘Regulating IPOs: Evidence from Going Public in London and Berlin, 1900-1913’ (2012) ECGI - Law Working Paper No. 180/2011 &lt;http://ssrn.com/abstract=1884190&gt;  </w:t>
      </w:r>
    </w:p>
  </w:footnote>
  <w:footnote w:id="74">
    <w:p w14:paraId="7C695D00"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Jay C. </w:t>
      </w:r>
      <w:proofErr w:type="spellStart"/>
      <w:r w:rsidRPr="00AC1055">
        <w:rPr>
          <w:rFonts w:cs="Times New Roman"/>
        </w:rPr>
        <w:t>Hartzell</w:t>
      </w:r>
      <w:proofErr w:type="spellEnd"/>
      <w:r w:rsidRPr="00AC1055">
        <w:rPr>
          <w:rFonts w:cs="Times New Roman"/>
        </w:rPr>
        <w:t xml:space="preserve">, Jarl G. </w:t>
      </w:r>
      <w:proofErr w:type="spellStart"/>
      <w:r w:rsidRPr="00AC1055">
        <w:rPr>
          <w:rFonts w:cs="Times New Roman"/>
        </w:rPr>
        <w:t>Kallberg</w:t>
      </w:r>
      <w:proofErr w:type="spellEnd"/>
      <w:r w:rsidRPr="00AC1055">
        <w:rPr>
          <w:rFonts w:cs="Times New Roman"/>
        </w:rPr>
        <w:t>, and Crocker H. Liu</w:t>
      </w:r>
      <w:r>
        <w:rPr>
          <w:rFonts w:cs="Times New Roman"/>
        </w:rPr>
        <w:t>,</w:t>
      </w:r>
      <w:r w:rsidRPr="00AC1055">
        <w:rPr>
          <w:rFonts w:cs="Times New Roman"/>
        </w:rPr>
        <w:t xml:space="preserve"> ‘The role of corporate governance in initial public offerings: evidence from real estate investment trusts.’ (2008) 51 (3) Journal of Law and Economics 539-562; for a different viewpoint which shows that firms with higher management quality but greater number of anti-takeover regulations (which goes against a shareholder primacy corporate governance principle as it negates market for corporate control) outperforms other firms in post IPO stock return performance and obtain higher IPO valuation see Thomas J. </w:t>
      </w:r>
      <w:proofErr w:type="spellStart"/>
      <w:r w:rsidRPr="00AC1055">
        <w:rPr>
          <w:rFonts w:cs="Times New Roman"/>
        </w:rPr>
        <w:t>Chemmanur</w:t>
      </w:r>
      <w:proofErr w:type="spellEnd"/>
      <w:r w:rsidRPr="00AC1055">
        <w:rPr>
          <w:rFonts w:cs="Times New Roman"/>
        </w:rPr>
        <w:t xml:space="preserve">, </w:t>
      </w:r>
      <w:proofErr w:type="spellStart"/>
      <w:r w:rsidRPr="00AC1055">
        <w:rPr>
          <w:rFonts w:cs="Times New Roman"/>
        </w:rPr>
        <w:t>Imants</w:t>
      </w:r>
      <w:proofErr w:type="spellEnd"/>
      <w:r w:rsidRPr="00AC1055">
        <w:rPr>
          <w:rFonts w:cs="Times New Roman"/>
        </w:rPr>
        <w:t xml:space="preserve"> </w:t>
      </w:r>
      <w:proofErr w:type="spellStart"/>
      <w:r w:rsidRPr="00AC1055">
        <w:rPr>
          <w:rFonts w:cs="Times New Roman"/>
        </w:rPr>
        <w:t>Paeglis</w:t>
      </w:r>
      <w:proofErr w:type="spellEnd"/>
      <w:r w:rsidRPr="00AC1055">
        <w:rPr>
          <w:rFonts w:cs="Times New Roman"/>
        </w:rPr>
        <w:t xml:space="preserve">, and Karen </w:t>
      </w:r>
      <w:proofErr w:type="spellStart"/>
      <w:r w:rsidRPr="00AC1055">
        <w:rPr>
          <w:rFonts w:cs="Times New Roman"/>
        </w:rPr>
        <w:t>Simonyan</w:t>
      </w:r>
      <w:proofErr w:type="spellEnd"/>
      <w:r>
        <w:rPr>
          <w:rFonts w:cs="Times New Roman"/>
        </w:rPr>
        <w:t>,</w:t>
      </w:r>
      <w:r w:rsidRPr="00AC1055">
        <w:rPr>
          <w:rFonts w:cs="Times New Roman"/>
        </w:rPr>
        <w:t xml:space="preserve"> ‘Management quality and antitakeover provisions.’ (2011) 54 (3) Journal of Law and Economics 651-692; see Garry D. </w:t>
      </w:r>
      <w:proofErr w:type="spellStart"/>
      <w:r w:rsidRPr="00AC1055">
        <w:rPr>
          <w:rFonts w:cs="Times New Roman"/>
        </w:rPr>
        <w:t>Bruton</w:t>
      </w:r>
      <w:proofErr w:type="spellEnd"/>
      <w:r w:rsidRPr="00AC1055">
        <w:rPr>
          <w:rFonts w:cs="Times New Roman"/>
        </w:rPr>
        <w:t xml:space="preserve"> et al., ‘Governance, ownership structure, and performance of IPO firms: the impact of different types of private equity investors and institutional environments’ (2010) 31 (5) Strategic Management Journal 491-509 for empirical evidence that concentrated ownership improves IPOs' performance thereby supporting agency theory argument.</w:t>
      </w:r>
    </w:p>
  </w:footnote>
  <w:footnote w:id="75">
    <w:p w14:paraId="7121B9EA" w14:textId="26C981ED" w:rsidR="005A260F" w:rsidRPr="00AC1055" w:rsidRDefault="005A260F" w:rsidP="008F350F">
      <w:pPr>
        <w:pStyle w:val="FootnoteText"/>
        <w:rPr>
          <w:rFonts w:cs="Times New Roman"/>
        </w:rPr>
      </w:pPr>
      <w:r w:rsidRPr="00AC1055">
        <w:rPr>
          <w:rStyle w:val="FootnoteReference"/>
          <w:rFonts w:cs="Times New Roman"/>
        </w:rPr>
        <w:footnoteRef/>
      </w:r>
      <w:r w:rsidRPr="00AC1055">
        <w:rPr>
          <w:rFonts w:cs="Times New Roman"/>
        </w:rPr>
        <w:t xml:space="preserve"> </w:t>
      </w:r>
      <w:r w:rsidRPr="00A133F6">
        <w:rPr>
          <w:rFonts w:cs="Times New Roman"/>
        </w:rPr>
        <w:t xml:space="preserve">John C. Coffee Jr., ‘The Future as History: The Prospects for Global Convergence in Corporate Governance and Its Implications’ (1999) Columbia Law School </w:t>
      </w:r>
      <w:proofErr w:type="spellStart"/>
      <w:r w:rsidRPr="00A133F6">
        <w:rPr>
          <w:rFonts w:cs="Times New Roman"/>
        </w:rPr>
        <w:t>Center</w:t>
      </w:r>
      <w:proofErr w:type="spellEnd"/>
      <w:r w:rsidRPr="00A133F6">
        <w:rPr>
          <w:rFonts w:cs="Times New Roman"/>
        </w:rPr>
        <w:t xml:space="preserve"> for Law and Economic Studies Working Paper No. 144  &lt;http://ssrn.com/abstract=142833&gt;</w:t>
      </w:r>
      <w:r>
        <w:rPr>
          <w:rFonts w:cs="Times New Roman"/>
        </w:rPr>
        <w:t xml:space="preserve"> published as (1998-1999) 93 </w:t>
      </w:r>
      <w:proofErr w:type="spellStart"/>
      <w:r>
        <w:rPr>
          <w:rFonts w:cs="Times New Roman"/>
        </w:rPr>
        <w:t>Northwestern</w:t>
      </w:r>
      <w:proofErr w:type="spellEnd"/>
      <w:r>
        <w:rPr>
          <w:rFonts w:cs="Times New Roman"/>
        </w:rPr>
        <w:t xml:space="preserve"> University Law Review 641.</w:t>
      </w:r>
    </w:p>
  </w:footnote>
  <w:footnote w:id="76">
    <w:p w14:paraId="35E63C05"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World Development Index &lt; http://data.worldbank.org/indicator/CM.MKT.LDOM.NO&gt; accessed 20 January 2015</w:t>
      </w:r>
    </w:p>
  </w:footnote>
  <w:footnote w:id="77">
    <w:p w14:paraId="5C9968F3" w14:textId="5752243C" w:rsidR="005A260F" w:rsidRPr="00AC1055" w:rsidRDefault="005A260F" w:rsidP="00E93882">
      <w:pPr>
        <w:pStyle w:val="FootnoteText"/>
        <w:rPr>
          <w:rFonts w:cs="Times New Roman"/>
        </w:rPr>
      </w:pPr>
      <w:r w:rsidRPr="00AC1055">
        <w:rPr>
          <w:rStyle w:val="FootnoteReference"/>
          <w:rFonts w:cs="Times New Roman"/>
        </w:rPr>
        <w:footnoteRef/>
      </w:r>
      <w:r w:rsidRPr="00AC1055">
        <w:rPr>
          <w:rFonts w:cs="Times New Roman"/>
        </w:rPr>
        <w:t xml:space="preserve"> See Paolo Mauro, ‘Stock Returns and Output Growth in Emerging and Advanced Economies’ (2000) IMF Working Paper No. 00/89 &lt; http://ssrn.com/abstract=879628 &gt;</w:t>
      </w:r>
      <w:r>
        <w:rPr>
          <w:rFonts w:cs="Times New Roman"/>
        </w:rPr>
        <w:t xml:space="preserve"> </w:t>
      </w:r>
      <w:r w:rsidRPr="00A15496">
        <w:rPr>
          <w:rFonts w:cs="Times New Roman"/>
        </w:rPr>
        <w:t>published at (2003) 71 (1) Journal of Development Economics 129</w:t>
      </w:r>
      <w:r w:rsidRPr="00AC1055">
        <w:rPr>
          <w:rFonts w:cs="Times New Roman"/>
        </w:rPr>
        <w:t>; Carol Ann Frost, Elizabeth A. Gordon, and Andrew F. Hayes</w:t>
      </w:r>
      <w:r>
        <w:rPr>
          <w:rFonts w:cs="Times New Roman"/>
        </w:rPr>
        <w:t>,</w:t>
      </w:r>
      <w:r w:rsidRPr="00AC1055">
        <w:rPr>
          <w:rFonts w:cs="Times New Roman"/>
        </w:rPr>
        <w:t xml:space="preserve"> ‘Stock exchange disclosure and market development: an analysis of 50 international exchanges.’ (2006) 44 (3) Journal of Accounting Research 437-483; Alberto Chong and Florencio </w:t>
      </w:r>
      <w:proofErr w:type="spellStart"/>
      <w:r w:rsidRPr="00AC1055">
        <w:rPr>
          <w:rFonts w:cs="Times New Roman"/>
        </w:rPr>
        <w:t>López</w:t>
      </w:r>
      <w:proofErr w:type="spellEnd"/>
      <w:r w:rsidRPr="00AC1055">
        <w:rPr>
          <w:rFonts w:cs="Times New Roman"/>
        </w:rPr>
        <w:t>-de-</w:t>
      </w:r>
      <w:proofErr w:type="spellStart"/>
      <w:r w:rsidRPr="00AC1055">
        <w:rPr>
          <w:rFonts w:cs="Times New Roman"/>
        </w:rPr>
        <w:t>Silanes</w:t>
      </w:r>
      <w:proofErr w:type="spellEnd"/>
      <w:r>
        <w:rPr>
          <w:rFonts w:cs="Times New Roman"/>
        </w:rPr>
        <w:t>,</w:t>
      </w:r>
      <w:r w:rsidRPr="00AC1055">
        <w:rPr>
          <w:rFonts w:cs="Times New Roman"/>
        </w:rPr>
        <w:t xml:space="preserve"> ‘Corporate governance and firm value in Mexico’ (2006) &lt; http://ssrn.com/abstract=1820043 &gt;</w:t>
      </w:r>
    </w:p>
  </w:footnote>
  <w:footnote w:id="78">
    <w:p w14:paraId="045C2A04" w14:textId="77777777" w:rsidR="005A260F" w:rsidRPr="00AC1055" w:rsidRDefault="005A260F">
      <w:pPr>
        <w:pStyle w:val="FootnoteText"/>
        <w:rPr>
          <w:rFonts w:cs="Times New Roman"/>
        </w:rPr>
      </w:pPr>
      <w:r w:rsidRPr="00AC1055">
        <w:rPr>
          <w:rStyle w:val="FootnoteReference"/>
          <w:rFonts w:cs="Times New Roman"/>
        </w:rPr>
        <w:footnoteRef/>
      </w:r>
      <w:r>
        <w:rPr>
          <w:rFonts w:cs="Times New Roman"/>
        </w:rPr>
        <w:t xml:space="preserve"> See generally Diane K. Denis</w:t>
      </w:r>
      <w:r w:rsidRPr="00AC1055">
        <w:rPr>
          <w:rFonts w:cs="Times New Roman"/>
        </w:rPr>
        <w:t xml:space="preserve"> and John J. McConnell</w:t>
      </w:r>
      <w:r>
        <w:rPr>
          <w:rFonts w:cs="Times New Roman"/>
        </w:rPr>
        <w:t>,</w:t>
      </w:r>
      <w:r w:rsidRPr="00AC1055">
        <w:rPr>
          <w:rFonts w:cs="Times New Roman"/>
        </w:rPr>
        <w:t xml:space="preserve"> ‘International corporate governance’ (2003) 38 (1) Journal of financial and quantitative analysis 1-36; Andrei Shleifer and Robert W. </w:t>
      </w:r>
      <w:proofErr w:type="spellStart"/>
      <w:r w:rsidRPr="00AC1055">
        <w:rPr>
          <w:rFonts w:cs="Times New Roman"/>
        </w:rPr>
        <w:t>Vishny</w:t>
      </w:r>
      <w:proofErr w:type="spellEnd"/>
      <w:r>
        <w:rPr>
          <w:rFonts w:cs="Times New Roman"/>
        </w:rPr>
        <w:t>,</w:t>
      </w:r>
      <w:r w:rsidRPr="00AC1055">
        <w:rPr>
          <w:rFonts w:cs="Times New Roman"/>
        </w:rPr>
        <w:t xml:space="preserve"> ‘A survey of corporate governance.’ (1997) 52 (2) The journal of finance 737-783.</w:t>
      </w:r>
    </w:p>
  </w:footnote>
  <w:footnote w:id="79">
    <w:p w14:paraId="5EC498F8"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World Development Index &lt; http://data.worldbank.org/indicator/CM.MKT.INDX.ZG?cid=GPD_31&gt;</w:t>
      </w:r>
    </w:p>
  </w:footnote>
  <w:footnote w:id="80">
    <w:p w14:paraId="372D40CE" w14:textId="57D904E1"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See generally </w:t>
      </w:r>
      <w:r>
        <w:rPr>
          <w:rFonts w:cs="Times New Roman"/>
        </w:rPr>
        <w:t>(n 47)</w:t>
      </w:r>
      <w:r w:rsidRPr="00AC1055">
        <w:rPr>
          <w:rFonts w:cs="Times New Roman"/>
        </w:rPr>
        <w:t>.</w:t>
      </w:r>
    </w:p>
  </w:footnote>
  <w:footnote w:id="81">
    <w:p w14:paraId="5E1BE917" w14:textId="3139CD64" w:rsidR="005A260F" w:rsidRPr="00AC1055" w:rsidRDefault="005A260F" w:rsidP="00A415AC">
      <w:pPr>
        <w:pStyle w:val="FootnoteText"/>
        <w:rPr>
          <w:rFonts w:cs="Times New Roman"/>
        </w:rPr>
      </w:pPr>
      <w:r w:rsidRPr="00AC1055">
        <w:rPr>
          <w:rStyle w:val="FootnoteReference"/>
          <w:rFonts w:cs="Times New Roman"/>
        </w:rPr>
        <w:footnoteRef/>
      </w:r>
      <w:r w:rsidRPr="00AC1055">
        <w:rPr>
          <w:rFonts w:cs="Times New Roman"/>
        </w:rPr>
        <w:t xml:space="preserve"> See </w:t>
      </w:r>
      <w:proofErr w:type="spellStart"/>
      <w:r w:rsidRPr="00AC1055">
        <w:rPr>
          <w:rFonts w:cs="Times New Roman"/>
        </w:rPr>
        <w:t>Leora</w:t>
      </w:r>
      <w:proofErr w:type="spellEnd"/>
      <w:r w:rsidRPr="00AC1055">
        <w:rPr>
          <w:rFonts w:cs="Times New Roman"/>
        </w:rPr>
        <w:t xml:space="preserve"> F. </w:t>
      </w:r>
      <w:proofErr w:type="spellStart"/>
      <w:r w:rsidRPr="00AC1055">
        <w:rPr>
          <w:rFonts w:cs="Times New Roman"/>
        </w:rPr>
        <w:t>Klapper</w:t>
      </w:r>
      <w:proofErr w:type="spellEnd"/>
      <w:r w:rsidRPr="00AC1055">
        <w:rPr>
          <w:rFonts w:cs="Times New Roman"/>
        </w:rPr>
        <w:t xml:space="preserve"> and </w:t>
      </w:r>
      <w:proofErr w:type="spellStart"/>
      <w:r w:rsidRPr="00AC1055">
        <w:rPr>
          <w:rFonts w:cs="Times New Roman"/>
        </w:rPr>
        <w:t>Inessa</w:t>
      </w:r>
      <w:proofErr w:type="spellEnd"/>
      <w:r w:rsidRPr="00AC1055">
        <w:rPr>
          <w:rFonts w:cs="Times New Roman"/>
        </w:rPr>
        <w:t xml:space="preserve"> Love</w:t>
      </w:r>
      <w:r>
        <w:rPr>
          <w:rFonts w:cs="Times New Roman"/>
        </w:rPr>
        <w:t>,</w:t>
      </w:r>
      <w:r w:rsidRPr="00AC1055">
        <w:rPr>
          <w:rFonts w:cs="Times New Roman"/>
        </w:rPr>
        <w:t xml:space="preserve"> ‘Corporate governance, investor protection, and performance in emerging markets’ (2004) 10 (5) Journal of corporate Finance 703-728; Jackie </w:t>
      </w:r>
      <w:proofErr w:type="spellStart"/>
      <w:r w:rsidRPr="00AC1055">
        <w:rPr>
          <w:rFonts w:cs="Times New Roman"/>
        </w:rPr>
        <w:t>Krafft</w:t>
      </w:r>
      <w:proofErr w:type="spellEnd"/>
      <w:r w:rsidRPr="00AC1055">
        <w:rPr>
          <w:rFonts w:cs="Times New Roman"/>
        </w:rPr>
        <w:t xml:space="preserve"> et al., ‘Corporate Governance, Industry Dynamics and Firms Performance: An Empirical Analysis of a Best Practice Model’ (2008) 74 (4) Louvain Economic Review 455; Brian B. Kin, ‘Stock Returns, Corporate Governance, and Long-Term Economic Growth’ (2009) 35 (2) Ohio Northern University Law Review 685; Simon Deakin, ‘Corporate Governance, Finance and Growth: Unravelling the Relationship’ (2010) 1 </w:t>
      </w:r>
      <w:proofErr w:type="spellStart"/>
      <w:r w:rsidRPr="00AC1055">
        <w:rPr>
          <w:rFonts w:cs="Times New Roman"/>
        </w:rPr>
        <w:t>Acta</w:t>
      </w:r>
      <w:proofErr w:type="spellEnd"/>
      <w:r w:rsidRPr="00AC1055">
        <w:rPr>
          <w:rFonts w:cs="Times New Roman"/>
        </w:rPr>
        <w:t xml:space="preserve"> </w:t>
      </w:r>
      <w:proofErr w:type="spellStart"/>
      <w:r w:rsidRPr="00AC1055">
        <w:rPr>
          <w:rFonts w:cs="Times New Roman"/>
        </w:rPr>
        <w:t>Juridica</w:t>
      </w:r>
      <w:proofErr w:type="spellEnd"/>
      <w:r w:rsidRPr="00AC1055">
        <w:rPr>
          <w:rFonts w:cs="Times New Roman"/>
        </w:rPr>
        <w:t xml:space="preserve"> 191; Rob</w:t>
      </w:r>
      <w:r>
        <w:rPr>
          <w:rFonts w:cs="Times New Roman"/>
        </w:rPr>
        <w:t xml:space="preserve">ert M. Bowen, </w:t>
      </w:r>
      <w:proofErr w:type="spellStart"/>
      <w:r>
        <w:rPr>
          <w:rFonts w:cs="Times New Roman"/>
        </w:rPr>
        <w:t>Shivaram</w:t>
      </w:r>
      <w:proofErr w:type="spellEnd"/>
      <w:r>
        <w:rPr>
          <w:rFonts w:cs="Times New Roman"/>
        </w:rPr>
        <w:t xml:space="preserve"> </w:t>
      </w:r>
      <w:proofErr w:type="spellStart"/>
      <w:r>
        <w:rPr>
          <w:rFonts w:cs="Times New Roman"/>
        </w:rPr>
        <w:t>Rajgopal</w:t>
      </w:r>
      <w:proofErr w:type="spellEnd"/>
      <w:r w:rsidRPr="00AC1055">
        <w:rPr>
          <w:rFonts w:cs="Times New Roman"/>
        </w:rPr>
        <w:t xml:space="preserve"> and Mohan Venkatachalam, ‘Accounting choice, corporate governance and firm performance’ (2002) Working paper, University of Washington at Seattle; William </w:t>
      </w:r>
      <w:proofErr w:type="spellStart"/>
      <w:r w:rsidRPr="00AC1055">
        <w:rPr>
          <w:rFonts w:cs="Times New Roman"/>
        </w:rPr>
        <w:t>Lazonick</w:t>
      </w:r>
      <w:proofErr w:type="spellEnd"/>
      <w:r w:rsidRPr="00AC1055">
        <w:rPr>
          <w:rFonts w:cs="Times New Roman"/>
        </w:rPr>
        <w:t xml:space="preserve"> and Mary </w:t>
      </w:r>
      <w:proofErr w:type="spellStart"/>
      <w:r w:rsidRPr="00AC1055">
        <w:rPr>
          <w:rFonts w:cs="Times New Roman"/>
        </w:rPr>
        <w:t>O’sullivan</w:t>
      </w:r>
      <w:proofErr w:type="spellEnd"/>
      <w:r>
        <w:rPr>
          <w:rFonts w:cs="Times New Roman"/>
        </w:rPr>
        <w:t>,</w:t>
      </w:r>
      <w:r w:rsidRPr="00AC1055">
        <w:rPr>
          <w:rFonts w:cs="Times New Roman"/>
        </w:rPr>
        <w:t xml:space="preserve"> ‘Maximizing shareholder value: a new ideology for corporate governance’ (2000) 29 (1) Economy and society 13-35; Bernard Black</w:t>
      </w:r>
      <w:r>
        <w:rPr>
          <w:rFonts w:cs="Times New Roman"/>
        </w:rPr>
        <w:t>,</w:t>
      </w:r>
      <w:r w:rsidRPr="00AC1055">
        <w:rPr>
          <w:rFonts w:cs="Times New Roman"/>
        </w:rPr>
        <w:t xml:space="preserve"> ‘The corporate governance behaviour and market value of Russian firms’ (2001) 2 (2) Emerging Markets Review 89-108; Wang Hui, ‘Debt Financing, Corporate Governance and Market Valuation of Listed Companies’ (2003) 8 Economic Research Journal 3; for link between share performance and performance linked executive pay see John E. Core, Robert W. </w:t>
      </w:r>
      <w:proofErr w:type="spellStart"/>
      <w:r w:rsidRPr="00AC1055">
        <w:rPr>
          <w:rFonts w:cs="Times New Roman"/>
        </w:rPr>
        <w:t>Holthau</w:t>
      </w:r>
      <w:r>
        <w:rPr>
          <w:rFonts w:cs="Times New Roman"/>
        </w:rPr>
        <w:t>sen</w:t>
      </w:r>
      <w:proofErr w:type="spellEnd"/>
      <w:r w:rsidRPr="00AC1055">
        <w:rPr>
          <w:rFonts w:cs="Times New Roman"/>
        </w:rPr>
        <w:t xml:space="preserve"> and David F. </w:t>
      </w:r>
      <w:proofErr w:type="spellStart"/>
      <w:r w:rsidRPr="00AC1055">
        <w:rPr>
          <w:rFonts w:cs="Times New Roman"/>
        </w:rPr>
        <w:t>Larcker</w:t>
      </w:r>
      <w:proofErr w:type="spellEnd"/>
      <w:r w:rsidRPr="00AC1055">
        <w:rPr>
          <w:rFonts w:cs="Times New Roman"/>
        </w:rPr>
        <w:t>, ‘Corporate governance, chief executive compensation, and firm performance’ 1999 51 Journal of Financial Economics 371-406; Kevin J. Murphy, ‘Corporate performance and managerial remuneration: An empirical analysis’ (1985) 7 (1) Journal of Accounting and Economics 11-42; Anne T. Coughlan and Ronald M. Schmidt</w:t>
      </w:r>
      <w:r>
        <w:rPr>
          <w:rFonts w:cs="Times New Roman"/>
        </w:rPr>
        <w:t>,</w:t>
      </w:r>
      <w:r w:rsidRPr="00AC1055">
        <w:rPr>
          <w:rFonts w:cs="Times New Roman"/>
        </w:rPr>
        <w:t xml:space="preserve"> ‘Executive compensation, management turnover, and firm performance: An empirical investigation’ (1985) 7 (1) Journal of Accounting and Economics 43-66; for local markets see Bernard S. Black, </w:t>
      </w:r>
      <w:proofErr w:type="spellStart"/>
      <w:r w:rsidRPr="00AC1055">
        <w:rPr>
          <w:rFonts w:cs="Times New Roman"/>
        </w:rPr>
        <w:t>Hasung</w:t>
      </w:r>
      <w:proofErr w:type="spellEnd"/>
      <w:r w:rsidRPr="00AC1055">
        <w:rPr>
          <w:rFonts w:cs="Times New Roman"/>
        </w:rPr>
        <w:t xml:space="preserve"> Jang, and </w:t>
      </w:r>
      <w:proofErr w:type="spellStart"/>
      <w:r w:rsidRPr="00AC1055">
        <w:rPr>
          <w:rFonts w:cs="Times New Roman"/>
        </w:rPr>
        <w:t>Woochan</w:t>
      </w:r>
      <w:proofErr w:type="spellEnd"/>
      <w:r w:rsidRPr="00AC1055">
        <w:rPr>
          <w:rFonts w:cs="Times New Roman"/>
        </w:rPr>
        <w:t xml:space="preserve"> Kim</w:t>
      </w:r>
      <w:r>
        <w:rPr>
          <w:rFonts w:cs="Times New Roman"/>
        </w:rPr>
        <w:t>,</w:t>
      </w:r>
      <w:r w:rsidRPr="00AC1055">
        <w:rPr>
          <w:rFonts w:cs="Times New Roman"/>
        </w:rPr>
        <w:t xml:space="preserve"> ‘Does corporate governance predict firms’ market values? Evidence from Korea’ (2006) 22 (2) Journal of Law, Economics, and Organization 366-413; Chong-</w:t>
      </w:r>
      <w:proofErr w:type="spellStart"/>
      <w:r w:rsidRPr="00AC1055">
        <w:rPr>
          <w:rFonts w:cs="Times New Roman"/>
        </w:rPr>
        <w:t>En</w:t>
      </w:r>
      <w:proofErr w:type="spellEnd"/>
      <w:r w:rsidRPr="00AC1055">
        <w:rPr>
          <w:rFonts w:cs="Times New Roman"/>
        </w:rPr>
        <w:t xml:space="preserve"> Bai. et a</w:t>
      </w:r>
      <w:r>
        <w:rPr>
          <w:rFonts w:cs="Times New Roman"/>
        </w:rPr>
        <w:t>l.</w:t>
      </w:r>
      <w:r w:rsidRPr="00AC1055">
        <w:rPr>
          <w:rFonts w:cs="Times New Roman"/>
        </w:rPr>
        <w:t>, ‘Corporate governance and market valuation in China’ (2004) 32 (4) Journal of Comparative Economics 599</w:t>
      </w:r>
      <w:r>
        <w:rPr>
          <w:rFonts w:cs="Times New Roman"/>
        </w:rPr>
        <w:t xml:space="preserve">-616; Rob Bauer, </w:t>
      </w:r>
      <w:proofErr w:type="spellStart"/>
      <w:r>
        <w:rPr>
          <w:rFonts w:cs="Times New Roman"/>
        </w:rPr>
        <w:t>Nadja</w:t>
      </w:r>
      <w:proofErr w:type="spellEnd"/>
      <w:r>
        <w:rPr>
          <w:rFonts w:cs="Times New Roman"/>
        </w:rPr>
        <w:t xml:space="preserve"> </w:t>
      </w:r>
      <w:proofErr w:type="spellStart"/>
      <w:r>
        <w:rPr>
          <w:rFonts w:cs="Times New Roman"/>
        </w:rPr>
        <w:t>Guenster</w:t>
      </w:r>
      <w:proofErr w:type="spellEnd"/>
      <w:r w:rsidRPr="00AC1055">
        <w:rPr>
          <w:rFonts w:cs="Times New Roman"/>
        </w:rPr>
        <w:t xml:space="preserve"> and Roger </w:t>
      </w:r>
      <w:proofErr w:type="spellStart"/>
      <w:r w:rsidRPr="00AC1055">
        <w:rPr>
          <w:rFonts w:cs="Times New Roman"/>
        </w:rPr>
        <w:t>Otten</w:t>
      </w:r>
      <w:proofErr w:type="spellEnd"/>
      <w:r>
        <w:rPr>
          <w:rFonts w:cs="Times New Roman"/>
        </w:rPr>
        <w:t>,</w:t>
      </w:r>
      <w:r w:rsidRPr="00AC1055">
        <w:rPr>
          <w:rFonts w:cs="Times New Roman"/>
        </w:rPr>
        <w:t xml:space="preserve"> ‘Empirical evidence on corporate governance in Europe: The effect on stock returns, firm value and performance’ (2004) 5 (2) Journal of Asset Management 91-104; for an alternate perspective to argue that corporate governance does not impa</w:t>
      </w:r>
      <w:r>
        <w:rPr>
          <w:rFonts w:cs="Times New Roman"/>
        </w:rPr>
        <w:t>ct share price see John E. Core</w:t>
      </w:r>
      <w:r w:rsidRPr="00AC1055">
        <w:rPr>
          <w:rFonts w:cs="Times New Roman"/>
        </w:rPr>
        <w:t xml:space="preserve">, Wayne R. </w:t>
      </w:r>
      <w:proofErr w:type="spellStart"/>
      <w:r w:rsidRPr="00AC1055">
        <w:rPr>
          <w:rFonts w:cs="Times New Roman"/>
        </w:rPr>
        <w:t>Guay</w:t>
      </w:r>
      <w:proofErr w:type="spellEnd"/>
      <w:r w:rsidRPr="00AC1055">
        <w:rPr>
          <w:rFonts w:cs="Times New Roman"/>
        </w:rPr>
        <w:t xml:space="preserve"> and </w:t>
      </w:r>
      <w:proofErr w:type="spellStart"/>
      <w:r w:rsidRPr="00AC1055">
        <w:rPr>
          <w:rFonts w:cs="Times New Roman"/>
        </w:rPr>
        <w:t>Tjomme</w:t>
      </w:r>
      <w:proofErr w:type="spellEnd"/>
      <w:r w:rsidRPr="00AC1055">
        <w:rPr>
          <w:rFonts w:cs="Times New Roman"/>
        </w:rPr>
        <w:t xml:space="preserve"> O. </w:t>
      </w:r>
      <w:proofErr w:type="spellStart"/>
      <w:r w:rsidRPr="00AC1055">
        <w:rPr>
          <w:rFonts w:cs="Times New Roman"/>
        </w:rPr>
        <w:t>Rusticus</w:t>
      </w:r>
      <w:proofErr w:type="spellEnd"/>
      <w:r w:rsidRPr="00AC1055">
        <w:rPr>
          <w:rFonts w:cs="Times New Roman"/>
        </w:rPr>
        <w:t>, ‘Does Weak Governance Cause Weak Stock Returns? An Examination of Firm Operating Performance and Investors' Expectations’ (2004) &lt;http://ssrn.com/abstract=533582&gt;</w:t>
      </w:r>
      <w:r>
        <w:rPr>
          <w:rFonts w:cs="Times New Roman"/>
        </w:rPr>
        <w:t xml:space="preserve"> published at </w:t>
      </w:r>
      <w:r w:rsidRPr="006E576A">
        <w:rPr>
          <w:rFonts w:cs="Times New Roman"/>
        </w:rPr>
        <w:t>(2006) 61 (2) The Journal of Finance 655</w:t>
      </w:r>
      <w:r>
        <w:rPr>
          <w:rFonts w:cs="Times New Roman"/>
        </w:rPr>
        <w:t>.</w:t>
      </w:r>
    </w:p>
  </w:footnote>
  <w:footnote w:id="82">
    <w:p w14:paraId="6FC9F16B"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World Development Index &lt; http://data.worldbank.org/indicator/CM.MKT.TRAD.CD?cid=GPD_31&gt;</w:t>
      </w:r>
    </w:p>
  </w:footnote>
  <w:footnote w:id="83">
    <w:p w14:paraId="313F7C73"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Ross Levine and Sara </w:t>
      </w:r>
      <w:proofErr w:type="spellStart"/>
      <w:r w:rsidRPr="00AC1055">
        <w:rPr>
          <w:rFonts w:cs="Times New Roman"/>
        </w:rPr>
        <w:t>Zervos</w:t>
      </w:r>
      <w:proofErr w:type="spellEnd"/>
      <w:r w:rsidRPr="00AC1055">
        <w:rPr>
          <w:rFonts w:cs="Times New Roman"/>
        </w:rPr>
        <w:t xml:space="preserve">, ‘Stock Markets, Banks, and Economic Growth’ (1998) 88 (3) The American Economic Review 537-558; Christina </w:t>
      </w:r>
      <w:proofErr w:type="spellStart"/>
      <w:r w:rsidRPr="00AC1055">
        <w:rPr>
          <w:rFonts w:cs="Times New Roman"/>
        </w:rPr>
        <w:t>Biedny</w:t>
      </w:r>
      <w:proofErr w:type="spellEnd"/>
      <w:r w:rsidRPr="00AC1055">
        <w:rPr>
          <w:rFonts w:cs="Times New Roman"/>
        </w:rPr>
        <w:t xml:space="preserve">, ‘Financial Development and Economic Growth: Does Stock Market Openness Matter’ (2012) 11 (1) Journal of International Business &amp; Law 225-238; see generally John C. Jr. Coffee, ‘Racing towards the Top: The Impact of Cross-Listing and Stock Market Competition on International Corporate Governance’ (2002) 102 (7) Columbia Law Review 1757; see generally Hamid </w:t>
      </w:r>
      <w:proofErr w:type="spellStart"/>
      <w:r w:rsidRPr="00AC1055">
        <w:rPr>
          <w:rFonts w:cs="Times New Roman"/>
        </w:rPr>
        <w:t>Mohtadi</w:t>
      </w:r>
      <w:proofErr w:type="spellEnd"/>
      <w:r w:rsidRPr="00AC1055">
        <w:rPr>
          <w:rFonts w:cs="Times New Roman"/>
        </w:rPr>
        <w:t xml:space="preserve"> and </w:t>
      </w:r>
      <w:proofErr w:type="spellStart"/>
      <w:r w:rsidRPr="00AC1055">
        <w:rPr>
          <w:rFonts w:cs="Times New Roman"/>
        </w:rPr>
        <w:t>Sumit</w:t>
      </w:r>
      <w:proofErr w:type="spellEnd"/>
      <w:r w:rsidRPr="00AC1055">
        <w:rPr>
          <w:rFonts w:cs="Times New Roman"/>
        </w:rPr>
        <w:t xml:space="preserve"> Agarwal</w:t>
      </w:r>
      <w:r>
        <w:rPr>
          <w:rFonts w:cs="Times New Roman"/>
        </w:rPr>
        <w:t>,</w:t>
      </w:r>
      <w:r w:rsidRPr="00AC1055">
        <w:rPr>
          <w:rFonts w:cs="Times New Roman"/>
        </w:rPr>
        <w:t xml:space="preserve"> ‘Stock market development and economic growth: Evidence from developing countries’ (2001) &lt;http//www. </w:t>
      </w:r>
      <w:proofErr w:type="spellStart"/>
      <w:r w:rsidRPr="00AC1055">
        <w:rPr>
          <w:rFonts w:cs="Times New Roman"/>
        </w:rPr>
        <w:t>uwm</w:t>
      </w:r>
      <w:proofErr w:type="spellEnd"/>
      <w:r w:rsidRPr="00AC1055">
        <w:rPr>
          <w:rFonts w:cs="Times New Roman"/>
        </w:rPr>
        <w:t xml:space="preserve">. </w:t>
      </w:r>
      <w:proofErr w:type="spellStart"/>
      <w:r w:rsidRPr="00AC1055">
        <w:rPr>
          <w:rFonts w:cs="Times New Roman"/>
        </w:rPr>
        <w:t>edu</w:t>
      </w:r>
      <w:proofErr w:type="spellEnd"/>
      <w:r w:rsidRPr="00AC1055">
        <w:rPr>
          <w:rFonts w:cs="Times New Roman"/>
        </w:rPr>
        <w:t>/</w:t>
      </w:r>
      <w:proofErr w:type="spellStart"/>
      <w:r w:rsidRPr="00AC1055">
        <w:rPr>
          <w:rFonts w:cs="Times New Roman"/>
        </w:rPr>
        <w:t>mohadi</w:t>
      </w:r>
      <w:proofErr w:type="spellEnd"/>
      <w:r w:rsidRPr="00AC1055">
        <w:rPr>
          <w:rFonts w:cs="Times New Roman"/>
        </w:rPr>
        <w:t xml:space="preserve">/PA-4-01. Pdf&gt; </w:t>
      </w:r>
    </w:p>
  </w:footnote>
  <w:footnote w:id="84">
    <w:p w14:paraId="6B9614E0"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Asli</w:t>
      </w:r>
      <w:proofErr w:type="spellEnd"/>
      <w:r w:rsidRPr="00AC1055">
        <w:rPr>
          <w:rFonts w:cs="Times New Roman"/>
        </w:rPr>
        <w:t xml:space="preserve"> </w:t>
      </w:r>
      <w:proofErr w:type="spellStart"/>
      <w:r w:rsidRPr="00AC1055">
        <w:rPr>
          <w:rFonts w:cs="Times New Roman"/>
        </w:rPr>
        <w:t>Demirgüç-Kunt</w:t>
      </w:r>
      <w:proofErr w:type="spellEnd"/>
      <w:r w:rsidRPr="00AC1055">
        <w:rPr>
          <w:rFonts w:cs="Times New Roman"/>
        </w:rPr>
        <w:t xml:space="preserve"> and Ross Levine</w:t>
      </w:r>
      <w:r>
        <w:rPr>
          <w:rFonts w:cs="Times New Roman"/>
        </w:rPr>
        <w:t>,</w:t>
      </w:r>
      <w:r w:rsidRPr="00AC1055">
        <w:rPr>
          <w:rFonts w:cs="Times New Roman"/>
        </w:rPr>
        <w:t xml:space="preserve"> ‘Stock market development and financial intermediaries: stylized facts’ (1996) 10 (2) The World Bank Economic Review 291-321</w:t>
      </w:r>
    </w:p>
  </w:footnote>
  <w:footnote w:id="85">
    <w:p w14:paraId="77ABD20D"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See generally Thomas Clarke, </w:t>
      </w:r>
      <w:r w:rsidRPr="00AC1055">
        <w:rPr>
          <w:rFonts w:cs="Times New Roman"/>
          <w:i/>
          <w:iCs/>
        </w:rPr>
        <w:t>International corporate governance: A comparative approach</w:t>
      </w:r>
      <w:r w:rsidRPr="00AC1055">
        <w:rPr>
          <w:rFonts w:cs="Times New Roman"/>
        </w:rPr>
        <w:t xml:space="preserve"> (Routledge, 2007); Michel </w:t>
      </w:r>
      <w:proofErr w:type="spellStart"/>
      <w:r w:rsidRPr="00AC1055">
        <w:rPr>
          <w:rFonts w:cs="Times New Roman"/>
        </w:rPr>
        <w:t>Aglietta</w:t>
      </w:r>
      <w:proofErr w:type="spellEnd"/>
      <w:r w:rsidRPr="00AC1055">
        <w:rPr>
          <w:rFonts w:cs="Times New Roman"/>
        </w:rPr>
        <w:t xml:space="preserve"> and Antoine </w:t>
      </w:r>
      <w:proofErr w:type="spellStart"/>
      <w:r w:rsidRPr="00AC1055">
        <w:rPr>
          <w:rFonts w:cs="Times New Roman"/>
        </w:rPr>
        <w:t>Rebérioux</w:t>
      </w:r>
      <w:proofErr w:type="spellEnd"/>
      <w:r>
        <w:rPr>
          <w:rFonts w:cs="Times New Roman"/>
        </w:rPr>
        <w:t>,</w:t>
      </w:r>
      <w:r w:rsidRPr="00AC1055">
        <w:rPr>
          <w:rFonts w:cs="Times New Roman"/>
        </w:rPr>
        <w:t xml:space="preserve"> </w:t>
      </w:r>
      <w:r w:rsidRPr="00AC1055">
        <w:rPr>
          <w:rFonts w:cs="Times New Roman"/>
          <w:i/>
          <w:iCs/>
        </w:rPr>
        <w:t>Corporate governance adrift: a critique of shareholder value</w:t>
      </w:r>
      <w:r w:rsidRPr="00AC1055">
        <w:rPr>
          <w:rFonts w:cs="Times New Roman"/>
        </w:rPr>
        <w:t xml:space="preserve"> (Edward Elgar Publishing, 2005); Paddy Ireland, ‘</w:t>
      </w:r>
      <w:proofErr w:type="spellStart"/>
      <w:r w:rsidRPr="00AC1055">
        <w:rPr>
          <w:rFonts w:cs="Times New Roman"/>
        </w:rPr>
        <w:t>Financialization</w:t>
      </w:r>
      <w:proofErr w:type="spellEnd"/>
      <w:r w:rsidRPr="00AC1055">
        <w:rPr>
          <w:rFonts w:cs="Times New Roman"/>
        </w:rPr>
        <w:t xml:space="preserve"> and corporate governance’ (2009) 60 North Ireland Legal Quarterly 1; </w:t>
      </w:r>
      <w:proofErr w:type="spellStart"/>
      <w:r w:rsidRPr="00AC1055">
        <w:rPr>
          <w:rFonts w:cs="Times New Roman"/>
        </w:rPr>
        <w:t>Kee</w:t>
      </w:r>
      <w:proofErr w:type="spellEnd"/>
      <w:r w:rsidRPr="00AC1055">
        <w:rPr>
          <w:rFonts w:cs="Times New Roman"/>
        </w:rPr>
        <w:t xml:space="preserve"> H. Chung, John Elder and Jang-</w:t>
      </w:r>
      <w:proofErr w:type="spellStart"/>
      <w:r w:rsidRPr="00AC1055">
        <w:rPr>
          <w:rFonts w:cs="Times New Roman"/>
        </w:rPr>
        <w:t>Chul</w:t>
      </w:r>
      <w:proofErr w:type="spellEnd"/>
      <w:r w:rsidRPr="00AC1055">
        <w:rPr>
          <w:rFonts w:cs="Times New Roman"/>
        </w:rPr>
        <w:t xml:space="preserve"> Kim</w:t>
      </w:r>
      <w:r>
        <w:rPr>
          <w:rFonts w:cs="Times New Roman"/>
        </w:rPr>
        <w:t>,</w:t>
      </w:r>
      <w:r w:rsidRPr="00AC1055">
        <w:rPr>
          <w:rFonts w:cs="Times New Roman"/>
        </w:rPr>
        <w:t xml:space="preserve"> ‘Corporate governance and liquidity’ (2010) Journal of Financial and Quantitative Analysis 265-291; </w:t>
      </w:r>
      <w:proofErr w:type="spellStart"/>
      <w:r w:rsidRPr="00AC1055">
        <w:rPr>
          <w:rFonts w:cs="Times New Roman"/>
        </w:rPr>
        <w:t>Hayong</w:t>
      </w:r>
      <w:proofErr w:type="spellEnd"/>
      <w:r w:rsidRPr="00AC1055">
        <w:rPr>
          <w:rFonts w:cs="Times New Roman"/>
        </w:rPr>
        <w:t xml:space="preserve"> Yun, ‘The choice of corporate liquidity and corporate governance’ (2009) 22 (4) Review of Financial Studies 1447-1475; Oliver E. Williamson, ‘Corporate finance and corporate governance’ (1988) 43 (3) The Journal of Finance 567-591.</w:t>
      </w:r>
    </w:p>
  </w:footnote>
  <w:footnote w:id="86">
    <w:p w14:paraId="15A64685" w14:textId="3B9D02E1" w:rsidR="005A260F" w:rsidRPr="00A02B86" w:rsidRDefault="005A260F" w:rsidP="00064B3E">
      <w:pPr>
        <w:pStyle w:val="FootnoteText"/>
        <w:rPr>
          <w:rFonts w:cs="Times New Roman"/>
          <w:lang w:val="it-IT"/>
        </w:rPr>
      </w:pPr>
      <w:r w:rsidRPr="00AC1055">
        <w:rPr>
          <w:rStyle w:val="FootnoteReference"/>
          <w:rFonts w:cs="Times New Roman"/>
        </w:rPr>
        <w:footnoteRef/>
      </w:r>
      <w:r w:rsidRPr="00A02B86">
        <w:rPr>
          <w:rFonts w:cs="Times New Roman"/>
          <w:lang w:val="it-IT"/>
        </w:rPr>
        <w:t xml:space="preserve"> La Porta et al. (1997) (n </w:t>
      </w:r>
      <w:r>
        <w:rPr>
          <w:rFonts w:cs="Times New Roman"/>
          <w:lang w:val="it-IT"/>
        </w:rPr>
        <w:t>10</w:t>
      </w:r>
      <w:r w:rsidRPr="00A02B86">
        <w:rPr>
          <w:rFonts w:cs="Times New Roman"/>
          <w:lang w:val="it-IT"/>
        </w:rPr>
        <w:t>)</w:t>
      </w:r>
    </w:p>
  </w:footnote>
  <w:footnote w:id="87">
    <w:p w14:paraId="26EC114B" w14:textId="77777777" w:rsidR="005A260F" w:rsidRPr="00A02B86" w:rsidRDefault="005A260F" w:rsidP="00064B3E">
      <w:pPr>
        <w:pStyle w:val="FootnoteText"/>
        <w:rPr>
          <w:rFonts w:cs="Times New Roman"/>
          <w:lang w:val="es-ES_tradnl"/>
        </w:rPr>
      </w:pPr>
      <w:r w:rsidRPr="00AC1055">
        <w:rPr>
          <w:rStyle w:val="FootnoteReference"/>
          <w:rFonts w:cs="Times New Roman"/>
        </w:rPr>
        <w:footnoteRef/>
      </w:r>
      <w:r w:rsidRPr="00A02B86">
        <w:rPr>
          <w:rFonts w:cs="Times New Roman"/>
          <w:lang w:val="es-ES_tradnl"/>
        </w:rPr>
        <w:t xml:space="preserve"> </w:t>
      </w:r>
      <w:proofErr w:type="spellStart"/>
      <w:r w:rsidRPr="00A02B86">
        <w:rPr>
          <w:rFonts w:cs="Times New Roman"/>
          <w:lang w:val="es-ES_tradnl"/>
        </w:rPr>
        <w:t>ibid</w:t>
      </w:r>
      <w:proofErr w:type="spellEnd"/>
    </w:p>
  </w:footnote>
  <w:footnote w:id="88">
    <w:p w14:paraId="49602DD5" w14:textId="77777777" w:rsidR="005A260F" w:rsidRPr="00A02B86" w:rsidRDefault="005A260F" w:rsidP="00064B3E">
      <w:pPr>
        <w:pStyle w:val="FootnoteText"/>
        <w:rPr>
          <w:rFonts w:cs="Times New Roman"/>
          <w:lang w:val="es-ES_tradnl"/>
        </w:rPr>
      </w:pPr>
      <w:r w:rsidRPr="00AC1055">
        <w:rPr>
          <w:rStyle w:val="FootnoteReference"/>
          <w:rFonts w:cs="Times New Roman"/>
        </w:rPr>
        <w:footnoteRef/>
      </w:r>
      <w:r w:rsidRPr="00A02B86">
        <w:rPr>
          <w:rFonts w:cs="Times New Roman"/>
          <w:lang w:val="es-ES_tradnl"/>
        </w:rPr>
        <w:t xml:space="preserve"> </w:t>
      </w:r>
      <w:proofErr w:type="spellStart"/>
      <w:r w:rsidRPr="00A02B86">
        <w:rPr>
          <w:rFonts w:cs="Times New Roman"/>
          <w:lang w:val="es-ES_tradnl"/>
        </w:rPr>
        <w:t>ibid</w:t>
      </w:r>
      <w:proofErr w:type="spellEnd"/>
    </w:p>
  </w:footnote>
  <w:footnote w:id="89">
    <w:p w14:paraId="09CB1814" w14:textId="11845519" w:rsidR="005A260F" w:rsidRPr="00A02B86" w:rsidRDefault="005A260F" w:rsidP="00064B3E">
      <w:pPr>
        <w:pStyle w:val="FootnoteText"/>
        <w:rPr>
          <w:rFonts w:cs="Times New Roman"/>
          <w:lang w:val="es-ES_tradnl"/>
        </w:rPr>
      </w:pPr>
      <w:r w:rsidRPr="00AC1055">
        <w:rPr>
          <w:rStyle w:val="FootnoteReference"/>
          <w:rFonts w:cs="Times New Roman"/>
        </w:rPr>
        <w:footnoteRef/>
      </w:r>
      <w:r w:rsidRPr="00A02B86">
        <w:rPr>
          <w:rFonts w:cs="Times New Roman"/>
          <w:lang w:val="es-ES_tradnl"/>
        </w:rPr>
        <w:t xml:space="preserve"> La Porta et al. (2006) (n </w:t>
      </w:r>
      <w:r>
        <w:rPr>
          <w:rFonts w:cs="Times New Roman"/>
          <w:lang w:val="es-ES_tradnl"/>
        </w:rPr>
        <w:t>10</w:t>
      </w:r>
      <w:r w:rsidRPr="00A02B86">
        <w:rPr>
          <w:rFonts w:cs="Times New Roman"/>
          <w:lang w:val="es-ES_tradnl"/>
        </w:rPr>
        <w:t>)</w:t>
      </w:r>
    </w:p>
  </w:footnote>
  <w:footnote w:id="90">
    <w:p w14:paraId="4F67669F" w14:textId="77777777" w:rsidR="005A260F" w:rsidRPr="00A02B86" w:rsidRDefault="005A260F" w:rsidP="00064B3E">
      <w:pPr>
        <w:pStyle w:val="FootnoteText"/>
        <w:rPr>
          <w:rFonts w:cs="Times New Roman"/>
          <w:lang w:val="es-ES_tradnl"/>
        </w:rPr>
      </w:pPr>
      <w:r w:rsidRPr="00AC1055">
        <w:rPr>
          <w:rStyle w:val="FootnoteReference"/>
          <w:rFonts w:cs="Times New Roman"/>
        </w:rPr>
        <w:footnoteRef/>
      </w:r>
      <w:r w:rsidRPr="00A02B86">
        <w:rPr>
          <w:rFonts w:cs="Times New Roman"/>
          <w:lang w:val="es-ES_tradnl"/>
        </w:rPr>
        <w:t xml:space="preserve"> </w:t>
      </w:r>
      <w:proofErr w:type="spellStart"/>
      <w:r w:rsidRPr="00A02B86">
        <w:rPr>
          <w:rFonts w:cs="Times New Roman"/>
          <w:lang w:val="es-ES_tradnl"/>
        </w:rPr>
        <w:t>ibid</w:t>
      </w:r>
      <w:proofErr w:type="spellEnd"/>
    </w:p>
  </w:footnote>
  <w:footnote w:id="91">
    <w:p w14:paraId="4CD8B3CF" w14:textId="77777777" w:rsidR="005A260F" w:rsidRPr="00373675" w:rsidRDefault="005A260F" w:rsidP="00064B3E">
      <w:pPr>
        <w:pStyle w:val="FootnoteText"/>
        <w:rPr>
          <w:rFonts w:cs="Times New Roman"/>
          <w:lang w:val="sv-SE"/>
        </w:rPr>
      </w:pPr>
      <w:r w:rsidRPr="00AC1055">
        <w:rPr>
          <w:rStyle w:val="FootnoteReference"/>
          <w:rFonts w:cs="Times New Roman"/>
        </w:rPr>
        <w:footnoteRef/>
      </w:r>
      <w:r w:rsidRPr="00373675">
        <w:rPr>
          <w:rFonts w:cs="Times New Roman"/>
          <w:lang w:val="sv-SE"/>
        </w:rPr>
        <w:t xml:space="preserve"> ibid</w:t>
      </w:r>
    </w:p>
  </w:footnote>
  <w:footnote w:id="92">
    <w:p w14:paraId="3076E211" w14:textId="1CC14E04" w:rsidR="005A260F" w:rsidRPr="00373675" w:rsidRDefault="005A260F" w:rsidP="00064B3E">
      <w:pPr>
        <w:pStyle w:val="FootnoteText"/>
        <w:rPr>
          <w:rFonts w:cs="Times New Roman"/>
          <w:lang w:val="sv-SE"/>
        </w:rPr>
      </w:pPr>
      <w:r w:rsidRPr="00AC1055">
        <w:rPr>
          <w:rStyle w:val="FootnoteReference"/>
          <w:rFonts w:cs="Times New Roman"/>
        </w:rPr>
        <w:footnoteRef/>
      </w:r>
      <w:r w:rsidRPr="00373675">
        <w:rPr>
          <w:rFonts w:cs="Times New Roman"/>
          <w:lang w:val="sv-SE"/>
        </w:rPr>
        <w:t xml:space="preserve"> Djankov et al. (n 3</w:t>
      </w:r>
      <w:r>
        <w:rPr>
          <w:rFonts w:cs="Times New Roman"/>
          <w:lang w:val="sv-SE"/>
        </w:rPr>
        <w:t>2</w:t>
      </w:r>
      <w:r w:rsidRPr="00373675">
        <w:rPr>
          <w:rFonts w:cs="Times New Roman"/>
          <w:lang w:val="sv-SE"/>
        </w:rPr>
        <w:t>)</w:t>
      </w:r>
    </w:p>
  </w:footnote>
  <w:footnote w:id="93">
    <w:p w14:paraId="5BCB8628" w14:textId="77777777" w:rsidR="005A260F" w:rsidRPr="00373675" w:rsidRDefault="005A260F" w:rsidP="00064B3E">
      <w:pPr>
        <w:pStyle w:val="FootnoteText"/>
        <w:rPr>
          <w:rFonts w:cs="Times New Roman"/>
          <w:lang w:val="sv-SE"/>
        </w:rPr>
      </w:pPr>
      <w:r w:rsidRPr="00AC1055">
        <w:rPr>
          <w:rStyle w:val="FootnoteReference"/>
          <w:rFonts w:cs="Times New Roman"/>
        </w:rPr>
        <w:footnoteRef/>
      </w:r>
      <w:r w:rsidRPr="00373675">
        <w:rPr>
          <w:rFonts w:cs="Times New Roman"/>
          <w:lang w:val="sv-SE"/>
        </w:rPr>
        <w:t xml:space="preserve"> ibid</w:t>
      </w:r>
    </w:p>
  </w:footnote>
  <w:footnote w:id="94">
    <w:p w14:paraId="29E6A086" w14:textId="77777777" w:rsidR="005A260F" w:rsidRPr="00D830D0" w:rsidRDefault="005A260F" w:rsidP="00064B3E">
      <w:pPr>
        <w:pStyle w:val="FootnoteText"/>
        <w:rPr>
          <w:rFonts w:cs="Times New Roman"/>
          <w:lang w:val="fr-FR"/>
        </w:rPr>
      </w:pPr>
      <w:r w:rsidRPr="00AC1055">
        <w:rPr>
          <w:rStyle w:val="FootnoteReference"/>
          <w:rFonts w:cs="Times New Roman"/>
        </w:rPr>
        <w:footnoteRef/>
      </w:r>
      <w:r w:rsidRPr="00D830D0">
        <w:rPr>
          <w:rFonts w:cs="Times New Roman"/>
          <w:lang w:val="fr-FR"/>
        </w:rPr>
        <w:t xml:space="preserve"> </w:t>
      </w:r>
      <w:proofErr w:type="spellStart"/>
      <w:r w:rsidRPr="00D830D0">
        <w:rPr>
          <w:rFonts w:cs="Times New Roman"/>
          <w:lang w:val="fr-FR"/>
        </w:rPr>
        <w:t>ibid</w:t>
      </w:r>
      <w:proofErr w:type="spellEnd"/>
    </w:p>
  </w:footnote>
  <w:footnote w:id="95">
    <w:p w14:paraId="0FA8EF0D" w14:textId="3EDAB031" w:rsidR="005A260F" w:rsidRPr="00A02B86" w:rsidRDefault="005A260F" w:rsidP="00064B3E">
      <w:pPr>
        <w:pStyle w:val="FootnoteText"/>
        <w:rPr>
          <w:rFonts w:cs="Times New Roman"/>
          <w:lang w:val="it-IT"/>
        </w:rPr>
      </w:pPr>
      <w:r w:rsidRPr="00AC1055">
        <w:rPr>
          <w:rStyle w:val="FootnoteReference"/>
          <w:rFonts w:cs="Times New Roman"/>
        </w:rPr>
        <w:footnoteRef/>
      </w:r>
      <w:r>
        <w:rPr>
          <w:rFonts w:cs="Times New Roman"/>
          <w:lang w:val="fr-FR"/>
        </w:rPr>
        <w:t xml:space="preserve"> </w:t>
      </w:r>
      <w:proofErr w:type="spellStart"/>
      <w:r>
        <w:rPr>
          <w:rFonts w:cs="Times New Roman"/>
          <w:lang w:val="fr-FR"/>
        </w:rPr>
        <w:t>Armour</w:t>
      </w:r>
      <w:proofErr w:type="spellEnd"/>
      <w:r>
        <w:rPr>
          <w:rFonts w:cs="Times New Roman"/>
          <w:lang w:val="fr-FR"/>
        </w:rPr>
        <w:t xml:space="preserve">, </w:t>
      </w:r>
      <w:proofErr w:type="spellStart"/>
      <w:r>
        <w:rPr>
          <w:rFonts w:cs="Times New Roman"/>
          <w:lang w:val="fr-FR"/>
        </w:rPr>
        <w:t>Deakin</w:t>
      </w:r>
      <w:proofErr w:type="spellEnd"/>
      <w:r>
        <w:rPr>
          <w:rFonts w:cs="Times New Roman"/>
          <w:lang w:val="fr-FR"/>
        </w:rPr>
        <w:t xml:space="preserve"> et al. </w:t>
      </w:r>
      <w:r>
        <w:rPr>
          <w:rFonts w:cs="Times New Roman"/>
          <w:lang w:val="it-IT"/>
        </w:rPr>
        <w:t>(n 61</w:t>
      </w:r>
      <w:r w:rsidRPr="00A02B86">
        <w:rPr>
          <w:rFonts w:cs="Times New Roman"/>
          <w:lang w:val="it-IT"/>
        </w:rPr>
        <w:t>)</w:t>
      </w:r>
    </w:p>
  </w:footnote>
  <w:footnote w:id="96">
    <w:p w14:paraId="5EE78C4E" w14:textId="66A61F3D" w:rsidR="005A260F" w:rsidRPr="00AC1055" w:rsidRDefault="005A260F" w:rsidP="00064B3E">
      <w:pPr>
        <w:pStyle w:val="FootnoteText"/>
        <w:rPr>
          <w:rFonts w:cs="Times New Roman"/>
        </w:rPr>
      </w:pPr>
      <w:r w:rsidRPr="00AC1055">
        <w:rPr>
          <w:rStyle w:val="FootnoteReference"/>
          <w:rFonts w:cs="Times New Roman"/>
        </w:rPr>
        <w:footnoteRef/>
      </w:r>
      <w:r w:rsidRPr="00A02B86">
        <w:rPr>
          <w:rFonts w:cs="Times New Roman"/>
          <w:lang w:val="it-IT"/>
        </w:rPr>
        <w:t xml:space="preserve"> La Porta et al. </w:t>
      </w:r>
      <w:r w:rsidRPr="00AC1055">
        <w:rPr>
          <w:rFonts w:cs="Times New Roman"/>
        </w:rPr>
        <w:t xml:space="preserve">(2008) </w:t>
      </w:r>
      <w:r>
        <w:rPr>
          <w:rFonts w:cs="Times New Roman"/>
        </w:rPr>
        <w:t>(n 10</w:t>
      </w:r>
      <w:r w:rsidRPr="00AC1055">
        <w:rPr>
          <w:rFonts w:cs="Times New Roman"/>
        </w:rPr>
        <w:t>)</w:t>
      </w:r>
    </w:p>
  </w:footnote>
  <w:footnote w:id="97">
    <w:p w14:paraId="73FE6A38" w14:textId="2E65BADC" w:rsidR="005A260F" w:rsidRPr="00AC1055" w:rsidRDefault="005A260F" w:rsidP="00064B3E">
      <w:pPr>
        <w:pStyle w:val="FootnoteText"/>
        <w:rPr>
          <w:rFonts w:cs="Times New Roman"/>
        </w:rPr>
      </w:pPr>
      <w:r w:rsidRPr="00AC1055">
        <w:rPr>
          <w:rStyle w:val="FootnoteReference"/>
          <w:rFonts w:cs="Times New Roman"/>
        </w:rPr>
        <w:footnoteRef/>
      </w:r>
      <w:r>
        <w:rPr>
          <w:rFonts w:cs="Times New Roman"/>
        </w:rPr>
        <w:t xml:space="preserve"> i</w:t>
      </w:r>
      <w:r w:rsidRPr="00AC1055">
        <w:rPr>
          <w:rFonts w:cs="Times New Roman"/>
        </w:rPr>
        <w:t>bid 312</w:t>
      </w:r>
    </w:p>
  </w:footnote>
  <w:footnote w:id="98">
    <w:p w14:paraId="023DD70A"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For advantages of using log GDP and its impact on health please refer to </w:t>
      </w:r>
      <w:proofErr w:type="spellStart"/>
      <w:r w:rsidRPr="00AC1055">
        <w:rPr>
          <w:rFonts w:cs="Times New Roman"/>
        </w:rPr>
        <w:t>Aghion</w:t>
      </w:r>
      <w:proofErr w:type="spellEnd"/>
      <w:r w:rsidRPr="00AC1055">
        <w:rPr>
          <w:rFonts w:cs="Times New Roman"/>
        </w:rPr>
        <w:t xml:space="preserve"> et al., ‘The relationship between health and growth: when Lucas meets Nelson-Phelps’, (2010) National Bureau of Economic Research No. w15813 available at </w:t>
      </w:r>
      <w:r>
        <w:rPr>
          <w:rFonts w:cs="Times New Roman"/>
        </w:rPr>
        <w:t>&lt;</w:t>
      </w:r>
      <w:r w:rsidRPr="00AC1055">
        <w:rPr>
          <w:rFonts w:cs="Times New Roman"/>
        </w:rPr>
        <w:t>http://scholar.harvard.edu/files/aghion/files/relationship_between_health.pdf</w:t>
      </w:r>
      <w:r>
        <w:rPr>
          <w:rFonts w:cs="Times New Roman"/>
        </w:rPr>
        <w:t>&gt;</w:t>
      </w:r>
      <w:r w:rsidRPr="00AC1055">
        <w:rPr>
          <w:rFonts w:cs="Times New Roman"/>
        </w:rPr>
        <w:t xml:space="preserve"> </w:t>
      </w:r>
    </w:p>
  </w:footnote>
  <w:footnote w:id="99">
    <w:p w14:paraId="196F554E"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Henrik Hansen and John Rand, ‘On the causal links between FDI and growth in developing countries’ (2006) 29 (1) The World Economy 21-41</w:t>
      </w:r>
    </w:p>
  </w:footnote>
  <w:footnote w:id="100">
    <w:p w14:paraId="5F284D6E"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Basu et al., ‘Liberalization, FDI, and growth in developing countries: a panel </w:t>
      </w:r>
      <w:proofErr w:type="spellStart"/>
      <w:r w:rsidRPr="00AC1055">
        <w:rPr>
          <w:rFonts w:cs="Times New Roman"/>
        </w:rPr>
        <w:t>cointegration</w:t>
      </w:r>
      <w:proofErr w:type="spellEnd"/>
      <w:r w:rsidRPr="00AC1055">
        <w:rPr>
          <w:rFonts w:cs="Times New Roman"/>
        </w:rPr>
        <w:t xml:space="preserve"> approach’ (2003) 41 (3) Economic Inquiry 510-516.</w:t>
      </w:r>
    </w:p>
  </w:footnote>
  <w:footnote w:id="101">
    <w:p w14:paraId="282F595E"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Frank S.T. Hsiao and Mei-Chu W. Hsiao, ‘FDI, exports, and GDP in East and Southeast Asia—Panel data versus time-series causality analyses’ (2006) 17 (6) Journal of Asian Economics 1082</w:t>
      </w:r>
    </w:p>
  </w:footnote>
  <w:footnote w:id="102">
    <w:p w14:paraId="3B842DE9"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Holger </w:t>
      </w:r>
      <w:proofErr w:type="spellStart"/>
      <w:r w:rsidRPr="00AC1055">
        <w:rPr>
          <w:rFonts w:cs="Times New Roman"/>
        </w:rPr>
        <w:t>Sandte</w:t>
      </w:r>
      <w:proofErr w:type="spellEnd"/>
      <w:r w:rsidRPr="00AC1055">
        <w:rPr>
          <w:rFonts w:cs="Times New Roman"/>
        </w:rPr>
        <w:t xml:space="preserve">, ‘Stock Markets vs GDP Growth: A Complicated Mixture’ (2012) </w:t>
      </w:r>
      <w:proofErr w:type="spellStart"/>
      <w:r w:rsidRPr="00AC1055">
        <w:rPr>
          <w:rFonts w:cs="Times New Roman"/>
        </w:rPr>
        <w:t>WestLB</w:t>
      </w:r>
      <w:proofErr w:type="spellEnd"/>
      <w:r w:rsidRPr="00AC1055">
        <w:rPr>
          <w:rFonts w:cs="Times New Roman"/>
        </w:rPr>
        <w:t xml:space="preserve"> Mellon Asset Management Viewpoint 1 – 8 available at http://us.bnymellonam.com/core/library/documents /knowledge/</w:t>
      </w:r>
      <w:proofErr w:type="spellStart"/>
      <w:r w:rsidRPr="00AC1055">
        <w:rPr>
          <w:rFonts w:cs="Times New Roman"/>
        </w:rPr>
        <w:t>AlphaTrends</w:t>
      </w:r>
      <w:proofErr w:type="spellEnd"/>
      <w:r w:rsidRPr="00AC1055">
        <w:rPr>
          <w:rFonts w:cs="Times New Roman"/>
        </w:rPr>
        <w:t xml:space="preserve">/Stock_Markets_vs_GDP.pdf; Lena Saeed </w:t>
      </w:r>
      <w:proofErr w:type="spellStart"/>
      <w:r w:rsidRPr="00AC1055">
        <w:rPr>
          <w:rFonts w:cs="Times New Roman"/>
        </w:rPr>
        <w:t>Shiblee</w:t>
      </w:r>
      <w:proofErr w:type="spellEnd"/>
      <w:r w:rsidRPr="00AC1055">
        <w:rPr>
          <w:rFonts w:cs="Times New Roman"/>
        </w:rPr>
        <w:t xml:space="preserve"> IV, ‘The Impact of Inflation, GDP, Unemployment, and Money Supply On Stock Prices’ (2009) available at http://dx.doi.org/10.2139/ssrn.1529254; N </w:t>
      </w:r>
      <w:proofErr w:type="spellStart"/>
      <w:r w:rsidRPr="00AC1055">
        <w:rPr>
          <w:rFonts w:cs="Times New Roman"/>
        </w:rPr>
        <w:t>Groenewold</w:t>
      </w:r>
      <w:proofErr w:type="spellEnd"/>
      <w:r w:rsidRPr="00AC1055">
        <w:rPr>
          <w:rFonts w:cs="Times New Roman"/>
        </w:rPr>
        <w:t xml:space="preserve"> Fraser, ‘Share Prices and Macroeconomic Factors’ (1997) 24 (9-10) Journal of Business Finance &amp; Accounting 1367-1383</w:t>
      </w:r>
    </w:p>
  </w:footnote>
  <w:footnote w:id="103">
    <w:p w14:paraId="58E2176A" w14:textId="12C7B7C8"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Cutler et al., ‘What moves stock prices?’ in Peter L. Bernstein and Frank L. </w:t>
      </w:r>
      <w:proofErr w:type="spellStart"/>
      <w:r w:rsidRPr="00AC1055">
        <w:rPr>
          <w:rFonts w:cs="Times New Roman"/>
        </w:rPr>
        <w:t>Fabozzi</w:t>
      </w:r>
      <w:proofErr w:type="spellEnd"/>
      <w:r w:rsidRPr="00AC1055">
        <w:rPr>
          <w:rFonts w:cs="Times New Roman"/>
        </w:rPr>
        <w:t xml:space="preserve"> (eds.), </w:t>
      </w:r>
      <w:r w:rsidRPr="00AC1055">
        <w:rPr>
          <w:rFonts w:cs="Times New Roman"/>
          <w:i/>
        </w:rPr>
        <w:t>Streetwise: The Best of the Journal of Portfolio Management</w:t>
      </w:r>
      <w:r w:rsidRPr="00AC1055">
        <w:rPr>
          <w:rFonts w:cs="Times New Roman"/>
        </w:rPr>
        <w:t xml:space="preserve"> (Princeton University Press 1998) 56-63.</w:t>
      </w:r>
    </w:p>
  </w:footnote>
  <w:footnote w:id="104">
    <w:p w14:paraId="74A91A31"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Dharmendra </w:t>
      </w:r>
      <w:proofErr w:type="spellStart"/>
      <w:r w:rsidRPr="00AC1055">
        <w:rPr>
          <w:rFonts w:cs="Times New Roman"/>
        </w:rPr>
        <w:t>Dhakal</w:t>
      </w:r>
      <w:proofErr w:type="spellEnd"/>
      <w:r w:rsidRPr="00AC1055">
        <w:rPr>
          <w:rFonts w:cs="Times New Roman"/>
        </w:rPr>
        <w:t xml:space="preserve"> et al., ‘Causality between the money supply and share prices: a VAR investigation’ (1993) Quarterly Journal of Business and Economics 52-74.</w:t>
      </w:r>
    </w:p>
  </w:footnote>
  <w:footnote w:id="105">
    <w:p w14:paraId="165EBE18"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Saeid</w:t>
      </w:r>
      <w:proofErr w:type="spellEnd"/>
      <w:r w:rsidRPr="00AC1055">
        <w:rPr>
          <w:rFonts w:cs="Times New Roman"/>
        </w:rPr>
        <w:t xml:space="preserve"> </w:t>
      </w:r>
      <w:proofErr w:type="spellStart"/>
      <w:r w:rsidRPr="00AC1055">
        <w:rPr>
          <w:rFonts w:cs="Times New Roman"/>
        </w:rPr>
        <w:t>Mahdavi</w:t>
      </w:r>
      <w:proofErr w:type="spellEnd"/>
      <w:r w:rsidRPr="00AC1055">
        <w:rPr>
          <w:rFonts w:cs="Times New Roman"/>
        </w:rPr>
        <w:t xml:space="preserve"> and Ahmad </w:t>
      </w:r>
      <w:proofErr w:type="spellStart"/>
      <w:r w:rsidRPr="00AC1055">
        <w:rPr>
          <w:rFonts w:cs="Times New Roman"/>
        </w:rPr>
        <w:t>Sohrabian</w:t>
      </w:r>
      <w:proofErr w:type="spellEnd"/>
      <w:r w:rsidRPr="00AC1055">
        <w:rPr>
          <w:rFonts w:cs="Times New Roman"/>
        </w:rPr>
        <w:t>, ‘The link between the rate of growth of stock prices and the rate of growth of GNP in the United States: a Granger causality test’ (1991) The American Economist 41-48.</w:t>
      </w:r>
    </w:p>
  </w:footnote>
  <w:footnote w:id="106">
    <w:p w14:paraId="4BAF4E99"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B </w:t>
      </w:r>
      <w:proofErr w:type="spellStart"/>
      <w:r w:rsidRPr="00AC1055">
        <w:rPr>
          <w:rFonts w:cs="Times New Roman"/>
        </w:rPr>
        <w:t>Chowdhry</w:t>
      </w:r>
      <w:proofErr w:type="spellEnd"/>
      <w:r w:rsidRPr="00AC1055">
        <w:rPr>
          <w:rFonts w:cs="Times New Roman"/>
        </w:rPr>
        <w:t xml:space="preserve"> et al., ‘Extracting inflation from stock returns to test purchasing power parity’ (2005) 95 (1) American Economic Review 255-276</w:t>
      </w:r>
    </w:p>
  </w:footnote>
  <w:footnote w:id="107">
    <w:p w14:paraId="1F67200C"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Mao-Wei Hung and Yin-Ching Jan, ‘Use of deviations of purchasing power parity and interest rate parity to clarify the 1997 Asian financial crisis’ (2002) 5 (2) Review of Pacific Basin financial markets and policies 195</w:t>
      </w:r>
    </w:p>
  </w:footnote>
  <w:footnote w:id="108">
    <w:p w14:paraId="52452561"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J </w:t>
      </w:r>
      <w:proofErr w:type="spellStart"/>
      <w:r w:rsidRPr="00AC1055">
        <w:rPr>
          <w:rFonts w:cs="Times New Roman"/>
        </w:rPr>
        <w:t>Ammer</w:t>
      </w:r>
      <w:proofErr w:type="spellEnd"/>
      <w:r w:rsidRPr="00AC1055">
        <w:rPr>
          <w:rFonts w:cs="Times New Roman"/>
        </w:rPr>
        <w:t xml:space="preserve"> and JP Mei, ‘Measuring international economic linkages with stock market data’ (1996) 51 (5) Journal Of Finance 1743-1763</w:t>
      </w:r>
    </w:p>
  </w:footnote>
  <w:footnote w:id="109">
    <w:p w14:paraId="41B7DCD8" w14:textId="77777777" w:rsidR="005A260F" w:rsidRPr="00AC1055" w:rsidRDefault="005A260F" w:rsidP="00F86C58">
      <w:pPr>
        <w:pStyle w:val="FootnoteText"/>
        <w:rPr>
          <w:rFonts w:cs="Times New Roman"/>
        </w:rPr>
      </w:pPr>
      <w:r w:rsidRPr="00AC1055">
        <w:rPr>
          <w:rStyle w:val="FootnoteReference"/>
          <w:rFonts w:cs="Times New Roman"/>
        </w:rPr>
        <w:footnoteRef/>
      </w:r>
      <w:r w:rsidRPr="00AC1055">
        <w:rPr>
          <w:rFonts w:cs="Times New Roman"/>
        </w:rPr>
        <w:t xml:space="preserve"> Lucio </w:t>
      </w:r>
      <w:proofErr w:type="spellStart"/>
      <w:r w:rsidRPr="00AC1055">
        <w:rPr>
          <w:rFonts w:cs="Times New Roman"/>
        </w:rPr>
        <w:t>Sarno</w:t>
      </w:r>
      <w:proofErr w:type="spellEnd"/>
      <w:r w:rsidRPr="00AC1055">
        <w:rPr>
          <w:rFonts w:cs="Times New Roman"/>
        </w:rPr>
        <w:t xml:space="preserve"> and Giorgio Valente, ‘Deviations from purchasing power parity under different exchange rate regimes: Do they revert and, if so, how?’ (2006) 30 (11) Journal of Banking &amp; Finance 3147–3169; See also </w:t>
      </w:r>
      <w:proofErr w:type="spellStart"/>
      <w:r w:rsidRPr="00AC1055">
        <w:rPr>
          <w:rFonts w:cs="Times New Roman"/>
        </w:rPr>
        <w:t>Akram</w:t>
      </w:r>
      <w:proofErr w:type="spellEnd"/>
      <w:r w:rsidRPr="00AC1055">
        <w:rPr>
          <w:rFonts w:cs="Times New Roman"/>
        </w:rPr>
        <w:t xml:space="preserve"> et al., ‘Does the law of one price hold in international financial markets? Evidence from tick data’</w:t>
      </w:r>
      <w:r>
        <w:rPr>
          <w:rFonts w:cs="Times New Roman"/>
        </w:rPr>
        <w:t>(2009) 33 (10) Journal o</w:t>
      </w:r>
      <w:r w:rsidRPr="00F86C58">
        <w:rPr>
          <w:rFonts w:cs="Times New Roman"/>
        </w:rPr>
        <w:t>f Banking &amp; Finance 1741-1754</w:t>
      </w:r>
      <w:r>
        <w:rPr>
          <w:rFonts w:cs="Times New Roman"/>
        </w:rPr>
        <w:t>.</w:t>
      </w:r>
    </w:p>
  </w:footnote>
  <w:footnote w:id="110">
    <w:p w14:paraId="45A025CE"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Magda </w:t>
      </w:r>
      <w:proofErr w:type="spellStart"/>
      <w:r w:rsidRPr="00AC1055">
        <w:rPr>
          <w:rFonts w:cs="Times New Roman"/>
        </w:rPr>
        <w:t>Kandil</w:t>
      </w:r>
      <w:proofErr w:type="spellEnd"/>
      <w:r w:rsidRPr="00AC1055">
        <w:rPr>
          <w:rFonts w:cs="Times New Roman"/>
        </w:rPr>
        <w:t>, ‘Exchange Rate Fluctuations and the Balance of Payments: Channels of Interaction in Developing and Developed Countries’ (2009) 24 (1) Journal of Economic Integration 191-174</w:t>
      </w:r>
    </w:p>
  </w:footnote>
  <w:footnote w:id="111">
    <w:p w14:paraId="2BD739C9" w14:textId="2E533FBC"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Michael W. Klein and Eric </w:t>
      </w:r>
      <w:proofErr w:type="spellStart"/>
      <w:r w:rsidRPr="00AC1055">
        <w:rPr>
          <w:rFonts w:cs="Times New Roman"/>
        </w:rPr>
        <w:t>Rosengren</w:t>
      </w:r>
      <w:proofErr w:type="spellEnd"/>
      <w:r w:rsidRPr="00AC1055">
        <w:rPr>
          <w:rFonts w:cs="Times New Roman"/>
        </w:rPr>
        <w:t xml:space="preserve">, ‘The real exchange rate and foreign direct investment in the United States: relative wealth vs. relative wage effects’ (1994) 36 (3) Journal of international Economics 373-389; Kenneth A. </w:t>
      </w:r>
      <w:proofErr w:type="spellStart"/>
      <w:r w:rsidRPr="00AC1055">
        <w:rPr>
          <w:rFonts w:cs="Times New Roman"/>
        </w:rPr>
        <w:t>Froot</w:t>
      </w:r>
      <w:proofErr w:type="spellEnd"/>
      <w:r w:rsidRPr="00AC1055">
        <w:rPr>
          <w:rFonts w:cs="Times New Roman"/>
        </w:rPr>
        <w:t xml:space="preserve"> and Jeremy C. Stein, ‘Exchange rates and foreign direct investment: an imperfect capital markets approach’ (1992) NBER Working Pa</w:t>
      </w:r>
      <w:r>
        <w:rPr>
          <w:rFonts w:cs="Times New Roman"/>
        </w:rPr>
        <w:t xml:space="preserve">per No. 2914; Bruce A. </w:t>
      </w:r>
      <w:proofErr w:type="spellStart"/>
      <w:r>
        <w:rPr>
          <w:rFonts w:cs="Times New Roman"/>
        </w:rPr>
        <w:t>Blonigen</w:t>
      </w:r>
      <w:proofErr w:type="spellEnd"/>
      <w:r w:rsidRPr="00AC1055">
        <w:rPr>
          <w:rFonts w:cs="Times New Roman"/>
        </w:rPr>
        <w:t xml:space="preserve">, ‘Firm-specific assets and the link between exchange rates and foreign direct investment’ (1997) The American Economic Review  447-465; Linda S. Goldberg and Charles D. </w:t>
      </w:r>
      <w:proofErr w:type="spellStart"/>
      <w:r w:rsidRPr="00AC1055">
        <w:rPr>
          <w:rFonts w:cs="Times New Roman"/>
        </w:rPr>
        <w:t>Kolstad</w:t>
      </w:r>
      <w:proofErr w:type="spellEnd"/>
      <w:r w:rsidRPr="00AC1055">
        <w:rPr>
          <w:rFonts w:cs="Times New Roman"/>
        </w:rPr>
        <w:t>, ‘Foreign direct investment, exchange rate variability and demand uncertainty.’ (1994) NBER Research Working paper No. 4815</w:t>
      </w:r>
      <w:r>
        <w:rPr>
          <w:rFonts w:cs="Times New Roman"/>
        </w:rPr>
        <w:t xml:space="preserve"> </w:t>
      </w:r>
      <w:r w:rsidRPr="00AF6C60">
        <w:rPr>
          <w:rFonts w:cs="Times New Roman"/>
        </w:rPr>
        <w:t>published at (1995) 36 (4) International Economic Review 855</w:t>
      </w:r>
      <w:r w:rsidRPr="00AC1055">
        <w:rPr>
          <w:rFonts w:cs="Times New Roman"/>
        </w:rPr>
        <w:t>.</w:t>
      </w:r>
    </w:p>
  </w:footnote>
  <w:footnote w:id="112">
    <w:p w14:paraId="7AD0A7B6"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w:t>
      </w:r>
      <w:proofErr w:type="spellStart"/>
      <w:r w:rsidRPr="00AC1055">
        <w:rPr>
          <w:rFonts w:cs="Times New Roman"/>
        </w:rPr>
        <w:t>Matthieu</w:t>
      </w:r>
      <w:proofErr w:type="spellEnd"/>
      <w:r w:rsidRPr="00AC1055">
        <w:rPr>
          <w:rFonts w:cs="Times New Roman"/>
        </w:rPr>
        <w:t xml:space="preserve"> </w:t>
      </w:r>
      <w:proofErr w:type="spellStart"/>
      <w:r w:rsidRPr="00AC1055">
        <w:rPr>
          <w:rFonts w:cs="Times New Roman"/>
        </w:rPr>
        <w:t>Bussière</w:t>
      </w:r>
      <w:proofErr w:type="spellEnd"/>
      <w:r w:rsidRPr="00AC1055">
        <w:rPr>
          <w:rFonts w:cs="Times New Roman"/>
        </w:rPr>
        <w:t>, ‘Balance of payment crises in emerging markets: how early were the ‘early’ warning signals?’ (2013) 45 (12) Applied Economics 1601-1620</w:t>
      </w:r>
    </w:p>
  </w:footnote>
  <w:footnote w:id="113">
    <w:p w14:paraId="31BEED33" w14:textId="40F892C1"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Md</w:t>
      </w:r>
      <w:proofErr w:type="spellEnd"/>
      <w:r w:rsidRPr="00AC1055">
        <w:rPr>
          <w:rFonts w:cs="Times New Roman"/>
        </w:rPr>
        <w:t xml:space="preserve"> </w:t>
      </w:r>
      <w:proofErr w:type="spellStart"/>
      <w:r w:rsidRPr="00AC1055">
        <w:rPr>
          <w:rFonts w:cs="Times New Roman"/>
        </w:rPr>
        <w:t>Mahmudul</w:t>
      </w:r>
      <w:proofErr w:type="spellEnd"/>
      <w:r w:rsidRPr="00AC1055">
        <w:rPr>
          <w:rFonts w:cs="Times New Roman"/>
        </w:rPr>
        <w:t xml:space="preserve"> </w:t>
      </w:r>
      <w:proofErr w:type="spellStart"/>
      <w:r w:rsidRPr="00AC1055">
        <w:rPr>
          <w:rFonts w:cs="Times New Roman"/>
        </w:rPr>
        <w:t>Alam</w:t>
      </w:r>
      <w:proofErr w:type="spellEnd"/>
      <w:r w:rsidRPr="00AC1055">
        <w:rPr>
          <w:rFonts w:cs="Times New Roman"/>
        </w:rPr>
        <w:t xml:space="preserve"> and </w:t>
      </w:r>
      <w:proofErr w:type="spellStart"/>
      <w:r w:rsidRPr="00AC1055">
        <w:rPr>
          <w:rFonts w:cs="Times New Roman"/>
        </w:rPr>
        <w:t>Md</w:t>
      </w:r>
      <w:proofErr w:type="spellEnd"/>
      <w:r w:rsidRPr="00AC1055">
        <w:rPr>
          <w:rFonts w:cs="Times New Roman"/>
        </w:rPr>
        <w:t xml:space="preserve"> </w:t>
      </w:r>
      <w:proofErr w:type="spellStart"/>
      <w:r w:rsidRPr="00AC1055">
        <w:rPr>
          <w:rFonts w:cs="Times New Roman"/>
        </w:rPr>
        <w:t>Gazi</w:t>
      </w:r>
      <w:proofErr w:type="spellEnd"/>
      <w:r w:rsidRPr="00AC1055">
        <w:rPr>
          <w:rFonts w:cs="Times New Roman"/>
        </w:rPr>
        <w:t xml:space="preserve"> Salah Uddin, ‘Relationship between interest rate and stock price: empirical evidence from developed and developing countries.’ (2009) 4 (3) International Journal of Business and Management 43; Clive Coetzee, ‘Monetary conditions and stock returns: a South African case study’ (2002) </w:t>
      </w:r>
      <w:proofErr w:type="spellStart"/>
      <w:r w:rsidRPr="00AC1055">
        <w:rPr>
          <w:rFonts w:cs="Times New Roman"/>
        </w:rPr>
        <w:t>EconWPA</w:t>
      </w:r>
      <w:proofErr w:type="spellEnd"/>
      <w:r w:rsidRPr="00AC1055">
        <w:rPr>
          <w:rFonts w:cs="Times New Roman"/>
        </w:rPr>
        <w:t xml:space="preserve"> working paper no. 0205002; </w:t>
      </w:r>
      <w:proofErr w:type="spellStart"/>
      <w:r w:rsidRPr="00AC1055">
        <w:rPr>
          <w:rFonts w:cs="Times New Roman"/>
        </w:rPr>
        <w:t>Zivanemoyo</w:t>
      </w:r>
      <w:proofErr w:type="spellEnd"/>
      <w:r w:rsidRPr="00AC1055">
        <w:rPr>
          <w:rFonts w:cs="Times New Roman"/>
        </w:rPr>
        <w:t xml:space="preserve"> </w:t>
      </w:r>
      <w:proofErr w:type="spellStart"/>
      <w:r w:rsidRPr="00AC1055">
        <w:rPr>
          <w:rFonts w:cs="Times New Roman"/>
        </w:rPr>
        <w:t>Chinzara</w:t>
      </w:r>
      <w:proofErr w:type="spellEnd"/>
      <w:r w:rsidRPr="00AC1055">
        <w:rPr>
          <w:rFonts w:cs="Times New Roman"/>
        </w:rPr>
        <w:t>, ‘Macroeconomic uncertainty and emerging market stock market volatility: The case for South Africa’ (2010) Economic Research So</w:t>
      </w:r>
      <w:r>
        <w:rPr>
          <w:rFonts w:cs="Times New Roman"/>
        </w:rPr>
        <w:t>uthern Africa Working paper 187.</w:t>
      </w:r>
    </w:p>
  </w:footnote>
  <w:footnote w:id="114">
    <w:p w14:paraId="049E8F94"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Ronald </w:t>
      </w:r>
      <w:proofErr w:type="spellStart"/>
      <w:r w:rsidRPr="00AC1055">
        <w:rPr>
          <w:rFonts w:cs="Times New Roman"/>
        </w:rPr>
        <w:t>Mangani</w:t>
      </w:r>
      <w:proofErr w:type="spellEnd"/>
      <w:r w:rsidRPr="00AC1055">
        <w:rPr>
          <w:rFonts w:cs="Times New Roman"/>
        </w:rPr>
        <w:t xml:space="preserve">, ‘Monetary policy, structural breaks and JSE returns.’ (2011) 73 Investment Analysts Journal 27-35; K. S  </w:t>
      </w:r>
      <w:proofErr w:type="spellStart"/>
      <w:r w:rsidRPr="00AC1055">
        <w:rPr>
          <w:rFonts w:cs="Times New Roman"/>
        </w:rPr>
        <w:t>Mallick</w:t>
      </w:r>
      <w:proofErr w:type="spellEnd"/>
      <w:r w:rsidRPr="00AC1055">
        <w:rPr>
          <w:rFonts w:cs="Times New Roman"/>
        </w:rPr>
        <w:t xml:space="preserve"> and M. R. Sousa, ‘Inflationary pressures and monetary policy: evidence from BRICS economies.’ (2011) Quantitative and Qualitative Analysis in Social Sciences Conference available at www. </w:t>
      </w:r>
      <w:proofErr w:type="spellStart"/>
      <w:r w:rsidRPr="00AC1055">
        <w:rPr>
          <w:rFonts w:cs="Times New Roman"/>
        </w:rPr>
        <w:t>qass</w:t>
      </w:r>
      <w:proofErr w:type="spellEnd"/>
      <w:r w:rsidRPr="00AC1055">
        <w:rPr>
          <w:rFonts w:cs="Times New Roman"/>
        </w:rPr>
        <w:t xml:space="preserve">. org. </w:t>
      </w:r>
      <w:proofErr w:type="spellStart"/>
      <w:r w:rsidRPr="00AC1055">
        <w:rPr>
          <w:rFonts w:cs="Times New Roman"/>
        </w:rPr>
        <w:t>uk</w:t>
      </w:r>
      <w:proofErr w:type="spellEnd"/>
      <w:r w:rsidRPr="00AC1055">
        <w:rPr>
          <w:rFonts w:cs="Times New Roman"/>
        </w:rPr>
        <w:t>/2011-May_Brun</w:t>
      </w:r>
      <w:r>
        <w:rPr>
          <w:rFonts w:cs="Times New Roman"/>
        </w:rPr>
        <w:t>el-conference/Mallick.pdf</w:t>
      </w:r>
      <w:r w:rsidRPr="00AC1055">
        <w:rPr>
          <w:rFonts w:cs="Times New Roman"/>
        </w:rPr>
        <w:t xml:space="preserve">; Michael Hewson and </w:t>
      </w:r>
      <w:proofErr w:type="spellStart"/>
      <w:r w:rsidRPr="00AC1055">
        <w:rPr>
          <w:rFonts w:cs="Times New Roman"/>
        </w:rPr>
        <w:t>Lumengo</w:t>
      </w:r>
      <w:proofErr w:type="spellEnd"/>
      <w:r w:rsidRPr="00AC1055">
        <w:rPr>
          <w:rFonts w:cs="Times New Roman"/>
        </w:rPr>
        <w:t xml:space="preserve"> </w:t>
      </w:r>
      <w:proofErr w:type="spellStart"/>
      <w:r w:rsidRPr="00AC1055">
        <w:rPr>
          <w:rFonts w:cs="Times New Roman"/>
        </w:rPr>
        <w:t>Bonga-Bonga</w:t>
      </w:r>
      <w:proofErr w:type="spellEnd"/>
      <w:r w:rsidRPr="00AC1055">
        <w:rPr>
          <w:rFonts w:cs="Times New Roman"/>
        </w:rPr>
        <w:t>, ‘The effects of monetary policy shocks on stock returns in South Africa: a structural vector error correction model’ (2005) Economic Society of South Africa Conference, Durban.</w:t>
      </w:r>
    </w:p>
  </w:footnote>
  <w:footnote w:id="115">
    <w:p w14:paraId="51F6D045" w14:textId="77777777" w:rsidR="005A260F" w:rsidRPr="00AC1055" w:rsidRDefault="005A260F">
      <w:pPr>
        <w:pStyle w:val="FootnoteText"/>
        <w:rPr>
          <w:rFonts w:cs="Times New Roman"/>
        </w:rPr>
      </w:pPr>
      <w:r w:rsidRPr="00AC1055">
        <w:rPr>
          <w:rStyle w:val="FootnoteReference"/>
          <w:rFonts w:cs="Times New Roman"/>
        </w:rPr>
        <w:footnoteRef/>
      </w:r>
      <w:r w:rsidRPr="00AC1055">
        <w:rPr>
          <w:rFonts w:cs="Times New Roman"/>
        </w:rPr>
        <w:t xml:space="preserve"> World Development Index defines external debt stock as ‘Total external debt is debt owed to </w:t>
      </w:r>
      <w:proofErr w:type="spellStart"/>
      <w:r w:rsidRPr="00AC1055">
        <w:rPr>
          <w:rFonts w:cs="Times New Roman"/>
        </w:rPr>
        <w:t>nonresidents</w:t>
      </w:r>
      <w:proofErr w:type="spellEnd"/>
      <w:r w:rsidRPr="00AC1055">
        <w:rPr>
          <w:rFonts w:cs="Times New Roman"/>
        </w:rPr>
        <w:t xml:space="preserve"> repayable in currency, goods, or services. Total external debt is the sum of public, publicly guaranteed, and private nonguaranteed long-term debt, use of IMF credit, and short-term debt. Short-term debt includes all debt having an original maturity of one year or less and interest in arrears on long-term debt.’ &lt;http://data.worldbank.org/indicator/DT.DOD.DECT.CD?cid=GPD_31&gt;</w:t>
      </w:r>
    </w:p>
  </w:footnote>
  <w:footnote w:id="116">
    <w:p w14:paraId="04A0C70E"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Daniel Cohen and Jeffrey Sachs, ‘Growth and external debt under risk of debt repudiation.’ (1986) 30 (3) European Economic Review 529-560.</w:t>
      </w:r>
    </w:p>
  </w:footnote>
  <w:footnote w:id="117">
    <w:p w14:paraId="27010B5A"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Pierre Villa, ‘Financial constraint and growth in the developing countries’ (1998) 49 (1) Revue </w:t>
      </w:r>
      <w:proofErr w:type="spellStart"/>
      <w:r w:rsidRPr="00AC1055">
        <w:rPr>
          <w:rFonts w:cs="Times New Roman"/>
        </w:rPr>
        <w:t>Economique</w:t>
      </w:r>
      <w:proofErr w:type="spellEnd"/>
      <w:r w:rsidRPr="00AC1055">
        <w:rPr>
          <w:rFonts w:cs="Times New Roman"/>
        </w:rPr>
        <w:t xml:space="preserve"> 103-117</w:t>
      </w:r>
    </w:p>
  </w:footnote>
  <w:footnote w:id="118">
    <w:p w14:paraId="6E1D3610"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Hameed et al., ‘External debt and its impact on economic and business growth in Pakistan.’ (2008) 20 International Research Journal of Finance and Economics 132-140; See also Cristina </w:t>
      </w:r>
      <w:proofErr w:type="spellStart"/>
      <w:r w:rsidRPr="00AC1055">
        <w:rPr>
          <w:rFonts w:cs="Times New Roman"/>
        </w:rPr>
        <w:t>Checherita-Westphal</w:t>
      </w:r>
      <w:proofErr w:type="spellEnd"/>
      <w:r w:rsidRPr="00AC1055">
        <w:rPr>
          <w:rFonts w:cs="Times New Roman"/>
        </w:rPr>
        <w:t xml:space="preserve"> and Philipp Rother, ‘The impact of high government debt on economic growth and its channels: An empirical investigation for the euro area.’ (2012) 56 (7) European Economic Review 1392-1405; For a neoclassical economic perspective see Peter A. Diamond, ‘National debt in a neoclassical growth model.’ (1965) The American Economic Review 1126-1150.</w:t>
      </w:r>
    </w:p>
  </w:footnote>
  <w:footnote w:id="119">
    <w:p w14:paraId="71AFF0C1"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Catherine A. </w:t>
      </w:r>
      <w:proofErr w:type="spellStart"/>
      <w:r w:rsidRPr="00AC1055">
        <w:rPr>
          <w:rFonts w:cs="Times New Roman"/>
        </w:rPr>
        <w:t>Pattillo</w:t>
      </w:r>
      <w:proofErr w:type="spellEnd"/>
      <w:r w:rsidRPr="00AC1055">
        <w:rPr>
          <w:rFonts w:cs="Times New Roman"/>
        </w:rPr>
        <w:t xml:space="preserve"> et al., ‘External debt and growth’ (2002) International Monetary Fund working paper No. 02/69; see also Benedict J. Clements et al., ‘External debt, public investment, and growth in low-income countries.’ (2003) International Monetary Fund Working paper no. 2249; Augustin </w:t>
      </w:r>
      <w:proofErr w:type="spellStart"/>
      <w:r w:rsidRPr="00AC1055">
        <w:rPr>
          <w:rFonts w:cs="Times New Roman"/>
        </w:rPr>
        <w:t>Kwasi</w:t>
      </w:r>
      <w:proofErr w:type="spellEnd"/>
      <w:r w:rsidRPr="00AC1055">
        <w:rPr>
          <w:rFonts w:cs="Times New Roman"/>
        </w:rPr>
        <w:t xml:space="preserve"> </w:t>
      </w:r>
      <w:proofErr w:type="spellStart"/>
      <w:r w:rsidRPr="00AC1055">
        <w:rPr>
          <w:rFonts w:cs="Times New Roman"/>
        </w:rPr>
        <w:t>Fosu</w:t>
      </w:r>
      <w:proofErr w:type="spellEnd"/>
      <w:r w:rsidRPr="00AC1055">
        <w:rPr>
          <w:rFonts w:cs="Times New Roman"/>
        </w:rPr>
        <w:t>, ‘The external debt burden and economic growth in the 1980s: evidence from sub-Saharan Africa.’ (1999) 20 (2)  Canadian Journal of Development Studies 307-318.</w:t>
      </w:r>
    </w:p>
  </w:footnote>
  <w:footnote w:id="120">
    <w:p w14:paraId="05B42084" w14:textId="0E096664"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w:t>
      </w:r>
      <w:r>
        <w:rPr>
          <w:rFonts w:cs="Times New Roman"/>
        </w:rPr>
        <w:t xml:space="preserve">See Levine and </w:t>
      </w:r>
      <w:proofErr w:type="spellStart"/>
      <w:r>
        <w:rPr>
          <w:rFonts w:cs="Times New Roman"/>
        </w:rPr>
        <w:t>Zervos</w:t>
      </w:r>
      <w:proofErr w:type="spellEnd"/>
      <w:r>
        <w:rPr>
          <w:rFonts w:cs="Times New Roman"/>
        </w:rPr>
        <w:t xml:space="preserve"> (n 83)</w:t>
      </w:r>
      <w:r w:rsidRPr="00AC1055">
        <w:rPr>
          <w:rFonts w:cs="Times New Roman"/>
        </w:rPr>
        <w:t xml:space="preserve">; See also Thorsten Beck and Ross Levine, ‘Stock markets, banks, and growth: Panel evidence.’ (2004) 28 (3)  Journal of Banking &amp; Finance 423-442. </w:t>
      </w:r>
    </w:p>
  </w:footnote>
  <w:footnote w:id="121">
    <w:p w14:paraId="6A5019EE"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Ross Levine, ‘The legal environment, banks, and long-run economic growth.’ (1998) Journal of Money, Credit and Banking 596-613.</w:t>
      </w:r>
    </w:p>
  </w:footnote>
  <w:footnote w:id="122">
    <w:p w14:paraId="1DFF9F39"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w:t>
      </w:r>
      <w:proofErr w:type="spellStart"/>
      <w:r w:rsidRPr="00AC1055">
        <w:rPr>
          <w:rFonts w:cs="Times New Roman"/>
        </w:rPr>
        <w:t>Vighneswara</w:t>
      </w:r>
      <w:proofErr w:type="spellEnd"/>
      <w:r w:rsidRPr="00AC1055">
        <w:rPr>
          <w:rFonts w:cs="Times New Roman"/>
        </w:rPr>
        <w:t xml:space="preserve"> </w:t>
      </w:r>
      <w:proofErr w:type="spellStart"/>
      <w:r w:rsidRPr="00AC1055">
        <w:rPr>
          <w:rFonts w:cs="Times New Roman"/>
        </w:rPr>
        <w:t>Swamy</w:t>
      </w:r>
      <w:proofErr w:type="spellEnd"/>
      <w:r w:rsidRPr="00AC1055">
        <w:rPr>
          <w:rFonts w:cs="Times New Roman"/>
        </w:rPr>
        <w:t xml:space="preserve">, ‘Financial Inclusion, Gender Dimension, and Economic Impact on Poor Households’ (2014) 56 World Development 1-15; Jake Kendall, ‘Local financial development and growth’ (2012) 36 (5) Journal of Banking and Finance 1548-1562; Mohammad </w:t>
      </w:r>
      <w:proofErr w:type="spellStart"/>
      <w:r w:rsidRPr="00AC1055">
        <w:rPr>
          <w:rFonts w:cs="Times New Roman"/>
        </w:rPr>
        <w:t>Shafi</w:t>
      </w:r>
      <w:proofErr w:type="spellEnd"/>
      <w:r w:rsidRPr="00AC1055">
        <w:rPr>
          <w:rFonts w:cs="Times New Roman"/>
        </w:rPr>
        <w:t xml:space="preserve"> and Ali </w:t>
      </w:r>
      <w:proofErr w:type="spellStart"/>
      <w:r w:rsidRPr="00AC1055">
        <w:rPr>
          <w:rFonts w:cs="Times New Roman"/>
        </w:rPr>
        <w:t>Hawi</w:t>
      </w:r>
      <w:proofErr w:type="spellEnd"/>
      <w:r w:rsidRPr="00AC1055">
        <w:rPr>
          <w:rFonts w:cs="Times New Roman"/>
        </w:rPr>
        <w:t xml:space="preserve"> </w:t>
      </w:r>
      <w:proofErr w:type="spellStart"/>
      <w:r w:rsidRPr="00AC1055">
        <w:rPr>
          <w:rFonts w:cs="Times New Roman"/>
        </w:rPr>
        <w:t>Medabesh</w:t>
      </w:r>
      <w:proofErr w:type="spellEnd"/>
      <w:r w:rsidRPr="00AC1055">
        <w:rPr>
          <w:rFonts w:cs="Times New Roman"/>
        </w:rPr>
        <w:t xml:space="preserve">, ‘Financial Inclusion in Developing Countries: Evidences from an Indian State’ (2012) 5 (8) International Business Research 116; </w:t>
      </w:r>
      <w:proofErr w:type="spellStart"/>
      <w:r w:rsidRPr="00AC1055">
        <w:rPr>
          <w:rFonts w:cs="Times New Roman"/>
        </w:rPr>
        <w:t>Panicos</w:t>
      </w:r>
      <w:proofErr w:type="spellEnd"/>
      <w:r w:rsidRPr="00AC1055">
        <w:rPr>
          <w:rFonts w:cs="Times New Roman"/>
        </w:rPr>
        <w:t xml:space="preserve"> O. </w:t>
      </w:r>
      <w:proofErr w:type="spellStart"/>
      <w:r w:rsidRPr="00AC1055">
        <w:rPr>
          <w:rFonts w:cs="Times New Roman"/>
        </w:rPr>
        <w:t>Demetriades</w:t>
      </w:r>
      <w:proofErr w:type="spellEnd"/>
      <w:r w:rsidRPr="00AC1055">
        <w:rPr>
          <w:rFonts w:cs="Times New Roman"/>
        </w:rPr>
        <w:t xml:space="preserve"> and Kul B. </w:t>
      </w:r>
      <w:proofErr w:type="spellStart"/>
      <w:r w:rsidRPr="00AC1055">
        <w:rPr>
          <w:rFonts w:cs="Times New Roman"/>
        </w:rPr>
        <w:t>Luintel</w:t>
      </w:r>
      <w:proofErr w:type="spellEnd"/>
      <w:r w:rsidRPr="00AC1055">
        <w:rPr>
          <w:rFonts w:cs="Times New Roman"/>
        </w:rPr>
        <w:t xml:space="preserve">, ‘Financial development, economic growth and banking sector controls: evidence from India.’ (1996) The Economic Journal 359-374; </w:t>
      </w:r>
      <w:proofErr w:type="spellStart"/>
      <w:r w:rsidRPr="00AC1055">
        <w:rPr>
          <w:rFonts w:cs="Times New Roman"/>
        </w:rPr>
        <w:t>Mandira</w:t>
      </w:r>
      <w:proofErr w:type="spellEnd"/>
      <w:r w:rsidRPr="00AC1055">
        <w:rPr>
          <w:rFonts w:cs="Times New Roman"/>
        </w:rPr>
        <w:t xml:space="preserve"> </w:t>
      </w:r>
      <w:proofErr w:type="spellStart"/>
      <w:r w:rsidRPr="00AC1055">
        <w:rPr>
          <w:rFonts w:cs="Times New Roman"/>
        </w:rPr>
        <w:t>Sarma</w:t>
      </w:r>
      <w:proofErr w:type="spellEnd"/>
      <w:r w:rsidRPr="00AC1055">
        <w:rPr>
          <w:rFonts w:cs="Times New Roman"/>
        </w:rPr>
        <w:t xml:space="preserve"> and </w:t>
      </w:r>
      <w:proofErr w:type="spellStart"/>
      <w:r w:rsidRPr="00AC1055">
        <w:rPr>
          <w:rFonts w:cs="Times New Roman"/>
        </w:rPr>
        <w:t>Jesim</w:t>
      </w:r>
      <w:proofErr w:type="spellEnd"/>
      <w:r w:rsidRPr="00AC1055">
        <w:rPr>
          <w:rFonts w:cs="Times New Roman"/>
        </w:rPr>
        <w:t xml:space="preserve"> </w:t>
      </w:r>
      <w:proofErr w:type="spellStart"/>
      <w:r w:rsidRPr="00AC1055">
        <w:rPr>
          <w:rFonts w:cs="Times New Roman"/>
        </w:rPr>
        <w:t>Pais</w:t>
      </w:r>
      <w:proofErr w:type="spellEnd"/>
      <w:r w:rsidRPr="00AC1055">
        <w:rPr>
          <w:rFonts w:cs="Times New Roman"/>
        </w:rPr>
        <w:t xml:space="preserve">, ‘Financial inclusion and development.’ (2011) 23 (5) Journal of International Development 613-628. For a developed country perspective see Klaus </w:t>
      </w:r>
      <w:proofErr w:type="spellStart"/>
      <w:r w:rsidRPr="00AC1055">
        <w:rPr>
          <w:rFonts w:cs="Times New Roman"/>
        </w:rPr>
        <w:t>Neusser</w:t>
      </w:r>
      <w:proofErr w:type="spellEnd"/>
      <w:r w:rsidRPr="00AC1055">
        <w:rPr>
          <w:rFonts w:cs="Times New Roman"/>
        </w:rPr>
        <w:t xml:space="preserve"> and Maurice </w:t>
      </w:r>
      <w:proofErr w:type="spellStart"/>
      <w:r w:rsidRPr="00AC1055">
        <w:rPr>
          <w:rFonts w:cs="Times New Roman"/>
        </w:rPr>
        <w:t>Kugler</w:t>
      </w:r>
      <w:proofErr w:type="spellEnd"/>
      <w:r w:rsidRPr="00AC1055">
        <w:rPr>
          <w:rFonts w:cs="Times New Roman"/>
        </w:rPr>
        <w:t>, ‘Manufacturing growth and financial development: Evidence from OECD countries.’ (1998) 80 (4) Review of Economics and Statistics 638-646.</w:t>
      </w:r>
    </w:p>
  </w:footnote>
  <w:footnote w:id="123">
    <w:p w14:paraId="728C066D"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Maryam </w:t>
      </w:r>
      <w:proofErr w:type="spellStart"/>
      <w:r w:rsidRPr="00AC1055">
        <w:rPr>
          <w:rFonts w:cs="Times New Roman"/>
        </w:rPr>
        <w:t>Farhadi</w:t>
      </w:r>
      <w:proofErr w:type="spellEnd"/>
      <w:r w:rsidRPr="00AC1055">
        <w:rPr>
          <w:rFonts w:cs="Times New Roman"/>
        </w:rPr>
        <w:t xml:space="preserve"> et al., ‘Information and Communication Technology Use and Economic Growth’ (2012) 7 (11) </w:t>
      </w:r>
      <w:proofErr w:type="spellStart"/>
      <w:r w:rsidRPr="00AC1055">
        <w:rPr>
          <w:rFonts w:cs="Times New Roman"/>
        </w:rPr>
        <w:t>PLoS</w:t>
      </w:r>
      <w:proofErr w:type="spellEnd"/>
      <w:r w:rsidRPr="00AC1055">
        <w:rPr>
          <w:rFonts w:cs="Times New Roman"/>
        </w:rPr>
        <w:t xml:space="preserve"> ONE available at http://www.plosone.org/article/info%3Adoi%2F10.1371%2Fjournal.pone.0048903</w:t>
      </w:r>
    </w:p>
  </w:footnote>
  <w:footnote w:id="124">
    <w:p w14:paraId="00DF70B3"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ibid</w:t>
      </w:r>
    </w:p>
  </w:footnote>
  <w:footnote w:id="125">
    <w:p w14:paraId="16F32220"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Sanjeev Dewan and Kenneth L. Kraemer, ‘Information Technology and Productivity: Evidence from Country-Level Data’ (2000) 46 (4) Management Science 548-562; Sang-Yong Tom Lee et al., ‘Time series analysis in the assessment of ICT impact at the aggregate level – lessons and implications for the new economy’ (2005) 42 (7) Information &amp; Management 1009; Hwan-</w:t>
      </w:r>
      <w:proofErr w:type="spellStart"/>
      <w:r w:rsidRPr="00AC1055">
        <w:rPr>
          <w:rFonts w:cs="Times New Roman"/>
        </w:rPr>
        <w:t>Joo</w:t>
      </w:r>
      <w:proofErr w:type="spellEnd"/>
      <w:r w:rsidRPr="00AC1055">
        <w:rPr>
          <w:rFonts w:cs="Times New Roman"/>
        </w:rPr>
        <w:t xml:space="preserve"> </w:t>
      </w:r>
      <w:proofErr w:type="spellStart"/>
      <w:r w:rsidRPr="00AC1055">
        <w:rPr>
          <w:rFonts w:cs="Times New Roman"/>
        </w:rPr>
        <w:t>Seo</w:t>
      </w:r>
      <w:proofErr w:type="spellEnd"/>
      <w:r w:rsidRPr="00AC1055">
        <w:rPr>
          <w:rFonts w:cs="Times New Roman"/>
        </w:rPr>
        <w:t xml:space="preserve"> and Young Soo Lee, ‘Contribution of information and communication technology to total factor productivity and externalities effects’ (2006) 12 (2) Information Technology for Development 159-173; for a review of the literature see Erik </w:t>
      </w:r>
      <w:proofErr w:type="spellStart"/>
      <w:r w:rsidRPr="00AC1055">
        <w:rPr>
          <w:rFonts w:cs="Times New Roman"/>
        </w:rPr>
        <w:t>Brynjolfsson</w:t>
      </w:r>
      <w:proofErr w:type="spellEnd"/>
      <w:r w:rsidRPr="00AC1055">
        <w:rPr>
          <w:rFonts w:cs="Times New Roman"/>
        </w:rPr>
        <w:t xml:space="preserve"> and </w:t>
      </w:r>
      <w:proofErr w:type="spellStart"/>
      <w:r w:rsidRPr="00AC1055">
        <w:rPr>
          <w:rFonts w:cs="Times New Roman"/>
        </w:rPr>
        <w:t>Shinkyu</w:t>
      </w:r>
      <w:proofErr w:type="spellEnd"/>
      <w:r w:rsidRPr="00AC1055">
        <w:rPr>
          <w:rFonts w:cs="Times New Roman"/>
        </w:rPr>
        <w:t xml:space="preserve"> Yang, ‘Information Technology and Productivity: A Review of the Literature’ (1996) 43 Advances in computer 179–214; for a developed country perspective see K </w:t>
      </w:r>
      <w:proofErr w:type="spellStart"/>
      <w:r w:rsidRPr="00AC1055">
        <w:rPr>
          <w:rFonts w:cs="Times New Roman"/>
        </w:rPr>
        <w:t>Motohashi</w:t>
      </w:r>
      <w:proofErr w:type="spellEnd"/>
      <w:r>
        <w:rPr>
          <w:rFonts w:cs="Times New Roman"/>
        </w:rPr>
        <w:t>,</w:t>
      </w:r>
      <w:r w:rsidRPr="00AC1055">
        <w:rPr>
          <w:rFonts w:cs="Times New Roman"/>
        </w:rPr>
        <w:t xml:space="preserve"> ‘ICT diffusion And Its Economic Impact In OECD Countries.’ (1997) 20 STI Reviews 13-45; J </w:t>
      </w:r>
      <w:proofErr w:type="spellStart"/>
      <w:r w:rsidRPr="00AC1055">
        <w:rPr>
          <w:rFonts w:cs="Times New Roman"/>
        </w:rPr>
        <w:t>Jalava</w:t>
      </w:r>
      <w:proofErr w:type="spellEnd"/>
      <w:r w:rsidRPr="00AC1055">
        <w:rPr>
          <w:rFonts w:cs="Times New Roman"/>
        </w:rPr>
        <w:t xml:space="preserve"> and M </w:t>
      </w:r>
      <w:proofErr w:type="spellStart"/>
      <w:r w:rsidRPr="00AC1055">
        <w:rPr>
          <w:rFonts w:cs="Times New Roman"/>
        </w:rPr>
        <w:t>Pohjola</w:t>
      </w:r>
      <w:proofErr w:type="spellEnd"/>
      <w:r w:rsidRPr="00AC1055">
        <w:rPr>
          <w:rFonts w:cs="Times New Roman"/>
        </w:rPr>
        <w:t>, ‘Economic growth in the new economy: Evidence from advanced economies.’ (2002) 14 (2) Information Economics and Policy 189–210.</w:t>
      </w:r>
    </w:p>
  </w:footnote>
  <w:footnote w:id="126">
    <w:p w14:paraId="0870E7B7"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Alice </w:t>
      </w:r>
      <w:proofErr w:type="spellStart"/>
      <w:r w:rsidRPr="00AC1055">
        <w:rPr>
          <w:rFonts w:cs="Times New Roman"/>
        </w:rPr>
        <w:t>Shiu</w:t>
      </w:r>
      <w:proofErr w:type="spellEnd"/>
      <w:r w:rsidRPr="00AC1055">
        <w:rPr>
          <w:rFonts w:cs="Times New Roman"/>
        </w:rPr>
        <w:t xml:space="preserve"> and Pun-Lee Lam, ‘Electricity consumption and economic growth in China.’ (2004) 32 (1) Energy policy 47-54; </w:t>
      </w:r>
      <w:proofErr w:type="spellStart"/>
      <w:r w:rsidRPr="00AC1055">
        <w:rPr>
          <w:rFonts w:cs="Times New Roman"/>
        </w:rPr>
        <w:t>Jiahai</w:t>
      </w:r>
      <w:proofErr w:type="spellEnd"/>
      <w:r w:rsidRPr="00AC1055">
        <w:rPr>
          <w:rFonts w:cs="Times New Roman"/>
        </w:rPr>
        <w:t xml:space="preserve"> Yuan et al., ‘Electricity consumption and economic growth in China: </w:t>
      </w:r>
      <w:proofErr w:type="spellStart"/>
      <w:r w:rsidRPr="00AC1055">
        <w:rPr>
          <w:rFonts w:cs="Times New Roman"/>
        </w:rPr>
        <w:t>cointegration</w:t>
      </w:r>
      <w:proofErr w:type="spellEnd"/>
      <w:r w:rsidRPr="00AC1055">
        <w:rPr>
          <w:rFonts w:cs="Times New Roman"/>
        </w:rPr>
        <w:t xml:space="preserve"> and co-feature analysis.’ (2007) 29 (6) Energy Economics 1179-1191; </w:t>
      </w:r>
      <w:proofErr w:type="spellStart"/>
      <w:r w:rsidRPr="00AC1055">
        <w:rPr>
          <w:rFonts w:cs="Times New Roman"/>
        </w:rPr>
        <w:t>Sajal</w:t>
      </w:r>
      <w:proofErr w:type="spellEnd"/>
      <w:r w:rsidRPr="00AC1055">
        <w:rPr>
          <w:rFonts w:cs="Times New Roman"/>
        </w:rPr>
        <w:t xml:space="preserve"> Ghosh, ‘Electricity consumption and economic growth in India.’ (2002) 30 (2) Energy policy 125-129; Nicholas </w:t>
      </w:r>
      <w:proofErr w:type="spellStart"/>
      <w:r w:rsidRPr="00AC1055">
        <w:rPr>
          <w:rFonts w:cs="Times New Roman"/>
        </w:rPr>
        <w:t>Apergis</w:t>
      </w:r>
      <w:proofErr w:type="spellEnd"/>
      <w:r w:rsidRPr="00AC1055">
        <w:rPr>
          <w:rFonts w:cs="Times New Roman"/>
        </w:rPr>
        <w:t xml:space="preserve"> and James E. Payne, ‘Energy consumption and economic growth in Central America: evidence from a panel </w:t>
      </w:r>
      <w:proofErr w:type="spellStart"/>
      <w:r w:rsidRPr="00AC1055">
        <w:rPr>
          <w:rFonts w:cs="Times New Roman"/>
        </w:rPr>
        <w:t>cointegration</w:t>
      </w:r>
      <w:proofErr w:type="spellEnd"/>
      <w:r w:rsidRPr="00AC1055">
        <w:rPr>
          <w:rFonts w:cs="Times New Roman"/>
        </w:rPr>
        <w:t xml:space="preserve"> and error correction model.’ (2009) 31 (2) Energy Economics 211-216; </w:t>
      </w:r>
      <w:proofErr w:type="spellStart"/>
      <w:r w:rsidRPr="00AC1055">
        <w:rPr>
          <w:rFonts w:cs="Times New Roman"/>
        </w:rPr>
        <w:t>Yemane</w:t>
      </w:r>
      <w:proofErr w:type="spellEnd"/>
      <w:r w:rsidRPr="00AC1055">
        <w:rPr>
          <w:rFonts w:cs="Times New Roman"/>
        </w:rPr>
        <w:t xml:space="preserve"> </w:t>
      </w:r>
      <w:proofErr w:type="spellStart"/>
      <w:r w:rsidRPr="00AC1055">
        <w:rPr>
          <w:rFonts w:cs="Times New Roman"/>
        </w:rPr>
        <w:t>Wolde-Rufael</w:t>
      </w:r>
      <w:proofErr w:type="spellEnd"/>
      <w:r w:rsidRPr="00AC1055">
        <w:rPr>
          <w:rFonts w:cs="Times New Roman"/>
        </w:rPr>
        <w:t xml:space="preserve">, ‘Electricity consumption and economic growth: a time series experience for 17 African countries’ (2006) 34 (10) Energy Policy 1106-1114; </w:t>
      </w:r>
      <w:proofErr w:type="spellStart"/>
      <w:r w:rsidRPr="00AC1055">
        <w:rPr>
          <w:rFonts w:cs="Times New Roman"/>
        </w:rPr>
        <w:t>Galip</w:t>
      </w:r>
      <w:proofErr w:type="spellEnd"/>
      <w:r w:rsidRPr="00AC1055">
        <w:rPr>
          <w:rFonts w:cs="Times New Roman"/>
        </w:rPr>
        <w:t xml:space="preserve"> </w:t>
      </w:r>
      <w:proofErr w:type="spellStart"/>
      <w:r w:rsidRPr="00AC1055">
        <w:rPr>
          <w:rFonts w:cs="Times New Roman"/>
        </w:rPr>
        <w:t>Altinay</w:t>
      </w:r>
      <w:proofErr w:type="spellEnd"/>
      <w:r w:rsidRPr="00AC1055">
        <w:rPr>
          <w:rFonts w:cs="Times New Roman"/>
        </w:rPr>
        <w:t xml:space="preserve"> and </w:t>
      </w:r>
      <w:proofErr w:type="spellStart"/>
      <w:r w:rsidRPr="00AC1055">
        <w:rPr>
          <w:rFonts w:cs="Times New Roman"/>
        </w:rPr>
        <w:t>Erdal</w:t>
      </w:r>
      <w:proofErr w:type="spellEnd"/>
      <w:r w:rsidRPr="00AC1055">
        <w:rPr>
          <w:rFonts w:cs="Times New Roman"/>
        </w:rPr>
        <w:t xml:space="preserve"> </w:t>
      </w:r>
      <w:proofErr w:type="spellStart"/>
      <w:r w:rsidRPr="00AC1055">
        <w:rPr>
          <w:rFonts w:cs="Times New Roman"/>
        </w:rPr>
        <w:t>Karagol</w:t>
      </w:r>
      <w:proofErr w:type="spellEnd"/>
      <w:r w:rsidRPr="00AC1055">
        <w:rPr>
          <w:rFonts w:cs="Times New Roman"/>
        </w:rPr>
        <w:t xml:space="preserve">, ‘Electricity consumption and economic growth: evidence from Turkey.’ (2005) 27 (6) Energy Economics 849-856; for a developed country perspective see S </w:t>
      </w:r>
      <w:proofErr w:type="spellStart"/>
      <w:r w:rsidRPr="00AC1055">
        <w:rPr>
          <w:rFonts w:cs="Times New Roman"/>
        </w:rPr>
        <w:t>Smiech</w:t>
      </w:r>
      <w:proofErr w:type="spellEnd"/>
      <w:r w:rsidRPr="00AC1055">
        <w:rPr>
          <w:rFonts w:cs="Times New Roman"/>
        </w:rPr>
        <w:t xml:space="preserve"> and M </w:t>
      </w:r>
      <w:proofErr w:type="spellStart"/>
      <w:r w:rsidRPr="00AC1055">
        <w:rPr>
          <w:rFonts w:cs="Times New Roman"/>
        </w:rPr>
        <w:t>Papiez</w:t>
      </w:r>
      <w:proofErr w:type="spellEnd"/>
      <w:r w:rsidRPr="00AC1055">
        <w:rPr>
          <w:rFonts w:cs="Times New Roman"/>
        </w:rPr>
        <w:t xml:space="preserve">, ‘Energy consumption and economic growth in the light of meeting the targets of energy policy in the EU: The bootstrap panel Granger causality approach’ (2014) 71 Energy Policy118-129; </w:t>
      </w:r>
      <w:proofErr w:type="spellStart"/>
      <w:r w:rsidRPr="00AC1055">
        <w:rPr>
          <w:rFonts w:cs="Times New Roman"/>
        </w:rPr>
        <w:t>Jaruwan</w:t>
      </w:r>
      <w:proofErr w:type="spellEnd"/>
      <w:r w:rsidRPr="00AC1055">
        <w:rPr>
          <w:rFonts w:cs="Times New Roman"/>
        </w:rPr>
        <w:t xml:space="preserve"> </w:t>
      </w:r>
      <w:proofErr w:type="spellStart"/>
      <w:r w:rsidRPr="00AC1055">
        <w:rPr>
          <w:rFonts w:cs="Times New Roman"/>
        </w:rPr>
        <w:t>Chontanawat</w:t>
      </w:r>
      <w:proofErr w:type="spellEnd"/>
      <w:r w:rsidRPr="00AC1055">
        <w:rPr>
          <w:rFonts w:cs="Times New Roman"/>
        </w:rPr>
        <w:t xml:space="preserve"> et al., ‘Does energy consumption cause economic growth?: Evidence from a systematic study of over 100 countries’ (2008) 30 (2) Journal of Policy </w:t>
      </w:r>
      <w:proofErr w:type="spellStart"/>
      <w:r w:rsidRPr="00AC1055">
        <w:rPr>
          <w:rFonts w:cs="Times New Roman"/>
        </w:rPr>
        <w:t>Modeling</w:t>
      </w:r>
      <w:proofErr w:type="spellEnd"/>
      <w:r w:rsidRPr="00AC1055">
        <w:rPr>
          <w:rFonts w:cs="Times New Roman"/>
        </w:rPr>
        <w:t xml:space="preserve"> 209-220.</w:t>
      </w:r>
    </w:p>
  </w:footnote>
  <w:footnote w:id="127">
    <w:p w14:paraId="6E761E66"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Anis</w:t>
      </w:r>
      <w:proofErr w:type="spellEnd"/>
      <w:r w:rsidRPr="00AC1055">
        <w:rPr>
          <w:rFonts w:cs="Times New Roman"/>
        </w:rPr>
        <w:t xml:space="preserve"> </w:t>
      </w:r>
      <w:proofErr w:type="spellStart"/>
      <w:r w:rsidRPr="00AC1055">
        <w:rPr>
          <w:rFonts w:cs="Times New Roman"/>
        </w:rPr>
        <w:t>Omri</w:t>
      </w:r>
      <w:proofErr w:type="spellEnd"/>
      <w:r w:rsidRPr="00AC1055">
        <w:rPr>
          <w:rFonts w:cs="Times New Roman"/>
        </w:rPr>
        <w:t xml:space="preserve"> and </w:t>
      </w:r>
      <w:proofErr w:type="spellStart"/>
      <w:r w:rsidRPr="00AC1055">
        <w:rPr>
          <w:rFonts w:cs="Times New Roman"/>
        </w:rPr>
        <w:t>Bassem</w:t>
      </w:r>
      <w:proofErr w:type="spellEnd"/>
      <w:r w:rsidRPr="00AC1055">
        <w:rPr>
          <w:rFonts w:cs="Times New Roman"/>
        </w:rPr>
        <w:t xml:space="preserve"> </w:t>
      </w:r>
      <w:proofErr w:type="spellStart"/>
      <w:r w:rsidRPr="00AC1055">
        <w:rPr>
          <w:rFonts w:cs="Times New Roman"/>
        </w:rPr>
        <w:t>Kahouli</w:t>
      </w:r>
      <w:proofErr w:type="spellEnd"/>
      <w:r w:rsidRPr="00AC1055">
        <w:rPr>
          <w:rFonts w:cs="Times New Roman"/>
        </w:rPr>
        <w:t>, ‘Causal relationships between energy consumption, foreign direct investment and economic growth: Fresh evidence from dynamic simultaneous-equations models’ (2014) 67 Energy Policy 913-922</w:t>
      </w:r>
    </w:p>
  </w:footnote>
  <w:footnote w:id="128">
    <w:p w14:paraId="4479191E"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John </w:t>
      </w:r>
      <w:proofErr w:type="spellStart"/>
      <w:r w:rsidRPr="00AC1055">
        <w:rPr>
          <w:rFonts w:cs="Times New Roman"/>
        </w:rPr>
        <w:t>Asafu-Adjaye</w:t>
      </w:r>
      <w:proofErr w:type="spellEnd"/>
      <w:r w:rsidRPr="00AC1055">
        <w:rPr>
          <w:rFonts w:cs="Times New Roman"/>
        </w:rPr>
        <w:t xml:space="preserve">, ‘The relationship between energy consumption, energy prices and economic growth: time series evidence from Asian developing countries’ (2000) 22 (6) Energy economics 615-625; </w:t>
      </w:r>
      <w:proofErr w:type="spellStart"/>
      <w:r w:rsidRPr="00AC1055">
        <w:rPr>
          <w:rFonts w:cs="Times New Roman"/>
        </w:rPr>
        <w:t>Ugur</w:t>
      </w:r>
      <w:proofErr w:type="spellEnd"/>
      <w:r w:rsidRPr="00AC1055">
        <w:rPr>
          <w:rFonts w:cs="Times New Roman"/>
        </w:rPr>
        <w:t xml:space="preserve"> </w:t>
      </w:r>
      <w:proofErr w:type="spellStart"/>
      <w:r w:rsidRPr="00AC1055">
        <w:rPr>
          <w:rFonts w:cs="Times New Roman"/>
        </w:rPr>
        <w:t>Soytas</w:t>
      </w:r>
      <w:proofErr w:type="spellEnd"/>
      <w:r w:rsidRPr="00AC1055">
        <w:rPr>
          <w:rFonts w:cs="Times New Roman"/>
        </w:rPr>
        <w:t xml:space="preserve"> and </w:t>
      </w:r>
      <w:proofErr w:type="spellStart"/>
      <w:r w:rsidRPr="00AC1055">
        <w:rPr>
          <w:rFonts w:cs="Times New Roman"/>
        </w:rPr>
        <w:t>Ramazan</w:t>
      </w:r>
      <w:proofErr w:type="spellEnd"/>
      <w:r w:rsidRPr="00AC1055">
        <w:rPr>
          <w:rFonts w:cs="Times New Roman"/>
        </w:rPr>
        <w:t xml:space="preserve"> Sari, ‘Energy consumption and GDP: causality relationship in G-7 countries and emerging markets’ (2003) 25 (1) Energy economics 33-37; for a counter opinion see </w:t>
      </w:r>
      <w:proofErr w:type="spellStart"/>
      <w:r w:rsidRPr="00AC1055">
        <w:rPr>
          <w:rFonts w:cs="Times New Roman"/>
        </w:rPr>
        <w:t>Shyamal</w:t>
      </w:r>
      <w:proofErr w:type="spellEnd"/>
      <w:r w:rsidRPr="00AC1055">
        <w:rPr>
          <w:rFonts w:cs="Times New Roman"/>
        </w:rPr>
        <w:t xml:space="preserve"> Paul and </w:t>
      </w:r>
      <w:proofErr w:type="spellStart"/>
      <w:r w:rsidRPr="00AC1055">
        <w:rPr>
          <w:rFonts w:cs="Times New Roman"/>
        </w:rPr>
        <w:t>Rabindra</w:t>
      </w:r>
      <w:proofErr w:type="spellEnd"/>
      <w:r w:rsidRPr="00AC1055">
        <w:rPr>
          <w:rFonts w:cs="Times New Roman"/>
        </w:rPr>
        <w:t xml:space="preserve"> N. Bhattacharya, ‘Causality between energy consumption and economic growth in India: a note on conflicting results’ (2004) 26 (6) Energy Economics 977-983.</w:t>
      </w:r>
    </w:p>
  </w:footnote>
  <w:footnote w:id="129">
    <w:p w14:paraId="74C55EE6"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United Nations Development Programme, </w:t>
      </w:r>
      <w:r w:rsidRPr="00AC1055">
        <w:rPr>
          <w:rFonts w:cs="Times New Roman"/>
          <w:i/>
        </w:rPr>
        <w:t>Human Development Report 2014</w:t>
      </w:r>
      <w:r w:rsidRPr="00AC1055">
        <w:rPr>
          <w:rFonts w:cs="Times New Roman"/>
        </w:rPr>
        <w:t xml:space="preserve">; for a more critical view see Mark McGillivray, ‘The human development index: yet another redundant composite development indicator?’ (1991) 19 (10) World Development 1461-1468; </w:t>
      </w:r>
      <w:proofErr w:type="spellStart"/>
      <w:r w:rsidRPr="00AC1055">
        <w:rPr>
          <w:rFonts w:cs="Times New Roman"/>
        </w:rPr>
        <w:t>Ambuj</w:t>
      </w:r>
      <w:proofErr w:type="spellEnd"/>
      <w:r w:rsidRPr="00AC1055">
        <w:rPr>
          <w:rFonts w:cs="Times New Roman"/>
        </w:rPr>
        <w:t xml:space="preserve"> </w:t>
      </w:r>
      <w:proofErr w:type="spellStart"/>
      <w:r w:rsidRPr="00AC1055">
        <w:rPr>
          <w:rFonts w:cs="Times New Roman"/>
        </w:rPr>
        <w:t>D.Sagar</w:t>
      </w:r>
      <w:proofErr w:type="spellEnd"/>
      <w:r w:rsidRPr="00AC1055">
        <w:rPr>
          <w:rFonts w:cs="Times New Roman"/>
        </w:rPr>
        <w:t xml:space="preserve"> and </w:t>
      </w:r>
      <w:proofErr w:type="spellStart"/>
      <w:r w:rsidRPr="00AC1055">
        <w:rPr>
          <w:rFonts w:cs="Times New Roman"/>
        </w:rPr>
        <w:t>Adil</w:t>
      </w:r>
      <w:proofErr w:type="spellEnd"/>
      <w:r w:rsidRPr="00AC1055">
        <w:rPr>
          <w:rFonts w:cs="Times New Roman"/>
        </w:rPr>
        <w:t xml:space="preserve"> </w:t>
      </w:r>
      <w:proofErr w:type="spellStart"/>
      <w:r w:rsidRPr="00AC1055">
        <w:rPr>
          <w:rFonts w:cs="Times New Roman"/>
        </w:rPr>
        <w:t>Najam</w:t>
      </w:r>
      <w:proofErr w:type="spellEnd"/>
      <w:r w:rsidRPr="00AC1055">
        <w:rPr>
          <w:rFonts w:cs="Times New Roman"/>
        </w:rPr>
        <w:t xml:space="preserve">, ‘The human development index: a critical review’ (1998) 25 (3) Ecological economics 249-264; Jack </w:t>
      </w:r>
      <w:proofErr w:type="spellStart"/>
      <w:r w:rsidRPr="00AC1055">
        <w:rPr>
          <w:rFonts w:cs="Times New Roman"/>
        </w:rPr>
        <w:t>Hou</w:t>
      </w:r>
      <w:proofErr w:type="spellEnd"/>
      <w:r w:rsidRPr="00AC1055">
        <w:rPr>
          <w:rFonts w:cs="Times New Roman"/>
        </w:rPr>
        <w:t xml:space="preserve">, ‘The dynamics of Human Development Index’ (2014) The Social Science Journal doi:10.1016/j.soscij.2014.07.003; Martin </w:t>
      </w:r>
      <w:proofErr w:type="spellStart"/>
      <w:r w:rsidRPr="00AC1055">
        <w:rPr>
          <w:rFonts w:cs="Times New Roman"/>
        </w:rPr>
        <w:t>Ravallion</w:t>
      </w:r>
      <w:proofErr w:type="spellEnd"/>
      <w:r w:rsidRPr="00AC1055">
        <w:rPr>
          <w:rFonts w:cs="Times New Roman"/>
        </w:rPr>
        <w:t xml:space="preserve">, ‘Troubling </w:t>
      </w:r>
      <w:proofErr w:type="spellStart"/>
      <w:r w:rsidRPr="00AC1055">
        <w:rPr>
          <w:rFonts w:cs="Times New Roman"/>
        </w:rPr>
        <w:t>tradeoffs</w:t>
      </w:r>
      <w:proofErr w:type="spellEnd"/>
      <w:r w:rsidRPr="00AC1055">
        <w:rPr>
          <w:rFonts w:cs="Times New Roman"/>
        </w:rPr>
        <w:t xml:space="preserve"> in the Human Development Index’ (2012) 99 (2) Journal of Development Economics 201-209</w:t>
      </w:r>
    </w:p>
  </w:footnote>
  <w:footnote w:id="130">
    <w:p w14:paraId="52D696F0"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Technical notes in United Nations Development Programme, </w:t>
      </w:r>
      <w:r w:rsidRPr="00AC1055">
        <w:rPr>
          <w:rFonts w:cs="Times New Roman"/>
          <w:i/>
        </w:rPr>
        <w:t>Human Development Report 2014</w:t>
      </w:r>
      <w:r w:rsidRPr="00AC1055">
        <w:rPr>
          <w:rFonts w:cs="Times New Roman"/>
        </w:rPr>
        <w:t xml:space="preserve"> available at http://hdr.undp.org/sites/default/files/hdr14_technical_notes.pdf</w:t>
      </w:r>
    </w:p>
    <w:p w14:paraId="0D6958EC" w14:textId="77777777" w:rsidR="005A260F" w:rsidRPr="00AC1055" w:rsidRDefault="005A260F" w:rsidP="00064B3E">
      <w:pPr>
        <w:pStyle w:val="FootnoteText"/>
        <w:rPr>
          <w:rFonts w:cs="Times New Roman"/>
        </w:rPr>
      </w:pPr>
    </w:p>
  </w:footnote>
  <w:footnote w:id="131">
    <w:p w14:paraId="1D850025"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Alejandro Ramirez et al., ‘Economic Growth and Human Development’ (1997) Yale University working paper no. 18; Gustav Ranis et al., ‘Economic growth and human development’ (2000) 28 (2) World development 197-219; Gustav Ranis and Frances Stewart, ‘Dynamic Links between the Economy and Human Development’ (2005) Department of Economics and Social Affairs (UN) Working Paper available at http://economics.ouls.ox.ac.uk/12091/1/Ranis%2520%26%2520Stewart.pdf; </w:t>
      </w:r>
      <w:proofErr w:type="spellStart"/>
      <w:r w:rsidRPr="00AC1055">
        <w:rPr>
          <w:rFonts w:cs="Times New Roman"/>
        </w:rPr>
        <w:t>Sudhir</w:t>
      </w:r>
      <w:proofErr w:type="spellEnd"/>
      <w:r w:rsidRPr="00AC1055">
        <w:rPr>
          <w:rFonts w:cs="Times New Roman"/>
        </w:rPr>
        <w:t xml:space="preserve"> </w:t>
      </w:r>
      <w:proofErr w:type="spellStart"/>
      <w:r w:rsidRPr="00AC1055">
        <w:rPr>
          <w:rFonts w:cs="Times New Roman"/>
        </w:rPr>
        <w:t>Anand</w:t>
      </w:r>
      <w:proofErr w:type="spellEnd"/>
      <w:r w:rsidRPr="00AC1055">
        <w:rPr>
          <w:rFonts w:cs="Times New Roman"/>
        </w:rPr>
        <w:t xml:space="preserve"> and Amartya Sen, ‘The income component of the human development index’ (2000) 1 (1) Journal of human development 83-106; Ghulam </w:t>
      </w:r>
      <w:proofErr w:type="spellStart"/>
      <w:r w:rsidRPr="00AC1055">
        <w:rPr>
          <w:rFonts w:cs="Times New Roman"/>
        </w:rPr>
        <w:t>Akhmat</w:t>
      </w:r>
      <w:proofErr w:type="spellEnd"/>
      <w:r w:rsidRPr="00AC1055">
        <w:rPr>
          <w:rFonts w:cs="Times New Roman"/>
        </w:rPr>
        <w:t xml:space="preserve"> et al., ‘Impact of financial development on SAARC'S human development’ (2013) Quality and Quantity 1-16.</w:t>
      </w:r>
    </w:p>
  </w:footnote>
  <w:footnote w:id="132">
    <w:p w14:paraId="12635DF1"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Robert </w:t>
      </w:r>
      <w:proofErr w:type="spellStart"/>
      <w:r w:rsidRPr="00AC1055">
        <w:rPr>
          <w:rFonts w:cs="Times New Roman"/>
        </w:rPr>
        <w:t>Dorfman</w:t>
      </w:r>
      <w:proofErr w:type="spellEnd"/>
      <w:r w:rsidRPr="00AC1055">
        <w:rPr>
          <w:rFonts w:cs="Times New Roman"/>
        </w:rPr>
        <w:t>, ‘A formula for the Gini coefficient’ (1979) The Review of Economics and Statistics 146.</w:t>
      </w:r>
    </w:p>
  </w:footnote>
  <w:footnote w:id="133">
    <w:p w14:paraId="09179981"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Amparo </w:t>
      </w:r>
      <w:proofErr w:type="spellStart"/>
      <w:r w:rsidRPr="00AC1055">
        <w:rPr>
          <w:rFonts w:cs="Times New Roman"/>
        </w:rPr>
        <w:t>Castelló</w:t>
      </w:r>
      <w:proofErr w:type="spellEnd"/>
      <w:r w:rsidRPr="00AC1055">
        <w:rPr>
          <w:rFonts w:cs="Times New Roman"/>
        </w:rPr>
        <w:t xml:space="preserve"> and Rafael </w:t>
      </w:r>
      <w:proofErr w:type="spellStart"/>
      <w:r w:rsidRPr="00AC1055">
        <w:rPr>
          <w:rFonts w:cs="Times New Roman"/>
        </w:rPr>
        <w:t>Doménech</w:t>
      </w:r>
      <w:proofErr w:type="spellEnd"/>
      <w:r w:rsidRPr="00AC1055">
        <w:rPr>
          <w:rFonts w:cs="Times New Roman"/>
        </w:rPr>
        <w:t>, ‘Human capital inequality and economic growth: some new evidence’ (2002) 112 (478) The economic journal C187-C200.</w:t>
      </w:r>
    </w:p>
  </w:footnote>
  <w:footnote w:id="134">
    <w:p w14:paraId="6968B11E" w14:textId="4D24BDF6"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Torsten</w:t>
      </w:r>
      <w:proofErr w:type="spellEnd"/>
      <w:r w:rsidRPr="00AC1055">
        <w:rPr>
          <w:rFonts w:cs="Times New Roman"/>
        </w:rPr>
        <w:t xml:space="preserve"> </w:t>
      </w:r>
      <w:proofErr w:type="spellStart"/>
      <w:r w:rsidRPr="00AC1055">
        <w:rPr>
          <w:rFonts w:cs="Times New Roman"/>
        </w:rPr>
        <w:t>Persson</w:t>
      </w:r>
      <w:proofErr w:type="spellEnd"/>
      <w:r w:rsidRPr="00AC1055">
        <w:rPr>
          <w:rFonts w:cs="Times New Roman"/>
        </w:rPr>
        <w:t xml:space="preserve"> and Guido </w:t>
      </w:r>
      <w:proofErr w:type="spellStart"/>
      <w:r w:rsidRPr="00AC1055">
        <w:rPr>
          <w:rFonts w:cs="Times New Roman"/>
        </w:rPr>
        <w:t>Tabellini</w:t>
      </w:r>
      <w:proofErr w:type="spellEnd"/>
      <w:r w:rsidRPr="00AC1055">
        <w:rPr>
          <w:rFonts w:cs="Times New Roman"/>
        </w:rPr>
        <w:t xml:space="preserve">, ‘Is Inequality Harmful for Growth? Theory and Evidence’ (1991) University of California at Berkley working paper no. 91-155; Alberto </w:t>
      </w:r>
      <w:proofErr w:type="spellStart"/>
      <w:r w:rsidRPr="00AC1055">
        <w:rPr>
          <w:rFonts w:cs="Times New Roman"/>
        </w:rPr>
        <w:t>Alesina</w:t>
      </w:r>
      <w:proofErr w:type="spellEnd"/>
      <w:r w:rsidRPr="00AC1055">
        <w:rPr>
          <w:rFonts w:cs="Times New Roman"/>
        </w:rPr>
        <w:t xml:space="preserve"> and Dani </w:t>
      </w:r>
      <w:proofErr w:type="spellStart"/>
      <w:r w:rsidRPr="00AC1055">
        <w:rPr>
          <w:rFonts w:cs="Times New Roman"/>
        </w:rPr>
        <w:t>Rodrik</w:t>
      </w:r>
      <w:proofErr w:type="spellEnd"/>
      <w:r w:rsidRPr="00AC1055">
        <w:rPr>
          <w:rFonts w:cs="Times New Roman"/>
        </w:rPr>
        <w:t xml:space="preserve">, ‘Distributive politics and economic growth’ (1991) National Bureau of Economic Research working paper no. 3668 available at </w:t>
      </w:r>
      <w:r>
        <w:rPr>
          <w:rFonts w:cs="Times New Roman"/>
        </w:rPr>
        <w:t>&lt;</w:t>
      </w:r>
      <w:r w:rsidRPr="00AC1055">
        <w:rPr>
          <w:rFonts w:cs="Times New Roman"/>
        </w:rPr>
        <w:t>http://www.nber.org/papers/w3668</w:t>
      </w:r>
      <w:r>
        <w:rPr>
          <w:rFonts w:cs="Times New Roman"/>
        </w:rPr>
        <w:t xml:space="preserve">&gt; published at (1994) 109 (2) </w:t>
      </w:r>
      <w:r w:rsidRPr="000F4B19">
        <w:rPr>
          <w:rFonts w:cs="Times New Roman"/>
        </w:rPr>
        <w:t>The Quarterly Journal of Economics</w:t>
      </w:r>
      <w:r>
        <w:rPr>
          <w:rFonts w:cs="Times New Roman"/>
        </w:rPr>
        <w:t xml:space="preserve"> 465.</w:t>
      </w:r>
    </w:p>
  </w:footnote>
  <w:footnote w:id="135">
    <w:p w14:paraId="705FC222"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Kristin J. Forbes, ‘A Reassessment of the Relationship between Inequality and Growth’ (2000) American economic review 869-887; </w:t>
      </w:r>
      <w:proofErr w:type="spellStart"/>
      <w:r w:rsidRPr="00AC1055">
        <w:rPr>
          <w:rFonts w:cs="Times New Roman"/>
        </w:rPr>
        <w:t>Hongyi</w:t>
      </w:r>
      <w:proofErr w:type="spellEnd"/>
      <w:r w:rsidRPr="00AC1055">
        <w:rPr>
          <w:rFonts w:cs="Times New Roman"/>
        </w:rPr>
        <w:t xml:space="preserve"> Li and </w:t>
      </w:r>
      <w:proofErr w:type="spellStart"/>
      <w:r w:rsidRPr="00AC1055">
        <w:rPr>
          <w:rFonts w:cs="Times New Roman"/>
        </w:rPr>
        <w:t>Heng-fu</w:t>
      </w:r>
      <w:proofErr w:type="spellEnd"/>
      <w:r w:rsidRPr="00AC1055">
        <w:rPr>
          <w:rFonts w:cs="Times New Roman"/>
        </w:rPr>
        <w:t xml:space="preserve"> Zou, ‘Income Inequality is not Harmful for Growth: Theory and Evidence’ (1998) 2 (3) Review of Development Economics 318-334; Robert J. </w:t>
      </w:r>
      <w:proofErr w:type="spellStart"/>
      <w:r w:rsidRPr="00AC1055">
        <w:rPr>
          <w:rFonts w:cs="Times New Roman"/>
        </w:rPr>
        <w:t>Barro</w:t>
      </w:r>
      <w:proofErr w:type="spellEnd"/>
      <w:r w:rsidRPr="00AC1055">
        <w:rPr>
          <w:rFonts w:cs="Times New Roman"/>
        </w:rPr>
        <w:t>, ‘Inequality and Growth in a Panel of Countries’ (2000) 5 (1) Journal of economic growth 5-32; see also Simon Kuznets, ‘Economic growth and income inequality’ (1955) The American Economic Review 1-28.</w:t>
      </w:r>
    </w:p>
  </w:footnote>
  <w:footnote w:id="136">
    <w:p w14:paraId="24A78452" w14:textId="5750A102"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Jack </w:t>
      </w:r>
      <w:proofErr w:type="spellStart"/>
      <w:r w:rsidRPr="00AC1055">
        <w:rPr>
          <w:rFonts w:cs="Times New Roman"/>
        </w:rPr>
        <w:t>Favilukis</w:t>
      </w:r>
      <w:proofErr w:type="spellEnd"/>
      <w:r w:rsidRPr="00AC1055">
        <w:rPr>
          <w:rFonts w:cs="Times New Roman"/>
        </w:rPr>
        <w:t xml:space="preserve">, ‘Inequality, stock market participation, and the equity premium’ (2013) 107 (3) Journal of Financial Economics 740-759; for the knock on effect of income inequality especially on asset pricing see Daniel </w:t>
      </w:r>
      <w:proofErr w:type="spellStart"/>
      <w:r w:rsidRPr="00AC1055">
        <w:rPr>
          <w:rFonts w:cs="Times New Roman"/>
        </w:rPr>
        <w:t>Barczyk</w:t>
      </w:r>
      <w:proofErr w:type="spellEnd"/>
      <w:r w:rsidRPr="00AC1055">
        <w:rPr>
          <w:rFonts w:cs="Times New Roman"/>
        </w:rPr>
        <w:t xml:space="preserve"> and Matthias </w:t>
      </w:r>
      <w:proofErr w:type="spellStart"/>
      <w:r w:rsidRPr="00AC1055">
        <w:rPr>
          <w:rFonts w:cs="Times New Roman"/>
        </w:rPr>
        <w:t>Kredler</w:t>
      </w:r>
      <w:proofErr w:type="spellEnd"/>
      <w:r w:rsidRPr="00AC1055">
        <w:rPr>
          <w:rFonts w:cs="Times New Roman"/>
        </w:rPr>
        <w:t>, ‘Inequality and asset prices’ (201</w:t>
      </w:r>
      <w:r>
        <w:rPr>
          <w:rFonts w:cs="Times New Roman"/>
        </w:rPr>
        <w:t>5</w:t>
      </w:r>
      <w:r w:rsidRPr="00AC1055">
        <w:rPr>
          <w:rFonts w:cs="Times New Roman"/>
        </w:rPr>
        <w:t xml:space="preserve">) Working Paper available at </w:t>
      </w:r>
      <w:r>
        <w:rPr>
          <w:rFonts w:cs="Times New Roman"/>
        </w:rPr>
        <w:t>&lt;</w:t>
      </w:r>
      <w:r w:rsidRPr="00E5006F">
        <w:t xml:space="preserve"> </w:t>
      </w:r>
      <w:r w:rsidRPr="00E5006F">
        <w:rPr>
          <w:rFonts w:cs="Times New Roman"/>
        </w:rPr>
        <w:t xml:space="preserve">http://danielbarczyk-research.mcgill.ca/research_files/Asset_Dec15.pdf </w:t>
      </w:r>
      <w:r>
        <w:rPr>
          <w:rFonts w:cs="Times New Roman"/>
        </w:rPr>
        <w:t>&gt;</w:t>
      </w:r>
      <w:r w:rsidRPr="00AC1055">
        <w:rPr>
          <w:rFonts w:cs="Times New Roman"/>
        </w:rPr>
        <w:t>; Yilin Zhang, ‘Income Inequality and Asset Prices: A Cross-Country Study’ (2013) working paper available at http://dx.doi.org/10.2139/ssrn.2021287</w:t>
      </w:r>
    </w:p>
  </w:footnote>
  <w:footnote w:id="137">
    <w:p w14:paraId="498BFBE8"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Institute of Economics &amp; Peace, </w:t>
      </w:r>
      <w:r w:rsidRPr="00AC1055">
        <w:rPr>
          <w:rFonts w:cs="Times New Roman"/>
          <w:i/>
        </w:rPr>
        <w:t>Global Peace Index: Measuring peace and assessing country risk</w:t>
      </w:r>
      <w:r w:rsidRPr="00AC1055">
        <w:rPr>
          <w:rFonts w:cs="Times New Roman"/>
        </w:rPr>
        <w:t xml:space="preserve"> (2014) available online at http://www.visionofhumanity.org/sites/default/files/2014%20Global%20Peace%20Index%20 REPORT.pdf</w:t>
      </w:r>
    </w:p>
  </w:footnote>
  <w:footnote w:id="138">
    <w:p w14:paraId="1A4BBD03"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Institute of Economics &amp; Peace, </w:t>
      </w:r>
      <w:r w:rsidRPr="00AC1055">
        <w:rPr>
          <w:rFonts w:cs="Times New Roman"/>
          <w:i/>
        </w:rPr>
        <w:t>The economic cost of violence containment: a comprehensive assessment of the global cost of violence</w:t>
      </w:r>
      <w:r w:rsidRPr="00AC1055">
        <w:rPr>
          <w:rFonts w:cs="Times New Roman"/>
        </w:rPr>
        <w:t xml:space="preserve"> (2014) available at http://www.visionofhumanity.org/sites/default/files/The%20</w:t>
      </w:r>
    </w:p>
    <w:p w14:paraId="669EEBBD" w14:textId="77777777" w:rsidR="005A260F" w:rsidRPr="00AC1055" w:rsidRDefault="005A260F" w:rsidP="00064B3E">
      <w:pPr>
        <w:pStyle w:val="FootnoteText"/>
        <w:rPr>
          <w:rFonts w:cs="Times New Roman"/>
        </w:rPr>
      </w:pPr>
      <w:r w:rsidRPr="00AC1055">
        <w:rPr>
          <w:rFonts w:cs="Times New Roman"/>
        </w:rPr>
        <w:t>Economic%20Cost%20of%20Violence%20Containment.pdf</w:t>
      </w:r>
    </w:p>
  </w:footnote>
  <w:footnote w:id="139">
    <w:p w14:paraId="79C68EB8"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John Bates Clark, ‘For a historical treatment of the issue see The Economic Costs of War’ (1916) 6 (1) The American Economic Review 85-93; William S. Rossiter, ‘The Statistical Side of the Economic Costs of War’ (1916) 6 (1) The American Economic Review 94-117; for a more recent treatment of the issue see Ron P. Smith, ‘The economic costs of military conflict’ (2014) 51 (2) Journal of Peace Research 245-256; Frances Stewart and </w:t>
      </w:r>
      <w:proofErr w:type="spellStart"/>
      <w:r w:rsidRPr="00AC1055">
        <w:rPr>
          <w:rFonts w:cs="Times New Roman"/>
        </w:rPr>
        <w:t>Valpy</w:t>
      </w:r>
      <w:proofErr w:type="spellEnd"/>
      <w:r w:rsidRPr="00AC1055">
        <w:rPr>
          <w:rFonts w:cs="Times New Roman"/>
        </w:rPr>
        <w:t xml:space="preserve"> Fitzgerald, </w:t>
      </w:r>
      <w:r w:rsidRPr="00AC1055">
        <w:rPr>
          <w:rFonts w:cs="Times New Roman"/>
          <w:i/>
        </w:rPr>
        <w:t>The Economic and Social Consequences of Conflict</w:t>
      </w:r>
      <w:r w:rsidRPr="00AC1055">
        <w:rPr>
          <w:rFonts w:cs="Times New Roman"/>
        </w:rPr>
        <w:t xml:space="preserve"> (Oxford University Press 2000); Vincenzo </w:t>
      </w:r>
      <w:proofErr w:type="spellStart"/>
      <w:r w:rsidRPr="00AC1055">
        <w:rPr>
          <w:rFonts w:cs="Times New Roman"/>
        </w:rPr>
        <w:t>Bove</w:t>
      </w:r>
      <w:proofErr w:type="spellEnd"/>
      <w:r w:rsidRPr="00AC1055">
        <w:rPr>
          <w:rFonts w:cs="Times New Roman"/>
        </w:rPr>
        <w:t xml:space="preserve"> and Leandro Elia, ‘The impact of American and British involvement in Afghanistan and Iraq on health spending, military spending and economic growth’ (2014) 14 (1) The BE Journal of Macroeconomics 325–339; Gregory D. Hess, ‘The economic welfare cost of conflict: an empirical assessment’ (2003) </w:t>
      </w:r>
      <w:proofErr w:type="spellStart"/>
      <w:r w:rsidRPr="00AC1055">
        <w:rPr>
          <w:rFonts w:cs="Times New Roman"/>
        </w:rPr>
        <w:t>CESifo</w:t>
      </w:r>
      <w:proofErr w:type="spellEnd"/>
      <w:r w:rsidRPr="00AC1055">
        <w:rPr>
          <w:rFonts w:cs="Times New Roman"/>
        </w:rPr>
        <w:t xml:space="preserve"> Working Paper No. 852; Edward Miguel et al., ‘Economic shocks and civil conflict: An instrumental variables approach’ (2004) 112 (4) Journal of political Economy 725-753; Paul Collier, ‘On the economic consequences of civil war’ (1999) 51 (1) Oxford economic papers 168-183; Richard Dorsett, ‘The effect of the Troubles on GDP in Northern Ireland’ (2013) 29 European Journal of Political Economy 119-133; Alberto </w:t>
      </w:r>
      <w:proofErr w:type="spellStart"/>
      <w:r w:rsidRPr="00AC1055">
        <w:rPr>
          <w:rFonts w:cs="Times New Roman"/>
        </w:rPr>
        <w:t>Abadie</w:t>
      </w:r>
      <w:proofErr w:type="spellEnd"/>
      <w:r w:rsidRPr="00AC1055">
        <w:rPr>
          <w:rFonts w:cs="Times New Roman"/>
        </w:rPr>
        <w:t xml:space="preserve"> and Javier </w:t>
      </w:r>
      <w:proofErr w:type="spellStart"/>
      <w:r w:rsidRPr="00AC1055">
        <w:rPr>
          <w:rFonts w:cs="Times New Roman"/>
        </w:rPr>
        <w:t>Gardeazabal</w:t>
      </w:r>
      <w:proofErr w:type="spellEnd"/>
      <w:r w:rsidRPr="00AC1055">
        <w:rPr>
          <w:rFonts w:cs="Times New Roman"/>
        </w:rPr>
        <w:t>, ‘Terrorism and the world economy’ (2008) 52 (1) European Economic Review 1-27</w:t>
      </w:r>
    </w:p>
  </w:footnote>
  <w:footnote w:id="140">
    <w:p w14:paraId="515E199C"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Cristina </w:t>
      </w:r>
      <w:proofErr w:type="spellStart"/>
      <w:r w:rsidRPr="00AC1055">
        <w:rPr>
          <w:rFonts w:cs="Times New Roman"/>
        </w:rPr>
        <w:t>Bodea</w:t>
      </w:r>
      <w:proofErr w:type="spellEnd"/>
      <w:r w:rsidRPr="00AC1055">
        <w:rPr>
          <w:rFonts w:cs="Times New Roman"/>
        </w:rPr>
        <w:t xml:space="preserve"> and Ibrahim A. </w:t>
      </w:r>
      <w:proofErr w:type="spellStart"/>
      <w:r w:rsidRPr="00AC1055">
        <w:rPr>
          <w:rFonts w:cs="Times New Roman"/>
        </w:rPr>
        <w:t>Elbadawi</w:t>
      </w:r>
      <w:proofErr w:type="spellEnd"/>
      <w:r w:rsidRPr="00AC1055">
        <w:rPr>
          <w:rFonts w:cs="Times New Roman"/>
        </w:rPr>
        <w:t xml:space="preserve">, ‘Political Violence and Economic Growth, (2008) World Bank, Washington available at https://openknowledge.worldbank.org/handle/10986/6805; Alberto </w:t>
      </w:r>
      <w:proofErr w:type="spellStart"/>
      <w:r w:rsidRPr="00AC1055">
        <w:rPr>
          <w:rFonts w:cs="Times New Roman"/>
        </w:rPr>
        <w:t>Alesina</w:t>
      </w:r>
      <w:proofErr w:type="spellEnd"/>
      <w:r w:rsidRPr="00AC1055">
        <w:rPr>
          <w:rFonts w:cs="Times New Roman"/>
        </w:rPr>
        <w:t xml:space="preserve"> et al., ‘Political instability and economic growth’ (1996) 1 (2) Journal of Economic growth  189-211.</w:t>
      </w:r>
    </w:p>
  </w:footnote>
  <w:footnote w:id="141">
    <w:p w14:paraId="22095DC0"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Christos </w:t>
      </w:r>
      <w:proofErr w:type="spellStart"/>
      <w:r w:rsidRPr="00AC1055">
        <w:rPr>
          <w:rFonts w:cs="Times New Roman"/>
        </w:rPr>
        <w:t>Kollias</w:t>
      </w:r>
      <w:proofErr w:type="spellEnd"/>
      <w:r w:rsidRPr="00AC1055">
        <w:rPr>
          <w:rFonts w:cs="Times New Roman"/>
        </w:rPr>
        <w:t xml:space="preserve"> et al., ‘European Markets’ Reactions to Exogenous Shocks: A High Frequency Data Analysis of the 2005 London Bombings’ (2013) 1 (4) International Journal of Financial Studies 154; for ripple effects of interconnected stock exchanges in a globalised world see also M </w:t>
      </w:r>
      <w:proofErr w:type="spellStart"/>
      <w:r w:rsidRPr="00AC1055">
        <w:rPr>
          <w:rFonts w:cs="Times New Roman"/>
        </w:rPr>
        <w:t>Pericoli</w:t>
      </w:r>
      <w:proofErr w:type="spellEnd"/>
      <w:r w:rsidRPr="00AC1055">
        <w:rPr>
          <w:rFonts w:cs="Times New Roman"/>
        </w:rPr>
        <w:t xml:space="preserve"> and M </w:t>
      </w:r>
      <w:proofErr w:type="spellStart"/>
      <w:r w:rsidRPr="00AC1055">
        <w:rPr>
          <w:rFonts w:cs="Times New Roman"/>
        </w:rPr>
        <w:t>Sbracia</w:t>
      </w:r>
      <w:proofErr w:type="spellEnd"/>
      <w:r w:rsidRPr="00AC1055">
        <w:rPr>
          <w:rFonts w:cs="Times New Roman"/>
        </w:rPr>
        <w:t xml:space="preserve">, ‘A primer on financial contagion’ (2003) 17 Journal of Economic Surveys 571-608; I. </w:t>
      </w:r>
      <w:proofErr w:type="spellStart"/>
      <w:r w:rsidRPr="00AC1055">
        <w:rPr>
          <w:rFonts w:cs="Times New Roman"/>
        </w:rPr>
        <w:t>Meric</w:t>
      </w:r>
      <w:proofErr w:type="spellEnd"/>
      <w:r w:rsidRPr="00AC1055">
        <w:rPr>
          <w:rFonts w:cs="Times New Roman"/>
        </w:rPr>
        <w:t xml:space="preserve"> and G </w:t>
      </w:r>
      <w:proofErr w:type="spellStart"/>
      <w:r w:rsidRPr="00AC1055">
        <w:rPr>
          <w:rFonts w:cs="Times New Roman"/>
        </w:rPr>
        <w:t>Meric</w:t>
      </w:r>
      <w:proofErr w:type="spellEnd"/>
      <w:r w:rsidRPr="00AC1055">
        <w:rPr>
          <w:rFonts w:cs="Times New Roman"/>
        </w:rPr>
        <w:t xml:space="preserve">, ‘Co-movements of European equity markets before and after the 1987 crash’ (1997) Multinational Finance Journal 137-152; W N </w:t>
      </w:r>
      <w:proofErr w:type="spellStart"/>
      <w:r w:rsidRPr="00AC1055">
        <w:rPr>
          <w:rFonts w:cs="Times New Roman"/>
        </w:rPr>
        <w:t>Goetzmann</w:t>
      </w:r>
      <w:proofErr w:type="spellEnd"/>
      <w:r w:rsidRPr="00AC1055">
        <w:rPr>
          <w:rFonts w:cs="Times New Roman"/>
        </w:rPr>
        <w:t xml:space="preserve"> et al., ‘Long-term global market correlations’ (2005) 78 (1) The Journal of Business 1-38; Lorenzo </w:t>
      </w:r>
      <w:proofErr w:type="spellStart"/>
      <w:r w:rsidRPr="00AC1055">
        <w:rPr>
          <w:rFonts w:cs="Times New Roman"/>
        </w:rPr>
        <w:t>Cappiello</w:t>
      </w:r>
      <w:proofErr w:type="spellEnd"/>
      <w:r w:rsidRPr="00AC1055">
        <w:rPr>
          <w:rFonts w:cs="Times New Roman"/>
        </w:rPr>
        <w:t xml:space="preserve"> et al., ‘Asymmetric Dynamics in the Correlations of Global Equity and Bond Returns’ (2006) 4 (4) Journal of Financial Econometrics 537-572; F </w:t>
      </w:r>
      <w:proofErr w:type="spellStart"/>
      <w:r w:rsidRPr="00AC1055">
        <w:rPr>
          <w:rFonts w:cs="Times New Roman"/>
        </w:rPr>
        <w:t>Longin</w:t>
      </w:r>
      <w:proofErr w:type="spellEnd"/>
      <w:r w:rsidRPr="00AC1055">
        <w:rPr>
          <w:rFonts w:cs="Times New Roman"/>
        </w:rPr>
        <w:t xml:space="preserve"> and B </w:t>
      </w:r>
      <w:proofErr w:type="spellStart"/>
      <w:r w:rsidRPr="00AC1055">
        <w:rPr>
          <w:rFonts w:cs="Times New Roman"/>
        </w:rPr>
        <w:t>Solnik</w:t>
      </w:r>
      <w:proofErr w:type="spellEnd"/>
      <w:r w:rsidRPr="00AC1055">
        <w:rPr>
          <w:rFonts w:cs="Times New Roman"/>
        </w:rPr>
        <w:t>, ‘Is the correlation in international equity returns constant: 1960–1990?’ (1995) Journal of International Money and Finance 3-26.</w:t>
      </w:r>
    </w:p>
  </w:footnote>
  <w:footnote w:id="142">
    <w:p w14:paraId="5C5E4DB0"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World Justice Project, WJP Rule of Law Index 2014 at http://worldjusticeproject.org/rule-of-law-index</w:t>
      </w:r>
    </w:p>
  </w:footnote>
  <w:footnote w:id="143">
    <w:p w14:paraId="28D748F5" w14:textId="4E527002"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Randall </w:t>
      </w:r>
      <w:proofErr w:type="spellStart"/>
      <w:r w:rsidRPr="00AC1055">
        <w:rPr>
          <w:rFonts w:cs="Times New Roman"/>
        </w:rPr>
        <w:t>Peerenboom</w:t>
      </w:r>
      <w:proofErr w:type="spellEnd"/>
      <w:r w:rsidRPr="00AC1055">
        <w:rPr>
          <w:rFonts w:cs="Times New Roman"/>
        </w:rPr>
        <w:t xml:space="preserve"> (eds.) </w:t>
      </w:r>
      <w:r w:rsidRPr="00AC1055">
        <w:rPr>
          <w:rFonts w:cs="Times New Roman"/>
          <w:i/>
        </w:rPr>
        <w:t>Asian Discourses of Rule of Law</w:t>
      </w:r>
      <w:r w:rsidRPr="00AC1055">
        <w:rPr>
          <w:rFonts w:cs="Times New Roman"/>
        </w:rPr>
        <w:t xml:space="preserve"> (Routledge 2003); see also Timothy A. Canova, ‘Financial Market Failure as a Crisis in the Rule of Law: From Market Fundamentalism to a New Keynesian Regulatory Model’ (2009) Chapman University Law Research Paper No. 09-39 </w:t>
      </w:r>
      <w:r>
        <w:rPr>
          <w:rFonts w:cs="Times New Roman"/>
        </w:rPr>
        <w:t>&lt;</w:t>
      </w:r>
      <w:r w:rsidRPr="00AC1055">
        <w:rPr>
          <w:rFonts w:cs="Times New Roman"/>
        </w:rPr>
        <w:t>http://ssrn.com/abstract=1489492</w:t>
      </w:r>
      <w:r>
        <w:rPr>
          <w:rFonts w:cs="Times New Roman"/>
        </w:rPr>
        <w:t xml:space="preserve">&gt; </w:t>
      </w:r>
      <w:r w:rsidRPr="007D1899">
        <w:rPr>
          <w:rFonts w:cs="Times New Roman"/>
        </w:rPr>
        <w:t>published as (2009) 3 Harvard Law &amp; Policy Review 369</w:t>
      </w:r>
      <w:r w:rsidRPr="00AC1055">
        <w:rPr>
          <w:rFonts w:cs="Times New Roman"/>
        </w:rPr>
        <w:t xml:space="preserve">; Kenneth W. Dam, </w:t>
      </w:r>
      <w:r w:rsidRPr="00AC1055">
        <w:rPr>
          <w:rFonts w:cs="Times New Roman"/>
          <w:i/>
        </w:rPr>
        <w:t>The law-growth nexus: The rule of law and economic development</w:t>
      </w:r>
      <w:r w:rsidRPr="00AC1055">
        <w:rPr>
          <w:rFonts w:cs="Times New Roman"/>
        </w:rPr>
        <w:t xml:space="preserve"> (Brookings Institution Press 2007); Jan-Erik Lane, ‘Law and economics in the ASEAN +3 region: The rule of law deficit’ (2011) 38 (10) International Journal of Social Economics 847-857; Banjo </w:t>
      </w:r>
      <w:proofErr w:type="spellStart"/>
      <w:r w:rsidRPr="00AC1055">
        <w:rPr>
          <w:rFonts w:cs="Times New Roman"/>
        </w:rPr>
        <w:t>Roxas</w:t>
      </w:r>
      <w:proofErr w:type="spellEnd"/>
      <w:r w:rsidRPr="00AC1055">
        <w:rPr>
          <w:rFonts w:cs="Times New Roman"/>
        </w:rPr>
        <w:t xml:space="preserve"> et al., ‘Effects of rule of law on firm performance in South Africa’ (2012) 24 (5) European Business Review 478-492; Stephan Haggard and Lydia </w:t>
      </w:r>
      <w:proofErr w:type="spellStart"/>
      <w:r w:rsidRPr="00AC1055">
        <w:rPr>
          <w:rFonts w:cs="Times New Roman"/>
        </w:rPr>
        <w:t>Tiede</w:t>
      </w:r>
      <w:proofErr w:type="spellEnd"/>
      <w:r w:rsidRPr="00AC1055">
        <w:rPr>
          <w:rFonts w:cs="Times New Roman"/>
        </w:rPr>
        <w:t xml:space="preserve">, ‘The Rule of Law and Economic Growth: Where are We?’ (2011) 39 (5) World Development 673-685; </w:t>
      </w:r>
      <w:proofErr w:type="spellStart"/>
      <w:r w:rsidRPr="00AC1055">
        <w:rPr>
          <w:rFonts w:cs="Times New Roman"/>
        </w:rPr>
        <w:t>Witold</w:t>
      </w:r>
      <w:proofErr w:type="spellEnd"/>
      <w:r w:rsidRPr="00AC1055">
        <w:rPr>
          <w:rFonts w:cs="Times New Roman"/>
        </w:rPr>
        <w:t xml:space="preserve"> J. </w:t>
      </w:r>
      <w:proofErr w:type="spellStart"/>
      <w:r w:rsidRPr="00AC1055">
        <w:rPr>
          <w:rFonts w:cs="Times New Roman"/>
        </w:rPr>
        <w:t>Henisz</w:t>
      </w:r>
      <w:proofErr w:type="spellEnd"/>
      <w:r w:rsidRPr="00AC1055">
        <w:rPr>
          <w:rFonts w:cs="Times New Roman"/>
        </w:rPr>
        <w:t xml:space="preserve">, ‘The institutional environment for economic growth’ (2000) 12 (1) Economics &amp; Politics 1-31; T </w:t>
      </w:r>
      <w:proofErr w:type="spellStart"/>
      <w:r w:rsidRPr="00AC1055">
        <w:rPr>
          <w:rFonts w:cs="Times New Roman"/>
        </w:rPr>
        <w:t>Krever</w:t>
      </w:r>
      <w:proofErr w:type="spellEnd"/>
      <w:r w:rsidRPr="00AC1055">
        <w:rPr>
          <w:rFonts w:cs="Times New Roman"/>
        </w:rPr>
        <w:t>, ‘The Legal Turn in Late Development Theory: The Rule of Law and the World Bank's Development Model’ (2011) 52 (1)  Harvard International Law Journal 287-319</w:t>
      </w:r>
    </w:p>
  </w:footnote>
  <w:footnote w:id="144">
    <w:p w14:paraId="6616A7AF" w14:textId="49DA24BC"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The only exception seems to be China, see </w:t>
      </w:r>
      <w:proofErr w:type="spellStart"/>
      <w:r w:rsidRPr="00AC1055">
        <w:rPr>
          <w:rFonts w:cs="Times New Roman"/>
        </w:rPr>
        <w:t>JiangYu</w:t>
      </w:r>
      <w:proofErr w:type="spellEnd"/>
      <w:r w:rsidRPr="00AC1055">
        <w:rPr>
          <w:rFonts w:cs="Times New Roman"/>
        </w:rPr>
        <w:t xml:space="preserve"> Wang, ‘Rule of Law and Rule of Officials: Shareholder Litigation and Anti-Dumping Practice in China’ (2008) Rule of Law in China Series Policy Brief No. 4 http://dx.doi.org/10.2139/ssrn.1126202; Kenneth W. Dam, ‘China as a Test Case: Is the Rule of Law Essential for Economic Growth?’ (2006) U Chicago Law &amp; Economics, Olin Working Paper No. 275 http://ssrn.com/abstract=880125; </w:t>
      </w:r>
      <w:proofErr w:type="spellStart"/>
      <w:r w:rsidRPr="00AC1055">
        <w:rPr>
          <w:rFonts w:cs="Times New Roman"/>
        </w:rPr>
        <w:t>Yingyi</w:t>
      </w:r>
      <w:proofErr w:type="spellEnd"/>
      <w:r w:rsidRPr="00AC1055">
        <w:rPr>
          <w:rFonts w:cs="Times New Roman"/>
        </w:rPr>
        <w:t xml:space="preserve"> Qian, ‘How Reform Worked in China’ (2002) William Davidson Institute Working Paper Number 473 http://dx.doi.org/10.2139/ssrn.317460; for a similar perspective but from competition law see Bruce M. Owen et al., ‘Antitrust in China: The Problem of Incentive Compatibility’ (2006) Stanford Law and Economics Olin Working Paper No. 295 </w:t>
      </w:r>
      <w:r>
        <w:rPr>
          <w:rFonts w:cs="Times New Roman"/>
        </w:rPr>
        <w:t>&lt;</w:t>
      </w:r>
      <w:r w:rsidRPr="00AC1055">
        <w:rPr>
          <w:rFonts w:cs="Times New Roman"/>
        </w:rPr>
        <w:t>http://dx.doi.org/10.2139/ssrn.595801</w:t>
      </w:r>
      <w:r>
        <w:rPr>
          <w:rFonts w:cs="Times New Roman"/>
        </w:rPr>
        <w:t xml:space="preserve">&gt; also </w:t>
      </w:r>
      <w:r w:rsidRPr="0045518D">
        <w:rPr>
          <w:rFonts w:cs="Times New Roman"/>
        </w:rPr>
        <w:t>published at (2005) 1 (1) Journal of Competition Law and Economics 123</w:t>
      </w:r>
      <w:r w:rsidRPr="00AC1055">
        <w:rPr>
          <w:rFonts w:cs="Times New Roman"/>
        </w:rPr>
        <w:t>; Franklin Allen et al., ‘Law, finance, and economic growth in China’ (2005) 77 (1) Journal of financial economics 57-116.</w:t>
      </w:r>
    </w:p>
  </w:footnote>
  <w:footnote w:id="145">
    <w:p w14:paraId="0E2BC5C2" w14:textId="5DD1A6DF"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Lars P. Feld and Stefan Voigt, ‘Economic Growth and Judicial Independence: Cross Country Evidence Using a New Set of Indicators’ (2003) </w:t>
      </w:r>
      <w:proofErr w:type="spellStart"/>
      <w:r w:rsidRPr="00AC1055">
        <w:rPr>
          <w:rFonts w:cs="Times New Roman"/>
        </w:rPr>
        <w:t>CESifo</w:t>
      </w:r>
      <w:proofErr w:type="spellEnd"/>
      <w:r w:rsidRPr="00AC1055">
        <w:rPr>
          <w:rFonts w:cs="Times New Roman"/>
        </w:rPr>
        <w:t xml:space="preserve"> Working Paper Series No. 906 </w:t>
      </w:r>
      <w:r>
        <w:rPr>
          <w:rFonts w:cs="Times New Roman"/>
        </w:rPr>
        <w:t>&lt;</w:t>
      </w:r>
      <w:r w:rsidRPr="00AC1055">
        <w:rPr>
          <w:rFonts w:cs="Times New Roman"/>
        </w:rPr>
        <w:t>http://ssrn.com/abstract=395403</w:t>
      </w:r>
      <w:r>
        <w:rPr>
          <w:rFonts w:cs="Times New Roman"/>
        </w:rPr>
        <w:t xml:space="preserve">&gt; </w:t>
      </w:r>
      <w:r w:rsidRPr="00883281">
        <w:rPr>
          <w:rFonts w:cs="Times New Roman"/>
        </w:rPr>
        <w:t>published at (2003) 19 (3) European Journal of Political Economy 497</w:t>
      </w:r>
      <w:r w:rsidRPr="00AC1055">
        <w:rPr>
          <w:rFonts w:cs="Times New Roman"/>
        </w:rPr>
        <w:t xml:space="preserve">; Kenneth W. Dam, ‘The Judiciary and Economic Development’ (2006) U Chicago Law &amp; Economics, Olin Working Paper No. 287 </w:t>
      </w:r>
      <w:r>
        <w:rPr>
          <w:rFonts w:cs="Times New Roman"/>
        </w:rPr>
        <w:t>&lt;</w:t>
      </w:r>
      <w:r w:rsidRPr="00AC1055">
        <w:rPr>
          <w:rFonts w:cs="Times New Roman"/>
        </w:rPr>
        <w:t>http://dx.doi.org/10.2139/ssrn.892030</w:t>
      </w:r>
      <w:r>
        <w:rPr>
          <w:rFonts w:cs="Times New Roman"/>
        </w:rPr>
        <w:t>&gt;</w:t>
      </w:r>
      <w:r w:rsidRPr="00AC1055">
        <w:rPr>
          <w:rFonts w:cs="Times New Roman"/>
        </w:rPr>
        <w:t xml:space="preserve">; Paul H. Rubin, ‘Legal Systems as Frameworks for Market Exchanges’ (2003) </w:t>
      </w:r>
      <w:r>
        <w:rPr>
          <w:rFonts w:cs="Times New Roman"/>
        </w:rPr>
        <w:t>&lt;</w:t>
      </w:r>
      <w:r w:rsidRPr="00AC1055">
        <w:rPr>
          <w:rFonts w:cs="Times New Roman"/>
        </w:rPr>
        <w:t>http://dx.doi.org/10.2139/ssrn.413626</w:t>
      </w:r>
      <w:r>
        <w:rPr>
          <w:rFonts w:cs="Times New Roman"/>
        </w:rPr>
        <w:t xml:space="preserve">&gt; </w:t>
      </w:r>
      <w:r w:rsidRPr="00C14F47">
        <w:rPr>
          <w:rFonts w:cs="Times New Roman"/>
        </w:rPr>
        <w:t xml:space="preserve">published in </w:t>
      </w:r>
      <w:r>
        <w:rPr>
          <w:rFonts w:cs="Times New Roman"/>
        </w:rPr>
        <w:t xml:space="preserve">Claude </w:t>
      </w:r>
      <w:r w:rsidRPr="00C14F47">
        <w:rPr>
          <w:rFonts w:cs="Times New Roman"/>
        </w:rPr>
        <w:t xml:space="preserve">Menard and </w:t>
      </w:r>
      <w:r>
        <w:rPr>
          <w:rFonts w:cs="Times New Roman"/>
        </w:rPr>
        <w:t xml:space="preserve">Mary M. </w:t>
      </w:r>
      <w:r w:rsidRPr="00C14F47">
        <w:rPr>
          <w:rFonts w:cs="Times New Roman"/>
        </w:rPr>
        <w:t>Shirley (</w:t>
      </w:r>
      <w:proofErr w:type="spellStart"/>
      <w:r w:rsidRPr="00C14F47">
        <w:rPr>
          <w:rFonts w:cs="Times New Roman"/>
        </w:rPr>
        <w:t>eds</w:t>
      </w:r>
      <w:proofErr w:type="spellEnd"/>
      <w:r w:rsidRPr="00C14F47">
        <w:rPr>
          <w:rFonts w:cs="Times New Roman"/>
        </w:rPr>
        <w:t xml:space="preserve">) </w:t>
      </w:r>
      <w:r w:rsidRPr="00C14F47">
        <w:rPr>
          <w:rFonts w:cs="Times New Roman"/>
          <w:i/>
        </w:rPr>
        <w:t>Handbook of New Institutional Economics</w:t>
      </w:r>
      <w:r w:rsidRPr="00C14F47">
        <w:rPr>
          <w:rFonts w:cs="Times New Roman"/>
        </w:rPr>
        <w:t xml:space="preserve"> (Springer 2005) 205-228</w:t>
      </w:r>
      <w:r>
        <w:rPr>
          <w:rFonts w:cs="Times New Roman"/>
        </w:rPr>
        <w:t>.</w:t>
      </w:r>
    </w:p>
  </w:footnote>
  <w:footnote w:id="146">
    <w:p w14:paraId="404E6D82"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WB WDI 2014 available online at &lt;http://data.worldbank.org/indicator/TX.VAL.TECH.CD&gt;</w:t>
      </w:r>
    </w:p>
  </w:footnote>
  <w:footnote w:id="147">
    <w:p w14:paraId="1BCBD963"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Belay </w:t>
      </w:r>
      <w:proofErr w:type="spellStart"/>
      <w:r w:rsidRPr="00AC1055">
        <w:rPr>
          <w:rFonts w:cs="Times New Roman"/>
        </w:rPr>
        <w:t>Seyoum</w:t>
      </w:r>
      <w:proofErr w:type="spellEnd"/>
      <w:r w:rsidRPr="00AC1055">
        <w:rPr>
          <w:rFonts w:cs="Times New Roman"/>
        </w:rPr>
        <w:t xml:space="preserve">, ‘The role of factor conditions in high-technology exports: An empirical examination’ (2004) 15 (1) The Journal of High Technology Management Research 145-162; Belay </w:t>
      </w:r>
      <w:proofErr w:type="spellStart"/>
      <w:r w:rsidRPr="00AC1055">
        <w:rPr>
          <w:rFonts w:cs="Times New Roman"/>
        </w:rPr>
        <w:t>Seyoum</w:t>
      </w:r>
      <w:proofErr w:type="spellEnd"/>
      <w:r w:rsidRPr="00AC1055">
        <w:rPr>
          <w:rFonts w:cs="Times New Roman"/>
        </w:rPr>
        <w:t xml:space="preserve">, ‘Determinants of levels of high technology exports an empirical investigation’ (2005) 13 (1) Advances in Competitiveness Research 64; for a more specific case study see </w:t>
      </w:r>
      <w:proofErr w:type="spellStart"/>
      <w:r w:rsidRPr="00AC1055">
        <w:rPr>
          <w:rFonts w:cs="Times New Roman"/>
        </w:rPr>
        <w:t>Miaojie</w:t>
      </w:r>
      <w:proofErr w:type="spellEnd"/>
      <w:r w:rsidRPr="00AC1055">
        <w:rPr>
          <w:rFonts w:cs="Times New Roman"/>
        </w:rPr>
        <w:t xml:space="preserve"> Yu, ‘Moving up the value chain in manufacturing for China’ in </w:t>
      </w:r>
      <w:proofErr w:type="spellStart"/>
      <w:r w:rsidRPr="00AC1055">
        <w:rPr>
          <w:rFonts w:cs="Times New Roman"/>
        </w:rPr>
        <w:t>Yiping</w:t>
      </w:r>
      <w:proofErr w:type="spellEnd"/>
      <w:r w:rsidRPr="00AC1055">
        <w:rPr>
          <w:rFonts w:cs="Times New Roman"/>
        </w:rPr>
        <w:t xml:space="preserve"> Huang and </w:t>
      </w:r>
      <w:proofErr w:type="spellStart"/>
      <w:r w:rsidRPr="00AC1055">
        <w:rPr>
          <w:rFonts w:cs="Times New Roman"/>
        </w:rPr>
        <w:t>Juzhong</w:t>
      </w:r>
      <w:proofErr w:type="spellEnd"/>
      <w:r w:rsidRPr="00AC1055">
        <w:rPr>
          <w:rFonts w:cs="Times New Roman"/>
        </w:rPr>
        <w:t xml:space="preserve"> Zhuang (eds.) </w:t>
      </w:r>
      <w:r w:rsidRPr="00AC1055">
        <w:rPr>
          <w:rFonts w:cs="Times New Roman"/>
          <w:i/>
        </w:rPr>
        <w:t>Can PRC escape the middle-income trap</w:t>
      </w:r>
      <w:r w:rsidRPr="00AC1055">
        <w:rPr>
          <w:rFonts w:cs="Times New Roman"/>
        </w:rPr>
        <w:t xml:space="preserve"> (2011); Kevin P. Gallagher and Roberto </w:t>
      </w:r>
      <w:proofErr w:type="spellStart"/>
      <w:r w:rsidRPr="00AC1055">
        <w:rPr>
          <w:rFonts w:cs="Times New Roman"/>
        </w:rPr>
        <w:t>Porzecanski</w:t>
      </w:r>
      <w:proofErr w:type="spellEnd"/>
      <w:r w:rsidRPr="00AC1055">
        <w:rPr>
          <w:rFonts w:cs="Times New Roman"/>
        </w:rPr>
        <w:t xml:space="preserve">, ‘Climbing Up the Technology Ladder? High-Technology Exports in China and Latin America’ (2008) </w:t>
      </w:r>
      <w:proofErr w:type="spellStart"/>
      <w:r w:rsidRPr="00AC1055">
        <w:rPr>
          <w:rFonts w:cs="Times New Roman"/>
        </w:rPr>
        <w:t>Center</w:t>
      </w:r>
      <w:proofErr w:type="spellEnd"/>
      <w:r w:rsidRPr="00AC1055">
        <w:rPr>
          <w:rFonts w:cs="Times New Roman"/>
        </w:rPr>
        <w:t xml:space="preserve"> for Latin American Studies Working paper series; Abhijit Sharma and Michael Dietrich, ‘The Structure and Composition of India’s Exports and Industrial Transformation (1980–2000)’ (2007) 21 (2) International Economic Journal 207-231; for a developed country perspective see Pontus </w:t>
      </w:r>
      <w:proofErr w:type="spellStart"/>
      <w:r w:rsidRPr="00AC1055">
        <w:rPr>
          <w:rFonts w:cs="Times New Roman"/>
        </w:rPr>
        <w:t>Braunerhjelm</w:t>
      </w:r>
      <w:proofErr w:type="spellEnd"/>
      <w:r w:rsidRPr="00AC1055">
        <w:rPr>
          <w:rFonts w:cs="Times New Roman"/>
        </w:rPr>
        <w:t xml:space="preserve"> and Per </w:t>
      </w:r>
      <w:proofErr w:type="spellStart"/>
      <w:r w:rsidRPr="00AC1055">
        <w:rPr>
          <w:rFonts w:cs="Times New Roman"/>
        </w:rPr>
        <w:t>Thulin</w:t>
      </w:r>
      <w:proofErr w:type="spellEnd"/>
      <w:r w:rsidRPr="00AC1055">
        <w:rPr>
          <w:rFonts w:cs="Times New Roman"/>
        </w:rPr>
        <w:t>, ‘Can countries create comparative advantages? R&amp;D expenditures, high-tech exports and country size in 19 OECD countries, 1981–1999’ (2008) 22 (1) International economic journal 95-111.</w:t>
      </w:r>
    </w:p>
  </w:footnote>
  <w:footnote w:id="148">
    <w:p w14:paraId="765F778A" w14:textId="2FFD1F21"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generally Lei Yang and Keith E. </w:t>
      </w:r>
      <w:proofErr w:type="spellStart"/>
      <w:r w:rsidRPr="00AC1055">
        <w:rPr>
          <w:rFonts w:cs="Times New Roman"/>
        </w:rPr>
        <w:t>Maskus</w:t>
      </w:r>
      <w:proofErr w:type="spellEnd"/>
      <w:r w:rsidRPr="00AC1055">
        <w:rPr>
          <w:rFonts w:cs="Times New Roman"/>
        </w:rPr>
        <w:t xml:space="preserve">, ‘Intellectual Property Rights, Technology Transfer and Exports in Developing Countries’ (2008) </w:t>
      </w:r>
      <w:proofErr w:type="spellStart"/>
      <w:r w:rsidRPr="00AC1055">
        <w:rPr>
          <w:rFonts w:cs="Times New Roman"/>
        </w:rPr>
        <w:t>CESifo</w:t>
      </w:r>
      <w:proofErr w:type="spellEnd"/>
      <w:r w:rsidRPr="00AC1055">
        <w:rPr>
          <w:rFonts w:cs="Times New Roman"/>
        </w:rPr>
        <w:t xml:space="preserve"> Working Paper Series No. 2464</w:t>
      </w:r>
      <w:r>
        <w:rPr>
          <w:rFonts w:cs="Times New Roman"/>
        </w:rPr>
        <w:t xml:space="preserve"> </w:t>
      </w:r>
      <w:r w:rsidRPr="00940A03">
        <w:rPr>
          <w:rFonts w:cs="Times New Roman"/>
        </w:rPr>
        <w:t>also published at (2009) 90 (2) Journal of Development Economics 231-236</w:t>
      </w:r>
      <w:r w:rsidRPr="00AC1055">
        <w:rPr>
          <w:rFonts w:cs="Times New Roman"/>
        </w:rPr>
        <w:t xml:space="preserve">; Frederick M. Abbott, ‘Comparative Study of Selected Government Policies for Promoting Transfer of Technology and Competitiveness in the Colombian Pharmaceutical Sector’ (2007) United States Agency for International Development - </w:t>
      </w:r>
      <w:proofErr w:type="spellStart"/>
      <w:r w:rsidRPr="00AC1055">
        <w:rPr>
          <w:rFonts w:cs="Times New Roman"/>
        </w:rPr>
        <w:t>Programa</w:t>
      </w:r>
      <w:proofErr w:type="spellEnd"/>
      <w:r w:rsidRPr="00AC1055">
        <w:rPr>
          <w:rFonts w:cs="Times New Roman"/>
        </w:rPr>
        <w:t xml:space="preserve"> MIDAS, Public Law Research Paper; Brett Berger and Robert F. Martin, ‘The Chinese Export Boom: An Examination of the Detailed Trade Data’ (2013) 21 (1) China &amp; World Economy 64-90.</w:t>
      </w:r>
    </w:p>
  </w:footnote>
  <w:footnote w:id="149">
    <w:p w14:paraId="4779DB66"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Louis T. Wells, </w:t>
      </w:r>
      <w:r w:rsidRPr="00AC1055">
        <w:rPr>
          <w:rFonts w:cs="Times New Roman"/>
          <w:i/>
        </w:rPr>
        <w:t>Third world multinationals: The rise of foreign investments from developing countries</w:t>
      </w:r>
      <w:r w:rsidRPr="00AC1055">
        <w:rPr>
          <w:rFonts w:cs="Times New Roman"/>
        </w:rPr>
        <w:t xml:space="preserve"> (MIT Press Books 1983); </w:t>
      </w:r>
      <w:proofErr w:type="spellStart"/>
      <w:r w:rsidRPr="00AC1055">
        <w:rPr>
          <w:rFonts w:cs="Times New Roman"/>
        </w:rPr>
        <w:t>Haishun</w:t>
      </w:r>
      <w:proofErr w:type="spellEnd"/>
      <w:r w:rsidRPr="00AC1055">
        <w:rPr>
          <w:rFonts w:cs="Times New Roman"/>
        </w:rPr>
        <w:t xml:space="preserve"> Sun and Frank Tipton, ‘A Comparative Analysis of the Characteristics of Direct Foreign Investment in China, 1979-1995’ (1998) 32 (2) The Journal of Developing Areas 159; </w:t>
      </w:r>
      <w:proofErr w:type="spellStart"/>
      <w:r w:rsidRPr="00AC1055">
        <w:rPr>
          <w:rFonts w:cs="Times New Roman"/>
        </w:rPr>
        <w:t>Alviny</w:t>
      </w:r>
      <w:proofErr w:type="spellEnd"/>
      <w:r w:rsidRPr="00AC1055">
        <w:rPr>
          <w:rFonts w:cs="Times New Roman"/>
        </w:rPr>
        <w:t xml:space="preserve"> So, ‘Shenzhen Special Economic Zone: China's Struggle for Independent Development’ (1988) 9 (2) Canadian Journal of Development Studies 313-323; </w:t>
      </w:r>
      <w:proofErr w:type="spellStart"/>
      <w:r w:rsidRPr="00AC1055">
        <w:rPr>
          <w:rFonts w:cs="Times New Roman"/>
        </w:rPr>
        <w:t>Sanjaya</w:t>
      </w:r>
      <w:proofErr w:type="spellEnd"/>
      <w:r w:rsidRPr="00AC1055">
        <w:rPr>
          <w:rFonts w:cs="Times New Roman"/>
        </w:rPr>
        <w:t xml:space="preserve"> </w:t>
      </w:r>
      <w:proofErr w:type="spellStart"/>
      <w:r w:rsidRPr="00AC1055">
        <w:rPr>
          <w:rFonts w:cs="Times New Roman"/>
        </w:rPr>
        <w:t>Lall</w:t>
      </w:r>
      <w:proofErr w:type="spellEnd"/>
      <w:r w:rsidRPr="00AC1055">
        <w:rPr>
          <w:rFonts w:cs="Times New Roman"/>
        </w:rPr>
        <w:t xml:space="preserve">, ‘Technological change and industrialization in the Asian newly industrializing economies: achievements and challenges’ in </w:t>
      </w:r>
      <w:proofErr w:type="spellStart"/>
      <w:r w:rsidRPr="00AC1055">
        <w:rPr>
          <w:rFonts w:cs="Times New Roman"/>
        </w:rPr>
        <w:t>Linsu</w:t>
      </w:r>
      <w:proofErr w:type="spellEnd"/>
      <w:r w:rsidRPr="00AC1055">
        <w:rPr>
          <w:rFonts w:cs="Times New Roman"/>
        </w:rPr>
        <w:t xml:space="preserve"> Kim and Richard R. Nelson (eds.) </w:t>
      </w:r>
      <w:r w:rsidRPr="00AC1055">
        <w:rPr>
          <w:rFonts w:cs="Times New Roman"/>
          <w:i/>
        </w:rPr>
        <w:t>Technology, learning, &amp; innovation: Experiences of newly industrializing economies</w:t>
      </w:r>
      <w:r w:rsidRPr="00AC1055">
        <w:rPr>
          <w:rFonts w:cs="Times New Roman"/>
        </w:rPr>
        <w:t xml:space="preserve"> (Cambridge University Press 2000) 13-68; </w:t>
      </w:r>
      <w:proofErr w:type="spellStart"/>
      <w:r w:rsidRPr="00AC1055">
        <w:rPr>
          <w:rFonts w:cs="Times New Roman"/>
        </w:rPr>
        <w:t>Sanjaya</w:t>
      </w:r>
      <w:proofErr w:type="spellEnd"/>
      <w:r w:rsidRPr="00AC1055">
        <w:rPr>
          <w:rFonts w:cs="Times New Roman"/>
        </w:rPr>
        <w:t xml:space="preserve"> </w:t>
      </w:r>
      <w:proofErr w:type="spellStart"/>
      <w:r w:rsidRPr="00AC1055">
        <w:rPr>
          <w:rFonts w:cs="Times New Roman"/>
        </w:rPr>
        <w:t>Lall</w:t>
      </w:r>
      <w:proofErr w:type="spellEnd"/>
      <w:r w:rsidRPr="00AC1055">
        <w:rPr>
          <w:rFonts w:cs="Times New Roman"/>
        </w:rPr>
        <w:t>, ‘Export performance, technological upgrading and foreign direct investment strategies in the Asian newly industrializing economies: with special reference to Singapore in ECLAC, Division of Production, Productivity and Management, Unit of Investment and Corporate Strategies, 2000 available at http://repositorio.cepal.org/bitstream/handle/11362/4461/S00080739_en.pdf?sequence=1</w:t>
      </w:r>
    </w:p>
  </w:footnote>
  <w:footnote w:id="150">
    <w:p w14:paraId="28E2B20C"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Sajid</w:t>
      </w:r>
      <w:proofErr w:type="spellEnd"/>
      <w:r w:rsidRPr="00AC1055">
        <w:rPr>
          <w:rFonts w:cs="Times New Roman"/>
        </w:rPr>
        <w:t xml:space="preserve"> Anwar and Lan Phi Nguyen, ‘Foreign direct investment and export </w:t>
      </w:r>
      <w:proofErr w:type="spellStart"/>
      <w:r w:rsidRPr="00AC1055">
        <w:rPr>
          <w:rFonts w:cs="Times New Roman"/>
        </w:rPr>
        <w:t>spillovers</w:t>
      </w:r>
      <w:proofErr w:type="spellEnd"/>
      <w:r w:rsidRPr="00AC1055">
        <w:rPr>
          <w:rFonts w:cs="Times New Roman"/>
        </w:rPr>
        <w:t xml:space="preserve">: Evidence from Vietnam’ (2011) 20 (2) International Business Review 177-193; </w:t>
      </w:r>
      <w:proofErr w:type="spellStart"/>
      <w:r w:rsidRPr="00AC1055">
        <w:rPr>
          <w:rFonts w:cs="Times New Roman"/>
        </w:rPr>
        <w:t>Qun</w:t>
      </w:r>
      <w:proofErr w:type="spellEnd"/>
      <w:r w:rsidRPr="00AC1055">
        <w:rPr>
          <w:rFonts w:cs="Times New Roman"/>
        </w:rPr>
        <w:t xml:space="preserve"> </w:t>
      </w:r>
      <w:proofErr w:type="spellStart"/>
      <w:r w:rsidRPr="00AC1055">
        <w:rPr>
          <w:rFonts w:cs="Times New Roman"/>
        </w:rPr>
        <w:t>Bao</w:t>
      </w:r>
      <w:proofErr w:type="spellEnd"/>
      <w:r w:rsidRPr="00AC1055">
        <w:rPr>
          <w:rFonts w:cs="Times New Roman"/>
        </w:rPr>
        <w:t xml:space="preserve"> et al., ‘Do High-technology Exports Cause More Technology </w:t>
      </w:r>
      <w:proofErr w:type="spellStart"/>
      <w:r w:rsidRPr="00AC1055">
        <w:rPr>
          <w:rFonts w:cs="Times New Roman"/>
        </w:rPr>
        <w:t>Spillover</w:t>
      </w:r>
      <w:proofErr w:type="spellEnd"/>
      <w:r w:rsidRPr="00AC1055">
        <w:rPr>
          <w:rFonts w:cs="Times New Roman"/>
        </w:rPr>
        <w:t xml:space="preserve"> in China?’ (2012) 20 (2) China &amp; World Economy 1-22; I. E. </w:t>
      </w:r>
      <w:proofErr w:type="spellStart"/>
      <w:r w:rsidRPr="00AC1055">
        <w:rPr>
          <w:rFonts w:cs="Times New Roman"/>
        </w:rPr>
        <w:t>Frolov</w:t>
      </w:r>
      <w:proofErr w:type="spellEnd"/>
      <w:r w:rsidRPr="00AC1055">
        <w:rPr>
          <w:rFonts w:cs="Times New Roman"/>
        </w:rPr>
        <w:t xml:space="preserve"> and K. K. </w:t>
      </w:r>
      <w:proofErr w:type="spellStart"/>
      <w:r w:rsidRPr="00AC1055">
        <w:rPr>
          <w:rFonts w:cs="Times New Roman"/>
        </w:rPr>
        <w:t>Lebedev</w:t>
      </w:r>
      <w:proofErr w:type="spellEnd"/>
      <w:r w:rsidRPr="00AC1055">
        <w:rPr>
          <w:rFonts w:cs="Times New Roman"/>
        </w:rPr>
        <w:t xml:space="preserve">, ‘Assessing the impact of high-technology exports on the growth rate and structure of the Russian economy’ (2007) 18 (5) Studies on Russian Economic Development 490-500; for a developed country perspective see Robert T. Green and Arthur W. </w:t>
      </w:r>
      <w:proofErr w:type="spellStart"/>
      <w:r w:rsidRPr="00AC1055">
        <w:rPr>
          <w:rFonts w:cs="Times New Roman"/>
        </w:rPr>
        <w:t>Allaway</w:t>
      </w:r>
      <w:proofErr w:type="spellEnd"/>
      <w:r w:rsidRPr="00AC1055">
        <w:rPr>
          <w:rFonts w:cs="Times New Roman"/>
        </w:rPr>
        <w:t xml:space="preserve">, ‘Identification of export opportunities: a shift-share approach’ (1985) The Journal of Marketing 83-88; for a critical view of high technology export oriented economy see </w:t>
      </w:r>
      <w:proofErr w:type="spellStart"/>
      <w:r w:rsidRPr="00AC1055">
        <w:rPr>
          <w:rFonts w:cs="Times New Roman"/>
        </w:rPr>
        <w:t>Ishak</w:t>
      </w:r>
      <w:proofErr w:type="spellEnd"/>
      <w:r w:rsidRPr="00AC1055">
        <w:rPr>
          <w:rFonts w:cs="Times New Roman"/>
        </w:rPr>
        <w:t xml:space="preserve"> Shari, ‘Economic growth and income inequality in Malaysia, 1971–95’ (2000) 5 (1) Journal of the Asia Pacific Economy 112-124.</w:t>
      </w:r>
    </w:p>
  </w:footnote>
  <w:footnote w:id="151">
    <w:p w14:paraId="1BD52F9B"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Daniele </w:t>
      </w:r>
      <w:proofErr w:type="spellStart"/>
      <w:r w:rsidRPr="00AC1055">
        <w:rPr>
          <w:rFonts w:cs="Times New Roman"/>
        </w:rPr>
        <w:t>Archibugi</w:t>
      </w:r>
      <w:proofErr w:type="spellEnd"/>
      <w:r w:rsidRPr="00AC1055">
        <w:rPr>
          <w:rFonts w:cs="Times New Roman"/>
        </w:rPr>
        <w:t xml:space="preserve"> and Mario </w:t>
      </w:r>
      <w:proofErr w:type="spellStart"/>
      <w:r w:rsidRPr="00AC1055">
        <w:rPr>
          <w:rFonts w:cs="Times New Roman"/>
        </w:rPr>
        <w:t>Pianta</w:t>
      </w:r>
      <w:proofErr w:type="spellEnd"/>
      <w:r w:rsidRPr="00AC1055">
        <w:rPr>
          <w:rFonts w:cs="Times New Roman"/>
        </w:rPr>
        <w:t xml:space="preserve">, ‘Measuring technological through patents and innovation surveys’ (1996) 16 (9) </w:t>
      </w:r>
      <w:proofErr w:type="spellStart"/>
      <w:r w:rsidRPr="00AC1055">
        <w:rPr>
          <w:rFonts w:cs="Times New Roman"/>
        </w:rPr>
        <w:t>Technovation</w:t>
      </w:r>
      <w:proofErr w:type="spellEnd"/>
      <w:r w:rsidRPr="00AC1055">
        <w:rPr>
          <w:rFonts w:cs="Times New Roman"/>
        </w:rPr>
        <w:t xml:space="preserve"> 451-468.</w:t>
      </w:r>
    </w:p>
  </w:footnote>
  <w:footnote w:id="152">
    <w:p w14:paraId="5C901E74" w14:textId="636E3A2B"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J. Schumpeter, </w:t>
      </w:r>
      <w:r w:rsidRPr="00AC1055">
        <w:rPr>
          <w:rFonts w:cs="Times New Roman"/>
          <w:i/>
        </w:rPr>
        <w:t xml:space="preserve">The Theory of Economic Development </w:t>
      </w:r>
      <w:r w:rsidRPr="00AC1055">
        <w:rPr>
          <w:rFonts w:cs="Times New Roman"/>
        </w:rPr>
        <w:t xml:space="preserve">(Harvard University Press 1934); H. </w:t>
      </w:r>
      <w:proofErr w:type="spellStart"/>
      <w:r w:rsidRPr="00AC1055">
        <w:rPr>
          <w:rFonts w:cs="Times New Roman"/>
        </w:rPr>
        <w:t>Ansoff</w:t>
      </w:r>
      <w:proofErr w:type="spellEnd"/>
      <w:r w:rsidRPr="00AC1055">
        <w:rPr>
          <w:rFonts w:cs="Times New Roman"/>
        </w:rPr>
        <w:t xml:space="preserve">, </w:t>
      </w:r>
      <w:r w:rsidRPr="00AC1055">
        <w:rPr>
          <w:rFonts w:cs="Times New Roman"/>
          <w:i/>
        </w:rPr>
        <w:t>Corporate Strategy</w:t>
      </w:r>
      <w:r w:rsidRPr="00AC1055">
        <w:rPr>
          <w:rFonts w:cs="Times New Roman"/>
        </w:rPr>
        <w:t xml:space="preserve"> (McGraw-Hill 1965); Edward J. </w:t>
      </w:r>
      <w:proofErr w:type="spellStart"/>
      <w:r w:rsidRPr="00AC1055">
        <w:rPr>
          <w:rFonts w:cs="Times New Roman"/>
        </w:rPr>
        <w:t>Malecki</w:t>
      </w:r>
      <w:proofErr w:type="spellEnd"/>
      <w:r w:rsidRPr="00AC1055">
        <w:rPr>
          <w:rFonts w:cs="Times New Roman"/>
        </w:rPr>
        <w:t>, ‘Technology and Economic Development: The Dynamics of Local, Regional, and National Change’ (1997) University of Illinois working paper series; D</w:t>
      </w:r>
      <w:r>
        <w:rPr>
          <w:rFonts w:cs="Times New Roman"/>
        </w:rPr>
        <w:t xml:space="preserve">avid T. Coe and Elhanan </w:t>
      </w:r>
      <w:proofErr w:type="spellStart"/>
      <w:r>
        <w:rPr>
          <w:rFonts w:cs="Times New Roman"/>
        </w:rPr>
        <w:t>Helpman</w:t>
      </w:r>
      <w:proofErr w:type="spellEnd"/>
      <w:r>
        <w:rPr>
          <w:rFonts w:cs="Times New Roman"/>
        </w:rPr>
        <w:t>,</w:t>
      </w:r>
      <w:r w:rsidRPr="00AC1055">
        <w:rPr>
          <w:rFonts w:cs="Times New Roman"/>
        </w:rPr>
        <w:t xml:space="preserve"> ‘International R&amp;D </w:t>
      </w:r>
      <w:proofErr w:type="spellStart"/>
      <w:r w:rsidRPr="00AC1055">
        <w:rPr>
          <w:rFonts w:cs="Times New Roman"/>
        </w:rPr>
        <w:t>spillovers’</w:t>
      </w:r>
      <w:proofErr w:type="spellEnd"/>
      <w:r w:rsidRPr="00AC1055">
        <w:rPr>
          <w:rFonts w:cs="Times New Roman"/>
        </w:rPr>
        <w:t xml:space="preserve"> (1995) 39 (5) European Economic Review 859-887; Nancy L. </w:t>
      </w:r>
      <w:proofErr w:type="spellStart"/>
      <w:r w:rsidRPr="00AC1055">
        <w:rPr>
          <w:rFonts w:cs="Times New Roman"/>
        </w:rPr>
        <w:t>Stokey</w:t>
      </w:r>
      <w:proofErr w:type="spellEnd"/>
      <w:r w:rsidRPr="00AC1055">
        <w:rPr>
          <w:rFonts w:cs="Times New Roman"/>
        </w:rPr>
        <w:t xml:space="preserve">, ‘R&amp;D and economic growth’ (1995) 62 (3) The Review of Economic Studies 469-489; for a developed country perspective see Walter G. Park, ‘International R&amp;D </w:t>
      </w:r>
      <w:proofErr w:type="spellStart"/>
      <w:r w:rsidRPr="00AC1055">
        <w:rPr>
          <w:rFonts w:cs="Times New Roman"/>
        </w:rPr>
        <w:t>spillovers</w:t>
      </w:r>
      <w:proofErr w:type="spellEnd"/>
      <w:r w:rsidRPr="00AC1055">
        <w:rPr>
          <w:rFonts w:cs="Times New Roman"/>
        </w:rPr>
        <w:t xml:space="preserve"> and OECD economic growth’ (1995) 33 (4) Economic Inquiry 571-591; Edwin Mansfield, ‘Contribution of R&amp;D to economic growth in the United States’ (1972) Science 477-486; Rachel Griffith et al., ‘Mapping the two faces of R&amp;D: productivity growth in a panel of OECD industries’ (200) 86 (4) Review of Economics and Statistics 883-895; </w:t>
      </w:r>
      <w:proofErr w:type="spellStart"/>
      <w:r w:rsidRPr="00AC1055">
        <w:rPr>
          <w:rFonts w:cs="Times New Roman"/>
        </w:rPr>
        <w:t>Beñat</w:t>
      </w:r>
      <w:proofErr w:type="spellEnd"/>
      <w:r w:rsidRPr="00AC1055">
        <w:rPr>
          <w:rFonts w:cs="Times New Roman"/>
        </w:rPr>
        <w:t xml:space="preserve"> Bilbao</w:t>
      </w:r>
      <w:r w:rsidRPr="00AC1055">
        <w:rPr>
          <w:rFonts w:ascii="Cambria Math" w:hAnsi="Cambria Math" w:cs="Cambria Math"/>
        </w:rPr>
        <w:t>‐</w:t>
      </w:r>
      <w:r w:rsidRPr="00AC1055">
        <w:rPr>
          <w:rFonts w:cs="Times New Roman"/>
        </w:rPr>
        <w:t>Osorio and Andrés Rodríguez</w:t>
      </w:r>
      <w:r w:rsidRPr="00AC1055">
        <w:rPr>
          <w:rFonts w:ascii="Cambria Math" w:hAnsi="Cambria Math" w:cs="Cambria Math"/>
        </w:rPr>
        <w:t>‐</w:t>
      </w:r>
      <w:r w:rsidRPr="00AC1055">
        <w:rPr>
          <w:rFonts w:cs="Times New Roman"/>
        </w:rPr>
        <w:t xml:space="preserve">Pose, ‘From R&amp;D to innovation and economic growth in the EU’ (2004) 35 (4) Growth and Change 434-455.. for a view that intellectual property regime, which may affect R&amp;D, affects economic growth see  Keith E. </w:t>
      </w:r>
      <w:proofErr w:type="spellStart"/>
      <w:r w:rsidRPr="00AC1055">
        <w:rPr>
          <w:rFonts w:cs="Times New Roman"/>
        </w:rPr>
        <w:t>Maskus</w:t>
      </w:r>
      <w:proofErr w:type="spellEnd"/>
      <w:r w:rsidRPr="00AC1055">
        <w:rPr>
          <w:rFonts w:cs="Times New Roman"/>
        </w:rPr>
        <w:t xml:space="preserve">, ‘Intellectual Property Rights And Foreign Direct Investment’ (2000) Centre for International Economic Studies Working Paper No. 22; Robert E. </w:t>
      </w:r>
      <w:proofErr w:type="spellStart"/>
      <w:r w:rsidRPr="00AC1055">
        <w:rPr>
          <w:rFonts w:cs="Times New Roman"/>
        </w:rPr>
        <w:t>Litan</w:t>
      </w:r>
      <w:proofErr w:type="spellEnd"/>
      <w:r w:rsidRPr="00AC1055">
        <w:rPr>
          <w:rFonts w:cs="Times New Roman"/>
        </w:rPr>
        <w:t xml:space="preserve"> et al., ‘Rules for Growth: Promoting Innovation and Growth Through Legal Reform’ Yale Law &amp; Economics Research Paper No. 426, Stanford Law and Economics Olin Working Paper No. 410, UC Berkeley Public Law Research Paper No. 1757982; Rod </w:t>
      </w:r>
      <w:proofErr w:type="spellStart"/>
      <w:r w:rsidRPr="00AC1055">
        <w:rPr>
          <w:rFonts w:cs="Times New Roman"/>
        </w:rPr>
        <w:t>Falvey</w:t>
      </w:r>
      <w:proofErr w:type="spellEnd"/>
      <w:r w:rsidRPr="00AC1055">
        <w:rPr>
          <w:rFonts w:cs="Times New Roman"/>
        </w:rPr>
        <w:t xml:space="preserve"> et al., ‘Intellectual Property Rights and Economic Growth’ (2005) Internationalisation of Economic Policy Research Paper No. 2004/12</w:t>
      </w:r>
      <w:r>
        <w:rPr>
          <w:rFonts w:cs="Times New Roman"/>
        </w:rPr>
        <w:t xml:space="preserve"> </w:t>
      </w:r>
      <w:r w:rsidRPr="00883281">
        <w:rPr>
          <w:rFonts w:cs="Times New Roman"/>
        </w:rPr>
        <w:t>published at (2006) 10 (4) Review of Development Economics 700</w:t>
      </w:r>
      <w:r w:rsidRPr="00AC1055">
        <w:rPr>
          <w:rFonts w:cs="Times New Roman"/>
        </w:rPr>
        <w:t xml:space="preserve">; Bryan Christopher </w:t>
      </w:r>
      <w:proofErr w:type="spellStart"/>
      <w:r w:rsidRPr="00AC1055">
        <w:rPr>
          <w:rFonts w:cs="Times New Roman"/>
        </w:rPr>
        <w:t>Mercurio</w:t>
      </w:r>
      <w:proofErr w:type="spellEnd"/>
      <w:r w:rsidRPr="00AC1055">
        <w:rPr>
          <w:rFonts w:cs="Times New Roman"/>
        </w:rPr>
        <w:t xml:space="preserve">, ‘Reconceptualising the Debate on Intellectual Property Rights and Economic Development’ (2010) 3 (1) The Law and Development Review 65; Lewis Davis and M. </w:t>
      </w:r>
      <w:proofErr w:type="spellStart"/>
      <w:r w:rsidRPr="00AC1055">
        <w:rPr>
          <w:rFonts w:cs="Times New Roman"/>
        </w:rPr>
        <w:t>Fuat</w:t>
      </w:r>
      <w:proofErr w:type="spellEnd"/>
      <w:r w:rsidRPr="00AC1055">
        <w:rPr>
          <w:rFonts w:cs="Times New Roman"/>
        </w:rPr>
        <w:t xml:space="preserve"> </w:t>
      </w:r>
      <w:proofErr w:type="spellStart"/>
      <w:r w:rsidRPr="00AC1055">
        <w:rPr>
          <w:rFonts w:cs="Times New Roman"/>
        </w:rPr>
        <w:t>Sener</w:t>
      </w:r>
      <w:proofErr w:type="spellEnd"/>
      <w:r w:rsidRPr="00AC1055">
        <w:rPr>
          <w:rFonts w:cs="Times New Roman"/>
        </w:rPr>
        <w:t xml:space="preserve">, ‘Intellectual Property Rights, Institutional Quality and Economic Growth’ (2012) working paper series available at </w:t>
      </w:r>
      <w:r>
        <w:rPr>
          <w:rFonts w:cs="Times New Roman"/>
        </w:rPr>
        <w:t>&lt;</w:t>
      </w:r>
      <w:r w:rsidRPr="00AC1055">
        <w:rPr>
          <w:rFonts w:cs="Times New Roman"/>
        </w:rPr>
        <w:t>http://dx.doi.org/10.2139/ssrn.1815258</w:t>
      </w:r>
      <w:r>
        <w:rPr>
          <w:rFonts w:cs="Times New Roman"/>
        </w:rPr>
        <w:t>&gt;.</w:t>
      </w:r>
    </w:p>
  </w:footnote>
  <w:footnote w:id="153">
    <w:p w14:paraId="1FED3D7B" w14:textId="77777777"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P. Drucker, ‘A crisis of capitalism’ </w:t>
      </w:r>
      <w:r w:rsidRPr="00AC1055">
        <w:rPr>
          <w:rFonts w:cs="Times New Roman"/>
          <w:i/>
        </w:rPr>
        <w:t>Wall Street Journal</w:t>
      </w:r>
      <w:r w:rsidRPr="00AC1055">
        <w:rPr>
          <w:rFonts w:cs="Times New Roman"/>
        </w:rPr>
        <w:t xml:space="preserve"> (30 September 1986) 31; J. Stein, ‘Takeover threats and managerial myopia’ (1988) 96 Journal of Political Economy 61–80; M. Porter, ‘Capital disadvantage: America's failing capital investment system’ (1992) 70 Harvard Business Review 65–82; B. Hall, ‘The stock market's valuation of R&amp;D investment during the 1980’s’ (1993) 83 American Economic Review 259–264</w:t>
      </w:r>
    </w:p>
  </w:footnote>
  <w:footnote w:id="154">
    <w:p w14:paraId="6B5C5C64" w14:textId="19A9CE24" w:rsidR="005A260F" w:rsidRPr="00AC1055" w:rsidRDefault="005A260F" w:rsidP="00064B3E">
      <w:pPr>
        <w:pStyle w:val="FootnoteText"/>
        <w:rPr>
          <w:rFonts w:cs="Times New Roman"/>
        </w:rPr>
      </w:pPr>
      <w:r w:rsidRPr="00AC1055">
        <w:rPr>
          <w:rStyle w:val="FootnoteReference"/>
          <w:rFonts w:cs="Times New Roman"/>
        </w:rPr>
        <w:footnoteRef/>
      </w:r>
      <w:r w:rsidRPr="00AC1055">
        <w:rPr>
          <w:rFonts w:cs="Times New Roman"/>
        </w:rPr>
        <w:t xml:space="preserve"> See S.H. Chan et al., ‘Corporate research and development expenditures and share value’ (1990) 26 Journal of Financial Economics 255–276; S. </w:t>
      </w:r>
      <w:proofErr w:type="spellStart"/>
      <w:r w:rsidRPr="00AC1055">
        <w:rPr>
          <w:rFonts w:cs="Times New Roman"/>
        </w:rPr>
        <w:t>Szewczyk</w:t>
      </w:r>
      <w:proofErr w:type="spellEnd"/>
      <w:r w:rsidRPr="00AC1055">
        <w:rPr>
          <w:rFonts w:cs="Times New Roman"/>
        </w:rPr>
        <w:t xml:space="preserve"> et al., ‘The valuation of corporate R&amp;D expenditures: evidence from investment opportunities and free cash flow’ (1996) 25 Financial Management 105–110; L. Chan et al., ‘The stock market valuation of research and development expenditures’ (2001) 56 Journal of Finance 2431–2456; Mohsen </w:t>
      </w:r>
      <w:proofErr w:type="spellStart"/>
      <w:r w:rsidRPr="00AC1055">
        <w:rPr>
          <w:rFonts w:cs="Times New Roman"/>
        </w:rPr>
        <w:t>Saad</w:t>
      </w:r>
      <w:proofErr w:type="spellEnd"/>
      <w:r w:rsidRPr="00AC1055">
        <w:rPr>
          <w:rFonts w:cs="Times New Roman"/>
        </w:rPr>
        <w:t xml:space="preserve"> and </w:t>
      </w:r>
      <w:proofErr w:type="spellStart"/>
      <w:r w:rsidRPr="00AC1055">
        <w:rPr>
          <w:rFonts w:cs="Times New Roman"/>
        </w:rPr>
        <w:t>Zaher</w:t>
      </w:r>
      <w:proofErr w:type="spellEnd"/>
      <w:r w:rsidRPr="00AC1055">
        <w:rPr>
          <w:rFonts w:cs="Times New Roman"/>
        </w:rPr>
        <w:t xml:space="preserve"> </w:t>
      </w:r>
      <w:proofErr w:type="spellStart"/>
      <w:r w:rsidRPr="00AC1055">
        <w:rPr>
          <w:rFonts w:cs="Times New Roman"/>
        </w:rPr>
        <w:t>Zantout</w:t>
      </w:r>
      <w:proofErr w:type="spellEnd"/>
      <w:r w:rsidRPr="00AC1055">
        <w:rPr>
          <w:rFonts w:cs="Times New Roman"/>
        </w:rPr>
        <w:t xml:space="preserve">, ‘Stock price and systematic risk effects of discontinuation of corporate R&amp;D programs’ (2009) 16 (4) Journal of Empirical Finance 568-581; for studies which show mixed results see D. Chambers et al., ‘Excess returns to R&amp;D-intensive firms’ (2000) 7 Review of Accounting Studies 133–158; A. </w:t>
      </w:r>
      <w:proofErr w:type="spellStart"/>
      <w:r w:rsidRPr="00AC1055">
        <w:rPr>
          <w:rFonts w:cs="Times New Roman"/>
        </w:rPr>
        <w:t>Eberhart</w:t>
      </w:r>
      <w:proofErr w:type="spellEnd"/>
      <w:r w:rsidRPr="00AC1055">
        <w:rPr>
          <w:rFonts w:cs="Times New Roman"/>
        </w:rPr>
        <w:t xml:space="preserve"> et al., ‘An examination of long-term abnormal stock returns and operating performance following R&amp;D increases’ (2004) 59 Journal of Finance 623–650</w:t>
      </w:r>
      <w:r>
        <w:rPr>
          <w:rFonts w:cs="Times New Roman"/>
        </w:rPr>
        <w:t>.</w:t>
      </w:r>
      <w:r w:rsidRPr="00AC1055">
        <w:rPr>
          <w:rFonts w:cs="Times New Roman"/>
        </w:rPr>
        <w:t xml:space="preserve"> </w:t>
      </w:r>
    </w:p>
  </w:footnote>
  <w:footnote w:id="155">
    <w:p w14:paraId="515157D2" w14:textId="77777777" w:rsidR="005A260F" w:rsidRPr="00AC1055" w:rsidRDefault="005A260F" w:rsidP="002C7B29">
      <w:pPr>
        <w:pStyle w:val="FootnoteText"/>
        <w:rPr>
          <w:rFonts w:cs="Times New Roman"/>
        </w:rPr>
      </w:pPr>
      <w:r w:rsidRPr="00AC1055">
        <w:rPr>
          <w:rStyle w:val="FootnoteReference"/>
          <w:rFonts w:cs="Times New Roman"/>
        </w:rPr>
        <w:footnoteRef/>
      </w:r>
      <w:r>
        <w:rPr>
          <w:rFonts w:cs="Times New Roman"/>
        </w:rPr>
        <w:t xml:space="preserve">See Alfred </w:t>
      </w:r>
      <w:proofErr w:type="spellStart"/>
      <w:r>
        <w:rPr>
          <w:rFonts w:cs="Times New Roman"/>
        </w:rPr>
        <w:t>Haid</w:t>
      </w:r>
      <w:proofErr w:type="spellEnd"/>
      <w:r w:rsidRPr="00AC1055">
        <w:rPr>
          <w:rFonts w:cs="Times New Roman"/>
        </w:rPr>
        <w:t xml:space="preserve"> and Jürgen </w:t>
      </w:r>
      <w:proofErr w:type="spellStart"/>
      <w:r w:rsidRPr="00AC1055">
        <w:rPr>
          <w:rFonts w:cs="Times New Roman"/>
        </w:rPr>
        <w:t>Weigand</w:t>
      </w:r>
      <w:proofErr w:type="spellEnd"/>
      <w:r w:rsidRPr="00AC1055">
        <w:rPr>
          <w:rFonts w:cs="Times New Roman"/>
        </w:rPr>
        <w:t xml:space="preserve">, ‘R&amp;D, liquidity constraints, and corporate governance’ (2001) Journal of Economics and Statistics 145-167; </w:t>
      </w:r>
      <w:proofErr w:type="spellStart"/>
      <w:r w:rsidRPr="00AC1055">
        <w:rPr>
          <w:rFonts w:cs="Times New Roman"/>
        </w:rPr>
        <w:t>Kee</w:t>
      </w:r>
      <w:proofErr w:type="spellEnd"/>
      <w:r w:rsidRPr="00AC1055">
        <w:rPr>
          <w:rFonts w:cs="Times New Roman"/>
        </w:rPr>
        <w:t xml:space="preserve"> H. Chung, Peter Wright and Ben </w:t>
      </w:r>
      <w:proofErr w:type="spellStart"/>
      <w:r w:rsidRPr="00AC1055">
        <w:rPr>
          <w:rFonts w:cs="Times New Roman"/>
        </w:rPr>
        <w:t>Kedia</w:t>
      </w:r>
      <w:proofErr w:type="spellEnd"/>
      <w:r w:rsidRPr="00AC1055">
        <w:rPr>
          <w:rFonts w:cs="Times New Roman"/>
        </w:rPr>
        <w:t>, ‘Corporate governance and market valuation of capital and R&amp;D investments’ (2003) 12 (2) Review of Financial Economics 161; Rob Bauer, Robin Braun and Gordon L. Clark, ‘The emerging market for European corporate governance: the relationship between governance and capital expenditures, 1997–2005’ (2008) 8 (4) Journal of Economic Geography 441-469</w:t>
      </w:r>
    </w:p>
  </w:footnote>
  <w:footnote w:id="156">
    <w:p w14:paraId="7F6F73C9"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Till date only Centre for Business Research, University of Cambridge produced an extended shareholder protection index in a panel data format for ten variables for ten years from 1995-2005 for twenty-five countries available at &lt;http://www.cbr.cam.ac.uk/fileadmin/user_upload/centre-for-business-research/downloads/research-projects-output/Shareholder%20protection%20index%20references%2025%20countries.pdf&gt; accessed on 12 June 2015</w:t>
      </w:r>
    </w:p>
  </w:footnote>
  <w:footnote w:id="157">
    <w:p w14:paraId="71B9F02F"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Marco Pagano and Paolo </w:t>
      </w:r>
      <w:proofErr w:type="spellStart"/>
      <w:r w:rsidRPr="00AC1055">
        <w:rPr>
          <w:rFonts w:cs="Times New Roman"/>
        </w:rPr>
        <w:t>Volpin</w:t>
      </w:r>
      <w:proofErr w:type="spellEnd"/>
      <w:r w:rsidRPr="00AC1055">
        <w:rPr>
          <w:rFonts w:cs="Times New Roman"/>
        </w:rPr>
        <w:t>, ‘The Political Economy of Corporate Governance’ (2005) The American Economic Review 1005</w:t>
      </w:r>
    </w:p>
  </w:footnote>
  <w:footnote w:id="158">
    <w:p w14:paraId="0540392F" w14:textId="2255FD51" w:rsidR="005A260F" w:rsidRDefault="005A260F" w:rsidP="000A5358">
      <w:pPr>
        <w:pStyle w:val="FootnoteText"/>
      </w:pPr>
      <w:r>
        <w:rPr>
          <w:rStyle w:val="FootnoteReference"/>
        </w:rPr>
        <w:footnoteRef/>
      </w:r>
      <w:r>
        <w:t xml:space="preserve"> </w:t>
      </w:r>
      <w:proofErr w:type="spellStart"/>
      <w:r>
        <w:t>Djankov</w:t>
      </w:r>
      <w:proofErr w:type="spellEnd"/>
      <w:r>
        <w:t xml:space="preserve"> et al. (n 32)</w:t>
      </w:r>
    </w:p>
  </w:footnote>
  <w:footnote w:id="159">
    <w:p w14:paraId="0BDE682A"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Though it is quite invaluable for country level analysis. It is possible to extrapolate the IPO numbers from log results of listed domestic companies per year, however this data will be a poor proxy for the amount of money collected by these IPOs, also the number of listed domestic companies is already part of the financial development index so absence of number of IPOs will not erode much from the model.</w:t>
      </w:r>
    </w:p>
  </w:footnote>
  <w:footnote w:id="160">
    <w:p w14:paraId="6E4ECD8D"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generally R Darrell Bock, ‘A brief history of item theory response’ (1997) 16(4) Educational Measurement: Issues and Practice 21-33; R Hambleton, H </w:t>
      </w:r>
      <w:proofErr w:type="spellStart"/>
      <w:r w:rsidRPr="00AC1055">
        <w:rPr>
          <w:rFonts w:cs="Times New Roman"/>
        </w:rPr>
        <w:t>Swaminathan</w:t>
      </w:r>
      <w:proofErr w:type="spellEnd"/>
      <w:r w:rsidRPr="00AC1055">
        <w:rPr>
          <w:rFonts w:cs="Times New Roman"/>
        </w:rPr>
        <w:t xml:space="preserve"> and H Rogers, </w:t>
      </w:r>
      <w:r w:rsidRPr="00AC1055">
        <w:rPr>
          <w:rFonts w:cs="Times New Roman"/>
          <w:i/>
        </w:rPr>
        <w:t>Fundamentals of Item Response Theory: Measurement Methods for the Social Science</w:t>
      </w:r>
      <w:r w:rsidRPr="00AC1055">
        <w:rPr>
          <w:rFonts w:cs="Times New Roman"/>
        </w:rPr>
        <w:t xml:space="preserve"> (SAGE 1991)  </w:t>
      </w:r>
    </w:p>
  </w:footnote>
  <w:footnote w:id="161">
    <w:p w14:paraId="60308033"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Alfred </w:t>
      </w:r>
      <w:proofErr w:type="spellStart"/>
      <w:r w:rsidRPr="00AC1055">
        <w:rPr>
          <w:rStyle w:val="reference-text"/>
          <w:rFonts w:cs="Times New Roman"/>
        </w:rPr>
        <w:t>Binet</w:t>
      </w:r>
      <w:proofErr w:type="spellEnd"/>
      <w:r w:rsidRPr="00AC1055">
        <w:rPr>
          <w:rStyle w:val="reference-text"/>
          <w:rFonts w:cs="Times New Roman"/>
        </w:rPr>
        <w:t xml:space="preserve">, </w:t>
      </w:r>
      <w:r>
        <w:rPr>
          <w:rStyle w:val="reference-text"/>
          <w:rFonts w:cs="Times New Roman"/>
        </w:rPr>
        <w:t xml:space="preserve">‘New methods for the diagnosis of the intellectual level of </w:t>
      </w:r>
      <w:proofErr w:type="spellStart"/>
      <w:r>
        <w:rPr>
          <w:rStyle w:val="reference-text"/>
          <w:rFonts w:cs="Times New Roman"/>
        </w:rPr>
        <w:t>subnormals’</w:t>
      </w:r>
      <w:proofErr w:type="spellEnd"/>
      <w:r>
        <w:rPr>
          <w:rStyle w:val="reference-text"/>
          <w:rFonts w:cs="Times New Roman"/>
        </w:rPr>
        <w:t xml:space="preserve"> </w:t>
      </w:r>
      <w:r w:rsidRPr="00AC1055">
        <w:rPr>
          <w:rStyle w:val="reference-text"/>
          <w:rFonts w:cs="Times New Roman"/>
        </w:rPr>
        <w:t xml:space="preserve">(1905) 12 </w:t>
      </w:r>
      <w:proofErr w:type="spellStart"/>
      <w:r w:rsidRPr="00AC1055">
        <w:rPr>
          <w:rStyle w:val="reference-text"/>
          <w:rFonts w:cs="Times New Roman"/>
          <w:iCs/>
        </w:rPr>
        <w:t>L’Annee</w:t>
      </w:r>
      <w:proofErr w:type="spellEnd"/>
      <w:r w:rsidRPr="00AC1055">
        <w:rPr>
          <w:rStyle w:val="reference-text"/>
          <w:rFonts w:cs="Times New Roman"/>
          <w:iCs/>
        </w:rPr>
        <w:t xml:space="preserve"> Psychologique</w:t>
      </w:r>
      <w:r w:rsidRPr="00AC1055">
        <w:rPr>
          <w:rStyle w:val="reference-text"/>
          <w:rFonts w:cs="Times New Roman"/>
        </w:rPr>
        <w:t xml:space="preserve">191-244 as cited in Robert M. Thorndike, ‘IRT and Intelligence Testing Past, Present, and Future’ in Susan E. </w:t>
      </w:r>
      <w:proofErr w:type="spellStart"/>
      <w:r w:rsidRPr="00AC1055">
        <w:rPr>
          <w:rStyle w:val="reference-text"/>
          <w:rFonts w:cs="Times New Roman"/>
        </w:rPr>
        <w:t>Embretson</w:t>
      </w:r>
      <w:proofErr w:type="spellEnd"/>
      <w:r w:rsidRPr="00AC1055">
        <w:rPr>
          <w:rStyle w:val="reference-text"/>
          <w:rFonts w:cs="Times New Roman"/>
        </w:rPr>
        <w:t xml:space="preserve"> and Scott L. Hershberger (</w:t>
      </w:r>
      <w:proofErr w:type="spellStart"/>
      <w:r w:rsidRPr="00AC1055">
        <w:rPr>
          <w:rStyle w:val="reference-text"/>
          <w:rFonts w:cs="Times New Roman"/>
        </w:rPr>
        <w:t>eds</w:t>
      </w:r>
      <w:proofErr w:type="spellEnd"/>
      <w:r w:rsidRPr="00AC1055">
        <w:rPr>
          <w:rStyle w:val="reference-text"/>
          <w:rFonts w:cs="Times New Roman"/>
        </w:rPr>
        <w:t xml:space="preserve">), </w:t>
      </w:r>
      <w:r w:rsidRPr="00AC1055">
        <w:rPr>
          <w:rFonts w:cs="Times New Roman"/>
          <w:i/>
        </w:rPr>
        <w:t>The New Rules of Measurement: What Every Psychologist and Educator Should Know</w:t>
      </w:r>
      <w:r w:rsidRPr="00AC1055">
        <w:rPr>
          <w:rStyle w:val="reference-text"/>
          <w:rFonts w:cs="Times New Roman"/>
        </w:rPr>
        <w:t xml:space="preserve"> (</w:t>
      </w:r>
      <w:r w:rsidRPr="00AC1055">
        <w:rPr>
          <w:rFonts w:cs="Times New Roman"/>
        </w:rPr>
        <w:t>Psychology Press 1999)</w:t>
      </w:r>
      <w:r w:rsidRPr="00AC1055">
        <w:rPr>
          <w:rStyle w:val="reference-text"/>
          <w:rFonts w:cs="Times New Roman"/>
        </w:rPr>
        <w:t xml:space="preserve"> </w:t>
      </w:r>
    </w:p>
  </w:footnote>
  <w:footnote w:id="162">
    <w:p w14:paraId="3FB3069C"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Cycril</w:t>
      </w:r>
      <w:proofErr w:type="spellEnd"/>
      <w:r w:rsidRPr="00AC1055">
        <w:rPr>
          <w:rFonts w:cs="Times New Roman"/>
        </w:rPr>
        <w:t xml:space="preserve"> Burt used the </w:t>
      </w:r>
      <w:proofErr w:type="spellStart"/>
      <w:r w:rsidRPr="00AC1055">
        <w:rPr>
          <w:rFonts w:cs="Times New Roman"/>
        </w:rPr>
        <w:t>Binet</w:t>
      </w:r>
      <w:proofErr w:type="spellEnd"/>
      <w:r w:rsidRPr="00AC1055">
        <w:rPr>
          <w:rFonts w:cs="Times New Roman"/>
        </w:rPr>
        <w:t xml:space="preserve"> scale on British school children and published the results in C Burt, </w:t>
      </w:r>
      <w:r w:rsidRPr="00AC1055">
        <w:rPr>
          <w:rFonts w:cs="Times New Roman"/>
          <w:i/>
        </w:rPr>
        <w:t xml:space="preserve"> Mental and scholastic test</w:t>
      </w:r>
      <w:r w:rsidRPr="00AC1055">
        <w:rPr>
          <w:rFonts w:cs="Times New Roman"/>
        </w:rPr>
        <w:t xml:space="preserve"> (PS King &amp; Son. 1921); Refinement to the Simon-</w:t>
      </w:r>
      <w:proofErr w:type="spellStart"/>
      <w:r w:rsidRPr="00AC1055">
        <w:rPr>
          <w:rFonts w:cs="Times New Roman"/>
        </w:rPr>
        <w:t>Binet</w:t>
      </w:r>
      <w:proofErr w:type="spellEnd"/>
      <w:r w:rsidRPr="00AC1055">
        <w:rPr>
          <w:rFonts w:cs="Times New Roman"/>
        </w:rPr>
        <w:t xml:space="preserve"> test was first proposed in 1916 by Stanford University psychologist Lewis </w:t>
      </w:r>
      <w:proofErr w:type="spellStart"/>
      <w:r w:rsidRPr="00AC1055">
        <w:rPr>
          <w:rFonts w:cs="Times New Roman"/>
        </w:rPr>
        <w:t>Terman</w:t>
      </w:r>
      <w:proofErr w:type="spellEnd"/>
      <w:r w:rsidRPr="00AC1055">
        <w:rPr>
          <w:rFonts w:cs="Times New Roman"/>
        </w:rPr>
        <w:t xml:space="preserve">. For further revision of the scale see Lewis Madison </w:t>
      </w:r>
      <w:proofErr w:type="spellStart"/>
      <w:r w:rsidRPr="00AC1055">
        <w:rPr>
          <w:rFonts w:cs="Times New Roman"/>
        </w:rPr>
        <w:t>Terman</w:t>
      </w:r>
      <w:proofErr w:type="spellEnd"/>
      <w:r w:rsidRPr="00AC1055">
        <w:rPr>
          <w:rFonts w:cs="Times New Roman"/>
        </w:rPr>
        <w:t xml:space="preserve"> and Maude A. Merrill, </w:t>
      </w:r>
      <w:r w:rsidRPr="00AC1055">
        <w:rPr>
          <w:rFonts w:cs="Times New Roman"/>
          <w:i/>
        </w:rPr>
        <w:t>Measuring intelligence: A guide to the administration of the new revised Stanford–</w:t>
      </w:r>
      <w:proofErr w:type="spellStart"/>
      <w:r w:rsidRPr="00AC1055">
        <w:rPr>
          <w:rFonts w:cs="Times New Roman"/>
          <w:i/>
        </w:rPr>
        <w:t>Binet</w:t>
      </w:r>
      <w:proofErr w:type="spellEnd"/>
      <w:r w:rsidRPr="00AC1055">
        <w:rPr>
          <w:rFonts w:cs="Times New Roman"/>
          <w:i/>
        </w:rPr>
        <w:t xml:space="preserve"> tests of intelligence</w:t>
      </w:r>
      <w:r w:rsidRPr="00AC1055">
        <w:rPr>
          <w:rFonts w:cs="Times New Roman"/>
        </w:rPr>
        <w:t xml:space="preserve"> (Houghton Mifflin 1937)</w:t>
      </w:r>
    </w:p>
  </w:footnote>
  <w:footnote w:id="163">
    <w:p w14:paraId="52115F98"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Louis L. </w:t>
      </w:r>
      <w:proofErr w:type="spellStart"/>
      <w:r w:rsidRPr="00AC1055">
        <w:rPr>
          <w:rFonts w:cs="Times New Roman"/>
        </w:rPr>
        <w:t>Thurstone</w:t>
      </w:r>
      <w:proofErr w:type="spellEnd"/>
      <w:r w:rsidRPr="00AC1055">
        <w:rPr>
          <w:rFonts w:cs="Times New Roman"/>
        </w:rPr>
        <w:t>, ‘A Method of Scaling Psychological and Educational Tests’ (1925) 16 Journal of Educational Psychology 433- 451 &lt; http://www.brocku.ca/MeadProject/Thurstone/Thurstone_1925b.html&gt;</w:t>
      </w:r>
    </w:p>
  </w:footnote>
  <w:footnote w:id="164">
    <w:p w14:paraId="7F8D2AA6" w14:textId="57E3D5C8"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Bock </w:t>
      </w:r>
      <w:r>
        <w:rPr>
          <w:rFonts w:cs="Times New Roman"/>
        </w:rPr>
        <w:t>(n 160</w:t>
      </w:r>
      <w:r w:rsidRPr="00401484">
        <w:rPr>
          <w:rFonts w:cs="Times New Roman"/>
        </w:rPr>
        <w:t>)</w:t>
      </w:r>
      <w:r w:rsidRPr="00AC1055">
        <w:rPr>
          <w:rFonts w:cs="Times New Roman"/>
        </w:rPr>
        <w:t xml:space="preserve"> 21; See also L </w:t>
      </w:r>
      <w:proofErr w:type="spellStart"/>
      <w:r w:rsidRPr="00AC1055">
        <w:rPr>
          <w:rFonts w:cs="Times New Roman"/>
        </w:rPr>
        <w:t>Thurstone</w:t>
      </w:r>
      <w:proofErr w:type="spellEnd"/>
      <w:r w:rsidRPr="00AC1055">
        <w:rPr>
          <w:rFonts w:cs="Times New Roman"/>
        </w:rPr>
        <w:t>, ‘A Law of Comparative Judgement’ (1927) 34(2) Psychological Review 273-286</w:t>
      </w:r>
    </w:p>
  </w:footnote>
  <w:footnote w:id="165">
    <w:p w14:paraId="65AA19BD"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David </w:t>
      </w:r>
      <w:proofErr w:type="spellStart"/>
      <w:r w:rsidRPr="00AC1055">
        <w:rPr>
          <w:rFonts w:cs="Times New Roman"/>
        </w:rPr>
        <w:t>Thissen</w:t>
      </w:r>
      <w:proofErr w:type="spellEnd"/>
      <w:r w:rsidRPr="00AC1055">
        <w:rPr>
          <w:rFonts w:cs="Times New Roman"/>
        </w:rPr>
        <w:t xml:space="preserve"> and Lynne Steinberg, ‘Item Response Theory’ in Roger E. Millsap and Alberto </w:t>
      </w:r>
      <w:proofErr w:type="spellStart"/>
      <w:r w:rsidRPr="00AC1055">
        <w:rPr>
          <w:rFonts w:cs="Times New Roman"/>
        </w:rPr>
        <w:t>Maydeu</w:t>
      </w:r>
      <w:proofErr w:type="spellEnd"/>
      <w:r w:rsidRPr="00AC1055">
        <w:rPr>
          <w:rFonts w:cs="Times New Roman"/>
        </w:rPr>
        <w:t>-Olivares (</w:t>
      </w:r>
      <w:proofErr w:type="spellStart"/>
      <w:r w:rsidRPr="00AC1055">
        <w:rPr>
          <w:rFonts w:cs="Times New Roman"/>
        </w:rPr>
        <w:t>eds</w:t>
      </w:r>
      <w:proofErr w:type="spellEnd"/>
      <w:r w:rsidRPr="00AC1055">
        <w:rPr>
          <w:rFonts w:cs="Times New Roman"/>
        </w:rPr>
        <w:t xml:space="preserve">), </w:t>
      </w:r>
      <w:r w:rsidRPr="00AC1055">
        <w:rPr>
          <w:rFonts w:cs="Times New Roman"/>
          <w:i/>
        </w:rPr>
        <w:t>The SAGE Handbook of Quantitative Methods in Psychology</w:t>
      </w:r>
      <w:r w:rsidRPr="00AC1055">
        <w:rPr>
          <w:rFonts w:cs="Times New Roman"/>
        </w:rPr>
        <w:t xml:space="preserve"> (SAGE 2009)</w:t>
      </w:r>
    </w:p>
  </w:footnote>
  <w:footnote w:id="166">
    <w:p w14:paraId="49AA5607" w14:textId="5A8D2CD3" w:rsidR="005A260F" w:rsidRPr="00401484" w:rsidRDefault="005A260F" w:rsidP="000A5358">
      <w:pPr>
        <w:pStyle w:val="FootnoteText"/>
        <w:rPr>
          <w:rFonts w:cs="Times New Roman"/>
        </w:rPr>
      </w:pPr>
      <w:r w:rsidRPr="00401484">
        <w:rPr>
          <w:rStyle w:val="FootnoteReference"/>
          <w:rFonts w:cs="Times New Roman"/>
        </w:rPr>
        <w:footnoteRef/>
      </w:r>
      <w:r>
        <w:rPr>
          <w:rFonts w:cs="Times New Roman"/>
        </w:rPr>
        <w:t xml:space="preserve"> </w:t>
      </w:r>
      <w:proofErr w:type="spellStart"/>
      <w:r>
        <w:rPr>
          <w:rFonts w:cs="Times New Roman"/>
        </w:rPr>
        <w:t>Thurstone</w:t>
      </w:r>
      <w:proofErr w:type="spellEnd"/>
      <w:r>
        <w:rPr>
          <w:rFonts w:cs="Times New Roman"/>
        </w:rPr>
        <w:t xml:space="preserve"> (n 163</w:t>
      </w:r>
      <w:r w:rsidRPr="00401484">
        <w:rPr>
          <w:rFonts w:cs="Times New Roman"/>
        </w:rPr>
        <w:t>) Figure 2</w:t>
      </w:r>
    </w:p>
  </w:footnote>
  <w:footnote w:id="167">
    <w:p w14:paraId="26B339BD" w14:textId="77777777" w:rsidR="005A260F" w:rsidRPr="00401484" w:rsidRDefault="005A260F" w:rsidP="000A5358">
      <w:pPr>
        <w:pStyle w:val="FootnoteText"/>
        <w:rPr>
          <w:rFonts w:cs="Times New Roman"/>
        </w:rPr>
      </w:pPr>
      <w:r w:rsidRPr="00401484">
        <w:rPr>
          <w:rStyle w:val="FootnoteReference"/>
          <w:rFonts w:cs="Times New Roman"/>
        </w:rPr>
        <w:footnoteRef/>
      </w:r>
      <w:r w:rsidRPr="00401484">
        <w:rPr>
          <w:rFonts w:cs="Times New Roman"/>
        </w:rPr>
        <w:t xml:space="preserve"> ibid Figure 1</w:t>
      </w:r>
    </w:p>
  </w:footnote>
  <w:footnote w:id="168">
    <w:p w14:paraId="44BAD06A" w14:textId="74FD8C51" w:rsidR="005A260F" w:rsidRPr="00401484" w:rsidRDefault="005A260F" w:rsidP="000A5358">
      <w:pPr>
        <w:pStyle w:val="FootnoteText"/>
        <w:rPr>
          <w:rFonts w:cs="Times New Roman"/>
        </w:rPr>
      </w:pPr>
      <w:r w:rsidRPr="00401484">
        <w:rPr>
          <w:rStyle w:val="FootnoteReference"/>
          <w:rFonts w:cs="Times New Roman"/>
        </w:rPr>
        <w:footnoteRef/>
      </w:r>
      <w:r w:rsidRPr="00401484">
        <w:rPr>
          <w:rFonts w:cs="Times New Roman"/>
        </w:rPr>
        <w:t xml:space="preserve"> Burt (n </w:t>
      </w:r>
      <w:r>
        <w:rPr>
          <w:rFonts w:cs="Times New Roman"/>
        </w:rPr>
        <w:t>162</w:t>
      </w:r>
      <w:r w:rsidRPr="00401484">
        <w:rPr>
          <w:rFonts w:cs="Times New Roman"/>
        </w:rPr>
        <w:t xml:space="preserve">) </w:t>
      </w:r>
      <w:r w:rsidRPr="00401484">
        <w:rPr>
          <w:rStyle w:val="Caption1"/>
          <w:rFonts w:cs="Times New Roman"/>
        </w:rPr>
        <w:t>132–133</w:t>
      </w:r>
    </w:p>
  </w:footnote>
  <w:footnote w:id="169">
    <w:p w14:paraId="4DDA5AA8" w14:textId="2B4F9309" w:rsidR="005A260F" w:rsidRPr="00401484" w:rsidRDefault="005A260F" w:rsidP="000A5358">
      <w:pPr>
        <w:pStyle w:val="FootnoteText"/>
        <w:rPr>
          <w:rFonts w:cs="Times New Roman"/>
        </w:rPr>
      </w:pPr>
      <w:r w:rsidRPr="00401484">
        <w:rPr>
          <w:rStyle w:val="FootnoteReference"/>
          <w:rFonts w:cs="Times New Roman"/>
        </w:rPr>
        <w:footnoteRef/>
      </w:r>
      <w:r w:rsidRPr="00401484">
        <w:rPr>
          <w:rFonts w:cs="Times New Roman"/>
        </w:rPr>
        <w:t xml:space="preserve"> </w:t>
      </w:r>
      <w:proofErr w:type="spellStart"/>
      <w:r w:rsidRPr="00401484">
        <w:rPr>
          <w:rFonts w:cs="Times New Roman"/>
        </w:rPr>
        <w:t>Thurstone</w:t>
      </w:r>
      <w:proofErr w:type="spellEnd"/>
      <w:r w:rsidRPr="00401484">
        <w:rPr>
          <w:rFonts w:cs="Times New Roman"/>
        </w:rPr>
        <w:t xml:space="preserve"> (n 1</w:t>
      </w:r>
      <w:r>
        <w:rPr>
          <w:rFonts w:cs="Times New Roman"/>
        </w:rPr>
        <w:t>63</w:t>
      </w:r>
      <w:r w:rsidRPr="00401484">
        <w:rPr>
          <w:rFonts w:cs="Times New Roman"/>
        </w:rPr>
        <w:t>) Figure 5</w:t>
      </w:r>
    </w:p>
  </w:footnote>
  <w:footnote w:id="170">
    <w:p w14:paraId="4CD4CB4D" w14:textId="26C8928B" w:rsidR="005A260F" w:rsidRPr="00AC1055" w:rsidRDefault="005A260F" w:rsidP="000A5358">
      <w:pPr>
        <w:pStyle w:val="FootnoteText"/>
        <w:rPr>
          <w:rFonts w:cs="Times New Roman"/>
        </w:rPr>
      </w:pPr>
      <w:r w:rsidRPr="00401484">
        <w:rPr>
          <w:rStyle w:val="FootnoteReference"/>
          <w:rFonts w:cs="Times New Roman"/>
        </w:rPr>
        <w:footnoteRef/>
      </w:r>
      <w:r w:rsidRPr="00401484">
        <w:rPr>
          <w:rFonts w:cs="Times New Roman"/>
        </w:rPr>
        <w:t xml:space="preserve"> Bock (n </w:t>
      </w:r>
      <w:r>
        <w:rPr>
          <w:rFonts w:cs="Times New Roman"/>
        </w:rPr>
        <w:t>160</w:t>
      </w:r>
      <w:r w:rsidRPr="00401484">
        <w:rPr>
          <w:rFonts w:cs="Times New Roman"/>
        </w:rPr>
        <w:t>) 22</w:t>
      </w:r>
    </w:p>
  </w:footnote>
  <w:footnote w:id="171">
    <w:p w14:paraId="1A8834DF"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Ronald Fischer, ‘Theory of statistical estimation’ (1925) 22 Proceedings of the Cambridge Philosophical Society 699-725; R Fisher and F Yates, </w:t>
      </w:r>
      <w:r w:rsidRPr="00AC1055">
        <w:rPr>
          <w:rFonts w:cs="Times New Roman"/>
          <w:i/>
        </w:rPr>
        <w:t>Statistical tables for biological, agricultural and medical research</w:t>
      </w:r>
      <w:r w:rsidRPr="00AC1055">
        <w:rPr>
          <w:rFonts w:cs="Times New Roman"/>
        </w:rPr>
        <w:t xml:space="preserve"> (</w:t>
      </w:r>
      <w:proofErr w:type="spellStart"/>
      <w:r w:rsidRPr="00AC1055">
        <w:rPr>
          <w:rFonts w:cs="Times New Roman"/>
        </w:rPr>
        <w:t>Hafner</w:t>
      </w:r>
      <w:proofErr w:type="spellEnd"/>
      <w:r w:rsidRPr="00AC1055">
        <w:rPr>
          <w:rFonts w:cs="Times New Roman"/>
        </w:rPr>
        <w:t xml:space="preserve"> 1938)</w:t>
      </w:r>
    </w:p>
  </w:footnote>
  <w:footnote w:id="172">
    <w:p w14:paraId="76611810" w14:textId="77AAA2E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M.W. Richardson, ‘The relationship between difficulty and the differential validity of a test’ (1936) 1 </w:t>
      </w:r>
      <w:proofErr w:type="spellStart"/>
      <w:r w:rsidRPr="00AC1055">
        <w:rPr>
          <w:rFonts w:cs="Times New Roman"/>
        </w:rPr>
        <w:t>Psychometrika</w:t>
      </w:r>
      <w:proofErr w:type="spellEnd"/>
      <w:r w:rsidRPr="00AC1055">
        <w:rPr>
          <w:rFonts w:cs="Times New Roman"/>
        </w:rPr>
        <w:t xml:space="preserve"> 33–49; G.A. Ferguson, ‘Item selection by the constant process’ (1943) 7 </w:t>
      </w:r>
      <w:proofErr w:type="spellStart"/>
      <w:r w:rsidRPr="00AC1055">
        <w:rPr>
          <w:rFonts w:cs="Times New Roman"/>
        </w:rPr>
        <w:t>Psychometrika</w:t>
      </w:r>
      <w:proofErr w:type="spellEnd"/>
      <w:r w:rsidRPr="00AC1055">
        <w:rPr>
          <w:rFonts w:cs="Times New Roman"/>
        </w:rPr>
        <w:t xml:space="preserve"> 19–29; D.N. Lawley, ‘On problems connected with item selection and test construction’ (1943) 62A (1) Proceedings of the Royal Society </w:t>
      </w:r>
      <w:r>
        <w:rPr>
          <w:rFonts w:cs="Times New Roman"/>
        </w:rPr>
        <w:t>of Edinburgh 74–82; L.R. Tucker</w:t>
      </w:r>
      <w:r w:rsidRPr="00AC1055">
        <w:rPr>
          <w:rFonts w:cs="Times New Roman"/>
        </w:rPr>
        <w:t xml:space="preserve"> ‘Maximum validity of a test with equivalent items’ (1946) 11 </w:t>
      </w:r>
      <w:proofErr w:type="spellStart"/>
      <w:r w:rsidRPr="00AC1055">
        <w:rPr>
          <w:rFonts w:cs="Times New Roman"/>
        </w:rPr>
        <w:t>Psychometrika</w:t>
      </w:r>
      <w:proofErr w:type="spellEnd"/>
      <w:r w:rsidRPr="00AC1055">
        <w:rPr>
          <w:rFonts w:cs="Times New Roman"/>
        </w:rPr>
        <w:t xml:space="preserve"> 1–13 as cited in </w:t>
      </w:r>
      <w:proofErr w:type="spellStart"/>
      <w:r w:rsidRPr="00AC1055">
        <w:rPr>
          <w:rFonts w:cs="Times New Roman"/>
        </w:rPr>
        <w:t>Thissen</w:t>
      </w:r>
      <w:proofErr w:type="spellEnd"/>
      <w:r w:rsidRPr="00AC1055">
        <w:rPr>
          <w:rFonts w:cs="Times New Roman"/>
        </w:rPr>
        <w:t xml:space="preserve"> and Steinberg </w:t>
      </w:r>
      <w:r>
        <w:rPr>
          <w:rFonts w:cs="Times New Roman"/>
        </w:rPr>
        <w:t>(n 165</w:t>
      </w:r>
      <w:r w:rsidRPr="00550063">
        <w:rPr>
          <w:rFonts w:cs="Times New Roman"/>
        </w:rPr>
        <w:t>)</w:t>
      </w:r>
    </w:p>
  </w:footnote>
  <w:footnote w:id="173">
    <w:p w14:paraId="05E521D7"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generally R D Bock, ‘The mental growth curve </w:t>
      </w:r>
      <w:proofErr w:type="spellStart"/>
      <w:r w:rsidRPr="00AC1055">
        <w:rPr>
          <w:rFonts w:cs="Times New Roman"/>
        </w:rPr>
        <w:t>reexamined</w:t>
      </w:r>
      <w:proofErr w:type="spellEnd"/>
      <w:r w:rsidRPr="00AC1055">
        <w:rPr>
          <w:rFonts w:cs="Times New Roman"/>
        </w:rPr>
        <w:t xml:space="preserve">’, in D J Weiss (ed.), </w:t>
      </w:r>
      <w:r w:rsidRPr="00AC1055">
        <w:rPr>
          <w:rFonts w:cs="Times New Roman"/>
          <w:i/>
        </w:rPr>
        <w:t>New Horizons in Testing</w:t>
      </w:r>
      <w:r w:rsidRPr="00AC1055">
        <w:rPr>
          <w:rFonts w:cs="Times New Roman"/>
        </w:rPr>
        <w:t xml:space="preserve"> (New York: Academic Press 1983); R J Patz and L Yao</w:t>
      </w:r>
      <w:r>
        <w:rPr>
          <w:rFonts w:cs="Times New Roman"/>
        </w:rPr>
        <w:t>,</w:t>
      </w:r>
      <w:r w:rsidRPr="00AC1055">
        <w:rPr>
          <w:rFonts w:cs="Times New Roman"/>
        </w:rPr>
        <w:t xml:space="preserve"> ‘Vertical scaling: statistical models for measuring growth and achievement’, in C R Rao and S </w:t>
      </w:r>
      <w:proofErr w:type="spellStart"/>
      <w:r w:rsidRPr="00AC1055">
        <w:rPr>
          <w:rFonts w:cs="Times New Roman"/>
        </w:rPr>
        <w:t>Sinharay</w:t>
      </w:r>
      <w:proofErr w:type="spellEnd"/>
      <w:r w:rsidRPr="00AC1055">
        <w:rPr>
          <w:rFonts w:cs="Times New Roman"/>
        </w:rPr>
        <w:t xml:space="preserve"> (eds.), </w:t>
      </w:r>
      <w:r w:rsidRPr="00AC1055">
        <w:rPr>
          <w:rFonts w:cs="Times New Roman"/>
          <w:i/>
        </w:rPr>
        <w:t>Handbook of Statistics: Psychometrics</w:t>
      </w:r>
      <w:r w:rsidRPr="00AC1055">
        <w:rPr>
          <w:rFonts w:cs="Times New Roman"/>
        </w:rPr>
        <w:t xml:space="preserve"> (Amsterdam: North-Holland 2007); V S L Williams et al., ‘A comparison of developmental scales based on </w:t>
      </w:r>
      <w:proofErr w:type="spellStart"/>
      <w:r w:rsidRPr="00AC1055">
        <w:rPr>
          <w:rFonts w:cs="Times New Roman"/>
        </w:rPr>
        <w:t>Thurstone</w:t>
      </w:r>
      <w:proofErr w:type="spellEnd"/>
      <w:r w:rsidRPr="00AC1055">
        <w:rPr>
          <w:rFonts w:cs="Times New Roman"/>
        </w:rPr>
        <w:t xml:space="preserve"> methods and item response theory’ (1998) 35 Journal of Educational Measurement 93–107; W M Yen and G R </w:t>
      </w:r>
      <w:proofErr w:type="spellStart"/>
      <w:r w:rsidRPr="00AC1055">
        <w:rPr>
          <w:rFonts w:cs="Times New Roman"/>
        </w:rPr>
        <w:t>Burket</w:t>
      </w:r>
      <w:proofErr w:type="spellEnd"/>
      <w:r w:rsidRPr="00AC1055">
        <w:rPr>
          <w:rFonts w:cs="Times New Roman"/>
        </w:rPr>
        <w:t xml:space="preserve">, ‘Comparison of item response theory and </w:t>
      </w:r>
      <w:proofErr w:type="spellStart"/>
      <w:r w:rsidRPr="00AC1055">
        <w:rPr>
          <w:rFonts w:cs="Times New Roman"/>
        </w:rPr>
        <w:t>Thurstone</w:t>
      </w:r>
      <w:proofErr w:type="spellEnd"/>
      <w:r w:rsidRPr="00AC1055">
        <w:rPr>
          <w:rFonts w:cs="Times New Roman"/>
        </w:rPr>
        <w:t xml:space="preserve"> methods of vertical scaling’ (1997) 34 Journal of Educational Measurement 293–313.</w:t>
      </w:r>
    </w:p>
  </w:footnote>
  <w:footnote w:id="174">
    <w:p w14:paraId="424FEA88"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P </w:t>
      </w:r>
      <w:proofErr w:type="spellStart"/>
      <w:r w:rsidRPr="00AC1055">
        <w:rPr>
          <w:rFonts w:cs="Times New Roman"/>
        </w:rPr>
        <w:t>Lazarsfeld</w:t>
      </w:r>
      <w:proofErr w:type="spellEnd"/>
      <w:r w:rsidRPr="00AC1055">
        <w:rPr>
          <w:rFonts w:cs="Times New Roman"/>
        </w:rPr>
        <w:t>, ‘The logical and mathematical foundation of latent structure analysis’, in S A Stouffer et al. (eds.),</w:t>
      </w:r>
    </w:p>
    <w:p w14:paraId="0EE52A71" w14:textId="77777777" w:rsidR="005A260F" w:rsidRPr="00AC1055" w:rsidRDefault="005A260F" w:rsidP="000A5358">
      <w:pPr>
        <w:pStyle w:val="FootnoteText"/>
        <w:rPr>
          <w:rFonts w:cs="Times New Roman"/>
        </w:rPr>
      </w:pPr>
      <w:r w:rsidRPr="00AC1055">
        <w:rPr>
          <w:rFonts w:cs="Times New Roman"/>
          <w:i/>
        </w:rPr>
        <w:t xml:space="preserve"> Measurement and Prediction</w:t>
      </w:r>
      <w:r w:rsidRPr="00AC1055">
        <w:rPr>
          <w:rFonts w:cs="Times New Roman"/>
        </w:rPr>
        <w:t xml:space="preserve"> (Wiley 1950) 362–412.</w:t>
      </w:r>
    </w:p>
  </w:footnote>
  <w:footnote w:id="175">
    <w:p w14:paraId="0899EC06"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Frank B. Baker, </w:t>
      </w:r>
      <w:r w:rsidRPr="00AC1055">
        <w:rPr>
          <w:rFonts w:cs="Times New Roman"/>
          <w:i/>
        </w:rPr>
        <w:t>The Basics of Item Response Theory</w:t>
      </w:r>
      <w:r w:rsidRPr="00AC1055">
        <w:rPr>
          <w:rFonts w:cs="Times New Roman"/>
        </w:rPr>
        <w:t xml:space="preserve"> (2001) 7 &lt;http://echo.edres.org:8080/irt/baker/chapter1.pdf&gt;</w:t>
      </w:r>
    </w:p>
  </w:footnote>
  <w:footnote w:id="176">
    <w:p w14:paraId="140053C9"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Created using ‘Item Characteristic Curves" from the Wolfram Demonstrations Project’ coded by Vincent </w:t>
      </w:r>
      <w:proofErr w:type="spellStart"/>
      <w:r w:rsidRPr="00AC1055">
        <w:rPr>
          <w:rFonts w:cs="Times New Roman"/>
        </w:rPr>
        <w:t>Kieftenbeld</w:t>
      </w:r>
      <w:proofErr w:type="spellEnd"/>
      <w:r w:rsidRPr="00AC1055">
        <w:rPr>
          <w:rFonts w:cs="Times New Roman"/>
        </w:rPr>
        <w:t xml:space="preserve"> &lt; http://demonstrations.wolfram.com/ItemCharacteristicCurves/&gt;</w:t>
      </w:r>
    </w:p>
  </w:footnote>
  <w:footnote w:id="177">
    <w:p w14:paraId="6B9B02EF"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Bryce B Reeve and Peter </w:t>
      </w:r>
      <w:proofErr w:type="spellStart"/>
      <w:r w:rsidRPr="00AC1055">
        <w:rPr>
          <w:rFonts w:cs="Times New Roman"/>
        </w:rPr>
        <w:t>Fayers</w:t>
      </w:r>
      <w:proofErr w:type="spellEnd"/>
      <w:r w:rsidRPr="00AC1055">
        <w:rPr>
          <w:rFonts w:cs="Times New Roman"/>
        </w:rPr>
        <w:t xml:space="preserve">, ‘Applying item response theory modelling for evaluating questionnaire item and scale properties’ in P </w:t>
      </w:r>
      <w:proofErr w:type="spellStart"/>
      <w:r w:rsidRPr="00AC1055">
        <w:rPr>
          <w:rFonts w:cs="Times New Roman"/>
        </w:rPr>
        <w:t>Fayers</w:t>
      </w:r>
      <w:proofErr w:type="spellEnd"/>
      <w:r w:rsidRPr="00AC1055">
        <w:rPr>
          <w:rFonts w:cs="Times New Roman"/>
        </w:rPr>
        <w:t xml:space="preserve"> and R Hays (eds.), </w:t>
      </w:r>
      <w:r w:rsidRPr="00AC1055">
        <w:rPr>
          <w:rFonts w:cs="Times New Roman"/>
          <w:i/>
        </w:rPr>
        <w:t>Assessing Quality of Life in Clinical Trials: Methods of Practice</w:t>
      </w:r>
      <w:r w:rsidRPr="00AC1055">
        <w:rPr>
          <w:rFonts w:cs="Times New Roman"/>
        </w:rPr>
        <w:t xml:space="preserve"> (2nd </w:t>
      </w:r>
      <w:proofErr w:type="spellStart"/>
      <w:r w:rsidRPr="00AC1055">
        <w:rPr>
          <w:rFonts w:cs="Times New Roman"/>
        </w:rPr>
        <w:t>edn</w:t>
      </w:r>
      <w:proofErr w:type="spellEnd"/>
      <w:r w:rsidRPr="00AC1055">
        <w:rPr>
          <w:rFonts w:cs="Times New Roman"/>
        </w:rPr>
        <w:t>, OUP 2005)</w:t>
      </w:r>
    </w:p>
  </w:footnote>
  <w:footnote w:id="178">
    <w:p w14:paraId="34CC7E84"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Fumiko </w:t>
      </w:r>
      <w:proofErr w:type="spellStart"/>
      <w:r w:rsidRPr="00AC1055">
        <w:rPr>
          <w:rFonts w:cs="Times New Roman"/>
        </w:rPr>
        <w:t>Samejima</w:t>
      </w:r>
      <w:proofErr w:type="spellEnd"/>
      <w:r w:rsidRPr="00AC1055">
        <w:rPr>
          <w:rFonts w:cs="Times New Roman"/>
        </w:rPr>
        <w:t xml:space="preserve">, ‘Estimation of latent ability using a response pattern of graded scores.’ (1969) 34 (4) </w:t>
      </w:r>
      <w:proofErr w:type="spellStart"/>
      <w:r w:rsidRPr="00AC1055">
        <w:rPr>
          <w:rFonts w:cs="Times New Roman"/>
        </w:rPr>
        <w:t>Psychometrika</w:t>
      </w:r>
      <w:proofErr w:type="spellEnd"/>
      <w:r w:rsidRPr="00AC1055">
        <w:rPr>
          <w:rFonts w:cs="Times New Roman"/>
        </w:rPr>
        <w:t xml:space="preserve"> Monograph Supplement 100.</w:t>
      </w:r>
    </w:p>
  </w:footnote>
  <w:footnote w:id="179">
    <w:p w14:paraId="241E52D0"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Adapted from ‘</w:t>
      </w:r>
      <w:proofErr w:type="spellStart"/>
      <w:r w:rsidRPr="00AC1055">
        <w:rPr>
          <w:rFonts w:cs="Times New Roman"/>
        </w:rPr>
        <w:t>Whats</w:t>
      </w:r>
      <w:proofErr w:type="spellEnd"/>
      <w:r w:rsidRPr="00AC1055">
        <w:rPr>
          <w:rFonts w:cs="Times New Roman"/>
        </w:rPr>
        <w:t xml:space="preserve">’ beyond Concerto: An introduction to the R package </w:t>
      </w:r>
      <w:proofErr w:type="spellStart"/>
      <w:r w:rsidRPr="00AC1055">
        <w:rPr>
          <w:rFonts w:cs="Times New Roman"/>
        </w:rPr>
        <w:t>catR</w:t>
      </w:r>
      <w:proofErr w:type="spellEnd"/>
      <w:r w:rsidRPr="00AC1055">
        <w:rPr>
          <w:rFonts w:cs="Times New Roman"/>
        </w:rPr>
        <w:t xml:space="preserve">’ - Overview of polytomous IRT models available at &lt; http://www.psychometrics.cam.ac.uk/uploads/documents/catr/catr-workshop-session-4&gt;; See also Cees A. W. </w:t>
      </w:r>
      <w:proofErr w:type="spellStart"/>
      <w:r w:rsidRPr="00AC1055">
        <w:rPr>
          <w:rFonts w:cs="Times New Roman"/>
        </w:rPr>
        <w:t>Glas</w:t>
      </w:r>
      <w:proofErr w:type="spellEnd"/>
      <w:r w:rsidRPr="00AC1055">
        <w:rPr>
          <w:rFonts w:cs="Times New Roman"/>
        </w:rPr>
        <w:t>, ‘Bayesian Estimation Methods for Multidimensional Models for Discrete and Continuous Responses’ (2006) available at &lt;http://www.lsac.org/docs/default-source/research-%28lsac-resources%29/rr-06-05.pdf&gt; last accessed on 1 May 2015.</w:t>
      </w:r>
    </w:p>
  </w:footnote>
  <w:footnote w:id="180">
    <w:p w14:paraId="3A5BCCA1"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Remo </w:t>
      </w:r>
      <w:proofErr w:type="spellStart"/>
      <w:r w:rsidRPr="00AC1055">
        <w:rPr>
          <w:rFonts w:cs="Times New Roman"/>
        </w:rPr>
        <w:t>Ostini</w:t>
      </w:r>
      <w:proofErr w:type="spellEnd"/>
      <w:r w:rsidRPr="00AC1055">
        <w:rPr>
          <w:rFonts w:cs="Times New Roman"/>
        </w:rPr>
        <w:t xml:space="preserve"> and Michael </w:t>
      </w:r>
      <w:proofErr w:type="spellStart"/>
      <w:r w:rsidRPr="00AC1055">
        <w:rPr>
          <w:rFonts w:cs="Times New Roman"/>
        </w:rPr>
        <w:t>Nering</w:t>
      </w:r>
      <w:proofErr w:type="spellEnd"/>
      <w:r w:rsidRPr="00AC1055">
        <w:rPr>
          <w:rFonts w:cs="Times New Roman"/>
        </w:rPr>
        <w:t xml:space="preserve">, </w:t>
      </w:r>
      <w:r w:rsidRPr="00AC1055">
        <w:rPr>
          <w:rFonts w:cs="Times New Roman"/>
          <w:i/>
        </w:rPr>
        <w:t>Polytomous Item Response Theory Models</w:t>
      </w:r>
      <w:r w:rsidRPr="00AC1055">
        <w:rPr>
          <w:rFonts w:cs="Times New Roman"/>
        </w:rPr>
        <w:t xml:space="preserve"> (SAGE 2006) 65</w:t>
      </w:r>
    </w:p>
  </w:footnote>
  <w:footnote w:id="181">
    <w:p w14:paraId="6EC618DF"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F Baker and S Kim, </w:t>
      </w:r>
      <w:r w:rsidRPr="00AC1055">
        <w:rPr>
          <w:rFonts w:cs="Times New Roman"/>
          <w:i/>
        </w:rPr>
        <w:t>Item Response Theory</w:t>
      </w:r>
      <w:r w:rsidRPr="00AC1055">
        <w:rPr>
          <w:rFonts w:cs="Times New Roman"/>
        </w:rPr>
        <w:t xml:space="preserve"> (2nd </w:t>
      </w:r>
      <w:proofErr w:type="spellStart"/>
      <w:r w:rsidRPr="00AC1055">
        <w:rPr>
          <w:rFonts w:cs="Times New Roman"/>
        </w:rPr>
        <w:t>edn</w:t>
      </w:r>
      <w:proofErr w:type="spellEnd"/>
      <w:r w:rsidRPr="00AC1055">
        <w:rPr>
          <w:rFonts w:cs="Times New Roman"/>
        </w:rPr>
        <w:t>, Marcel Dekker 2004)</w:t>
      </w:r>
    </w:p>
  </w:footnote>
  <w:footnote w:id="182">
    <w:p w14:paraId="40B521CA"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Wim</w:t>
      </w:r>
      <w:proofErr w:type="spellEnd"/>
      <w:r w:rsidRPr="00AC1055">
        <w:rPr>
          <w:rFonts w:cs="Times New Roman"/>
        </w:rPr>
        <w:t xml:space="preserve"> van der Linden and Ronald K. Hambleton, ‘Item Response Theory: Brief History, Common Models, and Extensions.’ in </w:t>
      </w:r>
      <w:proofErr w:type="spellStart"/>
      <w:r w:rsidRPr="00AC1055">
        <w:rPr>
          <w:rFonts w:cs="Times New Roman"/>
        </w:rPr>
        <w:t>Wim</w:t>
      </w:r>
      <w:proofErr w:type="spellEnd"/>
      <w:r w:rsidRPr="00AC1055">
        <w:rPr>
          <w:rFonts w:cs="Times New Roman"/>
        </w:rPr>
        <w:t xml:space="preserve"> van der Linden and Ronald K. Hambleton, </w:t>
      </w:r>
      <w:r w:rsidRPr="00AC1055">
        <w:rPr>
          <w:rFonts w:cs="Times New Roman"/>
          <w:i/>
        </w:rPr>
        <w:t>Handbook of Modern Item Response Theory</w:t>
      </w:r>
      <w:r w:rsidRPr="00AC1055">
        <w:rPr>
          <w:rFonts w:cs="Times New Roman"/>
        </w:rPr>
        <w:t xml:space="preserve"> (Springer 1997) 1-28; This can also be done using Maximum Likelihood Estimator as discussed in R. Darrell Bock and Murray Aitkin, ‘Marginal Maximum Likelihood Estimation of Item Parameters: Application of an EM Algorithm.’ (1981) 46 (4)</w:t>
      </w:r>
      <w:proofErr w:type="spellStart"/>
      <w:r w:rsidRPr="00AC1055">
        <w:rPr>
          <w:rFonts w:cs="Times New Roman"/>
        </w:rPr>
        <w:t>Psychometrika</w:t>
      </w:r>
      <w:proofErr w:type="spellEnd"/>
      <w:r w:rsidRPr="00AC1055">
        <w:rPr>
          <w:rFonts w:cs="Times New Roman"/>
        </w:rPr>
        <w:t xml:space="preserve"> 443-459.</w:t>
      </w:r>
    </w:p>
  </w:footnote>
  <w:footnote w:id="183">
    <w:p w14:paraId="7FDE291B"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Andrew D. Martin and Kevin M. Quinn, ‘Dynamic Ideal Point Estimation via Markov Chain Monte Carlo for the U.S. Supreme Court, 1953–1999’ (2002) 10 (2) Political Analysis 134-153.</w:t>
      </w:r>
    </w:p>
  </w:footnote>
  <w:footnote w:id="184">
    <w:p w14:paraId="08DBF223"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generally Christophe </w:t>
      </w:r>
      <w:proofErr w:type="spellStart"/>
      <w:r w:rsidRPr="00AC1055">
        <w:rPr>
          <w:rFonts w:cs="Times New Roman"/>
        </w:rPr>
        <w:t>Andrieu</w:t>
      </w:r>
      <w:proofErr w:type="spellEnd"/>
      <w:r w:rsidRPr="00AC1055">
        <w:rPr>
          <w:rFonts w:cs="Times New Roman"/>
        </w:rPr>
        <w:t xml:space="preserve">, ‘Monte Carlo Methods for Absolute Beginners’ in Olivier </w:t>
      </w:r>
      <w:proofErr w:type="spellStart"/>
      <w:r w:rsidRPr="00AC1055">
        <w:rPr>
          <w:rFonts w:cs="Times New Roman"/>
        </w:rPr>
        <w:t>Bousquet</w:t>
      </w:r>
      <w:proofErr w:type="spellEnd"/>
      <w:r w:rsidRPr="00AC1055">
        <w:rPr>
          <w:rFonts w:cs="Times New Roman"/>
        </w:rPr>
        <w:t xml:space="preserve">, Ulrike von </w:t>
      </w:r>
      <w:proofErr w:type="spellStart"/>
      <w:r w:rsidRPr="00AC1055">
        <w:rPr>
          <w:rFonts w:cs="Times New Roman"/>
        </w:rPr>
        <w:t>Luxburg</w:t>
      </w:r>
      <w:proofErr w:type="spellEnd"/>
      <w:r w:rsidRPr="00AC1055">
        <w:rPr>
          <w:rFonts w:cs="Times New Roman"/>
        </w:rPr>
        <w:t xml:space="preserve"> and Gunnar </w:t>
      </w:r>
      <w:proofErr w:type="spellStart"/>
      <w:r w:rsidRPr="00AC1055">
        <w:rPr>
          <w:rFonts w:cs="Times New Roman"/>
        </w:rPr>
        <w:t>Rätsch</w:t>
      </w:r>
      <w:proofErr w:type="spellEnd"/>
      <w:r w:rsidRPr="00AC1055">
        <w:rPr>
          <w:rFonts w:cs="Times New Roman"/>
        </w:rPr>
        <w:t xml:space="preserve"> (</w:t>
      </w:r>
      <w:proofErr w:type="spellStart"/>
      <w:r w:rsidRPr="00AC1055">
        <w:rPr>
          <w:rFonts w:cs="Times New Roman"/>
        </w:rPr>
        <w:t>eds</w:t>
      </w:r>
      <w:proofErr w:type="spellEnd"/>
      <w:r w:rsidRPr="00AC1055">
        <w:rPr>
          <w:rFonts w:cs="Times New Roman"/>
        </w:rPr>
        <w:t xml:space="preserve">) </w:t>
      </w:r>
      <w:r w:rsidRPr="00AC1055">
        <w:rPr>
          <w:rFonts w:cs="Times New Roman"/>
          <w:i/>
        </w:rPr>
        <w:t>Advanced Lectures on Machine Learning</w:t>
      </w:r>
      <w:r w:rsidRPr="00AC1055">
        <w:rPr>
          <w:rFonts w:cs="Times New Roman"/>
        </w:rPr>
        <w:t xml:space="preserve"> (Springer 2004) 113-145.</w:t>
      </w:r>
    </w:p>
  </w:footnote>
  <w:footnote w:id="185">
    <w:p w14:paraId="78E4EFD2"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James H Albert, ‘Bayesian estimation of normal ogive item response curves using Gibbs sampling’, (1992) 17 Journal of Educational Statistics 251–269. In this paper he provided the first MCMC algorithm for estimation of the parameters of the normal ogive model, complete with a small block of code for the computer software MATLAB that has been the basis for a good deal of the subsequent work. Albert used data augmentation, which is one common approach to MCMC estimation for latent-variable problems. In few years’ time the method was refined by Mark Patz and Brian Junker in their papers R Patz and B Junker, ‘A straightforward approach to Markov chain Monte Carlo methods for item response models’, (1999) 24 Journal of Educational and </w:t>
      </w:r>
      <w:proofErr w:type="spellStart"/>
      <w:r w:rsidRPr="00AC1055">
        <w:rPr>
          <w:rFonts w:cs="Times New Roman"/>
        </w:rPr>
        <w:t>Behavioral</w:t>
      </w:r>
      <w:proofErr w:type="spellEnd"/>
      <w:r w:rsidRPr="00AC1055">
        <w:rPr>
          <w:rFonts w:cs="Times New Roman"/>
        </w:rPr>
        <w:t xml:space="preserve"> Statistics 146–178 and R Patz and B Junker, ‘Applications and extensions of MCMC in IRT: Multiple item types, missing data, and rated responses’ (1999) 24 Journal of Educational and </w:t>
      </w:r>
      <w:proofErr w:type="spellStart"/>
      <w:r w:rsidRPr="00AC1055">
        <w:rPr>
          <w:rFonts w:cs="Times New Roman"/>
        </w:rPr>
        <w:t>Behavioral</w:t>
      </w:r>
      <w:proofErr w:type="spellEnd"/>
      <w:r w:rsidRPr="00AC1055">
        <w:rPr>
          <w:rFonts w:cs="Times New Roman"/>
        </w:rPr>
        <w:t xml:space="preserve"> Statistics 342–366 where they provided an alternative MCMC algorithm based on Metropolis-Hastings within Gibbs sampling, the other common approach to complex MCMC estimation, for the 2PL and 3PL models.</w:t>
      </w:r>
    </w:p>
  </w:footnote>
  <w:footnote w:id="186">
    <w:p w14:paraId="01D13398"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generally </w:t>
      </w:r>
      <w:r w:rsidRPr="00AC1055">
        <w:rPr>
          <w:rFonts w:cs="Times New Roman"/>
          <w:i/>
        </w:rPr>
        <w:t>Markov Chains</w:t>
      </w:r>
      <w:r w:rsidRPr="00AC1055">
        <w:rPr>
          <w:rFonts w:cs="Times New Roman"/>
        </w:rPr>
        <w:t xml:space="preserve"> (Open University 1988)</w:t>
      </w:r>
    </w:p>
  </w:footnote>
  <w:footnote w:id="187">
    <w:p w14:paraId="51B4FBB3" w14:textId="683871E6" w:rsidR="005A260F" w:rsidRPr="00AC1055" w:rsidRDefault="005A260F" w:rsidP="000A5358">
      <w:pPr>
        <w:pStyle w:val="FootnoteText"/>
        <w:rPr>
          <w:rFonts w:cs="Times New Roman"/>
        </w:rPr>
      </w:pPr>
      <w:r w:rsidRPr="00AC1055">
        <w:rPr>
          <w:rStyle w:val="FootnoteReference"/>
          <w:rFonts w:cs="Times New Roman"/>
        </w:rPr>
        <w:footnoteRef/>
      </w:r>
      <w:r>
        <w:rPr>
          <w:rFonts w:cs="Times New Roman"/>
        </w:rPr>
        <w:t xml:space="preserve"> </w:t>
      </w:r>
      <w:proofErr w:type="spellStart"/>
      <w:r>
        <w:rPr>
          <w:rFonts w:cs="Times New Roman"/>
        </w:rPr>
        <w:t>Thissen</w:t>
      </w:r>
      <w:proofErr w:type="spellEnd"/>
      <w:r>
        <w:rPr>
          <w:rFonts w:cs="Times New Roman"/>
        </w:rPr>
        <w:t xml:space="preserve"> and</w:t>
      </w:r>
      <w:r w:rsidRPr="00AC1055">
        <w:rPr>
          <w:rFonts w:cs="Times New Roman"/>
        </w:rPr>
        <w:t xml:space="preserve"> Steinberg</w:t>
      </w:r>
      <w:r>
        <w:rPr>
          <w:rFonts w:cs="Times New Roman"/>
        </w:rPr>
        <w:t xml:space="preserve"> (n 165</w:t>
      </w:r>
      <w:r w:rsidRPr="00AC1055">
        <w:rPr>
          <w:rFonts w:cs="Times New Roman"/>
        </w:rPr>
        <w:t>) 148-178</w:t>
      </w:r>
    </w:p>
  </w:footnote>
  <w:footnote w:id="188">
    <w:p w14:paraId="2728E5B0"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generally Howard </w:t>
      </w:r>
      <w:proofErr w:type="spellStart"/>
      <w:r w:rsidRPr="00AC1055">
        <w:rPr>
          <w:rFonts w:cs="Times New Roman"/>
        </w:rPr>
        <w:t>Wainer</w:t>
      </w:r>
      <w:proofErr w:type="spellEnd"/>
      <w:r w:rsidRPr="00AC1055">
        <w:rPr>
          <w:rFonts w:cs="Times New Roman"/>
        </w:rPr>
        <w:t xml:space="preserve"> et al., </w:t>
      </w:r>
      <w:proofErr w:type="spellStart"/>
      <w:r w:rsidRPr="00AC1055">
        <w:rPr>
          <w:rFonts w:cs="Times New Roman"/>
          <w:i/>
        </w:rPr>
        <w:t>Testlet</w:t>
      </w:r>
      <w:proofErr w:type="spellEnd"/>
      <w:r w:rsidRPr="00AC1055">
        <w:rPr>
          <w:rFonts w:cs="Times New Roman"/>
          <w:i/>
        </w:rPr>
        <w:t xml:space="preserve"> Response Theory and its Applications</w:t>
      </w:r>
      <w:r w:rsidRPr="00AC1055">
        <w:rPr>
          <w:rFonts w:cs="Times New Roman"/>
        </w:rPr>
        <w:t xml:space="preserve"> (Cambridge University Press 2007); Eric </w:t>
      </w:r>
      <w:proofErr w:type="spellStart"/>
      <w:r w:rsidRPr="00AC1055">
        <w:rPr>
          <w:rFonts w:cs="Times New Roman"/>
        </w:rPr>
        <w:t>Bradlow</w:t>
      </w:r>
      <w:proofErr w:type="spellEnd"/>
      <w:r w:rsidRPr="00AC1055">
        <w:rPr>
          <w:rFonts w:cs="Times New Roman"/>
        </w:rPr>
        <w:t xml:space="preserve"> et al., ‘A Bayesian random effects model for </w:t>
      </w:r>
      <w:proofErr w:type="spellStart"/>
      <w:r w:rsidRPr="00AC1055">
        <w:rPr>
          <w:rFonts w:cs="Times New Roman"/>
        </w:rPr>
        <w:t>testlets</w:t>
      </w:r>
      <w:proofErr w:type="spellEnd"/>
      <w:r w:rsidRPr="00AC1055">
        <w:rPr>
          <w:rFonts w:cs="Times New Roman"/>
        </w:rPr>
        <w:t xml:space="preserve">’, (1999) 64 </w:t>
      </w:r>
      <w:proofErr w:type="spellStart"/>
      <w:r w:rsidRPr="00AC1055">
        <w:rPr>
          <w:rFonts w:cs="Times New Roman"/>
        </w:rPr>
        <w:t>Psychometrika</w:t>
      </w:r>
      <w:proofErr w:type="spellEnd"/>
      <w:r w:rsidRPr="00AC1055">
        <w:rPr>
          <w:rFonts w:cs="Times New Roman"/>
        </w:rPr>
        <w:t xml:space="preserve"> 153–168; Howard </w:t>
      </w:r>
      <w:proofErr w:type="spellStart"/>
      <w:r w:rsidRPr="00AC1055">
        <w:rPr>
          <w:rFonts w:cs="Times New Roman"/>
        </w:rPr>
        <w:t>Wainer</w:t>
      </w:r>
      <w:proofErr w:type="spellEnd"/>
      <w:r w:rsidRPr="00AC1055">
        <w:rPr>
          <w:rFonts w:cs="Times New Roman"/>
        </w:rPr>
        <w:t xml:space="preserve"> et al., ‘</w:t>
      </w:r>
      <w:proofErr w:type="spellStart"/>
      <w:r w:rsidRPr="00AC1055">
        <w:rPr>
          <w:rFonts w:cs="Times New Roman"/>
        </w:rPr>
        <w:t>Testlet</w:t>
      </w:r>
      <w:proofErr w:type="spellEnd"/>
      <w:r w:rsidRPr="00AC1055">
        <w:rPr>
          <w:rFonts w:cs="Times New Roman"/>
        </w:rPr>
        <w:t xml:space="preserve"> response theory: an </w:t>
      </w:r>
      <w:proofErr w:type="spellStart"/>
      <w:r w:rsidRPr="00AC1055">
        <w:rPr>
          <w:rFonts w:cs="Times New Roman"/>
        </w:rPr>
        <w:t>analog</w:t>
      </w:r>
      <w:proofErr w:type="spellEnd"/>
      <w:r w:rsidRPr="00AC1055">
        <w:rPr>
          <w:rFonts w:cs="Times New Roman"/>
        </w:rPr>
        <w:t xml:space="preserve"> for the 3-PL useful in </w:t>
      </w:r>
      <w:proofErr w:type="spellStart"/>
      <w:r w:rsidRPr="00AC1055">
        <w:rPr>
          <w:rFonts w:cs="Times New Roman"/>
        </w:rPr>
        <w:t>testlet</w:t>
      </w:r>
      <w:proofErr w:type="spellEnd"/>
      <w:r w:rsidRPr="00AC1055">
        <w:rPr>
          <w:rFonts w:cs="Times New Roman"/>
        </w:rPr>
        <w:t xml:space="preserve">-based adaptive testing’, in </w:t>
      </w:r>
      <w:proofErr w:type="spellStart"/>
      <w:r w:rsidRPr="00AC1055">
        <w:rPr>
          <w:rFonts w:cs="Times New Roman"/>
        </w:rPr>
        <w:t>Wim</w:t>
      </w:r>
      <w:proofErr w:type="spellEnd"/>
      <w:r w:rsidRPr="00AC1055">
        <w:rPr>
          <w:rFonts w:cs="Times New Roman"/>
        </w:rPr>
        <w:t xml:space="preserve"> van der Linden and Cees </w:t>
      </w:r>
      <w:proofErr w:type="spellStart"/>
      <w:r w:rsidRPr="00AC1055">
        <w:rPr>
          <w:rFonts w:cs="Times New Roman"/>
        </w:rPr>
        <w:t>Glas</w:t>
      </w:r>
      <w:proofErr w:type="spellEnd"/>
      <w:r w:rsidRPr="00AC1055">
        <w:rPr>
          <w:rFonts w:cs="Times New Roman"/>
        </w:rPr>
        <w:t xml:space="preserve"> (eds.), </w:t>
      </w:r>
      <w:r w:rsidRPr="00AC1055">
        <w:rPr>
          <w:rFonts w:cs="Times New Roman"/>
          <w:i/>
        </w:rPr>
        <w:t>Computerized Adaptive Testing: Theory and Practice</w:t>
      </w:r>
      <w:r w:rsidRPr="00AC1055">
        <w:rPr>
          <w:rFonts w:cs="Times New Roman"/>
        </w:rPr>
        <w:t xml:space="preserve"> (Kluwer Academic Publishers 2000) 245–270; </w:t>
      </w:r>
      <w:proofErr w:type="spellStart"/>
      <w:r w:rsidRPr="00AC1055">
        <w:rPr>
          <w:rFonts w:cs="Times New Roman"/>
        </w:rPr>
        <w:t>Xiaohui</w:t>
      </w:r>
      <w:proofErr w:type="spellEnd"/>
      <w:r w:rsidRPr="00AC1055">
        <w:rPr>
          <w:rFonts w:cs="Times New Roman"/>
        </w:rPr>
        <w:t xml:space="preserve"> Wang et al., ‘A general Bayesian model for </w:t>
      </w:r>
      <w:proofErr w:type="spellStart"/>
      <w:r w:rsidRPr="00AC1055">
        <w:rPr>
          <w:rFonts w:cs="Times New Roman"/>
        </w:rPr>
        <w:t>testlets</w:t>
      </w:r>
      <w:proofErr w:type="spellEnd"/>
      <w:r w:rsidRPr="00AC1055">
        <w:rPr>
          <w:rFonts w:cs="Times New Roman"/>
        </w:rPr>
        <w:t xml:space="preserve">: theory and applications’ (2002) 26 Applied Psychological Measurement 109–128; For a review of Bayesian techniques especially multilevel modelling see Jean Paul Fox, ‘Multilevel IRT using dichotomous and polytomous response data’ (2005) 58 British Journal of Mathematical and Statistical Psychology 145–172 and Jean Paul Fox and  Cees </w:t>
      </w:r>
      <w:proofErr w:type="spellStart"/>
      <w:r w:rsidRPr="00AC1055">
        <w:rPr>
          <w:rFonts w:cs="Times New Roman"/>
        </w:rPr>
        <w:t>Glas</w:t>
      </w:r>
      <w:proofErr w:type="spellEnd"/>
      <w:r>
        <w:rPr>
          <w:rFonts w:cs="Times New Roman"/>
        </w:rPr>
        <w:t>,</w:t>
      </w:r>
      <w:r w:rsidRPr="00AC1055">
        <w:rPr>
          <w:rFonts w:cs="Times New Roman"/>
        </w:rPr>
        <w:t xml:space="preserve"> ‘Bayesian estimation of a multilevel IRT model using Gibbs sampling’ (2001) 66 </w:t>
      </w:r>
      <w:proofErr w:type="spellStart"/>
      <w:r w:rsidRPr="00AC1055">
        <w:rPr>
          <w:rFonts w:cs="Times New Roman"/>
        </w:rPr>
        <w:t>Psychometrika</w:t>
      </w:r>
      <w:proofErr w:type="spellEnd"/>
      <w:r w:rsidRPr="00AC1055">
        <w:rPr>
          <w:rFonts w:cs="Times New Roman"/>
        </w:rPr>
        <w:t xml:space="preserve"> 269–286.</w:t>
      </w:r>
    </w:p>
  </w:footnote>
  <w:footnote w:id="189">
    <w:p w14:paraId="67004B61"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generally </w:t>
      </w:r>
      <w:proofErr w:type="spellStart"/>
      <w:r w:rsidRPr="00AC1055">
        <w:rPr>
          <w:rFonts w:cs="Times New Roman"/>
        </w:rPr>
        <w:t>Xiaohue</w:t>
      </w:r>
      <w:proofErr w:type="spellEnd"/>
      <w:r w:rsidRPr="00AC1055">
        <w:rPr>
          <w:rFonts w:cs="Times New Roman"/>
        </w:rPr>
        <w:t xml:space="preserve"> Wang et al., ‘A Bayesian method for studying DIF: a cautionary tale filled with surprises and delights’ (2008) 33 Journal of </w:t>
      </w:r>
      <w:proofErr w:type="spellStart"/>
      <w:r w:rsidRPr="00AC1055">
        <w:rPr>
          <w:rFonts w:cs="Times New Roman"/>
        </w:rPr>
        <w:t>Behavioral</w:t>
      </w:r>
      <w:proofErr w:type="spellEnd"/>
      <w:r w:rsidRPr="00AC1055">
        <w:rPr>
          <w:rFonts w:cs="Times New Roman"/>
        </w:rPr>
        <w:t xml:space="preserve"> and Educational Statistics 363–384.</w:t>
      </w:r>
    </w:p>
  </w:footnote>
  <w:footnote w:id="190">
    <w:p w14:paraId="1158BC28"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S </w:t>
      </w:r>
      <w:proofErr w:type="spellStart"/>
      <w:r w:rsidRPr="00AC1055">
        <w:rPr>
          <w:rFonts w:cs="Times New Roman"/>
        </w:rPr>
        <w:t>Geman</w:t>
      </w:r>
      <w:proofErr w:type="spellEnd"/>
      <w:r w:rsidRPr="00AC1055">
        <w:rPr>
          <w:rFonts w:cs="Times New Roman"/>
        </w:rPr>
        <w:t xml:space="preserve"> and D </w:t>
      </w:r>
      <w:proofErr w:type="spellStart"/>
      <w:r w:rsidRPr="00AC1055">
        <w:rPr>
          <w:rFonts w:cs="Times New Roman"/>
        </w:rPr>
        <w:t>Geman</w:t>
      </w:r>
      <w:proofErr w:type="spellEnd"/>
      <w:r w:rsidRPr="00AC1055">
        <w:rPr>
          <w:rFonts w:cs="Times New Roman"/>
        </w:rPr>
        <w:t>, ‘Stochastic relaxation, Gibbs distribution and the Bayesian restoration of images’ (1984) 6 IEEE Transactions on pattern analysis 721-741</w:t>
      </w:r>
    </w:p>
  </w:footnote>
  <w:footnote w:id="191">
    <w:p w14:paraId="1436FDEF"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W R </w:t>
      </w:r>
      <w:proofErr w:type="spellStart"/>
      <w:r w:rsidRPr="00AC1055">
        <w:rPr>
          <w:rFonts w:cs="Times New Roman"/>
        </w:rPr>
        <w:t>Gilks</w:t>
      </w:r>
      <w:proofErr w:type="spellEnd"/>
      <w:r w:rsidRPr="00AC1055">
        <w:rPr>
          <w:rFonts w:cs="Times New Roman"/>
        </w:rPr>
        <w:t xml:space="preserve"> et al., ‘Introducing Markov Chain Monte Carlo’ in W R </w:t>
      </w:r>
      <w:proofErr w:type="spellStart"/>
      <w:r w:rsidRPr="00AC1055">
        <w:rPr>
          <w:rFonts w:cs="Times New Roman"/>
        </w:rPr>
        <w:t>Gilks</w:t>
      </w:r>
      <w:proofErr w:type="spellEnd"/>
      <w:r w:rsidRPr="00AC1055">
        <w:rPr>
          <w:rFonts w:cs="Times New Roman"/>
        </w:rPr>
        <w:t xml:space="preserve"> et al. (eds.) </w:t>
      </w:r>
      <w:r w:rsidRPr="00AC1055">
        <w:rPr>
          <w:rFonts w:cs="Times New Roman"/>
          <w:i/>
        </w:rPr>
        <w:t>Markov Chain Monte Carlo in Practice</w:t>
      </w:r>
      <w:r w:rsidRPr="00AC1055">
        <w:rPr>
          <w:rFonts w:cs="Times New Roman"/>
        </w:rPr>
        <w:t xml:space="preserve"> (Chapman and Hill 1996)</w:t>
      </w:r>
    </w:p>
  </w:footnote>
  <w:footnote w:id="192">
    <w:p w14:paraId="1CB88488"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Philip </w:t>
      </w:r>
      <w:proofErr w:type="spellStart"/>
      <w:r w:rsidRPr="00AC1055">
        <w:rPr>
          <w:rFonts w:cs="Times New Roman"/>
        </w:rPr>
        <w:t>Resnik</w:t>
      </w:r>
      <w:proofErr w:type="spellEnd"/>
      <w:r w:rsidRPr="00AC1055">
        <w:rPr>
          <w:rFonts w:cs="Times New Roman"/>
        </w:rPr>
        <w:t xml:space="preserve"> and Eric </w:t>
      </w:r>
      <w:proofErr w:type="spellStart"/>
      <w:r w:rsidRPr="00AC1055">
        <w:rPr>
          <w:rFonts w:cs="Times New Roman"/>
        </w:rPr>
        <w:t>Hardisty</w:t>
      </w:r>
      <w:proofErr w:type="spellEnd"/>
      <w:r w:rsidRPr="00AC1055">
        <w:rPr>
          <w:rFonts w:cs="Times New Roman"/>
        </w:rPr>
        <w:t>, ‘Gibbs Sampling for the Uninitiated’ (2010) &lt;http://www.umiacs.umd.edu/~resnik/pubs/LAMP-TR-153.pdf&gt; last accessed on 1 May 2015</w:t>
      </w:r>
    </w:p>
  </w:footnote>
  <w:footnote w:id="193">
    <w:p w14:paraId="6DC10C8D"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 McKay Curtis, ‘BUGS Code for Item Response Theory’ (2010) 36 Journal of Statistical Software 1-34 available at &lt;http://core.ac.uk/download/pdf/6340240.pdf&gt; last accessed on 5 May 2015</w:t>
      </w:r>
    </w:p>
  </w:footnote>
  <w:footnote w:id="194">
    <w:p w14:paraId="220B7170"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ibid 7</w:t>
      </w:r>
    </w:p>
  </w:footnote>
  <w:footnote w:id="195">
    <w:p w14:paraId="2C0BA50A"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Cees A. W. </w:t>
      </w:r>
      <w:proofErr w:type="spellStart"/>
      <w:r w:rsidRPr="00AC1055">
        <w:rPr>
          <w:rFonts w:cs="Times New Roman"/>
        </w:rPr>
        <w:t>Glas</w:t>
      </w:r>
      <w:proofErr w:type="spellEnd"/>
      <w:r w:rsidRPr="00AC1055">
        <w:rPr>
          <w:rFonts w:cs="Times New Roman"/>
        </w:rPr>
        <w:t xml:space="preserve"> and Rob R. Meijer, ‘A Bayesian Approach to Person Fit Analysis in Item Response Theory Models’ (2003) 27 (3) Applied Psychological Measurement 217</w:t>
      </w:r>
    </w:p>
  </w:footnote>
  <w:footnote w:id="196">
    <w:p w14:paraId="55C731D2"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Ramsey </w:t>
      </w:r>
      <w:proofErr w:type="spellStart"/>
      <w:r w:rsidRPr="00AC1055">
        <w:rPr>
          <w:rFonts w:cs="Times New Roman"/>
        </w:rPr>
        <w:t>Faragher</w:t>
      </w:r>
      <w:proofErr w:type="spellEnd"/>
      <w:r w:rsidRPr="00AC1055">
        <w:rPr>
          <w:rFonts w:cs="Times New Roman"/>
        </w:rPr>
        <w:t xml:space="preserve">, ‘Understanding the Basis of the </w:t>
      </w:r>
      <w:proofErr w:type="spellStart"/>
      <w:r w:rsidRPr="00AC1055">
        <w:rPr>
          <w:rFonts w:cs="Times New Roman"/>
        </w:rPr>
        <w:t>Kalman</w:t>
      </w:r>
      <w:proofErr w:type="spellEnd"/>
      <w:r w:rsidRPr="00AC1055">
        <w:rPr>
          <w:rFonts w:cs="Times New Roman"/>
        </w:rPr>
        <w:t xml:space="preserve"> Filter  Via a Simple and Intuitive Derivation’ (2012) IEEE Signal Processing Magazine 128-133 available at &lt;http://www.cl.cam.ac.uk/~rmf25/papers/Understanding%20the%20Basis%20of%20the%20Kalman%20Filter.pdf&gt; last accessed on 5 May 2015. </w:t>
      </w:r>
      <w:proofErr w:type="spellStart"/>
      <w:r w:rsidRPr="00AC1055">
        <w:rPr>
          <w:rFonts w:cs="Times New Roman"/>
        </w:rPr>
        <w:t>Kalman</w:t>
      </w:r>
      <w:proofErr w:type="spellEnd"/>
      <w:r w:rsidRPr="00AC1055">
        <w:rPr>
          <w:rFonts w:cs="Times New Roman"/>
        </w:rPr>
        <w:t xml:space="preserve"> Filter has a long an illustrious history in the state space literature, it is a very popular tool to filter out the noise and give the overall trend, but sometimes it oversimplifies the model leading to loss of useful local time variations. It would thus depend on the skills of the researcher and the need of the research to properly implement </w:t>
      </w:r>
      <w:proofErr w:type="spellStart"/>
      <w:r w:rsidRPr="00AC1055">
        <w:rPr>
          <w:rFonts w:cs="Times New Roman"/>
        </w:rPr>
        <w:t>Kalman</w:t>
      </w:r>
      <w:proofErr w:type="spellEnd"/>
      <w:r w:rsidRPr="00AC1055">
        <w:rPr>
          <w:rFonts w:cs="Times New Roman"/>
        </w:rPr>
        <w:t xml:space="preserve"> filter.</w:t>
      </w:r>
    </w:p>
  </w:footnote>
  <w:footnote w:id="197">
    <w:p w14:paraId="55CF202D"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generally </w:t>
      </w:r>
      <w:proofErr w:type="spellStart"/>
      <w:r w:rsidRPr="00AC1055">
        <w:rPr>
          <w:rFonts w:cs="Times New Roman"/>
        </w:rPr>
        <w:t>Mohinder</w:t>
      </w:r>
      <w:proofErr w:type="spellEnd"/>
      <w:r w:rsidRPr="00AC1055">
        <w:rPr>
          <w:rFonts w:cs="Times New Roman"/>
        </w:rPr>
        <w:t xml:space="preserve"> Grewal and Angus P. Andrews, </w:t>
      </w:r>
      <w:proofErr w:type="spellStart"/>
      <w:r w:rsidRPr="00AC1055">
        <w:rPr>
          <w:rFonts w:cs="Times New Roman"/>
          <w:i/>
        </w:rPr>
        <w:t>Kalman</w:t>
      </w:r>
      <w:proofErr w:type="spellEnd"/>
      <w:r w:rsidRPr="00AC1055">
        <w:rPr>
          <w:rFonts w:cs="Times New Roman"/>
          <w:i/>
        </w:rPr>
        <w:t xml:space="preserve"> Filtering - Theory and Practice Using MATLAB</w:t>
      </w:r>
      <w:r w:rsidRPr="00AC1055">
        <w:rPr>
          <w:rFonts w:cs="Times New Roman"/>
        </w:rPr>
        <w:t xml:space="preserve"> (Wiley 2001).</w:t>
      </w:r>
    </w:p>
  </w:footnote>
  <w:footnote w:id="198">
    <w:p w14:paraId="061244DA"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Daniel B. Rowe, </w:t>
      </w:r>
      <w:r w:rsidRPr="00AC1055">
        <w:rPr>
          <w:rFonts w:cs="Times New Roman"/>
          <w:i/>
        </w:rPr>
        <w:t xml:space="preserve">Multivariate Bayesian Statistics: Models for Source Separation and Signal </w:t>
      </w:r>
      <w:proofErr w:type="spellStart"/>
      <w:r w:rsidRPr="00AC1055">
        <w:rPr>
          <w:rFonts w:cs="Times New Roman"/>
          <w:i/>
        </w:rPr>
        <w:t>Unmixing</w:t>
      </w:r>
      <w:proofErr w:type="spellEnd"/>
      <w:r w:rsidRPr="00AC1055">
        <w:rPr>
          <w:rFonts w:cs="Times New Roman"/>
        </w:rPr>
        <w:t xml:space="preserve"> (CRC Press 2003)</w:t>
      </w:r>
    </w:p>
  </w:footnote>
  <w:footnote w:id="199">
    <w:p w14:paraId="05E82542"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Joyee</w:t>
      </w:r>
      <w:proofErr w:type="spellEnd"/>
      <w:r w:rsidRPr="00AC1055">
        <w:rPr>
          <w:rFonts w:cs="Times New Roman"/>
        </w:rPr>
        <w:t xml:space="preserve"> Ghosh and David Dunson, ‘Default priors and efficient posterior computation in Bayesian Factor analysis’ available at &lt; http://people.ee.duke.edu/~lcarin/DunsonBayesianFA.pdf&gt; accessed 12 June 2015</w:t>
      </w:r>
    </w:p>
  </w:footnote>
  <w:footnote w:id="200">
    <w:p w14:paraId="35EA0216"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Dirk </w:t>
      </w:r>
      <w:proofErr w:type="spellStart"/>
      <w:r w:rsidRPr="00AC1055">
        <w:rPr>
          <w:rFonts w:cs="Times New Roman"/>
        </w:rPr>
        <w:t>Heerwegh</w:t>
      </w:r>
      <w:proofErr w:type="spellEnd"/>
      <w:r w:rsidRPr="00AC1055">
        <w:rPr>
          <w:rFonts w:cs="Times New Roman"/>
        </w:rPr>
        <w:t>, ‘Small Sample Bayesian Factor Analysis’ Working Paper SP03 (2014) available at &lt;http://www.phusewiki.org/docs/Conference%202014%20SP%20Papers/SP03.pdf&gt; accessed on 12 June 2015; see also Navajyoti Samanta, ‘Utilising item response theory in computing corporate governance indices’ (2015) 2 (4) Edinburgh Student Law Review (ESLR) 103-116</w:t>
      </w:r>
    </w:p>
  </w:footnote>
  <w:footnote w:id="201">
    <w:p w14:paraId="6D5EC6CD"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Kanti</w:t>
      </w:r>
      <w:proofErr w:type="spellEnd"/>
      <w:r w:rsidRPr="00AC1055">
        <w:rPr>
          <w:rFonts w:cs="Times New Roman"/>
        </w:rPr>
        <w:t xml:space="preserve"> V. </w:t>
      </w:r>
      <w:proofErr w:type="spellStart"/>
      <w:r w:rsidRPr="00AC1055">
        <w:rPr>
          <w:rFonts w:cs="Times New Roman"/>
        </w:rPr>
        <w:t>Mardia</w:t>
      </w:r>
      <w:proofErr w:type="spellEnd"/>
      <w:r w:rsidRPr="00AC1055">
        <w:rPr>
          <w:rFonts w:cs="Times New Roman"/>
        </w:rPr>
        <w:t xml:space="preserve">, John T. Kent and John M. Bibby, </w:t>
      </w:r>
      <w:r w:rsidRPr="00AC1055">
        <w:rPr>
          <w:rFonts w:cs="Times New Roman"/>
          <w:i/>
        </w:rPr>
        <w:t>Multivariate Analysis</w:t>
      </w:r>
      <w:r w:rsidRPr="00AC1055">
        <w:rPr>
          <w:rFonts w:cs="Times New Roman"/>
        </w:rPr>
        <w:t xml:space="preserve"> (San Diego Academic Press 1980)</w:t>
      </w:r>
    </w:p>
  </w:footnote>
  <w:footnote w:id="202">
    <w:p w14:paraId="67FDAB3E"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generally </w:t>
      </w:r>
      <w:proofErr w:type="spellStart"/>
      <w:r w:rsidRPr="00AC1055">
        <w:rPr>
          <w:rFonts w:cs="Times New Roman"/>
        </w:rPr>
        <w:t>Hedibert</w:t>
      </w:r>
      <w:proofErr w:type="spellEnd"/>
      <w:r w:rsidRPr="00AC1055">
        <w:rPr>
          <w:rFonts w:cs="Times New Roman"/>
        </w:rPr>
        <w:t xml:space="preserve"> Freitas Lopes and Mike West, ‘Bayesian model assessment in factor analysis’ (2004) 14 </w:t>
      </w:r>
      <w:proofErr w:type="spellStart"/>
      <w:r w:rsidRPr="00AC1055">
        <w:rPr>
          <w:rFonts w:cs="Times New Roman"/>
        </w:rPr>
        <w:t>Statistica</w:t>
      </w:r>
      <w:proofErr w:type="spellEnd"/>
      <w:r w:rsidRPr="00AC1055">
        <w:rPr>
          <w:rFonts w:cs="Times New Roman"/>
        </w:rPr>
        <w:t xml:space="preserve"> </w:t>
      </w:r>
      <w:proofErr w:type="spellStart"/>
      <w:r w:rsidRPr="00AC1055">
        <w:rPr>
          <w:rFonts w:cs="Times New Roman"/>
        </w:rPr>
        <w:t>Sinica</w:t>
      </w:r>
      <w:proofErr w:type="spellEnd"/>
      <w:r w:rsidRPr="00AC1055">
        <w:rPr>
          <w:rFonts w:cs="Times New Roman"/>
        </w:rPr>
        <w:t xml:space="preserve"> 41 available at &lt;http://citeseerx.ist.psu.edu/viewdoc/download?doi=10.1.1.10.8242&amp;rep=rep1 &amp;type=pdf&gt; accessed 12 June 2015; David John Bartholomew, </w:t>
      </w:r>
      <w:r w:rsidRPr="00AC1055">
        <w:rPr>
          <w:rFonts w:cs="Times New Roman"/>
          <w:i/>
        </w:rPr>
        <w:t>Latent Variable Models  and  Factor  Analysis</w:t>
      </w:r>
      <w:r w:rsidRPr="00AC1055">
        <w:rPr>
          <w:rFonts w:cs="Times New Roman"/>
        </w:rPr>
        <w:t xml:space="preserve"> (2nd </w:t>
      </w:r>
      <w:proofErr w:type="spellStart"/>
      <w:r w:rsidRPr="00AC1055">
        <w:rPr>
          <w:rFonts w:cs="Times New Roman"/>
        </w:rPr>
        <w:t>edn</w:t>
      </w:r>
      <w:proofErr w:type="spellEnd"/>
      <w:r w:rsidRPr="00AC1055">
        <w:rPr>
          <w:rFonts w:cs="Times New Roman"/>
        </w:rPr>
        <w:t>, Wiley 1999).</w:t>
      </w:r>
    </w:p>
  </w:footnote>
  <w:footnote w:id="203">
    <w:p w14:paraId="099F64A2"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Simon </w:t>
      </w:r>
      <w:proofErr w:type="spellStart"/>
      <w:r w:rsidRPr="00AC1055">
        <w:rPr>
          <w:rFonts w:cs="Times New Roman"/>
        </w:rPr>
        <w:t>Jackmann</w:t>
      </w:r>
      <w:proofErr w:type="spellEnd"/>
      <w:r w:rsidRPr="00AC1055">
        <w:rPr>
          <w:rFonts w:cs="Times New Roman"/>
        </w:rPr>
        <w:t xml:space="preserve">, </w:t>
      </w:r>
      <w:r w:rsidRPr="00AC1055">
        <w:rPr>
          <w:rFonts w:cs="Times New Roman"/>
          <w:i/>
        </w:rPr>
        <w:t>Bayesian Analysis for the Social Sciences</w:t>
      </w:r>
      <w:r w:rsidRPr="00AC1055">
        <w:rPr>
          <w:rFonts w:cs="Times New Roman"/>
        </w:rPr>
        <w:t xml:space="preserve"> (Wiley 2009) 438</w:t>
      </w:r>
    </w:p>
  </w:footnote>
  <w:footnote w:id="204">
    <w:p w14:paraId="42E45F09"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ibid 439</w:t>
      </w:r>
    </w:p>
  </w:footnote>
  <w:footnote w:id="205">
    <w:p w14:paraId="4E1EC159"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ibid 438, 442</w:t>
      </w:r>
    </w:p>
  </w:footnote>
  <w:footnote w:id="206">
    <w:p w14:paraId="0CEC4E73"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Sometime also referred to as time series cross sectional data. In the present study the panel data matrix for regression analysis will be approximately 21(countries)x20(time period)x3(indices). Please note that the control index will be divided into group/country level indicators and individual/time level indicators as the model progresses.</w:t>
      </w:r>
    </w:p>
  </w:footnote>
  <w:footnote w:id="207">
    <w:p w14:paraId="608A4075"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See generally Alan O. Sykes, ‘An Introduction to Regression Analysis’ Chicago  Working  Paper in Law &amp;  Economics &lt;http://www.law.uchicago.edu/files/files/20.Sykes_.Regression.pdf&gt; acceded 10 June 2015</w:t>
      </w:r>
    </w:p>
  </w:footnote>
  <w:footnote w:id="208">
    <w:p w14:paraId="32D7A890"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Andrew </w:t>
      </w:r>
      <w:proofErr w:type="spellStart"/>
      <w:r w:rsidRPr="00AC1055">
        <w:rPr>
          <w:rFonts w:cs="Times New Roman"/>
        </w:rPr>
        <w:t>Gelman</w:t>
      </w:r>
      <w:proofErr w:type="spellEnd"/>
      <w:r w:rsidRPr="00AC1055">
        <w:rPr>
          <w:rFonts w:cs="Times New Roman"/>
        </w:rPr>
        <w:t xml:space="preserve"> and Jennifer Hill, </w:t>
      </w:r>
      <w:r w:rsidRPr="00AC1055">
        <w:rPr>
          <w:rFonts w:cs="Times New Roman"/>
          <w:i/>
        </w:rPr>
        <w:t>Data analysis using regression and multilevel/hierarchical modelling</w:t>
      </w:r>
      <w:r w:rsidRPr="00AC1055">
        <w:rPr>
          <w:rFonts w:cs="Times New Roman"/>
        </w:rPr>
        <w:t xml:space="preserve"> (Cambridge University Press 2007) 38</w:t>
      </w:r>
    </w:p>
  </w:footnote>
  <w:footnote w:id="209">
    <w:p w14:paraId="166A70E9"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ibid 251</w:t>
      </w:r>
    </w:p>
  </w:footnote>
  <w:footnote w:id="210">
    <w:p w14:paraId="0C7A50E5"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Federico </w:t>
      </w:r>
      <w:proofErr w:type="spellStart"/>
      <w:r w:rsidRPr="00AC1055">
        <w:rPr>
          <w:rFonts w:cs="Times New Roman"/>
        </w:rPr>
        <w:t>Podestà</w:t>
      </w:r>
      <w:proofErr w:type="spellEnd"/>
      <w:r w:rsidRPr="00AC1055">
        <w:rPr>
          <w:rFonts w:cs="Times New Roman"/>
        </w:rPr>
        <w:t>, ‘Recent developments in quantitative comparative methodology: The case of pooled time series analysis’  DSS PAPERS SOC 3-02 &lt;http://localgov.fsu.edu/readings_papers/Research%20Methods/Podesta_Pooled_Time_Series_Cross_Section.pdf&gt; accessed 10 June 2015</w:t>
      </w:r>
    </w:p>
  </w:footnote>
  <w:footnote w:id="211">
    <w:p w14:paraId="4B7E2826" w14:textId="587679AB"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Podestà</w:t>
      </w:r>
      <w:proofErr w:type="spellEnd"/>
      <w:r w:rsidRPr="00AC1055">
        <w:rPr>
          <w:rFonts w:cs="Times New Roman"/>
        </w:rPr>
        <w:t xml:space="preserve"> lists five major complications for using OLS procedure on pooled data: 1) errors tend to be dependent from a period to the next, 2) the errors tend to be correlated across countries (or groups), 3) errors tend to be heteroskedastic, such that they may have differing variances across ranges or sub sets of nations. In other words, countries with higher values on variables tend to have less restricted and, hence, higher variances on them, 4) errors may contain both temporal and cross-sectional components reflecting cross-sectional effects and temporal effects. Errors tend to conceal unit and period effects. In other words, even if we start with data that were homoscedastic and not auto-correlated, we risk producing a regression with observed heteroskedastic and auto-correlated errors. This is because heteroscedasticity and auto-correlation we observe is a function also of model misspecification. The misspecification, that is peculiar of pooled data, is the assumption of homogeneity of level of dependent variable across units and time periods. In particular, if we assume that units and time periods are homogeneous in the level (as OLS estimation requires) and they are not, then least squares estimators will be a compromise, unlikely to be a good predictor of the time periods and the cross-sectional units, and the apparent level of heteroscedasticity and auto-correlation will be substantially inflated, 5) errors might be non-random across spatial and/or temporal units because parameters are heterogeneous across subsets of units. In other words, since processes linking dependent and independent variables tend to vary across subsets of nations or/and period</w:t>
      </w:r>
      <w:r>
        <w:rPr>
          <w:rFonts w:cs="Times New Roman"/>
        </w:rPr>
        <w:t>s</w:t>
      </w:r>
      <w:r w:rsidRPr="00AC1055">
        <w:rPr>
          <w:rFonts w:cs="Times New Roman"/>
        </w:rPr>
        <w:t>, errors tend to reflect some causal heterogeneity across space, time, or both.</w:t>
      </w:r>
    </w:p>
  </w:footnote>
  <w:footnote w:id="212">
    <w:p w14:paraId="41D7142B" w14:textId="54266B4A"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Gelman</w:t>
      </w:r>
      <w:proofErr w:type="spellEnd"/>
      <w:r w:rsidRPr="00AC1055">
        <w:rPr>
          <w:rFonts w:cs="Times New Roman"/>
        </w:rPr>
        <w:t xml:space="preserve"> </w:t>
      </w:r>
      <w:r>
        <w:rPr>
          <w:rFonts w:cs="Times New Roman"/>
        </w:rPr>
        <w:t xml:space="preserve">and Hill </w:t>
      </w:r>
      <w:r w:rsidRPr="00550063">
        <w:rPr>
          <w:rFonts w:cs="Times New Roman"/>
        </w:rPr>
        <w:t xml:space="preserve">(n </w:t>
      </w:r>
      <w:r>
        <w:rPr>
          <w:rFonts w:cs="Times New Roman"/>
        </w:rPr>
        <w:t>208</w:t>
      </w:r>
      <w:r w:rsidRPr="00550063">
        <w:rPr>
          <w:rFonts w:cs="Times New Roman"/>
        </w:rPr>
        <w:t>)</w:t>
      </w:r>
      <w:r w:rsidRPr="00AC1055">
        <w:rPr>
          <w:rFonts w:cs="Times New Roman"/>
        </w:rPr>
        <w:t xml:space="preserve"> 251</w:t>
      </w:r>
    </w:p>
  </w:footnote>
  <w:footnote w:id="213">
    <w:p w14:paraId="732D91B5"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Andrew </w:t>
      </w:r>
      <w:proofErr w:type="spellStart"/>
      <w:r w:rsidRPr="00AC1055">
        <w:rPr>
          <w:rFonts w:cs="Times New Roman"/>
        </w:rPr>
        <w:t>Gelman</w:t>
      </w:r>
      <w:proofErr w:type="spellEnd"/>
      <w:r w:rsidRPr="00AC1055">
        <w:rPr>
          <w:rFonts w:cs="Times New Roman"/>
        </w:rPr>
        <w:t xml:space="preserve">, ‘Multilevel (hierarchical) modelling: what it can and can't do’ (2005) &lt;http://www.stat.columbia. </w:t>
      </w:r>
      <w:proofErr w:type="spellStart"/>
      <w:r w:rsidRPr="00AC1055">
        <w:rPr>
          <w:rFonts w:cs="Times New Roman"/>
        </w:rPr>
        <w:t>edu</w:t>
      </w:r>
      <w:proofErr w:type="spellEnd"/>
      <w:r w:rsidRPr="00AC1055">
        <w:rPr>
          <w:rFonts w:cs="Times New Roman"/>
        </w:rPr>
        <w:t>/~</w:t>
      </w:r>
      <w:proofErr w:type="spellStart"/>
      <w:r w:rsidRPr="00AC1055">
        <w:rPr>
          <w:rFonts w:cs="Times New Roman"/>
        </w:rPr>
        <w:t>gelman</w:t>
      </w:r>
      <w:proofErr w:type="spellEnd"/>
      <w:r w:rsidRPr="00AC1055">
        <w:rPr>
          <w:rFonts w:cs="Times New Roman"/>
        </w:rPr>
        <w:t>/research/unpublished/multi.pdf &gt; accessed 10 June 2015</w:t>
      </w:r>
    </w:p>
  </w:footnote>
  <w:footnote w:id="214">
    <w:p w14:paraId="363BAFA9"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John </w:t>
      </w:r>
      <w:proofErr w:type="spellStart"/>
      <w:r w:rsidRPr="00AC1055">
        <w:rPr>
          <w:rFonts w:cs="Times New Roman"/>
        </w:rPr>
        <w:t>DiNardo</w:t>
      </w:r>
      <w:proofErr w:type="spellEnd"/>
      <w:r w:rsidRPr="00AC1055">
        <w:rPr>
          <w:rFonts w:cs="Times New Roman"/>
        </w:rPr>
        <w:t xml:space="preserve"> and Justin L. Tobias, ‘Nonparametric Density and Regression Estimation’ (2001) 15 (4) Journal of Economic Perspectives 11, 16 &lt;http://www.uibk.ac.at/econometrics/dl/jep01fall/02_nonparametric.pdf&gt; accessed 10 June 2015</w:t>
      </w:r>
    </w:p>
  </w:footnote>
  <w:footnote w:id="215">
    <w:p w14:paraId="33100008" w14:textId="184B43BB" w:rsidR="005A260F" w:rsidRDefault="005A260F" w:rsidP="005F32A2">
      <w:pPr>
        <w:pStyle w:val="FootnoteText"/>
      </w:pPr>
      <w:r>
        <w:rPr>
          <w:rStyle w:val="FootnoteReference"/>
        </w:rPr>
        <w:footnoteRef/>
      </w:r>
      <w:r>
        <w:t xml:space="preserve"> Please note that the entire convergence plots along with the replication images for the intermediate models are available in DVD3</w:t>
      </w:r>
    </w:p>
  </w:footnote>
  <w:footnote w:id="216">
    <w:p w14:paraId="2ACEB73E" w14:textId="60EECB60"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For background i</w:t>
      </w:r>
      <w:r>
        <w:rPr>
          <w:rFonts w:cs="Times New Roman"/>
        </w:rPr>
        <w:t xml:space="preserve">n this technique refer to </w:t>
      </w:r>
      <w:r w:rsidRPr="00AC1055">
        <w:rPr>
          <w:rFonts w:cs="Times New Roman"/>
        </w:rPr>
        <w:t>Jackman</w:t>
      </w:r>
      <w:r>
        <w:rPr>
          <w:rFonts w:cs="Times New Roman"/>
        </w:rPr>
        <w:t xml:space="preserve"> (n 203)</w:t>
      </w:r>
      <w:r w:rsidRPr="00AC1055">
        <w:rPr>
          <w:rFonts w:cs="Times New Roman"/>
        </w:rPr>
        <w:t>; Simon Jackman, ‘Estimation and Inference Are Missing Data Problems: Unifying Social Science Statistics via Bayesian Simulation.’ (2000) 8 Political Analysis 307—332; Simon Jackman, ‘Estimation and Inference via Bayesian Simulation: An Introduction to Markov Chain Monte Carlo.’ (2000) 44 American Journal of Political Science 375-404.</w:t>
      </w:r>
    </w:p>
    <w:p w14:paraId="57589EFD" w14:textId="77777777" w:rsidR="005A260F" w:rsidRPr="00AC1055" w:rsidRDefault="005A260F" w:rsidP="000A5358">
      <w:pPr>
        <w:pStyle w:val="FootnoteText"/>
        <w:rPr>
          <w:rFonts w:cs="Times New Roman"/>
        </w:rPr>
      </w:pPr>
    </w:p>
  </w:footnote>
  <w:footnote w:id="217">
    <w:p w14:paraId="69C554DA" w14:textId="2260CFA9" w:rsidR="005A260F" w:rsidRDefault="005A260F">
      <w:pPr>
        <w:pStyle w:val="FootnoteText"/>
      </w:pPr>
      <w:r>
        <w:rPr>
          <w:rStyle w:val="FootnoteReference"/>
        </w:rPr>
        <w:footnoteRef/>
      </w:r>
      <w:r>
        <w:t xml:space="preserve"> Please note that the entire convergence plots along with the replication images for the intermediate models are available in DVD3</w:t>
      </w:r>
    </w:p>
  </w:footnote>
  <w:footnote w:id="218">
    <w:p w14:paraId="7DD8251A" w14:textId="43FD0561"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Gelman</w:t>
      </w:r>
      <w:proofErr w:type="spellEnd"/>
      <w:r w:rsidRPr="00AC1055">
        <w:rPr>
          <w:rFonts w:cs="Times New Roman"/>
        </w:rPr>
        <w:t xml:space="preserve"> </w:t>
      </w:r>
      <w:r>
        <w:rPr>
          <w:rFonts w:cs="Times New Roman"/>
        </w:rPr>
        <w:t xml:space="preserve">and Hill </w:t>
      </w:r>
      <w:r w:rsidRPr="00AC1055">
        <w:rPr>
          <w:rFonts w:cs="Times New Roman"/>
        </w:rPr>
        <w:t xml:space="preserve">(n </w:t>
      </w:r>
      <w:r>
        <w:rPr>
          <w:rFonts w:cs="Times New Roman"/>
        </w:rPr>
        <w:t>208</w:t>
      </w:r>
      <w:r w:rsidRPr="00AC1055">
        <w:rPr>
          <w:rFonts w:cs="Times New Roman"/>
        </w:rPr>
        <w:t>) 5</w:t>
      </w:r>
    </w:p>
  </w:footnote>
  <w:footnote w:id="219">
    <w:p w14:paraId="68144470"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The Uniform Distribution &lt; https://stat.ethz.ch/R-manual/R-devel/library/stats/html/Uniform.html&gt;</w:t>
      </w:r>
    </w:p>
  </w:footnote>
  <w:footnote w:id="220">
    <w:p w14:paraId="6C926F66"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The Gamma Distribution &lt; https://stat.ethz.ch/R-manual/R-devel/library/stats/html/GammaDist.html&gt;</w:t>
      </w:r>
    </w:p>
  </w:footnote>
  <w:footnote w:id="221">
    <w:p w14:paraId="0E004401" w14:textId="29AB5A04" w:rsidR="005A260F" w:rsidRDefault="005A260F">
      <w:pPr>
        <w:pStyle w:val="FootnoteText"/>
      </w:pPr>
      <w:r>
        <w:rPr>
          <w:rStyle w:val="FootnoteReference"/>
        </w:rPr>
        <w:footnoteRef/>
      </w:r>
      <w:r>
        <w:t xml:space="preserve"> Please note that the entire convergence plots along with the replication images for the intermediate models are available in DVD3</w:t>
      </w:r>
    </w:p>
  </w:footnote>
  <w:footnote w:id="222">
    <w:p w14:paraId="48C89FC7"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For instances of usage of lag effect in calculating impact of corporate governance see generally Barry D </w:t>
      </w:r>
      <w:proofErr w:type="spellStart"/>
      <w:r w:rsidRPr="00AC1055">
        <w:rPr>
          <w:rFonts w:cs="Times New Roman"/>
        </w:rPr>
        <w:t>Baysinger</w:t>
      </w:r>
      <w:proofErr w:type="spellEnd"/>
      <w:r w:rsidRPr="00AC1055">
        <w:rPr>
          <w:rFonts w:cs="Times New Roman"/>
        </w:rPr>
        <w:t xml:space="preserve"> and Henry N. Butler, ‘Corporate governance and the board of directors: Performance effects of changes in board composition.’ (1985) Journal of Law, Economics, &amp; Organization 101-124; </w:t>
      </w:r>
      <w:proofErr w:type="spellStart"/>
      <w:r w:rsidRPr="00AC1055">
        <w:rPr>
          <w:rFonts w:cs="Times New Roman"/>
        </w:rPr>
        <w:t>Jarrad</w:t>
      </w:r>
      <w:proofErr w:type="spellEnd"/>
      <w:r w:rsidRPr="00AC1055">
        <w:rPr>
          <w:rFonts w:cs="Times New Roman"/>
        </w:rPr>
        <w:t xml:space="preserve"> </w:t>
      </w:r>
      <w:proofErr w:type="spellStart"/>
      <w:r w:rsidRPr="00AC1055">
        <w:rPr>
          <w:rFonts w:cs="Times New Roman"/>
        </w:rPr>
        <w:t>Harford</w:t>
      </w:r>
      <w:proofErr w:type="spellEnd"/>
      <w:r w:rsidRPr="00AC1055">
        <w:rPr>
          <w:rFonts w:cs="Times New Roman"/>
        </w:rPr>
        <w:t xml:space="preserve">, </w:t>
      </w:r>
      <w:proofErr w:type="spellStart"/>
      <w:r w:rsidRPr="00AC1055">
        <w:rPr>
          <w:rFonts w:cs="Times New Roman"/>
        </w:rPr>
        <w:t>Sattar</w:t>
      </w:r>
      <w:proofErr w:type="spellEnd"/>
      <w:r w:rsidRPr="00AC1055">
        <w:rPr>
          <w:rFonts w:cs="Times New Roman"/>
        </w:rPr>
        <w:t xml:space="preserve"> A. Mansi and William F. Maxwell, ‘Corporate governance and firm cash holdings in the US.’ (2008) 87 Journal of Financial Economics 535-555.</w:t>
      </w:r>
    </w:p>
  </w:footnote>
  <w:footnote w:id="223">
    <w:p w14:paraId="5770ECCF" w14:textId="08C59F31" w:rsidR="005A260F" w:rsidRDefault="005A260F">
      <w:pPr>
        <w:pStyle w:val="FootnoteText"/>
      </w:pPr>
      <w:r>
        <w:rPr>
          <w:rStyle w:val="FootnoteReference"/>
        </w:rPr>
        <w:footnoteRef/>
      </w:r>
      <w:r>
        <w:t xml:space="preserve"> Please note that the entire convergence plots along with the replication images for the intermediate models are available in DVD3</w:t>
      </w:r>
    </w:p>
  </w:footnote>
  <w:footnote w:id="224">
    <w:p w14:paraId="53A67B92" w14:textId="77777777" w:rsidR="005A260F" w:rsidRPr="00AC1055" w:rsidRDefault="005A260F" w:rsidP="000A5358">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bcp</w:t>
      </w:r>
      <w:proofErr w:type="spellEnd"/>
      <w:r w:rsidRPr="00AC1055">
        <w:rPr>
          <w:rFonts w:cs="Times New Roman"/>
        </w:rPr>
        <w:t>: Bayesian Analysis of Change Point Problems &lt;https://cran.r-project.org/web/packages/bcp/index.html&gt;</w:t>
      </w:r>
    </w:p>
  </w:footnote>
  <w:footnote w:id="225">
    <w:p w14:paraId="343CB89A"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See generally Anthony </w:t>
      </w:r>
      <w:proofErr w:type="spellStart"/>
      <w:r w:rsidRPr="00AC1055">
        <w:rPr>
          <w:rFonts w:cs="Times New Roman"/>
        </w:rPr>
        <w:t>Ogus</w:t>
      </w:r>
      <w:proofErr w:type="spellEnd"/>
      <w:r w:rsidRPr="00AC1055">
        <w:rPr>
          <w:rFonts w:cs="Times New Roman"/>
        </w:rPr>
        <w:t xml:space="preserve">, ‘Competition Between National Legal Systems: A Contribution of Economic Analysis To Comparative Law’ (1999) 48 (2) International and Comparative Law Quarterly 405-418; Ugo </w:t>
      </w:r>
      <w:proofErr w:type="spellStart"/>
      <w:r w:rsidRPr="00AC1055">
        <w:rPr>
          <w:rFonts w:cs="Times New Roman"/>
        </w:rPr>
        <w:t>Mattei</w:t>
      </w:r>
      <w:proofErr w:type="spellEnd"/>
      <w:r w:rsidRPr="00AC1055">
        <w:rPr>
          <w:rFonts w:cs="Times New Roman"/>
        </w:rPr>
        <w:t xml:space="preserve">, ‘Efficiency in legal transplants: An essay in Comparative Law and Economics’ (1994) 14 (1) International Review of Law and Economics 3-19; Filomena Chirico and Pierre </w:t>
      </w:r>
      <w:proofErr w:type="spellStart"/>
      <w:r w:rsidRPr="00AC1055">
        <w:rPr>
          <w:rFonts w:cs="Times New Roman"/>
        </w:rPr>
        <w:t>Larouche</w:t>
      </w:r>
      <w:proofErr w:type="spellEnd"/>
      <w:r w:rsidRPr="00AC1055">
        <w:rPr>
          <w:rFonts w:cs="Times New Roman"/>
        </w:rPr>
        <w:t xml:space="preserve">, ‘Convergence and Divergence, in Law and Economics and Comparative Law’ in P. </w:t>
      </w:r>
      <w:proofErr w:type="spellStart"/>
      <w:r w:rsidRPr="00AC1055">
        <w:rPr>
          <w:rFonts w:cs="Times New Roman"/>
        </w:rPr>
        <w:t>Larouche</w:t>
      </w:r>
      <w:proofErr w:type="spellEnd"/>
      <w:r w:rsidRPr="00AC1055">
        <w:rPr>
          <w:rFonts w:cs="Times New Roman"/>
        </w:rPr>
        <w:t xml:space="preserve"> and P. </w:t>
      </w:r>
      <w:proofErr w:type="spellStart"/>
      <w:r w:rsidRPr="00AC1055">
        <w:rPr>
          <w:rFonts w:cs="Times New Roman"/>
        </w:rPr>
        <w:t>Cserne</w:t>
      </w:r>
      <w:proofErr w:type="spellEnd"/>
      <w:r w:rsidRPr="00AC1055">
        <w:rPr>
          <w:rFonts w:cs="Times New Roman"/>
        </w:rPr>
        <w:t xml:space="preserve"> (eds.), </w:t>
      </w:r>
      <w:r w:rsidRPr="00AC1055">
        <w:rPr>
          <w:rFonts w:cs="Times New Roman"/>
          <w:i/>
        </w:rPr>
        <w:t>National Legal Systems and Globalization</w:t>
      </w:r>
      <w:r w:rsidRPr="00AC1055">
        <w:rPr>
          <w:rFonts w:cs="Times New Roman"/>
        </w:rPr>
        <w:t xml:space="preserve"> (Springer 2013)</w:t>
      </w:r>
    </w:p>
  </w:footnote>
  <w:footnote w:id="226">
    <w:p w14:paraId="1882C3B0" w14:textId="5FE5DE52"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See generally</w:t>
      </w:r>
      <w:r>
        <w:rPr>
          <w:rFonts w:cs="Times New Roman"/>
        </w:rPr>
        <w:t xml:space="preserve"> Coffee (n 75) </w:t>
      </w:r>
      <w:r w:rsidRPr="00AC1055">
        <w:rPr>
          <w:rFonts w:cs="Times New Roman"/>
        </w:rPr>
        <w:t xml:space="preserve">; Klaus J. </w:t>
      </w:r>
      <w:proofErr w:type="spellStart"/>
      <w:r w:rsidRPr="00AC1055">
        <w:rPr>
          <w:rFonts w:cs="Times New Roman"/>
        </w:rPr>
        <w:t>Hopt</w:t>
      </w:r>
      <w:proofErr w:type="spellEnd"/>
      <w:r w:rsidRPr="00AC1055">
        <w:rPr>
          <w:rFonts w:cs="Times New Roman"/>
        </w:rPr>
        <w:t xml:space="preserve">, ‘Comparative Company Law’ in Mathias </w:t>
      </w:r>
      <w:proofErr w:type="spellStart"/>
      <w:r w:rsidRPr="00AC1055">
        <w:rPr>
          <w:rFonts w:cs="Times New Roman"/>
        </w:rPr>
        <w:t>Reimann</w:t>
      </w:r>
      <w:proofErr w:type="spellEnd"/>
      <w:r w:rsidRPr="00AC1055">
        <w:rPr>
          <w:rFonts w:cs="Times New Roman"/>
        </w:rPr>
        <w:t xml:space="preserve"> &amp; </w:t>
      </w:r>
      <w:proofErr w:type="spellStart"/>
      <w:r w:rsidRPr="00AC1055">
        <w:rPr>
          <w:rFonts w:cs="Times New Roman"/>
        </w:rPr>
        <w:t>Reinhard</w:t>
      </w:r>
      <w:proofErr w:type="spellEnd"/>
      <w:r w:rsidRPr="00AC1055">
        <w:rPr>
          <w:rFonts w:cs="Times New Roman"/>
        </w:rPr>
        <w:t xml:space="preserve"> Zimmermann (eds.) </w:t>
      </w:r>
      <w:r w:rsidRPr="00AC1055">
        <w:rPr>
          <w:rFonts w:cs="Times New Roman"/>
          <w:i/>
        </w:rPr>
        <w:t>The Oxford Handbook of comparative law</w:t>
      </w:r>
      <w:r w:rsidRPr="00AC1055">
        <w:rPr>
          <w:rFonts w:cs="Times New Roman"/>
        </w:rPr>
        <w:t xml:space="preserve"> (OUP 2006); Alan </w:t>
      </w:r>
      <w:proofErr w:type="spellStart"/>
      <w:r w:rsidRPr="00AC1055">
        <w:rPr>
          <w:rFonts w:cs="Times New Roman"/>
        </w:rPr>
        <w:t>Dignam</w:t>
      </w:r>
      <w:proofErr w:type="spellEnd"/>
      <w:r w:rsidRPr="00AC1055">
        <w:rPr>
          <w:rFonts w:cs="Times New Roman"/>
        </w:rPr>
        <w:t xml:space="preserve"> and Michael </w:t>
      </w:r>
      <w:proofErr w:type="spellStart"/>
      <w:r w:rsidRPr="00AC1055">
        <w:rPr>
          <w:rFonts w:cs="Times New Roman"/>
        </w:rPr>
        <w:t>Galanis</w:t>
      </w:r>
      <w:proofErr w:type="spellEnd"/>
      <w:r w:rsidRPr="00AC1055">
        <w:rPr>
          <w:rFonts w:cs="Times New Roman"/>
        </w:rPr>
        <w:t xml:space="preserve">, </w:t>
      </w:r>
      <w:r w:rsidRPr="00AC1055">
        <w:rPr>
          <w:rFonts w:cs="Times New Roman"/>
          <w:i/>
        </w:rPr>
        <w:t>The Globalization of Corporate Governance</w:t>
      </w:r>
      <w:r w:rsidRPr="00AC1055">
        <w:rPr>
          <w:rFonts w:cs="Times New Roman"/>
        </w:rPr>
        <w:t xml:space="preserve"> (</w:t>
      </w:r>
      <w:proofErr w:type="spellStart"/>
      <w:r w:rsidRPr="00AC1055">
        <w:rPr>
          <w:rFonts w:cs="Times New Roman"/>
        </w:rPr>
        <w:t>Ashgate</w:t>
      </w:r>
      <w:proofErr w:type="spellEnd"/>
      <w:r w:rsidRPr="00AC1055">
        <w:rPr>
          <w:rFonts w:cs="Times New Roman"/>
        </w:rPr>
        <w:t xml:space="preserve"> Gower 2009); Andreas M. </w:t>
      </w:r>
      <w:proofErr w:type="spellStart"/>
      <w:r w:rsidRPr="00AC1055">
        <w:rPr>
          <w:rFonts w:cs="Times New Roman"/>
        </w:rPr>
        <w:t>Fleckner</w:t>
      </w:r>
      <w:proofErr w:type="spellEnd"/>
      <w:r w:rsidRPr="00AC1055">
        <w:rPr>
          <w:rFonts w:cs="Times New Roman"/>
        </w:rPr>
        <w:t xml:space="preserve"> and Klaus J. </w:t>
      </w:r>
      <w:proofErr w:type="spellStart"/>
      <w:r w:rsidRPr="00AC1055">
        <w:rPr>
          <w:rFonts w:cs="Times New Roman"/>
        </w:rPr>
        <w:t>Hopt</w:t>
      </w:r>
      <w:proofErr w:type="spellEnd"/>
      <w:r w:rsidRPr="00AC1055">
        <w:rPr>
          <w:rFonts w:cs="Times New Roman"/>
        </w:rPr>
        <w:t xml:space="preserve"> (eds.), </w:t>
      </w:r>
      <w:r w:rsidRPr="00AC1055">
        <w:rPr>
          <w:rFonts w:cs="Times New Roman"/>
          <w:i/>
        </w:rPr>
        <w:t>Comparative Corporate Governance - A Functional and International Analysis</w:t>
      </w:r>
      <w:r w:rsidRPr="00AC1055">
        <w:rPr>
          <w:rFonts w:cs="Times New Roman"/>
        </w:rPr>
        <w:t xml:space="preserve"> (Cambridge University Press 2013); Joseph </w:t>
      </w:r>
      <w:proofErr w:type="spellStart"/>
      <w:r w:rsidRPr="00AC1055">
        <w:rPr>
          <w:rFonts w:cs="Times New Roman"/>
        </w:rPr>
        <w:t>McCahery</w:t>
      </w:r>
      <w:proofErr w:type="spellEnd"/>
      <w:r w:rsidRPr="00AC1055">
        <w:rPr>
          <w:rFonts w:cs="Times New Roman"/>
        </w:rPr>
        <w:t xml:space="preserve"> et al. (</w:t>
      </w:r>
      <w:proofErr w:type="spellStart"/>
      <w:r w:rsidRPr="00AC1055">
        <w:rPr>
          <w:rFonts w:cs="Times New Roman"/>
        </w:rPr>
        <w:t>eds</w:t>
      </w:r>
      <w:proofErr w:type="spellEnd"/>
      <w:r w:rsidRPr="00AC1055">
        <w:rPr>
          <w:rFonts w:cs="Times New Roman"/>
        </w:rPr>
        <w:t xml:space="preserve">), </w:t>
      </w:r>
      <w:r w:rsidRPr="00AC1055">
        <w:rPr>
          <w:rFonts w:cs="Times New Roman"/>
          <w:i/>
        </w:rPr>
        <w:t>Corporate Governance Regimes: Convergence and Diversity</w:t>
      </w:r>
      <w:r w:rsidRPr="00AC1055">
        <w:rPr>
          <w:rFonts w:cs="Times New Roman"/>
        </w:rPr>
        <w:t xml:space="preserve"> (OUP 2002); Arthur Pinto, ‘Globalization and the Study of Comparative Corporate Governance’ (2005) 23 Wisconsin International Law Journal 477 &lt;http://ssrn.com/abstract=764844&gt;.</w:t>
      </w:r>
    </w:p>
  </w:footnote>
  <w:footnote w:id="227">
    <w:p w14:paraId="6B9A054F"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See The International Institute for the Unification of Private Law (UNIDROIT) &lt;http://www.unidroit.org/about-unidroit/overview&gt; and United Nations Commission on International Trade Law (UNCITRAL) &lt;http://www.uncitral.org/uncitral/en/index.html&gt;; see also Jan </w:t>
      </w:r>
      <w:proofErr w:type="spellStart"/>
      <w:r w:rsidRPr="00AC1055">
        <w:rPr>
          <w:rFonts w:cs="Times New Roman"/>
        </w:rPr>
        <w:t>Dalhuisen</w:t>
      </w:r>
      <w:proofErr w:type="spellEnd"/>
      <w:r w:rsidRPr="00AC1055">
        <w:rPr>
          <w:rFonts w:cs="Times New Roman"/>
        </w:rPr>
        <w:t xml:space="preserve">, </w:t>
      </w:r>
      <w:proofErr w:type="spellStart"/>
      <w:r w:rsidRPr="00AC1055">
        <w:rPr>
          <w:rFonts w:cs="Times New Roman"/>
          <w:i/>
        </w:rPr>
        <w:t>Dalhuisen</w:t>
      </w:r>
      <w:proofErr w:type="spellEnd"/>
      <w:r w:rsidRPr="00AC1055">
        <w:rPr>
          <w:rFonts w:cs="Times New Roman"/>
          <w:i/>
        </w:rPr>
        <w:t xml:space="preserve"> on Transnational Comparative, Commercial, Financial and Trade Law Volume 1: Introduction - The New Lex </w:t>
      </w:r>
      <w:proofErr w:type="spellStart"/>
      <w:r w:rsidRPr="00AC1055">
        <w:rPr>
          <w:rFonts w:cs="Times New Roman"/>
          <w:i/>
        </w:rPr>
        <w:t>Mercatoria</w:t>
      </w:r>
      <w:proofErr w:type="spellEnd"/>
      <w:r w:rsidRPr="00AC1055">
        <w:rPr>
          <w:rFonts w:cs="Times New Roman"/>
          <w:i/>
        </w:rPr>
        <w:t xml:space="preserve"> and its Sources</w:t>
      </w:r>
      <w:r w:rsidRPr="00AC1055">
        <w:rPr>
          <w:rFonts w:cs="Times New Roman"/>
        </w:rPr>
        <w:t xml:space="preserve"> (A&amp;C Black 2014) on the influence of international bodies on the harmonisation and convergence in commercial and financial laws; Louis Del </w:t>
      </w:r>
      <w:proofErr w:type="spellStart"/>
      <w:r w:rsidRPr="00AC1055">
        <w:rPr>
          <w:rFonts w:cs="Times New Roman"/>
        </w:rPr>
        <w:t>Duca</w:t>
      </w:r>
      <w:proofErr w:type="spellEnd"/>
      <w:r w:rsidRPr="00AC1055">
        <w:rPr>
          <w:rFonts w:cs="Times New Roman"/>
        </w:rPr>
        <w:t xml:space="preserve">, ‘Developing Global Transnational Harmonization Procedures for the Twenty-First Century: The Accelerating Pace of Common and Civil Law Convergence’ (2007) 42 Texas International Law Journal 625. </w:t>
      </w:r>
    </w:p>
  </w:footnote>
  <w:footnote w:id="228">
    <w:p w14:paraId="0ECAA7C1"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See Reena Aggarwal et al., ‘Does Governance Travel around the World? Evidence from Institutional Investors.’ (2011) 100 Journal of Financial Economics 154. See also CalPERS effect. </w:t>
      </w:r>
    </w:p>
  </w:footnote>
  <w:footnote w:id="229">
    <w:p w14:paraId="0F925AED"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See Susanne </w:t>
      </w:r>
      <w:proofErr w:type="spellStart"/>
      <w:r w:rsidRPr="00AC1055">
        <w:rPr>
          <w:rFonts w:cs="Times New Roman"/>
        </w:rPr>
        <w:t>Soederberg</w:t>
      </w:r>
      <w:proofErr w:type="spellEnd"/>
      <w:r w:rsidRPr="00AC1055">
        <w:rPr>
          <w:rFonts w:cs="Times New Roman"/>
        </w:rPr>
        <w:t xml:space="preserve">, ‘The promotion of Anglo-American corporate governance in the south’, (2003) 24 (1) Third World Quarterly 7–27; Geoffrey Underhill and </w:t>
      </w:r>
      <w:proofErr w:type="spellStart"/>
      <w:r w:rsidRPr="00AC1055">
        <w:rPr>
          <w:rFonts w:cs="Times New Roman"/>
        </w:rPr>
        <w:t>Xiaoke</w:t>
      </w:r>
      <w:proofErr w:type="spellEnd"/>
      <w:r w:rsidRPr="00AC1055">
        <w:rPr>
          <w:rFonts w:cs="Times New Roman"/>
        </w:rPr>
        <w:t xml:space="preserve"> Zhang, ‘Setting the rules: private power, political underpinnings, and legitimacy in global monetary and financial governance’ (2008) 84 (3) International Affairs 535-554.</w:t>
      </w:r>
    </w:p>
  </w:footnote>
  <w:footnote w:id="230">
    <w:p w14:paraId="7CB6F855"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See </w:t>
      </w:r>
      <w:proofErr w:type="spellStart"/>
      <w:r w:rsidRPr="00AC1055">
        <w:rPr>
          <w:rFonts w:cs="Times New Roman"/>
        </w:rPr>
        <w:t>Stilpon</w:t>
      </w:r>
      <w:proofErr w:type="spellEnd"/>
      <w:r w:rsidRPr="00AC1055">
        <w:rPr>
          <w:rFonts w:cs="Times New Roman"/>
        </w:rPr>
        <w:t xml:space="preserve"> Nestor, ‘International Efforts to Improve Corporate Governance: Why and How’ (2001) OECD &lt;http://www.oecd.org/corporate/ca/corporategovernanceprinciples/1932028.pdf &gt; </w:t>
      </w:r>
      <w:proofErr w:type="spellStart"/>
      <w:r w:rsidRPr="00AC1055">
        <w:rPr>
          <w:rFonts w:cs="Times New Roman"/>
        </w:rPr>
        <w:t>accesed</w:t>
      </w:r>
      <w:proofErr w:type="spellEnd"/>
      <w:r w:rsidRPr="00AC1055">
        <w:rPr>
          <w:rFonts w:cs="Times New Roman"/>
        </w:rPr>
        <w:t xml:space="preserve"> 10 May 2015; See also ‘Corporate Governance and Financial Reporting Global Solutions Groups’ (</w:t>
      </w:r>
      <w:r w:rsidRPr="00AC1055">
        <w:rPr>
          <w:rFonts w:cs="Times New Roman"/>
          <w:i/>
        </w:rPr>
        <w:t xml:space="preserve">The World Bank, </w:t>
      </w:r>
      <w:r w:rsidRPr="00AC1055">
        <w:rPr>
          <w:rFonts w:cs="Times New Roman"/>
        </w:rPr>
        <w:t>18 June 2015) &lt; http://www.worldbank.org/en/topic/governance/brief/corporate-governance-and-financial-reporting-global-solutions-groups &gt; accessed 20 June 2015</w:t>
      </w:r>
    </w:p>
  </w:footnote>
  <w:footnote w:id="231">
    <w:p w14:paraId="1261C49A" w14:textId="5CC43C78" w:rsidR="005A260F" w:rsidRPr="00A02B86" w:rsidRDefault="005A260F" w:rsidP="00E6123E">
      <w:pPr>
        <w:pStyle w:val="FootnoteText"/>
        <w:rPr>
          <w:rFonts w:cs="Times New Roman"/>
          <w:lang w:val="it-IT"/>
        </w:rPr>
      </w:pPr>
      <w:r w:rsidRPr="00AC1055">
        <w:rPr>
          <w:rStyle w:val="FootnoteReference"/>
          <w:rFonts w:cs="Times New Roman"/>
        </w:rPr>
        <w:footnoteRef/>
      </w:r>
      <w:r w:rsidRPr="00A02B86">
        <w:rPr>
          <w:rFonts w:cs="Times New Roman"/>
          <w:lang w:val="it-IT"/>
        </w:rPr>
        <w:t xml:space="preserve"> La Porta et al. (n </w:t>
      </w:r>
      <w:r>
        <w:rPr>
          <w:rFonts w:cs="Times New Roman"/>
          <w:lang w:val="it-IT"/>
        </w:rPr>
        <w:t>9</w:t>
      </w:r>
      <w:r w:rsidRPr="00A02B86">
        <w:rPr>
          <w:rFonts w:cs="Times New Roman"/>
          <w:lang w:val="it-IT"/>
        </w:rPr>
        <w:t>)</w:t>
      </w:r>
    </w:p>
  </w:footnote>
  <w:footnote w:id="232">
    <w:p w14:paraId="4BBFF4D4" w14:textId="6F50A673" w:rsidR="005A260F" w:rsidRPr="00AC1055" w:rsidRDefault="005A260F" w:rsidP="00E6123E">
      <w:pPr>
        <w:pStyle w:val="FootnoteText"/>
        <w:rPr>
          <w:rFonts w:cs="Times New Roman"/>
        </w:rPr>
      </w:pPr>
      <w:r w:rsidRPr="00AC1055">
        <w:rPr>
          <w:rStyle w:val="FootnoteReference"/>
          <w:rFonts w:cs="Times New Roman"/>
        </w:rPr>
        <w:footnoteRef/>
      </w:r>
      <w:r>
        <w:rPr>
          <w:rFonts w:cs="Times New Roman"/>
        </w:rPr>
        <w:t xml:space="preserve"> See </w:t>
      </w:r>
      <w:proofErr w:type="spellStart"/>
      <w:r w:rsidRPr="00AC1055">
        <w:rPr>
          <w:rFonts w:cs="Times New Roman"/>
        </w:rPr>
        <w:t>Hansmann</w:t>
      </w:r>
      <w:proofErr w:type="spellEnd"/>
      <w:r w:rsidRPr="00AC1055">
        <w:rPr>
          <w:rFonts w:cs="Times New Roman"/>
        </w:rPr>
        <w:t xml:space="preserve"> and </w:t>
      </w:r>
      <w:proofErr w:type="spellStart"/>
      <w:r>
        <w:rPr>
          <w:rFonts w:cs="Times New Roman"/>
        </w:rPr>
        <w:t>Kraakman</w:t>
      </w:r>
      <w:proofErr w:type="spellEnd"/>
      <w:r>
        <w:rPr>
          <w:rFonts w:cs="Times New Roman"/>
        </w:rPr>
        <w:t xml:space="preserve"> (n 46)</w:t>
      </w:r>
      <w:r w:rsidRPr="00AC1055">
        <w:rPr>
          <w:rFonts w:cs="Times New Roman"/>
        </w:rPr>
        <w:t>.</w:t>
      </w:r>
    </w:p>
  </w:footnote>
  <w:footnote w:id="233">
    <w:p w14:paraId="1E203B4A"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Law, Finance &amp; Development, CBR (2005-2009) &lt;http://www.cbr.cam.ac.uk/research/research-projects/completed-projects/law-finance-development/&gt; accessed 10 May 2015.</w:t>
      </w:r>
    </w:p>
  </w:footnote>
  <w:footnote w:id="234">
    <w:p w14:paraId="558F4A4B"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Priya</w:t>
      </w:r>
      <w:proofErr w:type="spellEnd"/>
      <w:r w:rsidRPr="00AC1055">
        <w:rPr>
          <w:rFonts w:cs="Times New Roman"/>
        </w:rPr>
        <w:t xml:space="preserve"> </w:t>
      </w:r>
      <w:proofErr w:type="spellStart"/>
      <w:r w:rsidRPr="00AC1055">
        <w:rPr>
          <w:rFonts w:cs="Times New Roman"/>
        </w:rPr>
        <w:t>Lele</w:t>
      </w:r>
      <w:proofErr w:type="spellEnd"/>
      <w:r w:rsidRPr="00AC1055">
        <w:rPr>
          <w:rFonts w:cs="Times New Roman"/>
        </w:rPr>
        <w:t xml:space="preserve"> and Mathias </w:t>
      </w:r>
      <w:proofErr w:type="spellStart"/>
      <w:r w:rsidRPr="00AC1055">
        <w:rPr>
          <w:rFonts w:cs="Times New Roman"/>
        </w:rPr>
        <w:t>Siems</w:t>
      </w:r>
      <w:proofErr w:type="spellEnd"/>
      <w:r w:rsidRPr="00AC1055">
        <w:rPr>
          <w:rFonts w:cs="Times New Roman"/>
        </w:rPr>
        <w:t xml:space="preserve">, ‘Shareholder protection: a </w:t>
      </w:r>
      <w:proofErr w:type="spellStart"/>
      <w:r w:rsidRPr="00AC1055">
        <w:rPr>
          <w:rFonts w:cs="Times New Roman"/>
        </w:rPr>
        <w:t>leximetric</w:t>
      </w:r>
      <w:proofErr w:type="spellEnd"/>
      <w:r w:rsidRPr="00AC1055">
        <w:rPr>
          <w:rFonts w:cs="Times New Roman"/>
        </w:rPr>
        <w:t xml:space="preserve"> approach’ (2007) 7 Journal of Corporate Law Studies 17-50, data is available at &lt; http://www.cbr.cam.ac.uk/fileadmin/user_upload/centre-for-business-research/downloads/research-projects-output/Shareholder%20protection%20index%20data%205%20countries .</w:t>
      </w:r>
      <w:proofErr w:type="spellStart"/>
      <w:r w:rsidRPr="00AC1055">
        <w:rPr>
          <w:rFonts w:cs="Times New Roman"/>
        </w:rPr>
        <w:t>xls</w:t>
      </w:r>
      <w:proofErr w:type="spellEnd"/>
      <w:r w:rsidRPr="00AC1055">
        <w:rPr>
          <w:rFonts w:cs="Times New Roman"/>
        </w:rPr>
        <w:t>&gt; accessed 10 May 2015</w:t>
      </w:r>
    </w:p>
  </w:footnote>
  <w:footnote w:id="235">
    <w:p w14:paraId="7521F2DD"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&lt; http://www.cbr.cam.ac.uk/fileadmin/user_upload/centre-for-business-research/downloads/research-projects-output/Shareholder%20protection%20index%20data%2025%20countries.xls &gt; accessed 10 May 2015</w:t>
      </w:r>
    </w:p>
  </w:footnote>
  <w:footnote w:id="236">
    <w:p w14:paraId="326EFD66" w14:textId="3C90F6C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566F90">
        <w:rPr>
          <w:rFonts w:cs="Times New Roman"/>
        </w:rPr>
        <w:t>Priya</w:t>
      </w:r>
      <w:proofErr w:type="spellEnd"/>
      <w:r w:rsidRPr="00566F90">
        <w:rPr>
          <w:rFonts w:cs="Times New Roman"/>
        </w:rPr>
        <w:t xml:space="preserve"> </w:t>
      </w:r>
      <w:r>
        <w:rPr>
          <w:rFonts w:cs="Times New Roman"/>
        </w:rPr>
        <w:t xml:space="preserve">and </w:t>
      </w:r>
      <w:proofErr w:type="spellStart"/>
      <w:r>
        <w:rPr>
          <w:rFonts w:cs="Times New Roman"/>
        </w:rPr>
        <w:t>Siems</w:t>
      </w:r>
      <w:proofErr w:type="spellEnd"/>
      <w:r>
        <w:rPr>
          <w:rFonts w:cs="Times New Roman"/>
        </w:rPr>
        <w:t xml:space="preserve"> </w:t>
      </w:r>
      <w:r w:rsidRPr="00566F90">
        <w:rPr>
          <w:rFonts w:cs="Times New Roman"/>
        </w:rPr>
        <w:t>(n 2</w:t>
      </w:r>
      <w:r>
        <w:rPr>
          <w:rFonts w:cs="Times New Roman"/>
        </w:rPr>
        <w:t>30</w:t>
      </w:r>
      <w:r w:rsidRPr="00566F90">
        <w:rPr>
          <w:rFonts w:cs="Times New Roman"/>
        </w:rPr>
        <w:t>) 3</w:t>
      </w:r>
      <w:r w:rsidRPr="00AC1055">
        <w:rPr>
          <w:rFonts w:cs="Times New Roman"/>
        </w:rPr>
        <w:t>3</w:t>
      </w:r>
    </w:p>
  </w:footnote>
  <w:footnote w:id="237">
    <w:p w14:paraId="66FC084C" w14:textId="3359205C"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Gianni De </w:t>
      </w:r>
      <w:proofErr w:type="spellStart"/>
      <w:r w:rsidRPr="00AC1055">
        <w:rPr>
          <w:rFonts w:cs="Times New Roman"/>
        </w:rPr>
        <w:t>Nicolò</w:t>
      </w:r>
      <w:proofErr w:type="spellEnd"/>
      <w:r w:rsidRPr="00AC1055">
        <w:rPr>
          <w:rFonts w:cs="Times New Roman"/>
        </w:rPr>
        <w:t xml:space="preserve">, Luc </w:t>
      </w:r>
      <w:proofErr w:type="spellStart"/>
      <w:r w:rsidRPr="00AC1055">
        <w:rPr>
          <w:rFonts w:cs="Times New Roman"/>
        </w:rPr>
        <w:t>Laeven</w:t>
      </w:r>
      <w:proofErr w:type="spellEnd"/>
      <w:r w:rsidRPr="00AC1055">
        <w:rPr>
          <w:rFonts w:cs="Times New Roman"/>
        </w:rPr>
        <w:t>, and Kenichi Ueda, ‘Corporate Governance Quality: Trends and Real Effects’ (2006) IMF Working Paper WP/06/293 &lt; https://www.imf.org/external/pubs/ft/wp/2006/wp06293.pdf&gt;</w:t>
      </w:r>
      <w:r>
        <w:rPr>
          <w:rFonts w:cs="Times New Roman"/>
        </w:rPr>
        <w:t xml:space="preserve"> </w:t>
      </w:r>
      <w:r w:rsidRPr="0045518D">
        <w:rPr>
          <w:rFonts w:cs="Times New Roman"/>
        </w:rPr>
        <w:t>published at (2008) 17 (2) Journal of Financial Intermediation 198</w:t>
      </w:r>
    </w:p>
  </w:footnote>
  <w:footnote w:id="238">
    <w:p w14:paraId="6DD72812"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ibid 20</w:t>
      </w:r>
    </w:p>
  </w:footnote>
  <w:footnote w:id="239">
    <w:p w14:paraId="722919EC"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Marina </w:t>
      </w:r>
      <w:proofErr w:type="spellStart"/>
      <w:r w:rsidRPr="00AC1055">
        <w:rPr>
          <w:rFonts w:cs="Times New Roman"/>
        </w:rPr>
        <w:t>Martynova</w:t>
      </w:r>
      <w:proofErr w:type="spellEnd"/>
      <w:r w:rsidRPr="00AC1055">
        <w:rPr>
          <w:rFonts w:cs="Times New Roman"/>
        </w:rPr>
        <w:t xml:space="preserve"> and Luc </w:t>
      </w:r>
      <w:proofErr w:type="spellStart"/>
      <w:r w:rsidRPr="00AC1055">
        <w:rPr>
          <w:rFonts w:cs="Times New Roman"/>
        </w:rPr>
        <w:t>Renneboog</w:t>
      </w:r>
      <w:proofErr w:type="spellEnd"/>
      <w:r w:rsidRPr="00AC1055">
        <w:rPr>
          <w:rFonts w:cs="Times New Roman"/>
        </w:rPr>
        <w:t xml:space="preserve">, ‘A Corporate Governance Index: Convergence and Diversity of National Corporate Governance Regulations’ (2010) </w:t>
      </w:r>
      <w:proofErr w:type="spellStart"/>
      <w:r w:rsidRPr="00AC1055">
        <w:rPr>
          <w:rFonts w:cs="Times New Roman"/>
        </w:rPr>
        <w:t>CentER</w:t>
      </w:r>
      <w:proofErr w:type="spellEnd"/>
      <w:r w:rsidRPr="00AC1055">
        <w:rPr>
          <w:rFonts w:cs="Times New Roman"/>
        </w:rPr>
        <w:t xml:space="preserve"> Discussion Paper Series No. 2010-17 &lt;http://ssrn.com/abstract=1557627 &gt;</w:t>
      </w:r>
    </w:p>
  </w:footnote>
  <w:footnote w:id="240">
    <w:p w14:paraId="2DD4556B"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ibid 24</w:t>
      </w:r>
    </w:p>
  </w:footnote>
  <w:footnote w:id="241">
    <w:p w14:paraId="45DDA5E3" w14:textId="3DA0525B"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Bernard Black</w:t>
      </w:r>
      <w:r>
        <w:rPr>
          <w:rFonts w:cs="Times New Roman"/>
        </w:rPr>
        <w:t xml:space="preserve"> et al.</w:t>
      </w:r>
      <w:r w:rsidRPr="00AC1055">
        <w:rPr>
          <w:rFonts w:cs="Times New Roman"/>
        </w:rPr>
        <w:t>,</w:t>
      </w:r>
      <w:r>
        <w:rPr>
          <w:rFonts w:cs="Times New Roman"/>
        </w:rPr>
        <w:t xml:space="preserve"> ‘</w:t>
      </w:r>
      <w:r w:rsidRPr="00AC1055">
        <w:rPr>
          <w:rFonts w:cs="Times New Roman"/>
        </w:rPr>
        <w:t xml:space="preserve">Methods for </w:t>
      </w:r>
      <w:proofErr w:type="spellStart"/>
      <w:r w:rsidRPr="00AC1055">
        <w:rPr>
          <w:rFonts w:cs="Times New Roman"/>
        </w:rPr>
        <w:t>Multicountry</w:t>
      </w:r>
      <w:proofErr w:type="spellEnd"/>
      <w:r w:rsidRPr="00AC1055">
        <w:rPr>
          <w:rFonts w:cs="Times New Roman"/>
        </w:rPr>
        <w:t xml:space="preserve"> Studies of Corporate Governance (and Evidence from the BRIKT Countries)’ (2013) </w:t>
      </w:r>
      <w:proofErr w:type="spellStart"/>
      <w:r w:rsidRPr="00AC1055">
        <w:rPr>
          <w:rFonts w:cs="Times New Roman"/>
        </w:rPr>
        <w:t>Northwestern</w:t>
      </w:r>
      <w:proofErr w:type="spellEnd"/>
      <w:r w:rsidRPr="00AC1055">
        <w:rPr>
          <w:rFonts w:cs="Times New Roman"/>
        </w:rPr>
        <w:t xml:space="preserve"> University School of Law </w:t>
      </w:r>
      <w:proofErr w:type="spellStart"/>
      <w:r w:rsidRPr="00AC1055">
        <w:rPr>
          <w:rFonts w:cs="Times New Roman"/>
        </w:rPr>
        <w:t>Law</w:t>
      </w:r>
      <w:proofErr w:type="spellEnd"/>
      <w:r w:rsidRPr="00AC1055">
        <w:rPr>
          <w:rFonts w:cs="Times New Roman"/>
        </w:rPr>
        <w:t xml:space="preserve"> and Economics Research Paper No. 13-05 available at &lt; http://ssrn.com/abstract=2219525 &gt; accessed 10 May 2015</w:t>
      </w:r>
      <w:r>
        <w:rPr>
          <w:rFonts w:cs="Times New Roman"/>
        </w:rPr>
        <w:t xml:space="preserve"> </w:t>
      </w:r>
      <w:r w:rsidRPr="00C61B9C">
        <w:rPr>
          <w:rFonts w:cs="Times New Roman"/>
        </w:rPr>
        <w:t>later published at (2014) 183 (2) Journal of Econometrics 230</w:t>
      </w:r>
      <w:r>
        <w:rPr>
          <w:rFonts w:cs="Times New Roman"/>
        </w:rPr>
        <w:t>.</w:t>
      </w:r>
    </w:p>
  </w:footnote>
  <w:footnote w:id="242">
    <w:p w14:paraId="6331E242"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ibid Table 3</w:t>
      </w:r>
    </w:p>
  </w:footnote>
  <w:footnote w:id="243">
    <w:p w14:paraId="0BC1F44B" w14:textId="1379A7DF"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Dionysia </w:t>
      </w:r>
      <w:proofErr w:type="spellStart"/>
      <w:r w:rsidRPr="00AC1055">
        <w:rPr>
          <w:rFonts w:cs="Times New Roman"/>
        </w:rPr>
        <w:t>Katelouzou</w:t>
      </w:r>
      <w:proofErr w:type="spellEnd"/>
      <w:r w:rsidRPr="00AC1055">
        <w:rPr>
          <w:rFonts w:cs="Times New Roman"/>
        </w:rPr>
        <w:t xml:space="preserve"> and Mathias </w:t>
      </w:r>
      <w:proofErr w:type="spellStart"/>
      <w:r w:rsidRPr="00AC1055">
        <w:rPr>
          <w:rFonts w:cs="Times New Roman"/>
        </w:rPr>
        <w:t>Siems</w:t>
      </w:r>
      <w:proofErr w:type="spellEnd"/>
      <w:r w:rsidRPr="00AC1055">
        <w:rPr>
          <w:rFonts w:cs="Times New Roman"/>
        </w:rPr>
        <w:t xml:space="preserve">, ‘Disappearing Paradigms in Shareholder Protection: </w:t>
      </w:r>
      <w:proofErr w:type="spellStart"/>
      <w:r w:rsidRPr="00AC1055">
        <w:rPr>
          <w:rFonts w:cs="Times New Roman"/>
        </w:rPr>
        <w:t>Leximetric</w:t>
      </w:r>
      <w:proofErr w:type="spellEnd"/>
      <w:r w:rsidRPr="00AC1055">
        <w:rPr>
          <w:rFonts w:cs="Times New Roman"/>
        </w:rPr>
        <w:t xml:space="preserve"> Evidence for 30 Countries, 1990-2013’ (2015) King's College London Law School Research Paper No. 2015-21 &lt; http://ssrn.com/abstract=2579832 &gt; accessed 10 May 2015</w:t>
      </w:r>
      <w:r>
        <w:rPr>
          <w:rFonts w:cs="Times New Roman"/>
        </w:rPr>
        <w:t xml:space="preserve"> </w:t>
      </w:r>
      <w:r w:rsidRPr="007160BC">
        <w:rPr>
          <w:rFonts w:cs="Times New Roman"/>
        </w:rPr>
        <w:t>published at (2015) 15 Journal of Corporate Law Studies 127</w:t>
      </w:r>
    </w:p>
  </w:footnote>
  <w:footnote w:id="244">
    <w:p w14:paraId="2AC58D75"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ibid 33</w:t>
      </w:r>
    </w:p>
  </w:footnote>
  <w:footnote w:id="245">
    <w:p w14:paraId="77D07B6C"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ibid</w:t>
      </w:r>
    </w:p>
  </w:footnote>
  <w:footnote w:id="246">
    <w:p w14:paraId="141BC7BD" w14:textId="3E1FC373"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John Armour</w:t>
      </w:r>
      <w:r>
        <w:rPr>
          <w:rFonts w:cs="Times New Roman"/>
        </w:rPr>
        <w:t>, Simon Deakin</w:t>
      </w:r>
      <w:r w:rsidRPr="00AC1055">
        <w:rPr>
          <w:rFonts w:cs="Times New Roman"/>
        </w:rPr>
        <w:t xml:space="preserve"> et al., ‘Law and Financial Development: What We Are Learning from Time-Series Evidence’ (2010) ECGI Working Paper No.148/2010 available at &lt;http://ssrn.com/abstract=1580120&gt;</w:t>
      </w:r>
      <w:r>
        <w:rPr>
          <w:rFonts w:cs="Times New Roman"/>
        </w:rPr>
        <w:t xml:space="preserve"> </w:t>
      </w:r>
      <w:r w:rsidRPr="00FE1445">
        <w:rPr>
          <w:rFonts w:cs="Times New Roman"/>
        </w:rPr>
        <w:t>published at (2009) Brigham Young University Law Review 1435</w:t>
      </w:r>
    </w:p>
  </w:footnote>
  <w:footnote w:id="247">
    <w:p w14:paraId="08CA478C"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ibid 34</w:t>
      </w:r>
    </w:p>
  </w:footnote>
  <w:footnote w:id="248">
    <w:p w14:paraId="53278DF1"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Chandra Erdman and John W. Emerson, ‘</w:t>
      </w:r>
      <w:proofErr w:type="spellStart"/>
      <w:r w:rsidRPr="00AC1055">
        <w:rPr>
          <w:rFonts w:cs="Times New Roman"/>
        </w:rPr>
        <w:t>bcp</w:t>
      </w:r>
      <w:proofErr w:type="spellEnd"/>
      <w:r w:rsidRPr="00AC1055">
        <w:rPr>
          <w:rFonts w:cs="Times New Roman"/>
        </w:rPr>
        <w:t xml:space="preserve">: an R package for performing a Bayesian analysis of change point problems’ (2007) 23 (3) Journal of Statistical Software 1-13 available at &lt;http://www.jstatsoft.org/v23/i03/paper&gt; </w:t>
      </w:r>
    </w:p>
  </w:footnote>
  <w:footnote w:id="249">
    <w:p w14:paraId="2F7D265A" w14:textId="77777777"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Adapted from Jessica L. Blois et al., ‘A methodological framework for assessing and reducing temporal uncertainty in </w:t>
      </w:r>
      <w:proofErr w:type="spellStart"/>
      <w:r w:rsidRPr="00AC1055">
        <w:rPr>
          <w:rFonts w:cs="Times New Roman"/>
        </w:rPr>
        <w:t>paleovegetation</w:t>
      </w:r>
      <w:proofErr w:type="spellEnd"/>
      <w:r w:rsidRPr="00AC1055">
        <w:rPr>
          <w:rFonts w:cs="Times New Roman"/>
        </w:rPr>
        <w:t xml:space="preserve"> mapping from late-Quaternary pollen records.’ (2011) 30 (15) Quaternary Science Reviews 1926-1939. See also Peter John et al., </w:t>
      </w:r>
      <w:r w:rsidRPr="00AC1055">
        <w:rPr>
          <w:rFonts w:cs="Times New Roman"/>
          <w:i/>
        </w:rPr>
        <w:t>Policy Agendas in British Politics</w:t>
      </w:r>
      <w:r w:rsidRPr="00AC1055">
        <w:rPr>
          <w:rFonts w:cs="Times New Roman"/>
        </w:rPr>
        <w:t xml:space="preserve"> (Palgrave Macmillan 2013) 127</w:t>
      </w:r>
    </w:p>
  </w:footnote>
  <w:footnote w:id="250">
    <w:p w14:paraId="6F350F54" w14:textId="2057F83A" w:rsidR="005A260F" w:rsidRPr="00AC1055" w:rsidRDefault="005A260F" w:rsidP="00E6123E">
      <w:pPr>
        <w:pStyle w:val="FootnoteText"/>
        <w:rPr>
          <w:rFonts w:cs="Times New Roman"/>
        </w:rPr>
      </w:pPr>
      <w:r w:rsidRPr="00AC1055">
        <w:rPr>
          <w:rStyle w:val="FootnoteReference"/>
          <w:rFonts w:cs="Times New Roman"/>
        </w:rPr>
        <w:footnoteRef/>
      </w:r>
      <w:r w:rsidRPr="00AC1055">
        <w:rPr>
          <w:rFonts w:cs="Times New Roman"/>
        </w:rPr>
        <w:t xml:space="preserve"> Erdman and Emerson (n </w:t>
      </w:r>
      <w:r>
        <w:rPr>
          <w:rFonts w:cs="Times New Roman"/>
        </w:rPr>
        <w:t>244</w:t>
      </w:r>
      <w:r w:rsidRPr="00AC1055">
        <w:rPr>
          <w:rFonts w:cs="Times New Roman"/>
        </w:rPr>
        <w:t>) 5</w:t>
      </w:r>
    </w:p>
  </w:footnote>
  <w:footnote w:id="251">
    <w:p w14:paraId="6199F20A" w14:textId="0853F94B" w:rsidR="005A260F" w:rsidRPr="00AC1055" w:rsidRDefault="005A260F" w:rsidP="00710A49">
      <w:pPr>
        <w:pStyle w:val="FootnoteText"/>
        <w:rPr>
          <w:rFonts w:cs="Times New Roman"/>
        </w:rPr>
      </w:pPr>
      <w:r w:rsidRPr="00AC1055">
        <w:rPr>
          <w:rStyle w:val="FootnoteReference"/>
          <w:rFonts w:cs="Times New Roman"/>
        </w:rPr>
        <w:footnoteRef/>
      </w:r>
      <w:r>
        <w:t xml:space="preserve"> Please note that the entire convergence plots along with the replication images for country based models are available in DVD1</w:t>
      </w:r>
    </w:p>
  </w:footnote>
  <w:footnote w:id="252">
    <w:p w14:paraId="3230BE8D"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Bovespa’s</w:t>
      </w:r>
      <w:proofErr w:type="spellEnd"/>
      <w:r w:rsidRPr="00AC1055">
        <w:rPr>
          <w:rFonts w:cs="Times New Roman"/>
        </w:rPr>
        <w:t xml:space="preserve"> Corporate Governance Special Listing Segments: three listing segments for firms voluntarily committing themselves to higher standards : Level 1, Level 2, and Novo Mercado (equivalent to a Level 3). See </w:t>
      </w:r>
      <w:proofErr w:type="spellStart"/>
      <w:r w:rsidRPr="00AC1055">
        <w:rPr>
          <w:rFonts w:cs="Times New Roman"/>
        </w:rPr>
        <w:t>Prof.</w:t>
      </w:r>
      <w:proofErr w:type="spellEnd"/>
      <w:r w:rsidRPr="00AC1055">
        <w:rPr>
          <w:rFonts w:cs="Times New Roman"/>
        </w:rPr>
        <w:t xml:space="preserve"> Alexandre Di </w:t>
      </w:r>
      <w:proofErr w:type="spellStart"/>
      <w:r w:rsidRPr="00AC1055">
        <w:rPr>
          <w:rFonts w:cs="Times New Roman"/>
        </w:rPr>
        <w:t>Miceli</w:t>
      </w:r>
      <w:proofErr w:type="spellEnd"/>
      <w:r w:rsidRPr="00AC1055">
        <w:rPr>
          <w:rFonts w:cs="Times New Roman"/>
        </w:rPr>
        <w:t xml:space="preserve"> da </w:t>
      </w:r>
      <w:proofErr w:type="spellStart"/>
      <w:r w:rsidRPr="00AC1055">
        <w:rPr>
          <w:rFonts w:cs="Times New Roman"/>
        </w:rPr>
        <w:t>Silveira</w:t>
      </w:r>
      <w:proofErr w:type="spellEnd"/>
      <w:r w:rsidRPr="00AC1055">
        <w:rPr>
          <w:rFonts w:cs="Times New Roman"/>
        </w:rPr>
        <w:t>, ‘Historical Perspective and main CG landmarks in Brazil’ &lt;http://ssrn.com/abstract=1998306&gt;; see also Bernard S. Bla</w:t>
      </w:r>
      <w:r>
        <w:rPr>
          <w:rFonts w:cs="Times New Roman"/>
        </w:rPr>
        <w:t xml:space="preserve">ck, Antonio </w:t>
      </w:r>
      <w:proofErr w:type="spellStart"/>
      <w:r>
        <w:rPr>
          <w:rFonts w:cs="Times New Roman"/>
        </w:rPr>
        <w:t>Gledson</w:t>
      </w:r>
      <w:proofErr w:type="spellEnd"/>
      <w:r>
        <w:rPr>
          <w:rFonts w:cs="Times New Roman"/>
        </w:rPr>
        <w:t xml:space="preserve"> De </w:t>
      </w:r>
      <w:proofErr w:type="spellStart"/>
      <w:r>
        <w:rPr>
          <w:rFonts w:cs="Times New Roman"/>
        </w:rPr>
        <w:t>Carvalho</w:t>
      </w:r>
      <w:proofErr w:type="spellEnd"/>
      <w:r w:rsidRPr="00AC1055">
        <w:rPr>
          <w:rFonts w:cs="Times New Roman"/>
        </w:rPr>
        <w:t xml:space="preserve"> and Erica </w:t>
      </w:r>
      <w:proofErr w:type="spellStart"/>
      <w:r w:rsidRPr="00AC1055">
        <w:rPr>
          <w:rFonts w:cs="Times New Roman"/>
        </w:rPr>
        <w:t>Gorga</w:t>
      </w:r>
      <w:proofErr w:type="spellEnd"/>
      <w:r w:rsidRPr="00AC1055">
        <w:rPr>
          <w:rFonts w:cs="Times New Roman"/>
        </w:rPr>
        <w:t>, ‘Corporate governance in Brazil.’ (2010) 11 (1) Emerging Markets Review 21-38 at 23,24.</w:t>
      </w:r>
    </w:p>
  </w:footnote>
  <w:footnote w:id="253">
    <w:p w14:paraId="130AE57E"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Securities Law of the People's Republic of China &lt; http://www.npc.gov.cn/englishnpc/Law/2007-12/11/content_1383569.htm&gt;</w:t>
      </w:r>
    </w:p>
  </w:footnote>
  <w:footnote w:id="254">
    <w:p w14:paraId="2412C414"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Law 18,876</w:t>
      </w:r>
    </w:p>
  </w:footnote>
  <w:footnote w:id="255">
    <w:p w14:paraId="7EF8FAAB"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Law Number 20,382</w:t>
      </w:r>
    </w:p>
  </w:footnote>
  <w:footnote w:id="256">
    <w:p w14:paraId="30B5764C"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Héctor</w:t>
      </w:r>
      <w:proofErr w:type="spellEnd"/>
      <w:r w:rsidRPr="00AC1055">
        <w:rPr>
          <w:rFonts w:cs="Times New Roman"/>
        </w:rPr>
        <w:t xml:space="preserve"> </w:t>
      </w:r>
      <w:proofErr w:type="spellStart"/>
      <w:r w:rsidRPr="00AC1055">
        <w:rPr>
          <w:rFonts w:cs="Times New Roman"/>
        </w:rPr>
        <w:t>Lehuedé</w:t>
      </w:r>
      <w:proofErr w:type="spellEnd"/>
      <w:r w:rsidRPr="00AC1055">
        <w:rPr>
          <w:rFonts w:cs="Times New Roman"/>
        </w:rPr>
        <w:t>, ‘Colombian SOEs: A Review Against the OECD Guidelines on Corporate Governance of State-owned Enterprises’ (2013) OECD Corporate Governance Working Papers No. 12, OECD Publishing. &lt;http://dx.doi.org/10.1787/5k3v1ts5s4f6-en&gt;</w:t>
      </w:r>
    </w:p>
  </w:footnote>
  <w:footnote w:id="257">
    <w:p w14:paraId="3C8804F8"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See generally Andrés Bernal, ‘Country Report: Voluntary Corporate Governance Code in Colombia’ (2007) &lt;http://www.oecd.org/corporate/ca/corporategovernanceprinciples/39741294.pdf&gt;</w:t>
      </w:r>
    </w:p>
  </w:footnote>
  <w:footnote w:id="258">
    <w:p w14:paraId="4933833F"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Jose E. Gomez-Gonzalez and Nicholas M. Kiefer, ‘Bank failure: Evidence from the Colombian financial crisis’ (2007) OCC Economics Working Paper 2007-2 &lt; http://www.occ.gov/publications/publications-by-type/occ-working-papers/2008-2000/wp2007-2.pdf&gt;</w:t>
      </w:r>
    </w:p>
  </w:footnote>
  <w:footnote w:id="259">
    <w:p w14:paraId="583EE9F7"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SEBI, Report of the Kumar </w:t>
      </w:r>
      <w:proofErr w:type="spellStart"/>
      <w:r w:rsidRPr="00AC1055">
        <w:rPr>
          <w:rFonts w:cs="Times New Roman"/>
        </w:rPr>
        <w:t>Mangalam</w:t>
      </w:r>
      <w:proofErr w:type="spellEnd"/>
      <w:r w:rsidRPr="00AC1055">
        <w:rPr>
          <w:rFonts w:cs="Times New Roman"/>
        </w:rPr>
        <w:t xml:space="preserve"> Birla Committee on Corporate Governance (2000) &lt;http://www.ecgi.org/codes/documents/corpgov.pdf&gt;</w:t>
      </w:r>
    </w:p>
  </w:footnote>
  <w:footnote w:id="260">
    <w:p w14:paraId="00A2A005"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SEBI, Draft Report of the Kumar </w:t>
      </w:r>
      <w:proofErr w:type="spellStart"/>
      <w:r w:rsidRPr="00AC1055">
        <w:rPr>
          <w:rFonts w:cs="Times New Roman"/>
        </w:rPr>
        <w:t>Mangalam</w:t>
      </w:r>
      <w:proofErr w:type="spellEnd"/>
      <w:r w:rsidRPr="00AC1055">
        <w:rPr>
          <w:rFonts w:cs="Times New Roman"/>
        </w:rPr>
        <w:t xml:space="preserve"> Committee on Corporate Governance (1999) &lt;http://www.ecgi.org/codes/documents/draft_report.pdf&gt;</w:t>
      </w:r>
    </w:p>
  </w:footnote>
  <w:footnote w:id="261">
    <w:p w14:paraId="79E199E2" w14:textId="77777777" w:rsidR="005A260F" w:rsidRPr="00D830D0" w:rsidRDefault="005A260F" w:rsidP="00413229">
      <w:pPr>
        <w:pStyle w:val="FootnoteText"/>
        <w:rPr>
          <w:rFonts w:cs="Times New Roman"/>
          <w:lang w:val="it-IT"/>
        </w:rPr>
      </w:pPr>
      <w:r w:rsidRPr="00AC1055">
        <w:rPr>
          <w:rStyle w:val="FootnoteReference"/>
          <w:rFonts w:cs="Times New Roman"/>
        </w:rPr>
        <w:footnoteRef/>
      </w:r>
      <w:r w:rsidRPr="00D830D0">
        <w:rPr>
          <w:rFonts w:cs="Times New Roman"/>
          <w:lang w:val="it-IT"/>
        </w:rPr>
        <w:t xml:space="preserve"> Desirable Corporate Governance in India - A Code (1998) &lt;http://www.ecgi.org/codes/documents/desirable_corporate_governance240902.pdf&gt;</w:t>
      </w:r>
    </w:p>
  </w:footnote>
  <w:footnote w:id="262">
    <w:p w14:paraId="5ED96A89"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Clause 49, SEBI Listing Regulation &lt;http://www.sebi.gov.in/commreport/clause49.html&gt; &lt;http://indianboards.com/files/clause_49.pdf&gt;</w:t>
      </w:r>
    </w:p>
  </w:footnote>
  <w:footnote w:id="263">
    <w:p w14:paraId="55D903AD"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Ministry of Corporate Affairs, Government of India, ‘Corporate Governance Voluntary Guidelines’ (2009) &lt;http://www.ecgi.org/codes/documents/cg_voluntary_guidelines_2009_india_24dec2009_en.pdf&gt;</w:t>
      </w:r>
    </w:p>
  </w:footnote>
  <w:footnote w:id="264">
    <w:p w14:paraId="016EF1FF"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Malayendu</w:t>
      </w:r>
      <w:proofErr w:type="spellEnd"/>
      <w:r w:rsidRPr="00AC1055">
        <w:rPr>
          <w:rFonts w:cs="Times New Roman"/>
        </w:rPr>
        <w:t xml:space="preserve"> </w:t>
      </w:r>
      <w:proofErr w:type="spellStart"/>
      <w:r w:rsidRPr="00AC1055">
        <w:rPr>
          <w:rFonts w:cs="Times New Roman"/>
        </w:rPr>
        <w:t>Saha</w:t>
      </w:r>
      <w:proofErr w:type="spellEnd"/>
      <w:r w:rsidRPr="00AC1055">
        <w:rPr>
          <w:rFonts w:cs="Times New Roman"/>
        </w:rPr>
        <w:t>, ‘Indian Economy and Growth of Financial Market in the Contemporary Phase of Globalization Era’ (2012) 1 International Journal of Developing Societies 1-10.</w:t>
      </w:r>
    </w:p>
  </w:footnote>
  <w:footnote w:id="265">
    <w:p w14:paraId="18467791"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National Committee on Governance, ‘Code of Good Corporate Governance’ (2006) &lt;http://www.ecgi.org/codes/documents/indonesia_cg_2006_en.pdf&gt;</w:t>
      </w:r>
    </w:p>
  </w:footnote>
  <w:footnote w:id="266">
    <w:p w14:paraId="6265A46E"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See IFC, </w:t>
      </w:r>
      <w:r w:rsidRPr="00AC1055">
        <w:rPr>
          <w:rFonts w:cs="Times New Roman"/>
          <w:i/>
        </w:rPr>
        <w:t>The Indonesia Corporate governance manual</w:t>
      </w:r>
      <w:r w:rsidRPr="00AC1055">
        <w:rPr>
          <w:rFonts w:cs="Times New Roman"/>
        </w:rPr>
        <w:t xml:space="preserve"> (IFC 2014) 35 &lt;http://www.ifc.org/wps/wcm/connect/64185f0042cc3ab0b145fd384c61d9f7/Indonesia_CG_Manual_Feb2014.pdf?MOD=AJPERES&gt;</w:t>
      </w:r>
    </w:p>
  </w:footnote>
  <w:footnote w:id="267">
    <w:p w14:paraId="7062027C"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See generally </w:t>
      </w:r>
      <w:proofErr w:type="spellStart"/>
      <w:r w:rsidRPr="00AC1055">
        <w:rPr>
          <w:rFonts w:cs="Times New Roman"/>
        </w:rPr>
        <w:t>Tulus</w:t>
      </w:r>
      <w:proofErr w:type="spellEnd"/>
      <w:r w:rsidRPr="00AC1055">
        <w:rPr>
          <w:rFonts w:cs="Times New Roman"/>
        </w:rPr>
        <w:t xml:space="preserve"> T. H. </w:t>
      </w:r>
      <w:proofErr w:type="spellStart"/>
      <w:r w:rsidRPr="00AC1055">
        <w:rPr>
          <w:rFonts w:cs="Times New Roman"/>
        </w:rPr>
        <w:t>Tambunan</w:t>
      </w:r>
      <w:proofErr w:type="spellEnd"/>
      <w:r w:rsidRPr="00AC1055">
        <w:rPr>
          <w:rFonts w:cs="Times New Roman"/>
        </w:rPr>
        <w:t>, ‘The Indonesian Experience with Two Big Economic Crises’ (2010) Modern Economy 156-167 &lt;www.scirp.org/journal/PaperDownload.aspx?paperID=3095&gt;</w:t>
      </w:r>
    </w:p>
  </w:footnote>
  <w:footnote w:id="268">
    <w:p w14:paraId="7B065491"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Estudio</w:t>
      </w:r>
      <w:proofErr w:type="spellEnd"/>
      <w:r w:rsidRPr="00AC1055">
        <w:rPr>
          <w:rFonts w:cs="Times New Roman"/>
        </w:rPr>
        <w:t xml:space="preserve"> </w:t>
      </w:r>
      <w:proofErr w:type="spellStart"/>
      <w:r w:rsidRPr="00AC1055">
        <w:rPr>
          <w:rFonts w:cs="Times New Roman"/>
        </w:rPr>
        <w:t>Olaechea</w:t>
      </w:r>
      <w:proofErr w:type="spellEnd"/>
      <w:r w:rsidRPr="00AC1055">
        <w:rPr>
          <w:rFonts w:cs="Times New Roman"/>
        </w:rPr>
        <w:t>, ‘Lex Mundi Guide to Doing Business: Peru’ (2012) 18 &lt;www.lexmundi.com/Document.asp?DocID=6295&gt;</w:t>
      </w:r>
    </w:p>
  </w:footnote>
  <w:footnote w:id="269">
    <w:p w14:paraId="3CE732BD"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International Monetary Fund, </w:t>
      </w:r>
      <w:r w:rsidRPr="00AC1055">
        <w:rPr>
          <w:rFonts w:cs="Times New Roman"/>
          <w:i/>
        </w:rPr>
        <w:t>Staff Country Reports: Peru</w:t>
      </w:r>
      <w:r w:rsidRPr="00AC1055">
        <w:rPr>
          <w:rFonts w:cs="Times New Roman"/>
        </w:rPr>
        <w:t xml:space="preserve"> (2007 IMF) 4</w:t>
      </w:r>
    </w:p>
  </w:footnote>
  <w:footnote w:id="270">
    <w:p w14:paraId="0C926470"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See generally </w:t>
      </w:r>
      <w:proofErr w:type="spellStart"/>
      <w:r w:rsidRPr="00AC1055">
        <w:rPr>
          <w:rFonts w:cs="Times New Roman"/>
        </w:rPr>
        <w:t>Henryk</w:t>
      </w:r>
      <w:proofErr w:type="spellEnd"/>
      <w:r w:rsidRPr="00AC1055">
        <w:rPr>
          <w:rFonts w:cs="Times New Roman"/>
        </w:rPr>
        <w:t xml:space="preserve"> </w:t>
      </w:r>
      <w:proofErr w:type="spellStart"/>
      <w:r w:rsidRPr="00AC1055">
        <w:rPr>
          <w:rFonts w:cs="Times New Roman"/>
        </w:rPr>
        <w:t>Gurgul</w:t>
      </w:r>
      <w:proofErr w:type="spellEnd"/>
      <w:r w:rsidRPr="00AC1055">
        <w:rPr>
          <w:rFonts w:cs="Times New Roman"/>
        </w:rPr>
        <w:t xml:space="preserve"> and Lukasz </w:t>
      </w:r>
      <w:proofErr w:type="spellStart"/>
      <w:r w:rsidRPr="00AC1055">
        <w:rPr>
          <w:rFonts w:cs="Times New Roman"/>
        </w:rPr>
        <w:t>Lach</w:t>
      </w:r>
      <w:proofErr w:type="spellEnd"/>
      <w:r w:rsidRPr="00AC1055">
        <w:rPr>
          <w:rFonts w:cs="Times New Roman"/>
        </w:rPr>
        <w:t>, ‘Financial Development and Economic Growth in Poland in Transition: Causality Analysis’ (2012) 62 (4) Czech Journal of Economics and Finance 347-367 &lt;http://journal.fsv.cuni.cz/storage/1253_347-367---gurgul.pdf &gt;</w:t>
      </w:r>
    </w:p>
  </w:footnote>
  <w:footnote w:id="271">
    <w:p w14:paraId="6723E61D"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Federal Law NO. 208-FZ 1996 On Joint Stock Companies Adopted by the State Duma on November 24, 1995</w:t>
      </w:r>
    </w:p>
  </w:footnote>
  <w:footnote w:id="272">
    <w:p w14:paraId="673FE709" w14:textId="0170DCC3"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Bern</w:t>
      </w:r>
      <w:r>
        <w:rPr>
          <w:rFonts w:cs="Times New Roman"/>
        </w:rPr>
        <w:t xml:space="preserve">ard Black, </w:t>
      </w:r>
      <w:proofErr w:type="spellStart"/>
      <w:r>
        <w:rPr>
          <w:rFonts w:cs="Times New Roman"/>
        </w:rPr>
        <w:t>Reinier</w:t>
      </w:r>
      <w:proofErr w:type="spellEnd"/>
      <w:r>
        <w:rPr>
          <w:rFonts w:cs="Times New Roman"/>
        </w:rPr>
        <w:t xml:space="preserve"> </w:t>
      </w:r>
      <w:proofErr w:type="spellStart"/>
      <w:r>
        <w:rPr>
          <w:rFonts w:cs="Times New Roman"/>
        </w:rPr>
        <w:t>Kraakman</w:t>
      </w:r>
      <w:proofErr w:type="spellEnd"/>
      <w:r w:rsidRPr="00AC1055">
        <w:rPr>
          <w:rFonts w:cs="Times New Roman"/>
        </w:rPr>
        <w:t xml:space="preserve"> and Anna </w:t>
      </w:r>
      <w:proofErr w:type="spellStart"/>
      <w:r w:rsidRPr="00AC1055">
        <w:rPr>
          <w:rFonts w:cs="Times New Roman"/>
        </w:rPr>
        <w:t>Tarassova</w:t>
      </w:r>
      <w:proofErr w:type="spellEnd"/>
      <w:r w:rsidRPr="00AC1055">
        <w:rPr>
          <w:rFonts w:cs="Times New Roman"/>
        </w:rPr>
        <w:t>, ‘Russian privatization and corporate governance: what went wrong?’ (2000) Stanford law review 1731-1808 &lt;http://wdi.umich.edu/files/publications/workingpapers/wp269.pdf &gt;</w:t>
      </w:r>
      <w:r>
        <w:rPr>
          <w:rFonts w:cs="Times New Roman"/>
        </w:rPr>
        <w:t xml:space="preserve"> </w:t>
      </w:r>
      <w:r w:rsidRPr="0027423A">
        <w:rPr>
          <w:rFonts w:cs="Times New Roman"/>
        </w:rPr>
        <w:t>published in (2000) 52 Stanford Law Review 1731-1808</w:t>
      </w:r>
    </w:p>
  </w:footnote>
  <w:footnote w:id="273">
    <w:p w14:paraId="198F31D1"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Federal Law of the Russian Federation of 6 December 2011 No. 402-FZ On Bookkeeping; Federal Law dated 7 December 2011 No. 414 On Central Depository; Order of the Federal Service on Securities Market No. 11-46/</w:t>
      </w:r>
      <w:proofErr w:type="spellStart"/>
      <w:r w:rsidRPr="00AC1055">
        <w:rPr>
          <w:rFonts w:cs="Times New Roman"/>
        </w:rPr>
        <w:t>pz</w:t>
      </w:r>
      <w:proofErr w:type="spellEnd"/>
      <w:r w:rsidRPr="00AC1055">
        <w:rPr>
          <w:rFonts w:cs="Times New Roman"/>
        </w:rPr>
        <w:t>-n dated 4 October 2011 On Approval of Regulations on Information Disclosure by the Issuers of Issuance Securities; and amendments dated October 4, November 3, December 28, 2010, July 18, November 21, 30, December 7, 2011, June 14, July 28, December 29, 2012, April 5, July 23, November 6, December 21, 28, 2013 to the Russian Joint Stock Companies Act.</w:t>
      </w:r>
    </w:p>
  </w:footnote>
  <w:footnote w:id="274">
    <w:p w14:paraId="2576E7D5"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Yuriy</w:t>
      </w:r>
      <w:proofErr w:type="spellEnd"/>
      <w:r w:rsidRPr="00AC1055">
        <w:rPr>
          <w:rFonts w:cs="Times New Roman"/>
        </w:rPr>
        <w:t xml:space="preserve"> Humber, ‘7 Years Ago the Markets Were Booming: 2005 Is Year of Russian Markets’ </w:t>
      </w:r>
      <w:r w:rsidRPr="00AC1055">
        <w:rPr>
          <w:rFonts w:cs="Times New Roman"/>
          <w:i/>
        </w:rPr>
        <w:t>The Moscow Times</w:t>
      </w:r>
      <w:r w:rsidRPr="00AC1055">
        <w:rPr>
          <w:rFonts w:cs="Times New Roman"/>
        </w:rPr>
        <w:t xml:space="preserve"> (Moscow, 29 December 2005) &lt; http://www.themoscowtimes.com/20th/welcome/7-years-ago-the-markets-were-booming_-2005-is-year-of-russian-markets.html &gt;</w:t>
      </w:r>
    </w:p>
  </w:footnote>
  <w:footnote w:id="275">
    <w:p w14:paraId="5DA8A61A"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Sree</w:t>
      </w:r>
      <w:proofErr w:type="spellEnd"/>
      <w:r w:rsidRPr="00AC1055">
        <w:rPr>
          <w:rFonts w:cs="Times New Roman"/>
        </w:rPr>
        <w:t xml:space="preserve"> </w:t>
      </w:r>
      <w:proofErr w:type="spellStart"/>
      <w:r w:rsidRPr="00AC1055">
        <w:rPr>
          <w:rFonts w:cs="Times New Roman"/>
        </w:rPr>
        <w:t>Vidya</w:t>
      </w:r>
      <w:proofErr w:type="spellEnd"/>
      <w:r w:rsidRPr="00AC1055">
        <w:rPr>
          <w:rFonts w:cs="Times New Roman"/>
        </w:rPr>
        <w:t xml:space="preserve"> </w:t>
      </w:r>
      <w:proofErr w:type="spellStart"/>
      <w:r w:rsidRPr="00AC1055">
        <w:rPr>
          <w:rFonts w:cs="Times New Roman"/>
        </w:rPr>
        <w:t>Bhaktavatsalam</w:t>
      </w:r>
      <w:proofErr w:type="spellEnd"/>
      <w:r w:rsidRPr="00AC1055">
        <w:rPr>
          <w:rFonts w:cs="Times New Roman"/>
        </w:rPr>
        <w:t xml:space="preserve">, ‘Going With the Flow of Russia's Oil Boom’ </w:t>
      </w:r>
      <w:r w:rsidRPr="00AC1055">
        <w:rPr>
          <w:rFonts w:cs="Times New Roman"/>
          <w:i/>
        </w:rPr>
        <w:t>Bloomberg News</w:t>
      </w:r>
      <w:r w:rsidRPr="00AC1055">
        <w:rPr>
          <w:rFonts w:cs="Times New Roman"/>
        </w:rPr>
        <w:t xml:space="preserve"> (26 February 2006) &lt; http://www.washingtonpost.com/wp-dyn/content/article/2006/02/25/AR2006022500231.html &gt;</w:t>
      </w:r>
    </w:p>
  </w:footnote>
  <w:footnote w:id="276">
    <w:p w14:paraId="29F9177A"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IFC, ‘The Latin American corporate governance roundtable’ (2010) &lt; http://www.ifc.org/wps/wcm/connect/1a3d778048a7e4b29e7fdf6060ad5911/101020_Building%2Bon%2Ba%2BDecade%2Bof%2BProgress_Web.pdf?MOD=AJPERES &gt;</w:t>
      </w:r>
    </w:p>
  </w:footnote>
  <w:footnote w:id="277">
    <w:p w14:paraId="5406699A" w14:textId="77777777" w:rsidR="005A260F" w:rsidRPr="00AC1055" w:rsidRDefault="005A260F" w:rsidP="00413229">
      <w:pPr>
        <w:pStyle w:val="FootnoteText"/>
        <w:rPr>
          <w:rFonts w:cs="Times New Roman"/>
        </w:rPr>
      </w:pPr>
      <w:r w:rsidRPr="00AC1055">
        <w:rPr>
          <w:rStyle w:val="FootnoteReference"/>
          <w:rFonts w:cs="Times New Roman"/>
        </w:rPr>
        <w:footnoteRef/>
      </w:r>
      <w:r>
        <w:rPr>
          <w:rFonts w:cs="Times New Roman"/>
        </w:rPr>
        <w:t xml:space="preserve"> Eduardo Levy </w:t>
      </w:r>
      <w:proofErr w:type="spellStart"/>
      <w:r>
        <w:rPr>
          <w:rFonts w:cs="Times New Roman"/>
        </w:rPr>
        <w:t>Yeyati</w:t>
      </w:r>
      <w:proofErr w:type="spellEnd"/>
      <w:r>
        <w:rPr>
          <w:rFonts w:cs="Times New Roman"/>
        </w:rPr>
        <w:t>,</w:t>
      </w:r>
      <w:r w:rsidRPr="00AC1055">
        <w:rPr>
          <w:rFonts w:cs="Times New Roman"/>
        </w:rPr>
        <w:t xml:space="preserve"> Sergio L. </w:t>
      </w:r>
      <w:proofErr w:type="spellStart"/>
      <w:r w:rsidRPr="00AC1055">
        <w:rPr>
          <w:rFonts w:cs="Times New Roman"/>
        </w:rPr>
        <w:t>Schmukler</w:t>
      </w:r>
      <w:proofErr w:type="spellEnd"/>
      <w:r w:rsidRPr="00AC1055">
        <w:rPr>
          <w:rFonts w:cs="Times New Roman"/>
        </w:rPr>
        <w:t xml:space="preserve"> and </w:t>
      </w:r>
      <w:proofErr w:type="spellStart"/>
      <w:r w:rsidRPr="00AC1055">
        <w:rPr>
          <w:rFonts w:cs="Times New Roman"/>
        </w:rPr>
        <w:t>Neeltje</w:t>
      </w:r>
      <w:proofErr w:type="spellEnd"/>
      <w:r w:rsidRPr="00AC1055">
        <w:rPr>
          <w:rFonts w:cs="Times New Roman"/>
        </w:rPr>
        <w:t xml:space="preserve"> Van </w:t>
      </w:r>
      <w:proofErr w:type="spellStart"/>
      <w:r w:rsidRPr="00AC1055">
        <w:rPr>
          <w:rFonts w:cs="Times New Roman"/>
        </w:rPr>
        <w:t>Horen</w:t>
      </w:r>
      <w:proofErr w:type="spellEnd"/>
      <w:r w:rsidRPr="00AC1055">
        <w:rPr>
          <w:rFonts w:cs="Times New Roman"/>
        </w:rPr>
        <w:t xml:space="preserve">, ‘The price of inconvertible deposits: the stock market boom during the Argentine crisis’ (2004) 83 Economic Letters 7-13 &lt;http://siteresources.worldbank.org/DEC/Resources/LevyYeyati-Schmukler-VanHoren-ADRsandCrises.pdf &gt; </w:t>
      </w:r>
    </w:p>
  </w:footnote>
  <w:footnote w:id="278">
    <w:p w14:paraId="150E2153" w14:textId="77777777" w:rsidR="005A260F" w:rsidRPr="00AC1055" w:rsidRDefault="005A260F" w:rsidP="00413229">
      <w:pPr>
        <w:spacing w:line="240" w:lineRule="auto"/>
        <w:rPr>
          <w:rFonts w:cs="Times New Roman"/>
          <w:sz w:val="20"/>
          <w:szCs w:val="20"/>
        </w:rPr>
      </w:pPr>
      <w:r w:rsidRPr="00AC1055">
        <w:rPr>
          <w:rStyle w:val="FootnoteReference"/>
          <w:rFonts w:cs="Times New Roman"/>
          <w:sz w:val="20"/>
          <w:szCs w:val="20"/>
        </w:rPr>
        <w:footnoteRef/>
      </w:r>
      <w:r w:rsidRPr="00AC1055">
        <w:rPr>
          <w:rFonts w:cs="Times New Roman"/>
          <w:sz w:val="20"/>
          <w:szCs w:val="20"/>
        </w:rPr>
        <w:t xml:space="preserve"> Jesse Colombo, ‘A Guide To South Africa's Economic Bubble And Coming Crisis’ </w:t>
      </w:r>
      <w:r w:rsidRPr="00AC1055">
        <w:rPr>
          <w:rFonts w:cs="Times New Roman"/>
          <w:i/>
          <w:sz w:val="20"/>
          <w:szCs w:val="20"/>
        </w:rPr>
        <w:t>Forbes</w:t>
      </w:r>
      <w:r w:rsidRPr="00AC1055">
        <w:rPr>
          <w:rFonts w:cs="Times New Roman"/>
          <w:sz w:val="20"/>
          <w:szCs w:val="20"/>
        </w:rPr>
        <w:t xml:space="preserve"> (19 March 2014) &lt;http://www.forbes.com/sites/jessecolombo/2014/03/19/a-guide-to-south-africas-economic-bubble-and-coming-crisis/&gt; </w:t>
      </w:r>
    </w:p>
  </w:footnote>
  <w:footnote w:id="279">
    <w:p w14:paraId="5A21219A"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Securities Market Act of The Islamic Republic of Iran 2005 &lt;http://www.tse.ir/cms/Portals/0/int/_Securities_Market_Act4.pdf &gt;</w:t>
      </w:r>
    </w:p>
  </w:footnote>
  <w:footnote w:id="280">
    <w:p w14:paraId="4412F07B"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Bill Spindle and Dan Keeler, ‘Nuclear Deal Could Drive Foreign Investors to Iran Stocks’ </w:t>
      </w:r>
      <w:r w:rsidRPr="00AC1055">
        <w:rPr>
          <w:rFonts w:cs="Times New Roman"/>
          <w:i/>
        </w:rPr>
        <w:t>The Wall Street Journal</w:t>
      </w:r>
      <w:r w:rsidRPr="00AC1055">
        <w:rPr>
          <w:rFonts w:cs="Times New Roman"/>
        </w:rPr>
        <w:t xml:space="preserve"> (30 March 2015) &lt; http://www.wsj.com/articles/nuclear-deal-could-drive-foreign-investors-to-iran-stocks-1427750282 &gt;</w:t>
      </w:r>
    </w:p>
  </w:footnote>
  <w:footnote w:id="281">
    <w:p w14:paraId="25A068DD"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Jahangir </w:t>
      </w:r>
      <w:proofErr w:type="spellStart"/>
      <w:r w:rsidRPr="00AC1055">
        <w:rPr>
          <w:rFonts w:cs="Times New Roman"/>
        </w:rPr>
        <w:t>Amuzegar</w:t>
      </w:r>
      <w:proofErr w:type="spellEnd"/>
      <w:r w:rsidRPr="00AC1055">
        <w:rPr>
          <w:rFonts w:cs="Times New Roman"/>
        </w:rPr>
        <w:t xml:space="preserve">, ‘The Tehran Stock Exchange: A Maverick Performer?’ (2005) 48 (21) Middle East Economic Survey as cited in </w:t>
      </w:r>
      <w:proofErr w:type="spellStart"/>
      <w:r w:rsidRPr="00AC1055">
        <w:rPr>
          <w:rFonts w:cs="Times New Roman"/>
        </w:rPr>
        <w:t>Khedar</w:t>
      </w:r>
      <w:proofErr w:type="spellEnd"/>
      <w:r w:rsidRPr="00AC1055">
        <w:rPr>
          <w:rFonts w:cs="Times New Roman"/>
        </w:rPr>
        <w:t xml:space="preserve"> </w:t>
      </w:r>
      <w:proofErr w:type="spellStart"/>
      <w:r w:rsidRPr="00AC1055">
        <w:rPr>
          <w:rFonts w:cs="Times New Roman"/>
        </w:rPr>
        <w:t>Alaghi</w:t>
      </w:r>
      <w:proofErr w:type="spellEnd"/>
      <w:r w:rsidRPr="00AC1055">
        <w:rPr>
          <w:rFonts w:cs="Times New Roman"/>
        </w:rPr>
        <w:t>, ‘What is the Tehran Stock Exchange?’ &lt;http://www.fineco.am/pdfs/Kheder_Alaghi_1.pdf &gt;</w:t>
      </w:r>
    </w:p>
  </w:footnote>
  <w:footnote w:id="282">
    <w:p w14:paraId="15E3B962"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Robert Tait, ‘Iran Risks Crash With Record Stock Market Boom, Say Economists’ (</w:t>
      </w:r>
      <w:r w:rsidRPr="00AC1055">
        <w:rPr>
          <w:rFonts w:cs="Times New Roman"/>
          <w:i/>
        </w:rPr>
        <w:t>Radio Liberty</w:t>
      </w:r>
      <w:r w:rsidRPr="00AC1055">
        <w:rPr>
          <w:rFonts w:cs="Times New Roman"/>
        </w:rPr>
        <w:t>, 2 September 2010) &lt;http://www.rferl.org/content/Iran_Risks_Crash_With_Record_Stock_Market_Boom_Say_ Economists/2146481.html &gt;</w:t>
      </w:r>
    </w:p>
  </w:footnote>
  <w:footnote w:id="283">
    <w:p w14:paraId="5C4BA8EF"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Sample Code of Best Practice for Corporate Governance &lt;http://www.ecgi.org/codes/documents/sample_code.pdf &gt;</w:t>
      </w:r>
    </w:p>
  </w:footnote>
  <w:footnote w:id="284">
    <w:p w14:paraId="5D9CCBD6"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Corporate Governance Codes and Principles &lt; http://www.ecgi.org/codes/documents/principles_2.pdf &gt;</w:t>
      </w:r>
    </w:p>
  </w:footnote>
  <w:footnote w:id="285">
    <w:p w14:paraId="6344C9F9"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Tobias O. </w:t>
      </w:r>
      <w:proofErr w:type="spellStart"/>
      <w:r w:rsidRPr="00AC1055">
        <w:rPr>
          <w:rFonts w:cs="Times New Roman"/>
        </w:rPr>
        <w:t>Olweny</w:t>
      </w:r>
      <w:proofErr w:type="spellEnd"/>
      <w:r w:rsidRPr="00AC1055">
        <w:rPr>
          <w:rFonts w:cs="Times New Roman"/>
        </w:rPr>
        <w:t xml:space="preserve"> and Danson Kimani, ‘Stock market performance and economic growth: empirical  evidence  from  Kenya  using  causality  test  approach’ (2011) 1 (3) Advances in Management and Applied Economics 153-196 &lt;http://oro.open.ac.uk/34798/1/Stock%20market%20performance%20and%20economic %20growth.pdf &gt;</w:t>
      </w:r>
    </w:p>
  </w:footnote>
  <w:footnote w:id="286">
    <w:p w14:paraId="6105519D"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Securities and Exchange Commission, Nigeria, ‘Corporate Governance Codes and Principles’ (2003) &lt;http://www.ecgi.org/codes/documents/cg_code_nigeria_oct2003_en.pdf &gt;</w:t>
      </w:r>
    </w:p>
  </w:footnote>
  <w:footnote w:id="287">
    <w:p w14:paraId="2418CD0D"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Oscar </w:t>
      </w:r>
      <w:proofErr w:type="spellStart"/>
      <w:r w:rsidRPr="00AC1055">
        <w:rPr>
          <w:rFonts w:cs="Times New Roman"/>
        </w:rPr>
        <w:t>Onyema</w:t>
      </w:r>
      <w:proofErr w:type="spellEnd"/>
      <w:r w:rsidRPr="00AC1055">
        <w:rPr>
          <w:rFonts w:cs="Times New Roman"/>
        </w:rPr>
        <w:t>, ‘Genesis of Nigerian stock market collapse’ (</w:t>
      </w:r>
      <w:r w:rsidRPr="00AC1055">
        <w:rPr>
          <w:rFonts w:cs="Times New Roman"/>
          <w:i/>
        </w:rPr>
        <w:t>World Stage</w:t>
      </w:r>
      <w:r w:rsidRPr="00AC1055">
        <w:rPr>
          <w:rFonts w:cs="Times New Roman"/>
        </w:rPr>
        <w:t>, 14 May 2012) &lt;http://worldstagegroup.com/worldstagenew/index.php?active=news&amp;newscid=4789&amp;catid=7&gt;</w:t>
      </w:r>
    </w:p>
  </w:footnote>
  <w:footnote w:id="288">
    <w:p w14:paraId="667F3D78"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See generally </w:t>
      </w:r>
      <w:proofErr w:type="spellStart"/>
      <w:r w:rsidRPr="00AC1055">
        <w:rPr>
          <w:rFonts w:cs="Times New Roman"/>
        </w:rPr>
        <w:t>Xijuan</w:t>
      </w:r>
      <w:proofErr w:type="spellEnd"/>
      <w:r w:rsidRPr="00AC1055">
        <w:rPr>
          <w:rFonts w:cs="Times New Roman"/>
        </w:rPr>
        <w:t xml:space="preserve"> Angel Bellotti, Richard </w:t>
      </w:r>
      <w:proofErr w:type="spellStart"/>
      <w:r w:rsidRPr="00AC1055">
        <w:rPr>
          <w:rFonts w:cs="Times New Roman"/>
        </w:rPr>
        <w:t>Taffler</w:t>
      </w:r>
      <w:proofErr w:type="spellEnd"/>
      <w:r w:rsidRPr="00AC1055">
        <w:rPr>
          <w:rFonts w:cs="Times New Roman"/>
        </w:rPr>
        <w:t xml:space="preserve"> and Lin Tian, ‘Understanding the Chinese </w:t>
      </w:r>
      <w:proofErr w:type="spellStart"/>
      <w:r w:rsidRPr="00AC1055">
        <w:rPr>
          <w:rFonts w:cs="Times New Roman"/>
        </w:rPr>
        <w:t>Stockmarket</w:t>
      </w:r>
      <w:proofErr w:type="spellEnd"/>
      <w:r w:rsidRPr="00AC1055">
        <w:rPr>
          <w:rFonts w:cs="Times New Roman"/>
        </w:rPr>
        <w:t xml:space="preserve"> Bubble: The Role of Emotion’ (2010) &lt;http://ssrn.com/abstract=1695932&gt;; see also ‘How we explain the Chin</w:t>
      </w:r>
    </w:p>
    <w:p w14:paraId="3A6604F4" w14:textId="77777777" w:rsidR="005A260F" w:rsidRPr="00AC1055" w:rsidRDefault="005A260F" w:rsidP="00413229">
      <w:pPr>
        <w:pStyle w:val="FootnoteText"/>
        <w:rPr>
          <w:rFonts w:cs="Times New Roman"/>
        </w:rPr>
      </w:pPr>
      <w:r w:rsidRPr="00AC1055">
        <w:rPr>
          <w:rFonts w:cs="Times New Roman"/>
        </w:rPr>
        <w:t>ese stock market bubble?’ &lt; http://www.cass.city.ac.uk/__data/assets/pdf_file/0010/56377/2B_Taffler.pdf &gt;</w:t>
      </w:r>
    </w:p>
  </w:footnote>
  <w:footnote w:id="289">
    <w:p w14:paraId="76D8CEBE"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Ming Wang, Kin Keung Lai and Jerome Yen, </w:t>
      </w:r>
      <w:r w:rsidRPr="00AC1055">
        <w:rPr>
          <w:rFonts w:cs="Times New Roman"/>
          <w:i/>
        </w:rPr>
        <w:t>China's Financial Markets: Issues and Opportunities</w:t>
      </w:r>
      <w:r w:rsidRPr="00AC1055">
        <w:rPr>
          <w:rFonts w:cs="Times New Roman"/>
        </w:rPr>
        <w:t xml:space="preserve"> (Routledge 2014) 58</w:t>
      </w:r>
    </w:p>
  </w:footnote>
  <w:footnote w:id="290">
    <w:p w14:paraId="76804183"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Debbie C. Wong, ‘An assessment of corporate governance reforms in the Philippines: 2002-2009’ (2009) 16 Philippine Management Review 24-57 &lt;http://journals.upd.edu.ph/index.php/pmr/article/viewFile/1796/1713&gt;</w:t>
      </w:r>
    </w:p>
  </w:footnote>
  <w:footnote w:id="291">
    <w:p w14:paraId="315E2D69"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Celia M Gonzalez, ‘Capital flows and financial assets in the Philippines: determinants, consequences and challenges for the central bank’ (2008) BIS Papers No 44 &lt; http://www.bis.org/publ/bppdf/bispap44t.pdf &gt;</w:t>
      </w:r>
    </w:p>
  </w:footnote>
  <w:footnote w:id="292">
    <w:p w14:paraId="0500E180"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See generally </w:t>
      </w:r>
      <w:proofErr w:type="spellStart"/>
      <w:r w:rsidRPr="00AC1055">
        <w:rPr>
          <w:rFonts w:cs="Times New Roman"/>
        </w:rPr>
        <w:t>Donghyun</w:t>
      </w:r>
      <w:proofErr w:type="spellEnd"/>
      <w:r w:rsidRPr="00AC1055">
        <w:rPr>
          <w:rFonts w:cs="Times New Roman"/>
        </w:rPr>
        <w:t xml:space="preserve"> Park, </w:t>
      </w:r>
      <w:proofErr w:type="spellStart"/>
      <w:r w:rsidRPr="00AC1055">
        <w:rPr>
          <w:rFonts w:cs="Times New Roman"/>
        </w:rPr>
        <w:t>Arief</w:t>
      </w:r>
      <w:proofErr w:type="spellEnd"/>
      <w:r w:rsidRPr="00AC1055">
        <w:rPr>
          <w:rFonts w:cs="Times New Roman"/>
        </w:rPr>
        <w:t xml:space="preserve"> </w:t>
      </w:r>
      <w:proofErr w:type="spellStart"/>
      <w:r w:rsidRPr="00AC1055">
        <w:rPr>
          <w:rFonts w:cs="Times New Roman"/>
        </w:rPr>
        <w:t>Ramayandi</w:t>
      </w:r>
      <w:proofErr w:type="spellEnd"/>
      <w:r w:rsidRPr="00AC1055">
        <w:rPr>
          <w:rFonts w:cs="Times New Roman"/>
        </w:rPr>
        <w:t xml:space="preserve"> and </w:t>
      </w:r>
      <w:proofErr w:type="spellStart"/>
      <w:r w:rsidRPr="00AC1055">
        <w:rPr>
          <w:rFonts w:cs="Times New Roman"/>
        </w:rPr>
        <w:t>Kwanho</w:t>
      </w:r>
      <w:proofErr w:type="spellEnd"/>
      <w:r w:rsidRPr="00AC1055">
        <w:rPr>
          <w:rFonts w:cs="Times New Roman"/>
        </w:rPr>
        <w:t xml:space="preserve"> Shin, ‘Why Did Asian Countries Fare Better during the Global Financial Crisis than during the Asian Financial Crisis?’ in </w:t>
      </w:r>
      <w:proofErr w:type="spellStart"/>
      <w:r w:rsidRPr="00AC1055">
        <w:rPr>
          <w:rFonts w:cs="Times New Roman"/>
        </w:rPr>
        <w:t>Changyong</w:t>
      </w:r>
      <w:proofErr w:type="spellEnd"/>
      <w:r w:rsidRPr="00AC1055">
        <w:rPr>
          <w:rFonts w:cs="Times New Roman"/>
        </w:rPr>
        <w:t xml:space="preserve"> Rhee and Adam S. Posen (eds.)</w:t>
      </w:r>
      <w:r w:rsidRPr="00AC1055">
        <w:rPr>
          <w:rFonts w:cs="Times New Roman"/>
          <w:i/>
        </w:rPr>
        <w:t xml:space="preserve"> Responding to Financial Crisis: Lessons from Asia Then, the United States and Europe Now</w:t>
      </w:r>
      <w:r w:rsidRPr="00AC1055">
        <w:rPr>
          <w:rFonts w:cs="Times New Roman"/>
        </w:rPr>
        <w:t xml:space="preserve"> (PIIE 2013) &lt;http://www.piie.com/publications/chapters_preview/6741/04iie6741.pdf &gt;</w:t>
      </w:r>
    </w:p>
  </w:footnote>
  <w:footnote w:id="293">
    <w:p w14:paraId="0DD7A280"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Financial Reporting Council (FRC), ‘Good practice suggestions from the Higgs Report’ (2006)</w:t>
      </w:r>
    </w:p>
  </w:footnote>
  <w:footnote w:id="294">
    <w:p w14:paraId="2481C86A"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Paul </w:t>
      </w:r>
      <w:proofErr w:type="spellStart"/>
      <w:r w:rsidRPr="00AC1055">
        <w:rPr>
          <w:rFonts w:cs="Times New Roman"/>
        </w:rPr>
        <w:t>Myners</w:t>
      </w:r>
      <w:proofErr w:type="spellEnd"/>
      <w:r w:rsidRPr="00AC1055">
        <w:rPr>
          <w:rFonts w:cs="Times New Roman"/>
        </w:rPr>
        <w:t>, ‘Institutional Investment in the UK: A Review’ (2001)</w:t>
      </w:r>
    </w:p>
  </w:footnote>
  <w:footnote w:id="295">
    <w:p w14:paraId="21F26207"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Association of Unit Trusts and Investment Funds, ‘Code of good practice’ (2001) &lt;http://www.ecgi.org/codes/documents/autif.pdf&gt;</w:t>
      </w:r>
    </w:p>
  </w:footnote>
  <w:footnote w:id="296">
    <w:p w14:paraId="6AA76003"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Ha-</w:t>
      </w:r>
      <w:proofErr w:type="spellStart"/>
      <w:r w:rsidRPr="00AC1055">
        <w:rPr>
          <w:rFonts w:cs="Times New Roman"/>
        </w:rPr>
        <w:t>Joon</w:t>
      </w:r>
      <w:proofErr w:type="spellEnd"/>
      <w:r w:rsidRPr="00AC1055">
        <w:rPr>
          <w:rFonts w:cs="Times New Roman"/>
        </w:rPr>
        <w:t xml:space="preserve"> Chang, ‘This is no recovery, this is a bubble – and it will burst’ (</w:t>
      </w:r>
      <w:r w:rsidRPr="00AC1055">
        <w:rPr>
          <w:rFonts w:cs="Times New Roman"/>
          <w:i/>
        </w:rPr>
        <w:t>The Guardian</w:t>
      </w:r>
      <w:r w:rsidRPr="00AC1055">
        <w:rPr>
          <w:rFonts w:cs="Times New Roman"/>
        </w:rPr>
        <w:t>,</w:t>
      </w:r>
      <w:r w:rsidRPr="00AC1055">
        <w:rPr>
          <w:rFonts w:cs="Times New Roman"/>
          <w:i/>
        </w:rPr>
        <w:t xml:space="preserve"> </w:t>
      </w:r>
      <w:r w:rsidRPr="00AC1055">
        <w:rPr>
          <w:rFonts w:cs="Times New Roman"/>
        </w:rPr>
        <w:t>24 February 2014) &lt;http://www.theguardian.com/commentisfree/2014/feb/24/recovery-bubble-crash-uk-us-investors&gt;</w:t>
      </w:r>
    </w:p>
  </w:footnote>
  <w:footnote w:id="297">
    <w:p w14:paraId="321B3925"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BBC, ‘Investors celebrate stock market boom’ (31 December 2003) &lt;http://news.bbc.co.uk/1/hi/business/3359241.stm&gt;</w:t>
      </w:r>
    </w:p>
  </w:footnote>
  <w:footnote w:id="298">
    <w:p w14:paraId="596C030D"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Speech given by Mervyn King, Leicester 14 October 2003 as cited in Treasury Committee, House of Commons,</w:t>
      </w:r>
      <w:r w:rsidRPr="00AC1055">
        <w:rPr>
          <w:rFonts w:cs="Times New Roman"/>
          <w:i/>
        </w:rPr>
        <w:t xml:space="preserve"> Banking Crisis: Dealing with the Failure of the UK Banks : Report, Together with Formal Minutes</w:t>
      </w:r>
      <w:r w:rsidRPr="00AC1055">
        <w:rPr>
          <w:rFonts w:cs="Times New Roman"/>
        </w:rPr>
        <w:t xml:space="preserve"> (Seventh report of session 2008-09) 12</w:t>
      </w:r>
    </w:p>
  </w:footnote>
  <w:footnote w:id="299">
    <w:p w14:paraId="1FBDF5EC"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Deborah Summers, ‘No return to boom and bust: what Brown said when he was chancellor’ (</w:t>
      </w:r>
      <w:r w:rsidRPr="00AC1055">
        <w:rPr>
          <w:rFonts w:cs="Times New Roman"/>
          <w:i/>
        </w:rPr>
        <w:t>The Guardian</w:t>
      </w:r>
      <w:r w:rsidRPr="00AC1055">
        <w:rPr>
          <w:rFonts w:cs="Times New Roman"/>
        </w:rPr>
        <w:t>, 11 September 2008) &lt; http://www.theguardian.com/politics/2008/sep/11/gordonbrown.economy &gt; accessed 15 May 2015</w:t>
      </w:r>
    </w:p>
  </w:footnote>
  <w:footnote w:id="300">
    <w:p w14:paraId="55901D4C"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w:t>
      </w:r>
      <w:proofErr w:type="spellStart"/>
      <w:r w:rsidRPr="00AC1055">
        <w:rPr>
          <w:rFonts w:cs="Times New Roman"/>
        </w:rPr>
        <w:t>Tejvan</w:t>
      </w:r>
      <w:proofErr w:type="spellEnd"/>
      <w:r w:rsidRPr="00AC1055">
        <w:rPr>
          <w:rFonts w:cs="Times New Roman"/>
        </w:rPr>
        <w:t xml:space="preserve"> </w:t>
      </w:r>
      <w:proofErr w:type="spellStart"/>
      <w:r w:rsidRPr="00AC1055">
        <w:rPr>
          <w:rFonts w:cs="Times New Roman"/>
        </w:rPr>
        <w:t>Pettinger</w:t>
      </w:r>
      <w:proofErr w:type="spellEnd"/>
      <w:r w:rsidRPr="00AC1055">
        <w:rPr>
          <w:rFonts w:cs="Times New Roman"/>
        </w:rPr>
        <w:t>, ‘The Great Moderation’ (</w:t>
      </w:r>
      <w:r w:rsidRPr="00AC1055">
        <w:rPr>
          <w:rFonts w:cs="Times New Roman"/>
          <w:i/>
        </w:rPr>
        <w:t>Economics Help</w:t>
      </w:r>
      <w:r w:rsidRPr="00AC1055">
        <w:rPr>
          <w:rFonts w:cs="Times New Roman"/>
        </w:rPr>
        <w:t xml:space="preserve">, 21 February 2013) &lt;http://www.economicshelp.org/blog/6901/economics/the-great-moderation/&gt; accessed 15 May 2015 </w:t>
      </w:r>
    </w:p>
  </w:footnote>
  <w:footnote w:id="301">
    <w:p w14:paraId="14C0E027"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Robert </w:t>
      </w:r>
      <w:proofErr w:type="spellStart"/>
      <w:r w:rsidRPr="00AC1055">
        <w:rPr>
          <w:rFonts w:cs="Times New Roman"/>
        </w:rPr>
        <w:t>Winnett</w:t>
      </w:r>
      <w:proofErr w:type="spellEnd"/>
      <w:r w:rsidRPr="00AC1055">
        <w:rPr>
          <w:rFonts w:cs="Times New Roman"/>
        </w:rPr>
        <w:t>, ‘Financial crisis: London stock exchange suffers worst fall in history’ (</w:t>
      </w:r>
      <w:r w:rsidRPr="00AC1055">
        <w:rPr>
          <w:rFonts w:cs="Times New Roman"/>
          <w:i/>
        </w:rPr>
        <w:t>The Telegraph</w:t>
      </w:r>
      <w:r w:rsidRPr="00AC1055">
        <w:rPr>
          <w:rFonts w:cs="Times New Roman"/>
        </w:rPr>
        <w:t xml:space="preserve"> 6 October 2008) &lt;http://www.telegraph.co.uk/finance/financialcrisis/3147764/Financial-crisis-London-stock-exchange-suffers-worst-fall-in-history.html&gt;</w:t>
      </w:r>
    </w:p>
  </w:footnote>
  <w:footnote w:id="302">
    <w:p w14:paraId="4663EF17"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The World Bank, ‘Report on the Observance of  Standards and Codes (ROSC) – Corporate Governance Country Assessment: El Salvador’ (2012) &lt;http://www-wds.worldbank.org/external/default/WDSContentServer/WDSP/IB/2014/09/22/000470435_20140922134610/Rendered/PDF/908170ROSC0Box0lvador0201100PUBLIC0.pdf&gt;</w:t>
      </w:r>
    </w:p>
  </w:footnote>
  <w:footnote w:id="303">
    <w:p w14:paraId="02D824AB"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ROSC, ‘Country Assessment: Vietnam’ (2006) &lt;http://www.worldbank.org/ifa/rosc_cg_vm.pdf&gt;</w:t>
      </w:r>
    </w:p>
  </w:footnote>
  <w:footnote w:id="304">
    <w:p w14:paraId="39036965"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Sheridan </w:t>
      </w:r>
      <w:proofErr w:type="spellStart"/>
      <w:r w:rsidRPr="00AC1055">
        <w:rPr>
          <w:rFonts w:cs="Times New Roman"/>
        </w:rPr>
        <w:t>Prasso</w:t>
      </w:r>
      <w:proofErr w:type="spellEnd"/>
      <w:r w:rsidRPr="00AC1055">
        <w:rPr>
          <w:rFonts w:cs="Times New Roman"/>
        </w:rPr>
        <w:t>, ‘Vietnam's stock market is booming’ (</w:t>
      </w:r>
      <w:r w:rsidRPr="00AC1055">
        <w:rPr>
          <w:rFonts w:cs="Times New Roman"/>
          <w:i/>
        </w:rPr>
        <w:t>Fortune</w:t>
      </w:r>
      <w:r w:rsidRPr="00AC1055">
        <w:rPr>
          <w:rFonts w:cs="Times New Roman"/>
        </w:rPr>
        <w:t>, 12 April 2006) &lt;http://archive.fortune.com/magazines/fortune/fortune_archive/2006/04/17/8374384/index.htm&gt;</w:t>
      </w:r>
    </w:p>
  </w:footnote>
  <w:footnote w:id="305">
    <w:p w14:paraId="52EF2727"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Roberta S. </w:t>
      </w:r>
      <w:proofErr w:type="spellStart"/>
      <w:r w:rsidRPr="00AC1055">
        <w:rPr>
          <w:rFonts w:cs="Times New Roman"/>
        </w:rPr>
        <w:t>Karmel</w:t>
      </w:r>
      <w:proofErr w:type="spellEnd"/>
      <w:r w:rsidRPr="00AC1055">
        <w:rPr>
          <w:rFonts w:cs="Times New Roman"/>
        </w:rPr>
        <w:t>, ‘The Vietnamese Stock Market’ &lt;http://www.fwa.org/pdf/Vietnam_posttrip_article.pdf&gt;</w:t>
      </w:r>
    </w:p>
  </w:footnote>
  <w:footnote w:id="306">
    <w:p w14:paraId="3BBDDD62"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Government Commission on the German Corporate Governance Code, ‘The German Corporate Governance Code’ (2002), popularly referred as The </w:t>
      </w:r>
      <w:proofErr w:type="spellStart"/>
      <w:r w:rsidRPr="00AC1055">
        <w:rPr>
          <w:rFonts w:cs="Times New Roman"/>
        </w:rPr>
        <w:t>Cromme</w:t>
      </w:r>
      <w:proofErr w:type="spellEnd"/>
      <w:r w:rsidRPr="00AC1055">
        <w:rPr>
          <w:rFonts w:cs="Times New Roman"/>
        </w:rPr>
        <w:t xml:space="preserve"> Code after its author Dr. Gerhard </w:t>
      </w:r>
      <w:proofErr w:type="spellStart"/>
      <w:r w:rsidRPr="00AC1055">
        <w:rPr>
          <w:rFonts w:cs="Times New Roman"/>
        </w:rPr>
        <w:t>Cromme</w:t>
      </w:r>
      <w:proofErr w:type="spellEnd"/>
      <w:r w:rsidRPr="00AC1055">
        <w:rPr>
          <w:rFonts w:cs="Times New Roman"/>
        </w:rPr>
        <w:t>, available at &lt;http://www.ecgi.org/codes/documents/corgov_endfassung_e.pdf&gt;</w:t>
      </w:r>
    </w:p>
  </w:footnote>
  <w:footnote w:id="307">
    <w:p w14:paraId="7DE2C6C0"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The </w:t>
      </w:r>
      <w:proofErr w:type="spellStart"/>
      <w:r w:rsidRPr="00AC1055">
        <w:rPr>
          <w:rFonts w:cs="Times New Roman"/>
        </w:rPr>
        <w:t>Cromme</w:t>
      </w:r>
      <w:proofErr w:type="spellEnd"/>
      <w:r w:rsidRPr="00AC1055">
        <w:rPr>
          <w:rFonts w:cs="Times New Roman"/>
        </w:rPr>
        <w:t xml:space="preserve"> code has been amended on 21 May 2003, 2 June 2005, 12 June 2006, 14 June 2007, 6 June 2008, 18 June 2009, 26 May 2010, 15 May 2012, 13 May 2013 and 24 June 2014. &lt;http://www.ecgi.org/codes/all_codes.php&gt;</w:t>
      </w:r>
    </w:p>
  </w:footnote>
  <w:footnote w:id="308">
    <w:p w14:paraId="7FEF9EE5" w14:textId="77777777" w:rsidR="005A260F" w:rsidRPr="00AC1055" w:rsidRDefault="005A260F" w:rsidP="00413229">
      <w:pPr>
        <w:pStyle w:val="FootnoteText"/>
        <w:rPr>
          <w:rFonts w:cs="Times New Roman"/>
        </w:rPr>
      </w:pPr>
      <w:r w:rsidRPr="00AC1055">
        <w:rPr>
          <w:rStyle w:val="FootnoteReference"/>
          <w:rFonts w:cs="Times New Roman"/>
        </w:rPr>
        <w:footnoteRef/>
      </w:r>
      <w:r w:rsidRPr="00AC1055">
        <w:rPr>
          <w:rFonts w:cs="Times New Roman"/>
        </w:rPr>
        <w:t xml:space="preserve"> ‘A just-so German story’ (</w:t>
      </w:r>
      <w:r w:rsidRPr="00AC1055">
        <w:rPr>
          <w:rFonts w:cs="Times New Roman"/>
          <w:i/>
        </w:rPr>
        <w:t>The Economist</w:t>
      </w:r>
      <w:r w:rsidRPr="00AC1055">
        <w:rPr>
          <w:rFonts w:cs="Times New Roman"/>
        </w:rPr>
        <w:t>, 4 July 2012) &lt;http://www.economist.com/blogs/freeexchange/2012/07/euro-crisis-0&gt;</w:t>
      </w:r>
    </w:p>
  </w:footnote>
  <w:footnote w:id="309">
    <w:p w14:paraId="42FABCF7" w14:textId="4737ED3C" w:rsidR="005A260F" w:rsidRPr="00C67920" w:rsidRDefault="005A260F">
      <w:pPr>
        <w:pStyle w:val="FootnoteText"/>
      </w:pPr>
      <w:r>
        <w:rPr>
          <w:rStyle w:val="FootnoteReference"/>
        </w:rPr>
        <w:footnoteRef/>
      </w:r>
      <w:r>
        <w:t xml:space="preserve"> </w:t>
      </w:r>
      <w:proofErr w:type="spellStart"/>
      <w:r w:rsidRPr="00C67920">
        <w:t>Zhe</w:t>
      </w:r>
      <w:proofErr w:type="spellEnd"/>
      <w:r w:rsidRPr="00C67920">
        <w:t xml:space="preserve"> Chen</w:t>
      </w:r>
      <w:r>
        <w:t xml:space="preserve">, </w:t>
      </w:r>
      <w:r w:rsidRPr="00C67920">
        <w:rPr>
          <w:i/>
        </w:rPr>
        <w:t>Advanced State Space Methods for Neural and Clinical Data</w:t>
      </w:r>
      <w:r>
        <w:t xml:space="preserve"> (2015 Cambridge University Press) 236; See also Manual for </w:t>
      </w:r>
      <w:proofErr w:type="spellStart"/>
      <w:r>
        <w:t>rjags</w:t>
      </w:r>
      <w:proofErr w:type="spellEnd"/>
      <w:r>
        <w:t xml:space="preserve"> &lt;</w:t>
      </w:r>
      <w:r w:rsidRPr="00C67920">
        <w:t>https://cran.r-project.org/web/packages/runjags</w:t>
      </w:r>
      <w:r>
        <w:t xml:space="preserve"> </w:t>
      </w:r>
      <w:r w:rsidRPr="00C67920">
        <w:t>/runjags.pdf</w:t>
      </w:r>
      <w:r>
        <w:t>&gt;</w:t>
      </w:r>
    </w:p>
  </w:footnote>
  <w:footnote w:id="310">
    <w:p w14:paraId="26AFADA8" w14:textId="69DA8AEE" w:rsidR="005A260F" w:rsidRPr="00A02B86" w:rsidRDefault="005A260F" w:rsidP="00413229">
      <w:pPr>
        <w:pStyle w:val="FootnoteText"/>
        <w:rPr>
          <w:rFonts w:cs="Times New Roman"/>
          <w:lang w:val="fr-FR"/>
        </w:rPr>
      </w:pPr>
      <w:r w:rsidRPr="00AC1055">
        <w:rPr>
          <w:rStyle w:val="FootnoteReference"/>
          <w:rFonts w:cs="Times New Roman"/>
        </w:rPr>
        <w:footnoteRef/>
      </w:r>
      <w:r>
        <w:rPr>
          <w:rFonts w:cs="Times New Roman"/>
          <w:lang w:val="fr-FR"/>
        </w:rPr>
        <w:t xml:space="preserve"> </w:t>
      </w:r>
      <w:proofErr w:type="spellStart"/>
      <w:r>
        <w:rPr>
          <w:rFonts w:cs="Times New Roman"/>
          <w:lang w:val="fr-FR"/>
        </w:rPr>
        <w:t>Armour</w:t>
      </w:r>
      <w:proofErr w:type="spellEnd"/>
      <w:r>
        <w:rPr>
          <w:rFonts w:cs="Times New Roman"/>
          <w:lang w:val="fr-FR"/>
        </w:rPr>
        <w:t xml:space="preserve">, </w:t>
      </w:r>
      <w:proofErr w:type="spellStart"/>
      <w:r>
        <w:rPr>
          <w:rFonts w:cs="Times New Roman"/>
          <w:lang w:val="fr-FR"/>
        </w:rPr>
        <w:t>Deakin</w:t>
      </w:r>
      <w:proofErr w:type="spellEnd"/>
      <w:r>
        <w:rPr>
          <w:rFonts w:cs="Times New Roman"/>
          <w:lang w:val="fr-FR"/>
        </w:rPr>
        <w:t xml:space="preserve"> et al. (n 246</w:t>
      </w:r>
      <w:r w:rsidRPr="00A02B86">
        <w:rPr>
          <w:rFonts w:cs="Times New Roman"/>
          <w:lang w:val="fr-FR"/>
        </w:rPr>
        <w:t>) 42</w:t>
      </w:r>
    </w:p>
  </w:footnote>
  <w:footnote w:id="311">
    <w:p w14:paraId="1B56123B" w14:textId="1ADA659C" w:rsidR="005A260F" w:rsidRDefault="005A260F">
      <w:pPr>
        <w:pStyle w:val="FootnoteText"/>
      </w:pPr>
      <w:r>
        <w:rPr>
          <w:rStyle w:val="FootnoteReference"/>
        </w:rPr>
        <w:footnoteRef/>
      </w:r>
      <w:r>
        <w:t xml:space="preserve"> ibid 35</w:t>
      </w:r>
    </w:p>
  </w:footnote>
  <w:footnote w:id="312">
    <w:p w14:paraId="3CA5C040" w14:textId="0010BFB4" w:rsidR="005A260F" w:rsidRDefault="005A260F" w:rsidP="00413229">
      <w:pPr>
        <w:pStyle w:val="FootnoteText"/>
      </w:pPr>
      <w:r>
        <w:rPr>
          <w:rStyle w:val="FootnoteReference"/>
        </w:rPr>
        <w:footnoteRef/>
      </w:r>
      <w:r>
        <w:t xml:space="preserve"> </w:t>
      </w:r>
      <w:proofErr w:type="spellStart"/>
      <w:r w:rsidRPr="009F6E7E">
        <w:t>Hansman</w:t>
      </w:r>
      <w:proofErr w:type="spellEnd"/>
      <w:r w:rsidRPr="009F6E7E">
        <w:t xml:space="preserve"> and </w:t>
      </w:r>
      <w:proofErr w:type="spellStart"/>
      <w:r w:rsidRPr="009F6E7E">
        <w:t>Kraakman</w:t>
      </w:r>
      <w:proofErr w:type="spellEnd"/>
      <w:r>
        <w:t xml:space="preserve"> (n 46) abstract</w:t>
      </w:r>
    </w:p>
  </w:footnote>
  <w:footnote w:id="313">
    <w:p w14:paraId="3DCD3642" w14:textId="77777777" w:rsidR="005A260F" w:rsidRDefault="005A260F" w:rsidP="00413229">
      <w:pPr>
        <w:pStyle w:val="FootnoteText"/>
      </w:pPr>
      <w:r>
        <w:rPr>
          <w:rStyle w:val="FootnoteReference"/>
        </w:rPr>
        <w:footnoteRef/>
      </w:r>
      <w:r>
        <w:t xml:space="preserve"> See generally William </w:t>
      </w:r>
      <w:proofErr w:type="spellStart"/>
      <w:r>
        <w:t>Lazonick</w:t>
      </w:r>
      <w:proofErr w:type="spellEnd"/>
      <w:r>
        <w:t>, ‘Stock Buybacks: From retain and reinvest to downsize and distribute’ (2015) Working paper Centre for Effective public management at Brookings</w:t>
      </w:r>
    </w:p>
  </w:footnote>
  <w:footnote w:id="314">
    <w:p w14:paraId="25519D64" w14:textId="1D971DCE" w:rsidR="005A260F" w:rsidRDefault="005A260F" w:rsidP="00413229">
      <w:pPr>
        <w:pStyle w:val="FootnoteText"/>
      </w:pPr>
      <w:r>
        <w:rPr>
          <w:rStyle w:val="FootnoteReference"/>
        </w:rPr>
        <w:footnoteRef/>
      </w:r>
      <w:r>
        <w:t xml:space="preserve"> See generally </w:t>
      </w:r>
      <w:r w:rsidRPr="00D2099A">
        <w:t xml:space="preserve">Blanche </w:t>
      </w:r>
      <w:proofErr w:type="spellStart"/>
      <w:r w:rsidRPr="00D2099A">
        <w:t>Segrestin</w:t>
      </w:r>
      <w:proofErr w:type="spellEnd"/>
      <w:r w:rsidRPr="00D2099A">
        <w:t xml:space="preserve"> and Armand </w:t>
      </w:r>
      <w:proofErr w:type="spellStart"/>
      <w:r w:rsidRPr="00D2099A">
        <w:t>Hatchuel</w:t>
      </w:r>
      <w:proofErr w:type="spellEnd"/>
      <w:r>
        <w:t xml:space="preserve">, ‘Beyond Agency Theory, a Post-crisis View of Corporate Law’ (2011) 22 </w:t>
      </w:r>
      <w:r w:rsidRPr="00D2099A">
        <w:t>British Journal of Management 484–499</w:t>
      </w:r>
      <w:r>
        <w:t xml:space="preserve">. </w:t>
      </w:r>
    </w:p>
  </w:footnote>
  <w:footnote w:id="315">
    <w:p w14:paraId="470FC70A" w14:textId="77777777" w:rsidR="005A260F" w:rsidRPr="00EC0A7D" w:rsidRDefault="005A260F" w:rsidP="00413229">
      <w:pPr>
        <w:pStyle w:val="FootnoteText"/>
      </w:pPr>
      <w:r>
        <w:rPr>
          <w:rStyle w:val="FootnoteReference"/>
        </w:rPr>
        <w:footnoteRef/>
      </w:r>
      <w:r>
        <w:t xml:space="preserve"> See </w:t>
      </w:r>
      <w:r w:rsidRPr="00EC0A7D">
        <w:t xml:space="preserve">Francesco </w:t>
      </w:r>
      <w:proofErr w:type="spellStart"/>
      <w:r w:rsidRPr="00EC0A7D">
        <w:t>Guerrera</w:t>
      </w:r>
      <w:proofErr w:type="spellEnd"/>
      <w:r>
        <w:t>, ‘</w:t>
      </w:r>
      <w:r w:rsidRPr="00EC0A7D">
        <w:t>Welch condemns share price focus</w:t>
      </w:r>
      <w:r>
        <w:t xml:space="preserve">’ </w:t>
      </w:r>
      <w:r>
        <w:rPr>
          <w:i/>
        </w:rPr>
        <w:t xml:space="preserve">Financial </w:t>
      </w:r>
      <w:r w:rsidRPr="007F5E88">
        <w:t>Times</w:t>
      </w:r>
      <w:r>
        <w:t xml:space="preserve"> (New York, 12 March 2009); see </w:t>
      </w:r>
      <w:r w:rsidRPr="00EC0A7D">
        <w:t>also</w:t>
      </w:r>
      <w:r>
        <w:t xml:space="preserve"> John Kay, </w:t>
      </w:r>
      <w:r w:rsidRPr="007F5E88">
        <w:rPr>
          <w:i/>
        </w:rPr>
        <w:t>Obliquity: Why our goals are best achieved indirectly</w:t>
      </w:r>
      <w:r>
        <w:t xml:space="preserve"> (</w:t>
      </w:r>
      <w:r w:rsidRPr="00EC0A7D">
        <w:t>Profile Books</w:t>
      </w:r>
      <w:r>
        <w:t xml:space="preserv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948BD" w14:textId="1E267B97" w:rsidR="005A260F" w:rsidRDefault="005A260F" w:rsidP="00991CFF">
    <w:pPr>
      <w:pStyle w:val="Header"/>
      <w:tabs>
        <w:tab w:val="clear" w:pos="4513"/>
        <w:tab w:val="clear" w:pos="9026"/>
        <w:tab w:val="left" w:pos="654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7D421" w14:textId="7CE81F47" w:rsidR="005A260F" w:rsidRDefault="005A260F" w:rsidP="000F3D76">
    <w:pPr>
      <w:pStyle w:val="Header"/>
      <w:tabs>
        <w:tab w:val="clear" w:pos="4513"/>
        <w:tab w:val="clear" w:pos="9026"/>
        <w:tab w:val="left" w:pos="6195"/>
      </w:tabs>
    </w:pPr>
    <w:r>
      <w:tab/>
    </w:r>
  </w:p>
  <w:p w14:paraId="7086B37C" w14:textId="77777777" w:rsidR="005A260F" w:rsidRDefault="005A26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83558"/>
    <w:multiLevelType w:val="hybridMultilevel"/>
    <w:tmpl w:val="49803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8B688F"/>
    <w:multiLevelType w:val="multilevel"/>
    <w:tmpl w:val="FA5E6B5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05F65AB3"/>
    <w:multiLevelType w:val="hybridMultilevel"/>
    <w:tmpl w:val="B75E0A98"/>
    <w:lvl w:ilvl="0" w:tplc="F21491B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783608F"/>
    <w:multiLevelType w:val="hybridMultilevel"/>
    <w:tmpl w:val="56E6085C"/>
    <w:lvl w:ilvl="0" w:tplc="F21491B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2167B8E"/>
    <w:multiLevelType w:val="hybridMultilevel"/>
    <w:tmpl w:val="2D4E7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A03FDE"/>
    <w:multiLevelType w:val="hybridMultilevel"/>
    <w:tmpl w:val="F57A0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8A684C"/>
    <w:multiLevelType w:val="hybridMultilevel"/>
    <w:tmpl w:val="C9FC4A4E"/>
    <w:lvl w:ilvl="0" w:tplc="AE9AE0DE">
      <w:start w:val="1"/>
      <w:numFmt w:val="decimal"/>
      <w:lvlText w:val="%1."/>
      <w:lvlJc w:val="left"/>
      <w:pPr>
        <w:ind w:left="720" w:hanging="360"/>
      </w:pPr>
      <w:rPr>
        <w:rFonts w:hint="default"/>
        <w:b/>
        <w:i w:val="0"/>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4DE7993"/>
    <w:multiLevelType w:val="hybridMultilevel"/>
    <w:tmpl w:val="49803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BFE1EF3"/>
    <w:multiLevelType w:val="hybridMultilevel"/>
    <w:tmpl w:val="DFFC8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F536592"/>
    <w:multiLevelType w:val="multilevel"/>
    <w:tmpl w:val="A11ACD3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52D27B4D"/>
    <w:multiLevelType w:val="hybridMultilevel"/>
    <w:tmpl w:val="2374A22E"/>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211"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B8A7857"/>
    <w:multiLevelType w:val="hybridMultilevel"/>
    <w:tmpl w:val="E89C6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75A2A52"/>
    <w:multiLevelType w:val="hybridMultilevel"/>
    <w:tmpl w:val="49803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9E66A52"/>
    <w:multiLevelType w:val="hybridMultilevel"/>
    <w:tmpl w:val="49803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10"/>
  </w:num>
  <w:num w:numId="5">
    <w:abstractNumId w:val="11"/>
  </w:num>
  <w:num w:numId="6">
    <w:abstractNumId w:val="6"/>
  </w:num>
  <w:num w:numId="7">
    <w:abstractNumId w:val="1"/>
  </w:num>
  <w:num w:numId="8">
    <w:abstractNumId w:val="9"/>
  </w:num>
  <w:num w:numId="9">
    <w:abstractNumId w:val="2"/>
  </w:num>
  <w:num w:numId="10">
    <w:abstractNumId w:val="3"/>
  </w:num>
  <w:num w:numId="11">
    <w:abstractNumId w:val="0"/>
  </w:num>
  <w:num w:numId="12">
    <w:abstractNumId w:val="7"/>
  </w:num>
  <w:num w:numId="13">
    <w:abstractNumId w:val="13"/>
  </w:num>
  <w:num w:numId="14">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on Deakin">
    <w15:presenceInfo w15:providerId="None" w15:userId="Simon Deak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1A9"/>
    <w:rsid w:val="00000B21"/>
    <w:rsid w:val="00004F71"/>
    <w:rsid w:val="00007527"/>
    <w:rsid w:val="00007A3B"/>
    <w:rsid w:val="00007FCC"/>
    <w:rsid w:val="00012336"/>
    <w:rsid w:val="00012939"/>
    <w:rsid w:val="00014A07"/>
    <w:rsid w:val="00015C92"/>
    <w:rsid w:val="00016032"/>
    <w:rsid w:val="000179D6"/>
    <w:rsid w:val="0002675C"/>
    <w:rsid w:val="00031138"/>
    <w:rsid w:val="00033F8B"/>
    <w:rsid w:val="00044179"/>
    <w:rsid w:val="00054F74"/>
    <w:rsid w:val="0005641B"/>
    <w:rsid w:val="000624CD"/>
    <w:rsid w:val="00064B3E"/>
    <w:rsid w:val="00066A89"/>
    <w:rsid w:val="00071052"/>
    <w:rsid w:val="0008309E"/>
    <w:rsid w:val="00083E6D"/>
    <w:rsid w:val="000842F4"/>
    <w:rsid w:val="00085DD2"/>
    <w:rsid w:val="0008655D"/>
    <w:rsid w:val="0008680B"/>
    <w:rsid w:val="00086C30"/>
    <w:rsid w:val="00092CDD"/>
    <w:rsid w:val="00092FD7"/>
    <w:rsid w:val="0009502F"/>
    <w:rsid w:val="00095A1D"/>
    <w:rsid w:val="000A5358"/>
    <w:rsid w:val="000A67E9"/>
    <w:rsid w:val="000A710F"/>
    <w:rsid w:val="000B18A1"/>
    <w:rsid w:val="000B35AF"/>
    <w:rsid w:val="000C1FBC"/>
    <w:rsid w:val="000C475E"/>
    <w:rsid w:val="000D2205"/>
    <w:rsid w:val="000D27FA"/>
    <w:rsid w:val="000D4DD3"/>
    <w:rsid w:val="000D548C"/>
    <w:rsid w:val="000F0809"/>
    <w:rsid w:val="000F0925"/>
    <w:rsid w:val="000F3D76"/>
    <w:rsid w:val="000F4B19"/>
    <w:rsid w:val="000F7749"/>
    <w:rsid w:val="00101169"/>
    <w:rsid w:val="00103203"/>
    <w:rsid w:val="00103D44"/>
    <w:rsid w:val="00104D22"/>
    <w:rsid w:val="001117B4"/>
    <w:rsid w:val="00112449"/>
    <w:rsid w:val="0011446A"/>
    <w:rsid w:val="00120400"/>
    <w:rsid w:val="00121E34"/>
    <w:rsid w:val="00122856"/>
    <w:rsid w:val="00124843"/>
    <w:rsid w:val="001248AC"/>
    <w:rsid w:val="0013452B"/>
    <w:rsid w:val="001369CF"/>
    <w:rsid w:val="00140AFF"/>
    <w:rsid w:val="00140B84"/>
    <w:rsid w:val="00141C8A"/>
    <w:rsid w:val="00146A44"/>
    <w:rsid w:val="001529DB"/>
    <w:rsid w:val="00156943"/>
    <w:rsid w:val="00157338"/>
    <w:rsid w:val="00162493"/>
    <w:rsid w:val="001709E9"/>
    <w:rsid w:val="0017517F"/>
    <w:rsid w:val="00177621"/>
    <w:rsid w:val="001777E2"/>
    <w:rsid w:val="00177CD2"/>
    <w:rsid w:val="001814AD"/>
    <w:rsid w:val="001839FE"/>
    <w:rsid w:val="0018441B"/>
    <w:rsid w:val="00185C56"/>
    <w:rsid w:val="001871BA"/>
    <w:rsid w:val="001A11E5"/>
    <w:rsid w:val="001A3328"/>
    <w:rsid w:val="001A5542"/>
    <w:rsid w:val="001A6C14"/>
    <w:rsid w:val="001A7D2D"/>
    <w:rsid w:val="001A7DDC"/>
    <w:rsid w:val="001B2CDF"/>
    <w:rsid w:val="001B5B92"/>
    <w:rsid w:val="001C44E3"/>
    <w:rsid w:val="001D4359"/>
    <w:rsid w:val="001D5E25"/>
    <w:rsid w:val="001E0D75"/>
    <w:rsid w:val="001E10D7"/>
    <w:rsid w:val="001E22CD"/>
    <w:rsid w:val="001E4855"/>
    <w:rsid w:val="001E5718"/>
    <w:rsid w:val="001E5B06"/>
    <w:rsid w:val="001E5CED"/>
    <w:rsid w:val="001F0347"/>
    <w:rsid w:val="001F07A4"/>
    <w:rsid w:val="001F33E6"/>
    <w:rsid w:val="001F4933"/>
    <w:rsid w:val="001F4D5E"/>
    <w:rsid w:val="001F5938"/>
    <w:rsid w:val="00201C40"/>
    <w:rsid w:val="0020453E"/>
    <w:rsid w:val="002073DE"/>
    <w:rsid w:val="002076F6"/>
    <w:rsid w:val="00215C4E"/>
    <w:rsid w:val="002227A1"/>
    <w:rsid w:val="002251F8"/>
    <w:rsid w:val="00232B7E"/>
    <w:rsid w:val="00232D4D"/>
    <w:rsid w:val="0023706E"/>
    <w:rsid w:val="002376C2"/>
    <w:rsid w:val="00237DCE"/>
    <w:rsid w:val="00237F28"/>
    <w:rsid w:val="00245569"/>
    <w:rsid w:val="002528F2"/>
    <w:rsid w:val="00254888"/>
    <w:rsid w:val="002579CE"/>
    <w:rsid w:val="00260FBA"/>
    <w:rsid w:val="0026755B"/>
    <w:rsid w:val="0027423A"/>
    <w:rsid w:val="00280B1E"/>
    <w:rsid w:val="002844B4"/>
    <w:rsid w:val="00286C92"/>
    <w:rsid w:val="00287E55"/>
    <w:rsid w:val="00287EC4"/>
    <w:rsid w:val="00294826"/>
    <w:rsid w:val="00294EFC"/>
    <w:rsid w:val="002961CF"/>
    <w:rsid w:val="00296E33"/>
    <w:rsid w:val="002972B7"/>
    <w:rsid w:val="002A231B"/>
    <w:rsid w:val="002A452D"/>
    <w:rsid w:val="002A5436"/>
    <w:rsid w:val="002A6FCF"/>
    <w:rsid w:val="002B5A66"/>
    <w:rsid w:val="002C076C"/>
    <w:rsid w:val="002C126A"/>
    <w:rsid w:val="002C22C1"/>
    <w:rsid w:val="002C28DE"/>
    <w:rsid w:val="002C7B29"/>
    <w:rsid w:val="002D1017"/>
    <w:rsid w:val="002D1061"/>
    <w:rsid w:val="002D22FD"/>
    <w:rsid w:val="002D31ED"/>
    <w:rsid w:val="002D4F92"/>
    <w:rsid w:val="002D53C1"/>
    <w:rsid w:val="002E2586"/>
    <w:rsid w:val="002E2D7B"/>
    <w:rsid w:val="002F4A24"/>
    <w:rsid w:val="002F706A"/>
    <w:rsid w:val="002F7E79"/>
    <w:rsid w:val="00304D9F"/>
    <w:rsid w:val="003073B9"/>
    <w:rsid w:val="003105EB"/>
    <w:rsid w:val="00310AAF"/>
    <w:rsid w:val="00316518"/>
    <w:rsid w:val="00317CA8"/>
    <w:rsid w:val="003225D0"/>
    <w:rsid w:val="00322652"/>
    <w:rsid w:val="00325FF0"/>
    <w:rsid w:val="00332D0F"/>
    <w:rsid w:val="00333B6F"/>
    <w:rsid w:val="003355B4"/>
    <w:rsid w:val="00337C17"/>
    <w:rsid w:val="00343CC8"/>
    <w:rsid w:val="0034476B"/>
    <w:rsid w:val="00347505"/>
    <w:rsid w:val="0035266B"/>
    <w:rsid w:val="00352B3B"/>
    <w:rsid w:val="00355308"/>
    <w:rsid w:val="0035615B"/>
    <w:rsid w:val="00362CC9"/>
    <w:rsid w:val="00364820"/>
    <w:rsid w:val="0037234B"/>
    <w:rsid w:val="00372981"/>
    <w:rsid w:val="00373675"/>
    <w:rsid w:val="0037553A"/>
    <w:rsid w:val="00377293"/>
    <w:rsid w:val="00382CA5"/>
    <w:rsid w:val="00386B9E"/>
    <w:rsid w:val="00387BAC"/>
    <w:rsid w:val="00387C5B"/>
    <w:rsid w:val="003910F8"/>
    <w:rsid w:val="00393EF3"/>
    <w:rsid w:val="00395C3B"/>
    <w:rsid w:val="003A3091"/>
    <w:rsid w:val="003A3ACD"/>
    <w:rsid w:val="003A5BB6"/>
    <w:rsid w:val="003A64B8"/>
    <w:rsid w:val="003A6EDB"/>
    <w:rsid w:val="003B0CBB"/>
    <w:rsid w:val="003B198D"/>
    <w:rsid w:val="003B70EE"/>
    <w:rsid w:val="003B75D9"/>
    <w:rsid w:val="003C4939"/>
    <w:rsid w:val="003C6016"/>
    <w:rsid w:val="003C6FB0"/>
    <w:rsid w:val="003C76E3"/>
    <w:rsid w:val="003D156A"/>
    <w:rsid w:val="003D7A18"/>
    <w:rsid w:val="003E0BBB"/>
    <w:rsid w:val="003E11A9"/>
    <w:rsid w:val="003E1F26"/>
    <w:rsid w:val="003E3DC5"/>
    <w:rsid w:val="003E3FE2"/>
    <w:rsid w:val="003E4186"/>
    <w:rsid w:val="003E5793"/>
    <w:rsid w:val="003E5C5F"/>
    <w:rsid w:val="003E6455"/>
    <w:rsid w:val="003E674F"/>
    <w:rsid w:val="003F0EBD"/>
    <w:rsid w:val="003F27A6"/>
    <w:rsid w:val="003F2EDF"/>
    <w:rsid w:val="003F437A"/>
    <w:rsid w:val="003F7312"/>
    <w:rsid w:val="003F7674"/>
    <w:rsid w:val="0040102C"/>
    <w:rsid w:val="00401484"/>
    <w:rsid w:val="0040172D"/>
    <w:rsid w:val="00401C51"/>
    <w:rsid w:val="00403379"/>
    <w:rsid w:val="00407825"/>
    <w:rsid w:val="00413229"/>
    <w:rsid w:val="00415382"/>
    <w:rsid w:val="004217D2"/>
    <w:rsid w:val="004218EA"/>
    <w:rsid w:val="00422208"/>
    <w:rsid w:val="004227CC"/>
    <w:rsid w:val="004239CA"/>
    <w:rsid w:val="00423E1B"/>
    <w:rsid w:val="00424919"/>
    <w:rsid w:val="004274D4"/>
    <w:rsid w:val="00431778"/>
    <w:rsid w:val="00431F7A"/>
    <w:rsid w:val="00433240"/>
    <w:rsid w:val="004332CA"/>
    <w:rsid w:val="00435ED1"/>
    <w:rsid w:val="00440C57"/>
    <w:rsid w:val="00442FF0"/>
    <w:rsid w:val="00444B56"/>
    <w:rsid w:val="00447461"/>
    <w:rsid w:val="004514D4"/>
    <w:rsid w:val="0045275D"/>
    <w:rsid w:val="004528F3"/>
    <w:rsid w:val="0045518D"/>
    <w:rsid w:val="00456C2C"/>
    <w:rsid w:val="004578F1"/>
    <w:rsid w:val="00457FD7"/>
    <w:rsid w:val="00460F51"/>
    <w:rsid w:val="0046305A"/>
    <w:rsid w:val="00463DC3"/>
    <w:rsid w:val="0046466D"/>
    <w:rsid w:val="00467BA9"/>
    <w:rsid w:val="004700D0"/>
    <w:rsid w:val="004706AF"/>
    <w:rsid w:val="00474BA5"/>
    <w:rsid w:val="00476D65"/>
    <w:rsid w:val="004775ED"/>
    <w:rsid w:val="004804F6"/>
    <w:rsid w:val="004830CF"/>
    <w:rsid w:val="004843C7"/>
    <w:rsid w:val="00490963"/>
    <w:rsid w:val="00491ECD"/>
    <w:rsid w:val="00493FEF"/>
    <w:rsid w:val="00495963"/>
    <w:rsid w:val="004977DD"/>
    <w:rsid w:val="004A3CDB"/>
    <w:rsid w:val="004B0C86"/>
    <w:rsid w:val="004C0E2C"/>
    <w:rsid w:val="004C328C"/>
    <w:rsid w:val="004C3370"/>
    <w:rsid w:val="004C43AA"/>
    <w:rsid w:val="004D0BC6"/>
    <w:rsid w:val="004D163A"/>
    <w:rsid w:val="004D305C"/>
    <w:rsid w:val="004D4750"/>
    <w:rsid w:val="004E04CD"/>
    <w:rsid w:val="004E42AA"/>
    <w:rsid w:val="004E4BE5"/>
    <w:rsid w:val="004F3BAA"/>
    <w:rsid w:val="004F5400"/>
    <w:rsid w:val="004F6102"/>
    <w:rsid w:val="0050185C"/>
    <w:rsid w:val="00503B6E"/>
    <w:rsid w:val="00503F42"/>
    <w:rsid w:val="00504C90"/>
    <w:rsid w:val="005051B2"/>
    <w:rsid w:val="00511D06"/>
    <w:rsid w:val="00513EA3"/>
    <w:rsid w:val="005156F4"/>
    <w:rsid w:val="00515A6E"/>
    <w:rsid w:val="00520E15"/>
    <w:rsid w:val="0052125B"/>
    <w:rsid w:val="005234B7"/>
    <w:rsid w:val="00524379"/>
    <w:rsid w:val="00530AD2"/>
    <w:rsid w:val="00531F64"/>
    <w:rsid w:val="00534951"/>
    <w:rsid w:val="0053674C"/>
    <w:rsid w:val="00537184"/>
    <w:rsid w:val="00541878"/>
    <w:rsid w:val="005449CE"/>
    <w:rsid w:val="00546220"/>
    <w:rsid w:val="00550063"/>
    <w:rsid w:val="005512C0"/>
    <w:rsid w:val="00552D14"/>
    <w:rsid w:val="00553F6D"/>
    <w:rsid w:val="00556513"/>
    <w:rsid w:val="00560E96"/>
    <w:rsid w:val="0056163E"/>
    <w:rsid w:val="00561F9C"/>
    <w:rsid w:val="00564F75"/>
    <w:rsid w:val="00566F90"/>
    <w:rsid w:val="00571546"/>
    <w:rsid w:val="005747CB"/>
    <w:rsid w:val="00582BF6"/>
    <w:rsid w:val="005838D6"/>
    <w:rsid w:val="00594ADF"/>
    <w:rsid w:val="005A0861"/>
    <w:rsid w:val="005A0CC0"/>
    <w:rsid w:val="005A260F"/>
    <w:rsid w:val="005A4940"/>
    <w:rsid w:val="005A4EFD"/>
    <w:rsid w:val="005A628A"/>
    <w:rsid w:val="005B1764"/>
    <w:rsid w:val="005B1FF5"/>
    <w:rsid w:val="005B5D36"/>
    <w:rsid w:val="005B70F0"/>
    <w:rsid w:val="005C002C"/>
    <w:rsid w:val="005C132D"/>
    <w:rsid w:val="005C5607"/>
    <w:rsid w:val="005C6036"/>
    <w:rsid w:val="005C7D74"/>
    <w:rsid w:val="005D1291"/>
    <w:rsid w:val="005D2528"/>
    <w:rsid w:val="005E1A92"/>
    <w:rsid w:val="005E37A5"/>
    <w:rsid w:val="005F12CB"/>
    <w:rsid w:val="005F130A"/>
    <w:rsid w:val="005F32A2"/>
    <w:rsid w:val="005F5918"/>
    <w:rsid w:val="005F7474"/>
    <w:rsid w:val="005F7BBE"/>
    <w:rsid w:val="0060692A"/>
    <w:rsid w:val="00611709"/>
    <w:rsid w:val="0061335B"/>
    <w:rsid w:val="00616B90"/>
    <w:rsid w:val="0062033F"/>
    <w:rsid w:val="00626D7E"/>
    <w:rsid w:val="00630635"/>
    <w:rsid w:val="0063129B"/>
    <w:rsid w:val="00631646"/>
    <w:rsid w:val="00631A71"/>
    <w:rsid w:val="00631BA0"/>
    <w:rsid w:val="00633113"/>
    <w:rsid w:val="006341E6"/>
    <w:rsid w:val="00634917"/>
    <w:rsid w:val="00636A41"/>
    <w:rsid w:val="0064116C"/>
    <w:rsid w:val="0064168A"/>
    <w:rsid w:val="006439D4"/>
    <w:rsid w:val="00643F8B"/>
    <w:rsid w:val="006452C3"/>
    <w:rsid w:val="00646E35"/>
    <w:rsid w:val="00647E5D"/>
    <w:rsid w:val="006568B3"/>
    <w:rsid w:val="00656A30"/>
    <w:rsid w:val="00670631"/>
    <w:rsid w:val="00672FDA"/>
    <w:rsid w:val="00673121"/>
    <w:rsid w:val="00674CFA"/>
    <w:rsid w:val="0067502E"/>
    <w:rsid w:val="0067604A"/>
    <w:rsid w:val="00686AC5"/>
    <w:rsid w:val="00694087"/>
    <w:rsid w:val="006A13CA"/>
    <w:rsid w:val="006A19BB"/>
    <w:rsid w:val="006A3C1B"/>
    <w:rsid w:val="006A535D"/>
    <w:rsid w:val="006A58E6"/>
    <w:rsid w:val="006A7586"/>
    <w:rsid w:val="006A7F18"/>
    <w:rsid w:val="006B14B4"/>
    <w:rsid w:val="006B4235"/>
    <w:rsid w:val="006B62A9"/>
    <w:rsid w:val="006B733D"/>
    <w:rsid w:val="006C147A"/>
    <w:rsid w:val="006C231A"/>
    <w:rsid w:val="006C3739"/>
    <w:rsid w:val="006C4549"/>
    <w:rsid w:val="006C6724"/>
    <w:rsid w:val="006C7B36"/>
    <w:rsid w:val="006C7EB6"/>
    <w:rsid w:val="006D61AC"/>
    <w:rsid w:val="006D679F"/>
    <w:rsid w:val="006E02EC"/>
    <w:rsid w:val="006E09FF"/>
    <w:rsid w:val="006E1A8F"/>
    <w:rsid w:val="006E2191"/>
    <w:rsid w:val="006E576A"/>
    <w:rsid w:val="006F3140"/>
    <w:rsid w:val="006F5C00"/>
    <w:rsid w:val="007025E7"/>
    <w:rsid w:val="00703C28"/>
    <w:rsid w:val="007054B9"/>
    <w:rsid w:val="00705F75"/>
    <w:rsid w:val="00710A49"/>
    <w:rsid w:val="00710C95"/>
    <w:rsid w:val="007110B1"/>
    <w:rsid w:val="00711E32"/>
    <w:rsid w:val="007160BC"/>
    <w:rsid w:val="00716E06"/>
    <w:rsid w:val="007178FE"/>
    <w:rsid w:val="0072405D"/>
    <w:rsid w:val="007241C4"/>
    <w:rsid w:val="0072435F"/>
    <w:rsid w:val="00737EB5"/>
    <w:rsid w:val="00741554"/>
    <w:rsid w:val="00747F2B"/>
    <w:rsid w:val="00752AF2"/>
    <w:rsid w:val="007662C3"/>
    <w:rsid w:val="007761E1"/>
    <w:rsid w:val="00782BB6"/>
    <w:rsid w:val="00784F24"/>
    <w:rsid w:val="0078660A"/>
    <w:rsid w:val="0078719A"/>
    <w:rsid w:val="007941C8"/>
    <w:rsid w:val="00796AEC"/>
    <w:rsid w:val="007A2F85"/>
    <w:rsid w:val="007A505E"/>
    <w:rsid w:val="007A58DD"/>
    <w:rsid w:val="007A67A4"/>
    <w:rsid w:val="007A7C79"/>
    <w:rsid w:val="007B0138"/>
    <w:rsid w:val="007C1575"/>
    <w:rsid w:val="007C2488"/>
    <w:rsid w:val="007C3C37"/>
    <w:rsid w:val="007C43F5"/>
    <w:rsid w:val="007C4854"/>
    <w:rsid w:val="007C4C74"/>
    <w:rsid w:val="007C4CDE"/>
    <w:rsid w:val="007D0FFA"/>
    <w:rsid w:val="007D1899"/>
    <w:rsid w:val="007D1C4E"/>
    <w:rsid w:val="007D2794"/>
    <w:rsid w:val="007D392C"/>
    <w:rsid w:val="007D3BE9"/>
    <w:rsid w:val="007D5FFF"/>
    <w:rsid w:val="007E3CE6"/>
    <w:rsid w:val="007F06A8"/>
    <w:rsid w:val="007F107F"/>
    <w:rsid w:val="007F4AD4"/>
    <w:rsid w:val="00801F79"/>
    <w:rsid w:val="0081004B"/>
    <w:rsid w:val="0081058F"/>
    <w:rsid w:val="008126CE"/>
    <w:rsid w:val="0081355C"/>
    <w:rsid w:val="00814A41"/>
    <w:rsid w:val="008213BE"/>
    <w:rsid w:val="0082152B"/>
    <w:rsid w:val="00821959"/>
    <w:rsid w:val="00824682"/>
    <w:rsid w:val="008271BE"/>
    <w:rsid w:val="008273EE"/>
    <w:rsid w:val="00831014"/>
    <w:rsid w:val="008313CD"/>
    <w:rsid w:val="00831987"/>
    <w:rsid w:val="00832498"/>
    <w:rsid w:val="00834C34"/>
    <w:rsid w:val="00841EDB"/>
    <w:rsid w:val="00842BBC"/>
    <w:rsid w:val="00844199"/>
    <w:rsid w:val="008452E8"/>
    <w:rsid w:val="00847F42"/>
    <w:rsid w:val="008522B7"/>
    <w:rsid w:val="00855858"/>
    <w:rsid w:val="008652DD"/>
    <w:rsid w:val="008663BA"/>
    <w:rsid w:val="008729A6"/>
    <w:rsid w:val="0087341C"/>
    <w:rsid w:val="00877444"/>
    <w:rsid w:val="008826F1"/>
    <w:rsid w:val="00883281"/>
    <w:rsid w:val="008936D3"/>
    <w:rsid w:val="0089396C"/>
    <w:rsid w:val="00895400"/>
    <w:rsid w:val="00895ADF"/>
    <w:rsid w:val="00896AE2"/>
    <w:rsid w:val="00897193"/>
    <w:rsid w:val="008A45A3"/>
    <w:rsid w:val="008A479F"/>
    <w:rsid w:val="008A5A08"/>
    <w:rsid w:val="008A6A51"/>
    <w:rsid w:val="008B09B9"/>
    <w:rsid w:val="008B491E"/>
    <w:rsid w:val="008C2BA4"/>
    <w:rsid w:val="008C2F66"/>
    <w:rsid w:val="008C67B2"/>
    <w:rsid w:val="008D0CF6"/>
    <w:rsid w:val="008D100D"/>
    <w:rsid w:val="008D29FA"/>
    <w:rsid w:val="008D2F0C"/>
    <w:rsid w:val="008E097C"/>
    <w:rsid w:val="008E32F7"/>
    <w:rsid w:val="008E4FCD"/>
    <w:rsid w:val="008E6638"/>
    <w:rsid w:val="008F052E"/>
    <w:rsid w:val="008F350F"/>
    <w:rsid w:val="008F710B"/>
    <w:rsid w:val="0090221A"/>
    <w:rsid w:val="00902A0F"/>
    <w:rsid w:val="0090402F"/>
    <w:rsid w:val="009102E6"/>
    <w:rsid w:val="00933F22"/>
    <w:rsid w:val="00935B9B"/>
    <w:rsid w:val="009371B3"/>
    <w:rsid w:val="00940A03"/>
    <w:rsid w:val="00943FDF"/>
    <w:rsid w:val="00956A0C"/>
    <w:rsid w:val="00965A9B"/>
    <w:rsid w:val="009677C3"/>
    <w:rsid w:val="00967F2A"/>
    <w:rsid w:val="00972997"/>
    <w:rsid w:val="00972E69"/>
    <w:rsid w:val="009816DB"/>
    <w:rsid w:val="00987840"/>
    <w:rsid w:val="00991CFF"/>
    <w:rsid w:val="00992C79"/>
    <w:rsid w:val="009958E8"/>
    <w:rsid w:val="00996F73"/>
    <w:rsid w:val="009A4FC2"/>
    <w:rsid w:val="009B0A59"/>
    <w:rsid w:val="009B0DA6"/>
    <w:rsid w:val="009B30AB"/>
    <w:rsid w:val="009B4EA5"/>
    <w:rsid w:val="009B4FAE"/>
    <w:rsid w:val="009C75FF"/>
    <w:rsid w:val="009D7287"/>
    <w:rsid w:val="009E0007"/>
    <w:rsid w:val="009E03B8"/>
    <w:rsid w:val="009E5063"/>
    <w:rsid w:val="009E724F"/>
    <w:rsid w:val="009F0A68"/>
    <w:rsid w:val="009F21E0"/>
    <w:rsid w:val="009F68BD"/>
    <w:rsid w:val="009F6E7E"/>
    <w:rsid w:val="00A012A1"/>
    <w:rsid w:val="00A02B86"/>
    <w:rsid w:val="00A03371"/>
    <w:rsid w:val="00A07A47"/>
    <w:rsid w:val="00A07AAA"/>
    <w:rsid w:val="00A133F6"/>
    <w:rsid w:val="00A13A0B"/>
    <w:rsid w:val="00A13F37"/>
    <w:rsid w:val="00A153DE"/>
    <w:rsid w:val="00A15496"/>
    <w:rsid w:val="00A1570A"/>
    <w:rsid w:val="00A174D3"/>
    <w:rsid w:val="00A274CF"/>
    <w:rsid w:val="00A27B29"/>
    <w:rsid w:val="00A30C61"/>
    <w:rsid w:val="00A32223"/>
    <w:rsid w:val="00A32411"/>
    <w:rsid w:val="00A32B2A"/>
    <w:rsid w:val="00A365AF"/>
    <w:rsid w:val="00A415AC"/>
    <w:rsid w:val="00A41F72"/>
    <w:rsid w:val="00A42745"/>
    <w:rsid w:val="00A50ECD"/>
    <w:rsid w:val="00A51FB7"/>
    <w:rsid w:val="00A520A9"/>
    <w:rsid w:val="00A52533"/>
    <w:rsid w:val="00A56CE2"/>
    <w:rsid w:val="00A64156"/>
    <w:rsid w:val="00A64D1F"/>
    <w:rsid w:val="00A64F2B"/>
    <w:rsid w:val="00A672F7"/>
    <w:rsid w:val="00A72C9B"/>
    <w:rsid w:val="00A81578"/>
    <w:rsid w:val="00A82119"/>
    <w:rsid w:val="00A92A55"/>
    <w:rsid w:val="00AA01AB"/>
    <w:rsid w:val="00AA063E"/>
    <w:rsid w:val="00AA29AF"/>
    <w:rsid w:val="00AA5664"/>
    <w:rsid w:val="00AA5DD7"/>
    <w:rsid w:val="00AB0535"/>
    <w:rsid w:val="00AB3B04"/>
    <w:rsid w:val="00AB53C3"/>
    <w:rsid w:val="00AC1055"/>
    <w:rsid w:val="00AC5081"/>
    <w:rsid w:val="00AD0593"/>
    <w:rsid w:val="00AD4C62"/>
    <w:rsid w:val="00AE1D25"/>
    <w:rsid w:val="00AE1E52"/>
    <w:rsid w:val="00AF0C0C"/>
    <w:rsid w:val="00AF15C3"/>
    <w:rsid w:val="00AF2D72"/>
    <w:rsid w:val="00AF2EA0"/>
    <w:rsid w:val="00AF6C60"/>
    <w:rsid w:val="00B0087D"/>
    <w:rsid w:val="00B029B2"/>
    <w:rsid w:val="00B05F8E"/>
    <w:rsid w:val="00B06571"/>
    <w:rsid w:val="00B14D62"/>
    <w:rsid w:val="00B1545E"/>
    <w:rsid w:val="00B20D60"/>
    <w:rsid w:val="00B241E8"/>
    <w:rsid w:val="00B24FAC"/>
    <w:rsid w:val="00B30D89"/>
    <w:rsid w:val="00B3391F"/>
    <w:rsid w:val="00B37127"/>
    <w:rsid w:val="00B42D84"/>
    <w:rsid w:val="00B461CE"/>
    <w:rsid w:val="00B51A04"/>
    <w:rsid w:val="00B53419"/>
    <w:rsid w:val="00B53B4B"/>
    <w:rsid w:val="00B54773"/>
    <w:rsid w:val="00B5488B"/>
    <w:rsid w:val="00B5776B"/>
    <w:rsid w:val="00B630A4"/>
    <w:rsid w:val="00B6551E"/>
    <w:rsid w:val="00B66674"/>
    <w:rsid w:val="00B721BF"/>
    <w:rsid w:val="00B73828"/>
    <w:rsid w:val="00B73F3F"/>
    <w:rsid w:val="00B741F3"/>
    <w:rsid w:val="00B765FA"/>
    <w:rsid w:val="00B76BA3"/>
    <w:rsid w:val="00B82079"/>
    <w:rsid w:val="00B92814"/>
    <w:rsid w:val="00B9449D"/>
    <w:rsid w:val="00B9528B"/>
    <w:rsid w:val="00B95E1F"/>
    <w:rsid w:val="00BA05AD"/>
    <w:rsid w:val="00BA2BE1"/>
    <w:rsid w:val="00BA4E66"/>
    <w:rsid w:val="00BA5106"/>
    <w:rsid w:val="00BA62DE"/>
    <w:rsid w:val="00BB0B03"/>
    <w:rsid w:val="00BC50B5"/>
    <w:rsid w:val="00BC5DE2"/>
    <w:rsid w:val="00BD2318"/>
    <w:rsid w:val="00BD3703"/>
    <w:rsid w:val="00BD6CDD"/>
    <w:rsid w:val="00BD70A8"/>
    <w:rsid w:val="00BE15A8"/>
    <w:rsid w:val="00BE6142"/>
    <w:rsid w:val="00BF3D7E"/>
    <w:rsid w:val="00C07BFF"/>
    <w:rsid w:val="00C1057A"/>
    <w:rsid w:val="00C11435"/>
    <w:rsid w:val="00C11A4F"/>
    <w:rsid w:val="00C12DE4"/>
    <w:rsid w:val="00C14F47"/>
    <w:rsid w:val="00C17EC3"/>
    <w:rsid w:val="00C25E72"/>
    <w:rsid w:val="00C26C88"/>
    <w:rsid w:val="00C302D0"/>
    <w:rsid w:val="00C35304"/>
    <w:rsid w:val="00C3568E"/>
    <w:rsid w:val="00C3689D"/>
    <w:rsid w:val="00C370A2"/>
    <w:rsid w:val="00C44142"/>
    <w:rsid w:val="00C447AA"/>
    <w:rsid w:val="00C45171"/>
    <w:rsid w:val="00C47945"/>
    <w:rsid w:val="00C50669"/>
    <w:rsid w:val="00C51024"/>
    <w:rsid w:val="00C5406B"/>
    <w:rsid w:val="00C61B9C"/>
    <w:rsid w:val="00C6229C"/>
    <w:rsid w:val="00C639F5"/>
    <w:rsid w:val="00C63AB5"/>
    <w:rsid w:val="00C63BE5"/>
    <w:rsid w:val="00C64B44"/>
    <w:rsid w:val="00C65B8E"/>
    <w:rsid w:val="00C66E0E"/>
    <w:rsid w:val="00C67920"/>
    <w:rsid w:val="00C73E72"/>
    <w:rsid w:val="00C7646D"/>
    <w:rsid w:val="00C77BFE"/>
    <w:rsid w:val="00C80666"/>
    <w:rsid w:val="00C80C40"/>
    <w:rsid w:val="00C83854"/>
    <w:rsid w:val="00C83DC5"/>
    <w:rsid w:val="00C8558A"/>
    <w:rsid w:val="00C86C6A"/>
    <w:rsid w:val="00C90A78"/>
    <w:rsid w:val="00C97C4D"/>
    <w:rsid w:val="00CA0845"/>
    <w:rsid w:val="00CA2604"/>
    <w:rsid w:val="00CA3C4A"/>
    <w:rsid w:val="00CB04AB"/>
    <w:rsid w:val="00CB2390"/>
    <w:rsid w:val="00CC0D4C"/>
    <w:rsid w:val="00CC1E51"/>
    <w:rsid w:val="00CC288D"/>
    <w:rsid w:val="00CC386F"/>
    <w:rsid w:val="00CC3EDB"/>
    <w:rsid w:val="00CC5EEB"/>
    <w:rsid w:val="00CD1259"/>
    <w:rsid w:val="00CD4A49"/>
    <w:rsid w:val="00CD4C77"/>
    <w:rsid w:val="00CD4EF9"/>
    <w:rsid w:val="00CD628E"/>
    <w:rsid w:val="00CD65BF"/>
    <w:rsid w:val="00CD6C5B"/>
    <w:rsid w:val="00CD76C6"/>
    <w:rsid w:val="00CD7EFD"/>
    <w:rsid w:val="00CE174F"/>
    <w:rsid w:val="00CE65C1"/>
    <w:rsid w:val="00CE6D12"/>
    <w:rsid w:val="00CF01ED"/>
    <w:rsid w:val="00CF3516"/>
    <w:rsid w:val="00CF682B"/>
    <w:rsid w:val="00D00B86"/>
    <w:rsid w:val="00D07032"/>
    <w:rsid w:val="00D11923"/>
    <w:rsid w:val="00D14CD7"/>
    <w:rsid w:val="00D15FE7"/>
    <w:rsid w:val="00D1699B"/>
    <w:rsid w:val="00D22650"/>
    <w:rsid w:val="00D23C88"/>
    <w:rsid w:val="00D26993"/>
    <w:rsid w:val="00D309F8"/>
    <w:rsid w:val="00D33862"/>
    <w:rsid w:val="00D357CC"/>
    <w:rsid w:val="00D40F3B"/>
    <w:rsid w:val="00D4385B"/>
    <w:rsid w:val="00D44D5B"/>
    <w:rsid w:val="00D4552A"/>
    <w:rsid w:val="00D45A79"/>
    <w:rsid w:val="00D50EFA"/>
    <w:rsid w:val="00D523CB"/>
    <w:rsid w:val="00D7491D"/>
    <w:rsid w:val="00D77C51"/>
    <w:rsid w:val="00D81143"/>
    <w:rsid w:val="00D830D0"/>
    <w:rsid w:val="00D9012C"/>
    <w:rsid w:val="00D90725"/>
    <w:rsid w:val="00D92413"/>
    <w:rsid w:val="00D96A06"/>
    <w:rsid w:val="00DA3D5C"/>
    <w:rsid w:val="00DA439C"/>
    <w:rsid w:val="00DA653F"/>
    <w:rsid w:val="00DA7F36"/>
    <w:rsid w:val="00DB579C"/>
    <w:rsid w:val="00DB61DF"/>
    <w:rsid w:val="00DB6500"/>
    <w:rsid w:val="00DC15E4"/>
    <w:rsid w:val="00DC3F02"/>
    <w:rsid w:val="00DC7C39"/>
    <w:rsid w:val="00DD16A8"/>
    <w:rsid w:val="00DD1F9E"/>
    <w:rsid w:val="00DD2FE2"/>
    <w:rsid w:val="00DD66F0"/>
    <w:rsid w:val="00DD710F"/>
    <w:rsid w:val="00DD7D56"/>
    <w:rsid w:val="00DE4AD6"/>
    <w:rsid w:val="00DE4C71"/>
    <w:rsid w:val="00DE54A6"/>
    <w:rsid w:val="00DF6721"/>
    <w:rsid w:val="00DF79AC"/>
    <w:rsid w:val="00E00DE0"/>
    <w:rsid w:val="00E019F3"/>
    <w:rsid w:val="00E04CC2"/>
    <w:rsid w:val="00E05488"/>
    <w:rsid w:val="00E21331"/>
    <w:rsid w:val="00E23224"/>
    <w:rsid w:val="00E27460"/>
    <w:rsid w:val="00E33AA0"/>
    <w:rsid w:val="00E370BC"/>
    <w:rsid w:val="00E3780C"/>
    <w:rsid w:val="00E413DF"/>
    <w:rsid w:val="00E4163C"/>
    <w:rsid w:val="00E42B12"/>
    <w:rsid w:val="00E45041"/>
    <w:rsid w:val="00E46267"/>
    <w:rsid w:val="00E5006F"/>
    <w:rsid w:val="00E514DA"/>
    <w:rsid w:val="00E5500E"/>
    <w:rsid w:val="00E565A0"/>
    <w:rsid w:val="00E5777D"/>
    <w:rsid w:val="00E6123E"/>
    <w:rsid w:val="00E65E25"/>
    <w:rsid w:val="00E663AA"/>
    <w:rsid w:val="00E66F84"/>
    <w:rsid w:val="00E67AFD"/>
    <w:rsid w:val="00E73F66"/>
    <w:rsid w:val="00E82AB6"/>
    <w:rsid w:val="00E82C6B"/>
    <w:rsid w:val="00E862FE"/>
    <w:rsid w:val="00E9044F"/>
    <w:rsid w:val="00E929D1"/>
    <w:rsid w:val="00E934C1"/>
    <w:rsid w:val="00E93882"/>
    <w:rsid w:val="00E944F6"/>
    <w:rsid w:val="00EA3C59"/>
    <w:rsid w:val="00EA4B7A"/>
    <w:rsid w:val="00EB050A"/>
    <w:rsid w:val="00EB05CB"/>
    <w:rsid w:val="00EB1E15"/>
    <w:rsid w:val="00EB2B06"/>
    <w:rsid w:val="00EB436B"/>
    <w:rsid w:val="00EB52E8"/>
    <w:rsid w:val="00EB577A"/>
    <w:rsid w:val="00EB7104"/>
    <w:rsid w:val="00EC08C8"/>
    <w:rsid w:val="00ED04C2"/>
    <w:rsid w:val="00ED27FF"/>
    <w:rsid w:val="00ED763D"/>
    <w:rsid w:val="00ED7B75"/>
    <w:rsid w:val="00EE08E1"/>
    <w:rsid w:val="00EE45B9"/>
    <w:rsid w:val="00EE5AC1"/>
    <w:rsid w:val="00EF2277"/>
    <w:rsid w:val="00EF48CA"/>
    <w:rsid w:val="00EF4E4F"/>
    <w:rsid w:val="00F02BFF"/>
    <w:rsid w:val="00F0312A"/>
    <w:rsid w:val="00F04B3B"/>
    <w:rsid w:val="00F04D1E"/>
    <w:rsid w:val="00F05717"/>
    <w:rsid w:val="00F07045"/>
    <w:rsid w:val="00F11D06"/>
    <w:rsid w:val="00F2153E"/>
    <w:rsid w:val="00F23D8B"/>
    <w:rsid w:val="00F3104B"/>
    <w:rsid w:val="00F32205"/>
    <w:rsid w:val="00F47D75"/>
    <w:rsid w:val="00F51B1B"/>
    <w:rsid w:val="00F54F7F"/>
    <w:rsid w:val="00F62A47"/>
    <w:rsid w:val="00F668B3"/>
    <w:rsid w:val="00F712A4"/>
    <w:rsid w:val="00F72F47"/>
    <w:rsid w:val="00F7321B"/>
    <w:rsid w:val="00F7365F"/>
    <w:rsid w:val="00F77CC8"/>
    <w:rsid w:val="00F82059"/>
    <w:rsid w:val="00F855D8"/>
    <w:rsid w:val="00F867E5"/>
    <w:rsid w:val="00F86C58"/>
    <w:rsid w:val="00F91A2B"/>
    <w:rsid w:val="00F92381"/>
    <w:rsid w:val="00F925B4"/>
    <w:rsid w:val="00F935C7"/>
    <w:rsid w:val="00FB21C9"/>
    <w:rsid w:val="00FB5427"/>
    <w:rsid w:val="00FB6802"/>
    <w:rsid w:val="00FC1F4E"/>
    <w:rsid w:val="00FC38B7"/>
    <w:rsid w:val="00FC5C4E"/>
    <w:rsid w:val="00FD0191"/>
    <w:rsid w:val="00FD101E"/>
    <w:rsid w:val="00FD19F7"/>
    <w:rsid w:val="00FD462F"/>
    <w:rsid w:val="00FD537C"/>
    <w:rsid w:val="00FD5E69"/>
    <w:rsid w:val="00FE0AB9"/>
    <w:rsid w:val="00FE1445"/>
    <w:rsid w:val="00FE4E06"/>
    <w:rsid w:val="00FE5F49"/>
    <w:rsid w:val="00FE7816"/>
    <w:rsid w:val="00FE7EB7"/>
    <w:rsid w:val="00FF07AF"/>
  </w:rsids>
  <m:mathPr>
    <m:mathFont m:val="Cambria Math"/>
    <m:brkBin m:val="before"/>
    <m:brkBinSub m:val="--"/>
    <m:smallFrac m:val="0"/>
    <m:dispDef/>
    <m:lMargin m:val="0"/>
    <m:rMargin m:val="0"/>
    <m:defJc m:val="centerGroup"/>
    <m:wrapIndent m:val="1440"/>
    <m:intLim m:val="subSup"/>
    <m:naryLim m:val="undOvr"/>
  </m:mathPr>
  <w:attachedSchema w:val="http://schema.highwire.org/NLM/Journal"/>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01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1A9"/>
    <w:pPr>
      <w:ind w:left="720"/>
      <w:contextualSpacing/>
    </w:pPr>
  </w:style>
  <w:style w:type="paragraph" w:styleId="FootnoteText">
    <w:name w:val="footnote text"/>
    <w:basedOn w:val="Normal"/>
    <w:link w:val="FootnoteTextChar"/>
    <w:uiPriority w:val="99"/>
    <w:unhideWhenUsed/>
    <w:rsid w:val="003E11A9"/>
    <w:pPr>
      <w:spacing w:line="240" w:lineRule="auto"/>
    </w:pPr>
    <w:rPr>
      <w:sz w:val="20"/>
      <w:szCs w:val="20"/>
    </w:rPr>
  </w:style>
  <w:style w:type="character" w:customStyle="1" w:styleId="FootnoteTextChar">
    <w:name w:val="Footnote Text Char"/>
    <w:basedOn w:val="DefaultParagraphFont"/>
    <w:link w:val="FootnoteText"/>
    <w:uiPriority w:val="99"/>
    <w:rsid w:val="003E11A9"/>
    <w:rPr>
      <w:sz w:val="20"/>
      <w:szCs w:val="20"/>
    </w:rPr>
  </w:style>
  <w:style w:type="character" w:styleId="FootnoteReference">
    <w:name w:val="footnote reference"/>
    <w:basedOn w:val="DefaultParagraphFont"/>
    <w:uiPriority w:val="99"/>
    <w:semiHidden/>
    <w:unhideWhenUsed/>
    <w:rsid w:val="003E11A9"/>
    <w:rPr>
      <w:vertAlign w:val="superscript"/>
    </w:rPr>
  </w:style>
  <w:style w:type="table" w:styleId="TableGrid">
    <w:name w:val="Table Grid"/>
    <w:basedOn w:val="TableNormal"/>
    <w:uiPriority w:val="59"/>
    <w:rsid w:val="003E11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BF6"/>
    <w:rPr>
      <w:color w:val="0000FF" w:themeColor="hyperlink"/>
      <w:u w:val="single"/>
    </w:rPr>
  </w:style>
  <w:style w:type="paragraph" w:styleId="BalloonText">
    <w:name w:val="Balloon Text"/>
    <w:basedOn w:val="Normal"/>
    <w:link w:val="BalloonTextChar"/>
    <w:uiPriority w:val="99"/>
    <w:semiHidden/>
    <w:unhideWhenUsed/>
    <w:rsid w:val="000D4D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DD3"/>
    <w:rPr>
      <w:rFonts w:ascii="Tahoma" w:hAnsi="Tahoma" w:cs="Tahoma"/>
      <w:sz w:val="16"/>
      <w:szCs w:val="16"/>
    </w:rPr>
  </w:style>
  <w:style w:type="paragraph" w:styleId="Header">
    <w:name w:val="header"/>
    <w:basedOn w:val="Normal"/>
    <w:link w:val="HeaderChar"/>
    <w:uiPriority w:val="99"/>
    <w:unhideWhenUsed/>
    <w:rsid w:val="008213BE"/>
    <w:pPr>
      <w:tabs>
        <w:tab w:val="center" w:pos="4513"/>
        <w:tab w:val="right" w:pos="9026"/>
      </w:tabs>
      <w:spacing w:line="240" w:lineRule="auto"/>
    </w:pPr>
  </w:style>
  <w:style w:type="character" w:customStyle="1" w:styleId="HeaderChar">
    <w:name w:val="Header Char"/>
    <w:basedOn w:val="DefaultParagraphFont"/>
    <w:link w:val="Header"/>
    <w:uiPriority w:val="99"/>
    <w:rsid w:val="008213BE"/>
  </w:style>
  <w:style w:type="paragraph" w:styleId="Footer">
    <w:name w:val="footer"/>
    <w:basedOn w:val="Normal"/>
    <w:link w:val="FooterChar"/>
    <w:uiPriority w:val="99"/>
    <w:unhideWhenUsed/>
    <w:rsid w:val="008213BE"/>
    <w:pPr>
      <w:tabs>
        <w:tab w:val="center" w:pos="4513"/>
        <w:tab w:val="right" w:pos="9026"/>
      </w:tabs>
      <w:spacing w:line="240" w:lineRule="auto"/>
    </w:pPr>
  </w:style>
  <w:style w:type="character" w:customStyle="1" w:styleId="FooterChar">
    <w:name w:val="Footer Char"/>
    <w:basedOn w:val="DefaultParagraphFont"/>
    <w:link w:val="Footer"/>
    <w:uiPriority w:val="99"/>
    <w:rsid w:val="008213BE"/>
  </w:style>
  <w:style w:type="numbering" w:customStyle="1" w:styleId="NoList1">
    <w:name w:val="No List1"/>
    <w:next w:val="NoList"/>
    <w:uiPriority w:val="99"/>
    <w:semiHidden/>
    <w:unhideWhenUsed/>
    <w:rsid w:val="00AC1055"/>
  </w:style>
  <w:style w:type="character" w:customStyle="1" w:styleId="reference-text">
    <w:name w:val="reference-text"/>
    <w:basedOn w:val="DefaultParagraphFont"/>
    <w:rsid w:val="00AC1055"/>
  </w:style>
  <w:style w:type="character" w:customStyle="1" w:styleId="Caption1">
    <w:name w:val="Caption1"/>
    <w:basedOn w:val="DefaultParagraphFont"/>
    <w:rsid w:val="00AC1055"/>
  </w:style>
  <w:style w:type="character" w:styleId="Emphasis">
    <w:name w:val="Emphasis"/>
    <w:basedOn w:val="DefaultParagraphFont"/>
    <w:uiPriority w:val="20"/>
    <w:qFormat/>
    <w:rsid w:val="00AC1055"/>
    <w:rPr>
      <w:i/>
      <w:iCs/>
    </w:rPr>
  </w:style>
  <w:style w:type="character" w:customStyle="1" w:styleId="MathematicaFormatStandardForm">
    <w:name w:val="MathematicaFormatStandardForm"/>
    <w:uiPriority w:val="99"/>
    <w:rsid w:val="00AC1055"/>
    <w:rPr>
      <w:rFonts w:ascii="Courier" w:hAnsi="Courier" w:cs="Courier"/>
    </w:rPr>
  </w:style>
  <w:style w:type="character" w:styleId="PlaceholderText">
    <w:name w:val="Placeholder Text"/>
    <w:basedOn w:val="DefaultParagraphFont"/>
    <w:uiPriority w:val="99"/>
    <w:semiHidden/>
    <w:rsid w:val="00AC1055"/>
    <w:rPr>
      <w:color w:val="808080"/>
    </w:rPr>
  </w:style>
  <w:style w:type="paragraph" w:customStyle="1" w:styleId="code">
    <w:name w:val="code"/>
    <w:basedOn w:val="Normal"/>
    <w:link w:val="codeChar"/>
    <w:rsid w:val="00AC1055"/>
    <w:pPr>
      <w:spacing w:line="240" w:lineRule="auto"/>
      <w:ind w:left="720"/>
    </w:pPr>
    <w:rPr>
      <w:rFonts w:ascii="Garamond" w:hAnsi="Garamond" w:cs="Times New Roman"/>
      <w:color w:val="00B050"/>
      <w:sz w:val="22"/>
      <w:szCs w:val="20"/>
    </w:rPr>
  </w:style>
  <w:style w:type="character" w:styleId="LineNumber">
    <w:name w:val="line number"/>
    <w:basedOn w:val="DefaultParagraphFont"/>
    <w:uiPriority w:val="99"/>
    <w:semiHidden/>
    <w:unhideWhenUsed/>
    <w:rsid w:val="00AC1055"/>
  </w:style>
  <w:style w:type="character" w:customStyle="1" w:styleId="codeChar">
    <w:name w:val="code Char"/>
    <w:basedOn w:val="DefaultParagraphFont"/>
    <w:link w:val="code"/>
    <w:rsid w:val="00AC1055"/>
    <w:rPr>
      <w:rFonts w:ascii="Garamond" w:hAnsi="Garamond" w:cs="Times New Roman"/>
      <w:color w:val="00B050"/>
      <w:sz w:val="22"/>
      <w:szCs w:val="20"/>
    </w:rPr>
  </w:style>
  <w:style w:type="paragraph" w:styleId="Caption">
    <w:name w:val="caption"/>
    <w:basedOn w:val="Normal"/>
    <w:next w:val="Normal"/>
    <w:uiPriority w:val="35"/>
    <w:unhideWhenUsed/>
    <w:qFormat/>
    <w:rsid w:val="007C43F5"/>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1699B"/>
    <w:rPr>
      <w:sz w:val="16"/>
      <w:szCs w:val="16"/>
    </w:rPr>
  </w:style>
  <w:style w:type="paragraph" w:styleId="CommentText">
    <w:name w:val="annotation text"/>
    <w:basedOn w:val="Normal"/>
    <w:link w:val="CommentTextChar"/>
    <w:uiPriority w:val="99"/>
    <w:semiHidden/>
    <w:unhideWhenUsed/>
    <w:rsid w:val="00D1699B"/>
    <w:pPr>
      <w:spacing w:line="240" w:lineRule="auto"/>
    </w:pPr>
    <w:rPr>
      <w:sz w:val="20"/>
      <w:szCs w:val="20"/>
    </w:rPr>
  </w:style>
  <w:style w:type="character" w:customStyle="1" w:styleId="CommentTextChar">
    <w:name w:val="Comment Text Char"/>
    <w:basedOn w:val="DefaultParagraphFont"/>
    <w:link w:val="CommentText"/>
    <w:uiPriority w:val="99"/>
    <w:semiHidden/>
    <w:rsid w:val="00D1699B"/>
    <w:rPr>
      <w:sz w:val="20"/>
      <w:szCs w:val="20"/>
    </w:rPr>
  </w:style>
  <w:style w:type="paragraph" w:styleId="CommentSubject">
    <w:name w:val="annotation subject"/>
    <w:basedOn w:val="CommentText"/>
    <w:next w:val="CommentText"/>
    <w:link w:val="CommentSubjectChar"/>
    <w:uiPriority w:val="99"/>
    <w:semiHidden/>
    <w:unhideWhenUsed/>
    <w:rsid w:val="00D1699B"/>
    <w:rPr>
      <w:b/>
      <w:bCs/>
    </w:rPr>
  </w:style>
  <w:style w:type="character" w:customStyle="1" w:styleId="CommentSubjectChar">
    <w:name w:val="Comment Subject Char"/>
    <w:basedOn w:val="CommentTextChar"/>
    <w:link w:val="CommentSubject"/>
    <w:uiPriority w:val="99"/>
    <w:semiHidden/>
    <w:rsid w:val="00D1699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1A9"/>
    <w:pPr>
      <w:ind w:left="720"/>
      <w:contextualSpacing/>
    </w:pPr>
  </w:style>
  <w:style w:type="paragraph" w:styleId="FootnoteText">
    <w:name w:val="footnote text"/>
    <w:basedOn w:val="Normal"/>
    <w:link w:val="FootnoteTextChar"/>
    <w:uiPriority w:val="99"/>
    <w:unhideWhenUsed/>
    <w:rsid w:val="003E11A9"/>
    <w:pPr>
      <w:spacing w:line="240" w:lineRule="auto"/>
    </w:pPr>
    <w:rPr>
      <w:sz w:val="20"/>
      <w:szCs w:val="20"/>
    </w:rPr>
  </w:style>
  <w:style w:type="character" w:customStyle="1" w:styleId="FootnoteTextChar">
    <w:name w:val="Footnote Text Char"/>
    <w:basedOn w:val="DefaultParagraphFont"/>
    <w:link w:val="FootnoteText"/>
    <w:uiPriority w:val="99"/>
    <w:rsid w:val="003E11A9"/>
    <w:rPr>
      <w:sz w:val="20"/>
      <w:szCs w:val="20"/>
    </w:rPr>
  </w:style>
  <w:style w:type="character" w:styleId="FootnoteReference">
    <w:name w:val="footnote reference"/>
    <w:basedOn w:val="DefaultParagraphFont"/>
    <w:uiPriority w:val="99"/>
    <w:semiHidden/>
    <w:unhideWhenUsed/>
    <w:rsid w:val="003E11A9"/>
    <w:rPr>
      <w:vertAlign w:val="superscript"/>
    </w:rPr>
  </w:style>
  <w:style w:type="table" w:styleId="TableGrid">
    <w:name w:val="Table Grid"/>
    <w:basedOn w:val="TableNormal"/>
    <w:uiPriority w:val="59"/>
    <w:rsid w:val="003E11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BF6"/>
    <w:rPr>
      <w:color w:val="0000FF" w:themeColor="hyperlink"/>
      <w:u w:val="single"/>
    </w:rPr>
  </w:style>
  <w:style w:type="paragraph" w:styleId="BalloonText">
    <w:name w:val="Balloon Text"/>
    <w:basedOn w:val="Normal"/>
    <w:link w:val="BalloonTextChar"/>
    <w:uiPriority w:val="99"/>
    <w:semiHidden/>
    <w:unhideWhenUsed/>
    <w:rsid w:val="000D4D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DD3"/>
    <w:rPr>
      <w:rFonts w:ascii="Tahoma" w:hAnsi="Tahoma" w:cs="Tahoma"/>
      <w:sz w:val="16"/>
      <w:szCs w:val="16"/>
    </w:rPr>
  </w:style>
  <w:style w:type="paragraph" w:styleId="Header">
    <w:name w:val="header"/>
    <w:basedOn w:val="Normal"/>
    <w:link w:val="HeaderChar"/>
    <w:uiPriority w:val="99"/>
    <w:unhideWhenUsed/>
    <w:rsid w:val="008213BE"/>
    <w:pPr>
      <w:tabs>
        <w:tab w:val="center" w:pos="4513"/>
        <w:tab w:val="right" w:pos="9026"/>
      </w:tabs>
      <w:spacing w:line="240" w:lineRule="auto"/>
    </w:pPr>
  </w:style>
  <w:style w:type="character" w:customStyle="1" w:styleId="HeaderChar">
    <w:name w:val="Header Char"/>
    <w:basedOn w:val="DefaultParagraphFont"/>
    <w:link w:val="Header"/>
    <w:uiPriority w:val="99"/>
    <w:rsid w:val="008213BE"/>
  </w:style>
  <w:style w:type="paragraph" w:styleId="Footer">
    <w:name w:val="footer"/>
    <w:basedOn w:val="Normal"/>
    <w:link w:val="FooterChar"/>
    <w:uiPriority w:val="99"/>
    <w:unhideWhenUsed/>
    <w:rsid w:val="008213BE"/>
    <w:pPr>
      <w:tabs>
        <w:tab w:val="center" w:pos="4513"/>
        <w:tab w:val="right" w:pos="9026"/>
      </w:tabs>
      <w:spacing w:line="240" w:lineRule="auto"/>
    </w:pPr>
  </w:style>
  <w:style w:type="character" w:customStyle="1" w:styleId="FooterChar">
    <w:name w:val="Footer Char"/>
    <w:basedOn w:val="DefaultParagraphFont"/>
    <w:link w:val="Footer"/>
    <w:uiPriority w:val="99"/>
    <w:rsid w:val="008213BE"/>
  </w:style>
  <w:style w:type="numbering" w:customStyle="1" w:styleId="NoList1">
    <w:name w:val="No List1"/>
    <w:next w:val="NoList"/>
    <w:uiPriority w:val="99"/>
    <w:semiHidden/>
    <w:unhideWhenUsed/>
    <w:rsid w:val="00AC1055"/>
  </w:style>
  <w:style w:type="character" w:customStyle="1" w:styleId="reference-text">
    <w:name w:val="reference-text"/>
    <w:basedOn w:val="DefaultParagraphFont"/>
    <w:rsid w:val="00AC1055"/>
  </w:style>
  <w:style w:type="character" w:customStyle="1" w:styleId="Caption1">
    <w:name w:val="Caption1"/>
    <w:basedOn w:val="DefaultParagraphFont"/>
    <w:rsid w:val="00AC1055"/>
  </w:style>
  <w:style w:type="character" w:styleId="Emphasis">
    <w:name w:val="Emphasis"/>
    <w:basedOn w:val="DefaultParagraphFont"/>
    <w:uiPriority w:val="20"/>
    <w:qFormat/>
    <w:rsid w:val="00AC1055"/>
    <w:rPr>
      <w:i/>
      <w:iCs/>
    </w:rPr>
  </w:style>
  <w:style w:type="character" w:customStyle="1" w:styleId="MathematicaFormatStandardForm">
    <w:name w:val="MathematicaFormatStandardForm"/>
    <w:uiPriority w:val="99"/>
    <w:rsid w:val="00AC1055"/>
    <w:rPr>
      <w:rFonts w:ascii="Courier" w:hAnsi="Courier" w:cs="Courier"/>
    </w:rPr>
  </w:style>
  <w:style w:type="character" w:styleId="PlaceholderText">
    <w:name w:val="Placeholder Text"/>
    <w:basedOn w:val="DefaultParagraphFont"/>
    <w:uiPriority w:val="99"/>
    <w:semiHidden/>
    <w:rsid w:val="00AC1055"/>
    <w:rPr>
      <w:color w:val="808080"/>
    </w:rPr>
  </w:style>
  <w:style w:type="paragraph" w:customStyle="1" w:styleId="code">
    <w:name w:val="code"/>
    <w:basedOn w:val="Normal"/>
    <w:link w:val="codeChar"/>
    <w:rsid w:val="00AC1055"/>
    <w:pPr>
      <w:spacing w:line="240" w:lineRule="auto"/>
      <w:ind w:left="720"/>
    </w:pPr>
    <w:rPr>
      <w:rFonts w:ascii="Garamond" w:hAnsi="Garamond" w:cs="Times New Roman"/>
      <w:color w:val="00B050"/>
      <w:sz w:val="22"/>
      <w:szCs w:val="20"/>
    </w:rPr>
  </w:style>
  <w:style w:type="character" w:styleId="LineNumber">
    <w:name w:val="line number"/>
    <w:basedOn w:val="DefaultParagraphFont"/>
    <w:uiPriority w:val="99"/>
    <w:semiHidden/>
    <w:unhideWhenUsed/>
    <w:rsid w:val="00AC1055"/>
  </w:style>
  <w:style w:type="character" w:customStyle="1" w:styleId="codeChar">
    <w:name w:val="code Char"/>
    <w:basedOn w:val="DefaultParagraphFont"/>
    <w:link w:val="code"/>
    <w:rsid w:val="00AC1055"/>
    <w:rPr>
      <w:rFonts w:ascii="Garamond" w:hAnsi="Garamond" w:cs="Times New Roman"/>
      <w:color w:val="00B050"/>
      <w:sz w:val="22"/>
      <w:szCs w:val="20"/>
    </w:rPr>
  </w:style>
  <w:style w:type="paragraph" w:styleId="Caption">
    <w:name w:val="caption"/>
    <w:basedOn w:val="Normal"/>
    <w:next w:val="Normal"/>
    <w:uiPriority w:val="35"/>
    <w:unhideWhenUsed/>
    <w:qFormat/>
    <w:rsid w:val="007C43F5"/>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1699B"/>
    <w:rPr>
      <w:sz w:val="16"/>
      <w:szCs w:val="16"/>
    </w:rPr>
  </w:style>
  <w:style w:type="paragraph" w:styleId="CommentText">
    <w:name w:val="annotation text"/>
    <w:basedOn w:val="Normal"/>
    <w:link w:val="CommentTextChar"/>
    <w:uiPriority w:val="99"/>
    <w:semiHidden/>
    <w:unhideWhenUsed/>
    <w:rsid w:val="00D1699B"/>
    <w:pPr>
      <w:spacing w:line="240" w:lineRule="auto"/>
    </w:pPr>
    <w:rPr>
      <w:sz w:val="20"/>
      <w:szCs w:val="20"/>
    </w:rPr>
  </w:style>
  <w:style w:type="character" w:customStyle="1" w:styleId="CommentTextChar">
    <w:name w:val="Comment Text Char"/>
    <w:basedOn w:val="DefaultParagraphFont"/>
    <w:link w:val="CommentText"/>
    <w:uiPriority w:val="99"/>
    <w:semiHidden/>
    <w:rsid w:val="00D1699B"/>
    <w:rPr>
      <w:sz w:val="20"/>
      <w:szCs w:val="20"/>
    </w:rPr>
  </w:style>
  <w:style w:type="paragraph" w:styleId="CommentSubject">
    <w:name w:val="annotation subject"/>
    <w:basedOn w:val="CommentText"/>
    <w:next w:val="CommentText"/>
    <w:link w:val="CommentSubjectChar"/>
    <w:uiPriority w:val="99"/>
    <w:semiHidden/>
    <w:unhideWhenUsed/>
    <w:rsid w:val="00D1699B"/>
    <w:rPr>
      <w:b/>
      <w:bCs/>
    </w:rPr>
  </w:style>
  <w:style w:type="character" w:customStyle="1" w:styleId="CommentSubjectChar">
    <w:name w:val="Comment Subject Char"/>
    <w:basedOn w:val="CommentTextChar"/>
    <w:link w:val="CommentSubject"/>
    <w:uiPriority w:val="99"/>
    <w:semiHidden/>
    <w:rsid w:val="00D169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1175">
      <w:bodyDiv w:val="1"/>
      <w:marLeft w:val="0"/>
      <w:marRight w:val="0"/>
      <w:marTop w:val="0"/>
      <w:marBottom w:val="0"/>
      <w:divBdr>
        <w:top w:val="none" w:sz="0" w:space="0" w:color="auto"/>
        <w:left w:val="none" w:sz="0" w:space="0" w:color="auto"/>
        <w:bottom w:val="none" w:sz="0" w:space="0" w:color="auto"/>
        <w:right w:val="none" w:sz="0" w:space="0" w:color="auto"/>
      </w:divBdr>
      <w:divsChild>
        <w:div w:id="912853169">
          <w:marLeft w:val="0"/>
          <w:marRight w:val="0"/>
          <w:marTop w:val="0"/>
          <w:marBottom w:val="0"/>
          <w:divBdr>
            <w:top w:val="none" w:sz="0" w:space="0" w:color="auto"/>
            <w:left w:val="none" w:sz="0" w:space="0" w:color="auto"/>
            <w:bottom w:val="none" w:sz="0" w:space="0" w:color="auto"/>
            <w:right w:val="none" w:sz="0" w:space="0" w:color="auto"/>
          </w:divBdr>
        </w:div>
      </w:divsChild>
    </w:div>
    <w:div w:id="8140376">
      <w:bodyDiv w:val="1"/>
      <w:marLeft w:val="0"/>
      <w:marRight w:val="0"/>
      <w:marTop w:val="0"/>
      <w:marBottom w:val="0"/>
      <w:divBdr>
        <w:top w:val="none" w:sz="0" w:space="0" w:color="auto"/>
        <w:left w:val="none" w:sz="0" w:space="0" w:color="auto"/>
        <w:bottom w:val="none" w:sz="0" w:space="0" w:color="auto"/>
        <w:right w:val="none" w:sz="0" w:space="0" w:color="auto"/>
      </w:divBdr>
      <w:divsChild>
        <w:div w:id="874849816">
          <w:marLeft w:val="0"/>
          <w:marRight w:val="0"/>
          <w:marTop w:val="0"/>
          <w:marBottom w:val="0"/>
          <w:divBdr>
            <w:top w:val="none" w:sz="0" w:space="0" w:color="auto"/>
            <w:left w:val="none" w:sz="0" w:space="0" w:color="auto"/>
            <w:bottom w:val="none" w:sz="0" w:space="0" w:color="auto"/>
            <w:right w:val="none" w:sz="0" w:space="0" w:color="auto"/>
          </w:divBdr>
        </w:div>
      </w:divsChild>
    </w:div>
    <w:div w:id="28916199">
      <w:bodyDiv w:val="1"/>
      <w:marLeft w:val="0"/>
      <w:marRight w:val="0"/>
      <w:marTop w:val="0"/>
      <w:marBottom w:val="0"/>
      <w:divBdr>
        <w:top w:val="none" w:sz="0" w:space="0" w:color="auto"/>
        <w:left w:val="none" w:sz="0" w:space="0" w:color="auto"/>
        <w:bottom w:val="none" w:sz="0" w:space="0" w:color="auto"/>
        <w:right w:val="none" w:sz="0" w:space="0" w:color="auto"/>
      </w:divBdr>
    </w:div>
    <w:div w:id="29382764">
      <w:bodyDiv w:val="1"/>
      <w:marLeft w:val="0"/>
      <w:marRight w:val="0"/>
      <w:marTop w:val="0"/>
      <w:marBottom w:val="0"/>
      <w:divBdr>
        <w:top w:val="none" w:sz="0" w:space="0" w:color="auto"/>
        <w:left w:val="none" w:sz="0" w:space="0" w:color="auto"/>
        <w:bottom w:val="none" w:sz="0" w:space="0" w:color="auto"/>
        <w:right w:val="none" w:sz="0" w:space="0" w:color="auto"/>
      </w:divBdr>
    </w:div>
    <w:div w:id="35355472">
      <w:bodyDiv w:val="1"/>
      <w:marLeft w:val="0"/>
      <w:marRight w:val="0"/>
      <w:marTop w:val="0"/>
      <w:marBottom w:val="0"/>
      <w:divBdr>
        <w:top w:val="none" w:sz="0" w:space="0" w:color="auto"/>
        <w:left w:val="none" w:sz="0" w:space="0" w:color="auto"/>
        <w:bottom w:val="none" w:sz="0" w:space="0" w:color="auto"/>
        <w:right w:val="none" w:sz="0" w:space="0" w:color="auto"/>
      </w:divBdr>
      <w:divsChild>
        <w:div w:id="1091240293">
          <w:marLeft w:val="0"/>
          <w:marRight w:val="0"/>
          <w:marTop w:val="0"/>
          <w:marBottom w:val="0"/>
          <w:divBdr>
            <w:top w:val="none" w:sz="0" w:space="0" w:color="auto"/>
            <w:left w:val="none" w:sz="0" w:space="0" w:color="auto"/>
            <w:bottom w:val="none" w:sz="0" w:space="0" w:color="auto"/>
            <w:right w:val="none" w:sz="0" w:space="0" w:color="auto"/>
          </w:divBdr>
        </w:div>
      </w:divsChild>
    </w:div>
    <w:div w:id="92363648">
      <w:bodyDiv w:val="1"/>
      <w:marLeft w:val="0"/>
      <w:marRight w:val="0"/>
      <w:marTop w:val="0"/>
      <w:marBottom w:val="0"/>
      <w:divBdr>
        <w:top w:val="none" w:sz="0" w:space="0" w:color="auto"/>
        <w:left w:val="none" w:sz="0" w:space="0" w:color="auto"/>
        <w:bottom w:val="none" w:sz="0" w:space="0" w:color="auto"/>
        <w:right w:val="none" w:sz="0" w:space="0" w:color="auto"/>
      </w:divBdr>
    </w:div>
    <w:div w:id="107550542">
      <w:bodyDiv w:val="1"/>
      <w:marLeft w:val="0"/>
      <w:marRight w:val="0"/>
      <w:marTop w:val="0"/>
      <w:marBottom w:val="0"/>
      <w:divBdr>
        <w:top w:val="none" w:sz="0" w:space="0" w:color="auto"/>
        <w:left w:val="none" w:sz="0" w:space="0" w:color="auto"/>
        <w:bottom w:val="none" w:sz="0" w:space="0" w:color="auto"/>
        <w:right w:val="none" w:sz="0" w:space="0" w:color="auto"/>
      </w:divBdr>
    </w:div>
    <w:div w:id="118257946">
      <w:bodyDiv w:val="1"/>
      <w:marLeft w:val="0"/>
      <w:marRight w:val="0"/>
      <w:marTop w:val="0"/>
      <w:marBottom w:val="0"/>
      <w:divBdr>
        <w:top w:val="none" w:sz="0" w:space="0" w:color="auto"/>
        <w:left w:val="none" w:sz="0" w:space="0" w:color="auto"/>
        <w:bottom w:val="none" w:sz="0" w:space="0" w:color="auto"/>
        <w:right w:val="none" w:sz="0" w:space="0" w:color="auto"/>
      </w:divBdr>
    </w:div>
    <w:div w:id="127087365">
      <w:bodyDiv w:val="1"/>
      <w:marLeft w:val="0"/>
      <w:marRight w:val="0"/>
      <w:marTop w:val="0"/>
      <w:marBottom w:val="0"/>
      <w:divBdr>
        <w:top w:val="none" w:sz="0" w:space="0" w:color="auto"/>
        <w:left w:val="none" w:sz="0" w:space="0" w:color="auto"/>
        <w:bottom w:val="none" w:sz="0" w:space="0" w:color="auto"/>
        <w:right w:val="none" w:sz="0" w:space="0" w:color="auto"/>
      </w:divBdr>
    </w:div>
    <w:div w:id="137187864">
      <w:bodyDiv w:val="1"/>
      <w:marLeft w:val="0"/>
      <w:marRight w:val="0"/>
      <w:marTop w:val="0"/>
      <w:marBottom w:val="0"/>
      <w:divBdr>
        <w:top w:val="none" w:sz="0" w:space="0" w:color="auto"/>
        <w:left w:val="none" w:sz="0" w:space="0" w:color="auto"/>
        <w:bottom w:val="none" w:sz="0" w:space="0" w:color="auto"/>
        <w:right w:val="none" w:sz="0" w:space="0" w:color="auto"/>
      </w:divBdr>
    </w:div>
    <w:div w:id="138544977">
      <w:bodyDiv w:val="1"/>
      <w:marLeft w:val="0"/>
      <w:marRight w:val="0"/>
      <w:marTop w:val="0"/>
      <w:marBottom w:val="0"/>
      <w:divBdr>
        <w:top w:val="none" w:sz="0" w:space="0" w:color="auto"/>
        <w:left w:val="none" w:sz="0" w:space="0" w:color="auto"/>
        <w:bottom w:val="none" w:sz="0" w:space="0" w:color="auto"/>
        <w:right w:val="none" w:sz="0" w:space="0" w:color="auto"/>
      </w:divBdr>
      <w:divsChild>
        <w:div w:id="1553694078">
          <w:marLeft w:val="0"/>
          <w:marRight w:val="0"/>
          <w:marTop w:val="0"/>
          <w:marBottom w:val="0"/>
          <w:divBdr>
            <w:top w:val="none" w:sz="0" w:space="0" w:color="auto"/>
            <w:left w:val="none" w:sz="0" w:space="0" w:color="auto"/>
            <w:bottom w:val="none" w:sz="0" w:space="0" w:color="auto"/>
            <w:right w:val="none" w:sz="0" w:space="0" w:color="auto"/>
          </w:divBdr>
        </w:div>
      </w:divsChild>
    </w:div>
    <w:div w:id="171993311">
      <w:bodyDiv w:val="1"/>
      <w:marLeft w:val="0"/>
      <w:marRight w:val="0"/>
      <w:marTop w:val="0"/>
      <w:marBottom w:val="0"/>
      <w:divBdr>
        <w:top w:val="none" w:sz="0" w:space="0" w:color="auto"/>
        <w:left w:val="none" w:sz="0" w:space="0" w:color="auto"/>
        <w:bottom w:val="none" w:sz="0" w:space="0" w:color="auto"/>
        <w:right w:val="none" w:sz="0" w:space="0" w:color="auto"/>
      </w:divBdr>
      <w:divsChild>
        <w:div w:id="657004012">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18592953">
      <w:bodyDiv w:val="1"/>
      <w:marLeft w:val="0"/>
      <w:marRight w:val="0"/>
      <w:marTop w:val="0"/>
      <w:marBottom w:val="0"/>
      <w:divBdr>
        <w:top w:val="none" w:sz="0" w:space="0" w:color="auto"/>
        <w:left w:val="none" w:sz="0" w:space="0" w:color="auto"/>
        <w:bottom w:val="none" w:sz="0" w:space="0" w:color="auto"/>
        <w:right w:val="none" w:sz="0" w:space="0" w:color="auto"/>
      </w:divBdr>
    </w:div>
    <w:div w:id="233785378">
      <w:bodyDiv w:val="1"/>
      <w:marLeft w:val="0"/>
      <w:marRight w:val="0"/>
      <w:marTop w:val="0"/>
      <w:marBottom w:val="0"/>
      <w:divBdr>
        <w:top w:val="none" w:sz="0" w:space="0" w:color="auto"/>
        <w:left w:val="none" w:sz="0" w:space="0" w:color="auto"/>
        <w:bottom w:val="none" w:sz="0" w:space="0" w:color="auto"/>
        <w:right w:val="none" w:sz="0" w:space="0" w:color="auto"/>
      </w:divBdr>
      <w:divsChild>
        <w:div w:id="1073089947">
          <w:marLeft w:val="0"/>
          <w:marRight w:val="0"/>
          <w:marTop w:val="0"/>
          <w:marBottom w:val="0"/>
          <w:divBdr>
            <w:top w:val="none" w:sz="0" w:space="0" w:color="auto"/>
            <w:left w:val="none" w:sz="0" w:space="0" w:color="auto"/>
            <w:bottom w:val="none" w:sz="0" w:space="0" w:color="auto"/>
            <w:right w:val="none" w:sz="0" w:space="0" w:color="auto"/>
          </w:divBdr>
        </w:div>
      </w:divsChild>
    </w:div>
    <w:div w:id="263001725">
      <w:bodyDiv w:val="1"/>
      <w:marLeft w:val="0"/>
      <w:marRight w:val="0"/>
      <w:marTop w:val="0"/>
      <w:marBottom w:val="0"/>
      <w:divBdr>
        <w:top w:val="none" w:sz="0" w:space="0" w:color="auto"/>
        <w:left w:val="none" w:sz="0" w:space="0" w:color="auto"/>
        <w:bottom w:val="none" w:sz="0" w:space="0" w:color="auto"/>
        <w:right w:val="none" w:sz="0" w:space="0" w:color="auto"/>
      </w:divBdr>
    </w:div>
    <w:div w:id="282154447">
      <w:bodyDiv w:val="1"/>
      <w:marLeft w:val="0"/>
      <w:marRight w:val="0"/>
      <w:marTop w:val="0"/>
      <w:marBottom w:val="0"/>
      <w:divBdr>
        <w:top w:val="none" w:sz="0" w:space="0" w:color="auto"/>
        <w:left w:val="none" w:sz="0" w:space="0" w:color="auto"/>
        <w:bottom w:val="none" w:sz="0" w:space="0" w:color="auto"/>
        <w:right w:val="none" w:sz="0" w:space="0" w:color="auto"/>
      </w:divBdr>
    </w:div>
    <w:div w:id="298534135">
      <w:bodyDiv w:val="1"/>
      <w:marLeft w:val="0"/>
      <w:marRight w:val="0"/>
      <w:marTop w:val="0"/>
      <w:marBottom w:val="0"/>
      <w:divBdr>
        <w:top w:val="none" w:sz="0" w:space="0" w:color="auto"/>
        <w:left w:val="none" w:sz="0" w:space="0" w:color="auto"/>
        <w:bottom w:val="none" w:sz="0" w:space="0" w:color="auto"/>
        <w:right w:val="none" w:sz="0" w:space="0" w:color="auto"/>
      </w:divBdr>
      <w:divsChild>
        <w:div w:id="646127235">
          <w:marLeft w:val="0"/>
          <w:marRight w:val="0"/>
          <w:marTop w:val="0"/>
          <w:marBottom w:val="0"/>
          <w:divBdr>
            <w:top w:val="none" w:sz="0" w:space="0" w:color="auto"/>
            <w:left w:val="none" w:sz="0" w:space="0" w:color="auto"/>
            <w:bottom w:val="none" w:sz="0" w:space="0" w:color="auto"/>
            <w:right w:val="none" w:sz="0" w:space="0" w:color="auto"/>
          </w:divBdr>
        </w:div>
      </w:divsChild>
    </w:div>
    <w:div w:id="299306510">
      <w:bodyDiv w:val="1"/>
      <w:marLeft w:val="0"/>
      <w:marRight w:val="0"/>
      <w:marTop w:val="0"/>
      <w:marBottom w:val="0"/>
      <w:divBdr>
        <w:top w:val="none" w:sz="0" w:space="0" w:color="auto"/>
        <w:left w:val="none" w:sz="0" w:space="0" w:color="auto"/>
        <w:bottom w:val="none" w:sz="0" w:space="0" w:color="auto"/>
        <w:right w:val="none" w:sz="0" w:space="0" w:color="auto"/>
      </w:divBdr>
      <w:divsChild>
        <w:div w:id="706679586">
          <w:marLeft w:val="0"/>
          <w:marRight w:val="0"/>
          <w:marTop w:val="0"/>
          <w:marBottom w:val="0"/>
          <w:divBdr>
            <w:top w:val="none" w:sz="0" w:space="0" w:color="auto"/>
            <w:left w:val="none" w:sz="0" w:space="0" w:color="auto"/>
            <w:bottom w:val="none" w:sz="0" w:space="0" w:color="auto"/>
            <w:right w:val="none" w:sz="0" w:space="0" w:color="auto"/>
          </w:divBdr>
        </w:div>
      </w:divsChild>
    </w:div>
    <w:div w:id="306134876">
      <w:bodyDiv w:val="1"/>
      <w:marLeft w:val="0"/>
      <w:marRight w:val="0"/>
      <w:marTop w:val="0"/>
      <w:marBottom w:val="0"/>
      <w:divBdr>
        <w:top w:val="none" w:sz="0" w:space="0" w:color="auto"/>
        <w:left w:val="none" w:sz="0" w:space="0" w:color="auto"/>
        <w:bottom w:val="none" w:sz="0" w:space="0" w:color="auto"/>
        <w:right w:val="none" w:sz="0" w:space="0" w:color="auto"/>
      </w:divBdr>
    </w:div>
    <w:div w:id="315577117">
      <w:bodyDiv w:val="1"/>
      <w:marLeft w:val="0"/>
      <w:marRight w:val="0"/>
      <w:marTop w:val="0"/>
      <w:marBottom w:val="0"/>
      <w:divBdr>
        <w:top w:val="none" w:sz="0" w:space="0" w:color="auto"/>
        <w:left w:val="none" w:sz="0" w:space="0" w:color="auto"/>
        <w:bottom w:val="none" w:sz="0" w:space="0" w:color="auto"/>
        <w:right w:val="none" w:sz="0" w:space="0" w:color="auto"/>
      </w:divBdr>
    </w:div>
    <w:div w:id="340350828">
      <w:bodyDiv w:val="1"/>
      <w:marLeft w:val="0"/>
      <w:marRight w:val="0"/>
      <w:marTop w:val="0"/>
      <w:marBottom w:val="0"/>
      <w:divBdr>
        <w:top w:val="none" w:sz="0" w:space="0" w:color="auto"/>
        <w:left w:val="none" w:sz="0" w:space="0" w:color="auto"/>
        <w:bottom w:val="none" w:sz="0" w:space="0" w:color="auto"/>
        <w:right w:val="none" w:sz="0" w:space="0" w:color="auto"/>
      </w:divBdr>
    </w:div>
    <w:div w:id="352537206">
      <w:bodyDiv w:val="1"/>
      <w:marLeft w:val="0"/>
      <w:marRight w:val="0"/>
      <w:marTop w:val="0"/>
      <w:marBottom w:val="0"/>
      <w:divBdr>
        <w:top w:val="none" w:sz="0" w:space="0" w:color="auto"/>
        <w:left w:val="none" w:sz="0" w:space="0" w:color="auto"/>
        <w:bottom w:val="none" w:sz="0" w:space="0" w:color="auto"/>
        <w:right w:val="none" w:sz="0" w:space="0" w:color="auto"/>
      </w:divBdr>
    </w:div>
    <w:div w:id="361244931">
      <w:bodyDiv w:val="1"/>
      <w:marLeft w:val="0"/>
      <w:marRight w:val="0"/>
      <w:marTop w:val="0"/>
      <w:marBottom w:val="0"/>
      <w:divBdr>
        <w:top w:val="none" w:sz="0" w:space="0" w:color="auto"/>
        <w:left w:val="none" w:sz="0" w:space="0" w:color="auto"/>
        <w:bottom w:val="none" w:sz="0" w:space="0" w:color="auto"/>
        <w:right w:val="none" w:sz="0" w:space="0" w:color="auto"/>
      </w:divBdr>
    </w:div>
    <w:div w:id="362249428">
      <w:bodyDiv w:val="1"/>
      <w:marLeft w:val="0"/>
      <w:marRight w:val="0"/>
      <w:marTop w:val="0"/>
      <w:marBottom w:val="0"/>
      <w:divBdr>
        <w:top w:val="none" w:sz="0" w:space="0" w:color="auto"/>
        <w:left w:val="none" w:sz="0" w:space="0" w:color="auto"/>
        <w:bottom w:val="none" w:sz="0" w:space="0" w:color="auto"/>
        <w:right w:val="none" w:sz="0" w:space="0" w:color="auto"/>
      </w:divBdr>
    </w:div>
    <w:div w:id="390201541">
      <w:bodyDiv w:val="1"/>
      <w:marLeft w:val="0"/>
      <w:marRight w:val="0"/>
      <w:marTop w:val="0"/>
      <w:marBottom w:val="0"/>
      <w:divBdr>
        <w:top w:val="none" w:sz="0" w:space="0" w:color="auto"/>
        <w:left w:val="none" w:sz="0" w:space="0" w:color="auto"/>
        <w:bottom w:val="none" w:sz="0" w:space="0" w:color="auto"/>
        <w:right w:val="none" w:sz="0" w:space="0" w:color="auto"/>
      </w:divBdr>
    </w:div>
    <w:div w:id="390664948">
      <w:bodyDiv w:val="1"/>
      <w:marLeft w:val="0"/>
      <w:marRight w:val="0"/>
      <w:marTop w:val="0"/>
      <w:marBottom w:val="0"/>
      <w:divBdr>
        <w:top w:val="none" w:sz="0" w:space="0" w:color="auto"/>
        <w:left w:val="none" w:sz="0" w:space="0" w:color="auto"/>
        <w:bottom w:val="none" w:sz="0" w:space="0" w:color="auto"/>
        <w:right w:val="none" w:sz="0" w:space="0" w:color="auto"/>
      </w:divBdr>
      <w:divsChild>
        <w:div w:id="2033535679">
          <w:marLeft w:val="0"/>
          <w:marRight w:val="0"/>
          <w:marTop w:val="0"/>
          <w:marBottom w:val="0"/>
          <w:divBdr>
            <w:top w:val="none" w:sz="0" w:space="0" w:color="auto"/>
            <w:left w:val="none" w:sz="0" w:space="0" w:color="auto"/>
            <w:bottom w:val="none" w:sz="0" w:space="0" w:color="auto"/>
            <w:right w:val="none" w:sz="0" w:space="0" w:color="auto"/>
          </w:divBdr>
        </w:div>
      </w:divsChild>
    </w:div>
    <w:div w:id="395056903">
      <w:bodyDiv w:val="1"/>
      <w:marLeft w:val="0"/>
      <w:marRight w:val="0"/>
      <w:marTop w:val="0"/>
      <w:marBottom w:val="0"/>
      <w:divBdr>
        <w:top w:val="none" w:sz="0" w:space="0" w:color="auto"/>
        <w:left w:val="none" w:sz="0" w:space="0" w:color="auto"/>
        <w:bottom w:val="none" w:sz="0" w:space="0" w:color="auto"/>
        <w:right w:val="none" w:sz="0" w:space="0" w:color="auto"/>
      </w:divBdr>
    </w:div>
    <w:div w:id="400565484">
      <w:bodyDiv w:val="1"/>
      <w:marLeft w:val="0"/>
      <w:marRight w:val="0"/>
      <w:marTop w:val="0"/>
      <w:marBottom w:val="0"/>
      <w:divBdr>
        <w:top w:val="none" w:sz="0" w:space="0" w:color="auto"/>
        <w:left w:val="none" w:sz="0" w:space="0" w:color="auto"/>
        <w:bottom w:val="none" w:sz="0" w:space="0" w:color="auto"/>
        <w:right w:val="none" w:sz="0" w:space="0" w:color="auto"/>
      </w:divBdr>
    </w:div>
    <w:div w:id="408113615">
      <w:bodyDiv w:val="1"/>
      <w:marLeft w:val="0"/>
      <w:marRight w:val="0"/>
      <w:marTop w:val="0"/>
      <w:marBottom w:val="0"/>
      <w:divBdr>
        <w:top w:val="none" w:sz="0" w:space="0" w:color="auto"/>
        <w:left w:val="none" w:sz="0" w:space="0" w:color="auto"/>
        <w:bottom w:val="none" w:sz="0" w:space="0" w:color="auto"/>
        <w:right w:val="none" w:sz="0" w:space="0" w:color="auto"/>
      </w:divBdr>
    </w:div>
    <w:div w:id="425466126">
      <w:bodyDiv w:val="1"/>
      <w:marLeft w:val="0"/>
      <w:marRight w:val="0"/>
      <w:marTop w:val="0"/>
      <w:marBottom w:val="0"/>
      <w:divBdr>
        <w:top w:val="none" w:sz="0" w:space="0" w:color="auto"/>
        <w:left w:val="none" w:sz="0" w:space="0" w:color="auto"/>
        <w:bottom w:val="none" w:sz="0" w:space="0" w:color="auto"/>
        <w:right w:val="none" w:sz="0" w:space="0" w:color="auto"/>
      </w:divBdr>
    </w:div>
    <w:div w:id="425737672">
      <w:bodyDiv w:val="1"/>
      <w:marLeft w:val="0"/>
      <w:marRight w:val="0"/>
      <w:marTop w:val="0"/>
      <w:marBottom w:val="0"/>
      <w:divBdr>
        <w:top w:val="none" w:sz="0" w:space="0" w:color="auto"/>
        <w:left w:val="none" w:sz="0" w:space="0" w:color="auto"/>
        <w:bottom w:val="none" w:sz="0" w:space="0" w:color="auto"/>
        <w:right w:val="none" w:sz="0" w:space="0" w:color="auto"/>
      </w:divBdr>
    </w:div>
    <w:div w:id="428745288">
      <w:bodyDiv w:val="1"/>
      <w:marLeft w:val="0"/>
      <w:marRight w:val="0"/>
      <w:marTop w:val="0"/>
      <w:marBottom w:val="0"/>
      <w:divBdr>
        <w:top w:val="none" w:sz="0" w:space="0" w:color="auto"/>
        <w:left w:val="none" w:sz="0" w:space="0" w:color="auto"/>
        <w:bottom w:val="none" w:sz="0" w:space="0" w:color="auto"/>
        <w:right w:val="none" w:sz="0" w:space="0" w:color="auto"/>
      </w:divBdr>
    </w:div>
    <w:div w:id="467431664">
      <w:bodyDiv w:val="1"/>
      <w:marLeft w:val="0"/>
      <w:marRight w:val="0"/>
      <w:marTop w:val="0"/>
      <w:marBottom w:val="0"/>
      <w:divBdr>
        <w:top w:val="none" w:sz="0" w:space="0" w:color="auto"/>
        <w:left w:val="none" w:sz="0" w:space="0" w:color="auto"/>
        <w:bottom w:val="none" w:sz="0" w:space="0" w:color="auto"/>
        <w:right w:val="none" w:sz="0" w:space="0" w:color="auto"/>
      </w:divBdr>
      <w:divsChild>
        <w:div w:id="835999994">
          <w:marLeft w:val="0"/>
          <w:marRight w:val="0"/>
          <w:marTop w:val="0"/>
          <w:marBottom w:val="0"/>
          <w:divBdr>
            <w:top w:val="none" w:sz="0" w:space="0" w:color="auto"/>
            <w:left w:val="none" w:sz="0" w:space="0" w:color="auto"/>
            <w:bottom w:val="none" w:sz="0" w:space="0" w:color="auto"/>
            <w:right w:val="none" w:sz="0" w:space="0" w:color="auto"/>
          </w:divBdr>
        </w:div>
      </w:divsChild>
    </w:div>
    <w:div w:id="525095502">
      <w:bodyDiv w:val="1"/>
      <w:marLeft w:val="0"/>
      <w:marRight w:val="0"/>
      <w:marTop w:val="0"/>
      <w:marBottom w:val="0"/>
      <w:divBdr>
        <w:top w:val="none" w:sz="0" w:space="0" w:color="auto"/>
        <w:left w:val="none" w:sz="0" w:space="0" w:color="auto"/>
        <w:bottom w:val="none" w:sz="0" w:space="0" w:color="auto"/>
        <w:right w:val="none" w:sz="0" w:space="0" w:color="auto"/>
      </w:divBdr>
    </w:div>
    <w:div w:id="528837739">
      <w:bodyDiv w:val="1"/>
      <w:marLeft w:val="0"/>
      <w:marRight w:val="0"/>
      <w:marTop w:val="0"/>
      <w:marBottom w:val="0"/>
      <w:divBdr>
        <w:top w:val="none" w:sz="0" w:space="0" w:color="auto"/>
        <w:left w:val="none" w:sz="0" w:space="0" w:color="auto"/>
        <w:bottom w:val="none" w:sz="0" w:space="0" w:color="auto"/>
        <w:right w:val="none" w:sz="0" w:space="0" w:color="auto"/>
      </w:divBdr>
    </w:div>
    <w:div w:id="533277825">
      <w:bodyDiv w:val="1"/>
      <w:marLeft w:val="0"/>
      <w:marRight w:val="0"/>
      <w:marTop w:val="0"/>
      <w:marBottom w:val="0"/>
      <w:divBdr>
        <w:top w:val="none" w:sz="0" w:space="0" w:color="auto"/>
        <w:left w:val="none" w:sz="0" w:space="0" w:color="auto"/>
        <w:bottom w:val="none" w:sz="0" w:space="0" w:color="auto"/>
        <w:right w:val="none" w:sz="0" w:space="0" w:color="auto"/>
      </w:divBdr>
    </w:div>
    <w:div w:id="538401183">
      <w:bodyDiv w:val="1"/>
      <w:marLeft w:val="0"/>
      <w:marRight w:val="0"/>
      <w:marTop w:val="0"/>
      <w:marBottom w:val="0"/>
      <w:divBdr>
        <w:top w:val="none" w:sz="0" w:space="0" w:color="auto"/>
        <w:left w:val="none" w:sz="0" w:space="0" w:color="auto"/>
        <w:bottom w:val="none" w:sz="0" w:space="0" w:color="auto"/>
        <w:right w:val="none" w:sz="0" w:space="0" w:color="auto"/>
      </w:divBdr>
      <w:divsChild>
        <w:div w:id="317348578">
          <w:marLeft w:val="0"/>
          <w:marRight w:val="0"/>
          <w:marTop w:val="0"/>
          <w:marBottom w:val="0"/>
          <w:divBdr>
            <w:top w:val="none" w:sz="0" w:space="0" w:color="auto"/>
            <w:left w:val="none" w:sz="0" w:space="0" w:color="auto"/>
            <w:bottom w:val="none" w:sz="0" w:space="0" w:color="auto"/>
            <w:right w:val="none" w:sz="0" w:space="0" w:color="auto"/>
          </w:divBdr>
        </w:div>
      </w:divsChild>
    </w:div>
    <w:div w:id="545332130">
      <w:bodyDiv w:val="1"/>
      <w:marLeft w:val="0"/>
      <w:marRight w:val="0"/>
      <w:marTop w:val="0"/>
      <w:marBottom w:val="0"/>
      <w:divBdr>
        <w:top w:val="none" w:sz="0" w:space="0" w:color="auto"/>
        <w:left w:val="none" w:sz="0" w:space="0" w:color="auto"/>
        <w:bottom w:val="none" w:sz="0" w:space="0" w:color="auto"/>
        <w:right w:val="none" w:sz="0" w:space="0" w:color="auto"/>
      </w:divBdr>
      <w:divsChild>
        <w:div w:id="908728606">
          <w:marLeft w:val="0"/>
          <w:marRight w:val="0"/>
          <w:marTop w:val="0"/>
          <w:marBottom w:val="0"/>
          <w:divBdr>
            <w:top w:val="none" w:sz="0" w:space="0" w:color="auto"/>
            <w:left w:val="none" w:sz="0" w:space="0" w:color="auto"/>
            <w:bottom w:val="none" w:sz="0" w:space="0" w:color="auto"/>
            <w:right w:val="none" w:sz="0" w:space="0" w:color="auto"/>
          </w:divBdr>
        </w:div>
      </w:divsChild>
    </w:div>
    <w:div w:id="559369011">
      <w:bodyDiv w:val="1"/>
      <w:marLeft w:val="0"/>
      <w:marRight w:val="0"/>
      <w:marTop w:val="0"/>
      <w:marBottom w:val="0"/>
      <w:divBdr>
        <w:top w:val="none" w:sz="0" w:space="0" w:color="auto"/>
        <w:left w:val="none" w:sz="0" w:space="0" w:color="auto"/>
        <w:bottom w:val="none" w:sz="0" w:space="0" w:color="auto"/>
        <w:right w:val="none" w:sz="0" w:space="0" w:color="auto"/>
      </w:divBdr>
      <w:divsChild>
        <w:div w:id="1967664302">
          <w:marLeft w:val="0"/>
          <w:marRight w:val="0"/>
          <w:marTop w:val="0"/>
          <w:marBottom w:val="0"/>
          <w:divBdr>
            <w:top w:val="none" w:sz="0" w:space="0" w:color="auto"/>
            <w:left w:val="none" w:sz="0" w:space="0" w:color="auto"/>
            <w:bottom w:val="none" w:sz="0" w:space="0" w:color="auto"/>
            <w:right w:val="none" w:sz="0" w:space="0" w:color="auto"/>
          </w:divBdr>
        </w:div>
      </w:divsChild>
    </w:div>
    <w:div w:id="565646861">
      <w:bodyDiv w:val="1"/>
      <w:marLeft w:val="0"/>
      <w:marRight w:val="0"/>
      <w:marTop w:val="0"/>
      <w:marBottom w:val="0"/>
      <w:divBdr>
        <w:top w:val="none" w:sz="0" w:space="0" w:color="auto"/>
        <w:left w:val="none" w:sz="0" w:space="0" w:color="auto"/>
        <w:bottom w:val="none" w:sz="0" w:space="0" w:color="auto"/>
        <w:right w:val="none" w:sz="0" w:space="0" w:color="auto"/>
      </w:divBdr>
      <w:divsChild>
        <w:div w:id="342509610">
          <w:marLeft w:val="0"/>
          <w:marRight w:val="0"/>
          <w:marTop w:val="0"/>
          <w:marBottom w:val="0"/>
          <w:divBdr>
            <w:top w:val="none" w:sz="0" w:space="0" w:color="auto"/>
            <w:left w:val="none" w:sz="0" w:space="0" w:color="auto"/>
            <w:bottom w:val="none" w:sz="0" w:space="0" w:color="auto"/>
            <w:right w:val="none" w:sz="0" w:space="0" w:color="auto"/>
          </w:divBdr>
        </w:div>
      </w:divsChild>
    </w:div>
    <w:div w:id="570508695">
      <w:bodyDiv w:val="1"/>
      <w:marLeft w:val="0"/>
      <w:marRight w:val="0"/>
      <w:marTop w:val="0"/>
      <w:marBottom w:val="0"/>
      <w:divBdr>
        <w:top w:val="none" w:sz="0" w:space="0" w:color="auto"/>
        <w:left w:val="none" w:sz="0" w:space="0" w:color="auto"/>
        <w:bottom w:val="none" w:sz="0" w:space="0" w:color="auto"/>
        <w:right w:val="none" w:sz="0" w:space="0" w:color="auto"/>
      </w:divBdr>
      <w:divsChild>
        <w:div w:id="2050448942">
          <w:marLeft w:val="0"/>
          <w:marRight w:val="0"/>
          <w:marTop w:val="0"/>
          <w:marBottom w:val="0"/>
          <w:divBdr>
            <w:top w:val="none" w:sz="0" w:space="0" w:color="auto"/>
            <w:left w:val="none" w:sz="0" w:space="0" w:color="auto"/>
            <w:bottom w:val="none" w:sz="0" w:space="0" w:color="auto"/>
            <w:right w:val="none" w:sz="0" w:space="0" w:color="auto"/>
          </w:divBdr>
        </w:div>
      </w:divsChild>
    </w:div>
    <w:div w:id="578367638">
      <w:bodyDiv w:val="1"/>
      <w:marLeft w:val="0"/>
      <w:marRight w:val="0"/>
      <w:marTop w:val="0"/>
      <w:marBottom w:val="0"/>
      <w:divBdr>
        <w:top w:val="none" w:sz="0" w:space="0" w:color="auto"/>
        <w:left w:val="none" w:sz="0" w:space="0" w:color="auto"/>
        <w:bottom w:val="none" w:sz="0" w:space="0" w:color="auto"/>
        <w:right w:val="none" w:sz="0" w:space="0" w:color="auto"/>
      </w:divBdr>
    </w:div>
    <w:div w:id="582957452">
      <w:bodyDiv w:val="1"/>
      <w:marLeft w:val="0"/>
      <w:marRight w:val="0"/>
      <w:marTop w:val="0"/>
      <w:marBottom w:val="0"/>
      <w:divBdr>
        <w:top w:val="none" w:sz="0" w:space="0" w:color="auto"/>
        <w:left w:val="none" w:sz="0" w:space="0" w:color="auto"/>
        <w:bottom w:val="none" w:sz="0" w:space="0" w:color="auto"/>
        <w:right w:val="none" w:sz="0" w:space="0" w:color="auto"/>
      </w:divBdr>
    </w:div>
    <w:div w:id="593436229">
      <w:bodyDiv w:val="1"/>
      <w:marLeft w:val="0"/>
      <w:marRight w:val="0"/>
      <w:marTop w:val="0"/>
      <w:marBottom w:val="0"/>
      <w:divBdr>
        <w:top w:val="none" w:sz="0" w:space="0" w:color="auto"/>
        <w:left w:val="none" w:sz="0" w:space="0" w:color="auto"/>
        <w:bottom w:val="none" w:sz="0" w:space="0" w:color="auto"/>
        <w:right w:val="none" w:sz="0" w:space="0" w:color="auto"/>
      </w:divBdr>
      <w:divsChild>
        <w:div w:id="1027560975">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606501786">
      <w:bodyDiv w:val="1"/>
      <w:marLeft w:val="0"/>
      <w:marRight w:val="0"/>
      <w:marTop w:val="0"/>
      <w:marBottom w:val="0"/>
      <w:divBdr>
        <w:top w:val="none" w:sz="0" w:space="0" w:color="auto"/>
        <w:left w:val="none" w:sz="0" w:space="0" w:color="auto"/>
        <w:bottom w:val="none" w:sz="0" w:space="0" w:color="auto"/>
        <w:right w:val="none" w:sz="0" w:space="0" w:color="auto"/>
      </w:divBdr>
      <w:divsChild>
        <w:div w:id="2003467967">
          <w:marLeft w:val="0"/>
          <w:marRight w:val="0"/>
          <w:marTop w:val="0"/>
          <w:marBottom w:val="0"/>
          <w:divBdr>
            <w:top w:val="none" w:sz="0" w:space="0" w:color="auto"/>
            <w:left w:val="none" w:sz="0" w:space="0" w:color="auto"/>
            <w:bottom w:val="none" w:sz="0" w:space="0" w:color="auto"/>
            <w:right w:val="none" w:sz="0" w:space="0" w:color="auto"/>
          </w:divBdr>
        </w:div>
      </w:divsChild>
    </w:div>
    <w:div w:id="667054025">
      <w:bodyDiv w:val="1"/>
      <w:marLeft w:val="0"/>
      <w:marRight w:val="0"/>
      <w:marTop w:val="0"/>
      <w:marBottom w:val="0"/>
      <w:divBdr>
        <w:top w:val="none" w:sz="0" w:space="0" w:color="auto"/>
        <w:left w:val="none" w:sz="0" w:space="0" w:color="auto"/>
        <w:bottom w:val="none" w:sz="0" w:space="0" w:color="auto"/>
        <w:right w:val="none" w:sz="0" w:space="0" w:color="auto"/>
      </w:divBdr>
    </w:div>
    <w:div w:id="689993806">
      <w:bodyDiv w:val="1"/>
      <w:marLeft w:val="0"/>
      <w:marRight w:val="0"/>
      <w:marTop w:val="0"/>
      <w:marBottom w:val="0"/>
      <w:divBdr>
        <w:top w:val="none" w:sz="0" w:space="0" w:color="auto"/>
        <w:left w:val="none" w:sz="0" w:space="0" w:color="auto"/>
        <w:bottom w:val="none" w:sz="0" w:space="0" w:color="auto"/>
        <w:right w:val="none" w:sz="0" w:space="0" w:color="auto"/>
      </w:divBdr>
      <w:divsChild>
        <w:div w:id="1914663324">
          <w:marLeft w:val="0"/>
          <w:marRight w:val="0"/>
          <w:marTop w:val="0"/>
          <w:marBottom w:val="0"/>
          <w:divBdr>
            <w:top w:val="none" w:sz="0" w:space="0" w:color="auto"/>
            <w:left w:val="none" w:sz="0" w:space="0" w:color="auto"/>
            <w:bottom w:val="none" w:sz="0" w:space="0" w:color="auto"/>
            <w:right w:val="none" w:sz="0" w:space="0" w:color="auto"/>
          </w:divBdr>
        </w:div>
      </w:divsChild>
    </w:div>
    <w:div w:id="694043189">
      <w:bodyDiv w:val="1"/>
      <w:marLeft w:val="0"/>
      <w:marRight w:val="0"/>
      <w:marTop w:val="0"/>
      <w:marBottom w:val="0"/>
      <w:divBdr>
        <w:top w:val="none" w:sz="0" w:space="0" w:color="auto"/>
        <w:left w:val="none" w:sz="0" w:space="0" w:color="auto"/>
        <w:bottom w:val="none" w:sz="0" w:space="0" w:color="auto"/>
        <w:right w:val="none" w:sz="0" w:space="0" w:color="auto"/>
      </w:divBdr>
    </w:div>
    <w:div w:id="738094786">
      <w:bodyDiv w:val="1"/>
      <w:marLeft w:val="0"/>
      <w:marRight w:val="0"/>
      <w:marTop w:val="0"/>
      <w:marBottom w:val="0"/>
      <w:divBdr>
        <w:top w:val="none" w:sz="0" w:space="0" w:color="auto"/>
        <w:left w:val="none" w:sz="0" w:space="0" w:color="auto"/>
        <w:bottom w:val="none" w:sz="0" w:space="0" w:color="auto"/>
        <w:right w:val="none" w:sz="0" w:space="0" w:color="auto"/>
      </w:divBdr>
    </w:div>
    <w:div w:id="748430782">
      <w:bodyDiv w:val="1"/>
      <w:marLeft w:val="0"/>
      <w:marRight w:val="0"/>
      <w:marTop w:val="0"/>
      <w:marBottom w:val="0"/>
      <w:divBdr>
        <w:top w:val="none" w:sz="0" w:space="0" w:color="auto"/>
        <w:left w:val="none" w:sz="0" w:space="0" w:color="auto"/>
        <w:bottom w:val="none" w:sz="0" w:space="0" w:color="auto"/>
        <w:right w:val="none" w:sz="0" w:space="0" w:color="auto"/>
      </w:divBdr>
    </w:div>
    <w:div w:id="750352851">
      <w:bodyDiv w:val="1"/>
      <w:marLeft w:val="0"/>
      <w:marRight w:val="0"/>
      <w:marTop w:val="0"/>
      <w:marBottom w:val="0"/>
      <w:divBdr>
        <w:top w:val="none" w:sz="0" w:space="0" w:color="auto"/>
        <w:left w:val="none" w:sz="0" w:space="0" w:color="auto"/>
        <w:bottom w:val="none" w:sz="0" w:space="0" w:color="auto"/>
        <w:right w:val="none" w:sz="0" w:space="0" w:color="auto"/>
      </w:divBdr>
      <w:divsChild>
        <w:div w:id="1076585940">
          <w:marLeft w:val="0"/>
          <w:marRight w:val="0"/>
          <w:marTop w:val="0"/>
          <w:marBottom w:val="0"/>
          <w:divBdr>
            <w:top w:val="none" w:sz="0" w:space="0" w:color="auto"/>
            <w:left w:val="none" w:sz="0" w:space="0" w:color="auto"/>
            <w:bottom w:val="none" w:sz="0" w:space="0" w:color="auto"/>
            <w:right w:val="none" w:sz="0" w:space="0" w:color="auto"/>
          </w:divBdr>
        </w:div>
      </w:divsChild>
    </w:div>
    <w:div w:id="772555364">
      <w:bodyDiv w:val="1"/>
      <w:marLeft w:val="0"/>
      <w:marRight w:val="0"/>
      <w:marTop w:val="0"/>
      <w:marBottom w:val="0"/>
      <w:divBdr>
        <w:top w:val="none" w:sz="0" w:space="0" w:color="auto"/>
        <w:left w:val="none" w:sz="0" w:space="0" w:color="auto"/>
        <w:bottom w:val="none" w:sz="0" w:space="0" w:color="auto"/>
        <w:right w:val="none" w:sz="0" w:space="0" w:color="auto"/>
      </w:divBdr>
      <w:divsChild>
        <w:div w:id="1418945361">
          <w:marLeft w:val="0"/>
          <w:marRight w:val="0"/>
          <w:marTop w:val="0"/>
          <w:marBottom w:val="0"/>
          <w:divBdr>
            <w:top w:val="none" w:sz="0" w:space="0" w:color="auto"/>
            <w:left w:val="none" w:sz="0" w:space="0" w:color="auto"/>
            <w:bottom w:val="none" w:sz="0" w:space="0" w:color="auto"/>
            <w:right w:val="none" w:sz="0" w:space="0" w:color="auto"/>
          </w:divBdr>
        </w:div>
      </w:divsChild>
    </w:div>
    <w:div w:id="794565105">
      <w:bodyDiv w:val="1"/>
      <w:marLeft w:val="0"/>
      <w:marRight w:val="0"/>
      <w:marTop w:val="0"/>
      <w:marBottom w:val="0"/>
      <w:divBdr>
        <w:top w:val="none" w:sz="0" w:space="0" w:color="auto"/>
        <w:left w:val="none" w:sz="0" w:space="0" w:color="auto"/>
        <w:bottom w:val="none" w:sz="0" w:space="0" w:color="auto"/>
        <w:right w:val="none" w:sz="0" w:space="0" w:color="auto"/>
      </w:divBdr>
      <w:divsChild>
        <w:div w:id="798113125">
          <w:marLeft w:val="0"/>
          <w:marRight w:val="0"/>
          <w:marTop w:val="0"/>
          <w:marBottom w:val="0"/>
          <w:divBdr>
            <w:top w:val="none" w:sz="0" w:space="0" w:color="auto"/>
            <w:left w:val="none" w:sz="0" w:space="0" w:color="auto"/>
            <w:bottom w:val="none" w:sz="0" w:space="0" w:color="auto"/>
            <w:right w:val="none" w:sz="0" w:space="0" w:color="auto"/>
          </w:divBdr>
        </w:div>
        <w:div w:id="1520044708">
          <w:marLeft w:val="0"/>
          <w:marRight w:val="0"/>
          <w:marTop w:val="0"/>
          <w:marBottom w:val="0"/>
          <w:divBdr>
            <w:top w:val="none" w:sz="0" w:space="0" w:color="auto"/>
            <w:left w:val="none" w:sz="0" w:space="0" w:color="auto"/>
            <w:bottom w:val="none" w:sz="0" w:space="0" w:color="auto"/>
            <w:right w:val="none" w:sz="0" w:space="0" w:color="auto"/>
          </w:divBdr>
        </w:div>
      </w:divsChild>
    </w:div>
    <w:div w:id="816343280">
      <w:bodyDiv w:val="1"/>
      <w:marLeft w:val="0"/>
      <w:marRight w:val="0"/>
      <w:marTop w:val="0"/>
      <w:marBottom w:val="0"/>
      <w:divBdr>
        <w:top w:val="none" w:sz="0" w:space="0" w:color="auto"/>
        <w:left w:val="none" w:sz="0" w:space="0" w:color="auto"/>
        <w:bottom w:val="none" w:sz="0" w:space="0" w:color="auto"/>
        <w:right w:val="none" w:sz="0" w:space="0" w:color="auto"/>
      </w:divBdr>
      <w:divsChild>
        <w:div w:id="1276131406">
          <w:marLeft w:val="0"/>
          <w:marRight w:val="0"/>
          <w:marTop w:val="0"/>
          <w:marBottom w:val="0"/>
          <w:divBdr>
            <w:top w:val="none" w:sz="0" w:space="0" w:color="auto"/>
            <w:left w:val="none" w:sz="0" w:space="0" w:color="auto"/>
            <w:bottom w:val="none" w:sz="0" w:space="0" w:color="auto"/>
            <w:right w:val="none" w:sz="0" w:space="0" w:color="auto"/>
          </w:divBdr>
        </w:div>
      </w:divsChild>
    </w:div>
    <w:div w:id="827330511">
      <w:bodyDiv w:val="1"/>
      <w:marLeft w:val="0"/>
      <w:marRight w:val="0"/>
      <w:marTop w:val="0"/>
      <w:marBottom w:val="0"/>
      <w:divBdr>
        <w:top w:val="none" w:sz="0" w:space="0" w:color="auto"/>
        <w:left w:val="none" w:sz="0" w:space="0" w:color="auto"/>
        <w:bottom w:val="none" w:sz="0" w:space="0" w:color="auto"/>
        <w:right w:val="none" w:sz="0" w:space="0" w:color="auto"/>
      </w:divBdr>
      <w:divsChild>
        <w:div w:id="1653868279">
          <w:marLeft w:val="0"/>
          <w:marRight w:val="0"/>
          <w:marTop w:val="0"/>
          <w:marBottom w:val="0"/>
          <w:divBdr>
            <w:top w:val="none" w:sz="0" w:space="0" w:color="auto"/>
            <w:left w:val="none" w:sz="0" w:space="0" w:color="auto"/>
            <w:bottom w:val="none" w:sz="0" w:space="0" w:color="auto"/>
            <w:right w:val="none" w:sz="0" w:space="0" w:color="auto"/>
          </w:divBdr>
        </w:div>
        <w:div w:id="1671251278">
          <w:marLeft w:val="0"/>
          <w:marRight w:val="0"/>
          <w:marTop w:val="0"/>
          <w:marBottom w:val="0"/>
          <w:divBdr>
            <w:top w:val="none" w:sz="0" w:space="0" w:color="auto"/>
            <w:left w:val="none" w:sz="0" w:space="0" w:color="auto"/>
            <w:bottom w:val="none" w:sz="0" w:space="0" w:color="auto"/>
            <w:right w:val="none" w:sz="0" w:space="0" w:color="auto"/>
          </w:divBdr>
        </w:div>
      </w:divsChild>
    </w:div>
    <w:div w:id="828057094">
      <w:bodyDiv w:val="1"/>
      <w:marLeft w:val="0"/>
      <w:marRight w:val="0"/>
      <w:marTop w:val="0"/>
      <w:marBottom w:val="0"/>
      <w:divBdr>
        <w:top w:val="none" w:sz="0" w:space="0" w:color="auto"/>
        <w:left w:val="none" w:sz="0" w:space="0" w:color="auto"/>
        <w:bottom w:val="none" w:sz="0" w:space="0" w:color="auto"/>
        <w:right w:val="none" w:sz="0" w:space="0" w:color="auto"/>
      </w:divBdr>
      <w:divsChild>
        <w:div w:id="2137673885">
          <w:marLeft w:val="0"/>
          <w:marRight w:val="0"/>
          <w:marTop w:val="0"/>
          <w:marBottom w:val="0"/>
          <w:divBdr>
            <w:top w:val="none" w:sz="0" w:space="0" w:color="auto"/>
            <w:left w:val="none" w:sz="0" w:space="0" w:color="auto"/>
            <w:bottom w:val="none" w:sz="0" w:space="0" w:color="auto"/>
            <w:right w:val="none" w:sz="0" w:space="0" w:color="auto"/>
          </w:divBdr>
        </w:div>
      </w:divsChild>
    </w:div>
    <w:div w:id="831023354">
      <w:bodyDiv w:val="1"/>
      <w:marLeft w:val="0"/>
      <w:marRight w:val="0"/>
      <w:marTop w:val="0"/>
      <w:marBottom w:val="0"/>
      <w:divBdr>
        <w:top w:val="none" w:sz="0" w:space="0" w:color="auto"/>
        <w:left w:val="none" w:sz="0" w:space="0" w:color="auto"/>
        <w:bottom w:val="none" w:sz="0" w:space="0" w:color="auto"/>
        <w:right w:val="none" w:sz="0" w:space="0" w:color="auto"/>
      </w:divBdr>
    </w:div>
    <w:div w:id="849686218">
      <w:bodyDiv w:val="1"/>
      <w:marLeft w:val="0"/>
      <w:marRight w:val="0"/>
      <w:marTop w:val="0"/>
      <w:marBottom w:val="0"/>
      <w:divBdr>
        <w:top w:val="none" w:sz="0" w:space="0" w:color="auto"/>
        <w:left w:val="none" w:sz="0" w:space="0" w:color="auto"/>
        <w:bottom w:val="none" w:sz="0" w:space="0" w:color="auto"/>
        <w:right w:val="none" w:sz="0" w:space="0" w:color="auto"/>
      </w:divBdr>
    </w:div>
    <w:div w:id="922255165">
      <w:bodyDiv w:val="1"/>
      <w:marLeft w:val="0"/>
      <w:marRight w:val="0"/>
      <w:marTop w:val="0"/>
      <w:marBottom w:val="0"/>
      <w:divBdr>
        <w:top w:val="none" w:sz="0" w:space="0" w:color="auto"/>
        <w:left w:val="none" w:sz="0" w:space="0" w:color="auto"/>
        <w:bottom w:val="none" w:sz="0" w:space="0" w:color="auto"/>
        <w:right w:val="none" w:sz="0" w:space="0" w:color="auto"/>
      </w:divBdr>
    </w:div>
    <w:div w:id="933511686">
      <w:bodyDiv w:val="1"/>
      <w:marLeft w:val="0"/>
      <w:marRight w:val="0"/>
      <w:marTop w:val="0"/>
      <w:marBottom w:val="0"/>
      <w:divBdr>
        <w:top w:val="none" w:sz="0" w:space="0" w:color="auto"/>
        <w:left w:val="none" w:sz="0" w:space="0" w:color="auto"/>
        <w:bottom w:val="none" w:sz="0" w:space="0" w:color="auto"/>
        <w:right w:val="none" w:sz="0" w:space="0" w:color="auto"/>
      </w:divBdr>
    </w:div>
    <w:div w:id="934899685">
      <w:bodyDiv w:val="1"/>
      <w:marLeft w:val="0"/>
      <w:marRight w:val="0"/>
      <w:marTop w:val="0"/>
      <w:marBottom w:val="0"/>
      <w:divBdr>
        <w:top w:val="none" w:sz="0" w:space="0" w:color="auto"/>
        <w:left w:val="none" w:sz="0" w:space="0" w:color="auto"/>
        <w:bottom w:val="none" w:sz="0" w:space="0" w:color="auto"/>
        <w:right w:val="none" w:sz="0" w:space="0" w:color="auto"/>
      </w:divBdr>
      <w:divsChild>
        <w:div w:id="2108771528">
          <w:marLeft w:val="0"/>
          <w:marRight w:val="0"/>
          <w:marTop w:val="0"/>
          <w:marBottom w:val="0"/>
          <w:divBdr>
            <w:top w:val="none" w:sz="0" w:space="0" w:color="auto"/>
            <w:left w:val="none" w:sz="0" w:space="0" w:color="auto"/>
            <w:bottom w:val="none" w:sz="0" w:space="0" w:color="auto"/>
            <w:right w:val="none" w:sz="0" w:space="0" w:color="auto"/>
          </w:divBdr>
        </w:div>
      </w:divsChild>
    </w:div>
    <w:div w:id="937718737">
      <w:bodyDiv w:val="1"/>
      <w:marLeft w:val="0"/>
      <w:marRight w:val="0"/>
      <w:marTop w:val="0"/>
      <w:marBottom w:val="0"/>
      <w:divBdr>
        <w:top w:val="none" w:sz="0" w:space="0" w:color="auto"/>
        <w:left w:val="none" w:sz="0" w:space="0" w:color="auto"/>
        <w:bottom w:val="none" w:sz="0" w:space="0" w:color="auto"/>
        <w:right w:val="none" w:sz="0" w:space="0" w:color="auto"/>
      </w:divBdr>
    </w:div>
    <w:div w:id="965820933">
      <w:bodyDiv w:val="1"/>
      <w:marLeft w:val="0"/>
      <w:marRight w:val="0"/>
      <w:marTop w:val="0"/>
      <w:marBottom w:val="0"/>
      <w:divBdr>
        <w:top w:val="none" w:sz="0" w:space="0" w:color="auto"/>
        <w:left w:val="none" w:sz="0" w:space="0" w:color="auto"/>
        <w:bottom w:val="none" w:sz="0" w:space="0" w:color="auto"/>
        <w:right w:val="none" w:sz="0" w:space="0" w:color="auto"/>
      </w:divBdr>
      <w:divsChild>
        <w:div w:id="1231044037">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013648701">
      <w:bodyDiv w:val="1"/>
      <w:marLeft w:val="0"/>
      <w:marRight w:val="0"/>
      <w:marTop w:val="0"/>
      <w:marBottom w:val="0"/>
      <w:divBdr>
        <w:top w:val="none" w:sz="0" w:space="0" w:color="auto"/>
        <w:left w:val="none" w:sz="0" w:space="0" w:color="auto"/>
        <w:bottom w:val="none" w:sz="0" w:space="0" w:color="auto"/>
        <w:right w:val="none" w:sz="0" w:space="0" w:color="auto"/>
      </w:divBdr>
    </w:div>
    <w:div w:id="1020199005">
      <w:bodyDiv w:val="1"/>
      <w:marLeft w:val="0"/>
      <w:marRight w:val="0"/>
      <w:marTop w:val="0"/>
      <w:marBottom w:val="0"/>
      <w:divBdr>
        <w:top w:val="none" w:sz="0" w:space="0" w:color="auto"/>
        <w:left w:val="none" w:sz="0" w:space="0" w:color="auto"/>
        <w:bottom w:val="none" w:sz="0" w:space="0" w:color="auto"/>
        <w:right w:val="none" w:sz="0" w:space="0" w:color="auto"/>
      </w:divBdr>
    </w:div>
    <w:div w:id="1034233889">
      <w:bodyDiv w:val="1"/>
      <w:marLeft w:val="0"/>
      <w:marRight w:val="0"/>
      <w:marTop w:val="0"/>
      <w:marBottom w:val="0"/>
      <w:divBdr>
        <w:top w:val="none" w:sz="0" w:space="0" w:color="auto"/>
        <w:left w:val="none" w:sz="0" w:space="0" w:color="auto"/>
        <w:bottom w:val="none" w:sz="0" w:space="0" w:color="auto"/>
        <w:right w:val="none" w:sz="0" w:space="0" w:color="auto"/>
      </w:divBdr>
    </w:div>
    <w:div w:id="1045133283">
      <w:bodyDiv w:val="1"/>
      <w:marLeft w:val="0"/>
      <w:marRight w:val="0"/>
      <w:marTop w:val="0"/>
      <w:marBottom w:val="0"/>
      <w:divBdr>
        <w:top w:val="none" w:sz="0" w:space="0" w:color="auto"/>
        <w:left w:val="none" w:sz="0" w:space="0" w:color="auto"/>
        <w:bottom w:val="none" w:sz="0" w:space="0" w:color="auto"/>
        <w:right w:val="none" w:sz="0" w:space="0" w:color="auto"/>
      </w:divBdr>
    </w:div>
    <w:div w:id="1080903872">
      <w:bodyDiv w:val="1"/>
      <w:marLeft w:val="0"/>
      <w:marRight w:val="0"/>
      <w:marTop w:val="0"/>
      <w:marBottom w:val="0"/>
      <w:divBdr>
        <w:top w:val="none" w:sz="0" w:space="0" w:color="auto"/>
        <w:left w:val="none" w:sz="0" w:space="0" w:color="auto"/>
        <w:bottom w:val="none" w:sz="0" w:space="0" w:color="auto"/>
        <w:right w:val="none" w:sz="0" w:space="0" w:color="auto"/>
      </w:divBdr>
    </w:div>
    <w:div w:id="1098450484">
      <w:bodyDiv w:val="1"/>
      <w:marLeft w:val="0"/>
      <w:marRight w:val="0"/>
      <w:marTop w:val="0"/>
      <w:marBottom w:val="0"/>
      <w:divBdr>
        <w:top w:val="none" w:sz="0" w:space="0" w:color="auto"/>
        <w:left w:val="none" w:sz="0" w:space="0" w:color="auto"/>
        <w:bottom w:val="none" w:sz="0" w:space="0" w:color="auto"/>
        <w:right w:val="none" w:sz="0" w:space="0" w:color="auto"/>
      </w:divBdr>
    </w:div>
    <w:div w:id="1142115971">
      <w:bodyDiv w:val="1"/>
      <w:marLeft w:val="0"/>
      <w:marRight w:val="0"/>
      <w:marTop w:val="0"/>
      <w:marBottom w:val="0"/>
      <w:divBdr>
        <w:top w:val="none" w:sz="0" w:space="0" w:color="auto"/>
        <w:left w:val="none" w:sz="0" w:space="0" w:color="auto"/>
        <w:bottom w:val="none" w:sz="0" w:space="0" w:color="auto"/>
        <w:right w:val="none" w:sz="0" w:space="0" w:color="auto"/>
      </w:divBdr>
      <w:divsChild>
        <w:div w:id="264191229">
          <w:marLeft w:val="0"/>
          <w:marRight w:val="0"/>
          <w:marTop w:val="0"/>
          <w:marBottom w:val="0"/>
          <w:divBdr>
            <w:top w:val="none" w:sz="0" w:space="0" w:color="auto"/>
            <w:left w:val="none" w:sz="0" w:space="0" w:color="auto"/>
            <w:bottom w:val="none" w:sz="0" w:space="0" w:color="auto"/>
            <w:right w:val="none" w:sz="0" w:space="0" w:color="auto"/>
          </w:divBdr>
        </w:div>
      </w:divsChild>
    </w:div>
    <w:div w:id="1155881118">
      <w:bodyDiv w:val="1"/>
      <w:marLeft w:val="0"/>
      <w:marRight w:val="0"/>
      <w:marTop w:val="0"/>
      <w:marBottom w:val="0"/>
      <w:divBdr>
        <w:top w:val="none" w:sz="0" w:space="0" w:color="auto"/>
        <w:left w:val="none" w:sz="0" w:space="0" w:color="auto"/>
        <w:bottom w:val="none" w:sz="0" w:space="0" w:color="auto"/>
        <w:right w:val="none" w:sz="0" w:space="0" w:color="auto"/>
      </w:divBdr>
      <w:divsChild>
        <w:div w:id="202250137">
          <w:marLeft w:val="0"/>
          <w:marRight w:val="0"/>
          <w:marTop w:val="0"/>
          <w:marBottom w:val="0"/>
          <w:divBdr>
            <w:top w:val="none" w:sz="0" w:space="0" w:color="auto"/>
            <w:left w:val="none" w:sz="0" w:space="0" w:color="auto"/>
            <w:bottom w:val="none" w:sz="0" w:space="0" w:color="auto"/>
            <w:right w:val="none" w:sz="0" w:space="0" w:color="auto"/>
          </w:divBdr>
        </w:div>
      </w:divsChild>
    </w:div>
    <w:div w:id="1190416068">
      <w:bodyDiv w:val="1"/>
      <w:marLeft w:val="0"/>
      <w:marRight w:val="0"/>
      <w:marTop w:val="0"/>
      <w:marBottom w:val="0"/>
      <w:divBdr>
        <w:top w:val="none" w:sz="0" w:space="0" w:color="auto"/>
        <w:left w:val="none" w:sz="0" w:space="0" w:color="auto"/>
        <w:bottom w:val="none" w:sz="0" w:space="0" w:color="auto"/>
        <w:right w:val="none" w:sz="0" w:space="0" w:color="auto"/>
      </w:divBdr>
    </w:div>
    <w:div w:id="1204169096">
      <w:bodyDiv w:val="1"/>
      <w:marLeft w:val="0"/>
      <w:marRight w:val="0"/>
      <w:marTop w:val="0"/>
      <w:marBottom w:val="0"/>
      <w:divBdr>
        <w:top w:val="none" w:sz="0" w:space="0" w:color="auto"/>
        <w:left w:val="none" w:sz="0" w:space="0" w:color="auto"/>
        <w:bottom w:val="none" w:sz="0" w:space="0" w:color="auto"/>
        <w:right w:val="none" w:sz="0" w:space="0" w:color="auto"/>
      </w:divBdr>
      <w:divsChild>
        <w:div w:id="1748765055">
          <w:marLeft w:val="0"/>
          <w:marRight w:val="0"/>
          <w:marTop w:val="0"/>
          <w:marBottom w:val="0"/>
          <w:divBdr>
            <w:top w:val="none" w:sz="0" w:space="0" w:color="auto"/>
            <w:left w:val="none" w:sz="0" w:space="0" w:color="auto"/>
            <w:bottom w:val="none" w:sz="0" w:space="0" w:color="auto"/>
            <w:right w:val="none" w:sz="0" w:space="0" w:color="auto"/>
          </w:divBdr>
        </w:div>
      </w:divsChild>
    </w:div>
    <w:div w:id="1208299626">
      <w:bodyDiv w:val="1"/>
      <w:marLeft w:val="0"/>
      <w:marRight w:val="0"/>
      <w:marTop w:val="0"/>
      <w:marBottom w:val="0"/>
      <w:divBdr>
        <w:top w:val="none" w:sz="0" w:space="0" w:color="auto"/>
        <w:left w:val="none" w:sz="0" w:space="0" w:color="auto"/>
        <w:bottom w:val="none" w:sz="0" w:space="0" w:color="auto"/>
        <w:right w:val="none" w:sz="0" w:space="0" w:color="auto"/>
      </w:divBdr>
    </w:div>
    <w:div w:id="1212763173">
      <w:bodyDiv w:val="1"/>
      <w:marLeft w:val="0"/>
      <w:marRight w:val="0"/>
      <w:marTop w:val="0"/>
      <w:marBottom w:val="0"/>
      <w:divBdr>
        <w:top w:val="none" w:sz="0" w:space="0" w:color="auto"/>
        <w:left w:val="none" w:sz="0" w:space="0" w:color="auto"/>
        <w:bottom w:val="none" w:sz="0" w:space="0" w:color="auto"/>
        <w:right w:val="none" w:sz="0" w:space="0" w:color="auto"/>
      </w:divBdr>
      <w:divsChild>
        <w:div w:id="86539035">
          <w:marLeft w:val="0"/>
          <w:marRight w:val="0"/>
          <w:marTop w:val="0"/>
          <w:marBottom w:val="0"/>
          <w:divBdr>
            <w:top w:val="none" w:sz="0" w:space="0" w:color="auto"/>
            <w:left w:val="none" w:sz="0" w:space="0" w:color="auto"/>
            <w:bottom w:val="none" w:sz="0" w:space="0" w:color="auto"/>
            <w:right w:val="none" w:sz="0" w:space="0" w:color="auto"/>
          </w:divBdr>
        </w:div>
        <w:div w:id="301469972">
          <w:marLeft w:val="0"/>
          <w:marRight w:val="0"/>
          <w:marTop w:val="0"/>
          <w:marBottom w:val="0"/>
          <w:divBdr>
            <w:top w:val="none" w:sz="0" w:space="0" w:color="auto"/>
            <w:left w:val="none" w:sz="0" w:space="0" w:color="auto"/>
            <w:bottom w:val="none" w:sz="0" w:space="0" w:color="auto"/>
            <w:right w:val="none" w:sz="0" w:space="0" w:color="auto"/>
          </w:divBdr>
        </w:div>
        <w:div w:id="1217082702">
          <w:marLeft w:val="0"/>
          <w:marRight w:val="0"/>
          <w:marTop w:val="0"/>
          <w:marBottom w:val="0"/>
          <w:divBdr>
            <w:top w:val="none" w:sz="0" w:space="0" w:color="auto"/>
            <w:left w:val="none" w:sz="0" w:space="0" w:color="auto"/>
            <w:bottom w:val="none" w:sz="0" w:space="0" w:color="auto"/>
            <w:right w:val="none" w:sz="0" w:space="0" w:color="auto"/>
          </w:divBdr>
        </w:div>
        <w:div w:id="1871214559">
          <w:marLeft w:val="0"/>
          <w:marRight w:val="0"/>
          <w:marTop w:val="0"/>
          <w:marBottom w:val="0"/>
          <w:divBdr>
            <w:top w:val="none" w:sz="0" w:space="0" w:color="auto"/>
            <w:left w:val="none" w:sz="0" w:space="0" w:color="auto"/>
            <w:bottom w:val="none" w:sz="0" w:space="0" w:color="auto"/>
            <w:right w:val="none" w:sz="0" w:space="0" w:color="auto"/>
          </w:divBdr>
        </w:div>
        <w:div w:id="2043246690">
          <w:marLeft w:val="0"/>
          <w:marRight w:val="0"/>
          <w:marTop w:val="0"/>
          <w:marBottom w:val="0"/>
          <w:divBdr>
            <w:top w:val="none" w:sz="0" w:space="0" w:color="auto"/>
            <w:left w:val="none" w:sz="0" w:space="0" w:color="auto"/>
            <w:bottom w:val="none" w:sz="0" w:space="0" w:color="auto"/>
            <w:right w:val="none" w:sz="0" w:space="0" w:color="auto"/>
          </w:divBdr>
        </w:div>
      </w:divsChild>
    </w:div>
    <w:div w:id="12193668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076">
          <w:marLeft w:val="0"/>
          <w:marRight w:val="0"/>
          <w:marTop w:val="0"/>
          <w:marBottom w:val="0"/>
          <w:divBdr>
            <w:top w:val="none" w:sz="0" w:space="0" w:color="auto"/>
            <w:left w:val="none" w:sz="0" w:space="0" w:color="auto"/>
            <w:bottom w:val="none" w:sz="0" w:space="0" w:color="auto"/>
            <w:right w:val="none" w:sz="0" w:space="0" w:color="auto"/>
          </w:divBdr>
        </w:div>
      </w:divsChild>
    </w:div>
    <w:div w:id="1253927872">
      <w:bodyDiv w:val="1"/>
      <w:marLeft w:val="0"/>
      <w:marRight w:val="0"/>
      <w:marTop w:val="0"/>
      <w:marBottom w:val="0"/>
      <w:divBdr>
        <w:top w:val="none" w:sz="0" w:space="0" w:color="auto"/>
        <w:left w:val="none" w:sz="0" w:space="0" w:color="auto"/>
        <w:bottom w:val="none" w:sz="0" w:space="0" w:color="auto"/>
        <w:right w:val="none" w:sz="0" w:space="0" w:color="auto"/>
      </w:divBdr>
    </w:div>
    <w:div w:id="1254777788">
      <w:bodyDiv w:val="1"/>
      <w:marLeft w:val="0"/>
      <w:marRight w:val="0"/>
      <w:marTop w:val="0"/>
      <w:marBottom w:val="0"/>
      <w:divBdr>
        <w:top w:val="none" w:sz="0" w:space="0" w:color="auto"/>
        <w:left w:val="none" w:sz="0" w:space="0" w:color="auto"/>
        <w:bottom w:val="none" w:sz="0" w:space="0" w:color="auto"/>
        <w:right w:val="none" w:sz="0" w:space="0" w:color="auto"/>
      </w:divBdr>
    </w:div>
    <w:div w:id="1298947070">
      <w:bodyDiv w:val="1"/>
      <w:marLeft w:val="0"/>
      <w:marRight w:val="0"/>
      <w:marTop w:val="0"/>
      <w:marBottom w:val="0"/>
      <w:divBdr>
        <w:top w:val="none" w:sz="0" w:space="0" w:color="auto"/>
        <w:left w:val="none" w:sz="0" w:space="0" w:color="auto"/>
        <w:bottom w:val="none" w:sz="0" w:space="0" w:color="auto"/>
        <w:right w:val="none" w:sz="0" w:space="0" w:color="auto"/>
      </w:divBdr>
      <w:divsChild>
        <w:div w:id="752357859">
          <w:marLeft w:val="0"/>
          <w:marRight w:val="0"/>
          <w:marTop w:val="0"/>
          <w:marBottom w:val="0"/>
          <w:divBdr>
            <w:top w:val="none" w:sz="0" w:space="0" w:color="auto"/>
            <w:left w:val="none" w:sz="0" w:space="0" w:color="auto"/>
            <w:bottom w:val="none" w:sz="0" w:space="0" w:color="auto"/>
            <w:right w:val="none" w:sz="0" w:space="0" w:color="auto"/>
          </w:divBdr>
        </w:div>
      </w:divsChild>
    </w:div>
    <w:div w:id="1311253378">
      <w:bodyDiv w:val="1"/>
      <w:marLeft w:val="0"/>
      <w:marRight w:val="0"/>
      <w:marTop w:val="0"/>
      <w:marBottom w:val="0"/>
      <w:divBdr>
        <w:top w:val="none" w:sz="0" w:space="0" w:color="auto"/>
        <w:left w:val="none" w:sz="0" w:space="0" w:color="auto"/>
        <w:bottom w:val="none" w:sz="0" w:space="0" w:color="auto"/>
        <w:right w:val="none" w:sz="0" w:space="0" w:color="auto"/>
      </w:divBdr>
      <w:divsChild>
        <w:div w:id="280378441">
          <w:marLeft w:val="0"/>
          <w:marRight w:val="0"/>
          <w:marTop w:val="0"/>
          <w:marBottom w:val="0"/>
          <w:divBdr>
            <w:top w:val="none" w:sz="0" w:space="0" w:color="auto"/>
            <w:left w:val="none" w:sz="0" w:space="0" w:color="auto"/>
            <w:bottom w:val="none" w:sz="0" w:space="0" w:color="auto"/>
            <w:right w:val="none" w:sz="0" w:space="0" w:color="auto"/>
          </w:divBdr>
        </w:div>
      </w:divsChild>
    </w:div>
    <w:div w:id="1330862238">
      <w:bodyDiv w:val="1"/>
      <w:marLeft w:val="0"/>
      <w:marRight w:val="0"/>
      <w:marTop w:val="0"/>
      <w:marBottom w:val="0"/>
      <w:divBdr>
        <w:top w:val="none" w:sz="0" w:space="0" w:color="auto"/>
        <w:left w:val="none" w:sz="0" w:space="0" w:color="auto"/>
        <w:bottom w:val="none" w:sz="0" w:space="0" w:color="auto"/>
        <w:right w:val="none" w:sz="0" w:space="0" w:color="auto"/>
      </w:divBdr>
    </w:div>
    <w:div w:id="1336495624">
      <w:bodyDiv w:val="1"/>
      <w:marLeft w:val="0"/>
      <w:marRight w:val="0"/>
      <w:marTop w:val="0"/>
      <w:marBottom w:val="0"/>
      <w:divBdr>
        <w:top w:val="none" w:sz="0" w:space="0" w:color="auto"/>
        <w:left w:val="none" w:sz="0" w:space="0" w:color="auto"/>
        <w:bottom w:val="none" w:sz="0" w:space="0" w:color="auto"/>
        <w:right w:val="none" w:sz="0" w:space="0" w:color="auto"/>
      </w:divBdr>
      <w:divsChild>
        <w:div w:id="1414161577">
          <w:marLeft w:val="0"/>
          <w:marRight w:val="0"/>
          <w:marTop w:val="0"/>
          <w:marBottom w:val="0"/>
          <w:divBdr>
            <w:top w:val="none" w:sz="0" w:space="0" w:color="auto"/>
            <w:left w:val="none" w:sz="0" w:space="0" w:color="auto"/>
            <w:bottom w:val="none" w:sz="0" w:space="0" w:color="auto"/>
            <w:right w:val="none" w:sz="0" w:space="0" w:color="auto"/>
          </w:divBdr>
        </w:div>
      </w:divsChild>
    </w:div>
    <w:div w:id="1446072705">
      <w:bodyDiv w:val="1"/>
      <w:marLeft w:val="0"/>
      <w:marRight w:val="0"/>
      <w:marTop w:val="0"/>
      <w:marBottom w:val="0"/>
      <w:divBdr>
        <w:top w:val="none" w:sz="0" w:space="0" w:color="auto"/>
        <w:left w:val="none" w:sz="0" w:space="0" w:color="auto"/>
        <w:bottom w:val="none" w:sz="0" w:space="0" w:color="auto"/>
        <w:right w:val="none" w:sz="0" w:space="0" w:color="auto"/>
      </w:divBdr>
    </w:div>
    <w:div w:id="1458984855">
      <w:bodyDiv w:val="1"/>
      <w:marLeft w:val="0"/>
      <w:marRight w:val="0"/>
      <w:marTop w:val="0"/>
      <w:marBottom w:val="0"/>
      <w:divBdr>
        <w:top w:val="none" w:sz="0" w:space="0" w:color="auto"/>
        <w:left w:val="none" w:sz="0" w:space="0" w:color="auto"/>
        <w:bottom w:val="none" w:sz="0" w:space="0" w:color="auto"/>
        <w:right w:val="none" w:sz="0" w:space="0" w:color="auto"/>
      </w:divBdr>
    </w:div>
    <w:div w:id="1460689543">
      <w:bodyDiv w:val="1"/>
      <w:marLeft w:val="0"/>
      <w:marRight w:val="0"/>
      <w:marTop w:val="0"/>
      <w:marBottom w:val="0"/>
      <w:divBdr>
        <w:top w:val="none" w:sz="0" w:space="0" w:color="auto"/>
        <w:left w:val="none" w:sz="0" w:space="0" w:color="auto"/>
        <w:bottom w:val="none" w:sz="0" w:space="0" w:color="auto"/>
        <w:right w:val="none" w:sz="0" w:space="0" w:color="auto"/>
      </w:divBdr>
      <w:divsChild>
        <w:div w:id="669527182">
          <w:marLeft w:val="0"/>
          <w:marRight w:val="0"/>
          <w:marTop w:val="0"/>
          <w:marBottom w:val="0"/>
          <w:divBdr>
            <w:top w:val="none" w:sz="0" w:space="0" w:color="auto"/>
            <w:left w:val="none" w:sz="0" w:space="0" w:color="auto"/>
            <w:bottom w:val="none" w:sz="0" w:space="0" w:color="auto"/>
            <w:right w:val="none" w:sz="0" w:space="0" w:color="auto"/>
          </w:divBdr>
        </w:div>
      </w:divsChild>
    </w:div>
    <w:div w:id="1474444657">
      <w:bodyDiv w:val="1"/>
      <w:marLeft w:val="0"/>
      <w:marRight w:val="0"/>
      <w:marTop w:val="0"/>
      <w:marBottom w:val="0"/>
      <w:divBdr>
        <w:top w:val="none" w:sz="0" w:space="0" w:color="auto"/>
        <w:left w:val="none" w:sz="0" w:space="0" w:color="auto"/>
        <w:bottom w:val="none" w:sz="0" w:space="0" w:color="auto"/>
        <w:right w:val="none" w:sz="0" w:space="0" w:color="auto"/>
      </w:divBdr>
      <w:divsChild>
        <w:div w:id="504443976">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475482925">
      <w:bodyDiv w:val="1"/>
      <w:marLeft w:val="0"/>
      <w:marRight w:val="0"/>
      <w:marTop w:val="0"/>
      <w:marBottom w:val="0"/>
      <w:divBdr>
        <w:top w:val="none" w:sz="0" w:space="0" w:color="auto"/>
        <w:left w:val="none" w:sz="0" w:space="0" w:color="auto"/>
        <w:bottom w:val="none" w:sz="0" w:space="0" w:color="auto"/>
        <w:right w:val="none" w:sz="0" w:space="0" w:color="auto"/>
      </w:divBdr>
    </w:div>
    <w:div w:id="1477918353">
      <w:bodyDiv w:val="1"/>
      <w:marLeft w:val="0"/>
      <w:marRight w:val="0"/>
      <w:marTop w:val="0"/>
      <w:marBottom w:val="0"/>
      <w:divBdr>
        <w:top w:val="none" w:sz="0" w:space="0" w:color="auto"/>
        <w:left w:val="none" w:sz="0" w:space="0" w:color="auto"/>
        <w:bottom w:val="none" w:sz="0" w:space="0" w:color="auto"/>
        <w:right w:val="none" w:sz="0" w:space="0" w:color="auto"/>
      </w:divBdr>
    </w:div>
    <w:div w:id="1491948837">
      <w:bodyDiv w:val="1"/>
      <w:marLeft w:val="0"/>
      <w:marRight w:val="0"/>
      <w:marTop w:val="0"/>
      <w:marBottom w:val="0"/>
      <w:divBdr>
        <w:top w:val="none" w:sz="0" w:space="0" w:color="auto"/>
        <w:left w:val="none" w:sz="0" w:space="0" w:color="auto"/>
        <w:bottom w:val="none" w:sz="0" w:space="0" w:color="auto"/>
        <w:right w:val="none" w:sz="0" w:space="0" w:color="auto"/>
      </w:divBdr>
      <w:divsChild>
        <w:div w:id="287928892">
          <w:marLeft w:val="0"/>
          <w:marRight w:val="0"/>
          <w:marTop w:val="0"/>
          <w:marBottom w:val="0"/>
          <w:divBdr>
            <w:top w:val="none" w:sz="0" w:space="0" w:color="auto"/>
            <w:left w:val="none" w:sz="0" w:space="0" w:color="auto"/>
            <w:bottom w:val="none" w:sz="0" w:space="0" w:color="auto"/>
            <w:right w:val="none" w:sz="0" w:space="0" w:color="auto"/>
          </w:divBdr>
        </w:div>
        <w:div w:id="304824060">
          <w:marLeft w:val="0"/>
          <w:marRight w:val="0"/>
          <w:marTop w:val="0"/>
          <w:marBottom w:val="0"/>
          <w:divBdr>
            <w:top w:val="none" w:sz="0" w:space="0" w:color="auto"/>
            <w:left w:val="none" w:sz="0" w:space="0" w:color="auto"/>
            <w:bottom w:val="none" w:sz="0" w:space="0" w:color="auto"/>
            <w:right w:val="none" w:sz="0" w:space="0" w:color="auto"/>
          </w:divBdr>
        </w:div>
      </w:divsChild>
    </w:div>
    <w:div w:id="1495144786">
      <w:bodyDiv w:val="1"/>
      <w:marLeft w:val="0"/>
      <w:marRight w:val="0"/>
      <w:marTop w:val="0"/>
      <w:marBottom w:val="0"/>
      <w:divBdr>
        <w:top w:val="none" w:sz="0" w:space="0" w:color="auto"/>
        <w:left w:val="none" w:sz="0" w:space="0" w:color="auto"/>
        <w:bottom w:val="none" w:sz="0" w:space="0" w:color="auto"/>
        <w:right w:val="none" w:sz="0" w:space="0" w:color="auto"/>
      </w:divBdr>
      <w:divsChild>
        <w:div w:id="864445793">
          <w:marLeft w:val="0"/>
          <w:marRight w:val="0"/>
          <w:marTop w:val="0"/>
          <w:marBottom w:val="0"/>
          <w:divBdr>
            <w:top w:val="none" w:sz="0" w:space="0" w:color="auto"/>
            <w:left w:val="none" w:sz="0" w:space="0" w:color="auto"/>
            <w:bottom w:val="none" w:sz="0" w:space="0" w:color="auto"/>
            <w:right w:val="none" w:sz="0" w:space="0" w:color="auto"/>
          </w:divBdr>
        </w:div>
      </w:divsChild>
    </w:div>
    <w:div w:id="1506824828">
      <w:bodyDiv w:val="1"/>
      <w:marLeft w:val="0"/>
      <w:marRight w:val="0"/>
      <w:marTop w:val="0"/>
      <w:marBottom w:val="0"/>
      <w:divBdr>
        <w:top w:val="none" w:sz="0" w:space="0" w:color="auto"/>
        <w:left w:val="none" w:sz="0" w:space="0" w:color="auto"/>
        <w:bottom w:val="none" w:sz="0" w:space="0" w:color="auto"/>
        <w:right w:val="none" w:sz="0" w:space="0" w:color="auto"/>
      </w:divBdr>
      <w:divsChild>
        <w:div w:id="1478453681">
          <w:marLeft w:val="0"/>
          <w:marRight w:val="0"/>
          <w:marTop w:val="0"/>
          <w:marBottom w:val="0"/>
          <w:divBdr>
            <w:top w:val="none" w:sz="0" w:space="0" w:color="auto"/>
            <w:left w:val="none" w:sz="0" w:space="0" w:color="auto"/>
            <w:bottom w:val="none" w:sz="0" w:space="0" w:color="auto"/>
            <w:right w:val="none" w:sz="0" w:space="0" w:color="auto"/>
          </w:divBdr>
        </w:div>
      </w:divsChild>
    </w:div>
    <w:div w:id="1516266942">
      <w:bodyDiv w:val="1"/>
      <w:marLeft w:val="0"/>
      <w:marRight w:val="0"/>
      <w:marTop w:val="0"/>
      <w:marBottom w:val="0"/>
      <w:divBdr>
        <w:top w:val="none" w:sz="0" w:space="0" w:color="auto"/>
        <w:left w:val="none" w:sz="0" w:space="0" w:color="auto"/>
        <w:bottom w:val="none" w:sz="0" w:space="0" w:color="auto"/>
        <w:right w:val="none" w:sz="0" w:space="0" w:color="auto"/>
      </w:divBdr>
    </w:div>
    <w:div w:id="1543401485">
      <w:bodyDiv w:val="1"/>
      <w:marLeft w:val="0"/>
      <w:marRight w:val="0"/>
      <w:marTop w:val="0"/>
      <w:marBottom w:val="0"/>
      <w:divBdr>
        <w:top w:val="none" w:sz="0" w:space="0" w:color="auto"/>
        <w:left w:val="none" w:sz="0" w:space="0" w:color="auto"/>
        <w:bottom w:val="none" w:sz="0" w:space="0" w:color="auto"/>
        <w:right w:val="none" w:sz="0" w:space="0" w:color="auto"/>
      </w:divBdr>
    </w:div>
    <w:div w:id="1554585012">
      <w:bodyDiv w:val="1"/>
      <w:marLeft w:val="0"/>
      <w:marRight w:val="0"/>
      <w:marTop w:val="0"/>
      <w:marBottom w:val="0"/>
      <w:divBdr>
        <w:top w:val="none" w:sz="0" w:space="0" w:color="auto"/>
        <w:left w:val="none" w:sz="0" w:space="0" w:color="auto"/>
        <w:bottom w:val="none" w:sz="0" w:space="0" w:color="auto"/>
        <w:right w:val="none" w:sz="0" w:space="0" w:color="auto"/>
      </w:divBdr>
      <w:divsChild>
        <w:div w:id="498085033">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586449900">
      <w:bodyDiv w:val="1"/>
      <w:marLeft w:val="0"/>
      <w:marRight w:val="0"/>
      <w:marTop w:val="0"/>
      <w:marBottom w:val="0"/>
      <w:divBdr>
        <w:top w:val="none" w:sz="0" w:space="0" w:color="auto"/>
        <w:left w:val="none" w:sz="0" w:space="0" w:color="auto"/>
        <w:bottom w:val="none" w:sz="0" w:space="0" w:color="auto"/>
        <w:right w:val="none" w:sz="0" w:space="0" w:color="auto"/>
      </w:divBdr>
    </w:div>
    <w:div w:id="1588882147">
      <w:bodyDiv w:val="1"/>
      <w:marLeft w:val="0"/>
      <w:marRight w:val="0"/>
      <w:marTop w:val="0"/>
      <w:marBottom w:val="0"/>
      <w:divBdr>
        <w:top w:val="none" w:sz="0" w:space="0" w:color="auto"/>
        <w:left w:val="none" w:sz="0" w:space="0" w:color="auto"/>
        <w:bottom w:val="none" w:sz="0" w:space="0" w:color="auto"/>
        <w:right w:val="none" w:sz="0" w:space="0" w:color="auto"/>
      </w:divBdr>
    </w:div>
    <w:div w:id="1625188530">
      <w:bodyDiv w:val="1"/>
      <w:marLeft w:val="0"/>
      <w:marRight w:val="0"/>
      <w:marTop w:val="0"/>
      <w:marBottom w:val="0"/>
      <w:divBdr>
        <w:top w:val="none" w:sz="0" w:space="0" w:color="auto"/>
        <w:left w:val="none" w:sz="0" w:space="0" w:color="auto"/>
        <w:bottom w:val="none" w:sz="0" w:space="0" w:color="auto"/>
        <w:right w:val="none" w:sz="0" w:space="0" w:color="auto"/>
      </w:divBdr>
      <w:divsChild>
        <w:div w:id="1040394094">
          <w:marLeft w:val="0"/>
          <w:marRight w:val="0"/>
          <w:marTop w:val="0"/>
          <w:marBottom w:val="0"/>
          <w:divBdr>
            <w:top w:val="none" w:sz="0" w:space="0" w:color="auto"/>
            <w:left w:val="none" w:sz="0" w:space="0" w:color="auto"/>
            <w:bottom w:val="none" w:sz="0" w:space="0" w:color="auto"/>
            <w:right w:val="none" w:sz="0" w:space="0" w:color="auto"/>
          </w:divBdr>
        </w:div>
        <w:div w:id="1085803975">
          <w:marLeft w:val="0"/>
          <w:marRight w:val="0"/>
          <w:marTop w:val="0"/>
          <w:marBottom w:val="0"/>
          <w:divBdr>
            <w:top w:val="none" w:sz="0" w:space="0" w:color="auto"/>
            <w:left w:val="none" w:sz="0" w:space="0" w:color="auto"/>
            <w:bottom w:val="none" w:sz="0" w:space="0" w:color="auto"/>
            <w:right w:val="none" w:sz="0" w:space="0" w:color="auto"/>
          </w:divBdr>
        </w:div>
        <w:div w:id="471405702">
          <w:marLeft w:val="0"/>
          <w:marRight w:val="0"/>
          <w:marTop w:val="0"/>
          <w:marBottom w:val="0"/>
          <w:divBdr>
            <w:top w:val="none" w:sz="0" w:space="0" w:color="auto"/>
            <w:left w:val="none" w:sz="0" w:space="0" w:color="auto"/>
            <w:bottom w:val="none" w:sz="0" w:space="0" w:color="auto"/>
            <w:right w:val="none" w:sz="0" w:space="0" w:color="auto"/>
          </w:divBdr>
        </w:div>
        <w:div w:id="1459683680">
          <w:marLeft w:val="0"/>
          <w:marRight w:val="0"/>
          <w:marTop w:val="0"/>
          <w:marBottom w:val="0"/>
          <w:divBdr>
            <w:top w:val="none" w:sz="0" w:space="0" w:color="auto"/>
            <w:left w:val="none" w:sz="0" w:space="0" w:color="auto"/>
            <w:bottom w:val="none" w:sz="0" w:space="0" w:color="auto"/>
            <w:right w:val="none" w:sz="0" w:space="0" w:color="auto"/>
          </w:divBdr>
        </w:div>
        <w:div w:id="1312755612">
          <w:marLeft w:val="0"/>
          <w:marRight w:val="0"/>
          <w:marTop w:val="0"/>
          <w:marBottom w:val="0"/>
          <w:divBdr>
            <w:top w:val="none" w:sz="0" w:space="0" w:color="auto"/>
            <w:left w:val="none" w:sz="0" w:space="0" w:color="auto"/>
            <w:bottom w:val="none" w:sz="0" w:space="0" w:color="auto"/>
            <w:right w:val="none" w:sz="0" w:space="0" w:color="auto"/>
          </w:divBdr>
        </w:div>
      </w:divsChild>
    </w:div>
    <w:div w:id="1636178271">
      <w:bodyDiv w:val="1"/>
      <w:marLeft w:val="0"/>
      <w:marRight w:val="0"/>
      <w:marTop w:val="0"/>
      <w:marBottom w:val="0"/>
      <w:divBdr>
        <w:top w:val="none" w:sz="0" w:space="0" w:color="auto"/>
        <w:left w:val="none" w:sz="0" w:space="0" w:color="auto"/>
        <w:bottom w:val="none" w:sz="0" w:space="0" w:color="auto"/>
        <w:right w:val="none" w:sz="0" w:space="0" w:color="auto"/>
      </w:divBdr>
    </w:div>
    <w:div w:id="1652056864">
      <w:bodyDiv w:val="1"/>
      <w:marLeft w:val="0"/>
      <w:marRight w:val="0"/>
      <w:marTop w:val="0"/>
      <w:marBottom w:val="0"/>
      <w:divBdr>
        <w:top w:val="none" w:sz="0" w:space="0" w:color="auto"/>
        <w:left w:val="none" w:sz="0" w:space="0" w:color="auto"/>
        <w:bottom w:val="none" w:sz="0" w:space="0" w:color="auto"/>
        <w:right w:val="none" w:sz="0" w:space="0" w:color="auto"/>
      </w:divBdr>
    </w:div>
    <w:div w:id="1672635155">
      <w:bodyDiv w:val="1"/>
      <w:marLeft w:val="0"/>
      <w:marRight w:val="0"/>
      <w:marTop w:val="0"/>
      <w:marBottom w:val="0"/>
      <w:divBdr>
        <w:top w:val="none" w:sz="0" w:space="0" w:color="auto"/>
        <w:left w:val="none" w:sz="0" w:space="0" w:color="auto"/>
        <w:bottom w:val="none" w:sz="0" w:space="0" w:color="auto"/>
        <w:right w:val="none" w:sz="0" w:space="0" w:color="auto"/>
      </w:divBdr>
    </w:div>
    <w:div w:id="1675113279">
      <w:bodyDiv w:val="1"/>
      <w:marLeft w:val="0"/>
      <w:marRight w:val="0"/>
      <w:marTop w:val="0"/>
      <w:marBottom w:val="0"/>
      <w:divBdr>
        <w:top w:val="none" w:sz="0" w:space="0" w:color="auto"/>
        <w:left w:val="none" w:sz="0" w:space="0" w:color="auto"/>
        <w:bottom w:val="none" w:sz="0" w:space="0" w:color="auto"/>
        <w:right w:val="none" w:sz="0" w:space="0" w:color="auto"/>
      </w:divBdr>
      <w:divsChild>
        <w:div w:id="344670919">
          <w:marLeft w:val="0"/>
          <w:marRight w:val="0"/>
          <w:marTop w:val="0"/>
          <w:marBottom w:val="0"/>
          <w:divBdr>
            <w:top w:val="none" w:sz="0" w:space="0" w:color="auto"/>
            <w:left w:val="none" w:sz="0" w:space="0" w:color="auto"/>
            <w:bottom w:val="none" w:sz="0" w:space="0" w:color="auto"/>
            <w:right w:val="none" w:sz="0" w:space="0" w:color="auto"/>
          </w:divBdr>
        </w:div>
      </w:divsChild>
    </w:div>
    <w:div w:id="1681153628">
      <w:bodyDiv w:val="1"/>
      <w:marLeft w:val="0"/>
      <w:marRight w:val="0"/>
      <w:marTop w:val="0"/>
      <w:marBottom w:val="0"/>
      <w:divBdr>
        <w:top w:val="none" w:sz="0" w:space="0" w:color="auto"/>
        <w:left w:val="none" w:sz="0" w:space="0" w:color="auto"/>
        <w:bottom w:val="none" w:sz="0" w:space="0" w:color="auto"/>
        <w:right w:val="none" w:sz="0" w:space="0" w:color="auto"/>
      </w:divBdr>
    </w:div>
    <w:div w:id="1683627524">
      <w:bodyDiv w:val="1"/>
      <w:marLeft w:val="0"/>
      <w:marRight w:val="0"/>
      <w:marTop w:val="0"/>
      <w:marBottom w:val="0"/>
      <w:divBdr>
        <w:top w:val="none" w:sz="0" w:space="0" w:color="auto"/>
        <w:left w:val="none" w:sz="0" w:space="0" w:color="auto"/>
        <w:bottom w:val="none" w:sz="0" w:space="0" w:color="auto"/>
        <w:right w:val="none" w:sz="0" w:space="0" w:color="auto"/>
      </w:divBdr>
    </w:div>
    <w:div w:id="1718234427">
      <w:bodyDiv w:val="1"/>
      <w:marLeft w:val="0"/>
      <w:marRight w:val="0"/>
      <w:marTop w:val="0"/>
      <w:marBottom w:val="0"/>
      <w:divBdr>
        <w:top w:val="none" w:sz="0" w:space="0" w:color="auto"/>
        <w:left w:val="none" w:sz="0" w:space="0" w:color="auto"/>
        <w:bottom w:val="none" w:sz="0" w:space="0" w:color="auto"/>
        <w:right w:val="none" w:sz="0" w:space="0" w:color="auto"/>
      </w:divBdr>
    </w:div>
    <w:div w:id="1725330239">
      <w:bodyDiv w:val="1"/>
      <w:marLeft w:val="0"/>
      <w:marRight w:val="0"/>
      <w:marTop w:val="0"/>
      <w:marBottom w:val="0"/>
      <w:divBdr>
        <w:top w:val="none" w:sz="0" w:space="0" w:color="auto"/>
        <w:left w:val="none" w:sz="0" w:space="0" w:color="auto"/>
        <w:bottom w:val="none" w:sz="0" w:space="0" w:color="auto"/>
        <w:right w:val="none" w:sz="0" w:space="0" w:color="auto"/>
      </w:divBdr>
    </w:div>
    <w:div w:id="1765689609">
      <w:bodyDiv w:val="1"/>
      <w:marLeft w:val="0"/>
      <w:marRight w:val="0"/>
      <w:marTop w:val="0"/>
      <w:marBottom w:val="0"/>
      <w:divBdr>
        <w:top w:val="none" w:sz="0" w:space="0" w:color="auto"/>
        <w:left w:val="none" w:sz="0" w:space="0" w:color="auto"/>
        <w:bottom w:val="none" w:sz="0" w:space="0" w:color="auto"/>
        <w:right w:val="none" w:sz="0" w:space="0" w:color="auto"/>
      </w:divBdr>
    </w:div>
    <w:div w:id="1774981757">
      <w:bodyDiv w:val="1"/>
      <w:marLeft w:val="0"/>
      <w:marRight w:val="0"/>
      <w:marTop w:val="0"/>
      <w:marBottom w:val="0"/>
      <w:divBdr>
        <w:top w:val="none" w:sz="0" w:space="0" w:color="auto"/>
        <w:left w:val="none" w:sz="0" w:space="0" w:color="auto"/>
        <w:bottom w:val="none" w:sz="0" w:space="0" w:color="auto"/>
        <w:right w:val="none" w:sz="0" w:space="0" w:color="auto"/>
      </w:divBdr>
    </w:div>
    <w:div w:id="1789426593">
      <w:bodyDiv w:val="1"/>
      <w:marLeft w:val="0"/>
      <w:marRight w:val="0"/>
      <w:marTop w:val="0"/>
      <w:marBottom w:val="0"/>
      <w:divBdr>
        <w:top w:val="none" w:sz="0" w:space="0" w:color="auto"/>
        <w:left w:val="none" w:sz="0" w:space="0" w:color="auto"/>
        <w:bottom w:val="none" w:sz="0" w:space="0" w:color="auto"/>
        <w:right w:val="none" w:sz="0" w:space="0" w:color="auto"/>
      </w:divBdr>
      <w:divsChild>
        <w:div w:id="1022785023">
          <w:marLeft w:val="0"/>
          <w:marRight w:val="0"/>
          <w:marTop w:val="0"/>
          <w:marBottom w:val="0"/>
          <w:divBdr>
            <w:top w:val="none" w:sz="0" w:space="0" w:color="auto"/>
            <w:left w:val="none" w:sz="0" w:space="0" w:color="auto"/>
            <w:bottom w:val="none" w:sz="0" w:space="0" w:color="auto"/>
            <w:right w:val="none" w:sz="0" w:space="0" w:color="auto"/>
          </w:divBdr>
        </w:div>
      </w:divsChild>
    </w:div>
    <w:div w:id="1829900218">
      <w:bodyDiv w:val="1"/>
      <w:marLeft w:val="0"/>
      <w:marRight w:val="0"/>
      <w:marTop w:val="0"/>
      <w:marBottom w:val="0"/>
      <w:divBdr>
        <w:top w:val="none" w:sz="0" w:space="0" w:color="auto"/>
        <w:left w:val="none" w:sz="0" w:space="0" w:color="auto"/>
        <w:bottom w:val="none" w:sz="0" w:space="0" w:color="auto"/>
        <w:right w:val="none" w:sz="0" w:space="0" w:color="auto"/>
      </w:divBdr>
      <w:divsChild>
        <w:div w:id="223107585">
          <w:marLeft w:val="0"/>
          <w:marRight w:val="0"/>
          <w:marTop w:val="0"/>
          <w:marBottom w:val="0"/>
          <w:divBdr>
            <w:top w:val="none" w:sz="0" w:space="0" w:color="auto"/>
            <w:left w:val="none" w:sz="0" w:space="0" w:color="auto"/>
            <w:bottom w:val="none" w:sz="0" w:space="0" w:color="auto"/>
            <w:right w:val="none" w:sz="0" w:space="0" w:color="auto"/>
          </w:divBdr>
        </w:div>
      </w:divsChild>
    </w:div>
    <w:div w:id="1832867433">
      <w:bodyDiv w:val="1"/>
      <w:marLeft w:val="0"/>
      <w:marRight w:val="0"/>
      <w:marTop w:val="0"/>
      <w:marBottom w:val="0"/>
      <w:divBdr>
        <w:top w:val="none" w:sz="0" w:space="0" w:color="auto"/>
        <w:left w:val="none" w:sz="0" w:space="0" w:color="auto"/>
        <w:bottom w:val="none" w:sz="0" w:space="0" w:color="auto"/>
        <w:right w:val="none" w:sz="0" w:space="0" w:color="auto"/>
      </w:divBdr>
    </w:div>
    <w:div w:id="1846434130">
      <w:bodyDiv w:val="1"/>
      <w:marLeft w:val="0"/>
      <w:marRight w:val="0"/>
      <w:marTop w:val="0"/>
      <w:marBottom w:val="0"/>
      <w:divBdr>
        <w:top w:val="none" w:sz="0" w:space="0" w:color="auto"/>
        <w:left w:val="none" w:sz="0" w:space="0" w:color="auto"/>
        <w:bottom w:val="none" w:sz="0" w:space="0" w:color="auto"/>
        <w:right w:val="none" w:sz="0" w:space="0" w:color="auto"/>
      </w:divBdr>
    </w:div>
    <w:div w:id="1848590635">
      <w:bodyDiv w:val="1"/>
      <w:marLeft w:val="0"/>
      <w:marRight w:val="0"/>
      <w:marTop w:val="0"/>
      <w:marBottom w:val="0"/>
      <w:divBdr>
        <w:top w:val="none" w:sz="0" w:space="0" w:color="auto"/>
        <w:left w:val="none" w:sz="0" w:space="0" w:color="auto"/>
        <w:bottom w:val="none" w:sz="0" w:space="0" w:color="auto"/>
        <w:right w:val="none" w:sz="0" w:space="0" w:color="auto"/>
      </w:divBdr>
    </w:div>
    <w:div w:id="1892572646">
      <w:bodyDiv w:val="1"/>
      <w:marLeft w:val="0"/>
      <w:marRight w:val="0"/>
      <w:marTop w:val="0"/>
      <w:marBottom w:val="0"/>
      <w:divBdr>
        <w:top w:val="none" w:sz="0" w:space="0" w:color="auto"/>
        <w:left w:val="none" w:sz="0" w:space="0" w:color="auto"/>
        <w:bottom w:val="none" w:sz="0" w:space="0" w:color="auto"/>
        <w:right w:val="none" w:sz="0" w:space="0" w:color="auto"/>
      </w:divBdr>
      <w:divsChild>
        <w:div w:id="2090732321">
          <w:marLeft w:val="0"/>
          <w:marRight w:val="0"/>
          <w:marTop w:val="0"/>
          <w:marBottom w:val="0"/>
          <w:divBdr>
            <w:top w:val="none" w:sz="0" w:space="0" w:color="auto"/>
            <w:left w:val="none" w:sz="0" w:space="0" w:color="auto"/>
            <w:bottom w:val="none" w:sz="0" w:space="0" w:color="auto"/>
            <w:right w:val="none" w:sz="0" w:space="0" w:color="auto"/>
          </w:divBdr>
        </w:div>
      </w:divsChild>
    </w:div>
    <w:div w:id="1896811328">
      <w:bodyDiv w:val="1"/>
      <w:marLeft w:val="0"/>
      <w:marRight w:val="0"/>
      <w:marTop w:val="0"/>
      <w:marBottom w:val="0"/>
      <w:divBdr>
        <w:top w:val="none" w:sz="0" w:space="0" w:color="auto"/>
        <w:left w:val="none" w:sz="0" w:space="0" w:color="auto"/>
        <w:bottom w:val="none" w:sz="0" w:space="0" w:color="auto"/>
        <w:right w:val="none" w:sz="0" w:space="0" w:color="auto"/>
      </w:divBdr>
    </w:div>
    <w:div w:id="1897349826">
      <w:bodyDiv w:val="1"/>
      <w:marLeft w:val="0"/>
      <w:marRight w:val="0"/>
      <w:marTop w:val="0"/>
      <w:marBottom w:val="0"/>
      <w:divBdr>
        <w:top w:val="none" w:sz="0" w:space="0" w:color="auto"/>
        <w:left w:val="none" w:sz="0" w:space="0" w:color="auto"/>
        <w:bottom w:val="none" w:sz="0" w:space="0" w:color="auto"/>
        <w:right w:val="none" w:sz="0" w:space="0" w:color="auto"/>
      </w:divBdr>
      <w:divsChild>
        <w:div w:id="252714659">
          <w:marLeft w:val="0"/>
          <w:marRight w:val="0"/>
          <w:marTop w:val="0"/>
          <w:marBottom w:val="0"/>
          <w:divBdr>
            <w:top w:val="none" w:sz="0" w:space="0" w:color="auto"/>
            <w:left w:val="none" w:sz="0" w:space="0" w:color="auto"/>
            <w:bottom w:val="none" w:sz="0" w:space="0" w:color="auto"/>
            <w:right w:val="none" w:sz="0" w:space="0" w:color="auto"/>
          </w:divBdr>
        </w:div>
      </w:divsChild>
    </w:div>
    <w:div w:id="1912694175">
      <w:bodyDiv w:val="1"/>
      <w:marLeft w:val="0"/>
      <w:marRight w:val="0"/>
      <w:marTop w:val="0"/>
      <w:marBottom w:val="0"/>
      <w:divBdr>
        <w:top w:val="none" w:sz="0" w:space="0" w:color="auto"/>
        <w:left w:val="none" w:sz="0" w:space="0" w:color="auto"/>
        <w:bottom w:val="none" w:sz="0" w:space="0" w:color="auto"/>
        <w:right w:val="none" w:sz="0" w:space="0" w:color="auto"/>
      </w:divBdr>
      <w:divsChild>
        <w:div w:id="1300577287">
          <w:marLeft w:val="0"/>
          <w:marRight w:val="0"/>
          <w:marTop w:val="0"/>
          <w:marBottom w:val="0"/>
          <w:divBdr>
            <w:top w:val="none" w:sz="0" w:space="0" w:color="auto"/>
            <w:left w:val="none" w:sz="0" w:space="0" w:color="auto"/>
            <w:bottom w:val="none" w:sz="0" w:space="0" w:color="auto"/>
            <w:right w:val="none" w:sz="0" w:space="0" w:color="auto"/>
          </w:divBdr>
        </w:div>
      </w:divsChild>
    </w:div>
    <w:div w:id="1918053555">
      <w:bodyDiv w:val="1"/>
      <w:marLeft w:val="0"/>
      <w:marRight w:val="0"/>
      <w:marTop w:val="0"/>
      <w:marBottom w:val="0"/>
      <w:divBdr>
        <w:top w:val="none" w:sz="0" w:space="0" w:color="auto"/>
        <w:left w:val="none" w:sz="0" w:space="0" w:color="auto"/>
        <w:bottom w:val="none" w:sz="0" w:space="0" w:color="auto"/>
        <w:right w:val="none" w:sz="0" w:space="0" w:color="auto"/>
      </w:divBdr>
      <w:divsChild>
        <w:div w:id="1434323548">
          <w:marLeft w:val="0"/>
          <w:marRight w:val="0"/>
          <w:marTop w:val="0"/>
          <w:marBottom w:val="0"/>
          <w:divBdr>
            <w:top w:val="none" w:sz="0" w:space="0" w:color="auto"/>
            <w:left w:val="none" w:sz="0" w:space="0" w:color="auto"/>
            <w:bottom w:val="none" w:sz="0" w:space="0" w:color="auto"/>
            <w:right w:val="none" w:sz="0" w:space="0" w:color="auto"/>
          </w:divBdr>
        </w:div>
      </w:divsChild>
    </w:div>
    <w:div w:id="1918856845">
      <w:bodyDiv w:val="1"/>
      <w:marLeft w:val="0"/>
      <w:marRight w:val="0"/>
      <w:marTop w:val="0"/>
      <w:marBottom w:val="0"/>
      <w:divBdr>
        <w:top w:val="none" w:sz="0" w:space="0" w:color="auto"/>
        <w:left w:val="none" w:sz="0" w:space="0" w:color="auto"/>
        <w:bottom w:val="none" w:sz="0" w:space="0" w:color="auto"/>
        <w:right w:val="none" w:sz="0" w:space="0" w:color="auto"/>
      </w:divBdr>
    </w:div>
    <w:div w:id="1927106268">
      <w:bodyDiv w:val="1"/>
      <w:marLeft w:val="0"/>
      <w:marRight w:val="0"/>
      <w:marTop w:val="0"/>
      <w:marBottom w:val="0"/>
      <w:divBdr>
        <w:top w:val="none" w:sz="0" w:space="0" w:color="auto"/>
        <w:left w:val="none" w:sz="0" w:space="0" w:color="auto"/>
        <w:bottom w:val="none" w:sz="0" w:space="0" w:color="auto"/>
        <w:right w:val="none" w:sz="0" w:space="0" w:color="auto"/>
      </w:divBdr>
      <w:divsChild>
        <w:div w:id="1920096235">
          <w:marLeft w:val="0"/>
          <w:marRight w:val="0"/>
          <w:marTop w:val="0"/>
          <w:marBottom w:val="0"/>
          <w:divBdr>
            <w:top w:val="none" w:sz="0" w:space="0" w:color="auto"/>
            <w:left w:val="none" w:sz="0" w:space="0" w:color="auto"/>
            <w:bottom w:val="none" w:sz="0" w:space="0" w:color="auto"/>
            <w:right w:val="none" w:sz="0" w:space="0" w:color="auto"/>
          </w:divBdr>
        </w:div>
      </w:divsChild>
    </w:div>
    <w:div w:id="1979798438">
      <w:bodyDiv w:val="1"/>
      <w:marLeft w:val="0"/>
      <w:marRight w:val="0"/>
      <w:marTop w:val="0"/>
      <w:marBottom w:val="0"/>
      <w:divBdr>
        <w:top w:val="none" w:sz="0" w:space="0" w:color="auto"/>
        <w:left w:val="none" w:sz="0" w:space="0" w:color="auto"/>
        <w:bottom w:val="none" w:sz="0" w:space="0" w:color="auto"/>
        <w:right w:val="none" w:sz="0" w:space="0" w:color="auto"/>
      </w:divBdr>
    </w:div>
    <w:div w:id="1998604317">
      <w:bodyDiv w:val="1"/>
      <w:marLeft w:val="0"/>
      <w:marRight w:val="0"/>
      <w:marTop w:val="0"/>
      <w:marBottom w:val="0"/>
      <w:divBdr>
        <w:top w:val="none" w:sz="0" w:space="0" w:color="auto"/>
        <w:left w:val="none" w:sz="0" w:space="0" w:color="auto"/>
        <w:bottom w:val="none" w:sz="0" w:space="0" w:color="auto"/>
        <w:right w:val="none" w:sz="0" w:space="0" w:color="auto"/>
      </w:divBdr>
    </w:div>
    <w:div w:id="2005934990">
      <w:bodyDiv w:val="1"/>
      <w:marLeft w:val="0"/>
      <w:marRight w:val="0"/>
      <w:marTop w:val="0"/>
      <w:marBottom w:val="0"/>
      <w:divBdr>
        <w:top w:val="none" w:sz="0" w:space="0" w:color="auto"/>
        <w:left w:val="none" w:sz="0" w:space="0" w:color="auto"/>
        <w:bottom w:val="none" w:sz="0" w:space="0" w:color="auto"/>
        <w:right w:val="none" w:sz="0" w:space="0" w:color="auto"/>
      </w:divBdr>
      <w:divsChild>
        <w:div w:id="852495557">
          <w:marLeft w:val="0"/>
          <w:marRight w:val="0"/>
          <w:marTop w:val="0"/>
          <w:marBottom w:val="0"/>
          <w:divBdr>
            <w:top w:val="none" w:sz="0" w:space="0" w:color="auto"/>
            <w:left w:val="none" w:sz="0" w:space="0" w:color="auto"/>
            <w:bottom w:val="none" w:sz="0" w:space="0" w:color="auto"/>
            <w:right w:val="none" w:sz="0" w:space="0" w:color="auto"/>
          </w:divBdr>
        </w:div>
      </w:divsChild>
    </w:div>
    <w:div w:id="2007588904">
      <w:bodyDiv w:val="1"/>
      <w:marLeft w:val="0"/>
      <w:marRight w:val="0"/>
      <w:marTop w:val="0"/>
      <w:marBottom w:val="0"/>
      <w:divBdr>
        <w:top w:val="none" w:sz="0" w:space="0" w:color="auto"/>
        <w:left w:val="none" w:sz="0" w:space="0" w:color="auto"/>
        <w:bottom w:val="none" w:sz="0" w:space="0" w:color="auto"/>
        <w:right w:val="none" w:sz="0" w:space="0" w:color="auto"/>
      </w:divBdr>
      <w:divsChild>
        <w:div w:id="1367564151">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016489633">
      <w:bodyDiv w:val="1"/>
      <w:marLeft w:val="0"/>
      <w:marRight w:val="0"/>
      <w:marTop w:val="0"/>
      <w:marBottom w:val="0"/>
      <w:divBdr>
        <w:top w:val="none" w:sz="0" w:space="0" w:color="auto"/>
        <w:left w:val="none" w:sz="0" w:space="0" w:color="auto"/>
        <w:bottom w:val="none" w:sz="0" w:space="0" w:color="auto"/>
        <w:right w:val="none" w:sz="0" w:space="0" w:color="auto"/>
      </w:divBdr>
    </w:div>
    <w:div w:id="2030981139">
      <w:bodyDiv w:val="1"/>
      <w:marLeft w:val="0"/>
      <w:marRight w:val="0"/>
      <w:marTop w:val="0"/>
      <w:marBottom w:val="0"/>
      <w:divBdr>
        <w:top w:val="none" w:sz="0" w:space="0" w:color="auto"/>
        <w:left w:val="none" w:sz="0" w:space="0" w:color="auto"/>
        <w:bottom w:val="none" w:sz="0" w:space="0" w:color="auto"/>
        <w:right w:val="none" w:sz="0" w:space="0" w:color="auto"/>
      </w:divBdr>
      <w:divsChild>
        <w:div w:id="2140025773">
          <w:marLeft w:val="0"/>
          <w:marRight w:val="0"/>
          <w:marTop w:val="0"/>
          <w:marBottom w:val="0"/>
          <w:divBdr>
            <w:top w:val="none" w:sz="0" w:space="0" w:color="auto"/>
            <w:left w:val="none" w:sz="0" w:space="0" w:color="auto"/>
            <w:bottom w:val="none" w:sz="0" w:space="0" w:color="auto"/>
            <w:right w:val="none" w:sz="0" w:space="0" w:color="auto"/>
          </w:divBdr>
        </w:div>
      </w:divsChild>
    </w:div>
    <w:div w:id="2046906632">
      <w:bodyDiv w:val="1"/>
      <w:marLeft w:val="0"/>
      <w:marRight w:val="0"/>
      <w:marTop w:val="0"/>
      <w:marBottom w:val="0"/>
      <w:divBdr>
        <w:top w:val="none" w:sz="0" w:space="0" w:color="auto"/>
        <w:left w:val="none" w:sz="0" w:space="0" w:color="auto"/>
        <w:bottom w:val="none" w:sz="0" w:space="0" w:color="auto"/>
        <w:right w:val="none" w:sz="0" w:space="0" w:color="auto"/>
      </w:divBdr>
    </w:div>
    <w:div w:id="2056351120">
      <w:bodyDiv w:val="1"/>
      <w:marLeft w:val="0"/>
      <w:marRight w:val="0"/>
      <w:marTop w:val="0"/>
      <w:marBottom w:val="0"/>
      <w:divBdr>
        <w:top w:val="none" w:sz="0" w:space="0" w:color="auto"/>
        <w:left w:val="none" w:sz="0" w:space="0" w:color="auto"/>
        <w:bottom w:val="none" w:sz="0" w:space="0" w:color="auto"/>
        <w:right w:val="none" w:sz="0" w:space="0" w:color="auto"/>
      </w:divBdr>
      <w:divsChild>
        <w:div w:id="407465251">
          <w:marLeft w:val="0"/>
          <w:marRight w:val="0"/>
          <w:marTop w:val="0"/>
          <w:marBottom w:val="0"/>
          <w:divBdr>
            <w:top w:val="none" w:sz="0" w:space="0" w:color="auto"/>
            <w:left w:val="none" w:sz="0" w:space="0" w:color="auto"/>
            <w:bottom w:val="none" w:sz="0" w:space="0" w:color="auto"/>
            <w:right w:val="none" w:sz="0" w:space="0" w:color="auto"/>
          </w:divBdr>
        </w:div>
      </w:divsChild>
    </w:div>
    <w:div w:id="2082435875">
      <w:bodyDiv w:val="1"/>
      <w:marLeft w:val="0"/>
      <w:marRight w:val="0"/>
      <w:marTop w:val="0"/>
      <w:marBottom w:val="0"/>
      <w:divBdr>
        <w:top w:val="none" w:sz="0" w:space="0" w:color="auto"/>
        <w:left w:val="none" w:sz="0" w:space="0" w:color="auto"/>
        <w:bottom w:val="none" w:sz="0" w:space="0" w:color="auto"/>
        <w:right w:val="none" w:sz="0" w:space="0" w:color="auto"/>
      </w:divBdr>
      <w:divsChild>
        <w:div w:id="1576936634">
          <w:marLeft w:val="0"/>
          <w:marRight w:val="0"/>
          <w:marTop w:val="0"/>
          <w:marBottom w:val="0"/>
          <w:divBdr>
            <w:top w:val="none" w:sz="0" w:space="0" w:color="auto"/>
            <w:left w:val="none" w:sz="0" w:space="0" w:color="auto"/>
            <w:bottom w:val="none" w:sz="0" w:space="0" w:color="auto"/>
            <w:right w:val="none" w:sz="0" w:space="0" w:color="auto"/>
          </w:divBdr>
        </w:div>
      </w:divsChild>
    </w:div>
    <w:div w:id="2087995683">
      <w:bodyDiv w:val="1"/>
      <w:marLeft w:val="0"/>
      <w:marRight w:val="0"/>
      <w:marTop w:val="0"/>
      <w:marBottom w:val="0"/>
      <w:divBdr>
        <w:top w:val="none" w:sz="0" w:space="0" w:color="auto"/>
        <w:left w:val="none" w:sz="0" w:space="0" w:color="auto"/>
        <w:bottom w:val="none" w:sz="0" w:space="0" w:color="auto"/>
        <w:right w:val="none" w:sz="0" w:space="0" w:color="auto"/>
      </w:divBdr>
      <w:divsChild>
        <w:div w:id="1752891395">
          <w:marLeft w:val="0"/>
          <w:marRight w:val="0"/>
          <w:marTop w:val="0"/>
          <w:marBottom w:val="0"/>
          <w:divBdr>
            <w:top w:val="none" w:sz="0" w:space="0" w:color="auto"/>
            <w:left w:val="none" w:sz="0" w:space="0" w:color="auto"/>
            <w:bottom w:val="none" w:sz="0" w:space="0" w:color="auto"/>
            <w:right w:val="none" w:sz="0" w:space="0" w:color="auto"/>
          </w:divBdr>
        </w:div>
      </w:divsChild>
    </w:div>
    <w:div w:id="2103911976">
      <w:bodyDiv w:val="1"/>
      <w:marLeft w:val="0"/>
      <w:marRight w:val="0"/>
      <w:marTop w:val="0"/>
      <w:marBottom w:val="0"/>
      <w:divBdr>
        <w:top w:val="none" w:sz="0" w:space="0" w:color="auto"/>
        <w:left w:val="none" w:sz="0" w:space="0" w:color="auto"/>
        <w:bottom w:val="none" w:sz="0" w:space="0" w:color="auto"/>
        <w:right w:val="none" w:sz="0" w:space="0" w:color="auto"/>
      </w:divBdr>
      <w:divsChild>
        <w:div w:id="1700816930">
          <w:marLeft w:val="0"/>
          <w:marRight w:val="0"/>
          <w:marTop w:val="0"/>
          <w:marBottom w:val="0"/>
          <w:divBdr>
            <w:top w:val="none" w:sz="0" w:space="0" w:color="auto"/>
            <w:left w:val="none" w:sz="0" w:space="0" w:color="auto"/>
            <w:bottom w:val="none" w:sz="0" w:space="0" w:color="auto"/>
            <w:right w:val="none" w:sz="0" w:space="0" w:color="auto"/>
          </w:divBdr>
        </w:div>
      </w:divsChild>
    </w:div>
    <w:div w:id="2113088610">
      <w:bodyDiv w:val="1"/>
      <w:marLeft w:val="0"/>
      <w:marRight w:val="0"/>
      <w:marTop w:val="0"/>
      <w:marBottom w:val="0"/>
      <w:divBdr>
        <w:top w:val="none" w:sz="0" w:space="0" w:color="auto"/>
        <w:left w:val="none" w:sz="0" w:space="0" w:color="auto"/>
        <w:bottom w:val="none" w:sz="0" w:space="0" w:color="auto"/>
        <w:right w:val="none" w:sz="0" w:space="0" w:color="auto"/>
      </w:divBdr>
      <w:divsChild>
        <w:div w:id="1992323940">
          <w:marLeft w:val="0"/>
          <w:marRight w:val="0"/>
          <w:marTop w:val="0"/>
          <w:marBottom w:val="0"/>
          <w:divBdr>
            <w:top w:val="none" w:sz="0" w:space="0" w:color="auto"/>
            <w:left w:val="none" w:sz="0" w:space="0" w:color="auto"/>
            <w:bottom w:val="none" w:sz="0" w:space="0" w:color="auto"/>
            <w:right w:val="none" w:sz="0" w:space="0" w:color="auto"/>
          </w:divBdr>
        </w:div>
      </w:divsChild>
    </w:div>
    <w:div w:id="2119519838">
      <w:bodyDiv w:val="1"/>
      <w:marLeft w:val="0"/>
      <w:marRight w:val="0"/>
      <w:marTop w:val="0"/>
      <w:marBottom w:val="0"/>
      <w:divBdr>
        <w:top w:val="none" w:sz="0" w:space="0" w:color="auto"/>
        <w:left w:val="none" w:sz="0" w:space="0" w:color="auto"/>
        <w:bottom w:val="none" w:sz="0" w:space="0" w:color="auto"/>
        <w:right w:val="none" w:sz="0" w:space="0" w:color="auto"/>
      </w:divBdr>
    </w:div>
    <w:div w:id="2142073786">
      <w:bodyDiv w:val="1"/>
      <w:marLeft w:val="0"/>
      <w:marRight w:val="0"/>
      <w:marTop w:val="0"/>
      <w:marBottom w:val="0"/>
      <w:divBdr>
        <w:top w:val="none" w:sz="0" w:space="0" w:color="auto"/>
        <w:left w:val="none" w:sz="0" w:space="0" w:color="auto"/>
        <w:bottom w:val="none" w:sz="0" w:space="0" w:color="auto"/>
        <w:right w:val="none" w:sz="0" w:space="0" w:color="auto"/>
      </w:divBdr>
    </w:div>
    <w:div w:id="2145804212">
      <w:bodyDiv w:val="1"/>
      <w:marLeft w:val="0"/>
      <w:marRight w:val="0"/>
      <w:marTop w:val="0"/>
      <w:marBottom w:val="0"/>
      <w:divBdr>
        <w:top w:val="none" w:sz="0" w:space="0" w:color="auto"/>
        <w:left w:val="none" w:sz="0" w:space="0" w:color="auto"/>
        <w:bottom w:val="none" w:sz="0" w:space="0" w:color="auto"/>
        <w:right w:val="none" w:sz="0" w:space="0" w:color="auto"/>
      </w:divBdr>
      <w:divsChild>
        <w:div w:id="1553079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92.png"/><Relationship Id="rId21" Type="http://schemas.openxmlformats.org/officeDocument/2006/relationships/image" Target="media/image7.emf"/><Relationship Id="rId42" Type="http://schemas.openxmlformats.org/officeDocument/2006/relationships/oleObject" Target="embeddings/oleObject8.bin"/><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footer" Target="footer1.xml"/><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header" Target="header2.xml"/><Relationship Id="rId16" Type="http://schemas.openxmlformats.org/officeDocument/2006/relationships/image" Target="media/image3.png"/><Relationship Id="rId107" Type="http://schemas.openxmlformats.org/officeDocument/2006/relationships/image" Target="media/image84.png"/><Relationship Id="rId11" Type="http://schemas.openxmlformats.org/officeDocument/2006/relationships/diagramLayout" Target="diagrams/layout1.xml"/><Relationship Id="rId32" Type="http://schemas.openxmlformats.org/officeDocument/2006/relationships/oleObject" Target="embeddings/oleObject5.bin"/><Relationship Id="rId37" Type="http://schemas.openxmlformats.org/officeDocument/2006/relationships/image" Target="media/image18.png"/><Relationship Id="rId53" Type="http://schemas.openxmlformats.org/officeDocument/2006/relationships/oleObject" Target="embeddings/oleObject10.bin"/><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settings" Target="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oleObject" Target="embeddings/oleObject2.bin"/><Relationship Id="rId27" Type="http://schemas.openxmlformats.org/officeDocument/2006/relationships/image" Target="media/image10.png"/><Relationship Id="rId43" Type="http://schemas.openxmlformats.org/officeDocument/2006/relationships/image" Target="media/image22.emf"/><Relationship Id="rId48" Type="http://schemas.openxmlformats.org/officeDocument/2006/relationships/image" Target="media/image26.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image" Target="media/image125.png"/><Relationship Id="rId155" Type="http://schemas.openxmlformats.org/officeDocument/2006/relationships/footer" Target="footer3.xml"/><Relationship Id="rId12" Type="http://schemas.openxmlformats.org/officeDocument/2006/relationships/diagramQuickStyle" Target="diagrams/quickStyle1.xml"/><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image" Target="media/image19.emf"/><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99.png"/><Relationship Id="rId129" Type="http://schemas.openxmlformats.org/officeDocument/2006/relationships/image" Target="media/image104.png"/><Relationship Id="rId20" Type="http://schemas.openxmlformats.org/officeDocument/2006/relationships/oleObject" Target="embeddings/oleObject1.bin"/><Relationship Id="rId41" Type="http://schemas.openxmlformats.org/officeDocument/2006/relationships/image" Target="media/image21.e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header" Target="header1.xml"/><Relationship Id="rId132" Type="http://schemas.openxmlformats.org/officeDocument/2006/relationships/image" Target="media/image107.png"/><Relationship Id="rId140" Type="http://schemas.openxmlformats.org/officeDocument/2006/relationships/image" Target="media/image115.png"/><Relationship Id="rId145" Type="http://schemas.openxmlformats.org/officeDocument/2006/relationships/image" Target="media/image120.png"/><Relationship Id="rId153"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oleObject" Target="embeddings/oleObject6.bin"/><Relationship Id="rId49" Type="http://schemas.openxmlformats.org/officeDocument/2006/relationships/image" Target="media/image27.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image" Target="media/image102.png"/><Relationship Id="rId10" Type="http://schemas.openxmlformats.org/officeDocument/2006/relationships/diagramData" Target="diagrams/data1.xml"/><Relationship Id="rId31" Type="http://schemas.openxmlformats.org/officeDocument/2006/relationships/image" Target="media/image14.emf"/><Relationship Id="rId44" Type="http://schemas.openxmlformats.org/officeDocument/2006/relationships/oleObject" Target="embeddings/oleObject9.bin"/><Relationship Id="rId52" Type="http://schemas.openxmlformats.org/officeDocument/2006/relationships/image" Target="media/image30.emf"/><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image" Target="media/image123.png"/><Relationship Id="rId151" Type="http://schemas.openxmlformats.org/officeDocument/2006/relationships/footer" Target="footer2.xm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5.png"/><Relationship Id="rId39" Type="http://schemas.openxmlformats.org/officeDocument/2006/relationships/image" Target="media/image20.emf"/><Relationship Id="rId109" Type="http://schemas.openxmlformats.org/officeDocument/2006/relationships/image" Target="media/image86.png"/><Relationship Id="rId34" Type="http://schemas.openxmlformats.org/officeDocument/2006/relationships/image" Target="media/image16.emf"/><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3.bin"/><Relationship Id="rId40" Type="http://schemas.openxmlformats.org/officeDocument/2006/relationships/oleObject" Target="embeddings/oleObject7.bin"/><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chart" Target="charts/chart1.xml"/><Relationship Id="rId19" Type="http://schemas.openxmlformats.org/officeDocument/2006/relationships/image" Target="media/image6.emf"/><Relationship Id="rId14" Type="http://schemas.microsoft.com/office/2007/relationships/diagramDrawing" Target="diagrams/drawing1.xml"/><Relationship Id="rId30" Type="http://schemas.openxmlformats.org/officeDocument/2006/relationships/image" Target="media/image13.png"/><Relationship Id="rId35" Type="http://schemas.openxmlformats.org/officeDocument/2006/relationships/image" Target="media/image17.emf"/><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1.png"/><Relationship Id="rId147" Type="http://schemas.openxmlformats.org/officeDocument/2006/relationships/image" Target="media/image122.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6.png"/><Relationship Id="rId142"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24.png"/><Relationship Id="rId67" Type="http://schemas.openxmlformats.org/officeDocument/2006/relationships/image" Target="media/image44.png"/><Relationship Id="rId116" Type="http://schemas.openxmlformats.org/officeDocument/2006/relationships/image" Target="media/image91.png"/><Relationship Id="rId137" Type="http://schemas.openxmlformats.org/officeDocument/2006/relationships/image" Target="media/image112.png"/><Relationship Id="rId158"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papers.ssrn.com/sol3/papers.cf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ns\Desktop\local%20reg\comparis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s\Desktop\local%20reg\comparison.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b="0"/>
              <a:t>Comparison of relative impact</a:t>
            </a:r>
            <a:r>
              <a:rPr lang="en-GB" b="0" baseline="0"/>
              <a:t> of </a:t>
            </a:r>
            <a:r>
              <a:rPr lang="en-GB" sz="1800" b="0" i="0" u="none" strike="noStrike" baseline="0">
                <a:effectLst/>
              </a:rPr>
              <a:t>growth of economic factors and increase in R&amp;D investment and technology led export</a:t>
            </a:r>
            <a:r>
              <a:rPr lang="en-GB" b="0" baseline="0"/>
              <a:t> </a:t>
            </a:r>
            <a:r>
              <a:rPr lang="en-GB" sz="1800" b="0" i="0" u="none" strike="noStrike" baseline="0">
                <a:effectLst/>
              </a:rPr>
              <a:t>on growth of financial market to change in corporate governance</a:t>
            </a:r>
            <a:endParaRPr lang="en-GB" b="0"/>
          </a:p>
        </c:rich>
      </c:tx>
      <c:layout>
        <c:manualLayout>
          <c:xMode val="edge"/>
          <c:yMode val="edge"/>
          <c:x val="6.5598973025568066E-2"/>
          <c:y val="4.3371958417861525E-2"/>
        </c:manualLayout>
      </c:layout>
      <c:overlay val="0"/>
    </c:title>
    <c:autoTitleDeleted val="0"/>
    <c:plotArea>
      <c:layout>
        <c:manualLayout>
          <c:layoutTarget val="inner"/>
          <c:xMode val="edge"/>
          <c:yMode val="edge"/>
          <c:x val="5.8184391107738036E-2"/>
          <c:y val="3.3527649043869526E-2"/>
          <c:w val="0.83272997501818302"/>
          <c:h val="0.94955422572178483"/>
        </c:manualLayout>
      </c:layout>
      <c:barChart>
        <c:barDir val="col"/>
        <c:grouping val="clustered"/>
        <c:varyColors val="0"/>
        <c:ser>
          <c:idx val="0"/>
          <c:order val="0"/>
          <c:tx>
            <c:strRef>
              <c:f>Sheet1!$E$1</c:f>
              <c:strCache>
                <c:ptCount val="1"/>
                <c:pt idx="0">
                  <c:v>CG:Ctrl1 (Bayesian)</c:v>
                </c:pt>
              </c:strCache>
            </c:strRef>
          </c:tx>
          <c:invertIfNegative val="0"/>
          <c:cat>
            <c:strRef>
              <c:f>Sheet1!$A$2:$A$20</c:f>
              <c:strCache>
                <c:ptCount val="19"/>
                <c:pt idx="0">
                  <c:v>HKG</c:v>
                </c:pt>
                <c:pt idx="1">
                  <c:v>COL</c:v>
                </c:pt>
                <c:pt idx="2">
                  <c:v>PER</c:v>
                </c:pt>
                <c:pt idx="3">
                  <c:v>IN</c:v>
                </c:pt>
                <c:pt idx="4">
                  <c:v>PHL</c:v>
                </c:pt>
                <c:pt idx="5">
                  <c:v>PK</c:v>
                </c:pt>
                <c:pt idx="6">
                  <c:v>INS</c:v>
                </c:pt>
                <c:pt idx="7">
                  <c:v>RSA</c:v>
                </c:pt>
                <c:pt idx="8">
                  <c:v>KEN</c:v>
                </c:pt>
                <c:pt idx="9">
                  <c:v>VTN</c:v>
                </c:pt>
                <c:pt idx="10">
                  <c:v>RUS</c:v>
                </c:pt>
                <c:pt idx="11">
                  <c:v>PL</c:v>
                </c:pt>
                <c:pt idx="12">
                  <c:v>CHL</c:v>
                </c:pt>
                <c:pt idx="13">
                  <c:v>BR</c:v>
                </c:pt>
                <c:pt idx="14">
                  <c:v>ELS</c:v>
                </c:pt>
                <c:pt idx="15">
                  <c:v>NGA</c:v>
                </c:pt>
                <c:pt idx="16">
                  <c:v>CH</c:v>
                </c:pt>
                <c:pt idx="17">
                  <c:v>AR</c:v>
                </c:pt>
                <c:pt idx="18">
                  <c:v>IRN</c:v>
                </c:pt>
              </c:strCache>
            </c:strRef>
          </c:cat>
          <c:val>
            <c:numRef>
              <c:f>Sheet1!$E$2:$E$20</c:f>
              <c:numCache>
                <c:formatCode>General</c:formatCode>
                <c:ptCount val="19"/>
                <c:pt idx="0">
                  <c:v>5.5289507478710238</c:v>
                </c:pt>
                <c:pt idx="1">
                  <c:v>5.6511838909669141</c:v>
                </c:pt>
                <c:pt idx="2">
                  <c:v>6.5421512409140323</c:v>
                </c:pt>
                <c:pt idx="3">
                  <c:v>6.379177209136393</c:v>
                </c:pt>
                <c:pt idx="4">
                  <c:v>7.7066557271051845</c:v>
                </c:pt>
                <c:pt idx="5">
                  <c:v>6.9676958902638821</c:v>
                </c:pt>
                <c:pt idx="6">
                  <c:v>6.1860187553282184</c:v>
                </c:pt>
                <c:pt idx="7">
                  <c:v>6.4809325882346709</c:v>
                </c:pt>
                <c:pt idx="8">
                  <c:v>6.6955255382569643</c:v>
                </c:pt>
                <c:pt idx="9">
                  <c:v>7.5060940430182654</c:v>
                </c:pt>
                <c:pt idx="10">
                  <c:v>6.3925401153076233</c:v>
                </c:pt>
                <c:pt idx="11">
                  <c:v>6.1689849662492504</c:v>
                </c:pt>
                <c:pt idx="12">
                  <c:v>2.8541428728538132</c:v>
                </c:pt>
                <c:pt idx="13">
                  <c:v>6.6523999347681686</c:v>
                </c:pt>
                <c:pt idx="14">
                  <c:v>5.6306526957568241</c:v>
                </c:pt>
                <c:pt idx="15">
                  <c:v>7.5616811231228596</c:v>
                </c:pt>
                <c:pt idx="16">
                  <c:v>14.095818045980051</c:v>
                </c:pt>
                <c:pt idx="17">
                  <c:v>6.1788734907359215</c:v>
                </c:pt>
                <c:pt idx="18">
                  <c:v>25.172868701008628</c:v>
                </c:pt>
              </c:numCache>
            </c:numRef>
          </c:val>
        </c:ser>
        <c:ser>
          <c:idx val="1"/>
          <c:order val="1"/>
          <c:tx>
            <c:strRef>
              <c:f>Sheet1!$F$1</c:f>
              <c:strCache>
                <c:ptCount val="1"/>
                <c:pt idx="0">
                  <c:v>CG:Ctrl3 (Bayesian)</c:v>
                </c:pt>
              </c:strCache>
            </c:strRef>
          </c:tx>
          <c:invertIfNegative val="0"/>
          <c:cat>
            <c:strRef>
              <c:f>Sheet1!$A$2:$A$20</c:f>
              <c:strCache>
                <c:ptCount val="19"/>
                <c:pt idx="0">
                  <c:v>HKG</c:v>
                </c:pt>
                <c:pt idx="1">
                  <c:v>COL</c:v>
                </c:pt>
                <c:pt idx="2">
                  <c:v>PER</c:v>
                </c:pt>
                <c:pt idx="3">
                  <c:v>IN</c:v>
                </c:pt>
                <c:pt idx="4">
                  <c:v>PHL</c:v>
                </c:pt>
                <c:pt idx="5">
                  <c:v>PK</c:v>
                </c:pt>
                <c:pt idx="6">
                  <c:v>INS</c:v>
                </c:pt>
                <c:pt idx="7">
                  <c:v>RSA</c:v>
                </c:pt>
                <c:pt idx="8">
                  <c:v>KEN</c:v>
                </c:pt>
                <c:pt idx="9">
                  <c:v>VTN</c:v>
                </c:pt>
                <c:pt idx="10">
                  <c:v>RUS</c:v>
                </c:pt>
                <c:pt idx="11">
                  <c:v>PL</c:v>
                </c:pt>
                <c:pt idx="12">
                  <c:v>CHL</c:v>
                </c:pt>
                <c:pt idx="13">
                  <c:v>BR</c:v>
                </c:pt>
                <c:pt idx="14">
                  <c:v>ELS</c:v>
                </c:pt>
                <c:pt idx="15">
                  <c:v>NGA</c:v>
                </c:pt>
                <c:pt idx="16">
                  <c:v>CH</c:v>
                </c:pt>
                <c:pt idx="17">
                  <c:v>AR</c:v>
                </c:pt>
                <c:pt idx="18">
                  <c:v>IRN</c:v>
                </c:pt>
              </c:strCache>
            </c:strRef>
          </c:cat>
          <c:val>
            <c:numRef>
              <c:f>Sheet1!$F$2:$F$20</c:f>
              <c:numCache>
                <c:formatCode>General</c:formatCode>
                <c:ptCount val="19"/>
                <c:pt idx="0">
                  <c:v>6.1056594347269293</c:v>
                </c:pt>
                <c:pt idx="1">
                  <c:v>5.696799490947142</c:v>
                </c:pt>
                <c:pt idx="2">
                  <c:v>6.5864266070339248</c:v>
                </c:pt>
                <c:pt idx="3">
                  <c:v>7.553081313068625</c:v>
                </c:pt>
                <c:pt idx="4">
                  <c:v>6.4255706077596377</c:v>
                </c:pt>
                <c:pt idx="5">
                  <c:v>6.6690531824252473</c:v>
                </c:pt>
                <c:pt idx="6">
                  <c:v>6.9906637787357653</c:v>
                </c:pt>
                <c:pt idx="7">
                  <c:v>6.7525721645713173</c:v>
                </c:pt>
                <c:pt idx="8">
                  <c:v>6.7542648204328284</c:v>
                </c:pt>
                <c:pt idx="9">
                  <c:v>6.2747045577789393</c:v>
                </c:pt>
                <c:pt idx="10">
                  <c:v>6.9984608094738965</c:v>
                </c:pt>
                <c:pt idx="11">
                  <c:v>5.0535853730158529</c:v>
                </c:pt>
                <c:pt idx="12">
                  <c:v>3.3470384314171726</c:v>
                </c:pt>
                <c:pt idx="13">
                  <c:v>6.9587978728058841</c:v>
                </c:pt>
                <c:pt idx="14">
                  <c:v>6.2042868416621832</c:v>
                </c:pt>
                <c:pt idx="15">
                  <c:v>7.9298534074099205</c:v>
                </c:pt>
                <c:pt idx="16">
                  <c:v>10.027989320149734</c:v>
                </c:pt>
                <c:pt idx="17">
                  <c:v>6.8249579025066209</c:v>
                </c:pt>
                <c:pt idx="18">
                  <c:v>22.039381748953772</c:v>
                </c:pt>
              </c:numCache>
            </c:numRef>
          </c:val>
        </c:ser>
        <c:ser>
          <c:idx val="2"/>
          <c:order val="2"/>
          <c:tx>
            <c:strRef>
              <c:f>Sheet1!$G$1</c:f>
              <c:strCache>
                <c:ptCount val="1"/>
                <c:pt idx="0">
                  <c:v>CG:Ctrl1 (Frequentist)</c:v>
                </c:pt>
              </c:strCache>
            </c:strRef>
          </c:tx>
          <c:invertIfNegative val="0"/>
          <c:cat>
            <c:strRef>
              <c:f>Sheet1!$A$2:$A$20</c:f>
              <c:strCache>
                <c:ptCount val="19"/>
                <c:pt idx="0">
                  <c:v>HKG</c:v>
                </c:pt>
                <c:pt idx="1">
                  <c:v>COL</c:v>
                </c:pt>
                <c:pt idx="2">
                  <c:v>PER</c:v>
                </c:pt>
                <c:pt idx="3">
                  <c:v>IN</c:v>
                </c:pt>
                <c:pt idx="4">
                  <c:v>PHL</c:v>
                </c:pt>
                <c:pt idx="5">
                  <c:v>PK</c:v>
                </c:pt>
                <c:pt idx="6">
                  <c:v>INS</c:v>
                </c:pt>
                <c:pt idx="7">
                  <c:v>RSA</c:v>
                </c:pt>
                <c:pt idx="8">
                  <c:v>KEN</c:v>
                </c:pt>
                <c:pt idx="9">
                  <c:v>VTN</c:v>
                </c:pt>
                <c:pt idx="10">
                  <c:v>RUS</c:v>
                </c:pt>
                <c:pt idx="11">
                  <c:v>PL</c:v>
                </c:pt>
                <c:pt idx="12">
                  <c:v>CHL</c:v>
                </c:pt>
                <c:pt idx="13">
                  <c:v>BR</c:v>
                </c:pt>
                <c:pt idx="14">
                  <c:v>ELS</c:v>
                </c:pt>
                <c:pt idx="15">
                  <c:v>NGA</c:v>
                </c:pt>
                <c:pt idx="16">
                  <c:v>CH</c:v>
                </c:pt>
                <c:pt idx="17">
                  <c:v>AR</c:v>
                </c:pt>
                <c:pt idx="18">
                  <c:v>IRN</c:v>
                </c:pt>
              </c:strCache>
            </c:strRef>
          </c:cat>
          <c:val>
            <c:numRef>
              <c:f>Sheet1!$G$2:$G$20</c:f>
              <c:numCache>
                <c:formatCode>General</c:formatCode>
                <c:ptCount val="19"/>
                <c:pt idx="0">
                  <c:v>0.9791846981627329</c:v>
                </c:pt>
                <c:pt idx="1">
                  <c:v>3.2875038363443161</c:v>
                </c:pt>
                <c:pt idx="2">
                  <c:v>25.19474416016573</c:v>
                </c:pt>
                <c:pt idx="3">
                  <c:v>2.4471339977982356</c:v>
                </c:pt>
                <c:pt idx="4">
                  <c:v>11.196458166340889</c:v>
                </c:pt>
                <c:pt idx="5">
                  <c:v>5.0372642854440306</c:v>
                </c:pt>
                <c:pt idx="6">
                  <c:v>4.6257568002289293</c:v>
                </c:pt>
                <c:pt idx="7">
                  <c:v>9.0027245926575681</c:v>
                </c:pt>
                <c:pt idx="8">
                  <c:v>7.6388162756272582</c:v>
                </c:pt>
                <c:pt idx="9">
                  <c:v>7.5285867272316027</c:v>
                </c:pt>
                <c:pt idx="10">
                  <c:v>6.4013672217618076</c:v>
                </c:pt>
                <c:pt idx="11">
                  <c:v>10.057027769439218</c:v>
                </c:pt>
                <c:pt idx="12">
                  <c:v>10.279119620984055</c:v>
                </c:pt>
                <c:pt idx="13">
                  <c:v>11.169218695198127</c:v>
                </c:pt>
                <c:pt idx="14">
                  <c:v>10.735925275453218</c:v>
                </c:pt>
                <c:pt idx="15">
                  <c:v>7.4698752453019077</c:v>
                </c:pt>
                <c:pt idx="16">
                  <c:v>79.580651042101422</c:v>
                </c:pt>
                <c:pt idx="17">
                  <c:v>-3.7682889821865122</c:v>
                </c:pt>
                <c:pt idx="18">
                  <c:v>-2.9675561580099745</c:v>
                </c:pt>
              </c:numCache>
            </c:numRef>
          </c:val>
        </c:ser>
        <c:ser>
          <c:idx val="3"/>
          <c:order val="3"/>
          <c:tx>
            <c:strRef>
              <c:f>Sheet1!$H$1</c:f>
              <c:strCache>
                <c:ptCount val="1"/>
                <c:pt idx="0">
                  <c:v>CG:Ctrl3 (Frequentist)</c:v>
                </c:pt>
              </c:strCache>
            </c:strRef>
          </c:tx>
          <c:invertIfNegative val="0"/>
          <c:cat>
            <c:strRef>
              <c:f>Sheet1!$A$2:$A$20</c:f>
              <c:strCache>
                <c:ptCount val="19"/>
                <c:pt idx="0">
                  <c:v>HKG</c:v>
                </c:pt>
                <c:pt idx="1">
                  <c:v>COL</c:v>
                </c:pt>
                <c:pt idx="2">
                  <c:v>PER</c:v>
                </c:pt>
                <c:pt idx="3">
                  <c:v>IN</c:v>
                </c:pt>
                <c:pt idx="4">
                  <c:v>PHL</c:v>
                </c:pt>
                <c:pt idx="5">
                  <c:v>PK</c:v>
                </c:pt>
                <c:pt idx="6">
                  <c:v>INS</c:v>
                </c:pt>
                <c:pt idx="7">
                  <c:v>RSA</c:v>
                </c:pt>
                <c:pt idx="8">
                  <c:v>KEN</c:v>
                </c:pt>
                <c:pt idx="9">
                  <c:v>VTN</c:v>
                </c:pt>
                <c:pt idx="10">
                  <c:v>RUS</c:v>
                </c:pt>
                <c:pt idx="11">
                  <c:v>PL</c:v>
                </c:pt>
                <c:pt idx="12">
                  <c:v>CHL</c:v>
                </c:pt>
                <c:pt idx="13">
                  <c:v>BR</c:v>
                </c:pt>
                <c:pt idx="14">
                  <c:v>ELS</c:v>
                </c:pt>
                <c:pt idx="15">
                  <c:v>NGA</c:v>
                </c:pt>
                <c:pt idx="16">
                  <c:v>CH</c:v>
                </c:pt>
                <c:pt idx="17">
                  <c:v>AR</c:v>
                </c:pt>
                <c:pt idx="18">
                  <c:v>IRN</c:v>
                </c:pt>
              </c:strCache>
            </c:strRef>
          </c:cat>
          <c:val>
            <c:numRef>
              <c:f>Sheet1!$H$2:$H$20</c:f>
              <c:numCache>
                <c:formatCode>General</c:formatCode>
                <c:ptCount val="19"/>
                <c:pt idx="0">
                  <c:v>1.2170867025137779</c:v>
                </c:pt>
                <c:pt idx="1">
                  <c:v>2.5768444323224706</c:v>
                </c:pt>
                <c:pt idx="2">
                  <c:v>-2.5961147249558141</c:v>
                </c:pt>
                <c:pt idx="3">
                  <c:v>3.867452398397301</c:v>
                </c:pt>
                <c:pt idx="4">
                  <c:v>5.3868712954969888</c:v>
                </c:pt>
                <c:pt idx="5">
                  <c:v>5.4940712343203737</c:v>
                </c:pt>
                <c:pt idx="6">
                  <c:v>5.5406038420886548</c:v>
                </c:pt>
                <c:pt idx="7">
                  <c:v>5.8421759076307653</c:v>
                </c:pt>
                <c:pt idx="8">
                  <c:v>5.8440224705217796</c:v>
                </c:pt>
                <c:pt idx="9">
                  <c:v>6.2707235255914915</c:v>
                </c:pt>
                <c:pt idx="10">
                  <c:v>7.0290914120325283</c:v>
                </c:pt>
                <c:pt idx="11">
                  <c:v>8.4098950378121948</c:v>
                </c:pt>
                <c:pt idx="12">
                  <c:v>11.56818176755116</c:v>
                </c:pt>
                <c:pt idx="13">
                  <c:v>11.737600321123242</c:v>
                </c:pt>
                <c:pt idx="14">
                  <c:v>13.9683562901036</c:v>
                </c:pt>
                <c:pt idx="15">
                  <c:v>16.339965498005323</c:v>
                </c:pt>
                <c:pt idx="16">
                  <c:v>59.220315334815524</c:v>
                </c:pt>
                <c:pt idx="17">
                  <c:v>-4.5989157061232326</c:v>
                </c:pt>
                <c:pt idx="18">
                  <c:v>-2.2252744591393796</c:v>
                </c:pt>
              </c:numCache>
            </c:numRef>
          </c:val>
        </c:ser>
        <c:dLbls>
          <c:showLegendKey val="0"/>
          <c:showVal val="0"/>
          <c:showCatName val="0"/>
          <c:showSerName val="0"/>
          <c:showPercent val="0"/>
          <c:showBubbleSize val="0"/>
        </c:dLbls>
        <c:gapWidth val="150"/>
        <c:axId val="337793024"/>
        <c:axId val="337794560"/>
      </c:barChart>
      <c:catAx>
        <c:axId val="337793024"/>
        <c:scaling>
          <c:orientation val="minMax"/>
        </c:scaling>
        <c:delete val="0"/>
        <c:axPos val="b"/>
        <c:numFmt formatCode="General" sourceLinked="0"/>
        <c:majorTickMark val="none"/>
        <c:minorTickMark val="none"/>
        <c:tickLblPos val="nextTo"/>
        <c:crossAx val="337794560"/>
        <c:crosses val="autoZero"/>
        <c:auto val="1"/>
        <c:lblAlgn val="ctr"/>
        <c:lblOffset val="100"/>
        <c:noMultiLvlLbl val="0"/>
      </c:catAx>
      <c:valAx>
        <c:axId val="337794560"/>
        <c:scaling>
          <c:orientation val="minMax"/>
        </c:scaling>
        <c:delete val="0"/>
        <c:axPos val="l"/>
        <c:majorGridlines/>
        <c:numFmt formatCode="General" sourceLinked="1"/>
        <c:majorTickMark val="none"/>
        <c:minorTickMark val="none"/>
        <c:tickLblPos val="nextTo"/>
        <c:crossAx val="337793024"/>
        <c:crosses val="autoZero"/>
        <c:crossBetween val="between"/>
      </c:valAx>
    </c:plotArea>
    <c:legend>
      <c:legendPos val="r"/>
      <c:layout>
        <c:manualLayout>
          <c:xMode val="edge"/>
          <c:yMode val="edge"/>
          <c:x val="0.84765953998460308"/>
          <c:y val="0.19087606956931802"/>
          <c:w val="0.15234046001539686"/>
          <c:h val="0.41660132908918296"/>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800" b="0" i="0" baseline="0">
                <a:effectLst/>
              </a:rPr>
              <a:t>Comparison of relative impact of </a:t>
            </a:r>
            <a:r>
              <a:rPr lang="en-GB" sz="1800" b="0" i="0" u="none" strike="noStrike" baseline="0">
                <a:effectLst/>
              </a:rPr>
              <a:t>change in corporate governance </a:t>
            </a:r>
            <a:r>
              <a:rPr lang="en-GB" sz="1800" b="0" i="0" baseline="0">
                <a:effectLst/>
              </a:rPr>
              <a:t>on growth of financial market to </a:t>
            </a:r>
            <a:r>
              <a:rPr lang="en-GB" sz="1800" b="0" i="0" u="none" strike="noStrike" baseline="0">
                <a:effectLst/>
              </a:rPr>
              <a:t>growth of economic factors and increase in R&amp;D investment and technology led exports.</a:t>
            </a:r>
            <a:endParaRPr lang="en-GB">
              <a:effectLst/>
            </a:endParaRPr>
          </a:p>
        </c:rich>
      </c:tx>
      <c:layout>
        <c:manualLayout>
          <c:xMode val="edge"/>
          <c:yMode val="edge"/>
          <c:x val="0.16462658076831305"/>
          <c:y val="8.9786756453423128E-3"/>
        </c:manualLayout>
      </c:layout>
      <c:overlay val="0"/>
    </c:title>
    <c:autoTitleDeleted val="0"/>
    <c:plotArea>
      <c:layout>
        <c:manualLayout>
          <c:layoutTarget val="inner"/>
          <c:xMode val="edge"/>
          <c:yMode val="edge"/>
          <c:x val="6.818369294747248E-2"/>
          <c:y val="4.1866904684052554E-2"/>
          <c:w val="0.84989007055936194"/>
          <c:h val="0.94151877479961477"/>
        </c:manualLayout>
      </c:layout>
      <c:barChart>
        <c:barDir val="col"/>
        <c:grouping val="clustered"/>
        <c:varyColors val="0"/>
        <c:ser>
          <c:idx val="0"/>
          <c:order val="0"/>
          <c:tx>
            <c:strRef>
              <c:f>Sheet1!$Q$1</c:f>
              <c:strCache>
                <c:ptCount val="1"/>
                <c:pt idx="0">
                  <c:v>Ctrl1:CG (Bayesian)</c:v>
                </c:pt>
              </c:strCache>
            </c:strRef>
          </c:tx>
          <c:invertIfNegative val="0"/>
          <c:cat>
            <c:strRef>
              <c:f>Sheet1!$A$2:$A$20</c:f>
              <c:strCache>
                <c:ptCount val="19"/>
                <c:pt idx="0">
                  <c:v>CHL</c:v>
                </c:pt>
                <c:pt idx="1">
                  <c:v>HKG</c:v>
                </c:pt>
                <c:pt idx="2">
                  <c:v>ELS</c:v>
                </c:pt>
                <c:pt idx="3">
                  <c:v>COL</c:v>
                </c:pt>
                <c:pt idx="4">
                  <c:v>PL</c:v>
                </c:pt>
                <c:pt idx="5">
                  <c:v>AR</c:v>
                </c:pt>
                <c:pt idx="6">
                  <c:v>INS</c:v>
                </c:pt>
                <c:pt idx="7">
                  <c:v>IN</c:v>
                </c:pt>
                <c:pt idx="8">
                  <c:v>RUS</c:v>
                </c:pt>
                <c:pt idx="9">
                  <c:v>RSA</c:v>
                </c:pt>
                <c:pt idx="10">
                  <c:v>PER</c:v>
                </c:pt>
                <c:pt idx="11">
                  <c:v>BR</c:v>
                </c:pt>
                <c:pt idx="12">
                  <c:v>KEN</c:v>
                </c:pt>
                <c:pt idx="13">
                  <c:v>PK</c:v>
                </c:pt>
                <c:pt idx="14">
                  <c:v>VTN</c:v>
                </c:pt>
                <c:pt idx="15">
                  <c:v>NGA</c:v>
                </c:pt>
                <c:pt idx="16">
                  <c:v>PHL</c:v>
                </c:pt>
                <c:pt idx="17">
                  <c:v>CH</c:v>
                </c:pt>
                <c:pt idx="18">
                  <c:v>IRN</c:v>
                </c:pt>
              </c:strCache>
            </c:strRef>
          </c:cat>
          <c:val>
            <c:numRef>
              <c:f>Sheet1!$Q$2:$Q$20</c:f>
              <c:numCache>
                <c:formatCode>General</c:formatCode>
                <c:ptCount val="19"/>
                <c:pt idx="0">
                  <c:v>0.35036788435195454</c:v>
                </c:pt>
                <c:pt idx="1">
                  <c:v>0.18086614361414952</c:v>
                </c:pt>
                <c:pt idx="2">
                  <c:v>0.17759930402981255</c:v>
                </c:pt>
                <c:pt idx="3">
                  <c:v>0.17695407180050207</c:v>
                </c:pt>
                <c:pt idx="4">
                  <c:v>0.16210122175220684</c:v>
                </c:pt>
                <c:pt idx="5">
                  <c:v>0.16184179875171664</c:v>
                </c:pt>
                <c:pt idx="6">
                  <c:v>0.16165486067087456</c:v>
                </c:pt>
                <c:pt idx="7">
                  <c:v>0.15676002832587546</c:v>
                </c:pt>
                <c:pt idx="8">
                  <c:v>0.1564323386262986</c:v>
                </c:pt>
                <c:pt idx="9">
                  <c:v>0.1542987812919665</c:v>
                </c:pt>
                <c:pt idx="10">
                  <c:v>0.15285491930331552</c:v>
                </c:pt>
                <c:pt idx="11">
                  <c:v>0.15032168988722253</c:v>
                </c:pt>
                <c:pt idx="12">
                  <c:v>0.14935347409044883</c:v>
                </c:pt>
                <c:pt idx="13">
                  <c:v>0.14351946694420495</c:v>
                </c:pt>
                <c:pt idx="14">
                  <c:v>0.13322508274861572</c:v>
                </c:pt>
                <c:pt idx="15">
                  <c:v>0.13224572468972551</c:v>
                </c:pt>
                <c:pt idx="16">
                  <c:v>0.12975796965769293</c:v>
                </c:pt>
                <c:pt idx="17">
                  <c:v>7.0943026984176163E-2</c:v>
                </c:pt>
                <c:pt idx="18">
                  <c:v>3.9725309494024093E-2</c:v>
                </c:pt>
              </c:numCache>
            </c:numRef>
          </c:val>
        </c:ser>
        <c:ser>
          <c:idx val="1"/>
          <c:order val="1"/>
          <c:tx>
            <c:strRef>
              <c:f>Sheet1!$R$1</c:f>
              <c:strCache>
                <c:ptCount val="1"/>
                <c:pt idx="0">
                  <c:v>Ctrl3:CG (Bayesian)</c:v>
                </c:pt>
              </c:strCache>
            </c:strRef>
          </c:tx>
          <c:invertIfNegative val="0"/>
          <c:cat>
            <c:strRef>
              <c:f>Sheet1!$A$2:$A$20</c:f>
              <c:strCache>
                <c:ptCount val="19"/>
                <c:pt idx="0">
                  <c:v>CHL</c:v>
                </c:pt>
                <c:pt idx="1">
                  <c:v>HKG</c:v>
                </c:pt>
                <c:pt idx="2">
                  <c:v>ELS</c:v>
                </c:pt>
                <c:pt idx="3">
                  <c:v>COL</c:v>
                </c:pt>
                <c:pt idx="4">
                  <c:v>PL</c:v>
                </c:pt>
                <c:pt idx="5">
                  <c:v>AR</c:v>
                </c:pt>
                <c:pt idx="6">
                  <c:v>INS</c:v>
                </c:pt>
                <c:pt idx="7">
                  <c:v>IN</c:v>
                </c:pt>
                <c:pt idx="8">
                  <c:v>RUS</c:v>
                </c:pt>
                <c:pt idx="9">
                  <c:v>RSA</c:v>
                </c:pt>
                <c:pt idx="10">
                  <c:v>PER</c:v>
                </c:pt>
                <c:pt idx="11">
                  <c:v>BR</c:v>
                </c:pt>
                <c:pt idx="12">
                  <c:v>KEN</c:v>
                </c:pt>
                <c:pt idx="13">
                  <c:v>PK</c:v>
                </c:pt>
                <c:pt idx="14">
                  <c:v>VTN</c:v>
                </c:pt>
                <c:pt idx="15">
                  <c:v>NGA</c:v>
                </c:pt>
                <c:pt idx="16">
                  <c:v>PHL</c:v>
                </c:pt>
                <c:pt idx="17">
                  <c:v>CH</c:v>
                </c:pt>
                <c:pt idx="18">
                  <c:v>IRN</c:v>
                </c:pt>
              </c:strCache>
            </c:strRef>
          </c:cat>
          <c:val>
            <c:numRef>
              <c:f>Sheet1!$R$2:$R$20</c:f>
              <c:numCache>
                <c:formatCode>General</c:formatCode>
                <c:ptCount val="19"/>
                <c:pt idx="0">
                  <c:v>0.29877159180887836</c:v>
                </c:pt>
                <c:pt idx="1">
                  <c:v>0.16378247275181082</c:v>
                </c:pt>
                <c:pt idx="2">
                  <c:v>0.16117887930083052</c:v>
                </c:pt>
                <c:pt idx="3">
                  <c:v>0.17553715934519251</c:v>
                </c:pt>
                <c:pt idx="4">
                  <c:v>0.19787931264397046</c:v>
                </c:pt>
                <c:pt idx="5">
                  <c:v>0.14652105028116397</c:v>
                </c:pt>
                <c:pt idx="6">
                  <c:v>0.14304793244982042</c:v>
                </c:pt>
                <c:pt idx="7">
                  <c:v>0.13239629742496781</c:v>
                </c:pt>
                <c:pt idx="8">
                  <c:v>0.14288856181723394</c:v>
                </c:pt>
                <c:pt idx="9">
                  <c:v>0.14809171610881766</c:v>
                </c:pt>
                <c:pt idx="10">
                  <c:v>0.15182739589507574</c:v>
                </c:pt>
                <c:pt idx="11">
                  <c:v>0.1437029812157464</c:v>
                </c:pt>
                <c:pt idx="12">
                  <c:v>0.14805460351137339</c:v>
                </c:pt>
                <c:pt idx="13">
                  <c:v>0.14994632261072224</c:v>
                </c:pt>
                <c:pt idx="14">
                  <c:v>0.15937005332948626</c:v>
                </c:pt>
                <c:pt idx="15">
                  <c:v>0.12610573596046132</c:v>
                </c:pt>
                <c:pt idx="16">
                  <c:v>0.15562820192067947</c:v>
                </c:pt>
                <c:pt idx="17">
                  <c:v>9.9720888013976092E-2</c:v>
                </c:pt>
                <c:pt idx="18">
                  <c:v>4.5373323598220751E-2</c:v>
                </c:pt>
              </c:numCache>
            </c:numRef>
          </c:val>
        </c:ser>
        <c:ser>
          <c:idx val="2"/>
          <c:order val="2"/>
          <c:tx>
            <c:strRef>
              <c:f>Sheet1!$S$1</c:f>
              <c:strCache>
                <c:ptCount val="1"/>
                <c:pt idx="0">
                  <c:v>Ctrl1:CG (Frequentist)</c:v>
                </c:pt>
              </c:strCache>
            </c:strRef>
          </c:tx>
          <c:invertIfNegative val="0"/>
          <c:cat>
            <c:strRef>
              <c:f>Sheet1!$A$2:$A$20</c:f>
              <c:strCache>
                <c:ptCount val="19"/>
                <c:pt idx="0">
                  <c:v>CHL</c:v>
                </c:pt>
                <c:pt idx="1">
                  <c:v>HKG</c:v>
                </c:pt>
                <c:pt idx="2">
                  <c:v>ELS</c:v>
                </c:pt>
                <c:pt idx="3">
                  <c:v>COL</c:v>
                </c:pt>
                <c:pt idx="4">
                  <c:v>PL</c:v>
                </c:pt>
                <c:pt idx="5">
                  <c:v>AR</c:v>
                </c:pt>
                <c:pt idx="6">
                  <c:v>INS</c:v>
                </c:pt>
                <c:pt idx="7">
                  <c:v>IN</c:v>
                </c:pt>
                <c:pt idx="8">
                  <c:v>RUS</c:v>
                </c:pt>
                <c:pt idx="9">
                  <c:v>RSA</c:v>
                </c:pt>
                <c:pt idx="10">
                  <c:v>PER</c:v>
                </c:pt>
                <c:pt idx="11">
                  <c:v>BR</c:v>
                </c:pt>
                <c:pt idx="12">
                  <c:v>KEN</c:v>
                </c:pt>
                <c:pt idx="13">
                  <c:v>PK</c:v>
                </c:pt>
                <c:pt idx="14">
                  <c:v>VTN</c:v>
                </c:pt>
                <c:pt idx="15">
                  <c:v>NGA</c:v>
                </c:pt>
                <c:pt idx="16">
                  <c:v>PHL</c:v>
                </c:pt>
                <c:pt idx="17">
                  <c:v>CH</c:v>
                </c:pt>
                <c:pt idx="18">
                  <c:v>IRN</c:v>
                </c:pt>
              </c:strCache>
            </c:strRef>
          </c:cat>
          <c:val>
            <c:numRef>
              <c:f>Sheet1!$S$2:$S$20</c:f>
              <c:numCache>
                <c:formatCode>General</c:formatCode>
                <c:ptCount val="19"/>
                <c:pt idx="0">
                  <c:v>9.728459604250296E-2</c:v>
                </c:pt>
                <c:pt idx="1">
                  <c:v>1.0212577891344945</c:v>
                </c:pt>
                <c:pt idx="2">
                  <c:v>9.3145208665564694E-2</c:v>
                </c:pt>
                <c:pt idx="3">
                  <c:v>0.30418215454069059</c:v>
                </c:pt>
                <c:pt idx="4">
                  <c:v>9.9432956030881106E-2</c:v>
                </c:pt>
                <c:pt idx="5">
                  <c:v>-0.265372428900015</c:v>
                </c:pt>
                <c:pt idx="6">
                  <c:v>0.21618084200849252</c:v>
                </c:pt>
                <c:pt idx="7">
                  <c:v>0.40864129258950754</c:v>
                </c:pt>
                <c:pt idx="8">
                  <c:v>0.1562166276917287</c:v>
                </c:pt>
                <c:pt idx="9">
                  <c:v>0.11107748434463706</c:v>
                </c:pt>
                <c:pt idx="10">
                  <c:v>3.9690817800843353E-2</c:v>
                </c:pt>
                <c:pt idx="11">
                  <c:v>8.9531777225377474E-2</c:v>
                </c:pt>
                <c:pt idx="12">
                  <c:v>0.13091033530818691</c:v>
                </c:pt>
                <c:pt idx="13">
                  <c:v>0.19852045541657554</c:v>
                </c:pt>
                <c:pt idx="14">
                  <c:v>0.13282705456296418</c:v>
                </c:pt>
                <c:pt idx="15">
                  <c:v>0.13387104431616023</c:v>
                </c:pt>
                <c:pt idx="16">
                  <c:v>8.931395849861061E-2</c:v>
                </c:pt>
                <c:pt idx="17">
                  <c:v>1.256586854851136E-2</c:v>
                </c:pt>
                <c:pt idx="18">
                  <c:v>-0.33697761617781619</c:v>
                </c:pt>
              </c:numCache>
            </c:numRef>
          </c:val>
        </c:ser>
        <c:ser>
          <c:idx val="3"/>
          <c:order val="3"/>
          <c:tx>
            <c:strRef>
              <c:f>Sheet1!$T$1</c:f>
              <c:strCache>
                <c:ptCount val="1"/>
                <c:pt idx="0">
                  <c:v>Ctrl3:CG (Frequentist)</c:v>
                </c:pt>
              </c:strCache>
            </c:strRef>
          </c:tx>
          <c:invertIfNegative val="0"/>
          <c:cat>
            <c:strRef>
              <c:f>Sheet1!$A$2:$A$20</c:f>
              <c:strCache>
                <c:ptCount val="19"/>
                <c:pt idx="0">
                  <c:v>CHL</c:v>
                </c:pt>
                <c:pt idx="1">
                  <c:v>HKG</c:v>
                </c:pt>
                <c:pt idx="2">
                  <c:v>ELS</c:v>
                </c:pt>
                <c:pt idx="3">
                  <c:v>COL</c:v>
                </c:pt>
                <c:pt idx="4">
                  <c:v>PL</c:v>
                </c:pt>
                <c:pt idx="5">
                  <c:v>AR</c:v>
                </c:pt>
                <c:pt idx="6">
                  <c:v>INS</c:v>
                </c:pt>
                <c:pt idx="7">
                  <c:v>IN</c:v>
                </c:pt>
                <c:pt idx="8">
                  <c:v>RUS</c:v>
                </c:pt>
                <c:pt idx="9">
                  <c:v>RSA</c:v>
                </c:pt>
                <c:pt idx="10">
                  <c:v>PER</c:v>
                </c:pt>
                <c:pt idx="11">
                  <c:v>BR</c:v>
                </c:pt>
                <c:pt idx="12">
                  <c:v>KEN</c:v>
                </c:pt>
                <c:pt idx="13">
                  <c:v>PK</c:v>
                </c:pt>
                <c:pt idx="14">
                  <c:v>VTN</c:v>
                </c:pt>
                <c:pt idx="15">
                  <c:v>NGA</c:v>
                </c:pt>
                <c:pt idx="16">
                  <c:v>PHL</c:v>
                </c:pt>
                <c:pt idx="17">
                  <c:v>CH</c:v>
                </c:pt>
                <c:pt idx="18">
                  <c:v>IRN</c:v>
                </c:pt>
              </c:strCache>
            </c:strRef>
          </c:cat>
          <c:val>
            <c:numRef>
              <c:f>Sheet1!$T$2:$T$20</c:f>
              <c:numCache>
                <c:formatCode>General</c:formatCode>
                <c:ptCount val="19"/>
                <c:pt idx="0">
                  <c:v>8.6444008236887138E-2</c:v>
                </c:pt>
                <c:pt idx="1">
                  <c:v>0.82163415139989138</c:v>
                </c:pt>
                <c:pt idx="2">
                  <c:v>7.1590384668845194E-2</c:v>
                </c:pt>
                <c:pt idx="3">
                  <c:v>0.38807154497049529</c:v>
                </c:pt>
                <c:pt idx="4">
                  <c:v>0.1189075482516541</c:v>
                </c:pt>
                <c:pt idx="5">
                  <c:v>-0.21744255905115822</c:v>
                </c:pt>
                <c:pt idx="6">
                  <c:v>0.1804857428000172</c:v>
                </c:pt>
                <c:pt idx="7">
                  <c:v>0.25856814693166152</c:v>
                </c:pt>
                <c:pt idx="8">
                  <c:v>0.14226589773582707</c:v>
                </c:pt>
                <c:pt idx="9">
                  <c:v>0.17116910134353344</c:v>
                </c:pt>
                <c:pt idx="10">
                  <c:v>0.38519098959196418</c:v>
                </c:pt>
                <c:pt idx="11">
                  <c:v>8.5196289926517441E-2</c:v>
                </c:pt>
                <c:pt idx="12">
                  <c:v>0.17111501624851139</c:v>
                </c:pt>
                <c:pt idx="13">
                  <c:v>0.18201438557134067</c:v>
                </c:pt>
                <c:pt idx="14">
                  <c:v>0.15947123101806249</c:v>
                </c:pt>
                <c:pt idx="15">
                  <c:v>6.1199639627272991E-2</c:v>
                </c:pt>
                <c:pt idx="16">
                  <c:v>0.18563651239188197</c:v>
                </c:pt>
                <c:pt idx="17">
                  <c:v>1.6886097183817284E-2</c:v>
                </c:pt>
                <c:pt idx="18">
                  <c:v>-0.44938276979404507</c:v>
                </c:pt>
              </c:numCache>
            </c:numRef>
          </c:val>
        </c:ser>
        <c:dLbls>
          <c:showLegendKey val="0"/>
          <c:showVal val="0"/>
          <c:showCatName val="0"/>
          <c:showSerName val="0"/>
          <c:showPercent val="0"/>
          <c:showBubbleSize val="0"/>
        </c:dLbls>
        <c:gapWidth val="150"/>
        <c:axId val="323257856"/>
        <c:axId val="323259392"/>
      </c:barChart>
      <c:catAx>
        <c:axId val="323257856"/>
        <c:scaling>
          <c:orientation val="minMax"/>
        </c:scaling>
        <c:delete val="0"/>
        <c:axPos val="b"/>
        <c:numFmt formatCode="General" sourceLinked="0"/>
        <c:majorTickMark val="none"/>
        <c:minorTickMark val="none"/>
        <c:tickLblPos val="nextTo"/>
        <c:crossAx val="323259392"/>
        <c:crosses val="autoZero"/>
        <c:auto val="1"/>
        <c:lblAlgn val="ctr"/>
        <c:lblOffset val="100"/>
        <c:noMultiLvlLbl val="0"/>
      </c:catAx>
      <c:valAx>
        <c:axId val="323259392"/>
        <c:scaling>
          <c:orientation val="minMax"/>
        </c:scaling>
        <c:delete val="0"/>
        <c:axPos val="l"/>
        <c:majorGridlines/>
        <c:numFmt formatCode="General" sourceLinked="1"/>
        <c:majorTickMark val="none"/>
        <c:minorTickMark val="none"/>
        <c:tickLblPos val="nextTo"/>
        <c:crossAx val="323257856"/>
        <c:crosses val="autoZero"/>
        <c:crossBetween val="between"/>
      </c:valAx>
    </c:plotArea>
    <c:legend>
      <c:legendPos val="r"/>
      <c:layout>
        <c:manualLayout>
          <c:xMode val="edge"/>
          <c:yMode val="edge"/>
          <c:x val="0.73409107952415042"/>
          <c:y val="0.2873501418383308"/>
          <c:w val="0.2291123836793128"/>
          <c:h val="0.17052997163233383"/>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B0EA25-D447-438D-9E16-7694AAD2EECB}" type="doc">
      <dgm:prSet loTypeId="urn:microsoft.com/office/officeart/2005/8/layout/cycle7" loCatId="cycle" qsTypeId="urn:microsoft.com/office/officeart/2005/8/quickstyle/simple1" qsCatId="simple" csTypeId="urn:microsoft.com/office/officeart/2005/8/colors/accent0_2" csCatId="mainScheme" phldr="1"/>
      <dgm:spPr/>
      <dgm:t>
        <a:bodyPr/>
        <a:lstStyle/>
        <a:p>
          <a:endParaRPr lang="en-GB"/>
        </a:p>
      </dgm:t>
    </dgm:pt>
    <dgm:pt modelId="{66379E3D-CAAF-46A8-8AA8-59495B6EE68D}">
      <dgm:prSet phldrT="[Text]"/>
      <dgm:spPr/>
      <dgm:t>
        <a:bodyPr/>
        <a:lstStyle/>
        <a:p>
          <a:r>
            <a:rPr lang="en-GB"/>
            <a:t>Corporate governance </a:t>
          </a:r>
        </a:p>
      </dgm:t>
    </dgm:pt>
    <dgm:pt modelId="{38418936-4427-42EF-96B0-AB6985866533}" type="parTrans" cxnId="{E0A85FD4-79D3-49D8-BA2C-28B7435630E3}">
      <dgm:prSet/>
      <dgm:spPr/>
      <dgm:t>
        <a:bodyPr/>
        <a:lstStyle/>
        <a:p>
          <a:endParaRPr lang="en-GB"/>
        </a:p>
      </dgm:t>
    </dgm:pt>
    <dgm:pt modelId="{494F6877-E29A-4D3A-934C-13C6291A68C4}" type="sibTrans" cxnId="{E0A85FD4-79D3-49D8-BA2C-28B7435630E3}">
      <dgm:prSet/>
      <dgm:spPr/>
      <dgm:t>
        <a:bodyPr/>
        <a:lstStyle/>
        <a:p>
          <a:endParaRPr lang="en-GB"/>
        </a:p>
      </dgm:t>
    </dgm:pt>
    <dgm:pt modelId="{94F37308-435F-4CED-9AC8-E0F142BFAD1D}">
      <dgm:prSet phldrT="[Text]"/>
      <dgm:spPr/>
      <dgm:t>
        <a:bodyPr/>
        <a:lstStyle/>
        <a:p>
          <a:r>
            <a:rPr lang="en-GB"/>
            <a:t>Financial market growth</a:t>
          </a:r>
        </a:p>
      </dgm:t>
    </dgm:pt>
    <dgm:pt modelId="{9BF6789D-D55B-4614-BDB7-F0CD17A36689}" type="parTrans" cxnId="{A04C756D-5FDD-4502-AF3E-382FB2715A41}">
      <dgm:prSet/>
      <dgm:spPr/>
      <dgm:t>
        <a:bodyPr/>
        <a:lstStyle/>
        <a:p>
          <a:endParaRPr lang="en-GB"/>
        </a:p>
      </dgm:t>
    </dgm:pt>
    <dgm:pt modelId="{A9E2FC6E-6D98-46DB-8AF8-3409C864275B}" type="sibTrans" cxnId="{A04C756D-5FDD-4502-AF3E-382FB2715A41}">
      <dgm:prSet/>
      <dgm:spPr/>
      <dgm:t>
        <a:bodyPr/>
        <a:lstStyle/>
        <a:p>
          <a:endParaRPr lang="en-GB"/>
        </a:p>
      </dgm:t>
    </dgm:pt>
    <dgm:pt modelId="{F20A8CBC-E62B-4564-BCCE-C805917D8A01}">
      <dgm:prSet phldrT="[Text]"/>
      <dgm:spPr/>
      <dgm:t>
        <a:bodyPr/>
        <a:lstStyle/>
        <a:p>
          <a:r>
            <a:rPr lang="en-GB"/>
            <a:t>R&amp;D and capital expenditure</a:t>
          </a:r>
        </a:p>
      </dgm:t>
    </dgm:pt>
    <dgm:pt modelId="{24C78590-D9A1-4A68-BC85-3EDDF95F464F}" type="parTrans" cxnId="{A05B098C-D4D3-4E29-8B26-B687ED90DB93}">
      <dgm:prSet/>
      <dgm:spPr/>
      <dgm:t>
        <a:bodyPr/>
        <a:lstStyle/>
        <a:p>
          <a:endParaRPr lang="en-GB"/>
        </a:p>
      </dgm:t>
    </dgm:pt>
    <dgm:pt modelId="{83B2D3C9-BAE0-4CDE-864B-44FA8DA4012E}" type="sibTrans" cxnId="{A05B098C-D4D3-4E29-8B26-B687ED90DB93}">
      <dgm:prSet/>
      <dgm:spPr/>
      <dgm:t>
        <a:bodyPr/>
        <a:lstStyle/>
        <a:p>
          <a:endParaRPr lang="en-GB"/>
        </a:p>
      </dgm:t>
    </dgm:pt>
    <dgm:pt modelId="{5A0D6B3D-0FA6-4157-8E83-3B7898245B99}" type="pres">
      <dgm:prSet presAssocID="{85B0EA25-D447-438D-9E16-7694AAD2EECB}" presName="Name0" presStyleCnt="0">
        <dgm:presLayoutVars>
          <dgm:dir/>
          <dgm:resizeHandles val="exact"/>
        </dgm:presLayoutVars>
      </dgm:prSet>
      <dgm:spPr/>
      <dgm:t>
        <a:bodyPr/>
        <a:lstStyle/>
        <a:p>
          <a:endParaRPr lang="en-GB"/>
        </a:p>
      </dgm:t>
    </dgm:pt>
    <dgm:pt modelId="{9C495607-DD97-480C-BD29-522DBE5221FF}" type="pres">
      <dgm:prSet presAssocID="{66379E3D-CAAF-46A8-8AA8-59495B6EE68D}" presName="node" presStyleLbl="node1" presStyleIdx="0" presStyleCnt="3">
        <dgm:presLayoutVars>
          <dgm:bulletEnabled val="1"/>
        </dgm:presLayoutVars>
      </dgm:prSet>
      <dgm:spPr/>
      <dgm:t>
        <a:bodyPr/>
        <a:lstStyle/>
        <a:p>
          <a:endParaRPr lang="en-GB"/>
        </a:p>
      </dgm:t>
    </dgm:pt>
    <dgm:pt modelId="{513342FC-2E7E-4CE8-B30C-E40674794EA6}" type="pres">
      <dgm:prSet presAssocID="{494F6877-E29A-4D3A-934C-13C6291A68C4}" presName="sibTrans" presStyleLbl="sibTrans2D1" presStyleIdx="0" presStyleCnt="3" custAng="16861227" custScaleX="49957" custScaleY="398305" custLinFactNeighborX="24291" custLinFactNeighborY="9846"/>
      <dgm:spPr>
        <a:prstGeom prst="downArrow">
          <a:avLst/>
        </a:prstGeom>
      </dgm:spPr>
      <dgm:t>
        <a:bodyPr/>
        <a:lstStyle/>
        <a:p>
          <a:endParaRPr lang="en-GB"/>
        </a:p>
      </dgm:t>
    </dgm:pt>
    <dgm:pt modelId="{1D410912-5751-41FD-A316-880FE52BB9FD}" type="pres">
      <dgm:prSet presAssocID="{494F6877-E29A-4D3A-934C-13C6291A68C4}" presName="connectorText" presStyleLbl="sibTrans2D1" presStyleIdx="0" presStyleCnt="3"/>
      <dgm:spPr/>
      <dgm:t>
        <a:bodyPr/>
        <a:lstStyle/>
        <a:p>
          <a:endParaRPr lang="en-GB"/>
        </a:p>
      </dgm:t>
    </dgm:pt>
    <dgm:pt modelId="{35650695-B37D-458B-B057-14A722305640}" type="pres">
      <dgm:prSet presAssocID="{94F37308-435F-4CED-9AC8-E0F142BFAD1D}" presName="node" presStyleLbl="node1" presStyleIdx="1" presStyleCnt="3">
        <dgm:presLayoutVars>
          <dgm:bulletEnabled val="1"/>
        </dgm:presLayoutVars>
      </dgm:prSet>
      <dgm:spPr/>
      <dgm:t>
        <a:bodyPr/>
        <a:lstStyle/>
        <a:p>
          <a:endParaRPr lang="en-GB"/>
        </a:p>
      </dgm:t>
    </dgm:pt>
    <dgm:pt modelId="{BC98714D-AB9A-42FB-B98A-6C0B8746291B}" type="pres">
      <dgm:prSet presAssocID="{A9E2FC6E-6D98-46DB-8AF8-3409C864275B}" presName="sibTrans" presStyleLbl="sibTrans2D1" presStyleIdx="1" presStyleCnt="3"/>
      <dgm:spPr/>
      <dgm:t>
        <a:bodyPr/>
        <a:lstStyle/>
        <a:p>
          <a:endParaRPr lang="en-GB"/>
        </a:p>
      </dgm:t>
    </dgm:pt>
    <dgm:pt modelId="{2A06EDA2-1A29-49B4-BAAE-A97C822874A4}" type="pres">
      <dgm:prSet presAssocID="{A9E2FC6E-6D98-46DB-8AF8-3409C864275B}" presName="connectorText" presStyleLbl="sibTrans2D1" presStyleIdx="1" presStyleCnt="3"/>
      <dgm:spPr/>
      <dgm:t>
        <a:bodyPr/>
        <a:lstStyle/>
        <a:p>
          <a:endParaRPr lang="en-GB"/>
        </a:p>
      </dgm:t>
    </dgm:pt>
    <dgm:pt modelId="{6FF54B5D-B44B-4747-AEC3-501DF3BDD82A}" type="pres">
      <dgm:prSet presAssocID="{F20A8CBC-E62B-4564-BCCE-C805917D8A01}" presName="node" presStyleLbl="node1" presStyleIdx="2" presStyleCnt="3">
        <dgm:presLayoutVars>
          <dgm:bulletEnabled val="1"/>
        </dgm:presLayoutVars>
      </dgm:prSet>
      <dgm:spPr/>
      <dgm:t>
        <a:bodyPr/>
        <a:lstStyle/>
        <a:p>
          <a:endParaRPr lang="en-GB"/>
        </a:p>
      </dgm:t>
    </dgm:pt>
    <dgm:pt modelId="{38F99289-5025-4758-8FC1-EDAE09165847}" type="pres">
      <dgm:prSet presAssocID="{83B2D3C9-BAE0-4CDE-864B-44FA8DA4012E}" presName="sibTrans" presStyleLbl="sibTrans2D1" presStyleIdx="2" presStyleCnt="3" custAng="5163119" custScaleX="50839" custScaleY="433953"/>
      <dgm:spPr>
        <a:prstGeom prst="downArrow">
          <a:avLst/>
        </a:prstGeom>
      </dgm:spPr>
      <dgm:t>
        <a:bodyPr/>
        <a:lstStyle/>
        <a:p>
          <a:endParaRPr lang="en-GB"/>
        </a:p>
      </dgm:t>
    </dgm:pt>
    <dgm:pt modelId="{D03EDB90-EBE9-42CA-B586-4CCECC627D63}" type="pres">
      <dgm:prSet presAssocID="{83B2D3C9-BAE0-4CDE-864B-44FA8DA4012E}" presName="connectorText" presStyleLbl="sibTrans2D1" presStyleIdx="2" presStyleCnt="3"/>
      <dgm:spPr/>
      <dgm:t>
        <a:bodyPr/>
        <a:lstStyle/>
        <a:p>
          <a:endParaRPr lang="en-GB"/>
        </a:p>
      </dgm:t>
    </dgm:pt>
  </dgm:ptLst>
  <dgm:cxnLst>
    <dgm:cxn modelId="{0157E98A-61A0-4B46-9A20-2F94A8F19485}" type="presOf" srcId="{94F37308-435F-4CED-9AC8-E0F142BFAD1D}" destId="{35650695-B37D-458B-B057-14A722305640}" srcOrd="0" destOrd="0" presId="urn:microsoft.com/office/officeart/2005/8/layout/cycle7"/>
    <dgm:cxn modelId="{0B8F7641-A19E-49C2-AC72-9A04A755D55E}" type="presOf" srcId="{83B2D3C9-BAE0-4CDE-864B-44FA8DA4012E}" destId="{D03EDB90-EBE9-42CA-B586-4CCECC627D63}" srcOrd="1" destOrd="0" presId="urn:microsoft.com/office/officeart/2005/8/layout/cycle7"/>
    <dgm:cxn modelId="{49953514-836C-4A9A-AB36-ED6F20283096}" type="presOf" srcId="{A9E2FC6E-6D98-46DB-8AF8-3409C864275B}" destId="{BC98714D-AB9A-42FB-B98A-6C0B8746291B}" srcOrd="0" destOrd="0" presId="urn:microsoft.com/office/officeart/2005/8/layout/cycle7"/>
    <dgm:cxn modelId="{47F057E4-5287-4402-B687-89DA2D360E1D}" type="presOf" srcId="{A9E2FC6E-6D98-46DB-8AF8-3409C864275B}" destId="{2A06EDA2-1A29-49B4-BAAE-A97C822874A4}" srcOrd="1" destOrd="0" presId="urn:microsoft.com/office/officeart/2005/8/layout/cycle7"/>
    <dgm:cxn modelId="{A04C756D-5FDD-4502-AF3E-382FB2715A41}" srcId="{85B0EA25-D447-438D-9E16-7694AAD2EECB}" destId="{94F37308-435F-4CED-9AC8-E0F142BFAD1D}" srcOrd="1" destOrd="0" parTransId="{9BF6789D-D55B-4614-BDB7-F0CD17A36689}" sibTransId="{A9E2FC6E-6D98-46DB-8AF8-3409C864275B}"/>
    <dgm:cxn modelId="{75F84B9B-EE3A-4F3A-9B65-8AF1DE3BE603}" type="presOf" srcId="{F20A8CBC-E62B-4564-BCCE-C805917D8A01}" destId="{6FF54B5D-B44B-4747-AEC3-501DF3BDD82A}" srcOrd="0" destOrd="0" presId="urn:microsoft.com/office/officeart/2005/8/layout/cycle7"/>
    <dgm:cxn modelId="{E08A2A35-B115-4114-AE24-7A59577CF894}" type="presOf" srcId="{494F6877-E29A-4D3A-934C-13C6291A68C4}" destId="{1D410912-5751-41FD-A316-880FE52BB9FD}" srcOrd="1" destOrd="0" presId="urn:microsoft.com/office/officeart/2005/8/layout/cycle7"/>
    <dgm:cxn modelId="{C679D4A8-2864-42D7-BEC3-A4C9B1ECC640}" type="presOf" srcId="{494F6877-E29A-4D3A-934C-13C6291A68C4}" destId="{513342FC-2E7E-4CE8-B30C-E40674794EA6}" srcOrd="0" destOrd="0" presId="urn:microsoft.com/office/officeart/2005/8/layout/cycle7"/>
    <dgm:cxn modelId="{E0A85FD4-79D3-49D8-BA2C-28B7435630E3}" srcId="{85B0EA25-D447-438D-9E16-7694AAD2EECB}" destId="{66379E3D-CAAF-46A8-8AA8-59495B6EE68D}" srcOrd="0" destOrd="0" parTransId="{38418936-4427-42EF-96B0-AB6985866533}" sibTransId="{494F6877-E29A-4D3A-934C-13C6291A68C4}"/>
    <dgm:cxn modelId="{A05B098C-D4D3-4E29-8B26-B687ED90DB93}" srcId="{85B0EA25-D447-438D-9E16-7694AAD2EECB}" destId="{F20A8CBC-E62B-4564-BCCE-C805917D8A01}" srcOrd="2" destOrd="0" parTransId="{24C78590-D9A1-4A68-BC85-3EDDF95F464F}" sibTransId="{83B2D3C9-BAE0-4CDE-864B-44FA8DA4012E}"/>
    <dgm:cxn modelId="{19218E4A-D692-4A9B-A0DF-8AE888CFFD6A}" type="presOf" srcId="{66379E3D-CAAF-46A8-8AA8-59495B6EE68D}" destId="{9C495607-DD97-480C-BD29-522DBE5221FF}" srcOrd="0" destOrd="0" presId="urn:microsoft.com/office/officeart/2005/8/layout/cycle7"/>
    <dgm:cxn modelId="{1B3EF893-70DB-4DBA-810F-123B5250F97A}" type="presOf" srcId="{85B0EA25-D447-438D-9E16-7694AAD2EECB}" destId="{5A0D6B3D-0FA6-4157-8E83-3B7898245B99}" srcOrd="0" destOrd="0" presId="urn:microsoft.com/office/officeart/2005/8/layout/cycle7"/>
    <dgm:cxn modelId="{BC0FD5BE-14B5-4E7F-9724-011B800AE343}" type="presOf" srcId="{83B2D3C9-BAE0-4CDE-864B-44FA8DA4012E}" destId="{38F99289-5025-4758-8FC1-EDAE09165847}" srcOrd="0" destOrd="0" presId="urn:microsoft.com/office/officeart/2005/8/layout/cycle7"/>
    <dgm:cxn modelId="{D6DDA092-CD81-44CF-8F77-B6565797B99C}" type="presParOf" srcId="{5A0D6B3D-0FA6-4157-8E83-3B7898245B99}" destId="{9C495607-DD97-480C-BD29-522DBE5221FF}" srcOrd="0" destOrd="0" presId="urn:microsoft.com/office/officeart/2005/8/layout/cycle7"/>
    <dgm:cxn modelId="{4B181A39-6A11-42C6-B99F-7EBEF19329D1}" type="presParOf" srcId="{5A0D6B3D-0FA6-4157-8E83-3B7898245B99}" destId="{513342FC-2E7E-4CE8-B30C-E40674794EA6}" srcOrd="1" destOrd="0" presId="urn:microsoft.com/office/officeart/2005/8/layout/cycle7"/>
    <dgm:cxn modelId="{BDBDAB3A-ABFE-4817-8656-1C300151A41F}" type="presParOf" srcId="{513342FC-2E7E-4CE8-B30C-E40674794EA6}" destId="{1D410912-5751-41FD-A316-880FE52BB9FD}" srcOrd="0" destOrd="0" presId="urn:microsoft.com/office/officeart/2005/8/layout/cycle7"/>
    <dgm:cxn modelId="{A6E49891-EBE5-4507-9020-8E78E7E62ACB}" type="presParOf" srcId="{5A0D6B3D-0FA6-4157-8E83-3B7898245B99}" destId="{35650695-B37D-458B-B057-14A722305640}" srcOrd="2" destOrd="0" presId="urn:microsoft.com/office/officeart/2005/8/layout/cycle7"/>
    <dgm:cxn modelId="{0415653F-6B5D-4776-ABFB-9B06629C96A9}" type="presParOf" srcId="{5A0D6B3D-0FA6-4157-8E83-3B7898245B99}" destId="{BC98714D-AB9A-42FB-B98A-6C0B8746291B}" srcOrd="3" destOrd="0" presId="urn:microsoft.com/office/officeart/2005/8/layout/cycle7"/>
    <dgm:cxn modelId="{E5ECE2B5-2395-44EF-A3A8-AC1658219C19}" type="presParOf" srcId="{BC98714D-AB9A-42FB-B98A-6C0B8746291B}" destId="{2A06EDA2-1A29-49B4-BAAE-A97C822874A4}" srcOrd="0" destOrd="0" presId="urn:microsoft.com/office/officeart/2005/8/layout/cycle7"/>
    <dgm:cxn modelId="{E77E400F-12BE-4C40-BC3C-81E0EE61558A}" type="presParOf" srcId="{5A0D6B3D-0FA6-4157-8E83-3B7898245B99}" destId="{6FF54B5D-B44B-4747-AEC3-501DF3BDD82A}" srcOrd="4" destOrd="0" presId="urn:microsoft.com/office/officeart/2005/8/layout/cycle7"/>
    <dgm:cxn modelId="{6901EEA8-28B2-45C7-B25F-423F220E9B66}" type="presParOf" srcId="{5A0D6B3D-0FA6-4157-8E83-3B7898245B99}" destId="{38F99289-5025-4758-8FC1-EDAE09165847}" srcOrd="5" destOrd="0" presId="urn:microsoft.com/office/officeart/2005/8/layout/cycle7"/>
    <dgm:cxn modelId="{EE29433C-9EFF-4EEC-9AE1-5E4212F2349F}" type="presParOf" srcId="{38F99289-5025-4758-8FC1-EDAE09165847}" destId="{D03EDB90-EBE9-42CA-B586-4CCECC627D63}" srcOrd="0" destOrd="0" presId="urn:microsoft.com/office/officeart/2005/8/layout/cycle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95607-DD97-480C-BD29-522DBE5221FF}">
      <dsp:nvSpPr>
        <dsp:cNvPr id="0" name=""/>
        <dsp:cNvSpPr/>
      </dsp:nvSpPr>
      <dsp:spPr>
        <a:xfrm>
          <a:off x="1914078" y="654"/>
          <a:ext cx="1658242" cy="829121"/>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Corporate governance </a:t>
          </a:r>
        </a:p>
      </dsp:txBody>
      <dsp:txXfrm>
        <a:off x="1938362" y="24938"/>
        <a:ext cx="1609674" cy="780553"/>
      </dsp:txXfrm>
    </dsp:sp>
    <dsp:sp modelId="{513342FC-2E7E-4CE8-B30C-E40674794EA6}">
      <dsp:nvSpPr>
        <dsp:cNvPr id="0" name=""/>
        <dsp:cNvSpPr/>
      </dsp:nvSpPr>
      <dsp:spPr>
        <a:xfrm rot="20461227">
          <a:off x="3421420" y="1050846"/>
          <a:ext cx="430973" cy="1155851"/>
        </a:xfrm>
        <a:prstGeom prst="downArrow">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a:off x="3550712" y="1282016"/>
        <a:ext cx="172389" cy="693511"/>
      </dsp:txXfrm>
    </dsp:sp>
    <dsp:sp modelId="{35650695-B37D-458B-B057-14A722305640}">
      <dsp:nvSpPr>
        <dsp:cNvPr id="0" name=""/>
        <dsp:cNvSpPr/>
      </dsp:nvSpPr>
      <dsp:spPr>
        <a:xfrm>
          <a:off x="3282380" y="2370623"/>
          <a:ext cx="1658242" cy="829121"/>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Financial market growth</a:t>
          </a:r>
        </a:p>
      </dsp:txBody>
      <dsp:txXfrm>
        <a:off x="3306664" y="2394907"/>
        <a:ext cx="1609674" cy="780553"/>
      </dsp:txXfrm>
    </dsp:sp>
    <dsp:sp modelId="{BC98714D-AB9A-42FB-B98A-6C0B8746291B}">
      <dsp:nvSpPr>
        <dsp:cNvPr id="0" name=""/>
        <dsp:cNvSpPr/>
      </dsp:nvSpPr>
      <dsp:spPr>
        <a:xfrm rot="10800000">
          <a:off x="2311855" y="2640088"/>
          <a:ext cx="862689" cy="290192"/>
        </a:xfrm>
        <a:prstGeom prst="lef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2398913" y="2698126"/>
        <a:ext cx="688573" cy="174116"/>
      </dsp:txXfrm>
    </dsp:sp>
    <dsp:sp modelId="{6FF54B5D-B44B-4747-AEC3-501DF3BDD82A}">
      <dsp:nvSpPr>
        <dsp:cNvPr id="0" name=""/>
        <dsp:cNvSpPr/>
      </dsp:nvSpPr>
      <dsp:spPr>
        <a:xfrm>
          <a:off x="545776" y="2370623"/>
          <a:ext cx="1658242" cy="829121"/>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R&amp;D and capital expenditure</a:t>
          </a:r>
        </a:p>
      </dsp:txBody>
      <dsp:txXfrm>
        <a:off x="570060" y="2394907"/>
        <a:ext cx="1609674" cy="780553"/>
      </dsp:txXfrm>
    </dsp:sp>
    <dsp:sp modelId="{38F99289-5025-4758-8FC1-EDAE09165847}">
      <dsp:nvSpPr>
        <dsp:cNvPr id="0" name=""/>
        <dsp:cNvSpPr/>
      </dsp:nvSpPr>
      <dsp:spPr>
        <a:xfrm rot="1563119">
          <a:off x="1839757" y="970550"/>
          <a:ext cx="438582" cy="1259299"/>
        </a:xfrm>
        <a:prstGeom prst="downArrow">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a:off x="1971332" y="1222410"/>
        <a:ext cx="175432" cy="755579"/>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8CA9F-0E0A-496B-9F2D-326E1C6DC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271</Pages>
  <Words>51903</Words>
  <Characters>290662</Characters>
  <Application>Microsoft Office Word</Application>
  <DocSecurity>0</DocSecurity>
  <Lines>6920</Lines>
  <Paragraphs>2762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dc:creator>
  <cp:keywords/>
  <dc:description/>
  <cp:lastModifiedBy>ns</cp:lastModifiedBy>
  <cp:revision>4</cp:revision>
  <cp:lastPrinted>2016-04-28T15:04:00Z</cp:lastPrinted>
  <dcterms:created xsi:type="dcterms:W3CDTF">2016-04-24T14:37:00Z</dcterms:created>
  <dcterms:modified xsi:type="dcterms:W3CDTF">2016-04-28T17:28:00Z</dcterms:modified>
</cp:coreProperties>
</file>